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F6AE" w14:textId="77777777" w:rsidR="00582FBB" w:rsidRDefault="00417BA3">
      <w:pPr>
        <w:pStyle w:val="Title"/>
        <w:spacing w:line="240" w:lineRule="auto"/>
      </w:pPr>
      <w:r w:rsidRPr="00417BA3">
        <w:t>Meta-Evaluation of the Impacts and Legacy of the London 2012 Olympic Games and P</w:t>
      </w:r>
      <w:bookmarkStart w:id="0" w:name="_GoBack"/>
      <w:bookmarkEnd w:id="0"/>
      <w:r w:rsidRPr="00417BA3">
        <w:t>aralympic Games</w:t>
      </w:r>
      <w:r w:rsidR="00F95170">
        <w:t xml:space="preserve"> </w:t>
      </w:r>
    </w:p>
    <w:p w14:paraId="62AE67AC" w14:textId="77777777" w:rsidR="00500ED5" w:rsidRDefault="00417BA3" w:rsidP="00EA1531">
      <w:pPr>
        <w:pStyle w:val="Subtitle"/>
        <w:rPr>
          <w:rFonts w:ascii="Garamond" w:hAnsi="Garamond"/>
          <w:sz w:val="26"/>
          <w:szCs w:val="26"/>
          <w:lang w:val="en-GB"/>
        </w:rPr>
      </w:pPr>
      <w:r>
        <w:rPr>
          <w:rFonts w:ascii="Garamond" w:hAnsi="Garamond"/>
          <w:sz w:val="26"/>
          <w:szCs w:val="26"/>
          <w:lang w:val="en-GB"/>
        </w:rPr>
        <w:t xml:space="preserve">Summary </w:t>
      </w:r>
      <w:r w:rsidR="00E9225E">
        <w:rPr>
          <w:rFonts w:ascii="Garamond" w:hAnsi="Garamond"/>
          <w:sz w:val="26"/>
          <w:szCs w:val="26"/>
          <w:lang w:val="en-GB"/>
        </w:rPr>
        <w:t xml:space="preserve">of </w:t>
      </w:r>
      <w:r>
        <w:rPr>
          <w:rFonts w:ascii="Garamond" w:hAnsi="Garamond"/>
          <w:sz w:val="26"/>
          <w:szCs w:val="26"/>
          <w:lang w:val="en-GB"/>
        </w:rPr>
        <w:t>Report</w:t>
      </w:r>
      <w:r w:rsidR="00E9225E">
        <w:rPr>
          <w:rFonts w:ascii="Garamond" w:hAnsi="Garamond"/>
          <w:sz w:val="26"/>
          <w:szCs w:val="26"/>
          <w:lang w:val="en-GB"/>
        </w:rPr>
        <w:t xml:space="preserve"> </w:t>
      </w:r>
      <w:r w:rsidR="00500ED5">
        <w:rPr>
          <w:rFonts w:ascii="Garamond" w:hAnsi="Garamond"/>
          <w:sz w:val="26"/>
          <w:szCs w:val="26"/>
          <w:lang w:val="en-GB"/>
        </w:rPr>
        <w:t>3</w:t>
      </w:r>
      <w:r>
        <w:rPr>
          <w:rFonts w:ascii="Garamond" w:hAnsi="Garamond"/>
          <w:sz w:val="26"/>
          <w:szCs w:val="26"/>
          <w:lang w:val="en-GB"/>
        </w:rPr>
        <w:t>:</w:t>
      </w:r>
      <w:r w:rsidR="0060769B">
        <w:rPr>
          <w:rFonts w:ascii="Garamond" w:hAnsi="Garamond"/>
          <w:sz w:val="26"/>
          <w:szCs w:val="26"/>
          <w:lang w:val="en-GB"/>
        </w:rPr>
        <w:t xml:space="preserve"> </w:t>
      </w:r>
      <w:r w:rsidR="00E9225E">
        <w:rPr>
          <w:rFonts w:ascii="Garamond" w:hAnsi="Garamond"/>
          <w:sz w:val="26"/>
          <w:szCs w:val="26"/>
          <w:lang w:val="en-GB"/>
        </w:rPr>
        <w:t>'</w:t>
      </w:r>
      <w:r w:rsidR="00500ED5">
        <w:rPr>
          <w:rFonts w:ascii="Garamond" w:hAnsi="Garamond"/>
          <w:sz w:val="26"/>
          <w:szCs w:val="26"/>
          <w:lang w:val="en-GB"/>
        </w:rPr>
        <w:t>Baseline and Counterfactual'</w:t>
      </w:r>
    </w:p>
    <w:p w14:paraId="57CC1211" w14:textId="77777777" w:rsidR="00EA1531" w:rsidRDefault="00EA1531" w:rsidP="00EA1531">
      <w:pPr>
        <w:pStyle w:val="Subtitle"/>
      </w:pPr>
    </w:p>
    <w:p w14:paraId="4ADDF52F" w14:textId="77777777" w:rsidR="00EA1531" w:rsidRDefault="00EA1531" w:rsidP="00EA1531">
      <w:pPr>
        <w:pStyle w:val="Subtitle"/>
      </w:pPr>
    </w:p>
    <w:p w14:paraId="4013F234" w14:textId="77777777" w:rsidR="00EA1531" w:rsidRPr="00EA1531" w:rsidRDefault="00EA1531" w:rsidP="00EA1531">
      <w:pPr>
        <w:pStyle w:val="Subtitle"/>
        <w:rPr>
          <w:rFonts w:ascii="Garamond" w:hAnsi="Garamond"/>
          <w:sz w:val="26"/>
          <w:szCs w:val="26"/>
          <w:lang w:val="en-GB"/>
        </w:rPr>
      </w:pPr>
      <w:r w:rsidRPr="00EA1531">
        <w:rPr>
          <w:rFonts w:ascii="Garamond" w:hAnsi="Garamond"/>
          <w:sz w:val="26"/>
          <w:szCs w:val="26"/>
          <w:lang w:val="en-GB"/>
        </w:rPr>
        <w:t>Prepared by:</w:t>
      </w:r>
    </w:p>
    <w:p w14:paraId="583F7E78" w14:textId="77777777" w:rsidR="00596C7D" w:rsidRPr="00596C7D" w:rsidRDefault="00596C7D" w:rsidP="00596C7D">
      <w:pPr>
        <w:pStyle w:val="Subtitle"/>
        <w:rPr>
          <w:rFonts w:ascii="Garamond" w:hAnsi="Garamond"/>
          <w:sz w:val="26"/>
          <w:szCs w:val="26"/>
          <w:lang w:val="en-GB"/>
        </w:rPr>
      </w:pPr>
      <w:r w:rsidRPr="00596C7D">
        <w:rPr>
          <w:rFonts w:ascii="Garamond" w:hAnsi="Garamond"/>
          <w:sz w:val="26"/>
          <w:szCs w:val="26"/>
          <w:lang w:val="en-GB"/>
        </w:rPr>
        <w:t>Grant Thornton</w:t>
      </w:r>
    </w:p>
    <w:p w14:paraId="16E3A9AC" w14:textId="77777777" w:rsidR="00596C7D" w:rsidRPr="00596C7D" w:rsidRDefault="00596C7D" w:rsidP="00596C7D">
      <w:pPr>
        <w:pStyle w:val="Subtitle"/>
        <w:rPr>
          <w:rFonts w:ascii="Garamond" w:hAnsi="Garamond"/>
          <w:sz w:val="26"/>
          <w:szCs w:val="26"/>
          <w:lang w:val="en-GB"/>
        </w:rPr>
      </w:pPr>
      <w:proofErr w:type="spellStart"/>
      <w:r w:rsidRPr="00596C7D">
        <w:rPr>
          <w:rFonts w:ascii="Garamond" w:hAnsi="Garamond"/>
          <w:sz w:val="26"/>
          <w:szCs w:val="26"/>
          <w:lang w:val="en-GB"/>
        </w:rPr>
        <w:t>Ecorys</w:t>
      </w:r>
      <w:proofErr w:type="spellEnd"/>
    </w:p>
    <w:p w14:paraId="36F0EA6D" w14:textId="77777777" w:rsidR="00596C7D" w:rsidRPr="00596C7D" w:rsidRDefault="00596C7D" w:rsidP="00596C7D">
      <w:pPr>
        <w:pStyle w:val="Subtitle"/>
        <w:rPr>
          <w:rFonts w:ascii="Garamond" w:hAnsi="Garamond"/>
          <w:sz w:val="26"/>
          <w:szCs w:val="26"/>
          <w:lang w:val="en-GB"/>
        </w:rPr>
      </w:pPr>
      <w:r w:rsidRPr="00596C7D">
        <w:rPr>
          <w:rFonts w:ascii="Garamond" w:hAnsi="Garamond"/>
          <w:sz w:val="26"/>
          <w:szCs w:val="26"/>
          <w:lang w:val="en-GB"/>
        </w:rPr>
        <w:t>Loughborough University</w:t>
      </w:r>
    </w:p>
    <w:p w14:paraId="535E2140" w14:textId="77777777" w:rsidR="00596C7D" w:rsidRDefault="00596C7D" w:rsidP="00596C7D">
      <w:pPr>
        <w:pStyle w:val="Subtitle"/>
        <w:rPr>
          <w:rFonts w:ascii="Garamond" w:hAnsi="Garamond"/>
          <w:sz w:val="26"/>
          <w:szCs w:val="26"/>
          <w:lang w:val="en-GB"/>
        </w:rPr>
      </w:pPr>
      <w:r w:rsidRPr="00596C7D">
        <w:rPr>
          <w:rFonts w:ascii="Garamond" w:hAnsi="Garamond"/>
          <w:sz w:val="26"/>
          <w:szCs w:val="26"/>
          <w:lang w:val="en-GB"/>
        </w:rPr>
        <w:t xml:space="preserve">Oxford Economics </w:t>
      </w:r>
    </w:p>
    <w:p w14:paraId="5D2E834B" w14:textId="77777777" w:rsidR="00417BA3" w:rsidRDefault="00417BA3" w:rsidP="00417BA3">
      <w:pPr>
        <w:pStyle w:val="Subtitle"/>
        <w:rPr>
          <w:rFonts w:ascii="Garamond" w:hAnsi="Garamond"/>
          <w:sz w:val="26"/>
          <w:szCs w:val="26"/>
          <w:lang w:val="en-GB"/>
        </w:rPr>
      </w:pPr>
    </w:p>
    <w:p w14:paraId="5C6FB56D" w14:textId="77777777" w:rsidR="00582FBB" w:rsidRDefault="00582FBB">
      <w:pPr>
        <w:pStyle w:val="Subtitle"/>
        <w:rPr>
          <w:rFonts w:ascii="Garamond" w:hAnsi="Garamond"/>
        </w:rPr>
      </w:pPr>
    </w:p>
    <w:p w14:paraId="449006FD" w14:textId="2750BF2C" w:rsidR="00582FBB" w:rsidRDefault="003E0CF4">
      <w:r>
        <w:t xml:space="preserve">FINAL </w:t>
      </w:r>
      <w:r w:rsidR="00C12168">
        <w:t>REPORT</w:t>
      </w:r>
      <w:r w:rsidR="00582FBB">
        <w:t xml:space="preserve">: </w:t>
      </w:r>
      <w:r w:rsidR="009C28CE">
        <w:t xml:space="preserve">JANUARY </w:t>
      </w:r>
      <w:r w:rsidR="00656443">
        <w:t>201</w:t>
      </w:r>
      <w:r w:rsidR="009C28CE">
        <w:t>2</w:t>
      </w:r>
    </w:p>
    <w:p w14:paraId="6469036E" w14:textId="77777777" w:rsidR="00EA1531" w:rsidRDefault="00EA1531"/>
    <w:p w14:paraId="2BB585E7" w14:textId="77777777" w:rsidR="00582FBB" w:rsidRDefault="00582FBB"/>
    <w:p w14:paraId="6DDEBAD1" w14:textId="77777777" w:rsidR="00582FBB" w:rsidRDefault="00582FBB">
      <w:pPr>
        <w:sectPr w:rsidR="00582FBB" w:rsidSect="00204A0B">
          <w:footerReference w:type="even" r:id="rId9"/>
          <w:pgSz w:w="11906" w:h="16838" w:code="9"/>
          <w:pgMar w:top="1985" w:right="1134" w:bottom="1134" w:left="2608" w:header="709" w:footer="567" w:gutter="0"/>
          <w:pgNumType w:start="1"/>
          <w:cols w:space="720"/>
          <w:docGrid w:linePitch="360"/>
        </w:sectPr>
      </w:pPr>
    </w:p>
    <w:p w14:paraId="14B1E435" w14:textId="77777777" w:rsidR="00582FBB" w:rsidRDefault="00582FBB">
      <w:pPr>
        <w:pStyle w:val="Contents"/>
        <w:framePr w:wrap="around"/>
      </w:pPr>
      <w:r>
        <w:lastRenderedPageBreak/>
        <w:t>Contents</w:t>
      </w:r>
    </w:p>
    <w:p w14:paraId="39956B5A" w14:textId="77777777" w:rsidR="00B617B0" w:rsidRDefault="00582FBB">
      <w:pPr>
        <w:pStyle w:val="TOC1"/>
        <w:rPr>
          <w:rFonts w:asciiTheme="minorHAnsi" w:eastAsiaTheme="minorEastAsia" w:hAnsiTheme="minorHAnsi" w:cstheme="minorBidi"/>
          <w:b w:val="0"/>
          <w:bCs w:val="0"/>
          <w:noProof/>
          <w:szCs w:val="22"/>
          <w:lang w:eastAsia="en-GB"/>
        </w:rPr>
      </w:pPr>
      <w:r>
        <w:rPr>
          <w:b w:val="0"/>
        </w:rPr>
        <w:fldChar w:fldCharType="begin"/>
      </w:r>
      <w:r>
        <w:rPr>
          <w:b w:val="0"/>
        </w:rPr>
        <w:instrText xml:space="preserve"> TOC \o "1-1" \h \z \u </w:instrText>
      </w:r>
      <w:r>
        <w:rPr>
          <w:b w:val="0"/>
        </w:rPr>
        <w:fldChar w:fldCharType="separate"/>
      </w:r>
      <w:hyperlink w:anchor="_Toc314489493" w:history="1">
        <w:r w:rsidR="00B617B0" w:rsidRPr="001E23A5">
          <w:rPr>
            <w:rStyle w:val="Hyperlink"/>
            <w:noProof/>
          </w:rPr>
          <w:t>1</w:t>
        </w:r>
        <w:r w:rsidR="00B617B0">
          <w:rPr>
            <w:rFonts w:asciiTheme="minorHAnsi" w:eastAsiaTheme="minorEastAsia" w:hAnsiTheme="minorHAnsi" w:cstheme="minorBidi"/>
            <w:b w:val="0"/>
            <w:bCs w:val="0"/>
            <w:noProof/>
            <w:szCs w:val="22"/>
            <w:lang w:eastAsia="en-GB"/>
          </w:rPr>
          <w:tab/>
        </w:r>
        <w:r w:rsidR="00B617B0" w:rsidRPr="001E23A5">
          <w:rPr>
            <w:rStyle w:val="Hyperlink"/>
            <w:noProof/>
          </w:rPr>
          <w:t>Introduction</w:t>
        </w:r>
        <w:r w:rsidR="00B617B0">
          <w:rPr>
            <w:noProof/>
            <w:webHidden/>
          </w:rPr>
          <w:tab/>
        </w:r>
        <w:r w:rsidR="00B617B0">
          <w:rPr>
            <w:noProof/>
            <w:webHidden/>
          </w:rPr>
          <w:fldChar w:fldCharType="begin"/>
        </w:r>
        <w:r w:rsidR="00B617B0">
          <w:rPr>
            <w:noProof/>
            <w:webHidden/>
          </w:rPr>
          <w:instrText xml:space="preserve"> PAGEREF _Toc314489493 \h </w:instrText>
        </w:r>
        <w:r w:rsidR="00B617B0">
          <w:rPr>
            <w:noProof/>
            <w:webHidden/>
          </w:rPr>
        </w:r>
        <w:r w:rsidR="00B617B0">
          <w:rPr>
            <w:noProof/>
            <w:webHidden/>
          </w:rPr>
          <w:fldChar w:fldCharType="separate"/>
        </w:r>
        <w:r w:rsidR="00B617B0">
          <w:rPr>
            <w:noProof/>
            <w:webHidden/>
          </w:rPr>
          <w:t>1</w:t>
        </w:r>
        <w:r w:rsidR="00B617B0">
          <w:rPr>
            <w:noProof/>
            <w:webHidden/>
          </w:rPr>
          <w:fldChar w:fldCharType="end"/>
        </w:r>
      </w:hyperlink>
    </w:p>
    <w:p w14:paraId="344427C0" w14:textId="77777777" w:rsidR="00B617B0" w:rsidRDefault="003F5FF9">
      <w:pPr>
        <w:pStyle w:val="TOC1"/>
        <w:rPr>
          <w:rFonts w:asciiTheme="minorHAnsi" w:eastAsiaTheme="minorEastAsia" w:hAnsiTheme="minorHAnsi" w:cstheme="minorBidi"/>
          <w:b w:val="0"/>
          <w:bCs w:val="0"/>
          <w:noProof/>
          <w:szCs w:val="22"/>
          <w:lang w:eastAsia="en-GB"/>
        </w:rPr>
      </w:pPr>
      <w:hyperlink w:anchor="_Toc314489494" w:history="1">
        <w:r w:rsidR="00B617B0" w:rsidRPr="001E23A5">
          <w:rPr>
            <w:rStyle w:val="Hyperlink"/>
            <w:noProof/>
          </w:rPr>
          <w:t>2</w:t>
        </w:r>
        <w:r w:rsidR="00B617B0">
          <w:rPr>
            <w:rFonts w:asciiTheme="minorHAnsi" w:eastAsiaTheme="minorEastAsia" w:hAnsiTheme="minorHAnsi" w:cstheme="minorBidi"/>
            <w:b w:val="0"/>
            <w:bCs w:val="0"/>
            <w:noProof/>
            <w:szCs w:val="22"/>
            <w:lang w:eastAsia="en-GB"/>
          </w:rPr>
          <w:tab/>
        </w:r>
        <w:r w:rsidR="00B617B0" w:rsidRPr="001E23A5">
          <w:rPr>
            <w:rStyle w:val="Hyperlink"/>
            <w:noProof/>
          </w:rPr>
          <w:t>Methodological overview</w:t>
        </w:r>
        <w:r w:rsidR="00B617B0">
          <w:rPr>
            <w:noProof/>
            <w:webHidden/>
          </w:rPr>
          <w:tab/>
        </w:r>
        <w:r w:rsidR="00B617B0">
          <w:rPr>
            <w:noProof/>
            <w:webHidden/>
          </w:rPr>
          <w:fldChar w:fldCharType="begin"/>
        </w:r>
        <w:r w:rsidR="00B617B0">
          <w:rPr>
            <w:noProof/>
            <w:webHidden/>
          </w:rPr>
          <w:instrText xml:space="preserve"> PAGEREF _Toc314489494 \h </w:instrText>
        </w:r>
        <w:r w:rsidR="00B617B0">
          <w:rPr>
            <w:noProof/>
            <w:webHidden/>
          </w:rPr>
        </w:r>
        <w:r w:rsidR="00B617B0">
          <w:rPr>
            <w:noProof/>
            <w:webHidden/>
          </w:rPr>
          <w:fldChar w:fldCharType="separate"/>
        </w:r>
        <w:r w:rsidR="00B617B0">
          <w:rPr>
            <w:noProof/>
            <w:webHidden/>
          </w:rPr>
          <w:t>2</w:t>
        </w:r>
        <w:r w:rsidR="00B617B0">
          <w:rPr>
            <w:noProof/>
            <w:webHidden/>
          </w:rPr>
          <w:fldChar w:fldCharType="end"/>
        </w:r>
      </w:hyperlink>
    </w:p>
    <w:p w14:paraId="35B5B23D" w14:textId="77777777" w:rsidR="00B617B0" w:rsidRDefault="003F5FF9">
      <w:pPr>
        <w:pStyle w:val="TOC1"/>
        <w:rPr>
          <w:rFonts w:asciiTheme="minorHAnsi" w:eastAsiaTheme="minorEastAsia" w:hAnsiTheme="minorHAnsi" w:cstheme="minorBidi"/>
          <w:b w:val="0"/>
          <w:bCs w:val="0"/>
          <w:noProof/>
          <w:szCs w:val="22"/>
          <w:lang w:eastAsia="en-GB"/>
        </w:rPr>
      </w:pPr>
      <w:hyperlink w:anchor="_Toc314489495" w:history="1">
        <w:r w:rsidR="00B617B0" w:rsidRPr="001E23A5">
          <w:rPr>
            <w:rStyle w:val="Hyperlink"/>
            <w:noProof/>
          </w:rPr>
          <w:t>3</w:t>
        </w:r>
        <w:r w:rsidR="00B617B0">
          <w:rPr>
            <w:rFonts w:asciiTheme="minorHAnsi" w:eastAsiaTheme="minorEastAsia" w:hAnsiTheme="minorHAnsi" w:cstheme="minorBidi"/>
            <w:b w:val="0"/>
            <w:bCs w:val="0"/>
            <w:noProof/>
            <w:szCs w:val="22"/>
            <w:lang w:eastAsia="en-GB"/>
          </w:rPr>
          <w:tab/>
        </w:r>
        <w:r w:rsidR="00B617B0" w:rsidRPr="001E23A5">
          <w:rPr>
            <w:rStyle w:val="Hyperlink"/>
            <w:noProof/>
          </w:rPr>
          <w:t>Harnessing the UK's passion for sport</w:t>
        </w:r>
        <w:r w:rsidR="00B617B0">
          <w:rPr>
            <w:noProof/>
            <w:webHidden/>
          </w:rPr>
          <w:tab/>
        </w:r>
        <w:r w:rsidR="00B617B0">
          <w:rPr>
            <w:noProof/>
            <w:webHidden/>
          </w:rPr>
          <w:fldChar w:fldCharType="begin"/>
        </w:r>
        <w:r w:rsidR="00B617B0">
          <w:rPr>
            <w:noProof/>
            <w:webHidden/>
          </w:rPr>
          <w:instrText xml:space="preserve"> PAGEREF _Toc314489495 \h </w:instrText>
        </w:r>
        <w:r w:rsidR="00B617B0">
          <w:rPr>
            <w:noProof/>
            <w:webHidden/>
          </w:rPr>
        </w:r>
        <w:r w:rsidR="00B617B0">
          <w:rPr>
            <w:noProof/>
            <w:webHidden/>
          </w:rPr>
          <w:fldChar w:fldCharType="separate"/>
        </w:r>
        <w:r w:rsidR="00B617B0">
          <w:rPr>
            <w:noProof/>
            <w:webHidden/>
          </w:rPr>
          <w:t>5</w:t>
        </w:r>
        <w:r w:rsidR="00B617B0">
          <w:rPr>
            <w:noProof/>
            <w:webHidden/>
          </w:rPr>
          <w:fldChar w:fldCharType="end"/>
        </w:r>
      </w:hyperlink>
    </w:p>
    <w:p w14:paraId="16839E90" w14:textId="77777777" w:rsidR="00B617B0" w:rsidRDefault="003F5FF9">
      <w:pPr>
        <w:pStyle w:val="TOC1"/>
        <w:rPr>
          <w:rFonts w:asciiTheme="minorHAnsi" w:eastAsiaTheme="minorEastAsia" w:hAnsiTheme="minorHAnsi" w:cstheme="minorBidi"/>
          <w:b w:val="0"/>
          <w:bCs w:val="0"/>
          <w:noProof/>
          <w:szCs w:val="22"/>
          <w:lang w:eastAsia="en-GB"/>
        </w:rPr>
      </w:pPr>
      <w:hyperlink w:anchor="_Toc314489496" w:history="1">
        <w:r w:rsidR="00B617B0" w:rsidRPr="001E23A5">
          <w:rPr>
            <w:rStyle w:val="Hyperlink"/>
            <w:noProof/>
          </w:rPr>
          <w:t>4</w:t>
        </w:r>
        <w:r w:rsidR="00B617B0">
          <w:rPr>
            <w:rFonts w:asciiTheme="minorHAnsi" w:eastAsiaTheme="minorEastAsia" w:hAnsiTheme="minorHAnsi" w:cstheme="minorBidi"/>
            <w:b w:val="0"/>
            <w:bCs w:val="0"/>
            <w:noProof/>
            <w:szCs w:val="22"/>
            <w:lang w:eastAsia="en-GB"/>
          </w:rPr>
          <w:tab/>
        </w:r>
        <w:r w:rsidR="00B617B0" w:rsidRPr="001E23A5">
          <w:rPr>
            <w:rStyle w:val="Hyperlink"/>
            <w:noProof/>
          </w:rPr>
          <w:t>Exploiting opportunities for economic growth</w:t>
        </w:r>
        <w:r w:rsidR="00B617B0">
          <w:rPr>
            <w:noProof/>
            <w:webHidden/>
          </w:rPr>
          <w:tab/>
        </w:r>
        <w:r w:rsidR="00B617B0">
          <w:rPr>
            <w:noProof/>
            <w:webHidden/>
          </w:rPr>
          <w:fldChar w:fldCharType="begin"/>
        </w:r>
        <w:r w:rsidR="00B617B0">
          <w:rPr>
            <w:noProof/>
            <w:webHidden/>
          </w:rPr>
          <w:instrText xml:space="preserve"> PAGEREF _Toc314489496 \h </w:instrText>
        </w:r>
        <w:r w:rsidR="00B617B0">
          <w:rPr>
            <w:noProof/>
            <w:webHidden/>
          </w:rPr>
        </w:r>
        <w:r w:rsidR="00B617B0">
          <w:rPr>
            <w:noProof/>
            <w:webHidden/>
          </w:rPr>
          <w:fldChar w:fldCharType="separate"/>
        </w:r>
        <w:r w:rsidR="00B617B0">
          <w:rPr>
            <w:noProof/>
            <w:webHidden/>
          </w:rPr>
          <w:t>8</w:t>
        </w:r>
        <w:r w:rsidR="00B617B0">
          <w:rPr>
            <w:noProof/>
            <w:webHidden/>
          </w:rPr>
          <w:fldChar w:fldCharType="end"/>
        </w:r>
      </w:hyperlink>
    </w:p>
    <w:p w14:paraId="5266A9F7" w14:textId="77777777" w:rsidR="00B617B0" w:rsidRDefault="003F5FF9">
      <w:pPr>
        <w:pStyle w:val="TOC1"/>
        <w:rPr>
          <w:rFonts w:asciiTheme="minorHAnsi" w:eastAsiaTheme="minorEastAsia" w:hAnsiTheme="minorHAnsi" w:cstheme="minorBidi"/>
          <w:b w:val="0"/>
          <w:bCs w:val="0"/>
          <w:noProof/>
          <w:szCs w:val="22"/>
          <w:lang w:eastAsia="en-GB"/>
        </w:rPr>
      </w:pPr>
      <w:hyperlink w:anchor="_Toc314489497" w:history="1">
        <w:r w:rsidR="00B617B0" w:rsidRPr="001E23A5">
          <w:rPr>
            <w:rStyle w:val="Hyperlink"/>
            <w:noProof/>
          </w:rPr>
          <w:t>5</w:t>
        </w:r>
        <w:r w:rsidR="00B617B0">
          <w:rPr>
            <w:rFonts w:asciiTheme="minorHAnsi" w:eastAsiaTheme="minorEastAsia" w:hAnsiTheme="minorHAnsi" w:cstheme="minorBidi"/>
            <w:b w:val="0"/>
            <w:bCs w:val="0"/>
            <w:noProof/>
            <w:szCs w:val="22"/>
            <w:lang w:eastAsia="en-GB"/>
          </w:rPr>
          <w:tab/>
        </w:r>
        <w:r w:rsidR="00B617B0" w:rsidRPr="001E23A5">
          <w:rPr>
            <w:rStyle w:val="Hyperlink"/>
            <w:noProof/>
          </w:rPr>
          <w:t>Promoting community engagement and participation</w:t>
        </w:r>
        <w:r w:rsidR="00B617B0">
          <w:rPr>
            <w:noProof/>
            <w:webHidden/>
          </w:rPr>
          <w:tab/>
        </w:r>
        <w:r w:rsidR="00B617B0">
          <w:rPr>
            <w:noProof/>
            <w:webHidden/>
          </w:rPr>
          <w:fldChar w:fldCharType="begin"/>
        </w:r>
        <w:r w:rsidR="00B617B0">
          <w:rPr>
            <w:noProof/>
            <w:webHidden/>
          </w:rPr>
          <w:instrText xml:space="preserve"> PAGEREF _Toc314489497 \h </w:instrText>
        </w:r>
        <w:r w:rsidR="00B617B0">
          <w:rPr>
            <w:noProof/>
            <w:webHidden/>
          </w:rPr>
        </w:r>
        <w:r w:rsidR="00B617B0">
          <w:rPr>
            <w:noProof/>
            <w:webHidden/>
          </w:rPr>
          <w:fldChar w:fldCharType="separate"/>
        </w:r>
        <w:r w:rsidR="00B617B0">
          <w:rPr>
            <w:noProof/>
            <w:webHidden/>
          </w:rPr>
          <w:t>13</w:t>
        </w:r>
        <w:r w:rsidR="00B617B0">
          <w:rPr>
            <w:noProof/>
            <w:webHidden/>
          </w:rPr>
          <w:fldChar w:fldCharType="end"/>
        </w:r>
      </w:hyperlink>
    </w:p>
    <w:p w14:paraId="479356A6" w14:textId="77777777" w:rsidR="00B617B0" w:rsidRDefault="003F5FF9">
      <w:pPr>
        <w:pStyle w:val="TOC1"/>
        <w:rPr>
          <w:rFonts w:asciiTheme="minorHAnsi" w:eastAsiaTheme="minorEastAsia" w:hAnsiTheme="minorHAnsi" w:cstheme="minorBidi"/>
          <w:b w:val="0"/>
          <w:bCs w:val="0"/>
          <w:noProof/>
          <w:szCs w:val="22"/>
          <w:lang w:eastAsia="en-GB"/>
        </w:rPr>
      </w:pPr>
      <w:hyperlink w:anchor="_Toc314489498" w:history="1">
        <w:r w:rsidR="00B617B0" w:rsidRPr="001E23A5">
          <w:rPr>
            <w:rStyle w:val="Hyperlink"/>
            <w:noProof/>
          </w:rPr>
          <w:t>6</w:t>
        </w:r>
        <w:r w:rsidR="00B617B0">
          <w:rPr>
            <w:rFonts w:asciiTheme="minorHAnsi" w:eastAsiaTheme="minorEastAsia" w:hAnsiTheme="minorHAnsi" w:cstheme="minorBidi"/>
            <w:b w:val="0"/>
            <w:bCs w:val="0"/>
            <w:noProof/>
            <w:szCs w:val="22"/>
            <w:lang w:eastAsia="en-GB"/>
          </w:rPr>
          <w:tab/>
        </w:r>
        <w:r w:rsidR="00B617B0" w:rsidRPr="001E23A5">
          <w:rPr>
            <w:rStyle w:val="Hyperlink"/>
            <w:noProof/>
          </w:rPr>
          <w:t>Driving the regeneration of East London</w:t>
        </w:r>
        <w:r w:rsidR="00B617B0">
          <w:rPr>
            <w:noProof/>
            <w:webHidden/>
          </w:rPr>
          <w:tab/>
        </w:r>
        <w:r w:rsidR="00B617B0">
          <w:rPr>
            <w:noProof/>
            <w:webHidden/>
          </w:rPr>
          <w:fldChar w:fldCharType="begin"/>
        </w:r>
        <w:r w:rsidR="00B617B0">
          <w:rPr>
            <w:noProof/>
            <w:webHidden/>
          </w:rPr>
          <w:instrText xml:space="preserve"> PAGEREF _Toc314489498 \h </w:instrText>
        </w:r>
        <w:r w:rsidR="00B617B0">
          <w:rPr>
            <w:noProof/>
            <w:webHidden/>
          </w:rPr>
        </w:r>
        <w:r w:rsidR="00B617B0">
          <w:rPr>
            <w:noProof/>
            <w:webHidden/>
          </w:rPr>
          <w:fldChar w:fldCharType="separate"/>
        </w:r>
        <w:r w:rsidR="00B617B0">
          <w:rPr>
            <w:noProof/>
            <w:webHidden/>
          </w:rPr>
          <w:t>16</w:t>
        </w:r>
        <w:r w:rsidR="00B617B0">
          <w:rPr>
            <w:noProof/>
            <w:webHidden/>
          </w:rPr>
          <w:fldChar w:fldCharType="end"/>
        </w:r>
      </w:hyperlink>
    </w:p>
    <w:p w14:paraId="7A700A0C" w14:textId="77777777" w:rsidR="00B617B0" w:rsidRDefault="003F5FF9">
      <w:pPr>
        <w:pStyle w:val="TOC1"/>
        <w:rPr>
          <w:rFonts w:asciiTheme="minorHAnsi" w:eastAsiaTheme="minorEastAsia" w:hAnsiTheme="minorHAnsi" w:cstheme="minorBidi"/>
          <w:b w:val="0"/>
          <w:bCs w:val="0"/>
          <w:noProof/>
          <w:szCs w:val="22"/>
          <w:lang w:eastAsia="en-GB"/>
        </w:rPr>
      </w:pPr>
      <w:hyperlink w:anchor="_Toc314489499" w:history="1">
        <w:r w:rsidR="00B617B0" w:rsidRPr="001E23A5">
          <w:rPr>
            <w:rStyle w:val="Hyperlink"/>
            <w:noProof/>
          </w:rPr>
          <w:t>7</w:t>
        </w:r>
        <w:r w:rsidR="00B617B0">
          <w:rPr>
            <w:rFonts w:asciiTheme="minorHAnsi" w:eastAsiaTheme="minorEastAsia" w:hAnsiTheme="minorHAnsi" w:cstheme="minorBidi"/>
            <w:b w:val="0"/>
            <w:bCs w:val="0"/>
            <w:noProof/>
            <w:szCs w:val="22"/>
            <w:lang w:eastAsia="en-GB"/>
          </w:rPr>
          <w:tab/>
        </w:r>
        <w:r w:rsidR="00B617B0" w:rsidRPr="001E23A5">
          <w:rPr>
            <w:rStyle w:val="Hyperlink"/>
            <w:noProof/>
          </w:rPr>
          <w:t>Conclusion and next steps</w:t>
        </w:r>
        <w:r w:rsidR="00B617B0">
          <w:rPr>
            <w:noProof/>
            <w:webHidden/>
          </w:rPr>
          <w:tab/>
        </w:r>
        <w:r w:rsidR="00B617B0">
          <w:rPr>
            <w:noProof/>
            <w:webHidden/>
          </w:rPr>
          <w:fldChar w:fldCharType="begin"/>
        </w:r>
        <w:r w:rsidR="00B617B0">
          <w:rPr>
            <w:noProof/>
            <w:webHidden/>
          </w:rPr>
          <w:instrText xml:space="preserve"> PAGEREF _Toc314489499 \h </w:instrText>
        </w:r>
        <w:r w:rsidR="00B617B0">
          <w:rPr>
            <w:noProof/>
            <w:webHidden/>
          </w:rPr>
        </w:r>
        <w:r w:rsidR="00B617B0">
          <w:rPr>
            <w:noProof/>
            <w:webHidden/>
          </w:rPr>
          <w:fldChar w:fldCharType="separate"/>
        </w:r>
        <w:r w:rsidR="00B617B0">
          <w:rPr>
            <w:noProof/>
            <w:webHidden/>
          </w:rPr>
          <w:t>19</w:t>
        </w:r>
        <w:r w:rsidR="00B617B0">
          <w:rPr>
            <w:noProof/>
            <w:webHidden/>
          </w:rPr>
          <w:fldChar w:fldCharType="end"/>
        </w:r>
      </w:hyperlink>
    </w:p>
    <w:p w14:paraId="713CFAF9" w14:textId="77777777" w:rsidR="00582FBB" w:rsidRDefault="00582FBB">
      <w:pPr>
        <w:rPr>
          <w:b/>
        </w:rPr>
      </w:pPr>
      <w:r>
        <w:rPr>
          <w:b/>
        </w:rPr>
        <w:fldChar w:fldCharType="end"/>
      </w:r>
    </w:p>
    <w:p w14:paraId="4B751D44" w14:textId="77777777" w:rsidR="00FA238B" w:rsidRDefault="00FA238B"/>
    <w:p w14:paraId="66F08873" w14:textId="77777777" w:rsidR="00FA238B" w:rsidRDefault="00FA238B">
      <w:pPr>
        <w:sectPr w:rsidR="00FA238B" w:rsidSect="006C7F65">
          <w:headerReference w:type="even" r:id="rId10"/>
          <w:headerReference w:type="default" r:id="rId11"/>
          <w:footerReference w:type="default" r:id="rId12"/>
          <w:headerReference w:type="first" r:id="rId13"/>
          <w:pgSz w:w="11906" w:h="16838" w:code="9"/>
          <w:pgMar w:top="1618" w:right="1134" w:bottom="1134" w:left="2608" w:header="709" w:footer="340" w:gutter="0"/>
          <w:pgNumType w:start="1"/>
          <w:cols w:space="708"/>
          <w:docGrid w:linePitch="360"/>
        </w:sectPr>
      </w:pPr>
    </w:p>
    <w:p w14:paraId="34AFA04F" w14:textId="77777777" w:rsidR="00582FBB" w:rsidRDefault="00B43479">
      <w:pPr>
        <w:pStyle w:val="Heading1"/>
      </w:pPr>
      <w:bookmarkStart w:id="1" w:name="_Toc314489493"/>
      <w:bookmarkStart w:id="2" w:name="_Ref269906421"/>
      <w:r>
        <w:lastRenderedPageBreak/>
        <w:t>Introduction</w:t>
      </w:r>
      <w:bookmarkEnd w:id="1"/>
      <w:r w:rsidR="00E2157B">
        <w:t xml:space="preserve"> </w:t>
      </w:r>
      <w:bookmarkEnd w:id="2"/>
    </w:p>
    <w:p w14:paraId="50A5CC31" w14:textId="77777777" w:rsidR="00021EB5" w:rsidRDefault="00021EB5">
      <w:pPr>
        <w:pStyle w:val="Heading2"/>
      </w:pPr>
      <w:r>
        <w:t xml:space="preserve">The 2012 Games </w:t>
      </w:r>
    </w:p>
    <w:p w14:paraId="0397574F" w14:textId="77777777" w:rsidR="00021EB5" w:rsidRDefault="00AA2951" w:rsidP="00E207C1">
      <w:r>
        <w:t xml:space="preserve">Over the July to September 2012 period, </w:t>
      </w:r>
      <w:r w:rsidR="00021EB5">
        <w:t>the UK will host</w:t>
      </w:r>
      <w:r w:rsidR="00AE5F3A">
        <w:t xml:space="preserve"> </w:t>
      </w:r>
      <w:r w:rsidR="00021EB5">
        <w:t xml:space="preserve">the Olympic and Paralympic Games ('2012 Games' or 'the Games'). One of the key elements of London's bid for the Games was the commitment that they would result in a lasting legacy for the whole of the UK. </w:t>
      </w:r>
    </w:p>
    <w:p w14:paraId="5FFD2D91" w14:textId="77777777" w:rsidR="00021EB5" w:rsidRDefault="000766FD" w:rsidP="00E207C1">
      <w:r>
        <w:t xml:space="preserve">The vision for the 2012 </w:t>
      </w:r>
      <w:r w:rsidR="00021EB5">
        <w:t xml:space="preserve">Games </w:t>
      </w:r>
      <w:r>
        <w:t xml:space="preserve">is </w:t>
      </w:r>
      <w:r w:rsidR="007D1ADC">
        <w:t xml:space="preserve">for it </w:t>
      </w:r>
      <w:r>
        <w:t xml:space="preserve">to be both </w:t>
      </w:r>
      <w:r w:rsidR="00021EB5">
        <w:t xml:space="preserve">a successful sporting event </w:t>
      </w:r>
      <w:r>
        <w:t xml:space="preserve">and also a </w:t>
      </w:r>
      <w:r w:rsidR="00021EB5">
        <w:t>catalyst for lasting change,</w:t>
      </w:r>
      <w:r w:rsidR="00021EB5" w:rsidRPr="00495246">
        <w:t xml:space="preserve"> </w:t>
      </w:r>
      <w:r w:rsidR="00021EB5">
        <w:t xml:space="preserve">before, during and after the event. </w:t>
      </w:r>
      <w:r>
        <w:t>T</w:t>
      </w:r>
      <w:r w:rsidR="00021EB5">
        <w:t xml:space="preserve">he legacy </w:t>
      </w:r>
      <w:r>
        <w:t xml:space="preserve">plans for the </w:t>
      </w:r>
      <w:r w:rsidR="00021EB5">
        <w:t>Games focus on four areas</w:t>
      </w:r>
      <w:r w:rsidR="00B57D0E">
        <w:t xml:space="preserve"> –</w:t>
      </w:r>
      <w:r w:rsidR="00021EB5">
        <w:t xml:space="preserve"> sport; the economy; community engagement; and the regeneration of East London</w:t>
      </w:r>
      <w:r w:rsidR="007D1ADC">
        <w:t xml:space="preserve"> </w:t>
      </w:r>
      <w:r w:rsidR="00B57D0E">
        <w:t xml:space="preserve">– as well as the </w:t>
      </w:r>
      <w:r w:rsidR="007D1ADC">
        <w:t xml:space="preserve">cross-cutting themes of </w:t>
      </w:r>
      <w:r w:rsidR="00021EB5" w:rsidRPr="00ED26D2">
        <w:t>sustainability</w:t>
      </w:r>
      <w:r w:rsidR="00021EB5">
        <w:t xml:space="preserve"> and </w:t>
      </w:r>
      <w:r w:rsidR="00021EB5" w:rsidRPr="00ED26D2">
        <w:t>disability.</w:t>
      </w:r>
    </w:p>
    <w:p w14:paraId="0EC9F28A" w14:textId="77777777" w:rsidR="00137DEE" w:rsidRDefault="00137DEE" w:rsidP="00137DEE">
      <w:r>
        <w:t xml:space="preserve">In pursuit of the legacy objectives, a large number of policies and initiatives have been – and continue to be – developed and implemented by a diverse </w:t>
      </w:r>
      <w:r w:rsidRPr="001105B6">
        <w:t xml:space="preserve">range of organisations </w:t>
      </w:r>
      <w:r>
        <w:t xml:space="preserve">across </w:t>
      </w:r>
      <w:r w:rsidRPr="001105B6">
        <w:t>the public, private and third sectors.</w:t>
      </w:r>
      <w:r>
        <w:t xml:space="preserve"> </w:t>
      </w:r>
    </w:p>
    <w:p w14:paraId="746A49F5" w14:textId="77777777" w:rsidR="00137DEE" w:rsidRDefault="00137DEE" w:rsidP="00137DEE">
      <w:pPr>
        <w:pStyle w:val="Heading2"/>
      </w:pPr>
      <w:r>
        <w:t xml:space="preserve">The meta-evaluation </w:t>
      </w:r>
    </w:p>
    <w:p w14:paraId="2CA43431" w14:textId="77777777" w:rsidR="007D1ADC" w:rsidRDefault="00021EB5" w:rsidP="00E207C1">
      <w:r w:rsidRPr="00021EB5">
        <w:t xml:space="preserve">The </w:t>
      </w:r>
      <w:r>
        <w:t xml:space="preserve">purpose of the </w:t>
      </w:r>
      <w:r w:rsidRPr="00021EB5">
        <w:t xml:space="preserve">meta-evaluation </w:t>
      </w:r>
      <w:r>
        <w:t xml:space="preserve">is to assess the impact and </w:t>
      </w:r>
      <w:r w:rsidRPr="00021EB5">
        <w:t>legacy of the 2012 Games</w:t>
      </w:r>
      <w:r w:rsidR="00137DEE">
        <w:t xml:space="preserve"> and the various legacy projects</w:t>
      </w:r>
      <w:r w:rsidRPr="00021EB5">
        <w:t>, setting out impacts across the nations and regions, the host boroughs and on specific groups.</w:t>
      </w:r>
      <w:r w:rsidR="007D1ADC">
        <w:t xml:space="preserve"> </w:t>
      </w:r>
    </w:p>
    <w:p w14:paraId="3272FCC4" w14:textId="77777777" w:rsidR="00137DEE" w:rsidRDefault="008F4623" w:rsidP="00E207C1">
      <w:r w:rsidRPr="008F4623">
        <w:t>This meta-evaluation has been commissioned by the Department for Culture, Media and Sport (DCMS)</w:t>
      </w:r>
      <w:r>
        <w:t xml:space="preserve"> but will report </w:t>
      </w:r>
      <w:r w:rsidRPr="008F4623">
        <w:t xml:space="preserve">on impacts of </w:t>
      </w:r>
      <w:r w:rsidR="00137DEE">
        <w:t xml:space="preserve">legacy </w:t>
      </w:r>
      <w:r w:rsidRPr="008F4623">
        <w:t>activity being driven by a wide range of organisations, communities and individuals</w:t>
      </w:r>
      <w:r>
        <w:t>.</w:t>
      </w:r>
      <w:r w:rsidR="007D1ADC" w:rsidRPr="007D1ADC">
        <w:t xml:space="preserve"> </w:t>
      </w:r>
    </w:p>
    <w:p w14:paraId="0057B131" w14:textId="77777777" w:rsidR="00021EB5" w:rsidRDefault="00021EB5" w:rsidP="00E207C1">
      <w:r>
        <w:t>Reports 1 and 2</w:t>
      </w:r>
      <w:r w:rsidR="008F4623">
        <w:t xml:space="preserve">, published in </w:t>
      </w:r>
      <w:r>
        <w:t>Summer 2011</w:t>
      </w:r>
      <w:r w:rsidR="008F4623">
        <w:t xml:space="preserve">, </w:t>
      </w:r>
      <w:r>
        <w:t xml:space="preserve">set out the </w:t>
      </w:r>
      <w:r w:rsidRPr="00021EB5">
        <w:t xml:space="preserve">research questions, method and analytical framework </w:t>
      </w:r>
      <w:r>
        <w:t xml:space="preserve">to be used </w:t>
      </w:r>
      <w:r w:rsidR="007D1ADC">
        <w:t xml:space="preserve">by the </w:t>
      </w:r>
      <w:r>
        <w:t>meta-evaluation.</w:t>
      </w:r>
      <w:r w:rsidR="001B3790">
        <w:t xml:space="preserve"> </w:t>
      </w:r>
      <w:r w:rsidR="006C6FC6">
        <w:t>T</w:t>
      </w:r>
      <w:r w:rsidR="007D1ADC">
        <w:t xml:space="preserve">his </w:t>
      </w:r>
      <w:r w:rsidR="00E76FBC">
        <w:t xml:space="preserve">Summary of Report 3 </w:t>
      </w:r>
      <w:r w:rsidR="008F4623" w:rsidRPr="00021EB5">
        <w:t xml:space="preserve">sets out the baseline </w:t>
      </w:r>
      <w:r w:rsidR="00AE5F3A">
        <w:t xml:space="preserve">assessment </w:t>
      </w:r>
      <w:r w:rsidR="008F4623" w:rsidRPr="00021EB5">
        <w:t>and counterfactual</w:t>
      </w:r>
      <w:r w:rsidR="00D16FE4">
        <w:t>s</w:t>
      </w:r>
      <w:r w:rsidR="008F4623" w:rsidRPr="00021EB5">
        <w:t>.</w:t>
      </w:r>
    </w:p>
    <w:p w14:paraId="3F354AF1" w14:textId="77777777" w:rsidR="00500ED5" w:rsidRDefault="006C6FC6" w:rsidP="00500ED5">
      <w:pPr>
        <w:pStyle w:val="Heading2"/>
      </w:pPr>
      <w:r>
        <w:t>The b</w:t>
      </w:r>
      <w:r w:rsidR="00021EB5">
        <w:t xml:space="preserve">aseline and </w:t>
      </w:r>
      <w:r>
        <w:t>c</w:t>
      </w:r>
      <w:r w:rsidR="00021EB5">
        <w:t>ounterfactual</w:t>
      </w:r>
    </w:p>
    <w:p w14:paraId="7A88C47C" w14:textId="77777777" w:rsidR="00021EB5" w:rsidRDefault="00021EB5" w:rsidP="00E207C1">
      <w:r w:rsidRPr="00021EB5">
        <w:t xml:space="preserve">The baseline and counterfactuals </w:t>
      </w:r>
      <w:r w:rsidR="002266AB">
        <w:t xml:space="preserve">are </w:t>
      </w:r>
      <w:r w:rsidRPr="00021EB5">
        <w:t xml:space="preserve">of critical importance to the meta-evaluation as </w:t>
      </w:r>
      <w:r w:rsidR="00E207C1">
        <w:t xml:space="preserve">they </w:t>
      </w:r>
      <w:r w:rsidR="002266AB">
        <w:t xml:space="preserve">describe the </w:t>
      </w:r>
      <w:r w:rsidRPr="00021EB5">
        <w:t xml:space="preserve">overall context </w:t>
      </w:r>
      <w:r w:rsidR="00B57D0E">
        <w:t xml:space="preserve">within </w:t>
      </w:r>
      <w:r w:rsidRPr="00021EB5">
        <w:t>which the impact of legacy initiatives will be measured and evaluated</w:t>
      </w:r>
      <w:r w:rsidR="00EB1BCE">
        <w:t xml:space="preserve"> and they</w:t>
      </w:r>
      <w:r w:rsidR="00BE0699">
        <w:t xml:space="preserve"> </w:t>
      </w:r>
      <w:r w:rsidR="00BE0699" w:rsidRPr="00E76FBC">
        <w:t>will be important source</w:t>
      </w:r>
      <w:r w:rsidR="00B57D0E">
        <w:t>s</w:t>
      </w:r>
      <w:r w:rsidR="00BE0699" w:rsidRPr="00E76FBC">
        <w:t xml:space="preserve"> of information and evidence </w:t>
      </w:r>
      <w:r w:rsidR="00BE0699">
        <w:t>for the subsequent Interim and Post-Games evaluation</w:t>
      </w:r>
      <w:r w:rsidR="00B57D0E">
        <w:t>s</w:t>
      </w:r>
      <w:r w:rsidR="00BE0699" w:rsidRPr="00E76FBC">
        <w:t>.</w:t>
      </w:r>
    </w:p>
    <w:p w14:paraId="6BE6B577" w14:textId="77777777" w:rsidR="00021EB5" w:rsidRDefault="00AA2951" w:rsidP="00021EB5">
      <w:r>
        <w:t>Consistent with the analytical framework set out in Report</w:t>
      </w:r>
      <w:r w:rsidR="00B57D0E">
        <w:t>s</w:t>
      </w:r>
      <w:r>
        <w:t xml:space="preserve"> 1 and 2, the baseline and counterfactuals are assessed </w:t>
      </w:r>
      <w:r w:rsidR="00021EB5">
        <w:t>around the following legacy themes:</w:t>
      </w:r>
    </w:p>
    <w:p w14:paraId="0CCC9024" w14:textId="2064E001" w:rsidR="00021EB5" w:rsidRDefault="00021EB5" w:rsidP="00021EB5">
      <w:pPr>
        <w:pStyle w:val="BulletOne"/>
      </w:pPr>
      <w:r>
        <w:t>Sport: harnessing the UK's passion for sport to increase</w:t>
      </w:r>
      <w:r w:rsidR="00937C27">
        <w:t xml:space="preserve"> school-based and</w:t>
      </w:r>
      <w:r>
        <w:t xml:space="preserve"> grass roots participation </w:t>
      </w:r>
      <w:r w:rsidR="00937C27">
        <w:t>in</w:t>
      </w:r>
      <w:r>
        <w:t xml:space="preserve"> competitive sport and to encourage </w:t>
      </w:r>
      <w:r w:rsidR="00937C27">
        <w:t>the whole population to be more physically active</w:t>
      </w:r>
      <w:r>
        <w:t>;</w:t>
      </w:r>
    </w:p>
    <w:p w14:paraId="1EC27CF0" w14:textId="77777777" w:rsidR="00021EB5" w:rsidRDefault="00021EB5" w:rsidP="00021EB5">
      <w:pPr>
        <w:pStyle w:val="BulletOne"/>
      </w:pPr>
      <w:r>
        <w:t xml:space="preserve">Economy: exploiting </w:t>
      </w:r>
      <w:r w:rsidR="00937C27">
        <w:t xml:space="preserve">to the full </w:t>
      </w:r>
      <w:r>
        <w:t>the opportunities for economic growth offered by hosting the Games</w:t>
      </w:r>
      <w:r w:rsidR="00937C27">
        <w:t>, particularly with reference to inward investment and tourism</w:t>
      </w:r>
      <w:r>
        <w:t>;</w:t>
      </w:r>
    </w:p>
    <w:p w14:paraId="263FBE15" w14:textId="58F24D8B" w:rsidR="00021EB5" w:rsidRDefault="00021EB5" w:rsidP="00021EB5">
      <w:pPr>
        <w:pStyle w:val="BulletOne"/>
      </w:pPr>
      <w:r>
        <w:t xml:space="preserve">Community Engagement: promoting community engagement and </w:t>
      </w:r>
      <w:r w:rsidR="00937C27">
        <w:t>participation in voluntary work</w:t>
      </w:r>
      <w:r>
        <w:t xml:space="preserve"> across all groups in society through the Games; </w:t>
      </w:r>
    </w:p>
    <w:p w14:paraId="766BFCA0" w14:textId="247A8CE9" w:rsidR="00021EB5" w:rsidRDefault="00021EB5" w:rsidP="00737E29">
      <w:pPr>
        <w:pStyle w:val="BulletOne"/>
      </w:pPr>
      <w:r>
        <w:t>East London regeneration: ensuring that the Olympic Park can be developed after the Games as one of the principal drivers of regeneration in East London</w:t>
      </w:r>
      <w:r w:rsidR="00937C27">
        <w:t xml:space="preserve">, with a particular focus on the </w:t>
      </w:r>
      <w:r w:rsidR="00737E29" w:rsidRPr="00737E29">
        <w:t xml:space="preserve">high-tech </w:t>
      </w:r>
      <w:r w:rsidR="00937C27">
        <w:t xml:space="preserve">and </w:t>
      </w:r>
      <w:r w:rsidR="006932D7">
        <w:t>c</w:t>
      </w:r>
      <w:r w:rsidR="00937C27">
        <w:t xml:space="preserve">reative </w:t>
      </w:r>
      <w:r w:rsidR="006932D7">
        <w:t>i</w:t>
      </w:r>
      <w:r w:rsidR="00937C27">
        <w:t>ndustries</w:t>
      </w:r>
      <w:r>
        <w:t>.</w:t>
      </w:r>
    </w:p>
    <w:p w14:paraId="27C76D87" w14:textId="77777777" w:rsidR="00500ED5" w:rsidRDefault="00500ED5" w:rsidP="009717B4"/>
    <w:p w14:paraId="28C1A0FF" w14:textId="77777777" w:rsidR="00500ED5" w:rsidRDefault="00500ED5" w:rsidP="00F95170"/>
    <w:p w14:paraId="274A1F05" w14:textId="77777777" w:rsidR="00B53A57" w:rsidRDefault="00500ED5" w:rsidP="00B53A57">
      <w:pPr>
        <w:pStyle w:val="Heading1"/>
      </w:pPr>
      <w:bookmarkStart w:id="3" w:name="_Toc314489494"/>
      <w:r>
        <w:lastRenderedPageBreak/>
        <w:t>Methodological overview</w:t>
      </w:r>
      <w:bookmarkEnd w:id="3"/>
      <w:r>
        <w:t xml:space="preserve"> </w:t>
      </w:r>
    </w:p>
    <w:p w14:paraId="6194C820" w14:textId="77777777" w:rsidR="00E76FBC" w:rsidRDefault="00C07BD5" w:rsidP="000329C9">
      <w:r w:rsidRPr="00C07BD5">
        <w:t>The baseline sets the context in which the impact of legacy initiatives will be measured and evaluated. The counterfactual is a description of the results, outcomes or impacts which would have been expected to have occurred in the absence of the 2012 Games and/or legacy intervention</w:t>
      </w:r>
      <w:r w:rsidR="004E6DDC">
        <w:t>s</w:t>
      </w:r>
      <w:r w:rsidRPr="00C07BD5">
        <w:t>.</w:t>
      </w:r>
      <w:r w:rsidR="00F83CC7">
        <w:t xml:space="preserve"> </w:t>
      </w:r>
      <w:r w:rsidR="00F83CC7" w:rsidRPr="00F83CC7">
        <w:t xml:space="preserve">Alongside evidence from project-level evaluations and primary research, the baseline and counterfactual will be used to assess and evaluate the impacts </w:t>
      </w:r>
      <w:r w:rsidR="00F83CC7">
        <w:t>of the 2012 Games</w:t>
      </w:r>
      <w:r w:rsidR="00F83CC7" w:rsidRPr="00F83CC7">
        <w:t>.</w:t>
      </w:r>
    </w:p>
    <w:p w14:paraId="23CE4E24" w14:textId="77777777" w:rsidR="00500ED5" w:rsidRDefault="00500ED5" w:rsidP="00500ED5">
      <w:pPr>
        <w:pStyle w:val="Heading2"/>
      </w:pPr>
      <w:r>
        <w:t xml:space="preserve">The baseline </w:t>
      </w:r>
    </w:p>
    <w:p w14:paraId="3C987EBD" w14:textId="77777777" w:rsidR="003D65F0" w:rsidRDefault="00F83CC7" w:rsidP="00B76471">
      <w:r w:rsidRPr="00295D22">
        <w:t>A baseline is usually defined as a specific year and has the purpose of ensuring "</w:t>
      </w:r>
      <w:r w:rsidRPr="00F83CC7">
        <w:rPr>
          <w:i/>
        </w:rPr>
        <w:t>that the situation before the policy can be captured</w:t>
      </w:r>
      <w:r w:rsidRPr="00295D22">
        <w:t>"</w:t>
      </w:r>
      <w:r>
        <w:rPr>
          <w:rStyle w:val="FootnoteReference"/>
        </w:rPr>
        <w:footnoteReference w:id="1"/>
      </w:r>
      <w:r>
        <w:t xml:space="preserve">. The </w:t>
      </w:r>
      <w:r w:rsidRPr="00295D22">
        <w:t xml:space="preserve">meta-evaluation </w:t>
      </w:r>
      <w:r>
        <w:t xml:space="preserve">baseline </w:t>
      </w:r>
      <w:r w:rsidRPr="00295D22">
        <w:t>is defined as 2003</w:t>
      </w:r>
      <w:r>
        <w:t xml:space="preserve"> which is the </w:t>
      </w:r>
      <w:r w:rsidRPr="00295D22">
        <w:t>year the Government first committed support to London's bid</w:t>
      </w:r>
      <w:r w:rsidR="00940008">
        <w:t xml:space="preserve"> for the 2012 Games</w:t>
      </w:r>
      <w:r w:rsidRPr="00295D22">
        <w:t>.</w:t>
      </w:r>
      <w:r w:rsidRPr="00F83CC7">
        <w:t xml:space="preserve"> </w:t>
      </w:r>
    </w:p>
    <w:p w14:paraId="4142F353" w14:textId="120F60A0" w:rsidR="00E32411" w:rsidRDefault="00F83CC7" w:rsidP="00E32411">
      <w:r w:rsidRPr="00295D22">
        <w:t>The</w:t>
      </w:r>
      <w:r>
        <w:t xml:space="preserve"> </w:t>
      </w:r>
      <w:r w:rsidR="003D65F0" w:rsidRPr="00295D22">
        <w:t xml:space="preserve">bidding, construction, staging and legacy impacts </w:t>
      </w:r>
      <w:r w:rsidRPr="00295D22">
        <w:t>of the 2012 Games are expected to occur in any subsequent year since 2003</w:t>
      </w:r>
      <w:r w:rsidR="003D65F0">
        <w:t xml:space="preserve">. </w:t>
      </w:r>
      <w:r w:rsidR="00E32411" w:rsidRPr="00756100">
        <w:t>These will initially be through the economic impact of the construction of the venues and infrastructure</w:t>
      </w:r>
      <w:r w:rsidR="001B3790">
        <w:t>,</w:t>
      </w:r>
      <w:r w:rsidR="00E32411" w:rsidRPr="00756100">
        <w:t xml:space="preserve"> followed by other pre-Games programmes and activities (</w:t>
      </w:r>
      <w:proofErr w:type="spellStart"/>
      <w:r w:rsidR="00E32411" w:rsidRPr="00756100">
        <w:t>eg</w:t>
      </w:r>
      <w:proofErr w:type="spellEnd"/>
      <w:r w:rsidR="00E32411" w:rsidRPr="00756100">
        <w:t xml:space="preserve"> Cultural Olympiad), event related activity in 2012 and longer-term legacy and regeneration effects post 2012.</w:t>
      </w:r>
      <w:r w:rsidR="00E32411">
        <w:t xml:space="preserve"> </w:t>
      </w:r>
    </w:p>
    <w:p w14:paraId="407D88C0" w14:textId="77777777" w:rsidR="003D65F0" w:rsidRDefault="00C07BD5" w:rsidP="003D65F0">
      <w:r w:rsidRPr="00C07BD5">
        <w:t>The baseline is comprised of a range of economic, social, cultural and environmental indicators</w:t>
      </w:r>
      <w:r>
        <w:t xml:space="preserve"> and survey results, </w:t>
      </w:r>
      <w:r w:rsidRPr="00C07BD5">
        <w:t>developed under the research framework set out in Reports 1 and 2</w:t>
      </w:r>
      <w:r>
        <w:t xml:space="preserve">. </w:t>
      </w:r>
      <w:r w:rsidR="003D65F0">
        <w:t>These indicators have been selected taking into account the logic models and research questions developed in Report</w:t>
      </w:r>
      <w:r w:rsidR="00940008">
        <w:t>s</w:t>
      </w:r>
      <w:r w:rsidR="003D65F0">
        <w:t xml:space="preserve"> 1 and 2, as well as the granularity and availability of data</w:t>
      </w:r>
      <w:r w:rsidR="00940008">
        <w:t>.</w:t>
      </w:r>
      <w:r w:rsidR="003D65F0">
        <w:t xml:space="preserve"> </w:t>
      </w:r>
    </w:p>
    <w:p w14:paraId="2AF4002C" w14:textId="77777777" w:rsidR="006759CD" w:rsidRDefault="003D65F0" w:rsidP="00C07BD5">
      <w:r w:rsidRPr="003D65F0">
        <w:t>Although a significant number of indicators have been selected and described in this report, it should be noted that baseline and counterfactual evidence will also originate from project-level evaluations and through other analysis (modelling, case studies, primary research</w:t>
      </w:r>
      <w:r w:rsidR="003B59C8">
        <w:t>,</w:t>
      </w:r>
      <w:r w:rsidRPr="003D65F0">
        <w:t xml:space="preserve"> </w:t>
      </w:r>
      <w:proofErr w:type="spellStart"/>
      <w:r w:rsidRPr="003D65F0">
        <w:t>etc</w:t>
      </w:r>
      <w:proofErr w:type="spellEnd"/>
      <w:r w:rsidRPr="003D65F0">
        <w:t>).</w:t>
      </w:r>
    </w:p>
    <w:p w14:paraId="6DB76A54" w14:textId="73B3BA20" w:rsidR="003D65F0" w:rsidRDefault="00A05D0A" w:rsidP="00C07BD5">
      <w:r>
        <w:t>More emphasis has been placed on these indicators than planned as t</w:t>
      </w:r>
      <w:r w:rsidR="003B59C8">
        <w:t xml:space="preserve">he evidence base provided by project-level evaluations was originally expected to be more substantial. This is particularly true at this stage when few project-level evaluations have been completed but will also be true (although to a lesser extent) for </w:t>
      </w:r>
      <w:r w:rsidR="006759CD">
        <w:t xml:space="preserve">the subsequent Interim and Post-Games evaluations. It should also be noted that many of these indicators are high level national trends which are impacted by a number of different factors. </w:t>
      </w:r>
      <w:r w:rsidR="006B12AE">
        <w:t>They should be considered as setting the context within which impacts will be measured in the absence of current project-level evaluations, rather than the sole measure of impact.</w:t>
      </w:r>
    </w:p>
    <w:p w14:paraId="30770A42" w14:textId="77777777" w:rsidR="00500ED5" w:rsidRDefault="00500ED5" w:rsidP="00500ED5">
      <w:pPr>
        <w:pStyle w:val="Heading2"/>
      </w:pPr>
      <w:r>
        <w:t xml:space="preserve">The counterfactual </w:t>
      </w:r>
    </w:p>
    <w:p w14:paraId="61D15579" w14:textId="1471091B" w:rsidR="00D26E35" w:rsidRDefault="003D65F0" w:rsidP="00041CFD">
      <w:r w:rsidRPr="003D65F0">
        <w:t>The counterfactual</w:t>
      </w:r>
      <w:r w:rsidR="00D16FE4">
        <w:t>s</w:t>
      </w:r>
      <w:r w:rsidRPr="003D65F0">
        <w:t xml:space="preserve"> set out the extent to which policy, legacy activities and outcomes would have occurred in the absence of the Games</w:t>
      </w:r>
      <w:r w:rsidR="00CD2590">
        <w:t xml:space="preserve"> and/or legacy intervention</w:t>
      </w:r>
      <w:r w:rsidR="004E6DDC">
        <w:t>s</w:t>
      </w:r>
      <w:r w:rsidRPr="003D65F0">
        <w:t xml:space="preserve">. </w:t>
      </w:r>
      <w:r w:rsidR="006A1BFB">
        <w:t>Determining counterfactuals is particularly important for the meta-evaluation as it enables an assessment of additionality to be made, both in terms of additional policies and outcomes.</w:t>
      </w:r>
    </w:p>
    <w:p w14:paraId="67C50436" w14:textId="77777777" w:rsidR="002E504F" w:rsidRDefault="002E504F">
      <w:pPr>
        <w:spacing w:before="0" w:after="0"/>
        <w:rPr>
          <w:b/>
          <w:bCs/>
          <w:szCs w:val="20"/>
        </w:rPr>
      </w:pPr>
      <w:r>
        <w:br w:type="page"/>
      </w:r>
    </w:p>
    <w:p w14:paraId="56F0000F" w14:textId="77777777" w:rsidR="00DE3A40" w:rsidRDefault="00041CFD" w:rsidP="00041CFD">
      <w:r w:rsidRPr="003D65F0">
        <w:lastRenderedPageBreak/>
        <w:t xml:space="preserve">The counterfactuals </w:t>
      </w:r>
      <w:r w:rsidR="00CD2590">
        <w:t xml:space="preserve">for each legacy theme </w:t>
      </w:r>
      <w:r w:rsidRPr="003D65F0">
        <w:t>have been developed through analysis of baseline trends, identification of key drivers of change and through consultation with relevant organisations and stakeholders on their views on the influence of the Games.</w:t>
      </w:r>
    </w:p>
    <w:p w14:paraId="503F26B3" w14:textId="77777777" w:rsidR="00041CFD" w:rsidRDefault="00041CFD" w:rsidP="00041CFD">
      <w:r>
        <w:t xml:space="preserve">Methodological challenges faced developing the </w:t>
      </w:r>
      <w:r w:rsidR="0096624C">
        <w:t>counterfactuals include</w:t>
      </w:r>
      <w:r>
        <w:t xml:space="preserve">: </w:t>
      </w:r>
    </w:p>
    <w:p w14:paraId="21BC8668" w14:textId="77777777" w:rsidR="00041CFD" w:rsidRDefault="00041CFD" w:rsidP="00041CFD">
      <w:pPr>
        <w:pStyle w:val="BulletOne"/>
      </w:pPr>
      <w:r>
        <w:t>Changes made to the Games legacy themes and related public sector policy and activities which will impact on and change the focus of the outcomes occurring from the Games</w:t>
      </w:r>
      <w:r w:rsidR="00F363B4">
        <w:t>;</w:t>
      </w:r>
      <w:r>
        <w:t xml:space="preserve"> </w:t>
      </w:r>
    </w:p>
    <w:p w14:paraId="587D1467" w14:textId="77777777" w:rsidR="00041CFD" w:rsidRDefault="00041CFD" w:rsidP="00041CFD">
      <w:pPr>
        <w:pStyle w:val="BulletOne"/>
      </w:pPr>
      <w:r>
        <w:t xml:space="preserve">The lack of a suitable control scenario to explore the additionality of outcomes linked to the Games legacy activities; </w:t>
      </w:r>
    </w:p>
    <w:p w14:paraId="51849E57" w14:textId="77777777" w:rsidR="00041CFD" w:rsidRDefault="00041CFD" w:rsidP="00041CFD">
      <w:pPr>
        <w:pStyle w:val="BulletOne"/>
      </w:pPr>
      <w:r>
        <w:t>The impact of non-Games related policy changes</w:t>
      </w:r>
      <w:r w:rsidR="004E6DDC">
        <w:t>,</w:t>
      </w:r>
      <w:r>
        <w:t xml:space="preserve"> particularly transformational changes being pursued by the Government</w:t>
      </w:r>
      <w:r w:rsidR="00F363B4">
        <w:t>;</w:t>
      </w:r>
      <w:r>
        <w:t xml:space="preserve"> </w:t>
      </w:r>
    </w:p>
    <w:p w14:paraId="67BB5129" w14:textId="77777777" w:rsidR="00041CFD" w:rsidRDefault="00041CFD" w:rsidP="00041CFD">
      <w:pPr>
        <w:pStyle w:val="BulletOne"/>
      </w:pPr>
      <w:r>
        <w:t xml:space="preserve">The </w:t>
      </w:r>
      <w:r w:rsidR="003B59C8">
        <w:t>economic downturn</w:t>
      </w:r>
      <w:r>
        <w:t xml:space="preserve"> which continues to exert downward pressure on economic trends and wider outputs and outcomes. </w:t>
      </w:r>
    </w:p>
    <w:p w14:paraId="18257EC5" w14:textId="3D465851" w:rsidR="0094508F" w:rsidRDefault="00041CFD" w:rsidP="00500ED5">
      <w:r>
        <w:t>It is important to note that counterfactuals will rely to varying degrees on statistical information and evidence which will only become available through evaluations, surveys and analysis to be conducted after the Games have ended. Counterfactuals and baseline may therefore need to be refined in Report 4 and Report 5 as appropriate evidence emerges.</w:t>
      </w:r>
      <w:r w:rsidR="001B3790">
        <w:t xml:space="preserve"> </w:t>
      </w:r>
      <w:r w:rsidR="00BE0699">
        <w:t xml:space="preserve">The counterfactual is split into a </w:t>
      </w:r>
      <w:r w:rsidR="00BE0699" w:rsidRPr="003D65F0">
        <w:t xml:space="preserve">policy counterfactual and </w:t>
      </w:r>
      <w:r w:rsidR="00BE0699">
        <w:t xml:space="preserve">an </w:t>
      </w:r>
      <w:r w:rsidR="00BE0699" w:rsidRPr="003D65F0">
        <w:t>outcome counterfactual</w:t>
      </w:r>
      <w:r w:rsidR="00BE0699">
        <w:t xml:space="preserve">. </w:t>
      </w:r>
    </w:p>
    <w:p w14:paraId="7E2E4B23" w14:textId="77777777" w:rsidR="00CA4CF2" w:rsidRDefault="00CA4CF2" w:rsidP="00CA4CF2">
      <w:pPr>
        <w:pStyle w:val="Caption"/>
      </w:pPr>
      <w:r w:rsidRPr="00A0428F">
        <w:t xml:space="preserve">Figure </w:t>
      </w:r>
      <w:r w:rsidR="003F5FF9">
        <w:fldChar w:fldCharType="begin"/>
      </w:r>
      <w:r w:rsidR="003F5FF9">
        <w:instrText xml:space="preserve"> STYLEREF 1 \s </w:instrText>
      </w:r>
      <w:r w:rsidR="003F5FF9">
        <w:fldChar w:fldCharType="separate"/>
      </w:r>
      <w:r w:rsidR="00B617B0">
        <w:rPr>
          <w:noProof/>
        </w:rPr>
        <w:t>2</w:t>
      </w:r>
      <w:r w:rsidR="003F5FF9">
        <w:rPr>
          <w:noProof/>
        </w:rPr>
        <w:fldChar w:fldCharType="end"/>
      </w:r>
      <w:r>
        <w:noBreakHyphen/>
      </w:r>
      <w:r w:rsidR="003F5FF9">
        <w:fldChar w:fldCharType="begin"/>
      </w:r>
      <w:r w:rsidR="003F5FF9">
        <w:instrText xml:space="preserve"> SEQ Figure \* ARABIC \s 1 </w:instrText>
      </w:r>
      <w:r w:rsidR="003F5FF9">
        <w:fldChar w:fldCharType="separate"/>
      </w:r>
      <w:r w:rsidR="00B617B0">
        <w:rPr>
          <w:noProof/>
        </w:rPr>
        <w:t>1</w:t>
      </w:r>
      <w:r w:rsidR="003F5FF9">
        <w:rPr>
          <w:noProof/>
        </w:rPr>
        <w:fldChar w:fldCharType="end"/>
      </w:r>
      <w:r w:rsidRPr="00A0428F">
        <w:t xml:space="preserve">: </w:t>
      </w:r>
      <w:r>
        <w:t xml:space="preserve">The policy and outcome counterfactual </w:t>
      </w:r>
    </w:p>
    <w:p w14:paraId="51057407" w14:textId="77777777" w:rsidR="00CA4CF2" w:rsidRDefault="00CA4CF2" w:rsidP="00CA4CF2">
      <w:r>
        <w:rPr>
          <w:noProof/>
          <w:lang w:eastAsia="en-GB"/>
        </w:rPr>
        <mc:AlternateContent>
          <mc:Choice Requires="wpg">
            <w:drawing>
              <wp:inline distT="0" distB="0" distL="0" distR="0" wp14:anchorId="59410330" wp14:editId="6F6CAAE7">
                <wp:extent cx="4720856" cy="2020186"/>
                <wp:effectExtent l="0" t="0" r="22860" b="18415"/>
                <wp:docPr id="5" name="Group 5"/>
                <wp:cNvGraphicFramePr/>
                <a:graphic xmlns:a="http://schemas.openxmlformats.org/drawingml/2006/main">
                  <a:graphicData uri="http://schemas.microsoft.com/office/word/2010/wordprocessingGroup">
                    <wpg:wgp>
                      <wpg:cNvGrpSpPr/>
                      <wpg:grpSpPr>
                        <a:xfrm>
                          <a:off x="0" y="0"/>
                          <a:ext cx="4720856" cy="2020186"/>
                          <a:chOff x="-60385" y="0"/>
                          <a:chExt cx="5072332" cy="2277142"/>
                        </a:xfrm>
                      </wpg:grpSpPr>
                      <wps:wsp>
                        <wps:cNvPr id="6" name="Rectangle 6"/>
                        <wps:cNvSpPr/>
                        <wps:spPr>
                          <a:xfrm>
                            <a:off x="-60385" y="0"/>
                            <a:ext cx="2130603" cy="1138555"/>
                          </a:xfrm>
                          <a:prstGeom prst="rect">
                            <a:avLst/>
                          </a:prstGeom>
                          <a:pattFill prst="ltUpDiag">
                            <a:fgClr>
                              <a:srgbClr val="FFC000"/>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4E2F2434" w14:textId="77777777" w:rsidR="00211063" w:rsidRPr="00D3023D" w:rsidRDefault="00211063" w:rsidP="00CA4CF2">
                              <w:pPr>
                                <w:jc w:val="center"/>
                                <w:rPr>
                                  <w:b/>
                                </w:rPr>
                              </w:pPr>
                              <w:r w:rsidRPr="00D3023D">
                                <w:rPr>
                                  <w:b/>
                                </w:rPr>
                                <w:t>Additional</w:t>
                              </w:r>
                              <w:r>
                                <w:rPr>
                                  <w:b/>
                                </w:rPr>
                                <w:t xml:space="preserve"> / Enhanced</w:t>
                              </w:r>
                              <w:r w:rsidRPr="00D3023D">
                                <w:rPr>
                                  <w:b/>
                                </w:rPr>
                                <w:t xml:space="preserve"> Policies</w:t>
                              </w:r>
                            </w:p>
                            <w:p w14:paraId="018CB2BD" w14:textId="77777777" w:rsidR="00211063" w:rsidRDefault="00211063" w:rsidP="00CA4CF2">
                              <w:pPr>
                                <w:jc w:val="center"/>
                              </w:pPr>
                              <w:r>
                                <w:t>Additional policies or enhancements to existing policies generated by the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0385" y="1138445"/>
                            <a:ext cx="2130483" cy="11385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B1B9F4" w14:textId="77777777" w:rsidR="00211063" w:rsidRPr="00651E56" w:rsidRDefault="00211063" w:rsidP="00CA4CF2">
                              <w:pPr>
                                <w:jc w:val="center"/>
                                <w:rPr>
                                  <w:b/>
                                </w:rPr>
                              </w:pPr>
                              <w:r w:rsidRPr="00651E56">
                                <w:rPr>
                                  <w:b/>
                                </w:rPr>
                                <w:t>The Policy Counterfactual</w:t>
                              </w:r>
                            </w:p>
                            <w:p w14:paraId="76378F71" w14:textId="77777777" w:rsidR="00211063" w:rsidRDefault="00211063" w:rsidP="00CA4CF2">
                              <w:pPr>
                                <w:jc w:val="center"/>
                              </w:pPr>
                              <w:r w:rsidRPr="007067B0">
                                <w:t>Policies which would have occurred i</w:t>
                              </w:r>
                              <w:r>
                                <w:t>n the absence of the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976077" y="0"/>
                            <a:ext cx="2035870" cy="1138555"/>
                          </a:xfrm>
                          <a:prstGeom prst="rect">
                            <a:avLst/>
                          </a:prstGeom>
                          <a:pattFill prst="ltUpDiag">
                            <a:fgClr>
                              <a:srgbClr val="FFC000"/>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4C86EA88" w14:textId="77777777" w:rsidR="00211063" w:rsidRPr="00D3023D" w:rsidRDefault="00211063" w:rsidP="00CA4CF2">
                              <w:pPr>
                                <w:jc w:val="center"/>
                                <w:rPr>
                                  <w:b/>
                                </w:rPr>
                              </w:pPr>
                              <w:r w:rsidRPr="00D3023D">
                                <w:rPr>
                                  <w:b/>
                                </w:rPr>
                                <w:t>Additional</w:t>
                              </w:r>
                              <w:r>
                                <w:rPr>
                                  <w:b/>
                                </w:rPr>
                                <w:t xml:space="preserve"> / Enhanced</w:t>
                              </w:r>
                              <w:r w:rsidRPr="00D3023D">
                                <w:rPr>
                                  <w:b/>
                                </w:rPr>
                                <w:t xml:space="preserve"> Outcomes</w:t>
                              </w:r>
                            </w:p>
                            <w:p w14:paraId="6EE04B08" w14:textId="77777777" w:rsidR="00211063" w:rsidRDefault="00211063" w:rsidP="00CA4CF2">
                              <w:pPr>
                                <w:jc w:val="center"/>
                              </w:pPr>
                              <w:r>
                                <w:t>Increases in outcomes generated by the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2975648" y="1138587"/>
                            <a:ext cx="2035711" cy="11385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AB53C4" w14:textId="77777777" w:rsidR="00211063" w:rsidRPr="00651E56" w:rsidRDefault="00211063" w:rsidP="00CA4CF2">
                              <w:pPr>
                                <w:jc w:val="center"/>
                                <w:rPr>
                                  <w:b/>
                                </w:rPr>
                              </w:pPr>
                              <w:r w:rsidRPr="00651E56">
                                <w:rPr>
                                  <w:b/>
                                </w:rPr>
                                <w:t>The Outcome Counterfactual</w:t>
                              </w:r>
                            </w:p>
                            <w:p w14:paraId="20B94239" w14:textId="77777777" w:rsidR="00211063" w:rsidRDefault="00211063" w:rsidP="00CA4CF2">
                              <w:pPr>
                                <w:jc w:val="center"/>
                              </w:pPr>
                              <w:r>
                                <w:t>Outcomes</w:t>
                              </w:r>
                              <w:r w:rsidRPr="007067B0">
                                <w:t xml:space="preserve"> which would have occurred in the </w:t>
                              </w:r>
                              <w:r>
                                <w:t>absence of the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a:off x="2150193" y="896924"/>
                            <a:ext cx="773824" cy="509091"/>
                          </a:xfrm>
                          <a:prstGeom prst="rightArrow">
                            <a:avLst/>
                          </a:prstGeom>
                          <a:solidFill>
                            <a:srgbClr val="FFC000"/>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5" o:spid="_x0000_s1026" style="width:371.7pt;height:159.05pt;mso-position-horizontal-relative:char;mso-position-vertical-relative:line" coordorigin="-603" coordsize="50723,2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">
                <v:rect id="Rectangle 6" o:spid="_x0000_s1027" style="position:absolute;left:-603;width:21305;height:11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nQMAA&#10;AADaAAAADwAAAGRycy9kb3ducmV2LnhtbESPQavCMBCE7w/8D2EFb8+0HopUo4igePBiVcTb0qxt&#10;sdmUJmr11xtB8DjMzDfMdN6ZWtypdZVlBfEwAkGcW11xoeCwX/2PQTiPrLG2TAqe5GA+6/1NMdX2&#10;wTu6Z74QAcIuRQWl900qpctLMuiGtiEO3sW2Bn2QbSF1i48AN7UcRVEiDVYcFkpsaFlSfs1uRoE2&#10;sT2vT/G2Oea3+rXyz+R8yZQa9LvFBISnzv/C3/ZGK0jgcyXcAD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mnQMAAAADaAAAADwAAAAAAAAAAAAAAAACYAgAAZHJzL2Rvd25y&#10;ZXYueG1sUEsFBgAAAAAEAAQA9QAAAIUDAAAAAA==&#10;" fillcolor="#ffc000" strokecolor="#f79646 [3209]" strokeweight="2pt">
                  <v:fill r:id="rId14" o:title="" color2="white [3212]" type="pattern"/>
                  <v:textbox>
                    <w:txbxContent>
                      <w:p w14:paraId="4E2F2434" w14:textId="77777777" w:rsidR="00211063" w:rsidRPr="00D3023D" w:rsidRDefault="00211063" w:rsidP="00CA4CF2">
                        <w:pPr>
                          <w:jc w:val="center"/>
                          <w:rPr>
                            <w:b/>
                          </w:rPr>
                        </w:pPr>
                        <w:r w:rsidRPr="00D3023D">
                          <w:rPr>
                            <w:b/>
                          </w:rPr>
                          <w:t>Additional</w:t>
                        </w:r>
                        <w:r>
                          <w:rPr>
                            <w:b/>
                          </w:rPr>
                          <w:t xml:space="preserve"> / Enhanced</w:t>
                        </w:r>
                        <w:r w:rsidRPr="00D3023D">
                          <w:rPr>
                            <w:b/>
                          </w:rPr>
                          <w:t xml:space="preserve"> Policies</w:t>
                        </w:r>
                      </w:p>
                      <w:p w14:paraId="018CB2BD" w14:textId="77777777" w:rsidR="00211063" w:rsidRDefault="00211063" w:rsidP="00CA4CF2">
                        <w:pPr>
                          <w:jc w:val="center"/>
                        </w:pPr>
                        <w:r>
                          <w:t>Additional policies or enhancements to existing policies generated by the Games</w:t>
                        </w:r>
                      </w:p>
                    </w:txbxContent>
                  </v:textbox>
                </v:rect>
                <v:rect id="Rectangle 7" o:spid="_x0000_s1028" style="position:absolute;left:-603;top:11384;width:21303;height:11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EO8EA&#10;AADaAAAADwAAAGRycy9kb3ducmV2LnhtbESPzarCMBSE9xd8h3AEd7epLlSqUUQQbhdF/CluD82x&#10;LTYnpcnV+vZGEFwOM/MNs1z3phF36lxtWcE4ikEQF1bXXCo4n3a/cxDOI2tsLJOCJzlYrwY/S0y0&#10;ffCB7kdfigBhl6CCyvs2kdIVFRl0kW2Jg3e1nUEfZFdK3eEjwE0jJ3E8lQZrDgsVtrStqLgd/42C&#10;bJplE0zzS57m29TNxnrvr1qp0bDfLEB46v03/Gn/aQUzeF8JN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kBDvBAAAA2gAAAA8AAAAAAAAAAAAAAAAAmAIAAGRycy9kb3du&#10;cmV2LnhtbFBLBQYAAAAABAAEAPUAAACGAwAAAAA=&#10;" fillcolor="white [3201]" strokecolor="#f79646 [3209]" strokeweight="2pt">
                  <v:textbox>
                    <w:txbxContent>
                      <w:p w14:paraId="0DB1B9F4" w14:textId="77777777" w:rsidR="00211063" w:rsidRPr="00651E56" w:rsidRDefault="00211063" w:rsidP="00CA4CF2">
                        <w:pPr>
                          <w:jc w:val="center"/>
                          <w:rPr>
                            <w:b/>
                          </w:rPr>
                        </w:pPr>
                        <w:r w:rsidRPr="00651E56">
                          <w:rPr>
                            <w:b/>
                          </w:rPr>
                          <w:t>The Policy Counterfactual</w:t>
                        </w:r>
                      </w:p>
                      <w:p w14:paraId="76378F71" w14:textId="77777777" w:rsidR="00211063" w:rsidRDefault="00211063" w:rsidP="00CA4CF2">
                        <w:pPr>
                          <w:jc w:val="center"/>
                        </w:pPr>
                        <w:r w:rsidRPr="007067B0">
                          <w:t>Policies which would have occurred i</w:t>
                        </w:r>
                        <w:r>
                          <w:t>n the absence of the Games</w:t>
                        </w:r>
                      </w:p>
                    </w:txbxContent>
                  </v:textbox>
                </v:rect>
                <v:rect id="Rectangle 8" o:spid="_x0000_s1029" style="position:absolute;left:29760;width:20359;height:11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WqbwA&#10;AADaAAAADwAAAGRycy9kb3ducmV2LnhtbERPvQrCMBDeBd8hnOBm0zqIVKOIoDi4WBVxO5qzLTaX&#10;0kStPr0ZBMeP73++7EwtntS6yrKCJIpBEOdWV1woOB03oykI55E11pZJwZscLBf93hxTbV98oGfm&#10;CxFC2KWooPS+SaV0eUkGXWQb4sDdbGvQB9gWUrf4CuGmluM4nkiDFYeGEhtal5Tfs4dRoE1ir9tL&#10;sm/O+aP+bPx7cr1lSg0H3WoGwlPn/+Kfe6cVhK3hSr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KpapvAAAANoAAAAPAAAAAAAAAAAAAAAAAJgCAABkcnMvZG93bnJldi54&#10;bWxQSwUGAAAAAAQABAD1AAAAgQMAAAAA&#10;" fillcolor="#ffc000" strokecolor="#f79646 [3209]" strokeweight="2pt">
                  <v:fill r:id="rId14" o:title="" color2="white [3212]" type="pattern"/>
                  <v:textbox>
                    <w:txbxContent>
                      <w:p w14:paraId="4C86EA88" w14:textId="77777777" w:rsidR="00211063" w:rsidRPr="00D3023D" w:rsidRDefault="00211063" w:rsidP="00CA4CF2">
                        <w:pPr>
                          <w:jc w:val="center"/>
                          <w:rPr>
                            <w:b/>
                          </w:rPr>
                        </w:pPr>
                        <w:r w:rsidRPr="00D3023D">
                          <w:rPr>
                            <w:b/>
                          </w:rPr>
                          <w:t>Additional</w:t>
                        </w:r>
                        <w:r>
                          <w:rPr>
                            <w:b/>
                          </w:rPr>
                          <w:t xml:space="preserve"> / Enhanced</w:t>
                        </w:r>
                        <w:r w:rsidRPr="00D3023D">
                          <w:rPr>
                            <w:b/>
                          </w:rPr>
                          <w:t xml:space="preserve"> Outcomes</w:t>
                        </w:r>
                      </w:p>
                      <w:p w14:paraId="6EE04B08" w14:textId="77777777" w:rsidR="00211063" w:rsidRDefault="00211063" w:rsidP="00CA4CF2">
                        <w:pPr>
                          <w:jc w:val="center"/>
                        </w:pPr>
                        <w:r>
                          <w:t>Increases in outcomes generated by the Games</w:t>
                        </w:r>
                      </w:p>
                    </w:txbxContent>
                  </v:textbox>
                </v:rect>
                <v:rect id="Rectangle 9" o:spid="_x0000_s1030" style="position:absolute;left:29756;top:11385;width:20357;height:11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c10sIA&#10;AADaAAAADwAAAGRycy9kb3ducmV2LnhtbESPT4vCMBTE74LfIbwFb5rag67VKEtB2B7K4p/i9dE8&#10;22LzUpqs1m+/EYQ9DjPzG2azG0wr7tS7xrKC+SwCQVxa3XCl4HzaTz9BOI+ssbVMCp7kYLcdjzaY&#10;aPvgA92PvhIBwi5BBbX3XSKlK2sy6Ga2Iw7e1fYGfZB9JXWPjwA3rYyjaCENNhwWauworam8HX+N&#10;gnyR5zFmxaXIijRzy7n+8Vet1ORj+FqD8DT4//C7/a0VrOB1Jd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zXSwgAAANoAAAAPAAAAAAAAAAAAAAAAAJgCAABkcnMvZG93&#10;bnJldi54bWxQSwUGAAAAAAQABAD1AAAAhwMAAAAA&#10;" fillcolor="white [3201]" strokecolor="#f79646 [3209]" strokeweight="2pt">
                  <v:textbox>
                    <w:txbxContent>
                      <w:p w14:paraId="2DAB53C4" w14:textId="77777777" w:rsidR="00211063" w:rsidRPr="00651E56" w:rsidRDefault="00211063" w:rsidP="00CA4CF2">
                        <w:pPr>
                          <w:jc w:val="center"/>
                          <w:rPr>
                            <w:b/>
                          </w:rPr>
                        </w:pPr>
                        <w:r w:rsidRPr="00651E56">
                          <w:rPr>
                            <w:b/>
                          </w:rPr>
                          <w:t>The Outcome Counterfactual</w:t>
                        </w:r>
                      </w:p>
                      <w:p w14:paraId="20B94239" w14:textId="77777777" w:rsidR="00211063" w:rsidRDefault="00211063" w:rsidP="00CA4CF2">
                        <w:pPr>
                          <w:jc w:val="center"/>
                        </w:pPr>
                        <w:r>
                          <w:t>Outcomes</w:t>
                        </w:r>
                        <w:r w:rsidRPr="007067B0">
                          <w:t xml:space="preserve"> which would have occurred in the </w:t>
                        </w:r>
                        <w:r>
                          <w:t>absence of the Games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31" type="#_x0000_t13" style="position:absolute;left:21501;top:8969;width:7739;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OiMAA&#10;AADbAAAADwAAAGRycy9kb3ducmV2LnhtbERPTYvCMBC9C/6HMAteiqZ60KUaZSmKuiBiV+9DM9uW&#10;bSaliVr/vVkQvM3jfc5i1Zla3Kh1lWUF41EMgji3uuJCwflnM/wE4TyyxtoyKXiQg9Wy31tgou2d&#10;T3TLfCFCCLsEFZTeN4mULi/JoBvZhjhwv7Y16ANsC6lbvIdwU8tJHE+lwYpDQ4kNpSXlf9nVKJgc&#10;DzKK0u/LlqL9fs0m5dk6U2rw0X3NQXjq/Fv8cu90mD+D/1/C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sOiMAAAADbAAAADwAAAAAAAAAAAAAAAACYAgAAZHJzL2Rvd25y&#10;ZXYueG1sUEsFBgAAAAAEAAQA9QAAAIUDAAAAAA==&#10;" adj="14495" fillcolor="#ffc000" strokecolor="#f79646 [3209]" strokeweight="2pt"/>
                <w10:anchorlock/>
              </v:group>
            </w:pict>
          </mc:Fallback>
        </mc:AlternateContent>
      </w:r>
    </w:p>
    <w:p w14:paraId="717CFC1E" w14:textId="77777777" w:rsidR="00041CFD" w:rsidRDefault="00041CFD" w:rsidP="00041CFD">
      <w:pPr>
        <w:pStyle w:val="Heading2"/>
      </w:pPr>
      <w:r>
        <w:t xml:space="preserve">The policy counterfactual </w:t>
      </w:r>
    </w:p>
    <w:p w14:paraId="62E0FFB6" w14:textId="77777777" w:rsidR="00500ED5" w:rsidRDefault="0094508F" w:rsidP="00041CFD">
      <w:r w:rsidRPr="0094508F">
        <w:t>The policy counterfactual is an assessment (largely qualitative) of the key strategies, policies and initiatives likely to be in place or delivered in the absence of the 2012 Games. The assessment is not always clear cut as strategy and policy typically evolve</w:t>
      </w:r>
      <w:r w:rsidR="00DE3A40">
        <w:t>s</w:t>
      </w:r>
      <w:r w:rsidRPr="0094508F">
        <w:t xml:space="preserve"> over time. </w:t>
      </w:r>
    </w:p>
    <w:p w14:paraId="6CBEC9D9" w14:textId="50F84A45" w:rsidR="00041CFD" w:rsidRDefault="00041CFD" w:rsidP="00041CFD">
      <w:r>
        <w:t xml:space="preserve">The policy counterfactual covers, depending on evidence available: </w:t>
      </w:r>
    </w:p>
    <w:p w14:paraId="6E5276C6" w14:textId="77777777" w:rsidR="00041CFD" w:rsidRDefault="00041CFD" w:rsidP="00041CFD">
      <w:pPr>
        <w:pStyle w:val="BulletOne"/>
      </w:pPr>
      <w:r>
        <w:t>Underlying policy direction, strategy and priorities relevant to sub-themes around the time the Government first supported London's bid for the 2012 Games (</w:t>
      </w:r>
      <w:proofErr w:type="spellStart"/>
      <w:r>
        <w:t>ie</w:t>
      </w:r>
      <w:proofErr w:type="spellEnd"/>
      <w:r>
        <w:t xml:space="preserve"> pre-2003); </w:t>
      </w:r>
    </w:p>
    <w:p w14:paraId="6CA38E2D" w14:textId="77777777" w:rsidR="00041CFD" w:rsidRDefault="00041CFD" w:rsidP="00041CFD">
      <w:pPr>
        <w:pStyle w:val="BulletOne"/>
      </w:pPr>
      <w:r>
        <w:t xml:space="preserve">Evolution of the government strategy and policy over the 2003 to 2011 period, particularly where organisations modified their approach in the light of the 2012 Games; </w:t>
      </w:r>
    </w:p>
    <w:p w14:paraId="5992451D" w14:textId="77777777" w:rsidR="00041CFD" w:rsidRDefault="00041CFD" w:rsidP="00041CFD">
      <w:pPr>
        <w:pStyle w:val="BulletOne"/>
      </w:pPr>
      <w:r>
        <w:t xml:space="preserve">Extent to which key activities (and initiatives) were </w:t>
      </w:r>
      <w:r w:rsidR="006759CD">
        <w:t xml:space="preserve">new or </w:t>
      </w:r>
      <w:r>
        <w:t>already taking place prior to the development of the 2012 Games legacy strategy and the way plans have been re-focused, enhanced</w:t>
      </w:r>
      <w:r w:rsidR="00222C66">
        <w:t>, brought forward</w:t>
      </w:r>
      <w:r>
        <w:t xml:space="preserve"> or re-branded to capitalise on the 2012 Games opportunity.</w:t>
      </w:r>
    </w:p>
    <w:p w14:paraId="5B72519C" w14:textId="77777777" w:rsidR="00041CFD" w:rsidRDefault="00041CFD" w:rsidP="00041CFD">
      <w:r>
        <w:t xml:space="preserve">The purpose of the policy counterfactual is to set the strategic context for the outcome counterfactual, rather than to isolate and attribute each and every policy, strategy, investment or activity to the 2012 Games. Such a definition and approach is complicated by the fact that </w:t>
      </w:r>
      <w:r>
        <w:lastRenderedPageBreak/>
        <w:t xml:space="preserve">legacy impacts are expected to flow largely from existing activities and resources harnessed to maximise the beneficial impact of the Games. </w:t>
      </w:r>
    </w:p>
    <w:p w14:paraId="4BB1B2F9" w14:textId="77777777" w:rsidR="00041CFD" w:rsidRDefault="00041CFD" w:rsidP="00041CFD">
      <w:pPr>
        <w:pStyle w:val="Heading2"/>
      </w:pPr>
      <w:r>
        <w:t xml:space="preserve">The outcome counterfactual </w:t>
      </w:r>
    </w:p>
    <w:p w14:paraId="7B2BEA79" w14:textId="0192F388" w:rsidR="00041CFD" w:rsidRDefault="0094508F" w:rsidP="00041CFD">
      <w:r w:rsidRPr="0094508F">
        <w:t xml:space="preserve">The </w:t>
      </w:r>
      <w:r>
        <w:t xml:space="preserve">outcome counterfactual sets out </w:t>
      </w:r>
      <w:r w:rsidRPr="0094508F">
        <w:t>results that would have occurred on the ground in the absence of the Games</w:t>
      </w:r>
      <w:r w:rsidR="00041CFD">
        <w:t>. At this stage</w:t>
      </w:r>
      <w:r w:rsidR="00041CFD" w:rsidRPr="00041CFD">
        <w:t xml:space="preserve"> </w:t>
      </w:r>
      <w:r w:rsidR="001B3790">
        <w:t xml:space="preserve">of the </w:t>
      </w:r>
      <w:r w:rsidR="00041CFD" w:rsidRPr="00041CFD">
        <w:t xml:space="preserve">meta-evaluation, only trend-based techniques </w:t>
      </w:r>
      <w:r w:rsidR="005B58AD">
        <w:t>have</w:t>
      </w:r>
      <w:r w:rsidR="00041CFD" w:rsidRPr="00041CFD">
        <w:t xml:space="preserve"> be</w:t>
      </w:r>
      <w:r w:rsidR="005B58AD">
        <w:t>en</w:t>
      </w:r>
      <w:r w:rsidR="00041CFD" w:rsidRPr="00041CFD">
        <w:t xml:space="preserve"> used to define the</w:t>
      </w:r>
      <w:r w:rsidR="006759CD">
        <w:t xml:space="preserve"> outcome</w:t>
      </w:r>
      <w:r w:rsidR="00041CFD" w:rsidRPr="00041CFD">
        <w:t xml:space="preserve"> counterfactual.</w:t>
      </w:r>
      <w:r w:rsidR="00041CFD">
        <w:t xml:space="preserve"> </w:t>
      </w:r>
      <w:r w:rsidR="005B58AD">
        <w:t>In most cases p</w:t>
      </w:r>
      <w:r w:rsidR="00041CFD">
        <w:t xml:space="preserve">roject-level evaluations have not </w:t>
      </w:r>
      <w:r w:rsidR="005B58AD">
        <w:t>reported yet</w:t>
      </w:r>
      <w:r w:rsidR="00041CFD">
        <w:t xml:space="preserve"> and 2012 data w</w:t>
      </w:r>
      <w:r w:rsidR="006759CD">
        <w:t>ill</w:t>
      </w:r>
      <w:r w:rsidR="00041CFD">
        <w:t xml:space="preserve"> be need</w:t>
      </w:r>
      <w:r w:rsidR="001B3790">
        <w:t>ed</w:t>
      </w:r>
      <w:r w:rsidR="00041CFD">
        <w:t xml:space="preserve"> for some cross-sectional analysis.</w:t>
      </w:r>
    </w:p>
    <w:p w14:paraId="5ECF1300" w14:textId="77777777" w:rsidR="00041CFD" w:rsidRDefault="00041CFD" w:rsidP="00041CFD">
      <w:r>
        <w:t xml:space="preserve">Along with trend-based time series analysis, a variety of techniques </w:t>
      </w:r>
      <w:r w:rsidR="00222C66">
        <w:t>are being</w:t>
      </w:r>
      <w:r>
        <w:t xml:space="preserve"> used to define the outcome counterfactuals including the following:</w:t>
      </w:r>
    </w:p>
    <w:p w14:paraId="4918C82F" w14:textId="64074BE2" w:rsidR="00041CFD" w:rsidRDefault="004E3EE7" w:rsidP="00041CFD">
      <w:pPr>
        <w:pStyle w:val="BulletOne"/>
      </w:pPr>
      <w:r>
        <w:t>Project-level evaluations: Sourcing the counterfactual and baseline directly from the evaluations of legacy activities which are being conducted outside this study;</w:t>
      </w:r>
    </w:p>
    <w:p w14:paraId="56C47D1A" w14:textId="4EFE6419" w:rsidR="00041CFD" w:rsidRDefault="004E3EE7" w:rsidP="00041CFD">
      <w:pPr>
        <w:pStyle w:val="BulletOne"/>
      </w:pPr>
      <w:r>
        <w:t xml:space="preserve">Comparator or control group analysis: </w:t>
      </w:r>
      <w:r w:rsidRPr="008A4B30">
        <w:t>Undertaking comparator analysis through the selection of comparator boroughs to establish trends in the host boroughs relative to other similar local authorities, in order to establish the impact of the Games on selected indicators;</w:t>
      </w:r>
    </w:p>
    <w:p w14:paraId="4B0039F8" w14:textId="575AF6C9" w:rsidR="00041CFD" w:rsidRDefault="004E3EE7" w:rsidP="00041CFD">
      <w:pPr>
        <w:pStyle w:val="BulletOne"/>
      </w:pPr>
      <w:r>
        <w:t>Statistical or econometric analysis: Identification in statistical terms of the influence of a range of explanatory variables on the policy outcomes of interest;</w:t>
      </w:r>
    </w:p>
    <w:p w14:paraId="62BCABAB" w14:textId="73B61503" w:rsidR="00041CFD" w:rsidRDefault="004E3EE7" w:rsidP="00041CFD">
      <w:pPr>
        <w:pStyle w:val="BulletOne"/>
      </w:pPr>
      <w:r>
        <w:t>Monitoring data and other indicators, including t</w:t>
      </w:r>
      <w:r w:rsidRPr="008360BE">
        <w:t>riangulation of data</w:t>
      </w:r>
      <w:r w:rsidR="00A05D0A">
        <w:t xml:space="preserve"> – </w:t>
      </w:r>
      <w:r>
        <w:t>d</w:t>
      </w:r>
      <w:r w:rsidRPr="008360BE">
        <w:t>rawing upon data from multiple sources in or</w:t>
      </w:r>
      <w:r>
        <w:t>der to infer the counterfactual;</w:t>
      </w:r>
    </w:p>
    <w:p w14:paraId="7B12B162" w14:textId="1D969D30" w:rsidR="00041CFD" w:rsidRDefault="004E3EE7" w:rsidP="00041CFD">
      <w:pPr>
        <w:pStyle w:val="BulletOne"/>
      </w:pPr>
      <w:r>
        <w:t>Bespoke modelling, such as macroeconomic modelling of the economic impact of 2012 Games;</w:t>
      </w:r>
    </w:p>
    <w:p w14:paraId="172BFCE2" w14:textId="77777777" w:rsidR="00041CFD" w:rsidRDefault="00041CFD" w:rsidP="00041CFD">
      <w:pPr>
        <w:pStyle w:val="BulletOne"/>
      </w:pPr>
      <w:r>
        <w:t xml:space="preserve">Qualitative analysis, particularly case studies and consultation; </w:t>
      </w:r>
    </w:p>
    <w:p w14:paraId="0D911C62" w14:textId="77777777" w:rsidR="0023529D" w:rsidRPr="0023529D" w:rsidRDefault="00041CFD" w:rsidP="0023529D">
      <w:pPr>
        <w:pStyle w:val="BulletOne"/>
      </w:pPr>
      <w:r>
        <w:t>Bespoke survey based methods</w:t>
      </w:r>
      <w:r w:rsidR="00F363B4">
        <w:t>.</w:t>
      </w:r>
      <w:r>
        <w:t xml:space="preserve"> </w:t>
      </w:r>
    </w:p>
    <w:p w14:paraId="12FA8A82" w14:textId="77777777" w:rsidR="00E00600" w:rsidRDefault="00B76471" w:rsidP="00B76471">
      <w:r>
        <w:t>The following sections set out the baseline, policy and out</w:t>
      </w:r>
      <w:r w:rsidR="006759CD">
        <w:t>come</w:t>
      </w:r>
      <w:r>
        <w:t xml:space="preserve"> counterfactuals for </w:t>
      </w:r>
      <w:r w:rsidRPr="003D65F0">
        <w:t>each of the sub themes</w:t>
      </w:r>
      <w:r>
        <w:t>.</w:t>
      </w:r>
      <w:r w:rsidR="00E00600">
        <w:t xml:space="preserve"> </w:t>
      </w:r>
    </w:p>
    <w:p w14:paraId="30A06BD4" w14:textId="77777777" w:rsidR="00500ED5" w:rsidRDefault="00500ED5" w:rsidP="009628D7"/>
    <w:p w14:paraId="15556C40" w14:textId="77777777" w:rsidR="008F60A3" w:rsidRDefault="008F60A3" w:rsidP="00E80169"/>
    <w:p w14:paraId="09268AA0" w14:textId="77777777" w:rsidR="00952B5D" w:rsidRDefault="00CF2419" w:rsidP="002670A4">
      <w:pPr>
        <w:pStyle w:val="Heading1"/>
        <w:ind w:left="-567" w:firstLine="0"/>
      </w:pPr>
      <w:bookmarkStart w:id="4" w:name="_Toc314489495"/>
      <w:r w:rsidRPr="00CF2419">
        <w:lastRenderedPageBreak/>
        <w:t xml:space="preserve">Harnessing the </w:t>
      </w:r>
      <w:smartTag w:uri="urn:schemas-microsoft-com:office:smarttags" w:element="country-region">
        <w:smartTag w:uri="urn:schemas-microsoft-com:office:smarttags" w:element="place">
          <w:r w:rsidRPr="00CF2419">
            <w:t>UK</w:t>
          </w:r>
        </w:smartTag>
      </w:smartTag>
      <w:r w:rsidRPr="00CF2419">
        <w:t xml:space="preserve">'s passion for </w:t>
      </w:r>
      <w:r w:rsidR="005E6F05">
        <w:t>s</w:t>
      </w:r>
      <w:r w:rsidRPr="00CF2419">
        <w:t>port</w:t>
      </w:r>
      <w:bookmarkEnd w:id="4"/>
      <w:r w:rsidRPr="00CF2419">
        <w:t xml:space="preserve"> </w:t>
      </w:r>
    </w:p>
    <w:p w14:paraId="26A0D885" w14:textId="77777777" w:rsidR="009D3EC2" w:rsidRPr="002670A4" w:rsidRDefault="00F64BA5" w:rsidP="009D3EC2">
      <w:pPr>
        <w:pBdr>
          <w:top w:val="single" w:sz="4" w:space="1" w:color="auto"/>
          <w:left w:val="single" w:sz="4" w:space="0" w:color="auto"/>
          <w:bottom w:val="single" w:sz="4" w:space="1" w:color="auto"/>
          <w:right w:val="single" w:sz="4" w:space="4" w:color="auto"/>
        </w:pBdr>
        <w:shd w:val="clear" w:color="auto" w:fill="CC99FF"/>
        <w:rPr>
          <w:i/>
        </w:rPr>
      </w:pPr>
      <w:r w:rsidRPr="00F64BA5">
        <w:rPr>
          <w:i/>
        </w:rPr>
        <w:t xml:space="preserve">Headline </w:t>
      </w:r>
      <w:r w:rsidR="009D3EC2">
        <w:rPr>
          <w:i/>
        </w:rPr>
        <w:t xml:space="preserve">research question: </w:t>
      </w:r>
      <w:r w:rsidR="004B074B" w:rsidRPr="004B074B">
        <w:rPr>
          <w:i/>
        </w:rPr>
        <w:t>What have been the impacts of the Game</w:t>
      </w:r>
      <w:r w:rsidR="004B074B">
        <w:rPr>
          <w:i/>
        </w:rPr>
        <w:t>s o</w:t>
      </w:r>
      <w:r w:rsidR="004B074B" w:rsidRPr="004B074B">
        <w:rPr>
          <w:i/>
        </w:rPr>
        <w:t xml:space="preserve">n sport and physical activity and in particular the development of mass participation, competitive school and elite sport? </w:t>
      </w:r>
    </w:p>
    <w:p w14:paraId="039F293B" w14:textId="77777777" w:rsidR="00E00600" w:rsidRDefault="009270CF" w:rsidP="00D7322D">
      <w:r w:rsidRPr="006C7824">
        <w:t xml:space="preserve">The legacy plans in the sport theme centre on harnessing the UK's passion for sport and encouraging physical activity. </w:t>
      </w:r>
      <w:r w:rsidRPr="009270CF">
        <w:t xml:space="preserve">The baseline </w:t>
      </w:r>
      <w:r w:rsidR="00E00600">
        <w:t xml:space="preserve">and counterfactual </w:t>
      </w:r>
      <w:r>
        <w:t xml:space="preserve">assessment </w:t>
      </w:r>
      <w:r w:rsidRPr="009270CF">
        <w:t xml:space="preserve">across the </w:t>
      </w:r>
      <w:r>
        <w:t xml:space="preserve">different </w:t>
      </w:r>
      <w:r w:rsidRPr="009270CF">
        <w:t>sub-themes of th</w:t>
      </w:r>
      <w:r>
        <w:t xml:space="preserve">e sports </w:t>
      </w:r>
      <w:r w:rsidRPr="009270CF">
        <w:t xml:space="preserve">legacy theme </w:t>
      </w:r>
      <w:r>
        <w:t xml:space="preserve">are </w:t>
      </w:r>
      <w:r w:rsidRPr="009270CF">
        <w:t>summarised below.</w:t>
      </w:r>
      <w:r w:rsidR="00E00600" w:rsidRPr="00E00600">
        <w:t xml:space="preserve"> </w:t>
      </w:r>
    </w:p>
    <w:p w14:paraId="0BFD77C8" w14:textId="77777777" w:rsidR="00E00600" w:rsidRDefault="00E00600" w:rsidP="00E00600">
      <w:pPr>
        <w:pStyle w:val="Heading2"/>
      </w:pPr>
      <w:r w:rsidRPr="00E00600">
        <w:t>Participation</w:t>
      </w:r>
    </w:p>
    <w:p w14:paraId="15E8E1BD" w14:textId="72C00256" w:rsidR="00DE7ED3" w:rsidRDefault="00E00600" w:rsidP="00DE7ED3">
      <w:r w:rsidRPr="00701958">
        <w:t>Sport and physical activity participation trends are fairly stable</w:t>
      </w:r>
      <w:r w:rsidR="0033682E">
        <w:t xml:space="preserve">. </w:t>
      </w:r>
      <w:r w:rsidRPr="00701958">
        <w:t>People taking part in sport</w:t>
      </w:r>
      <w:r w:rsidR="00EE5ED3">
        <w:rPr>
          <w:rStyle w:val="FootnoteReference"/>
        </w:rPr>
        <w:footnoteReference w:id="2"/>
      </w:r>
      <w:r w:rsidRPr="00701958">
        <w:t xml:space="preserve"> in the past four weeks in England averaged between 53.0% and 53.7% over the 2005/6 to 2010/11 period</w:t>
      </w:r>
      <w:r w:rsidR="0033682E">
        <w:t>.</w:t>
      </w:r>
      <w:r w:rsidR="00095D19">
        <w:t xml:space="preserve"> </w:t>
      </w:r>
      <w:r w:rsidR="00DE7ED3" w:rsidRPr="00821F33">
        <w:t xml:space="preserve">Participation levels </w:t>
      </w:r>
      <w:r w:rsidR="00DE7ED3">
        <w:t>in the UK are slightly higher than the European average</w:t>
      </w:r>
      <w:r w:rsidR="000512FD">
        <w:t>, with</w:t>
      </w:r>
      <w:r w:rsidR="00DE7ED3">
        <w:t xml:space="preserve"> around 40% of people in the European Union regularly participat</w:t>
      </w:r>
      <w:r w:rsidR="00D37A48">
        <w:t>ing</w:t>
      </w:r>
      <w:r w:rsidR="00DE7ED3">
        <w:t xml:space="preserve"> in Sport compared to 46% in the UK</w:t>
      </w:r>
      <w:r w:rsidR="000512FD">
        <w:t>.</w:t>
      </w:r>
      <w:r w:rsidR="000512FD">
        <w:rPr>
          <w:rStyle w:val="FootnoteReference"/>
        </w:rPr>
        <w:footnoteReference w:id="3"/>
      </w:r>
    </w:p>
    <w:p w14:paraId="2228DE56" w14:textId="3DA10C7B" w:rsidR="00B83DAB" w:rsidRDefault="00821F33" w:rsidP="00290583">
      <w:r>
        <w:t xml:space="preserve">One </w:t>
      </w:r>
      <w:r w:rsidR="00D37A48">
        <w:t>area</w:t>
      </w:r>
      <w:r>
        <w:t xml:space="preserve"> which has seen some growth is around </w:t>
      </w:r>
      <w:r w:rsidR="00652D5E">
        <w:t xml:space="preserve">those </w:t>
      </w:r>
      <w:r w:rsidR="0033682E">
        <w:t>p</w:t>
      </w:r>
      <w:r w:rsidR="00E00600" w:rsidRPr="00701958">
        <w:t>eople undertaking moderate intensity sport</w:t>
      </w:r>
      <w:r w:rsidR="00D37A48">
        <w:t>.</w:t>
      </w:r>
      <w:r w:rsidR="00652D5E">
        <w:t xml:space="preserve"> </w:t>
      </w:r>
      <w:r w:rsidR="00D37A48">
        <w:t>Those undertaking at least one session of 30 minutes of moderate intensity sport in the last week has increased from 41.2% in 2005/06 to 42.6% in 2010/11, while those undertaking 3x30 minute sessions in the last week has increased from 23.2% to 25.8% over the same period.</w:t>
      </w:r>
    </w:p>
    <w:p w14:paraId="14E65872" w14:textId="77777777" w:rsidR="00370D10" w:rsidRDefault="0033682E" w:rsidP="00290583">
      <w:r w:rsidRPr="0033682E">
        <w:t>Male participation in sport tends to be higher than female</w:t>
      </w:r>
      <w:r w:rsidR="001B3790">
        <w:t>,</w:t>
      </w:r>
      <w:r>
        <w:t xml:space="preserve"> and tends to decline with age. Participation rates for b</w:t>
      </w:r>
      <w:r w:rsidRPr="0033682E">
        <w:t xml:space="preserve">lack </w:t>
      </w:r>
      <w:r>
        <w:t xml:space="preserve">and other </w:t>
      </w:r>
      <w:r w:rsidRPr="0033682E">
        <w:t>ethnic minorit</w:t>
      </w:r>
      <w:r>
        <w:t xml:space="preserve">ies as a whole are similar to the overall average. </w:t>
      </w:r>
      <w:r w:rsidR="00370D10" w:rsidRPr="00701958">
        <w:t>The composition of sports participation among adults is changing, possibly reflecting a shift towards personal fitness activities and less organised sport</w:t>
      </w:r>
      <w:r w:rsidR="00370D10">
        <w:t>.</w:t>
      </w:r>
    </w:p>
    <w:p w14:paraId="63DBC0AA" w14:textId="77777777" w:rsidR="004F4A50" w:rsidRDefault="004F4A50" w:rsidP="004F4A50">
      <w:pPr>
        <w:pStyle w:val="Caption"/>
      </w:pPr>
      <w:r w:rsidRPr="00A0428F">
        <w:t xml:space="preserve">Figure </w:t>
      </w:r>
      <w:r w:rsidR="003F5FF9">
        <w:fldChar w:fldCharType="begin"/>
      </w:r>
      <w:r w:rsidR="003F5FF9">
        <w:instrText xml:space="preserve"> STYLEREF 1 \s </w:instrText>
      </w:r>
      <w:r w:rsidR="003F5FF9">
        <w:fldChar w:fldCharType="separate"/>
      </w:r>
      <w:r w:rsidR="00B617B0">
        <w:rPr>
          <w:noProof/>
        </w:rPr>
        <w:t>3</w:t>
      </w:r>
      <w:r w:rsidR="003F5FF9">
        <w:rPr>
          <w:noProof/>
        </w:rPr>
        <w:fldChar w:fldCharType="end"/>
      </w:r>
      <w:r w:rsidR="00766979">
        <w:noBreakHyphen/>
      </w:r>
      <w:r w:rsidR="003F5FF9">
        <w:fldChar w:fldCharType="begin"/>
      </w:r>
      <w:r w:rsidR="003F5FF9">
        <w:instrText xml:space="preserve"> SEQ Figure \* ARABIC \s 1 </w:instrText>
      </w:r>
      <w:r w:rsidR="003F5FF9">
        <w:fldChar w:fldCharType="separate"/>
      </w:r>
      <w:r w:rsidR="00B617B0">
        <w:rPr>
          <w:noProof/>
        </w:rPr>
        <w:t>1</w:t>
      </w:r>
      <w:r w:rsidR="003F5FF9">
        <w:rPr>
          <w:noProof/>
        </w:rPr>
        <w:fldChar w:fldCharType="end"/>
      </w:r>
      <w:r w:rsidRPr="00A0428F">
        <w:t xml:space="preserve">: </w:t>
      </w:r>
      <w:r w:rsidR="002A6A5B">
        <w:t>Participation in sport by adults, by different measures</w:t>
      </w:r>
    </w:p>
    <w:p w14:paraId="0E101639" w14:textId="6159F420" w:rsidR="00633597" w:rsidRPr="007A7F32" w:rsidRDefault="00991813" w:rsidP="00211063">
      <w:pPr>
        <w:keepNext/>
        <w:spacing w:before="0" w:after="0"/>
      </w:pPr>
      <w:r w:rsidRPr="00991813">
        <w:rPr>
          <w:noProof/>
          <w:lang w:eastAsia="en-GB"/>
        </w:rPr>
        <w:drawing>
          <wp:inline distT="0" distB="0" distL="0" distR="0" wp14:anchorId="6E5AF6CD" wp14:editId="6D26E0F3">
            <wp:extent cx="3960000" cy="2520000"/>
            <wp:effectExtent l="0" t="0" r="254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60000" cy="2520000"/>
                    </a:xfrm>
                    <a:prstGeom prst="rect">
                      <a:avLst/>
                    </a:prstGeom>
                    <a:noFill/>
                    <a:ln>
                      <a:noFill/>
                    </a:ln>
                  </pic:spPr>
                </pic:pic>
              </a:graphicData>
            </a:graphic>
          </wp:inline>
        </w:drawing>
      </w:r>
    </w:p>
    <w:p w14:paraId="1A312F73" w14:textId="77777777" w:rsidR="004F4A50" w:rsidRPr="002A6A5B" w:rsidRDefault="004F4A50" w:rsidP="00821F33">
      <w:pPr>
        <w:rPr>
          <w:i/>
          <w:sz w:val="18"/>
          <w:szCs w:val="18"/>
        </w:rPr>
      </w:pPr>
      <w:r w:rsidRPr="002A6A5B">
        <w:rPr>
          <w:i/>
          <w:sz w:val="18"/>
          <w:szCs w:val="18"/>
        </w:rPr>
        <w:t>Source: Taking Part</w:t>
      </w:r>
      <w:r w:rsidR="000A5952">
        <w:rPr>
          <w:i/>
          <w:sz w:val="18"/>
          <w:szCs w:val="18"/>
        </w:rPr>
        <w:t>.</w:t>
      </w:r>
      <w:r w:rsidR="000A5952">
        <w:rPr>
          <w:rStyle w:val="FootnoteReference"/>
          <w:i/>
          <w:sz w:val="18"/>
          <w:szCs w:val="18"/>
        </w:rPr>
        <w:footnoteReference w:id="4"/>
      </w:r>
      <w:r w:rsidR="000A5952">
        <w:rPr>
          <w:i/>
          <w:sz w:val="18"/>
          <w:szCs w:val="18"/>
        </w:rPr>
        <w:t xml:space="preserve"> </w:t>
      </w:r>
    </w:p>
    <w:p w14:paraId="6BF60A3B" w14:textId="77777777" w:rsidR="0033682E" w:rsidRDefault="009A69C7" w:rsidP="00290583">
      <w:r w:rsidRPr="009A69C7">
        <w:t>Sport England</w:t>
      </w:r>
      <w:r w:rsidR="007D1548">
        <w:t xml:space="preserve"> and other organisations have </w:t>
      </w:r>
      <w:r w:rsidRPr="009A69C7">
        <w:t xml:space="preserve">long-standing </w:t>
      </w:r>
      <w:r w:rsidR="00630752">
        <w:t>strateg</w:t>
      </w:r>
      <w:r w:rsidR="00652D5E">
        <w:t>ies</w:t>
      </w:r>
      <w:r w:rsidR="00630752">
        <w:t xml:space="preserve"> to </w:t>
      </w:r>
      <w:r w:rsidRPr="009A69C7">
        <w:t>maintain</w:t>
      </w:r>
      <w:r w:rsidR="00630752">
        <w:t xml:space="preserve"> </w:t>
      </w:r>
      <w:r w:rsidRPr="009A69C7">
        <w:t xml:space="preserve">and </w:t>
      </w:r>
      <w:r w:rsidR="00630752">
        <w:t xml:space="preserve">increase </w:t>
      </w:r>
      <w:r w:rsidRPr="009A69C7">
        <w:t xml:space="preserve">levels </w:t>
      </w:r>
      <w:r w:rsidR="007D1548">
        <w:t xml:space="preserve">of sport participation. Many of these strategies were in place before the </w:t>
      </w:r>
      <w:r w:rsidR="007D1548" w:rsidRPr="009A69C7">
        <w:t>2003</w:t>
      </w:r>
      <w:r w:rsidR="007D1548">
        <w:t xml:space="preserve"> </w:t>
      </w:r>
      <w:r w:rsidRPr="009A69C7">
        <w:t>bid.</w:t>
      </w:r>
      <w:r w:rsidR="001B3790">
        <w:t xml:space="preserve"> </w:t>
      </w:r>
      <w:r w:rsidR="00630752">
        <w:t>I</w:t>
      </w:r>
      <w:r w:rsidR="00630752" w:rsidRPr="0033682E">
        <w:t xml:space="preserve">n the absence of the </w:t>
      </w:r>
      <w:r w:rsidR="00630752">
        <w:t xml:space="preserve">2012 </w:t>
      </w:r>
      <w:r w:rsidR="00630752" w:rsidRPr="0033682E">
        <w:t>Games</w:t>
      </w:r>
      <w:r w:rsidR="00630752">
        <w:t xml:space="preserve">, such strategies and </w:t>
      </w:r>
      <w:r w:rsidR="0033682E" w:rsidRPr="0033682E">
        <w:t xml:space="preserve">programmes would </w:t>
      </w:r>
      <w:r w:rsidR="00630752">
        <w:t xml:space="preserve">still </w:t>
      </w:r>
      <w:r w:rsidR="0033682E" w:rsidRPr="0033682E">
        <w:t xml:space="preserve">have gone ahead, </w:t>
      </w:r>
      <w:r w:rsidR="00630752">
        <w:t xml:space="preserve">albeit </w:t>
      </w:r>
      <w:r w:rsidR="00711325">
        <w:t>on</w:t>
      </w:r>
      <w:r w:rsidR="00630752">
        <w:t xml:space="preserve"> a </w:t>
      </w:r>
      <w:r w:rsidR="0033682E" w:rsidRPr="0033682E">
        <w:t>smaller scale. However,</w:t>
      </w:r>
      <w:r w:rsidR="00630752">
        <w:t xml:space="preserve"> </w:t>
      </w:r>
      <w:r w:rsidR="0033682E" w:rsidRPr="0033682E">
        <w:t>specific Games-related programmes aimed at participation</w:t>
      </w:r>
      <w:r w:rsidR="00652D5E">
        <w:t>,</w:t>
      </w:r>
      <w:r w:rsidR="0033682E" w:rsidRPr="0033682E">
        <w:t xml:space="preserve"> such as </w:t>
      </w:r>
      <w:r w:rsidR="0033682E" w:rsidRPr="0033682E">
        <w:lastRenderedPageBreak/>
        <w:t xml:space="preserve">Places People Play and the School Games, would not have gone ahead or received funding without the Games. </w:t>
      </w:r>
    </w:p>
    <w:p w14:paraId="58F36B83" w14:textId="77777777" w:rsidR="00821F33" w:rsidRDefault="00821F33" w:rsidP="00290583">
      <w:r w:rsidRPr="00821F33">
        <w:t>Although the indicators on participation do show a high degree of stability, the limited number of annual observations makes it difficult to define a specific counterfactual with any degree of robustness</w:t>
      </w:r>
      <w:r>
        <w:t xml:space="preserve">. </w:t>
      </w:r>
      <w:r w:rsidR="00711325">
        <w:t>However, a</w:t>
      </w:r>
      <w:r>
        <w:t xml:space="preserve">s participation trends are fairly stable, </w:t>
      </w:r>
      <w:r w:rsidR="00711325">
        <w:t xml:space="preserve">we would expect these to continue in the absence of the Games with a participation rate in 2012/13 of between 21.9% and 24.9% in terms of the ‘3 times 30’ measure and between 53.1% and 53.9% in the terms of the participation in the past 4 weeks measure. </w:t>
      </w:r>
    </w:p>
    <w:p w14:paraId="0D705C3B" w14:textId="77777777" w:rsidR="00E00600" w:rsidRDefault="00E00600" w:rsidP="00E00600">
      <w:pPr>
        <w:pStyle w:val="Heading2"/>
      </w:pPr>
      <w:r w:rsidRPr="00E00600">
        <w:t>Infrastructure</w:t>
      </w:r>
      <w:r>
        <w:t xml:space="preserve"> </w:t>
      </w:r>
    </w:p>
    <w:p w14:paraId="2A8EFC88" w14:textId="1CB97045" w:rsidR="0076729F" w:rsidRDefault="006A1389" w:rsidP="00D7322D">
      <w:r w:rsidRPr="006A1389">
        <w:t xml:space="preserve">The 2012 Games will be hosted in a range of existing and new venues located both within and outside of London. </w:t>
      </w:r>
      <w:r>
        <w:t>A total of 3</w:t>
      </w:r>
      <w:r w:rsidR="00546611">
        <w:t>4</w:t>
      </w:r>
      <w:r>
        <w:t xml:space="preserve"> sporting venues will be used, with </w:t>
      </w:r>
      <w:r w:rsidR="00546611">
        <w:t>9</w:t>
      </w:r>
      <w:r>
        <w:t xml:space="preserve"> new</w:t>
      </w:r>
      <w:r w:rsidR="00652D5E">
        <w:t>/</w:t>
      </w:r>
      <w:r>
        <w:t>permanent venues, 8 new</w:t>
      </w:r>
      <w:r w:rsidR="0076729F">
        <w:t>/</w:t>
      </w:r>
      <w:r>
        <w:t>temporary venues, 15 existing</w:t>
      </w:r>
      <w:r w:rsidR="0076729F">
        <w:t>/</w:t>
      </w:r>
      <w:r w:rsidR="00546611">
        <w:t>permanent</w:t>
      </w:r>
      <w:r>
        <w:t xml:space="preserve"> venues and 2 enhanced</w:t>
      </w:r>
      <w:r w:rsidR="00652D5E">
        <w:t>/</w:t>
      </w:r>
      <w:r>
        <w:t xml:space="preserve">permanent venues. </w:t>
      </w:r>
    </w:p>
    <w:p w14:paraId="4A7AB09E" w14:textId="77777777" w:rsidR="002A6A5B" w:rsidRDefault="002A6A5B" w:rsidP="00D7322D">
      <w:r>
        <w:t xml:space="preserve">Other wider baseline indicators across the infrastructure sub-theme are as follows: </w:t>
      </w:r>
    </w:p>
    <w:p w14:paraId="5FD6749D" w14:textId="2ABED4A0" w:rsidR="002A6A5B" w:rsidRDefault="002A6A5B" w:rsidP="00D7322D">
      <w:pPr>
        <w:pStyle w:val="BulletOne"/>
      </w:pPr>
      <w:r>
        <w:t xml:space="preserve">Population within 20 minutes of </w:t>
      </w:r>
      <w:r w:rsidR="00546611">
        <w:t xml:space="preserve">any sporting </w:t>
      </w:r>
      <w:r>
        <w:t>facilit</w:t>
      </w:r>
      <w:r w:rsidR="00546611">
        <w:t>y</w:t>
      </w:r>
      <w:r>
        <w:t xml:space="preserve"> has </w:t>
      </w:r>
      <w:r w:rsidR="0069328F">
        <w:t>increased</w:t>
      </w:r>
      <w:r>
        <w:t xml:space="preserve"> from 88.5% in 2005/6 to 89.9% by 2007/8</w:t>
      </w:r>
      <w:r w:rsidR="001B3790">
        <w:t>;</w:t>
      </w:r>
      <w:r w:rsidR="00093920">
        <w:rPr>
          <w:rStyle w:val="FootnoteReference"/>
        </w:rPr>
        <w:footnoteReference w:id="5"/>
      </w:r>
      <w:r>
        <w:t xml:space="preserve"> </w:t>
      </w:r>
    </w:p>
    <w:p w14:paraId="4144955C" w14:textId="13FDD057" w:rsidR="002A6A5B" w:rsidRDefault="002A6A5B" w:rsidP="00D7322D">
      <w:pPr>
        <w:pStyle w:val="BulletOne"/>
      </w:pPr>
      <w:r>
        <w:t>Sports volunteering has remained static since 2005 ranging from 4.5% to 4.9% of the population</w:t>
      </w:r>
      <w:r w:rsidR="001B3790">
        <w:t>;</w:t>
      </w:r>
      <w:r w:rsidR="00093920">
        <w:rPr>
          <w:rStyle w:val="FootnoteReference"/>
        </w:rPr>
        <w:footnoteReference w:id="6"/>
      </w:r>
      <w:r>
        <w:t xml:space="preserve"> </w:t>
      </w:r>
    </w:p>
    <w:p w14:paraId="7F22BA97" w14:textId="5EC081A2" w:rsidR="002A6A5B" w:rsidRDefault="002A6A5B" w:rsidP="00D7322D">
      <w:pPr>
        <w:pStyle w:val="BulletOne"/>
      </w:pPr>
      <w:r>
        <w:t>Around 1.1 to 1.2 million people provide coaching in the UK.</w:t>
      </w:r>
      <w:r w:rsidR="00093920">
        <w:rPr>
          <w:rStyle w:val="FootnoteReference"/>
        </w:rPr>
        <w:footnoteReference w:id="7"/>
      </w:r>
    </w:p>
    <w:p w14:paraId="725D40B1" w14:textId="77777777" w:rsidR="002A6A5B" w:rsidRDefault="002A6A5B" w:rsidP="002A6A5B">
      <w:r>
        <w:t xml:space="preserve">Venues which are both new and permanent include the </w:t>
      </w:r>
      <w:r w:rsidRPr="0076729F">
        <w:t>Aquatics Centre</w:t>
      </w:r>
      <w:r>
        <w:t xml:space="preserve">, </w:t>
      </w:r>
      <w:r w:rsidRPr="0076729F">
        <w:t>BMX Track</w:t>
      </w:r>
      <w:r>
        <w:t>, Eton Manor, Handball Arena,</w:t>
      </w:r>
      <w:r w:rsidRPr="0076729F">
        <w:t xml:space="preserve"> </w:t>
      </w:r>
      <w:r>
        <w:t xml:space="preserve">Olympic Stadium, </w:t>
      </w:r>
      <w:proofErr w:type="spellStart"/>
      <w:r>
        <w:t>Velodrome</w:t>
      </w:r>
      <w:proofErr w:type="spellEnd"/>
      <w:r>
        <w:t xml:space="preserve"> and Water Polo Arena, all in the Olympic Park and </w:t>
      </w:r>
      <w:r w:rsidRPr="0076729F">
        <w:t>Lea Valley White Water Centre</w:t>
      </w:r>
      <w:r>
        <w:t xml:space="preserve"> outside London. Most of the Olympic </w:t>
      </w:r>
      <w:r w:rsidRPr="006A1389">
        <w:t xml:space="preserve">venues and facilities would </w:t>
      </w:r>
      <w:r>
        <w:t xml:space="preserve">therefore </w:t>
      </w:r>
      <w:r w:rsidRPr="006A1389">
        <w:t>not have been provided in the absence of the Games</w:t>
      </w:r>
      <w:r>
        <w:t xml:space="preserve">, although </w:t>
      </w:r>
      <w:r w:rsidRPr="006A1389">
        <w:t xml:space="preserve">investments made in Games facilities in East London may have displaced </w:t>
      </w:r>
      <w:r>
        <w:t xml:space="preserve">some </w:t>
      </w:r>
      <w:r w:rsidRPr="006A1389">
        <w:t>investment from other areas of London.</w:t>
      </w:r>
      <w:r>
        <w:t xml:space="preserve"> </w:t>
      </w:r>
    </w:p>
    <w:p w14:paraId="7E87C0A8" w14:textId="540E68DC" w:rsidR="002A6A5B" w:rsidRDefault="002A6A5B" w:rsidP="002A6A5B">
      <w:r>
        <w:t>T</w:t>
      </w:r>
      <w:r w:rsidRPr="006A1389">
        <w:t>hrough Places People Play</w:t>
      </w:r>
      <w:r>
        <w:t>,</w:t>
      </w:r>
      <w:r w:rsidRPr="006A1389">
        <w:t xml:space="preserve"> there are three programmes and almost £100</w:t>
      </w:r>
      <w:r w:rsidR="001323FD">
        <w:t xml:space="preserve"> million </w:t>
      </w:r>
      <w:r w:rsidRPr="006A1389">
        <w:t>of awards to facilities that a</w:t>
      </w:r>
      <w:r>
        <w:t>re directly linked to the Games which would have not happened</w:t>
      </w:r>
      <w:r w:rsidR="0046453F">
        <w:t xml:space="preserve"> otherwise</w:t>
      </w:r>
      <w:r>
        <w:t>.</w:t>
      </w:r>
    </w:p>
    <w:p w14:paraId="38F6DEB3" w14:textId="77777777" w:rsidR="00500ED5" w:rsidRDefault="00E00600" w:rsidP="00500ED5">
      <w:pPr>
        <w:pStyle w:val="Heading2"/>
      </w:pPr>
      <w:r>
        <w:t xml:space="preserve">Elite sport </w:t>
      </w:r>
    </w:p>
    <w:p w14:paraId="71CA41A1" w14:textId="77777777" w:rsidR="00500ED5" w:rsidRDefault="00CD09D6" w:rsidP="00CD09D6">
      <w:r>
        <w:t xml:space="preserve">Success has </w:t>
      </w:r>
      <w:r w:rsidR="009752F9">
        <w:t xml:space="preserve">already </w:t>
      </w:r>
      <w:r>
        <w:t>been achieved in the Games, with Great Britain and Northern Ireland ranked 4</w:t>
      </w:r>
      <w:r w:rsidR="009752F9" w:rsidRPr="009752F9">
        <w:rPr>
          <w:vertAlign w:val="superscript"/>
        </w:rPr>
        <w:t>th</w:t>
      </w:r>
      <w:r w:rsidR="009752F9">
        <w:t xml:space="preserve"> and 2</w:t>
      </w:r>
      <w:r w:rsidR="009752F9" w:rsidRPr="009752F9">
        <w:rPr>
          <w:vertAlign w:val="superscript"/>
        </w:rPr>
        <w:t>nd</w:t>
      </w:r>
      <w:r w:rsidR="009752F9">
        <w:t xml:space="preserve"> in </w:t>
      </w:r>
      <w:r>
        <w:t>2008</w:t>
      </w:r>
      <w:r w:rsidR="009752F9">
        <w:t xml:space="preserve"> in the Olympic and </w:t>
      </w:r>
      <w:r>
        <w:t xml:space="preserve">Paralympics </w:t>
      </w:r>
      <w:r w:rsidR="009752F9">
        <w:t>respectively</w:t>
      </w:r>
      <w:r>
        <w:t xml:space="preserve">. </w:t>
      </w:r>
      <w:r w:rsidR="00E00600">
        <w:t>From 19</w:t>
      </w:r>
      <w:r w:rsidR="00711325">
        <w:t>8</w:t>
      </w:r>
      <w:r w:rsidR="00E00600">
        <w:t xml:space="preserve">8 to 2004, medal performance at the Olympic Games has ranged from 10th to 13th (although </w:t>
      </w:r>
      <w:r w:rsidR="00711325">
        <w:t xml:space="preserve">it </w:t>
      </w:r>
      <w:r w:rsidR="00E00600">
        <w:t>dropped to 36th at the Atlanta Games)</w:t>
      </w:r>
      <w:r w:rsidR="009752F9">
        <w:t xml:space="preserve"> and from 2</w:t>
      </w:r>
      <w:r w:rsidR="009752F9" w:rsidRPr="009752F9">
        <w:rPr>
          <w:vertAlign w:val="superscript"/>
        </w:rPr>
        <w:t>nd</w:t>
      </w:r>
      <w:r w:rsidR="009752F9">
        <w:t xml:space="preserve"> to 4</w:t>
      </w:r>
      <w:r w:rsidR="009752F9" w:rsidRPr="009752F9">
        <w:rPr>
          <w:vertAlign w:val="superscript"/>
        </w:rPr>
        <w:t>th</w:t>
      </w:r>
      <w:r w:rsidR="009752F9">
        <w:t xml:space="preserve"> at the </w:t>
      </w:r>
      <w:r w:rsidR="00E00600">
        <w:t>Paralympic Games.</w:t>
      </w:r>
    </w:p>
    <w:p w14:paraId="7744BE10" w14:textId="77777777" w:rsidR="002B4A6D" w:rsidRPr="00A0428F" w:rsidRDefault="002B4A6D" w:rsidP="002B4A6D">
      <w:pPr>
        <w:keepNext/>
        <w:rPr>
          <w:b/>
          <w:szCs w:val="22"/>
        </w:rPr>
      </w:pPr>
      <w:r w:rsidRPr="002B4A6D">
        <w:rPr>
          <w:b/>
        </w:rPr>
        <w:t xml:space="preserve">Figure </w:t>
      </w:r>
      <w:r w:rsidRPr="002B4A6D">
        <w:rPr>
          <w:b/>
        </w:rPr>
        <w:fldChar w:fldCharType="begin"/>
      </w:r>
      <w:r w:rsidRPr="002B4A6D">
        <w:rPr>
          <w:b/>
        </w:rPr>
        <w:instrText xml:space="preserve"> STYLEREF 1 \s </w:instrText>
      </w:r>
      <w:r w:rsidRPr="002B4A6D">
        <w:rPr>
          <w:b/>
        </w:rPr>
        <w:fldChar w:fldCharType="separate"/>
      </w:r>
      <w:r w:rsidR="00B617B0">
        <w:rPr>
          <w:b/>
          <w:noProof/>
        </w:rPr>
        <w:t>3</w:t>
      </w:r>
      <w:r w:rsidRPr="002B4A6D">
        <w:rPr>
          <w:b/>
        </w:rPr>
        <w:fldChar w:fldCharType="end"/>
      </w:r>
      <w:r w:rsidRPr="002B4A6D">
        <w:rPr>
          <w:b/>
        </w:rPr>
        <w:noBreakHyphen/>
      </w:r>
      <w:r w:rsidRPr="002B4A6D">
        <w:rPr>
          <w:b/>
        </w:rPr>
        <w:fldChar w:fldCharType="begin"/>
      </w:r>
      <w:r w:rsidRPr="002B4A6D">
        <w:rPr>
          <w:b/>
        </w:rPr>
        <w:instrText xml:space="preserve"> SEQ Figure \* ARABIC \s 1 </w:instrText>
      </w:r>
      <w:r w:rsidRPr="002B4A6D">
        <w:rPr>
          <w:b/>
        </w:rPr>
        <w:fldChar w:fldCharType="separate"/>
      </w:r>
      <w:r w:rsidR="00B617B0">
        <w:rPr>
          <w:b/>
          <w:noProof/>
        </w:rPr>
        <w:t>2</w:t>
      </w:r>
      <w:r w:rsidRPr="002B4A6D">
        <w:rPr>
          <w:b/>
        </w:rPr>
        <w:fldChar w:fldCharType="end"/>
      </w:r>
      <w:r w:rsidRPr="002B4A6D">
        <w:rPr>
          <w:b/>
        </w:rPr>
        <w:t>:</w:t>
      </w:r>
      <w:r w:rsidRPr="00A0428F">
        <w:t xml:space="preserve"> </w:t>
      </w:r>
      <w:r w:rsidRPr="00A0428F">
        <w:rPr>
          <w:b/>
          <w:szCs w:val="22"/>
        </w:rPr>
        <w:t>Ranking and Medals Won (gold-silver-bronze)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044"/>
        <w:gridCol w:w="1134"/>
        <w:gridCol w:w="1110"/>
        <w:gridCol w:w="1158"/>
        <w:gridCol w:w="1134"/>
        <w:gridCol w:w="1134"/>
      </w:tblGrid>
      <w:tr w:rsidR="009D2A0B" w:rsidRPr="00A0428F" w14:paraId="3F7E3597" w14:textId="77777777" w:rsidTr="009D2A0B">
        <w:tc>
          <w:tcPr>
            <w:tcW w:w="1224" w:type="dxa"/>
            <w:shd w:val="clear" w:color="auto" w:fill="F2F2F2"/>
          </w:tcPr>
          <w:p w14:paraId="233C6054" w14:textId="77777777" w:rsidR="009D2A0B" w:rsidRPr="00A0428F" w:rsidRDefault="009D2A0B" w:rsidP="003258BF">
            <w:pPr>
              <w:keepNext/>
              <w:spacing w:before="0" w:after="0"/>
              <w:rPr>
                <w:b/>
                <w:sz w:val="20"/>
                <w:szCs w:val="20"/>
              </w:rPr>
            </w:pPr>
          </w:p>
        </w:tc>
        <w:tc>
          <w:tcPr>
            <w:tcW w:w="1044" w:type="dxa"/>
            <w:shd w:val="clear" w:color="auto" w:fill="F2F2F2"/>
          </w:tcPr>
          <w:p w14:paraId="5E483B60" w14:textId="77777777" w:rsidR="009D2A0B" w:rsidRDefault="009D2A0B" w:rsidP="003258BF">
            <w:pPr>
              <w:keepNext/>
              <w:spacing w:before="0" w:after="0"/>
              <w:rPr>
                <w:b/>
                <w:sz w:val="20"/>
                <w:szCs w:val="20"/>
              </w:rPr>
            </w:pPr>
            <w:r>
              <w:rPr>
                <w:b/>
                <w:sz w:val="20"/>
                <w:szCs w:val="20"/>
              </w:rPr>
              <w:t>Seoul</w:t>
            </w:r>
          </w:p>
          <w:p w14:paraId="141AA8F2" w14:textId="77777777" w:rsidR="009D2A0B" w:rsidRDefault="009D2A0B" w:rsidP="003258BF">
            <w:pPr>
              <w:keepNext/>
              <w:spacing w:before="0" w:after="0"/>
              <w:rPr>
                <w:b/>
                <w:sz w:val="20"/>
                <w:szCs w:val="20"/>
              </w:rPr>
            </w:pPr>
            <w:r w:rsidRPr="00A0428F">
              <w:rPr>
                <w:b/>
                <w:sz w:val="20"/>
                <w:szCs w:val="20"/>
              </w:rPr>
              <w:t>1988</w:t>
            </w:r>
          </w:p>
          <w:p w14:paraId="5DD001F0" w14:textId="77777777" w:rsidR="009D2A0B" w:rsidRPr="00A0428F" w:rsidRDefault="009D2A0B" w:rsidP="003258BF">
            <w:pPr>
              <w:keepNext/>
              <w:spacing w:before="0" w:after="0"/>
              <w:rPr>
                <w:b/>
                <w:sz w:val="20"/>
                <w:szCs w:val="20"/>
              </w:rPr>
            </w:pPr>
          </w:p>
        </w:tc>
        <w:tc>
          <w:tcPr>
            <w:tcW w:w="1134" w:type="dxa"/>
            <w:shd w:val="clear" w:color="auto" w:fill="F2F2F2"/>
          </w:tcPr>
          <w:p w14:paraId="0FE72C9B" w14:textId="77777777" w:rsidR="009D2A0B" w:rsidRDefault="009D2A0B" w:rsidP="003258BF">
            <w:pPr>
              <w:keepNext/>
              <w:spacing w:before="0" w:after="0"/>
              <w:rPr>
                <w:b/>
                <w:sz w:val="20"/>
                <w:szCs w:val="20"/>
              </w:rPr>
            </w:pPr>
            <w:r>
              <w:rPr>
                <w:b/>
                <w:sz w:val="20"/>
                <w:szCs w:val="20"/>
              </w:rPr>
              <w:t>Barcelona</w:t>
            </w:r>
          </w:p>
          <w:p w14:paraId="32A6F6AC" w14:textId="77777777" w:rsidR="009D2A0B" w:rsidRPr="00A0428F" w:rsidRDefault="009D2A0B" w:rsidP="003258BF">
            <w:pPr>
              <w:keepNext/>
              <w:spacing w:before="0" w:after="0"/>
              <w:rPr>
                <w:b/>
                <w:sz w:val="20"/>
                <w:szCs w:val="20"/>
              </w:rPr>
            </w:pPr>
            <w:r w:rsidRPr="00A0428F">
              <w:rPr>
                <w:b/>
                <w:sz w:val="20"/>
                <w:szCs w:val="20"/>
              </w:rPr>
              <w:t>1992</w:t>
            </w:r>
          </w:p>
        </w:tc>
        <w:tc>
          <w:tcPr>
            <w:tcW w:w="1110" w:type="dxa"/>
            <w:shd w:val="clear" w:color="auto" w:fill="F2F2F2"/>
          </w:tcPr>
          <w:p w14:paraId="4A51FF72" w14:textId="77777777" w:rsidR="009D2A0B" w:rsidRDefault="009D2A0B" w:rsidP="003258BF">
            <w:pPr>
              <w:keepNext/>
              <w:spacing w:before="0" w:after="0"/>
              <w:rPr>
                <w:b/>
                <w:sz w:val="20"/>
                <w:szCs w:val="20"/>
              </w:rPr>
            </w:pPr>
            <w:r>
              <w:rPr>
                <w:b/>
                <w:sz w:val="20"/>
                <w:szCs w:val="20"/>
              </w:rPr>
              <w:t>Atlanta</w:t>
            </w:r>
          </w:p>
          <w:p w14:paraId="46C1A5E2" w14:textId="77777777" w:rsidR="009D2A0B" w:rsidRPr="00A0428F" w:rsidRDefault="009D2A0B" w:rsidP="003258BF">
            <w:pPr>
              <w:keepNext/>
              <w:spacing w:before="0" w:after="0"/>
              <w:rPr>
                <w:b/>
                <w:sz w:val="20"/>
                <w:szCs w:val="20"/>
              </w:rPr>
            </w:pPr>
            <w:r w:rsidRPr="00A0428F">
              <w:rPr>
                <w:b/>
                <w:sz w:val="20"/>
                <w:szCs w:val="20"/>
              </w:rPr>
              <w:t>1996</w:t>
            </w:r>
          </w:p>
        </w:tc>
        <w:tc>
          <w:tcPr>
            <w:tcW w:w="1158" w:type="dxa"/>
            <w:shd w:val="clear" w:color="auto" w:fill="F2F2F2"/>
          </w:tcPr>
          <w:p w14:paraId="0E05B768" w14:textId="77777777" w:rsidR="009D2A0B" w:rsidRDefault="009D2A0B" w:rsidP="003258BF">
            <w:pPr>
              <w:keepNext/>
              <w:spacing w:before="0" w:after="0"/>
              <w:rPr>
                <w:b/>
                <w:sz w:val="20"/>
                <w:szCs w:val="20"/>
              </w:rPr>
            </w:pPr>
            <w:r>
              <w:rPr>
                <w:b/>
                <w:sz w:val="20"/>
                <w:szCs w:val="20"/>
              </w:rPr>
              <w:t>Sydney</w:t>
            </w:r>
          </w:p>
          <w:p w14:paraId="0C59BE44" w14:textId="77777777" w:rsidR="009D2A0B" w:rsidRPr="00A0428F" w:rsidRDefault="009D2A0B" w:rsidP="003258BF">
            <w:pPr>
              <w:keepNext/>
              <w:spacing w:before="0" w:after="0"/>
              <w:rPr>
                <w:b/>
                <w:sz w:val="20"/>
                <w:szCs w:val="20"/>
              </w:rPr>
            </w:pPr>
            <w:r w:rsidRPr="00A0428F">
              <w:rPr>
                <w:b/>
                <w:sz w:val="20"/>
                <w:szCs w:val="20"/>
              </w:rPr>
              <w:t>2000</w:t>
            </w:r>
          </w:p>
        </w:tc>
        <w:tc>
          <w:tcPr>
            <w:tcW w:w="1134" w:type="dxa"/>
            <w:shd w:val="clear" w:color="auto" w:fill="F2F2F2"/>
          </w:tcPr>
          <w:p w14:paraId="69E4F3FE" w14:textId="77777777" w:rsidR="009D2A0B" w:rsidRDefault="009D2A0B" w:rsidP="003258BF">
            <w:pPr>
              <w:keepNext/>
              <w:spacing w:before="0" w:after="0"/>
              <w:rPr>
                <w:b/>
                <w:sz w:val="20"/>
                <w:szCs w:val="20"/>
              </w:rPr>
            </w:pPr>
            <w:r>
              <w:rPr>
                <w:b/>
                <w:sz w:val="20"/>
                <w:szCs w:val="20"/>
              </w:rPr>
              <w:t>Athens</w:t>
            </w:r>
          </w:p>
          <w:p w14:paraId="0F714772" w14:textId="77777777" w:rsidR="009D2A0B" w:rsidRPr="00A0428F" w:rsidRDefault="009D2A0B" w:rsidP="003258BF">
            <w:pPr>
              <w:keepNext/>
              <w:spacing w:before="0" w:after="0"/>
              <w:rPr>
                <w:b/>
                <w:sz w:val="20"/>
                <w:szCs w:val="20"/>
              </w:rPr>
            </w:pPr>
            <w:r w:rsidRPr="00A0428F">
              <w:rPr>
                <w:b/>
                <w:sz w:val="20"/>
                <w:szCs w:val="20"/>
              </w:rPr>
              <w:t>2004</w:t>
            </w:r>
          </w:p>
        </w:tc>
        <w:tc>
          <w:tcPr>
            <w:tcW w:w="1134" w:type="dxa"/>
            <w:shd w:val="clear" w:color="auto" w:fill="F2F2F2"/>
          </w:tcPr>
          <w:p w14:paraId="07CE90AC" w14:textId="77777777" w:rsidR="009D2A0B" w:rsidRDefault="009D2A0B" w:rsidP="003258BF">
            <w:pPr>
              <w:keepNext/>
              <w:spacing w:before="0" w:after="0"/>
              <w:rPr>
                <w:b/>
                <w:sz w:val="20"/>
                <w:szCs w:val="20"/>
              </w:rPr>
            </w:pPr>
            <w:r>
              <w:rPr>
                <w:b/>
                <w:sz w:val="20"/>
                <w:szCs w:val="20"/>
              </w:rPr>
              <w:t>Beijing</w:t>
            </w:r>
          </w:p>
          <w:p w14:paraId="1A90C910" w14:textId="77777777" w:rsidR="009D2A0B" w:rsidRDefault="009D2A0B" w:rsidP="003258BF">
            <w:pPr>
              <w:keepNext/>
              <w:spacing w:before="0" w:after="0"/>
              <w:rPr>
                <w:b/>
                <w:sz w:val="20"/>
                <w:szCs w:val="20"/>
              </w:rPr>
            </w:pPr>
            <w:r>
              <w:rPr>
                <w:b/>
                <w:sz w:val="20"/>
                <w:szCs w:val="20"/>
              </w:rPr>
              <w:t>2008</w:t>
            </w:r>
          </w:p>
        </w:tc>
      </w:tr>
      <w:tr w:rsidR="009D2A0B" w:rsidRPr="00A0428F" w14:paraId="5E1B9B30" w14:textId="77777777" w:rsidTr="009D2A0B">
        <w:tc>
          <w:tcPr>
            <w:tcW w:w="1224" w:type="dxa"/>
          </w:tcPr>
          <w:p w14:paraId="67DAC655" w14:textId="77777777" w:rsidR="009D2A0B" w:rsidRPr="00A0428F" w:rsidRDefault="009D2A0B" w:rsidP="003258BF">
            <w:pPr>
              <w:keepNext/>
              <w:spacing w:before="0" w:after="0"/>
              <w:rPr>
                <w:b/>
                <w:sz w:val="20"/>
                <w:szCs w:val="20"/>
              </w:rPr>
            </w:pPr>
            <w:r w:rsidRPr="00A0428F">
              <w:rPr>
                <w:b/>
                <w:sz w:val="20"/>
                <w:szCs w:val="20"/>
              </w:rPr>
              <w:t>Olympic Games</w:t>
            </w:r>
          </w:p>
        </w:tc>
        <w:tc>
          <w:tcPr>
            <w:tcW w:w="1044" w:type="dxa"/>
          </w:tcPr>
          <w:p w14:paraId="4EF79AF9" w14:textId="77777777" w:rsidR="009D2A0B" w:rsidRPr="00A0428F" w:rsidRDefault="009D2A0B" w:rsidP="003258BF">
            <w:pPr>
              <w:keepNext/>
              <w:spacing w:before="0" w:after="0"/>
              <w:rPr>
                <w:sz w:val="20"/>
                <w:szCs w:val="20"/>
              </w:rPr>
            </w:pPr>
            <w:r w:rsidRPr="00A0428F">
              <w:rPr>
                <w:sz w:val="20"/>
                <w:szCs w:val="20"/>
              </w:rPr>
              <w:t>12</w:t>
            </w:r>
            <w:r w:rsidRPr="00A0428F">
              <w:rPr>
                <w:sz w:val="20"/>
                <w:szCs w:val="20"/>
                <w:vertAlign w:val="superscript"/>
              </w:rPr>
              <w:t>th</w:t>
            </w:r>
          </w:p>
          <w:p w14:paraId="0C01121C" w14:textId="77777777" w:rsidR="009D2A0B" w:rsidRPr="00A0428F" w:rsidRDefault="009D2A0B" w:rsidP="003258BF">
            <w:pPr>
              <w:keepNext/>
              <w:spacing w:before="0" w:after="0"/>
              <w:rPr>
                <w:sz w:val="20"/>
                <w:szCs w:val="20"/>
              </w:rPr>
            </w:pPr>
            <w:r w:rsidRPr="00A0428F">
              <w:rPr>
                <w:sz w:val="20"/>
                <w:szCs w:val="20"/>
              </w:rPr>
              <w:t>(5-10-9)</w:t>
            </w:r>
          </w:p>
        </w:tc>
        <w:tc>
          <w:tcPr>
            <w:tcW w:w="1134" w:type="dxa"/>
          </w:tcPr>
          <w:p w14:paraId="202072DF" w14:textId="77777777" w:rsidR="009D2A0B" w:rsidRPr="00A0428F" w:rsidRDefault="009D2A0B" w:rsidP="003258BF">
            <w:pPr>
              <w:keepNext/>
              <w:spacing w:before="0" w:after="0"/>
              <w:rPr>
                <w:sz w:val="20"/>
                <w:szCs w:val="20"/>
              </w:rPr>
            </w:pPr>
            <w:r w:rsidRPr="00A0428F">
              <w:rPr>
                <w:sz w:val="20"/>
                <w:szCs w:val="20"/>
              </w:rPr>
              <w:t>13</w:t>
            </w:r>
            <w:r w:rsidRPr="00A0428F">
              <w:rPr>
                <w:sz w:val="20"/>
                <w:szCs w:val="20"/>
                <w:vertAlign w:val="superscript"/>
              </w:rPr>
              <w:t>th</w:t>
            </w:r>
          </w:p>
          <w:p w14:paraId="17E39F6B" w14:textId="77777777" w:rsidR="009D2A0B" w:rsidRPr="00A0428F" w:rsidRDefault="009D2A0B" w:rsidP="003258BF">
            <w:pPr>
              <w:keepNext/>
              <w:spacing w:before="0" w:after="0"/>
              <w:rPr>
                <w:sz w:val="20"/>
                <w:szCs w:val="20"/>
              </w:rPr>
            </w:pPr>
            <w:r w:rsidRPr="00A0428F">
              <w:rPr>
                <w:sz w:val="20"/>
                <w:szCs w:val="20"/>
              </w:rPr>
              <w:t>(5-3-12)</w:t>
            </w:r>
          </w:p>
        </w:tc>
        <w:tc>
          <w:tcPr>
            <w:tcW w:w="1110" w:type="dxa"/>
          </w:tcPr>
          <w:p w14:paraId="12678D83" w14:textId="77777777" w:rsidR="009D2A0B" w:rsidRPr="00A0428F" w:rsidRDefault="009D2A0B" w:rsidP="003258BF">
            <w:pPr>
              <w:keepNext/>
              <w:spacing w:before="0" w:after="0"/>
              <w:rPr>
                <w:sz w:val="20"/>
                <w:szCs w:val="20"/>
              </w:rPr>
            </w:pPr>
            <w:r w:rsidRPr="00A0428F">
              <w:rPr>
                <w:sz w:val="20"/>
                <w:szCs w:val="20"/>
              </w:rPr>
              <w:t>36</w:t>
            </w:r>
            <w:r w:rsidRPr="00A0428F">
              <w:rPr>
                <w:sz w:val="20"/>
                <w:szCs w:val="20"/>
                <w:vertAlign w:val="superscript"/>
              </w:rPr>
              <w:t>th</w:t>
            </w:r>
          </w:p>
          <w:p w14:paraId="29AC9290" w14:textId="77777777" w:rsidR="009D2A0B" w:rsidRPr="00A0428F" w:rsidRDefault="009D2A0B" w:rsidP="003258BF">
            <w:pPr>
              <w:keepNext/>
              <w:spacing w:before="0" w:after="0"/>
              <w:rPr>
                <w:sz w:val="20"/>
                <w:szCs w:val="20"/>
              </w:rPr>
            </w:pPr>
            <w:r w:rsidRPr="00A0428F">
              <w:rPr>
                <w:sz w:val="20"/>
                <w:szCs w:val="20"/>
              </w:rPr>
              <w:t>(1-8-6)</w:t>
            </w:r>
          </w:p>
        </w:tc>
        <w:tc>
          <w:tcPr>
            <w:tcW w:w="1158" w:type="dxa"/>
          </w:tcPr>
          <w:p w14:paraId="5C7F6C16" w14:textId="77777777" w:rsidR="009D2A0B" w:rsidRPr="00A0428F" w:rsidRDefault="009D2A0B" w:rsidP="003258BF">
            <w:pPr>
              <w:keepNext/>
              <w:spacing w:before="0" w:after="0"/>
              <w:rPr>
                <w:sz w:val="20"/>
                <w:szCs w:val="20"/>
              </w:rPr>
            </w:pPr>
            <w:r w:rsidRPr="00A0428F">
              <w:rPr>
                <w:sz w:val="20"/>
                <w:szCs w:val="20"/>
              </w:rPr>
              <w:t>10</w:t>
            </w:r>
            <w:r w:rsidRPr="00A0428F">
              <w:rPr>
                <w:sz w:val="20"/>
                <w:szCs w:val="20"/>
                <w:vertAlign w:val="superscript"/>
              </w:rPr>
              <w:t>th</w:t>
            </w:r>
          </w:p>
          <w:p w14:paraId="1F6276AA" w14:textId="77777777" w:rsidR="009D2A0B" w:rsidRPr="00A0428F" w:rsidRDefault="009D2A0B" w:rsidP="003258BF">
            <w:pPr>
              <w:keepNext/>
              <w:spacing w:before="0" w:after="0"/>
              <w:rPr>
                <w:sz w:val="20"/>
                <w:szCs w:val="20"/>
              </w:rPr>
            </w:pPr>
            <w:r w:rsidRPr="00A0428F">
              <w:rPr>
                <w:sz w:val="20"/>
                <w:szCs w:val="20"/>
              </w:rPr>
              <w:t>(11-10-7)</w:t>
            </w:r>
          </w:p>
        </w:tc>
        <w:tc>
          <w:tcPr>
            <w:tcW w:w="1134" w:type="dxa"/>
          </w:tcPr>
          <w:p w14:paraId="1F6F161A" w14:textId="77777777" w:rsidR="009D2A0B" w:rsidRPr="00A0428F" w:rsidRDefault="009D2A0B" w:rsidP="003258BF">
            <w:pPr>
              <w:keepNext/>
              <w:spacing w:before="0" w:after="0"/>
              <w:rPr>
                <w:sz w:val="20"/>
                <w:szCs w:val="20"/>
              </w:rPr>
            </w:pPr>
            <w:r w:rsidRPr="00A0428F">
              <w:rPr>
                <w:sz w:val="20"/>
                <w:szCs w:val="20"/>
              </w:rPr>
              <w:t>10</w:t>
            </w:r>
            <w:r w:rsidRPr="00A0428F">
              <w:rPr>
                <w:sz w:val="20"/>
                <w:szCs w:val="20"/>
                <w:vertAlign w:val="superscript"/>
              </w:rPr>
              <w:t>th</w:t>
            </w:r>
          </w:p>
          <w:p w14:paraId="03AF9BB8" w14:textId="77777777" w:rsidR="009D2A0B" w:rsidRPr="00A0428F" w:rsidRDefault="009D2A0B" w:rsidP="003258BF">
            <w:pPr>
              <w:keepNext/>
              <w:spacing w:before="0" w:after="0"/>
              <w:rPr>
                <w:sz w:val="20"/>
                <w:szCs w:val="20"/>
              </w:rPr>
            </w:pPr>
            <w:r w:rsidRPr="00A0428F">
              <w:rPr>
                <w:sz w:val="20"/>
                <w:szCs w:val="20"/>
              </w:rPr>
              <w:t>(9-9-12)</w:t>
            </w:r>
          </w:p>
        </w:tc>
        <w:tc>
          <w:tcPr>
            <w:tcW w:w="1134" w:type="dxa"/>
          </w:tcPr>
          <w:p w14:paraId="02F5A522" w14:textId="77777777" w:rsidR="009D2A0B" w:rsidRDefault="009D2A0B" w:rsidP="003258BF">
            <w:pPr>
              <w:keepNext/>
              <w:spacing w:before="0" w:after="0"/>
              <w:rPr>
                <w:sz w:val="20"/>
                <w:szCs w:val="20"/>
              </w:rPr>
            </w:pPr>
            <w:r>
              <w:rPr>
                <w:sz w:val="20"/>
                <w:szCs w:val="20"/>
              </w:rPr>
              <w:t>4</w:t>
            </w:r>
            <w:r w:rsidRPr="00D66EA4">
              <w:rPr>
                <w:sz w:val="20"/>
                <w:szCs w:val="20"/>
                <w:vertAlign w:val="superscript"/>
              </w:rPr>
              <w:t>th</w:t>
            </w:r>
            <w:r>
              <w:rPr>
                <w:sz w:val="20"/>
                <w:szCs w:val="20"/>
              </w:rPr>
              <w:t xml:space="preserve"> </w:t>
            </w:r>
          </w:p>
          <w:p w14:paraId="24CCC12D" w14:textId="77777777" w:rsidR="009D2A0B" w:rsidRPr="00A0428F" w:rsidRDefault="009D2A0B" w:rsidP="003258BF">
            <w:pPr>
              <w:keepNext/>
              <w:spacing w:before="0" w:after="0"/>
              <w:rPr>
                <w:sz w:val="20"/>
                <w:szCs w:val="20"/>
              </w:rPr>
            </w:pPr>
            <w:r>
              <w:rPr>
                <w:sz w:val="20"/>
                <w:szCs w:val="20"/>
              </w:rPr>
              <w:t>(19-13-15)</w:t>
            </w:r>
          </w:p>
        </w:tc>
      </w:tr>
      <w:tr w:rsidR="009D2A0B" w:rsidRPr="00A0428F" w14:paraId="751DA103" w14:textId="77777777" w:rsidTr="009D2A0B">
        <w:tc>
          <w:tcPr>
            <w:tcW w:w="1224" w:type="dxa"/>
          </w:tcPr>
          <w:p w14:paraId="641D67FD" w14:textId="77777777" w:rsidR="009D2A0B" w:rsidRPr="00A0428F" w:rsidRDefault="009D2A0B" w:rsidP="003258BF">
            <w:pPr>
              <w:keepNext/>
              <w:spacing w:before="0" w:after="0"/>
              <w:rPr>
                <w:b/>
                <w:sz w:val="20"/>
                <w:szCs w:val="20"/>
              </w:rPr>
            </w:pPr>
            <w:r w:rsidRPr="00A0428F">
              <w:rPr>
                <w:b/>
                <w:sz w:val="20"/>
                <w:szCs w:val="20"/>
              </w:rPr>
              <w:t>Paralympic Games</w:t>
            </w:r>
          </w:p>
        </w:tc>
        <w:tc>
          <w:tcPr>
            <w:tcW w:w="1044" w:type="dxa"/>
          </w:tcPr>
          <w:p w14:paraId="572B2FCC" w14:textId="77777777" w:rsidR="009D2A0B" w:rsidRPr="00A0428F" w:rsidRDefault="009D2A0B" w:rsidP="003258BF">
            <w:pPr>
              <w:keepNext/>
              <w:spacing w:before="0" w:after="0"/>
              <w:rPr>
                <w:sz w:val="20"/>
                <w:szCs w:val="20"/>
              </w:rPr>
            </w:pPr>
            <w:r w:rsidRPr="00A0428F">
              <w:rPr>
                <w:sz w:val="20"/>
                <w:szCs w:val="20"/>
              </w:rPr>
              <w:t>3</w:t>
            </w:r>
            <w:r w:rsidRPr="00A0428F">
              <w:rPr>
                <w:sz w:val="20"/>
                <w:szCs w:val="20"/>
                <w:vertAlign w:val="superscript"/>
              </w:rPr>
              <w:t>rd</w:t>
            </w:r>
          </w:p>
          <w:p w14:paraId="2ED58B9D" w14:textId="77777777" w:rsidR="009D2A0B" w:rsidRPr="00A0428F" w:rsidRDefault="009D2A0B" w:rsidP="003258BF">
            <w:pPr>
              <w:keepNext/>
              <w:spacing w:before="0" w:after="0"/>
              <w:rPr>
                <w:sz w:val="20"/>
                <w:szCs w:val="20"/>
              </w:rPr>
            </w:pPr>
            <w:r w:rsidRPr="00A0428F">
              <w:rPr>
                <w:sz w:val="20"/>
                <w:szCs w:val="20"/>
              </w:rPr>
              <w:t>(64-66-63)</w:t>
            </w:r>
          </w:p>
        </w:tc>
        <w:tc>
          <w:tcPr>
            <w:tcW w:w="1134" w:type="dxa"/>
          </w:tcPr>
          <w:p w14:paraId="5159CC18" w14:textId="77777777" w:rsidR="009D2A0B" w:rsidRPr="00A0428F" w:rsidRDefault="009D2A0B" w:rsidP="003258BF">
            <w:pPr>
              <w:keepNext/>
              <w:spacing w:before="0" w:after="0"/>
              <w:rPr>
                <w:sz w:val="20"/>
                <w:szCs w:val="20"/>
              </w:rPr>
            </w:pPr>
            <w:r w:rsidRPr="00A0428F">
              <w:rPr>
                <w:sz w:val="20"/>
                <w:szCs w:val="20"/>
              </w:rPr>
              <w:t>3</w:t>
            </w:r>
            <w:r w:rsidRPr="00A0428F">
              <w:rPr>
                <w:sz w:val="20"/>
                <w:szCs w:val="20"/>
                <w:vertAlign w:val="superscript"/>
              </w:rPr>
              <w:t>rd</w:t>
            </w:r>
          </w:p>
          <w:p w14:paraId="7CF7882F" w14:textId="77777777" w:rsidR="009D2A0B" w:rsidRPr="00A0428F" w:rsidRDefault="009D2A0B" w:rsidP="003258BF">
            <w:pPr>
              <w:keepNext/>
              <w:spacing w:before="0" w:after="0"/>
              <w:rPr>
                <w:sz w:val="20"/>
                <w:szCs w:val="20"/>
              </w:rPr>
            </w:pPr>
            <w:r w:rsidRPr="00A0428F">
              <w:rPr>
                <w:sz w:val="20"/>
                <w:szCs w:val="20"/>
              </w:rPr>
              <w:t>(40-47-41)</w:t>
            </w:r>
          </w:p>
        </w:tc>
        <w:tc>
          <w:tcPr>
            <w:tcW w:w="1110" w:type="dxa"/>
          </w:tcPr>
          <w:p w14:paraId="3F30809D" w14:textId="77777777" w:rsidR="009D2A0B" w:rsidRPr="00A0428F" w:rsidRDefault="009D2A0B" w:rsidP="003258BF">
            <w:pPr>
              <w:keepNext/>
              <w:spacing w:before="0" w:after="0"/>
              <w:rPr>
                <w:sz w:val="20"/>
                <w:szCs w:val="20"/>
              </w:rPr>
            </w:pPr>
            <w:r w:rsidRPr="00A0428F">
              <w:rPr>
                <w:sz w:val="20"/>
                <w:szCs w:val="20"/>
              </w:rPr>
              <w:t>4</w:t>
            </w:r>
            <w:r w:rsidRPr="00A0428F">
              <w:rPr>
                <w:sz w:val="20"/>
                <w:szCs w:val="20"/>
                <w:vertAlign w:val="superscript"/>
              </w:rPr>
              <w:t>th</w:t>
            </w:r>
          </w:p>
          <w:p w14:paraId="42C2E585" w14:textId="77777777" w:rsidR="009D2A0B" w:rsidRPr="00A0428F" w:rsidRDefault="009D2A0B" w:rsidP="003258BF">
            <w:pPr>
              <w:keepNext/>
              <w:spacing w:before="0" w:after="0"/>
              <w:rPr>
                <w:sz w:val="20"/>
                <w:szCs w:val="20"/>
              </w:rPr>
            </w:pPr>
            <w:r w:rsidRPr="00A0428F">
              <w:rPr>
                <w:sz w:val="20"/>
                <w:szCs w:val="20"/>
              </w:rPr>
              <w:t>(39-42-41)</w:t>
            </w:r>
          </w:p>
        </w:tc>
        <w:tc>
          <w:tcPr>
            <w:tcW w:w="1158" w:type="dxa"/>
          </w:tcPr>
          <w:p w14:paraId="49EBFB07" w14:textId="77777777" w:rsidR="009D2A0B" w:rsidRPr="00A0428F" w:rsidRDefault="009D2A0B" w:rsidP="003258BF">
            <w:pPr>
              <w:keepNext/>
              <w:spacing w:before="0" w:after="0"/>
              <w:rPr>
                <w:sz w:val="20"/>
                <w:szCs w:val="20"/>
              </w:rPr>
            </w:pPr>
            <w:r w:rsidRPr="00A0428F">
              <w:rPr>
                <w:sz w:val="20"/>
                <w:szCs w:val="20"/>
              </w:rPr>
              <w:t>2</w:t>
            </w:r>
            <w:r w:rsidRPr="00A0428F">
              <w:rPr>
                <w:sz w:val="20"/>
                <w:szCs w:val="20"/>
                <w:vertAlign w:val="superscript"/>
              </w:rPr>
              <w:t>nd</w:t>
            </w:r>
          </w:p>
          <w:p w14:paraId="7D0A21F7" w14:textId="77777777" w:rsidR="009D2A0B" w:rsidRPr="00A0428F" w:rsidRDefault="009D2A0B" w:rsidP="003258BF">
            <w:pPr>
              <w:keepNext/>
              <w:spacing w:before="0" w:after="0"/>
              <w:rPr>
                <w:sz w:val="20"/>
                <w:szCs w:val="20"/>
              </w:rPr>
            </w:pPr>
            <w:r w:rsidRPr="00A0428F">
              <w:rPr>
                <w:sz w:val="20"/>
                <w:szCs w:val="20"/>
              </w:rPr>
              <w:t>(41-43-47)</w:t>
            </w:r>
          </w:p>
        </w:tc>
        <w:tc>
          <w:tcPr>
            <w:tcW w:w="1134" w:type="dxa"/>
          </w:tcPr>
          <w:p w14:paraId="08C60C8D" w14:textId="77777777" w:rsidR="009D2A0B" w:rsidRPr="00A0428F" w:rsidRDefault="009D2A0B" w:rsidP="003258BF">
            <w:pPr>
              <w:keepNext/>
              <w:spacing w:before="0" w:after="0"/>
              <w:rPr>
                <w:sz w:val="20"/>
                <w:szCs w:val="20"/>
              </w:rPr>
            </w:pPr>
            <w:r w:rsidRPr="00A0428F">
              <w:rPr>
                <w:sz w:val="20"/>
                <w:szCs w:val="20"/>
              </w:rPr>
              <w:t>2</w:t>
            </w:r>
            <w:r w:rsidRPr="00A0428F">
              <w:rPr>
                <w:sz w:val="20"/>
                <w:szCs w:val="20"/>
                <w:vertAlign w:val="superscript"/>
              </w:rPr>
              <w:t>nd</w:t>
            </w:r>
          </w:p>
          <w:p w14:paraId="30DC2E74" w14:textId="77777777" w:rsidR="009D2A0B" w:rsidRPr="00A0428F" w:rsidRDefault="009D2A0B" w:rsidP="003258BF">
            <w:pPr>
              <w:keepNext/>
              <w:spacing w:before="0" w:after="0"/>
              <w:rPr>
                <w:sz w:val="20"/>
                <w:szCs w:val="20"/>
              </w:rPr>
            </w:pPr>
            <w:r w:rsidRPr="00A0428F">
              <w:rPr>
                <w:sz w:val="20"/>
                <w:szCs w:val="20"/>
              </w:rPr>
              <w:t>(35-30-29)</w:t>
            </w:r>
          </w:p>
        </w:tc>
        <w:tc>
          <w:tcPr>
            <w:tcW w:w="1134" w:type="dxa"/>
          </w:tcPr>
          <w:p w14:paraId="09EED895" w14:textId="77777777" w:rsidR="009D2A0B" w:rsidRDefault="009D2A0B" w:rsidP="003258BF">
            <w:pPr>
              <w:keepNext/>
              <w:spacing w:before="0" w:after="0"/>
              <w:rPr>
                <w:sz w:val="20"/>
                <w:szCs w:val="20"/>
              </w:rPr>
            </w:pPr>
            <w:r>
              <w:rPr>
                <w:sz w:val="20"/>
                <w:szCs w:val="20"/>
              </w:rPr>
              <w:t>2</w:t>
            </w:r>
            <w:r w:rsidRPr="00D66EA4">
              <w:rPr>
                <w:sz w:val="20"/>
                <w:szCs w:val="20"/>
                <w:vertAlign w:val="superscript"/>
              </w:rPr>
              <w:t>nd</w:t>
            </w:r>
            <w:r>
              <w:rPr>
                <w:sz w:val="20"/>
                <w:szCs w:val="20"/>
              </w:rPr>
              <w:t xml:space="preserve"> </w:t>
            </w:r>
          </w:p>
          <w:p w14:paraId="2AF787B3" w14:textId="77777777" w:rsidR="009D2A0B" w:rsidRPr="00A0428F" w:rsidRDefault="009D2A0B" w:rsidP="003258BF">
            <w:pPr>
              <w:keepNext/>
              <w:spacing w:before="0" w:after="0"/>
              <w:rPr>
                <w:sz w:val="20"/>
                <w:szCs w:val="20"/>
              </w:rPr>
            </w:pPr>
            <w:r>
              <w:rPr>
                <w:sz w:val="20"/>
                <w:szCs w:val="20"/>
              </w:rPr>
              <w:t>(42-29-31)</w:t>
            </w:r>
          </w:p>
        </w:tc>
      </w:tr>
    </w:tbl>
    <w:p w14:paraId="0CB6D8C5" w14:textId="77777777" w:rsidR="002B4A6D" w:rsidRPr="00A0428F" w:rsidRDefault="002B4A6D" w:rsidP="002B4A6D">
      <w:pPr>
        <w:spacing w:before="0"/>
        <w:rPr>
          <w:i/>
          <w:sz w:val="18"/>
          <w:szCs w:val="18"/>
        </w:rPr>
      </w:pPr>
      <w:r w:rsidRPr="00A0428F">
        <w:rPr>
          <w:i/>
          <w:sz w:val="18"/>
          <w:szCs w:val="18"/>
        </w:rPr>
        <w:t>Source: UK Sport</w:t>
      </w:r>
    </w:p>
    <w:p w14:paraId="5DA6A79A" w14:textId="77777777" w:rsidR="00CD09D6" w:rsidRDefault="00FE427C" w:rsidP="00CD09D6">
      <w:r>
        <w:t>In terms of the</w:t>
      </w:r>
      <w:r w:rsidR="00CD09D6">
        <w:t xml:space="preserve"> policy counterfactual for elite sport performance</w:t>
      </w:r>
      <w:r>
        <w:t xml:space="preserve">, </w:t>
      </w:r>
      <w:r w:rsidR="00CD09D6">
        <w:t xml:space="preserve">the </w:t>
      </w:r>
      <w:r w:rsidR="00652D5E">
        <w:t>e</w:t>
      </w:r>
      <w:r w:rsidR="00CD09D6">
        <w:t xml:space="preserve">lite sport policy framework was set in 1997, with the establishment of the World Class Performance Programme (WCPP) following poor performance in Atlanta in 1996. </w:t>
      </w:r>
      <w:r w:rsidR="00C2131D">
        <w:t>A</w:t>
      </w:r>
      <w:r w:rsidR="00137DEE">
        <w:t xml:space="preserve">ctivity around elite sport </w:t>
      </w:r>
      <w:r w:rsidR="00C2131D">
        <w:t xml:space="preserve">developed momentum </w:t>
      </w:r>
      <w:r w:rsidR="00137DEE">
        <w:t xml:space="preserve">through the establishment </w:t>
      </w:r>
      <w:r w:rsidR="00C2131D">
        <w:t xml:space="preserve">of </w:t>
      </w:r>
      <w:r w:rsidR="00CD09D6">
        <w:t xml:space="preserve">a variety of 2012-specific programmes </w:t>
      </w:r>
      <w:r w:rsidR="00CD09D6">
        <w:lastRenderedPageBreak/>
        <w:t>targeted at athletes, coaches and future leaders and the consolidation of responsibility for the WCPP</w:t>
      </w:r>
      <w:r w:rsidR="00C2131D">
        <w:t xml:space="preserve">, </w:t>
      </w:r>
      <w:r w:rsidR="00CD09D6">
        <w:t xml:space="preserve">the English Institute of Sport and </w:t>
      </w:r>
      <w:r w:rsidR="009D2A0B">
        <w:t xml:space="preserve">the </w:t>
      </w:r>
      <w:r w:rsidR="009E6C24" w:rsidRPr="009E6C24">
        <w:t xml:space="preserve">Talented Athletes Scholarship Scheme </w:t>
      </w:r>
      <w:r w:rsidR="00CD09D6">
        <w:t>in UK Sport.</w:t>
      </w:r>
      <w:r w:rsidR="00652D5E">
        <w:t xml:space="preserve"> </w:t>
      </w:r>
    </w:p>
    <w:p w14:paraId="5D7894F6" w14:textId="77777777" w:rsidR="00CD09D6" w:rsidRDefault="00CD09D6" w:rsidP="00CD09D6">
      <w:r>
        <w:t xml:space="preserve">The strong </w:t>
      </w:r>
      <w:r w:rsidRPr="00CD09D6">
        <w:t xml:space="preserve">Beijing performance may be seen </w:t>
      </w:r>
      <w:r w:rsidR="00F80282">
        <w:t xml:space="preserve">in part </w:t>
      </w:r>
      <w:r w:rsidRPr="00CD09D6">
        <w:t xml:space="preserve">as a consequence of the </w:t>
      </w:r>
      <w:proofErr w:type="spellStart"/>
      <w:r w:rsidRPr="00CD09D6">
        <w:t>ongoing</w:t>
      </w:r>
      <w:proofErr w:type="spellEnd"/>
      <w:r w:rsidRPr="00CD09D6">
        <w:t xml:space="preserve"> development of the WCPP itself</w:t>
      </w:r>
      <w:r w:rsidR="00F80282">
        <w:t>,</w:t>
      </w:r>
      <w:r w:rsidRPr="00CD09D6">
        <w:t xml:space="preserve"> as well as the additional £200 million Exchequer funding made available </w:t>
      </w:r>
      <w:r w:rsidR="00C2131D">
        <w:t>for elite sport</w:t>
      </w:r>
      <w:r w:rsidR="00C2131D" w:rsidRPr="00CD09D6">
        <w:t xml:space="preserve"> </w:t>
      </w:r>
      <w:r w:rsidRPr="00CD09D6">
        <w:t>in 2006.</w:t>
      </w:r>
    </w:p>
    <w:p w14:paraId="75F78F49" w14:textId="77777777" w:rsidR="00CD09D6" w:rsidRDefault="00CD09D6" w:rsidP="00CD09D6">
      <w:r>
        <w:t xml:space="preserve">Without the 2012 Games there would still have been a </w:t>
      </w:r>
      <w:r w:rsidRPr="00CD09D6">
        <w:t>trend towards</w:t>
      </w:r>
      <w:r>
        <w:t xml:space="preserve"> </w:t>
      </w:r>
      <w:r w:rsidRPr="00CD09D6">
        <w:t xml:space="preserve">integration of elite sport policy </w:t>
      </w:r>
      <w:r w:rsidR="00C2131D">
        <w:t xml:space="preserve">and delivery </w:t>
      </w:r>
      <w:r w:rsidRPr="00CD09D6">
        <w:t>but</w:t>
      </w:r>
      <w:r>
        <w:t xml:space="preserve"> </w:t>
      </w:r>
      <w:r w:rsidR="00C2131D">
        <w:t>at a much slower pace</w:t>
      </w:r>
      <w:r w:rsidRPr="00CD09D6">
        <w:t xml:space="preserve">. </w:t>
      </w:r>
    </w:p>
    <w:p w14:paraId="3540CF44" w14:textId="77777777" w:rsidR="00B76471" w:rsidRDefault="00E00600" w:rsidP="00E00600">
      <w:pPr>
        <w:pStyle w:val="Heading2"/>
      </w:pPr>
      <w:r w:rsidRPr="00E00600">
        <w:t xml:space="preserve">International </w:t>
      </w:r>
    </w:p>
    <w:p w14:paraId="125C4530" w14:textId="5C598118" w:rsidR="00AB1AE5" w:rsidRDefault="00E00600" w:rsidP="00477470">
      <w:r w:rsidRPr="00E00600">
        <w:t xml:space="preserve">International development work around sport has not previously been undertaken and so the baseline is </w:t>
      </w:r>
      <w:r w:rsidR="00CD09D6">
        <w:t>consistent with limited sport development in the international arena.</w:t>
      </w:r>
      <w:r w:rsidR="003E798B">
        <w:t xml:space="preserve"> W</w:t>
      </w:r>
      <w:r w:rsidR="00CD09D6" w:rsidRPr="00CD09D6">
        <w:t xml:space="preserve">ithout the catalyst of the 2012 Games it seems unlikely that a significant investment </w:t>
      </w:r>
      <w:r w:rsidR="003E798B">
        <w:t xml:space="preserve">around </w:t>
      </w:r>
      <w:r w:rsidR="003E798B" w:rsidRPr="00CD09D6">
        <w:t xml:space="preserve">sport and international development </w:t>
      </w:r>
      <w:r w:rsidR="00CD09D6" w:rsidRPr="00CD09D6">
        <w:t>would have been made.</w:t>
      </w:r>
      <w:r w:rsidR="001B3790">
        <w:t xml:space="preserve"> </w:t>
      </w:r>
      <w:r w:rsidR="003E798B">
        <w:t xml:space="preserve">There would </w:t>
      </w:r>
      <w:r w:rsidR="00546611">
        <w:t xml:space="preserve">have </w:t>
      </w:r>
      <w:r w:rsidR="003E798B">
        <w:t>been some</w:t>
      </w:r>
      <w:r w:rsidR="00F80282">
        <w:t>,</w:t>
      </w:r>
      <w:r w:rsidR="003E798B">
        <w:t xml:space="preserve"> albeit </w:t>
      </w:r>
      <w:r w:rsidR="00CD09D6" w:rsidRPr="00CD09D6">
        <w:t>limited</w:t>
      </w:r>
      <w:r w:rsidR="00F80282">
        <w:t>,</w:t>
      </w:r>
      <w:r w:rsidR="00CD09D6" w:rsidRPr="00CD09D6">
        <w:t xml:space="preserve"> international development and disability work</w:t>
      </w:r>
      <w:r w:rsidR="003E798B">
        <w:t xml:space="preserve"> but</w:t>
      </w:r>
      <w:r w:rsidR="00CD09D6" w:rsidRPr="00CD09D6">
        <w:t xml:space="preserve"> International Inspiration</w:t>
      </w:r>
      <w:r w:rsidR="009D2A0B">
        <w:t>, a programme aimed at inspiring 12 million children in 20 countries to become involved in sport,</w:t>
      </w:r>
      <w:r w:rsidR="00CD09D6" w:rsidRPr="00CD09D6">
        <w:t xml:space="preserve"> has </w:t>
      </w:r>
      <w:r w:rsidR="003E798B">
        <w:t xml:space="preserve">clearly </w:t>
      </w:r>
      <w:r w:rsidR="00CD09D6" w:rsidRPr="00CD09D6">
        <w:t>increased the reach and take up of sport for development projects in new countries unlikely to have been reached otherwise.</w:t>
      </w:r>
      <w:r w:rsidR="00AB1AE5">
        <w:t xml:space="preserve"> </w:t>
      </w:r>
    </w:p>
    <w:p w14:paraId="78D701F9" w14:textId="77777777" w:rsidR="00322F21" w:rsidRDefault="00986328" w:rsidP="00C50E4B">
      <w:pPr>
        <w:pStyle w:val="Heading1"/>
      </w:pPr>
      <w:bookmarkStart w:id="5" w:name="_Toc314489496"/>
      <w:r w:rsidRPr="00986328">
        <w:lastRenderedPageBreak/>
        <w:t>Exploiting opportunities for economic growth</w:t>
      </w:r>
      <w:bookmarkEnd w:id="5"/>
      <w:r w:rsidRPr="00986328">
        <w:tab/>
        <w:t xml:space="preserve"> </w:t>
      </w:r>
    </w:p>
    <w:p w14:paraId="6B73AEDB" w14:textId="77777777" w:rsidR="006C7824" w:rsidRPr="002670A4" w:rsidRDefault="006C7824" w:rsidP="006C7824">
      <w:pPr>
        <w:pBdr>
          <w:top w:val="single" w:sz="4" w:space="1" w:color="auto"/>
          <w:left w:val="single" w:sz="4" w:space="1" w:color="auto"/>
          <w:bottom w:val="single" w:sz="4" w:space="1" w:color="auto"/>
          <w:right w:val="single" w:sz="4" w:space="4" w:color="auto"/>
        </w:pBdr>
        <w:shd w:val="clear" w:color="auto" w:fill="CC99FF"/>
        <w:rPr>
          <w:i/>
        </w:rPr>
      </w:pPr>
      <w:r w:rsidRPr="00F64BA5">
        <w:rPr>
          <w:i/>
        </w:rPr>
        <w:t xml:space="preserve">Headline </w:t>
      </w:r>
      <w:r>
        <w:rPr>
          <w:i/>
        </w:rPr>
        <w:t xml:space="preserve">research question: </w:t>
      </w:r>
      <w:r w:rsidRPr="004B074B">
        <w:rPr>
          <w:i/>
        </w:rPr>
        <w:t>What have been the economic impacts of the Games, particularly in terms of employment and GVA?</w:t>
      </w:r>
    </w:p>
    <w:p w14:paraId="5007FC12" w14:textId="77777777" w:rsidR="00E47DBA" w:rsidRDefault="006C7824" w:rsidP="00A477AA">
      <w:r w:rsidRPr="006C7824">
        <w:t>The economic legacy of the 2012 Games aims to exploit to the full the opportunities for economic growth offered by hosting the Games.</w:t>
      </w:r>
      <w:r w:rsidR="00A477AA">
        <w:t xml:space="preserve"> </w:t>
      </w:r>
      <w:r w:rsidR="00E47DBA">
        <w:t xml:space="preserve">Economic impacts </w:t>
      </w:r>
      <w:r w:rsidR="00311AA5">
        <w:t xml:space="preserve">should </w:t>
      </w:r>
      <w:r w:rsidR="00E47DBA">
        <w:t xml:space="preserve">arise from a variety of sources </w:t>
      </w:r>
      <w:r w:rsidR="009427AE">
        <w:t>including the</w:t>
      </w:r>
      <w:r w:rsidR="00E47DBA">
        <w:t xml:space="preserve"> </w:t>
      </w:r>
      <w:r w:rsidR="00E47DBA" w:rsidRPr="00F10A8F">
        <w:t>construction of the venues and infrastructure</w:t>
      </w:r>
      <w:r w:rsidR="00E47DBA">
        <w:t xml:space="preserve">, </w:t>
      </w:r>
      <w:r w:rsidR="00E47DBA" w:rsidRPr="00F10A8F">
        <w:t>eve</w:t>
      </w:r>
      <w:r w:rsidR="00E47DBA">
        <w:t xml:space="preserve">nt related activity in 2012, skills and employment initiatives, tourism expenditure, wider legacy programmes and the </w:t>
      </w:r>
      <w:r w:rsidR="00E47DBA" w:rsidRPr="00F10A8F">
        <w:t xml:space="preserve">longer-term </w:t>
      </w:r>
      <w:r w:rsidR="00E47DBA">
        <w:t xml:space="preserve">effects of </w:t>
      </w:r>
      <w:r w:rsidR="00E47DBA" w:rsidRPr="00F10A8F">
        <w:t>regeneration.</w:t>
      </w:r>
      <w:r w:rsidR="00E47DBA">
        <w:t xml:space="preserve"> </w:t>
      </w:r>
    </w:p>
    <w:p w14:paraId="5D5E29C3" w14:textId="77777777" w:rsidR="00430200" w:rsidRDefault="00663F4A" w:rsidP="00430200">
      <w:pPr>
        <w:pStyle w:val="Heading2"/>
      </w:pPr>
      <w:r>
        <w:t xml:space="preserve">Total UK and London </w:t>
      </w:r>
      <w:r w:rsidR="00B0109D">
        <w:t>e</w:t>
      </w:r>
      <w:r w:rsidR="00430200">
        <w:t xml:space="preserve">conomic impact </w:t>
      </w:r>
    </w:p>
    <w:p w14:paraId="0074F4E9" w14:textId="42009B94" w:rsidR="00B64A9C" w:rsidRDefault="009427AE" w:rsidP="00932DF2">
      <w:r>
        <w:t>Gross value added</w:t>
      </w:r>
      <w:r w:rsidR="00093920">
        <w:rPr>
          <w:rStyle w:val="FootnoteReference"/>
        </w:rPr>
        <w:footnoteReference w:id="8"/>
      </w:r>
      <w:r>
        <w:t xml:space="preserve"> in the host boroughs is </w:t>
      </w:r>
      <w:r w:rsidRPr="009427AE">
        <w:t xml:space="preserve">estimated </w:t>
      </w:r>
      <w:r>
        <w:t xml:space="preserve">to be </w:t>
      </w:r>
      <w:r w:rsidRPr="009427AE">
        <w:t>£34.8 billion in 2011</w:t>
      </w:r>
      <w:r w:rsidR="00A847E2">
        <w:t>, an increase in real terms of 96% since 1991, compared to 68% in London and 52% across the UK.</w:t>
      </w:r>
      <w:r w:rsidR="002B4694">
        <w:rPr>
          <w:rStyle w:val="FootnoteReference"/>
        </w:rPr>
        <w:footnoteReference w:id="9"/>
      </w:r>
      <w:r w:rsidR="00A847E2">
        <w:t xml:space="preserve"> </w:t>
      </w:r>
      <w:r>
        <w:t xml:space="preserve">The </w:t>
      </w:r>
      <w:r w:rsidR="00B64A9C">
        <w:t>2012 Games have already had a</w:t>
      </w:r>
      <w:r w:rsidR="007D22B5">
        <w:t xml:space="preserve">n economic </w:t>
      </w:r>
      <w:r w:rsidR="00B64A9C">
        <w:t>impact</w:t>
      </w:r>
      <w:r w:rsidR="00A847E2">
        <w:t xml:space="preserve"> on </w:t>
      </w:r>
      <w:r w:rsidR="00E6577A">
        <w:t xml:space="preserve">each of </w:t>
      </w:r>
      <w:r w:rsidR="00A847E2">
        <w:t xml:space="preserve">these </w:t>
      </w:r>
      <w:r w:rsidR="007D22B5">
        <w:t>areas</w:t>
      </w:r>
      <w:r>
        <w:t xml:space="preserve">. </w:t>
      </w:r>
      <w:r w:rsidR="007D22B5">
        <w:t xml:space="preserve">For instance, </w:t>
      </w:r>
      <w:r w:rsidR="00C51FC7">
        <w:t>over</w:t>
      </w:r>
      <w:r>
        <w:t xml:space="preserve"> </w:t>
      </w:r>
      <w:r w:rsidR="00B64A9C">
        <w:t>£</w:t>
      </w:r>
      <w:r w:rsidR="00B64A9C" w:rsidRPr="00F10A8F">
        <w:t>6</w:t>
      </w:r>
      <w:r w:rsidR="00B64A9C">
        <w:t xml:space="preserve"> billion worth of contracts </w:t>
      </w:r>
      <w:r>
        <w:t xml:space="preserve">have been </w:t>
      </w:r>
      <w:r w:rsidR="00B64A9C">
        <w:t xml:space="preserve">awarded by the Olympic Delivery Authority </w:t>
      </w:r>
      <w:r w:rsidR="00161781">
        <w:t xml:space="preserve">(ODA) </w:t>
      </w:r>
      <w:r w:rsidR="00B64A9C">
        <w:t xml:space="preserve">to tier one suppliers and </w:t>
      </w:r>
      <w:r w:rsidR="00615EBF">
        <w:t>over 40,000 people have worked on the Olympic Park and Athlete’s Village.</w:t>
      </w:r>
      <w:r w:rsidR="00B64A9C">
        <w:rPr>
          <w:rStyle w:val="FootnoteReference"/>
        </w:rPr>
        <w:footnoteReference w:id="10"/>
      </w:r>
      <w:r>
        <w:t xml:space="preserve"> </w:t>
      </w:r>
    </w:p>
    <w:p w14:paraId="21E444AC" w14:textId="13D71B7D" w:rsidR="00E47DBA" w:rsidRDefault="00E6577A" w:rsidP="00166320">
      <w:r>
        <w:t>However</w:t>
      </w:r>
      <w:r w:rsidR="00F926C0">
        <w:t xml:space="preserve">, </w:t>
      </w:r>
      <w:r>
        <w:t>e</w:t>
      </w:r>
      <w:r w:rsidR="00E47DBA" w:rsidRPr="00E47DBA">
        <w:t xml:space="preserve">stimating the counterfactual </w:t>
      </w:r>
      <w:r w:rsidR="00663F4A">
        <w:t xml:space="preserve">from these </w:t>
      </w:r>
      <w:r w:rsidR="009427AE">
        <w:t xml:space="preserve">impacts </w:t>
      </w:r>
      <w:r w:rsidR="00663F4A">
        <w:t xml:space="preserve">is </w:t>
      </w:r>
      <w:r w:rsidR="00E47DBA" w:rsidRPr="00E47DBA">
        <w:t xml:space="preserve">challenging. </w:t>
      </w:r>
      <w:r w:rsidR="00A847E2">
        <w:t xml:space="preserve">It </w:t>
      </w:r>
      <w:r w:rsidR="00A847E2" w:rsidRPr="00E47DBA">
        <w:t xml:space="preserve">cannot </w:t>
      </w:r>
      <w:r w:rsidR="00A847E2">
        <w:t xml:space="preserve">be </w:t>
      </w:r>
      <w:r w:rsidR="00A847E2" w:rsidRPr="00E47DBA">
        <w:t xml:space="preserve">approached </w:t>
      </w:r>
      <w:r w:rsidR="00A847E2">
        <w:t xml:space="preserve">by </w:t>
      </w:r>
      <w:r w:rsidR="00A847E2" w:rsidRPr="00E47DBA">
        <w:t xml:space="preserve">simply </w:t>
      </w:r>
      <w:r w:rsidR="00A847E2">
        <w:t xml:space="preserve">examining </w:t>
      </w:r>
      <w:r w:rsidR="00A847E2" w:rsidRPr="00E47DBA">
        <w:t xml:space="preserve">economic forecasts produced </w:t>
      </w:r>
      <w:r w:rsidR="00201918">
        <w:t>in 2003</w:t>
      </w:r>
      <w:r w:rsidR="00A847E2">
        <w:t xml:space="preserve">, as there have been many </w:t>
      </w:r>
      <w:r w:rsidR="00A847E2" w:rsidRPr="00A847E2">
        <w:t>shocks affecting</w:t>
      </w:r>
      <w:r w:rsidR="00A847E2">
        <w:t xml:space="preserve"> the outlook since </w:t>
      </w:r>
      <w:r w:rsidR="00201918">
        <w:t>then</w:t>
      </w:r>
      <w:r w:rsidR="001B71C7">
        <w:t>, particularly the global financial crisis</w:t>
      </w:r>
      <w:r w:rsidR="00A847E2">
        <w:t xml:space="preserve">. </w:t>
      </w:r>
      <w:r w:rsidR="00B64A9C">
        <w:t xml:space="preserve">Displacement and crowding out effects are </w:t>
      </w:r>
      <w:r w:rsidR="00A847E2">
        <w:t xml:space="preserve">also </w:t>
      </w:r>
      <w:r w:rsidR="00B64A9C">
        <w:t>significant</w:t>
      </w:r>
      <w:r w:rsidR="00A847E2">
        <w:t xml:space="preserve">. </w:t>
      </w:r>
      <w:r w:rsidR="00BE0699">
        <w:t>Not all the jobs created at the Olympic Park and by construction expenditure are additional</w:t>
      </w:r>
      <w:r w:rsidR="0097276F">
        <w:t>,</w:t>
      </w:r>
      <w:r w:rsidR="00BE0699">
        <w:t xml:space="preserve"> as </w:t>
      </w:r>
      <w:r w:rsidR="00BE0699" w:rsidRPr="00E47DBA">
        <w:t>some jobs would have been created in other sectors of the economy</w:t>
      </w:r>
      <w:r w:rsidR="00BE0699">
        <w:t xml:space="preserve"> if the 2012 Games were</w:t>
      </w:r>
      <w:r w:rsidR="00BE0699" w:rsidRPr="00E47DBA">
        <w:t xml:space="preserve"> not competing for labour</w:t>
      </w:r>
      <w:r w:rsidR="00BE0699">
        <w:t xml:space="preserve">. </w:t>
      </w:r>
    </w:p>
    <w:p w14:paraId="4D2B2C8A" w14:textId="2B510323" w:rsidR="00C935F4" w:rsidRDefault="00C935F4" w:rsidP="00166320">
      <w:r w:rsidRPr="00C935F4">
        <w:t xml:space="preserve">In a 2009 study, Oxford Economics estimated that the gross employment needed to deliver the 2012 Games would peak </w:t>
      </w:r>
      <w:r w:rsidR="00D33050">
        <w:t xml:space="preserve">in 2012 </w:t>
      </w:r>
      <w:r w:rsidRPr="00C935F4">
        <w:t xml:space="preserve">at 51,000 across the UK, </w:t>
      </w:r>
      <w:r>
        <w:t>with around 34,300 of these based in London</w:t>
      </w:r>
      <w:r w:rsidR="00020AE0">
        <w:t>.</w:t>
      </w:r>
      <w:r>
        <w:rPr>
          <w:rStyle w:val="FootnoteReference"/>
        </w:rPr>
        <w:footnoteReference w:id="11"/>
      </w:r>
      <w:r w:rsidR="00020AE0">
        <w:t xml:space="preserve"> Figure 4-1 shows the 2009 </w:t>
      </w:r>
      <w:r w:rsidR="00742AC8">
        <w:t xml:space="preserve">estimate of London </w:t>
      </w:r>
      <w:r w:rsidR="00C51FC7">
        <w:t xml:space="preserve">employment </w:t>
      </w:r>
      <w:r w:rsidR="00742AC8">
        <w:t xml:space="preserve">under the </w:t>
      </w:r>
      <w:r w:rsidR="00C4611B">
        <w:t>'</w:t>
      </w:r>
      <w:r w:rsidR="00C51FC7">
        <w:t>no Olympics</w:t>
      </w:r>
      <w:r w:rsidR="00C4611B">
        <w:t>'</w:t>
      </w:r>
      <w:r w:rsidR="00C51FC7">
        <w:t xml:space="preserve"> </w:t>
      </w:r>
      <w:r w:rsidR="00020AE0">
        <w:t>counterfactual</w:t>
      </w:r>
      <w:r w:rsidR="00742AC8">
        <w:t xml:space="preserve">. All these estimates need to be </w:t>
      </w:r>
      <w:r w:rsidR="00020AE0">
        <w:t xml:space="preserve">updated in the next phase of the meta-evaluation, taking into account </w:t>
      </w:r>
      <w:r w:rsidR="00742AC8" w:rsidRPr="00742AC8">
        <w:t>fuller and more up to date information</w:t>
      </w:r>
      <w:r w:rsidR="00742AC8">
        <w:t xml:space="preserve"> f</w:t>
      </w:r>
      <w:r w:rsidR="00742AC8" w:rsidRPr="00742AC8">
        <w:t xml:space="preserve">rom </w:t>
      </w:r>
      <w:r w:rsidR="00742AC8">
        <w:t xml:space="preserve">the </w:t>
      </w:r>
      <w:r w:rsidR="00742AC8" w:rsidRPr="00742AC8">
        <w:t xml:space="preserve">ODA and elsewhere on the direct employment and spending associated with the </w:t>
      </w:r>
      <w:r w:rsidR="00742AC8">
        <w:t xml:space="preserve">2012 Games. It will also be important to take into account the latest economic outlook to </w:t>
      </w:r>
      <w:r w:rsidR="00742AC8" w:rsidRPr="00742AC8">
        <w:t>improve</w:t>
      </w:r>
      <w:r w:rsidR="00742AC8">
        <w:t xml:space="preserve"> the</w:t>
      </w:r>
      <w:r w:rsidR="00742AC8" w:rsidRPr="00742AC8">
        <w:t xml:space="preserve"> estimates of the knock-on effects on the economy more widely</w:t>
      </w:r>
      <w:r w:rsidR="00742AC8">
        <w:t xml:space="preserve">. </w:t>
      </w:r>
    </w:p>
    <w:p w14:paraId="0C587600" w14:textId="377F5742" w:rsidR="00766979" w:rsidRDefault="00766979" w:rsidP="00746FB8">
      <w:pPr>
        <w:pStyle w:val="Caption"/>
        <w:spacing w:after="0"/>
      </w:pPr>
      <w:r w:rsidRPr="00766979">
        <w:t xml:space="preserve">Figure </w:t>
      </w:r>
      <w:r w:rsidR="0097276F">
        <w:t>4-1</w:t>
      </w:r>
      <w:r w:rsidRPr="00766979">
        <w:t xml:space="preserve">: </w:t>
      </w:r>
      <w:r w:rsidR="00746FB8">
        <w:t xml:space="preserve">Employment </w:t>
      </w:r>
      <w:r w:rsidR="00CB1935">
        <w:t xml:space="preserve">and counterfactual </w:t>
      </w:r>
      <w:r w:rsidRPr="00766979">
        <w:t xml:space="preserve">estimates </w:t>
      </w:r>
      <w:r w:rsidR="00B64A9C">
        <w:t>for London</w:t>
      </w:r>
    </w:p>
    <w:p w14:paraId="38B3A149" w14:textId="2097196E" w:rsidR="00430200" w:rsidRDefault="00746FB8" w:rsidP="00B64A9C">
      <w:pPr>
        <w:keepNext/>
        <w:spacing w:before="0" w:after="0"/>
      </w:pPr>
      <w:r w:rsidRPr="00746FB8">
        <w:rPr>
          <w:noProof/>
          <w:lang w:eastAsia="en-GB"/>
        </w:rPr>
        <w:drawing>
          <wp:inline distT="0" distB="0" distL="0" distR="0" wp14:anchorId="6CAEB9A6" wp14:editId="5703E118">
            <wp:extent cx="3960000" cy="2520000"/>
            <wp:effectExtent l="0" t="0" r="254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60000" cy="2520000"/>
                    </a:xfrm>
                    <a:prstGeom prst="rect">
                      <a:avLst/>
                    </a:prstGeom>
                    <a:noFill/>
                    <a:ln>
                      <a:noFill/>
                    </a:ln>
                  </pic:spPr>
                </pic:pic>
              </a:graphicData>
            </a:graphic>
          </wp:inline>
        </w:drawing>
      </w:r>
    </w:p>
    <w:p w14:paraId="5E3F4BB4" w14:textId="77777777" w:rsidR="00430200" w:rsidRDefault="00430200" w:rsidP="00430200">
      <w:pPr>
        <w:rPr>
          <w:i/>
          <w:sz w:val="18"/>
          <w:szCs w:val="18"/>
        </w:rPr>
      </w:pPr>
      <w:r w:rsidRPr="00430200">
        <w:rPr>
          <w:i/>
          <w:sz w:val="18"/>
          <w:szCs w:val="18"/>
        </w:rPr>
        <w:t xml:space="preserve">Source: Oxford Economics </w:t>
      </w:r>
      <w:r w:rsidR="00B64A9C">
        <w:rPr>
          <w:i/>
          <w:sz w:val="18"/>
          <w:szCs w:val="18"/>
        </w:rPr>
        <w:t>(2009 estimates)</w:t>
      </w:r>
    </w:p>
    <w:p w14:paraId="3D481E98" w14:textId="77777777" w:rsidR="00430200" w:rsidRDefault="00430200" w:rsidP="00430200">
      <w:pPr>
        <w:pStyle w:val="Heading2"/>
      </w:pPr>
      <w:r w:rsidRPr="00430200">
        <w:lastRenderedPageBreak/>
        <w:t>UK business access to 2012</w:t>
      </w:r>
      <w:r w:rsidRPr="00E00600">
        <w:t xml:space="preserve"> </w:t>
      </w:r>
    </w:p>
    <w:p w14:paraId="12CA7DC5" w14:textId="77777777" w:rsidR="00430200" w:rsidRDefault="00430200" w:rsidP="00A30575">
      <w:r>
        <w:t>The safeguarding and generation of additional employment and other spin</w:t>
      </w:r>
      <w:r w:rsidR="00F95287">
        <w:t>-</w:t>
      </w:r>
      <w:r>
        <w:t xml:space="preserve">off benefits through the delivery of Games-related contracts is a legacy ambition, particularly in sectors offering the greatest Games-related potential </w:t>
      </w:r>
      <w:r w:rsidR="00E47DBA">
        <w:t xml:space="preserve">such as </w:t>
      </w:r>
      <w:r>
        <w:t>retail, tourism, sports and recreation sectors and creative and high-tech industries.</w:t>
      </w:r>
      <w:r w:rsidR="00440659">
        <w:t xml:space="preserve"> </w:t>
      </w:r>
      <w:r>
        <w:t>Employment in these five sectors accounted for nearly 17% of jobs in the host boroughs, 21.5% in London and 19.5% in G</w:t>
      </w:r>
      <w:r w:rsidR="00F95287">
        <w:t xml:space="preserve">reat </w:t>
      </w:r>
      <w:r>
        <w:t>B</w:t>
      </w:r>
      <w:r w:rsidR="00F95287">
        <w:t>ritain</w:t>
      </w:r>
      <w:r w:rsidR="00C51FC7">
        <w:rPr>
          <w:rStyle w:val="FootnoteReference"/>
        </w:rPr>
        <w:footnoteReference w:id="12"/>
      </w:r>
      <w:r>
        <w:t xml:space="preserve">. </w:t>
      </w:r>
    </w:p>
    <w:p w14:paraId="7D47AC27" w14:textId="58C43B89" w:rsidR="00CD198A" w:rsidRDefault="00DB738F" w:rsidP="00EE5ED3">
      <w:r>
        <w:t>W</w:t>
      </w:r>
      <w:r w:rsidR="00430200">
        <w:t>ithout the Games</w:t>
      </w:r>
      <w:r w:rsidR="00CC6C0A">
        <w:t xml:space="preserve">, </w:t>
      </w:r>
      <w:r w:rsidR="00CC6C0A" w:rsidRPr="00CC6C0A">
        <w:t xml:space="preserve">it is very unlikely </w:t>
      </w:r>
      <w:r w:rsidR="00CC6C0A">
        <w:t xml:space="preserve">that the </w:t>
      </w:r>
      <w:proofErr w:type="spellStart"/>
      <w:r w:rsidR="00CC6C0A">
        <w:t>CompeteFor</w:t>
      </w:r>
      <w:proofErr w:type="spellEnd"/>
      <w:r w:rsidR="00CC6C0A">
        <w:t xml:space="preserve"> </w:t>
      </w:r>
      <w:r w:rsidR="00CC6C0A" w:rsidRPr="00CC6C0A">
        <w:t>initiative</w:t>
      </w:r>
      <w:r w:rsidR="00C51FC7">
        <w:t xml:space="preserve">, a website that </w:t>
      </w:r>
      <w:r w:rsidR="00841D93">
        <w:t xml:space="preserve">allows </w:t>
      </w:r>
      <w:r w:rsidR="00841D93" w:rsidRPr="00841D93">
        <w:t>companies to access opportunities in the London 2012 supply chain and other major public sector procurement opportunities</w:t>
      </w:r>
      <w:r w:rsidR="00841D93">
        <w:t>,</w:t>
      </w:r>
      <w:r w:rsidR="00CD198A">
        <w:t xml:space="preserve"> would have gone ahead on the same scale or timetable. Instead</w:t>
      </w:r>
      <w:r w:rsidR="001A357E">
        <w:t>,</w:t>
      </w:r>
      <w:r w:rsidR="00CD198A">
        <w:t xml:space="preserve"> </w:t>
      </w:r>
      <w:r w:rsidR="00CD198A" w:rsidRPr="00CC6C0A">
        <w:t xml:space="preserve">there would have been a more piecemeal approach with varying </w:t>
      </w:r>
      <w:r w:rsidR="00201918">
        <w:t xml:space="preserve">e-procurement </w:t>
      </w:r>
      <w:r w:rsidR="00CD198A" w:rsidRPr="00CC6C0A">
        <w:t xml:space="preserve">practices across the regions </w:t>
      </w:r>
      <w:r w:rsidR="005C4C9D">
        <w:t xml:space="preserve">until other </w:t>
      </w:r>
      <w:r w:rsidR="00CD198A" w:rsidRPr="00CC6C0A">
        <w:t>comprehensive national programme</w:t>
      </w:r>
      <w:r w:rsidR="005C4C9D">
        <w:t>s were developed</w:t>
      </w:r>
      <w:r w:rsidR="001A357E">
        <w:t xml:space="preserve">, </w:t>
      </w:r>
      <w:r w:rsidR="005C4C9D">
        <w:t xml:space="preserve">such as the </w:t>
      </w:r>
      <w:r w:rsidR="00CD198A">
        <w:t xml:space="preserve">national </w:t>
      </w:r>
      <w:r w:rsidR="00CD198A" w:rsidRPr="00CD198A">
        <w:t xml:space="preserve">Contracts Finder </w:t>
      </w:r>
      <w:r w:rsidR="005C4C9D">
        <w:t xml:space="preserve">website </w:t>
      </w:r>
      <w:r w:rsidR="00CD198A">
        <w:t xml:space="preserve">launched </w:t>
      </w:r>
      <w:r w:rsidR="005C4C9D">
        <w:t xml:space="preserve">by the Cabinet Office </w:t>
      </w:r>
      <w:r w:rsidR="00CD198A">
        <w:t xml:space="preserve">in January 2011 </w:t>
      </w:r>
      <w:r w:rsidR="005C4C9D">
        <w:t>which is targeted at small and medium sized businesses</w:t>
      </w:r>
      <w:r w:rsidR="00CD198A">
        <w:t xml:space="preserve">. </w:t>
      </w:r>
    </w:p>
    <w:p w14:paraId="41A46036" w14:textId="77777777" w:rsidR="00430200" w:rsidRDefault="00430200" w:rsidP="00430200">
      <w:pPr>
        <w:pStyle w:val="Heading2"/>
      </w:pPr>
      <w:r w:rsidRPr="00430200">
        <w:t xml:space="preserve">Promoting the UK as a place to invest </w:t>
      </w:r>
    </w:p>
    <w:p w14:paraId="5A0BBDD3" w14:textId="13962C21" w:rsidR="00430200" w:rsidRDefault="00A477AA" w:rsidP="00A30575">
      <w:r>
        <w:t xml:space="preserve">In 2010, the </w:t>
      </w:r>
      <w:r w:rsidR="00430200">
        <w:t>UK ha</w:t>
      </w:r>
      <w:r>
        <w:t xml:space="preserve">d the </w:t>
      </w:r>
      <w:r w:rsidR="00430200">
        <w:t>highest share of both projects and jobs created by Foreign Direct Investment (FDI) in Europe</w:t>
      </w:r>
      <w:r>
        <w:t xml:space="preserve">, </w:t>
      </w:r>
      <w:r w:rsidR="00430200">
        <w:t>represe</w:t>
      </w:r>
      <w:r>
        <w:t>nt</w:t>
      </w:r>
      <w:r w:rsidR="0046453F">
        <w:t xml:space="preserve">ing </w:t>
      </w:r>
      <w:r>
        <w:t xml:space="preserve">10% of the European market. </w:t>
      </w:r>
      <w:r w:rsidR="00430200">
        <w:t>Within the UK, London's share of FDI projects increased from 25% to 33% between 2000/1 and 2009/10.</w:t>
      </w:r>
      <w:r w:rsidR="002E504F">
        <w:rPr>
          <w:rStyle w:val="FootnoteReference"/>
        </w:rPr>
        <w:footnoteReference w:id="13"/>
      </w:r>
    </w:p>
    <w:p w14:paraId="0F7E2910" w14:textId="77777777" w:rsidR="00430200" w:rsidRDefault="003F044E" w:rsidP="00EE5ED3">
      <w:r>
        <w:t xml:space="preserve">The exposure of </w:t>
      </w:r>
      <w:r w:rsidR="00166320">
        <w:t>London and the UK to</w:t>
      </w:r>
      <w:r w:rsidR="001A357E">
        <w:t xml:space="preserve"> leading</w:t>
      </w:r>
      <w:r w:rsidR="00166320">
        <w:t xml:space="preserve"> international business</w:t>
      </w:r>
      <w:r w:rsidR="001A357E">
        <w:t>es</w:t>
      </w:r>
      <w:r w:rsidR="00166320">
        <w:t xml:space="preserve"> through the 2012 </w:t>
      </w:r>
      <w:r>
        <w:t>Games is expected to generate higher numbers of inward investment enquiries and project successes both in London and across the UK.</w:t>
      </w:r>
      <w:r w:rsidR="00290583">
        <w:t xml:space="preserve"> </w:t>
      </w:r>
      <w:r>
        <w:t xml:space="preserve">Without the Games, potential investors would be exposed to significantly lower levels of marketing information and </w:t>
      </w:r>
      <w:r w:rsidR="00166320">
        <w:t>programmes</w:t>
      </w:r>
      <w:r w:rsidR="001A357E">
        <w:t xml:space="preserve"> as initiatives such</w:t>
      </w:r>
      <w:r>
        <w:t xml:space="preserve"> as the </w:t>
      </w:r>
      <w:r w:rsidRPr="003F044E">
        <w:t xml:space="preserve">British Business Embassy </w:t>
      </w:r>
      <w:r>
        <w:t xml:space="preserve">and Global Investment Conference would not have happened. </w:t>
      </w:r>
    </w:p>
    <w:p w14:paraId="75FA0361" w14:textId="77777777" w:rsidR="003F044E" w:rsidRDefault="00BE0699" w:rsidP="00A30575">
      <w:r>
        <w:t xml:space="preserve">While the 2012 Games are expected to boost inward investment, other external, economic and </w:t>
      </w:r>
      <w:r w:rsidRPr="003F044E">
        <w:t xml:space="preserve">location </w:t>
      </w:r>
      <w:r>
        <w:t>costs are likely to be the dominant factors</w:t>
      </w:r>
      <w:r w:rsidR="001A357E">
        <w:t xml:space="preserve"> influencing the investment decisions of international businesses</w:t>
      </w:r>
      <w:r>
        <w:t xml:space="preserve">. </w:t>
      </w:r>
      <w:r w:rsidR="00201918">
        <w:t>As t</w:t>
      </w:r>
      <w:r w:rsidR="00932DF2">
        <w:t>hese drivers will have such an impact from year</w:t>
      </w:r>
      <w:r w:rsidR="001A357E">
        <w:t>-</w:t>
      </w:r>
      <w:r w:rsidR="00932DF2">
        <w:t>to</w:t>
      </w:r>
      <w:r w:rsidR="001A357E">
        <w:t>-</w:t>
      </w:r>
      <w:r w:rsidR="00932DF2">
        <w:t>year</w:t>
      </w:r>
      <w:r w:rsidR="00201918">
        <w:t>, a</w:t>
      </w:r>
      <w:r w:rsidR="00932DF2">
        <w:t xml:space="preserve"> </w:t>
      </w:r>
      <w:r w:rsidR="003F044E" w:rsidRPr="003F044E">
        <w:t xml:space="preserve">trend based approach to isolating </w:t>
      </w:r>
      <w:r w:rsidR="003F044E">
        <w:t xml:space="preserve">the </w:t>
      </w:r>
      <w:r w:rsidR="003F044E" w:rsidRPr="003F044E">
        <w:t>Games</w:t>
      </w:r>
      <w:r w:rsidR="00166320" w:rsidRPr="00166320">
        <w:t xml:space="preserve"> </w:t>
      </w:r>
      <w:r w:rsidR="00166320">
        <w:t>influenc</w:t>
      </w:r>
      <w:r w:rsidR="00932DF2">
        <w:t>e is not practical</w:t>
      </w:r>
      <w:r w:rsidR="003F044E">
        <w:t>.</w:t>
      </w:r>
      <w:r w:rsidR="00290583">
        <w:t xml:space="preserve"> </w:t>
      </w:r>
      <w:r w:rsidR="00932DF2">
        <w:t>Instead</w:t>
      </w:r>
      <w:r w:rsidR="00201918">
        <w:t>,</w:t>
      </w:r>
      <w:r w:rsidR="00932DF2">
        <w:t xml:space="preserve"> a </w:t>
      </w:r>
      <w:r w:rsidR="003F044E" w:rsidRPr="003F044E">
        <w:t xml:space="preserve">difference-in-differences </w:t>
      </w:r>
      <w:r w:rsidR="00932DF2">
        <w:t xml:space="preserve">analysis </w:t>
      </w:r>
      <w:r w:rsidR="003F044E">
        <w:t xml:space="preserve">of historical data to 2012 is the </w:t>
      </w:r>
      <w:r w:rsidR="003F044E" w:rsidRPr="003F044E">
        <w:t>preferred approach</w:t>
      </w:r>
      <w:r w:rsidR="003F044E">
        <w:t xml:space="preserve">, with the </w:t>
      </w:r>
      <w:r w:rsidR="00D16FE4">
        <w:t xml:space="preserve">outcome </w:t>
      </w:r>
      <w:r w:rsidR="003F044E" w:rsidRPr="003F044E">
        <w:t>counterfactual reflecting the average performance of comparator cities and nations</w:t>
      </w:r>
      <w:r w:rsidR="00932DF2">
        <w:t xml:space="preserve"> in 2012</w:t>
      </w:r>
      <w:r w:rsidR="00841D93">
        <w:rPr>
          <w:rStyle w:val="FootnoteReference"/>
        </w:rPr>
        <w:footnoteReference w:id="14"/>
      </w:r>
      <w:r w:rsidR="003F044E" w:rsidRPr="003F044E">
        <w:t>.</w:t>
      </w:r>
    </w:p>
    <w:p w14:paraId="1360A5C3" w14:textId="77777777" w:rsidR="00430200" w:rsidRDefault="00430200" w:rsidP="00430200">
      <w:pPr>
        <w:pStyle w:val="Heading2"/>
      </w:pPr>
      <w:r>
        <w:t xml:space="preserve">Export and trade promotion </w:t>
      </w:r>
    </w:p>
    <w:p w14:paraId="7DC3F789" w14:textId="151E46BB" w:rsidR="00932DF2" w:rsidRDefault="00932DF2" w:rsidP="00EE5ED3">
      <w:r>
        <w:t>UK exports amounted to £22</w:t>
      </w:r>
      <w:r w:rsidR="00941AC9">
        <w:t>5</w:t>
      </w:r>
      <w:r>
        <w:t xml:space="preserve"> billion in 2009</w:t>
      </w:r>
      <w:r w:rsidR="0043481C">
        <w:t>,</w:t>
      </w:r>
      <w:r>
        <w:t xml:space="preserve"> rising from £189 billion in 2001.</w:t>
      </w:r>
      <w:r w:rsidR="002E504F">
        <w:rPr>
          <w:rStyle w:val="FootnoteReference"/>
        </w:rPr>
        <w:footnoteReference w:id="15"/>
      </w:r>
      <w:r w:rsidR="00A30575">
        <w:t xml:space="preserve"> </w:t>
      </w:r>
      <w:r>
        <w:t xml:space="preserve">Trends in </w:t>
      </w:r>
      <w:r w:rsidR="00290583">
        <w:t xml:space="preserve">the value of </w:t>
      </w:r>
      <w:r>
        <w:t xml:space="preserve">exports will </w:t>
      </w:r>
      <w:r w:rsidR="00290583">
        <w:t xml:space="preserve">clearly be </w:t>
      </w:r>
      <w:r>
        <w:t xml:space="preserve">influenced by </w:t>
      </w:r>
      <w:r w:rsidR="00290583">
        <w:t xml:space="preserve">factors such as </w:t>
      </w:r>
      <w:r>
        <w:t>global econom</w:t>
      </w:r>
      <w:r w:rsidR="00201918">
        <w:t>ic</w:t>
      </w:r>
      <w:r w:rsidR="00290583">
        <w:t xml:space="preserve"> prospects, </w:t>
      </w:r>
      <w:r w:rsidR="00201918">
        <w:t xml:space="preserve">the </w:t>
      </w:r>
      <w:r w:rsidR="00290583">
        <w:t>politic</w:t>
      </w:r>
      <w:r w:rsidR="00201918">
        <w:t xml:space="preserve">al environment, </w:t>
      </w:r>
      <w:r>
        <w:t>exchange rate</w:t>
      </w:r>
      <w:r w:rsidR="00201918">
        <w:t>s</w:t>
      </w:r>
      <w:r>
        <w:t xml:space="preserve"> </w:t>
      </w:r>
      <w:proofErr w:type="spellStart"/>
      <w:r w:rsidR="00201918">
        <w:t>etc</w:t>
      </w:r>
      <w:proofErr w:type="spellEnd"/>
      <w:r w:rsidR="0043481C">
        <w:t>,</w:t>
      </w:r>
      <w:r w:rsidR="00201918">
        <w:t xml:space="preserve"> </w:t>
      </w:r>
      <w:r w:rsidR="00290583">
        <w:t xml:space="preserve">rather than </w:t>
      </w:r>
      <w:r w:rsidR="00A60B53">
        <w:t xml:space="preserve">just </w:t>
      </w:r>
      <w:r w:rsidR="00290583">
        <w:t xml:space="preserve">the 2012 Games. Nevertheless, with such large flows in goods and services, the 2012 Games only has to </w:t>
      </w:r>
      <w:r w:rsidR="00A30575">
        <w:t xml:space="preserve">influence </w:t>
      </w:r>
      <w:r w:rsidR="00201918">
        <w:t xml:space="preserve">and create </w:t>
      </w:r>
      <w:r w:rsidR="00A30575">
        <w:t xml:space="preserve">a </w:t>
      </w:r>
      <w:r w:rsidR="007B5AEF">
        <w:t xml:space="preserve">small </w:t>
      </w:r>
      <w:r w:rsidR="00201918">
        <w:t xml:space="preserve">percentage increase in </w:t>
      </w:r>
      <w:r w:rsidR="00A30575">
        <w:t>export</w:t>
      </w:r>
      <w:r w:rsidR="00201918">
        <w:t>s</w:t>
      </w:r>
      <w:r w:rsidR="00A30575">
        <w:t xml:space="preserve"> </w:t>
      </w:r>
      <w:r w:rsidR="00290583">
        <w:t xml:space="preserve">to have a sizeable </w:t>
      </w:r>
      <w:r w:rsidR="007B5AEF">
        <w:t xml:space="preserve">economic </w:t>
      </w:r>
      <w:r w:rsidR="00290583">
        <w:t>impact</w:t>
      </w:r>
      <w:r w:rsidR="007B5AEF">
        <w:t>.</w:t>
      </w:r>
      <w:r w:rsidR="00290583">
        <w:t xml:space="preserve"> </w:t>
      </w:r>
    </w:p>
    <w:p w14:paraId="61FC50D5" w14:textId="02D87080" w:rsidR="00430200" w:rsidRDefault="0043481C" w:rsidP="00EE5ED3">
      <w:r>
        <w:t>With the awarding of</w:t>
      </w:r>
      <w:r w:rsidR="00430200">
        <w:t xml:space="preserve"> the Games to London</w:t>
      </w:r>
      <w:r>
        <w:t xml:space="preserve">, </w:t>
      </w:r>
      <w:r w:rsidR="009E6C24" w:rsidRPr="009E6C24">
        <w:t xml:space="preserve">UK Trade and Investment </w:t>
      </w:r>
      <w:r w:rsidR="009E6C24">
        <w:t>(</w:t>
      </w:r>
      <w:r w:rsidR="00430200">
        <w:t>UKTI</w:t>
      </w:r>
      <w:r w:rsidR="009E6C24">
        <w:t>)</w:t>
      </w:r>
      <w:r w:rsidR="00430200">
        <w:t xml:space="preserve"> </w:t>
      </w:r>
      <w:r>
        <w:t xml:space="preserve">has been able </w:t>
      </w:r>
      <w:r w:rsidR="00430200">
        <w:t xml:space="preserve">to implement a more focused branding approach to promote companies providing services to </w:t>
      </w:r>
      <w:r>
        <w:t xml:space="preserve">the </w:t>
      </w:r>
      <w:r w:rsidR="00430200">
        <w:t>2012</w:t>
      </w:r>
      <w:r>
        <w:t xml:space="preserve"> Games</w:t>
      </w:r>
      <w:r w:rsidR="00430200">
        <w:t xml:space="preserve">. It is likely that specific businesses that </w:t>
      </w:r>
      <w:r w:rsidR="00A30575" w:rsidRPr="00F95C4F">
        <w:t xml:space="preserve">have </w:t>
      </w:r>
      <w:r w:rsidR="00A30575">
        <w:t xml:space="preserve">either </w:t>
      </w:r>
      <w:r w:rsidR="00A30575" w:rsidRPr="00F95C4F">
        <w:t>benefitted from Games-related contracts</w:t>
      </w:r>
      <w:r w:rsidR="00430200">
        <w:t xml:space="preserve"> </w:t>
      </w:r>
      <w:r w:rsidR="00A30575">
        <w:t xml:space="preserve">or been </w:t>
      </w:r>
      <w:r w:rsidR="00430200">
        <w:t xml:space="preserve">supported through the Government's Host2Host programme </w:t>
      </w:r>
      <w:r w:rsidR="00A60B53">
        <w:t>will</w:t>
      </w:r>
      <w:r w:rsidR="00A30575">
        <w:t xml:space="preserve"> generate more exports </w:t>
      </w:r>
      <w:r w:rsidR="00430200">
        <w:t>than they would have in the absence of the Games.</w:t>
      </w:r>
      <w:r w:rsidR="001B3790">
        <w:t xml:space="preserve"> </w:t>
      </w:r>
      <w:r w:rsidR="00430200">
        <w:t>Th</w:t>
      </w:r>
      <w:r w:rsidR="00932DF2">
        <w:t>e</w:t>
      </w:r>
      <w:r w:rsidR="00430200">
        <w:t xml:space="preserve"> </w:t>
      </w:r>
      <w:r w:rsidR="00D16FE4">
        <w:t xml:space="preserve">outcome </w:t>
      </w:r>
      <w:r w:rsidR="00430200">
        <w:t xml:space="preserve">counterfactual will be </w:t>
      </w:r>
      <w:r w:rsidR="00932DF2">
        <w:t xml:space="preserve">assessed in </w:t>
      </w:r>
      <w:r w:rsidR="00430200">
        <w:t xml:space="preserve">2012 and 2013 using UKTI </w:t>
      </w:r>
      <w:r w:rsidR="00A30575">
        <w:t>'</w:t>
      </w:r>
      <w:r w:rsidR="00A30575" w:rsidRPr="00A30575">
        <w:t>Performance and Impact Monitoring Survey</w:t>
      </w:r>
      <w:r w:rsidR="00A30575">
        <w:t>'</w:t>
      </w:r>
      <w:r w:rsidR="00A30575" w:rsidRPr="00A30575">
        <w:t xml:space="preserve"> </w:t>
      </w:r>
      <w:r w:rsidR="00430200">
        <w:t>data.</w:t>
      </w:r>
    </w:p>
    <w:p w14:paraId="27B5E435" w14:textId="77777777" w:rsidR="00430200" w:rsidRDefault="00430200" w:rsidP="00430200">
      <w:pPr>
        <w:pStyle w:val="Heading2"/>
      </w:pPr>
      <w:r w:rsidRPr="00430200">
        <w:lastRenderedPageBreak/>
        <w:t xml:space="preserve">Tourism </w:t>
      </w:r>
    </w:p>
    <w:p w14:paraId="08007D27" w14:textId="77777777" w:rsidR="00402481" w:rsidRDefault="00430200" w:rsidP="00A46DCD">
      <w:r>
        <w:t xml:space="preserve">Tourism before, during and </w:t>
      </w:r>
      <w:r w:rsidR="00402481">
        <w:t xml:space="preserve">particularly </w:t>
      </w:r>
      <w:r>
        <w:t>after the Games</w:t>
      </w:r>
      <w:r w:rsidR="00402481">
        <w:t xml:space="preserve"> has the potential to bring some of the </w:t>
      </w:r>
      <w:r>
        <w:t>biggest benefits</w:t>
      </w:r>
      <w:r w:rsidR="00402481">
        <w:t xml:space="preserve"> to the UK economy.</w:t>
      </w:r>
      <w:r w:rsidR="001B3790">
        <w:t xml:space="preserve"> </w:t>
      </w:r>
      <w:r w:rsidR="00A46DCD">
        <w:t xml:space="preserve">Tourism already makes a sizeable contribution to the London and UK economy: </w:t>
      </w:r>
    </w:p>
    <w:p w14:paraId="15CE07FA" w14:textId="1C20D2CC" w:rsidR="00430200" w:rsidRDefault="00402481" w:rsidP="00A46DCD">
      <w:pPr>
        <w:pStyle w:val="BulletOne"/>
      </w:pPr>
      <w:r>
        <w:t xml:space="preserve">Visits by non-UK residents to the UK increased from </w:t>
      </w:r>
      <w:r w:rsidRPr="00402481">
        <w:t>24.7 to 29.8 million</w:t>
      </w:r>
      <w:r>
        <w:t xml:space="preserve"> over the 2003 to 2010 period</w:t>
      </w:r>
      <w:r w:rsidR="00740BAD">
        <w:t xml:space="preserve">, with total </w:t>
      </w:r>
      <w:r w:rsidR="00EE5ED3">
        <w:t xml:space="preserve">expenditure </w:t>
      </w:r>
      <w:r w:rsidR="00740BAD">
        <w:t xml:space="preserve">amounting to </w:t>
      </w:r>
      <w:r w:rsidR="00EE5ED3" w:rsidRPr="00EE5ED3">
        <w:t>£16.</w:t>
      </w:r>
      <w:r>
        <w:t>9</w:t>
      </w:r>
      <w:r w:rsidR="00EE5ED3" w:rsidRPr="00EE5ED3">
        <w:t xml:space="preserve"> billion</w:t>
      </w:r>
      <w:r w:rsidR="00740BAD">
        <w:t xml:space="preserve"> </w:t>
      </w:r>
      <w:r w:rsidR="00740BAD" w:rsidRPr="00740BAD">
        <w:t>in 2010</w:t>
      </w:r>
      <w:r w:rsidR="00EE5ED3" w:rsidRPr="00EE5ED3">
        <w:t>.</w:t>
      </w:r>
      <w:r w:rsidR="00095D19">
        <w:t xml:space="preserve"> </w:t>
      </w:r>
      <w:r>
        <w:t xml:space="preserve">London </w:t>
      </w:r>
      <w:r w:rsidR="00A46DCD">
        <w:t>was the most popular region accounting for 49% of all international visits;</w:t>
      </w:r>
      <w:r w:rsidR="003E0CF4">
        <w:rPr>
          <w:rStyle w:val="FootnoteReference"/>
        </w:rPr>
        <w:footnoteReference w:id="16"/>
      </w:r>
      <w:r w:rsidR="00A46DCD">
        <w:t xml:space="preserve"> </w:t>
      </w:r>
    </w:p>
    <w:p w14:paraId="1C14CE40" w14:textId="0CB48186" w:rsidR="00A46DCD" w:rsidRPr="00A46DCD" w:rsidRDefault="00A46DCD" w:rsidP="00A46DCD">
      <w:pPr>
        <w:pStyle w:val="BulletOne"/>
      </w:pPr>
      <w:r w:rsidRPr="00A46DCD">
        <w:t xml:space="preserve">Overnight visits by UK residents to London totalled 11.6 million in 2010, representing a </w:t>
      </w:r>
      <w:r w:rsidR="00AB7FDA">
        <w:t>9.7</w:t>
      </w:r>
      <w:r w:rsidRPr="00A46DCD">
        <w:t>% share of the domestic tourism market, with associated visitor expenditure of £2.5 billion.</w:t>
      </w:r>
      <w:r w:rsidR="003E0CF4">
        <w:rPr>
          <w:rStyle w:val="FootnoteReference"/>
        </w:rPr>
        <w:footnoteReference w:id="17"/>
      </w:r>
    </w:p>
    <w:p w14:paraId="65392B37" w14:textId="0353EF5A" w:rsidR="00430200" w:rsidRDefault="00810BC7" w:rsidP="00430200">
      <w:r>
        <w:t>W</w:t>
      </w:r>
      <w:r w:rsidR="00430200">
        <w:t xml:space="preserve">ithout the </w:t>
      </w:r>
      <w:r w:rsidR="0043481C">
        <w:t xml:space="preserve">2012 </w:t>
      </w:r>
      <w:r w:rsidR="00430200">
        <w:t>Games</w:t>
      </w:r>
      <w:r w:rsidR="0043481C">
        <w:t>,</w:t>
      </w:r>
      <w:r w:rsidR="00430200">
        <w:t xml:space="preserve"> some kind of national </w:t>
      </w:r>
      <w:r>
        <w:t xml:space="preserve">tourism </w:t>
      </w:r>
      <w:r w:rsidR="00430200">
        <w:t xml:space="preserve">campaign </w:t>
      </w:r>
      <w:r>
        <w:t xml:space="preserve">advertising Britain </w:t>
      </w:r>
      <w:r w:rsidR="00430200">
        <w:t>would have gone ahead, although it is likely that this would have been on a much smaller scale than the marketing activity in place for the Games</w:t>
      </w:r>
      <w:r w:rsidR="002A4589">
        <w:t>, which includes an international marketing campaign with £120</w:t>
      </w:r>
      <w:r w:rsidR="001323FD">
        <w:t xml:space="preserve"> million </w:t>
      </w:r>
      <w:r w:rsidR="002A4589">
        <w:t>of public and private funding</w:t>
      </w:r>
      <w:r w:rsidR="00430200">
        <w:t>.</w:t>
      </w:r>
      <w:r>
        <w:t xml:space="preserve"> </w:t>
      </w:r>
      <w:r w:rsidR="00430200">
        <w:t>Crucially</w:t>
      </w:r>
      <w:r w:rsidR="0043481C">
        <w:t>,</w:t>
      </w:r>
      <w:r w:rsidR="00430200">
        <w:t xml:space="preserve"> the private sector would have had less incentive to invest in tourism infrastructure without the Games.</w:t>
      </w:r>
    </w:p>
    <w:p w14:paraId="5D3BBF23" w14:textId="77777777" w:rsidR="00810BC7" w:rsidRDefault="00810BC7" w:rsidP="00F30B75">
      <w:r>
        <w:t xml:space="preserve">Attendance at the 2012 Games is expected to reach </w:t>
      </w:r>
      <w:r w:rsidRPr="00810BC7">
        <w:t>5.3 million people with a peak of 508,000 on Day 8.</w:t>
      </w:r>
      <w:r>
        <w:rPr>
          <w:rStyle w:val="FootnoteReference"/>
        </w:rPr>
        <w:footnoteReference w:id="18"/>
      </w:r>
      <w:r>
        <w:t xml:space="preserve"> Previous research </w:t>
      </w:r>
      <w:r w:rsidR="002A6EB0">
        <w:t xml:space="preserve">estimates </w:t>
      </w:r>
      <w:r w:rsidRPr="00810BC7">
        <w:t xml:space="preserve">gross visitor spend in Britain generated by the London 2012 Games will be £2.34 billion for the ten year period 2007 to 2017, of which £1.85 </w:t>
      </w:r>
      <w:r>
        <w:t>billion will be spent in London.</w:t>
      </w:r>
      <w:r w:rsidR="002B4694">
        <w:rPr>
          <w:rStyle w:val="FootnoteReference"/>
        </w:rPr>
        <w:footnoteReference w:id="19"/>
      </w:r>
      <w:r>
        <w:t xml:space="preserve"> </w:t>
      </w:r>
    </w:p>
    <w:p w14:paraId="5820799B" w14:textId="48BE6AA2" w:rsidR="00704C38" w:rsidRDefault="00810BC7" w:rsidP="002A6EB0">
      <w:r>
        <w:t>In terms of the counterfa</w:t>
      </w:r>
      <w:r w:rsidR="00704C38">
        <w:t xml:space="preserve">ctual, survey evidence </w:t>
      </w:r>
      <w:r w:rsidR="007D3BCE">
        <w:t>in 2010</w:t>
      </w:r>
      <w:r w:rsidR="002A4589">
        <w:rPr>
          <w:rStyle w:val="FootnoteReference"/>
        </w:rPr>
        <w:footnoteReference w:id="20"/>
      </w:r>
      <w:r w:rsidR="007D3BCE">
        <w:t xml:space="preserve"> </w:t>
      </w:r>
      <w:r w:rsidR="00704C38">
        <w:t xml:space="preserve">suggests that the number of visitors in 2011 would </w:t>
      </w:r>
      <w:r w:rsidR="002A6EB0">
        <w:t xml:space="preserve">be more or less the </w:t>
      </w:r>
      <w:r w:rsidR="00704C38">
        <w:t>same</w:t>
      </w:r>
      <w:r w:rsidR="002A6EB0">
        <w:t xml:space="preserve"> without the Games</w:t>
      </w:r>
      <w:r w:rsidR="00F30B75">
        <w:t>.</w:t>
      </w:r>
      <w:r w:rsidR="00704C38">
        <w:t xml:space="preserve"> </w:t>
      </w:r>
      <w:r w:rsidR="00F30B75">
        <w:t xml:space="preserve">Some 22% of international visitors said the Games made them more likely to visit London </w:t>
      </w:r>
      <w:r w:rsidR="00704C38">
        <w:t xml:space="preserve">in 2011 </w:t>
      </w:r>
      <w:r w:rsidR="00F30B75">
        <w:t xml:space="preserve">whereas 21% said the </w:t>
      </w:r>
      <w:r w:rsidR="00704C38">
        <w:t xml:space="preserve">Games </w:t>
      </w:r>
      <w:r w:rsidR="00F30B75">
        <w:t xml:space="preserve">made them less likely. </w:t>
      </w:r>
    </w:p>
    <w:p w14:paraId="70E60B9E" w14:textId="7A0F7E18" w:rsidR="00704C38" w:rsidRDefault="00F30B75" w:rsidP="002A6EB0">
      <w:r>
        <w:t>D</w:t>
      </w:r>
      <w:r w:rsidR="00810BC7">
        <w:t xml:space="preserve">isplacement </w:t>
      </w:r>
      <w:r>
        <w:t xml:space="preserve">is expected to be </w:t>
      </w:r>
      <w:r w:rsidR="00704C38">
        <w:t xml:space="preserve">more of a </w:t>
      </w:r>
      <w:r>
        <w:t>factor in 2012</w:t>
      </w:r>
      <w:r w:rsidR="0043481C">
        <w:t xml:space="preserve"> when the Games are actually taking place</w:t>
      </w:r>
      <w:r>
        <w:t xml:space="preserve">. </w:t>
      </w:r>
      <w:r w:rsidR="0043481C">
        <w:t xml:space="preserve">Of those surveyed, </w:t>
      </w:r>
      <w:r>
        <w:t>30</w:t>
      </w:r>
      <w:r w:rsidR="00810BC7">
        <w:t xml:space="preserve">% </w:t>
      </w:r>
      <w:r>
        <w:t xml:space="preserve">thought they would be less likely to visit London </w:t>
      </w:r>
      <w:r w:rsidR="0043481C">
        <w:t xml:space="preserve">in quarter </w:t>
      </w:r>
      <w:r w:rsidR="005954F2">
        <w:t>1 2012</w:t>
      </w:r>
      <w:r w:rsidR="0043481C">
        <w:t xml:space="preserve">, </w:t>
      </w:r>
      <w:r>
        <w:t>compared to 15% who said they would be more likely. The main factors putting of</w:t>
      </w:r>
      <w:r w:rsidR="001B78BE">
        <w:t>f</w:t>
      </w:r>
      <w:r>
        <w:t xml:space="preserve"> people are higher prices and that hotels and </w:t>
      </w:r>
      <w:r w:rsidRPr="00F30B75">
        <w:t>restaurants</w:t>
      </w:r>
      <w:r>
        <w:t xml:space="preserve"> </w:t>
      </w:r>
      <w:r w:rsidR="00201918">
        <w:t xml:space="preserve">are expected to be </w:t>
      </w:r>
      <w:r>
        <w:t xml:space="preserve">busy. </w:t>
      </w:r>
      <w:r w:rsidR="0043481C">
        <w:t>T</w:t>
      </w:r>
      <w:r>
        <w:t xml:space="preserve">he difference is reduced to a net negative impact of 5% </w:t>
      </w:r>
      <w:r w:rsidR="0043481C">
        <w:t xml:space="preserve">in quarter 2 2012 </w:t>
      </w:r>
      <w:r w:rsidR="00704C38">
        <w:t xml:space="preserve">and </w:t>
      </w:r>
      <w:r w:rsidR="0046453F" w:rsidRPr="0046453F">
        <w:t xml:space="preserve">the situation reverses </w:t>
      </w:r>
      <w:r w:rsidR="00201918">
        <w:t xml:space="preserve">to </w:t>
      </w:r>
      <w:r w:rsidR="00704C38">
        <w:t xml:space="preserve">a </w:t>
      </w:r>
      <w:r>
        <w:t xml:space="preserve">14% net positive effect </w:t>
      </w:r>
      <w:r w:rsidR="0043481C">
        <w:t xml:space="preserve">in quarter 3 </w:t>
      </w:r>
      <w:r>
        <w:t xml:space="preserve">while the Games are </w:t>
      </w:r>
      <w:r w:rsidR="0046453F">
        <w:t>taking place</w:t>
      </w:r>
      <w:r>
        <w:t>.</w:t>
      </w:r>
      <w:r w:rsidR="00A82C04">
        <w:t xml:space="preserve"> </w:t>
      </w:r>
      <w:r w:rsidR="00F16FE0">
        <w:t xml:space="preserve">Tourism agencies in London and the UK </w:t>
      </w:r>
      <w:r w:rsidR="00A82C04">
        <w:t xml:space="preserve">are undertaking marketing campaigns in 2012 to </w:t>
      </w:r>
      <w:r w:rsidR="00F16FE0">
        <w:t xml:space="preserve">reduce </w:t>
      </w:r>
      <w:r w:rsidR="00A82C04">
        <w:t>th</w:t>
      </w:r>
      <w:r w:rsidR="002869EA">
        <w:t>is</w:t>
      </w:r>
      <w:r w:rsidR="00A82C04">
        <w:t xml:space="preserve"> </w:t>
      </w:r>
      <w:r w:rsidR="00F16FE0">
        <w:t xml:space="preserve">displacement effect. </w:t>
      </w:r>
    </w:p>
    <w:p w14:paraId="4458A435" w14:textId="77777777" w:rsidR="00810BC7" w:rsidRDefault="00F30B75" w:rsidP="00704C38">
      <w:r>
        <w:t xml:space="preserve">By 2013, the displacement effect </w:t>
      </w:r>
      <w:r w:rsidR="00704C38">
        <w:t xml:space="preserve">is expected to be </w:t>
      </w:r>
      <w:r>
        <w:t xml:space="preserve">eroded and tourism into London </w:t>
      </w:r>
      <w:r w:rsidR="00704C38">
        <w:t xml:space="preserve">should </w:t>
      </w:r>
      <w:r>
        <w:t>increase due to the 2012 Games</w:t>
      </w:r>
      <w:r w:rsidR="0043481C">
        <w:t xml:space="preserve">. Of those surveyed, </w:t>
      </w:r>
      <w:r>
        <w:t xml:space="preserve">12% </w:t>
      </w:r>
      <w:r w:rsidR="00201918">
        <w:t xml:space="preserve">thought the 2012 Games </w:t>
      </w:r>
      <w:r w:rsidR="0043481C">
        <w:t xml:space="preserve">would make them </w:t>
      </w:r>
      <w:r w:rsidR="00201918">
        <w:t>more likely to visit London and the UK</w:t>
      </w:r>
      <w:r>
        <w:t>.</w:t>
      </w:r>
    </w:p>
    <w:p w14:paraId="17A0702E" w14:textId="77777777" w:rsidR="00810BC7" w:rsidRDefault="00F30B75" w:rsidP="00810BC7">
      <w:r>
        <w:t>A</w:t>
      </w:r>
      <w:r w:rsidR="00810BC7">
        <w:t xml:space="preserve"> counterfactual </w:t>
      </w:r>
      <w:r>
        <w:t xml:space="preserve">for 2012 will be constructed in the next phases of the meta-evaluation, </w:t>
      </w:r>
      <w:r w:rsidR="00810BC7" w:rsidRPr="00810BC7">
        <w:t xml:space="preserve">derived from the </w:t>
      </w:r>
      <w:r w:rsidR="00DA5855">
        <w:t xml:space="preserve">International Passenger Survey </w:t>
      </w:r>
      <w:r>
        <w:t xml:space="preserve">and </w:t>
      </w:r>
      <w:r w:rsidR="00DA5855" w:rsidRPr="00DA5855">
        <w:t xml:space="preserve">Great Britain Tourism Survey </w:t>
      </w:r>
      <w:r w:rsidR="00201918">
        <w:t>results</w:t>
      </w:r>
      <w:r w:rsidR="00D2414A">
        <w:t xml:space="preserve">, as well </w:t>
      </w:r>
      <w:r w:rsidR="005954F2">
        <w:t>as custom</w:t>
      </w:r>
      <w:r w:rsidR="00201918">
        <w:t xml:space="preserve"> </w:t>
      </w:r>
      <w:r w:rsidR="00810BC7" w:rsidRPr="00810BC7">
        <w:t>primary research</w:t>
      </w:r>
      <w:r w:rsidR="00810BC7">
        <w:t>.</w:t>
      </w:r>
    </w:p>
    <w:p w14:paraId="00FC4FE9" w14:textId="77777777" w:rsidR="00430200" w:rsidRDefault="00430200" w:rsidP="00430200">
      <w:pPr>
        <w:pStyle w:val="Heading2"/>
      </w:pPr>
      <w:r>
        <w:t>Employability and skills development</w:t>
      </w:r>
      <w:r>
        <w:tab/>
      </w:r>
    </w:p>
    <w:p w14:paraId="6A923DC9" w14:textId="6870B4FD" w:rsidR="005E0DB2" w:rsidRDefault="005E0DB2" w:rsidP="00DA5855">
      <w:r w:rsidRPr="005E0DB2">
        <w:t>The employment rate across the whole of the UK declined slightly from 72.4% in 2004 to 70.2% in 2010. Conversely, the rate in the host boroughs</w:t>
      </w:r>
      <w:r w:rsidR="00201918">
        <w:t xml:space="preserve"> increased </w:t>
      </w:r>
      <w:r w:rsidRPr="005E0DB2">
        <w:t>from 59.0</w:t>
      </w:r>
      <w:r>
        <w:t>%</w:t>
      </w:r>
      <w:r w:rsidRPr="005E0DB2">
        <w:t xml:space="preserve"> in 2004 to 63.2</w:t>
      </w:r>
      <w:r>
        <w:t>%</w:t>
      </w:r>
      <w:r w:rsidRPr="005E0DB2">
        <w:t xml:space="preserve"> in 2010, showing a relatively significant upward trend and convergence towards both the London and UK averages.</w:t>
      </w:r>
      <w:r w:rsidR="00093920">
        <w:rPr>
          <w:rStyle w:val="FootnoteReference"/>
        </w:rPr>
        <w:footnoteReference w:id="21"/>
      </w:r>
    </w:p>
    <w:p w14:paraId="0759454E" w14:textId="362063E5" w:rsidR="00430200" w:rsidRDefault="005E0DB2" w:rsidP="00DA5855">
      <w:r>
        <w:t xml:space="preserve">In terms of the </w:t>
      </w:r>
      <w:r w:rsidR="00430200">
        <w:t>policy counterfactual</w:t>
      </w:r>
      <w:r>
        <w:t xml:space="preserve">, </w:t>
      </w:r>
      <w:r w:rsidR="00430200">
        <w:t xml:space="preserve">employment </w:t>
      </w:r>
      <w:r>
        <w:t xml:space="preserve">and skills </w:t>
      </w:r>
      <w:r w:rsidR="00430200">
        <w:t>projects directly linked to the Games (</w:t>
      </w:r>
      <w:proofErr w:type="spellStart"/>
      <w:r w:rsidR="00430200">
        <w:t>eg</w:t>
      </w:r>
      <w:proofErr w:type="spellEnd"/>
      <w:r w:rsidR="00430200">
        <w:t xml:space="preserve"> </w:t>
      </w:r>
      <w:r w:rsidR="00161781" w:rsidRPr="00161781">
        <w:t>Local Employment and Training Framework</w:t>
      </w:r>
      <w:r w:rsidR="00430200">
        <w:t xml:space="preserve">) and ODA and </w:t>
      </w:r>
      <w:r w:rsidR="00F05310">
        <w:t>t</w:t>
      </w:r>
      <w:r w:rsidR="00F05310" w:rsidRPr="00F05310">
        <w:t xml:space="preserve">he London </w:t>
      </w:r>
      <w:r w:rsidR="00F05310" w:rsidRPr="00F05310">
        <w:lastRenderedPageBreak/>
        <w:t>Organising Committee for the Olympic and Paralympic Games</w:t>
      </w:r>
      <w:r w:rsidR="00F05310">
        <w:t xml:space="preserve"> (LOCOG)</w:t>
      </w:r>
      <w:r w:rsidR="00430200">
        <w:t xml:space="preserve"> focused employment and outreach initiatives (including measures to boost the disabled workforce) exhibit high levels of policy additionality</w:t>
      </w:r>
      <w:r>
        <w:t xml:space="preserve">. However, some </w:t>
      </w:r>
      <w:r w:rsidR="00430200">
        <w:t xml:space="preserve">elements of the </w:t>
      </w:r>
      <w:r w:rsidR="00161781" w:rsidRPr="00161781">
        <w:t xml:space="preserve">London 2012 Employment and Skills Taskforce </w:t>
      </w:r>
      <w:r w:rsidR="00430200">
        <w:t>framework would have happened even in the absence of the Games</w:t>
      </w:r>
      <w:r w:rsidRPr="005E0DB2">
        <w:t xml:space="preserve"> as the framework </w:t>
      </w:r>
      <w:r w:rsidR="00201918">
        <w:t xml:space="preserve">is </w:t>
      </w:r>
      <w:r w:rsidRPr="005E0DB2">
        <w:t>built on existing initiatives already funded and delivered by a range of agencies.</w:t>
      </w:r>
    </w:p>
    <w:p w14:paraId="06C474E4" w14:textId="77777777" w:rsidR="005E0DB2" w:rsidRDefault="005E0DB2" w:rsidP="00DA5855">
      <w:r>
        <w:t xml:space="preserve">On the outcome counterfactual, it is </w:t>
      </w:r>
      <w:r w:rsidRPr="005E0DB2">
        <w:t>assumed that the national and regional impacts of the Games on employment and skills levels will be small in comparison with the effects of all public sector programmes focused on these outcomes.</w:t>
      </w:r>
      <w:r w:rsidR="00201918">
        <w:t xml:space="preserve"> A b</w:t>
      </w:r>
      <w:r w:rsidRPr="005E0DB2">
        <w:t>ottom-up approach</w:t>
      </w:r>
      <w:r w:rsidR="00201918">
        <w:t xml:space="preserve"> involving </w:t>
      </w:r>
      <w:r w:rsidRPr="005E0DB2">
        <w:t xml:space="preserve">identifying the </w:t>
      </w:r>
      <w:r w:rsidR="00201918">
        <w:t xml:space="preserve">numbers of </w:t>
      </w:r>
      <w:r w:rsidRPr="005E0DB2">
        <w:t>additional individuals that have increased their skills and moved into sustainable employment due to the Games</w:t>
      </w:r>
      <w:r w:rsidR="00201918">
        <w:t xml:space="preserve">, </w:t>
      </w:r>
      <w:r w:rsidRPr="005E0DB2">
        <w:t>drawing on relevant evaluation and survey evidence, will be most useful in constructing the counterfactual.</w:t>
      </w:r>
    </w:p>
    <w:p w14:paraId="39C5011B" w14:textId="77777777" w:rsidR="00430200" w:rsidRDefault="00430200" w:rsidP="00430200">
      <w:pPr>
        <w:pStyle w:val="Heading2"/>
      </w:pPr>
      <w:r>
        <w:t xml:space="preserve">Promoting sustainable business </w:t>
      </w:r>
    </w:p>
    <w:p w14:paraId="55C83E13" w14:textId="77777777" w:rsidR="00430200" w:rsidRDefault="00430200" w:rsidP="00DA5855">
      <w:r>
        <w:t xml:space="preserve">The creation of a </w:t>
      </w:r>
      <w:r w:rsidR="008A0E28">
        <w:t xml:space="preserve">sustainable </w:t>
      </w:r>
      <w:r>
        <w:t xml:space="preserve">business legacy is about taking a sustainable approach to the planning, construction, procurement and staging of the 2012 Games and then transferring good practice and knowledge to other UK businesses. Baseline </w:t>
      </w:r>
      <w:r w:rsidR="000070B1">
        <w:t>indicators are as follows</w:t>
      </w:r>
      <w:r>
        <w:t>:</w:t>
      </w:r>
    </w:p>
    <w:p w14:paraId="7E0253DD" w14:textId="7A5662D7" w:rsidR="00430200" w:rsidRDefault="00430200" w:rsidP="00D7322D">
      <w:pPr>
        <w:pStyle w:val="BulletOne"/>
      </w:pPr>
      <w:r>
        <w:t xml:space="preserve">If there was a 'business as usual' or industry standard approach to sustainability, the carbon footprint </w:t>
      </w:r>
      <w:r w:rsidR="00201918">
        <w:t xml:space="preserve">of the 2012 Games </w:t>
      </w:r>
      <w:r w:rsidR="00546611">
        <w:t>would be</w:t>
      </w:r>
      <w:r w:rsidR="00201918">
        <w:t xml:space="preserve"> expected to be </w:t>
      </w:r>
      <w:r>
        <w:t>3.4 million tonnes</w:t>
      </w:r>
      <w:r w:rsidR="0061785B">
        <w:t xml:space="preserve"> of carbon dioxide equivalents;</w:t>
      </w:r>
      <w:r w:rsidR="00093920">
        <w:rPr>
          <w:rStyle w:val="FootnoteReference"/>
        </w:rPr>
        <w:footnoteReference w:id="22"/>
      </w:r>
    </w:p>
    <w:p w14:paraId="3A5833E1" w14:textId="7C1F5D53" w:rsidR="00430200" w:rsidRDefault="004255C8" w:rsidP="004255C8">
      <w:pPr>
        <w:pStyle w:val="BulletOne"/>
      </w:pPr>
      <w:r>
        <w:t xml:space="preserve">The </w:t>
      </w:r>
      <w:r w:rsidRPr="004255C8">
        <w:t xml:space="preserve">Low Carbon and Environmental Goods and Services (LCEGS) </w:t>
      </w:r>
      <w:r w:rsidR="007B03B8">
        <w:t xml:space="preserve">sector </w:t>
      </w:r>
      <w:r w:rsidR="0096070F">
        <w:t xml:space="preserve">was </w:t>
      </w:r>
      <w:r w:rsidRPr="004255C8">
        <w:t xml:space="preserve">estimated </w:t>
      </w:r>
      <w:r>
        <w:t xml:space="preserve">to employ around </w:t>
      </w:r>
      <w:r w:rsidRPr="004255C8">
        <w:t xml:space="preserve">910,000 </w:t>
      </w:r>
      <w:r>
        <w:t xml:space="preserve">people </w:t>
      </w:r>
      <w:r w:rsidRPr="004255C8">
        <w:t>in 2008/09</w:t>
      </w:r>
      <w:r w:rsidR="0096070F">
        <w:t>,</w:t>
      </w:r>
      <w:r>
        <w:t xml:space="preserve"> </w:t>
      </w:r>
      <w:r w:rsidR="007E279D">
        <w:t>with around</w:t>
      </w:r>
      <w:r>
        <w:t xml:space="preserve"> </w:t>
      </w:r>
      <w:r w:rsidR="00430200">
        <w:t xml:space="preserve">157,000 employees working in </w:t>
      </w:r>
      <w:r>
        <w:t>London.</w:t>
      </w:r>
      <w:r w:rsidR="00093920">
        <w:rPr>
          <w:rStyle w:val="FootnoteReference"/>
        </w:rPr>
        <w:footnoteReference w:id="23"/>
      </w:r>
      <w:r>
        <w:t xml:space="preserve"> </w:t>
      </w:r>
    </w:p>
    <w:p w14:paraId="64CB1C79" w14:textId="77777777" w:rsidR="00430200" w:rsidRDefault="00430200" w:rsidP="004255C8">
      <w:r>
        <w:t>In the absence of the Games, it could be expected that existing trends in the adoption of green business practices would continue (rather than be accelerated because of the Games influence) and that rates of business and employment growth in the green sector would be lower.</w:t>
      </w:r>
    </w:p>
    <w:p w14:paraId="5F1030B6" w14:textId="77777777" w:rsidR="004255C8" w:rsidRDefault="007630A3" w:rsidP="004255C8">
      <w:r>
        <w:t>The t</w:t>
      </w:r>
      <w:r w:rsidRPr="004255C8">
        <w:t>ake up of the new BS8901 events management quality standard to promote sustainable practices within the industry</w:t>
      </w:r>
      <w:r>
        <w:t xml:space="preserve"> </w:t>
      </w:r>
      <w:r w:rsidRPr="004255C8">
        <w:t>will provide</w:t>
      </w:r>
      <w:r>
        <w:t xml:space="preserve"> a</w:t>
      </w:r>
      <w:r w:rsidRPr="004255C8">
        <w:t xml:space="preserve"> useful </w:t>
      </w:r>
      <w:proofErr w:type="spellStart"/>
      <w:r w:rsidRPr="004255C8">
        <w:t>ongoing</w:t>
      </w:r>
      <w:proofErr w:type="spellEnd"/>
      <w:r w:rsidRPr="004255C8">
        <w:t xml:space="preserve"> measure of additional impact linked to the Games.</w:t>
      </w:r>
    </w:p>
    <w:p w14:paraId="0B299F65" w14:textId="77777777" w:rsidR="00430200" w:rsidRDefault="00932DF2" w:rsidP="00430200">
      <w:pPr>
        <w:pStyle w:val="Heading2"/>
      </w:pPr>
      <w:r>
        <w:t xml:space="preserve">Disability </w:t>
      </w:r>
    </w:p>
    <w:p w14:paraId="56D4A109" w14:textId="77777777" w:rsidR="00DB2781" w:rsidRDefault="00DB2781" w:rsidP="00DB2781">
      <w:r w:rsidRPr="00DB2781">
        <w:t xml:space="preserve">Disabled people can face difficulties accessing transport, including public transport, and Games-led legacy initiatives aim to help alleviate these problems, particularly within London. </w:t>
      </w:r>
      <w:r>
        <w:t>T</w:t>
      </w:r>
      <w:r w:rsidRPr="00DB2781">
        <w:t xml:space="preserve">ackling barriers to employment </w:t>
      </w:r>
      <w:r>
        <w:t xml:space="preserve">and improving skills </w:t>
      </w:r>
      <w:r w:rsidRPr="00DB2781">
        <w:t xml:space="preserve">among disabled people </w:t>
      </w:r>
      <w:r>
        <w:t xml:space="preserve">is also a key feature of the disability legacy. In terms of the baseline: </w:t>
      </w:r>
    </w:p>
    <w:p w14:paraId="3632AAB7" w14:textId="510DEB11" w:rsidR="00430200" w:rsidRDefault="00430200" w:rsidP="00DB2781">
      <w:pPr>
        <w:pStyle w:val="BulletOne"/>
      </w:pPr>
      <w:r>
        <w:t xml:space="preserve">The proportion of disabled people likely to report having difficulties in using transport declined </w:t>
      </w:r>
      <w:r w:rsidR="00DB2781">
        <w:t>from 2</w:t>
      </w:r>
      <w:r w:rsidR="00E05151">
        <w:t>7</w:t>
      </w:r>
      <w:r w:rsidR="00DB2781">
        <w:t>% in 2005 to 2</w:t>
      </w:r>
      <w:r w:rsidR="00E05151">
        <w:t>3</w:t>
      </w:r>
      <w:r w:rsidR="00DB2781">
        <w:t xml:space="preserve">% in </w:t>
      </w:r>
      <w:r>
        <w:t>20</w:t>
      </w:r>
      <w:r w:rsidR="00E05151">
        <w:t>10</w:t>
      </w:r>
      <w:r w:rsidR="00DB2781">
        <w:t>;</w:t>
      </w:r>
      <w:r w:rsidR="00093920">
        <w:rPr>
          <w:rStyle w:val="FootnoteReference"/>
        </w:rPr>
        <w:footnoteReference w:id="24"/>
      </w:r>
      <w:r>
        <w:t xml:space="preserve"> </w:t>
      </w:r>
    </w:p>
    <w:p w14:paraId="50CBFD28" w14:textId="128A2A05" w:rsidR="00430200" w:rsidRDefault="00430200" w:rsidP="00D7322D">
      <w:pPr>
        <w:pStyle w:val="BulletOne"/>
      </w:pPr>
      <w:r>
        <w:t xml:space="preserve">Only 47.3% of London's disabled working age people were in employment in 2009 compared </w:t>
      </w:r>
      <w:r w:rsidR="00201918">
        <w:t xml:space="preserve">to </w:t>
      </w:r>
      <w:r>
        <w:t>around 70% for the general working age population.</w:t>
      </w:r>
      <w:r w:rsidR="00093920">
        <w:rPr>
          <w:rStyle w:val="FootnoteReference"/>
        </w:rPr>
        <w:footnoteReference w:id="25"/>
      </w:r>
    </w:p>
    <w:p w14:paraId="3CBBB6BB" w14:textId="10EEE06E" w:rsidR="00430200" w:rsidRDefault="00430200" w:rsidP="00DB2781">
      <w:r>
        <w:t>Accessibility improvements funded directly by the ODA would not have taken place in the absence of the Games</w:t>
      </w:r>
      <w:r w:rsidR="0096070F">
        <w:t>;</w:t>
      </w:r>
      <w:r>
        <w:t xml:space="preserve"> however, some </w:t>
      </w:r>
      <w:r w:rsidR="0046453F">
        <w:t xml:space="preserve">other </w:t>
      </w:r>
      <w:r>
        <w:t xml:space="preserve">improvements and investments were already taking place, often led by wider national partners like </w:t>
      </w:r>
      <w:r w:rsidR="00161781">
        <w:t xml:space="preserve">Department for Transport </w:t>
      </w:r>
      <w:r>
        <w:t>(</w:t>
      </w:r>
      <w:proofErr w:type="spellStart"/>
      <w:r>
        <w:t>eg</w:t>
      </w:r>
      <w:proofErr w:type="spellEnd"/>
      <w:r>
        <w:t xml:space="preserve"> step free access at various national rail stations). As of late 2010, 22.2% of London Underground stations were step-free from street to platform and 3.7% were step free from train to platform.</w:t>
      </w:r>
      <w:r w:rsidR="00093920">
        <w:rPr>
          <w:rStyle w:val="FootnoteReference"/>
        </w:rPr>
        <w:footnoteReference w:id="26"/>
      </w:r>
    </w:p>
    <w:p w14:paraId="42C711E1" w14:textId="5A70EA7D" w:rsidR="008140CA" w:rsidRPr="00EE284B" w:rsidRDefault="00DB2781" w:rsidP="00500ED5">
      <w:r w:rsidRPr="00DB2781">
        <w:lastRenderedPageBreak/>
        <w:t>Since 2008</w:t>
      </w:r>
      <w:r w:rsidR="00201918">
        <w:t>,</w:t>
      </w:r>
      <w:r w:rsidRPr="00DB2781">
        <w:t xml:space="preserve"> LOCOG have set in place ‘Access Now’ a scheme to ensure the diversity of its workforce</w:t>
      </w:r>
      <w:r>
        <w:t xml:space="preserve">, </w:t>
      </w:r>
      <w:r w:rsidRPr="00DB2781">
        <w:t>specifically targeting disabled people</w:t>
      </w:r>
      <w:r>
        <w:t xml:space="preserve">. LOCOG also </w:t>
      </w:r>
      <w:r w:rsidRPr="00DB2781">
        <w:t>track the numbers of disabled people they have recruited to help prepare for and stage the Games.</w:t>
      </w:r>
    </w:p>
    <w:p w14:paraId="6A05BC8D" w14:textId="77777777" w:rsidR="00E41C3B" w:rsidRDefault="002D4648" w:rsidP="00E41C3B">
      <w:pPr>
        <w:pStyle w:val="Heading1"/>
      </w:pPr>
      <w:bookmarkStart w:id="6" w:name="_Toc314489497"/>
      <w:r>
        <w:lastRenderedPageBreak/>
        <w:t xml:space="preserve">Promoting </w:t>
      </w:r>
      <w:r w:rsidR="00E41C3B" w:rsidRPr="00E41C3B">
        <w:t>community engagement and participation</w:t>
      </w:r>
      <w:bookmarkEnd w:id="6"/>
      <w:r w:rsidR="00E41C3B" w:rsidRPr="00E41C3B">
        <w:t xml:space="preserve"> </w:t>
      </w:r>
    </w:p>
    <w:p w14:paraId="791F68ED" w14:textId="77777777" w:rsidR="00F719B6" w:rsidRPr="00E324F8" w:rsidRDefault="00F719B6" w:rsidP="00F719B6">
      <w:pPr>
        <w:pBdr>
          <w:top w:val="single" w:sz="4" w:space="5" w:color="auto"/>
          <w:left w:val="single" w:sz="4" w:space="4" w:color="auto"/>
          <w:bottom w:val="single" w:sz="4" w:space="1" w:color="auto"/>
          <w:right w:val="single" w:sz="4" w:space="4" w:color="auto"/>
        </w:pBdr>
        <w:shd w:val="clear" w:color="auto" w:fill="CC99FF"/>
        <w:rPr>
          <w:i/>
        </w:rPr>
      </w:pPr>
      <w:r w:rsidRPr="00F64BA5">
        <w:rPr>
          <w:i/>
        </w:rPr>
        <w:t xml:space="preserve">Headline </w:t>
      </w:r>
      <w:r>
        <w:rPr>
          <w:i/>
        </w:rPr>
        <w:t xml:space="preserve">research question: </w:t>
      </w:r>
      <w:r w:rsidRPr="004B074B">
        <w:rPr>
          <w:i/>
        </w:rPr>
        <w:t>What have been the social impacts of the Games, particularly in terms of volunteering, the cultural sector and community engagement?</w:t>
      </w:r>
    </w:p>
    <w:p w14:paraId="45094807" w14:textId="77777777" w:rsidR="00D030E8" w:rsidRDefault="00766979" w:rsidP="008E585A">
      <w:r>
        <w:t xml:space="preserve">The legacy plans </w:t>
      </w:r>
      <w:r w:rsidR="007222B5">
        <w:t>under this theme</w:t>
      </w:r>
      <w:r>
        <w:t xml:space="preserve"> aim to promote community engagement and participation in community-based activities including volunteering, leading to more cohesive and proactive communities and supporting the creation of the Big Society. </w:t>
      </w:r>
    </w:p>
    <w:p w14:paraId="101D1F05" w14:textId="77777777" w:rsidR="00766979" w:rsidRDefault="00D030E8" w:rsidP="008E585A">
      <w:r>
        <w:t xml:space="preserve">The baseline assessment across the sub-themes of </w:t>
      </w:r>
      <w:r w:rsidR="0046453F">
        <w:t xml:space="preserve">the </w:t>
      </w:r>
      <w:r>
        <w:t xml:space="preserve">community engagement legacy theme are summarised below. </w:t>
      </w:r>
      <w:r w:rsidR="00766979">
        <w:t>The baseline indicators include engagement in volunteering and cultural activities, educational attainment, sustainabl</w:t>
      </w:r>
      <w:r w:rsidR="0046453F">
        <w:t xml:space="preserve">e </w:t>
      </w:r>
      <w:r w:rsidR="0046453F" w:rsidRPr="0046453F">
        <w:t>behaviours</w:t>
      </w:r>
      <w:r w:rsidR="00766979">
        <w:t xml:space="preserve"> and attitudes towards disability.</w:t>
      </w:r>
      <w:r w:rsidRPr="00D030E8">
        <w:t xml:space="preserve"> </w:t>
      </w:r>
    </w:p>
    <w:p w14:paraId="483BBA90" w14:textId="77777777" w:rsidR="00766979" w:rsidRDefault="00766979" w:rsidP="00766979">
      <w:pPr>
        <w:pStyle w:val="Heading2"/>
      </w:pPr>
      <w:r>
        <w:t xml:space="preserve">Volunteering and social action </w:t>
      </w:r>
    </w:p>
    <w:p w14:paraId="3671058C" w14:textId="77777777" w:rsidR="00CD33AE" w:rsidRDefault="00766979" w:rsidP="00F27E80">
      <w:r>
        <w:t>Participation in volunteering has experienced a small decline nationally since peaking at 44% in 2005.</w:t>
      </w:r>
      <w:r w:rsidR="00F27E80">
        <w:t xml:space="preserve"> </w:t>
      </w:r>
      <w:r w:rsidR="00201918">
        <w:t>Volunteering rates in London are below the national average</w:t>
      </w:r>
      <w:r w:rsidR="000A6EA0">
        <w:t>, with o</w:t>
      </w:r>
      <w:r w:rsidR="00201918">
        <w:t xml:space="preserve">nly 35% of Londoners </w:t>
      </w:r>
      <w:r w:rsidR="000A6EA0">
        <w:t xml:space="preserve">undertaking </w:t>
      </w:r>
      <w:r w:rsidR="00201918">
        <w:t>formal volunteering</w:t>
      </w:r>
      <w:r w:rsidR="00332CDC">
        <w:rPr>
          <w:rStyle w:val="FootnoteReference"/>
        </w:rPr>
        <w:footnoteReference w:id="27"/>
      </w:r>
      <w:r w:rsidR="00201918">
        <w:t xml:space="preserve"> over the previous 12 months in 2009/10, </w:t>
      </w:r>
      <w:r w:rsidR="000A6EA0">
        <w:t xml:space="preserve">the </w:t>
      </w:r>
      <w:r w:rsidR="00201918">
        <w:t xml:space="preserve">second lowest rate in England after the North West. </w:t>
      </w:r>
    </w:p>
    <w:p w14:paraId="28EEA088" w14:textId="77777777" w:rsidR="00766979" w:rsidRDefault="00766979" w:rsidP="00766979">
      <w:pPr>
        <w:pStyle w:val="Caption"/>
      </w:pPr>
      <w:r>
        <w:t xml:space="preserve">Figure </w:t>
      </w:r>
      <w:r w:rsidR="003F5FF9">
        <w:fldChar w:fldCharType="begin"/>
      </w:r>
      <w:r w:rsidR="003F5FF9">
        <w:instrText xml:space="preserve"> STYLEREF 1 \s </w:instrText>
      </w:r>
      <w:r w:rsidR="003F5FF9">
        <w:fldChar w:fldCharType="separate"/>
      </w:r>
      <w:r w:rsidR="00B617B0">
        <w:rPr>
          <w:noProof/>
        </w:rPr>
        <w:t>5</w:t>
      </w:r>
      <w:r w:rsidR="003F5FF9">
        <w:rPr>
          <w:noProof/>
        </w:rPr>
        <w:fldChar w:fldCharType="end"/>
      </w:r>
      <w:r>
        <w:noBreakHyphen/>
      </w:r>
      <w:r w:rsidR="003F5FF9">
        <w:fldChar w:fldCharType="begin"/>
      </w:r>
      <w:r w:rsidR="003F5FF9">
        <w:instrText xml:space="preserve"> SEQ Figure \* ARABIC \s 1 </w:instrText>
      </w:r>
      <w:r w:rsidR="003F5FF9">
        <w:fldChar w:fldCharType="separate"/>
      </w:r>
      <w:r w:rsidR="00B617B0">
        <w:rPr>
          <w:noProof/>
        </w:rPr>
        <w:t>1</w:t>
      </w:r>
      <w:r w:rsidR="003F5FF9">
        <w:rPr>
          <w:noProof/>
        </w:rPr>
        <w:fldChar w:fldCharType="end"/>
      </w:r>
      <w:r>
        <w:t xml:space="preserve">: Percentage of the population volunteering at least once </w:t>
      </w:r>
      <w:r w:rsidR="0046453F" w:rsidRPr="0046453F">
        <w:t>in the last 12 months</w:t>
      </w:r>
    </w:p>
    <w:p w14:paraId="65913E9F" w14:textId="3D42106E" w:rsidR="00766979" w:rsidRDefault="00937B7F" w:rsidP="00CD33AE">
      <w:pPr>
        <w:spacing w:before="0" w:after="0"/>
      </w:pPr>
      <w:r w:rsidRPr="00937B7F">
        <w:rPr>
          <w:noProof/>
          <w:lang w:eastAsia="en-GB"/>
        </w:rPr>
        <w:t xml:space="preserve"> </w:t>
      </w:r>
      <w:r w:rsidR="00CF5381">
        <w:rPr>
          <w:noProof/>
          <w:lang w:eastAsia="en-GB"/>
        </w:rPr>
        <w:drawing>
          <wp:inline distT="0" distB="0" distL="0" distR="0" wp14:anchorId="644AB1BE" wp14:editId="7ADE4D22">
            <wp:extent cx="3959860" cy="2520315"/>
            <wp:effectExtent l="0" t="0" r="254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59860" cy="2520315"/>
                    </a:xfrm>
                    <a:prstGeom prst="rect">
                      <a:avLst/>
                    </a:prstGeom>
                    <a:noFill/>
                    <a:ln>
                      <a:noFill/>
                    </a:ln>
                  </pic:spPr>
                </pic:pic>
              </a:graphicData>
            </a:graphic>
          </wp:inline>
        </w:drawing>
      </w:r>
    </w:p>
    <w:p w14:paraId="101C42F7" w14:textId="77777777" w:rsidR="00766979" w:rsidRPr="00766979" w:rsidRDefault="00766979" w:rsidP="00766979">
      <w:pPr>
        <w:rPr>
          <w:i/>
          <w:sz w:val="18"/>
          <w:szCs w:val="18"/>
        </w:rPr>
      </w:pPr>
      <w:r w:rsidRPr="00766979">
        <w:rPr>
          <w:i/>
          <w:sz w:val="18"/>
          <w:szCs w:val="18"/>
        </w:rPr>
        <w:t>Source: Citizenship Survey</w:t>
      </w:r>
    </w:p>
    <w:p w14:paraId="2741B21B" w14:textId="77777777" w:rsidR="00CD33AE" w:rsidRDefault="0046453F" w:rsidP="008E585A">
      <w:r w:rsidRPr="0046453F">
        <w:t>More frequent participation in</w:t>
      </w:r>
      <w:r w:rsidR="00CD33AE">
        <w:t xml:space="preserve"> </w:t>
      </w:r>
      <w:r w:rsidR="00766979">
        <w:t>volunteer</w:t>
      </w:r>
      <w:r w:rsidR="00CD33AE">
        <w:t xml:space="preserve">ing shows similar trends, with 25% of the </w:t>
      </w:r>
      <w:r w:rsidR="00CD33AE" w:rsidRPr="00CD33AE">
        <w:t>population of England volunteer</w:t>
      </w:r>
      <w:r w:rsidR="007222B5">
        <w:t>ing</w:t>
      </w:r>
      <w:r w:rsidR="00CD33AE" w:rsidRPr="00CD33AE">
        <w:t xml:space="preserve"> formally at least once a month in 2009/10</w:t>
      </w:r>
      <w:r w:rsidR="00CD33AE">
        <w:t>, compared to 20% in London</w:t>
      </w:r>
      <w:r w:rsidR="008E585A">
        <w:t>.</w:t>
      </w:r>
      <w:r w:rsidR="00CD33AE">
        <w:t xml:space="preserve"> </w:t>
      </w:r>
    </w:p>
    <w:p w14:paraId="1E5A8E60" w14:textId="1373ECC6" w:rsidR="00CD33AE" w:rsidRDefault="00CD33AE" w:rsidP="008E585A">
      <w:r>
        <w:t xml:space="preserve">The </w:t>
      </w:r>
      <w:r w:rsidR="0037438B">
        <w:t xml:space="preserve">scale of </w:t>
      </w:r>
      <w:r w:rsidRPr="00CD33AE">
        <w:t xml:space="preserve">promotion of volunteering and engagement </w:t>
      </w:r>
      <w:r w:rsidR="0037438B">
        <w:t>generated by the Games</w:t>
      </w:r>
      <w:r w:rsidRPr="00CD33AE">
        <w:t xml:space="preserve"> </w:t>
      </w:r>
      <w:r w:rsidR="0046453F">
        <w:t>(</w:t>
      </w:r>
      <w:proofErr w:type="spellStart"/>
      <w:r w:rsidR="0046453F">
        <w:t>eg</w:t>
      </w:r>
      <w:proofErr w:type="spellEnd"/>
      <w:r w:rsidR="0046453F">
        <w:t xml:space="preserve"> </w:t>
      </w:r>
      <w:r>
        <w:t xml:space="preserve">through </w:t>
      </w:r>
      <w:r w:rsidRPr="00CD33AE">
        <w:t>Games Makers and the Inspire Mark programme</w:t>
      </w:r>
      <w:r w:rsidR="0046453F">
        <w:t>)</w:t>
      </w:r>
      <w:r w:rsidRPr="00CD33AE">
        <w:t xml:space="preserve"> is very unlikely to have happened if London had not been chosen to host the 2012 Games.</w:t>
      </w:r>
      <w:r>
        <w:t xml:space="preserve"> There would have probably been </w:t>
      </w:r>
      <w:r w:rsidR="003867DF">
        <w:t>greater</w:t>
      </w:r>
      <w:r>
        <w:t xml:space="preserve"> interest in </w:t>
      </w:r>
      <w:r w:rsidRPr="00CD33AE">
        <w:t xml:space="preserve">volunteering </w:t>
      </w:r>
      <w:r>
        <w:t xml:space="preserve">as part of the Big Society </w:t>
      </w:r>
      <w:r w:rsidR="0046453F">
        <w:t xml:space="preserve">agenda </w:t>
      </w:r>
      <w:r>
        <w:t xml:space="preserve">but it is expected that it would have taken some time to </w:t>
      </w:r>
      <w:r w:rsidR="008E585A">
        <w:t xml:space="preserve">introduce </w:t>
      </w:r>
      <w:r>
        <w:t xml:space="preserve">specific volunteering initiatives. </w:t>
      </w:r>
    </w:p>
    <w:p w14:paraId="1314C72E" w14:textId="77777777" w:rsidR="00766979" w:rsidRDefault="00201918" w:rsidP="00766979">
      <w:r>
        <w:t>I</w:t>
      </w:r>
      <w:r w:rsidR="00766979">
        <w:t xml:space="preserve">n the absence of Games-related volunteering activities, participation in volunteering would </w:t>
      </w:r>
      <w:r w:rsidR="0046453F">
        <w:t xml:space="preserve">be expected to </w:t>
      </w:r>
      <w:r w:rsidR="00766979">
        <w:t>have continued to decline</w:t>
      </w:r>
      <w:r>
        <w:t xml:space="preserve"> in the short-term, </w:t>
      </w:r>
      <w:r w:rsidR="0046453F">
        <w:t xml:space="preserve">perhaps by </w:t>
      </w:r>
      <w:r w:rsidR="006B12AE">
        <w:t>around 1</w:t>
      </w:r>
      <w:r w:rsidR="00766979">
        <w:t xml:space="preserve"> percentage point per year</w:t>
      </w:r>
      <w:r w:rsidR="0046453F">
        <w:t xml:space="preserve"> </w:t>
      </w:r>
      <w:r w:rsidR="0046453F" w:rsidRPr="0046453F">
        <w:t>based on a continuation of recent trends</w:t>
      </w:r>
      <w:r w:rsidR="00766979">
        <w:t>.</w:t>
      </w:r>
    </w:p>
    <w:p w14:paraId="1F29DC12" w14:textId="77777777" w:rsidR="00766979" w:rsidRDefault="00766979" w:rsidP="00766979">
      <w:pPr>
        <w:pStyle w:val="Heading2"/>
      </w:pPr>
      <w:r w:rsidRPr="00766979">
        <w:lastRenderedPageBreak/>
        <w:t>Culture</w:t>
      </w:r>
      <w:r>
        <w:t xml:space="preserve"> </w:t>
      </w:r>
    </w:p>
    <w:p w14:paraId="23EC6666" w14:textId="740BFB25" w:rsidR="00766979" w:rsidRDefault="00766979" w:rsidP="00766979">
      <w:r>
        <w:t>Engagement with culture and with the arts has remained relatively unchanged over the last five years</w:t>
      </w:r>
      <w:r w:rsidR="00B92AB5">
        <w:t>. Participation in arts activities is polarised – 60% participate at least three times a year but 25% never participate</w:t>
      </w:r>
      <w:r w:rsidR="00E93BBD">
        <w:t>.</w:t>
      </w:r>
      <w:r w:rsidR="00B92AB5">
        <w:t xml:space="preserve"> </w:t>
      </w:r>
    </w:p>
    <w:p w14:paraId="743F2CD4" w14:textId="77777777" w:rsidR="00766979" w:rsidRDefault="00B92AB5" w:rsidP="00D7322D">
      <w:r>
        <w:t>The Cultural Olympiad</w:t>
      </w:r>
      <w:r w:rsidR="009A6CD3">
        <w:t>, a four year programme of cultural activity,</w:t>
      </w:r>
      <w:r>
        <w:t xml:space="preserve"> is an integral element of the 2012 Games. </w:t>
      </w:r>
      <w:r w:rsidR="00D95FC8">
        <w:t xml:space="preserve">In the absence of the 2012 </w:t>
      </w:r>
      <w:r w:rsidR="00766979">
        <w:t>Games, there would have been no major new policy interventions focused on increasing cultural participation or developing the creative sector</w:t>
      </w:r>
      <w:r w:rsidR="007222B5">
        <w:t>; however</w:t>
      </w:r>
      <w:r w:rsidR="0046453F">
        <w:t xml:space="preserve"> </w:t>
      </w:r>
      <w:r w:rsidR="0046453F" w:rsidRPr="0046453F">
        <w:t>the Games has resulted in some</w:t>
      </w:r>
      <w:r w:rsidR="0046453F">
        <w:t xml:space="preserve"> diversion of National Lottery funding </w:t>
      </w:r>
      <w:r w:rsidR="0046453F" w:rsidRPr="0046453F">
        <w:t>from the arts and heritage good cause areas</w:t>
      </w:r>
      <w:r w:rsidR="00766979">
        <w:t>.</w:t>
      </w:r>
    </w:p>
    <w:p w14:paraId="36A7B455" w14:textId="32627BE3" w:rsidR="00766979" w:rsidRDefault="00D95FC8" w:rsidP="00D95FC8">
      <w:r>
        <w:t>F</w:t>
      </w:r>
      <w:r w:rsidR="00766979">
        <w:t>or the outcome counterfactual</w:t>
      </w:r>
      <w:r>
        <w:t xml:space="preserve">, it is expected that </w:t>
      </w:r>
      <w:r w:rsidR="00766979">
        <w:t>existing trends (</w:t>
      </w:r>
      <w:proofErr w:type="spellStart"/>
      <w:r w:rsidR="00766979">
        <w:t>ie</w:t>
      </w:r>
      <w:proofErr w:type="spellEnd"/>
      <w:r w:rsidR="00766979">
        <w:t xml:space="preserve"> prior to the date that Cultural Olympiad activity commenced) would have continued in the absence of the Games. For cultural participation this suggests in the short-term a continuation of modest growth in attendance at cultural facilities and little growth in arts participation. </w:t>
      </w:r>
    </w:p>
    <w:p w14:paraId="5ABDE955" w14:textId="77777777" w:rsidR="00766979" w:rsidRDefault="00766979" w:rsidP="00766979">
      <w:pPr>
        <w:pStyle w:val="Heading2"/>
      </w:pPr>
      <w:r w:rsidRPr="00766979">
        <w:t>Engaging children and young people</w:t>
      </w:r>
      <w:r>
        <w:t xml:space="preserve"> </w:t>
      </w:r>
    </w:p>
    <w:p w14:paraId="42AD5485" w14:textId="77777777" w:rsidR="00766979" w:rsidRDefault="00766979" w:rsidP="00EF1B2B">
      <w:r>
        <w:t xml:space="preserve">Activity under this sub-theme aims to use the Olympic and Paralympic values as a means to inspire and motivate children and young people. Educational attainment and attendance </w:t>
      </w:r>
      <w:r w:rsidR="003E5622" w:rsidRPr="003E5622">
        <w:t>data for the host boroughs provides a proxy for these inspirational effects</w:t>
      </w:r>
      <w:r>
        <w:t xml:space="preserve">: </w:t>
      </w:r>
    </w:p>
    <w:p w14:paraId="0E9048B6" w14:textId="31206A26" w:rsidR="00766979" w:rsidRDefault="00766979" w:rsidP="003E5622">
      <w:pPr>
        <w:pStyle w:val="BulletOne"/>
      </w:pPr>
      <w:r>
        <w:t xml:space="preserve">Educational attainment has been improving across England, with the percentage of pupils achieving five or more </w:t>
      </w:r>
      <w:r w:rsidR="003E5622" w:rsidRPr="003E5622">
        <w:t xml:space="preserve">A*-C grades </w:t>
      </w:r>
      <w:r w:rsidR="00083CD0">
        <w:t xml:space="preserve">including English and mathematics </w:t>
      </w:r>
      <w:r w:rsidR="003E5622" w:rsidRPr="003E5622">
        <w:t xml:space="preserve">at </w:t>
      </w:r>
      <w:r>
        <w:t>GCSE increas</w:t>
      </w:r>
      <w:r w:rsidR="007222B5">
        <w:t>ing</w:t>
      </w:r>
      <w:r>
        <w:t xml:space="preserve"> from </w:t>
      </w:r>
      <w:r w:rsidR="00083CD0">
        <w:t>44.7</w:t>
      </w:r>
      <w:r>
        <w:t>% in 200</w:t>
      </w:r>
      <w:r w:rsidR="00083CD0">
        <w:t>4</w:t>
      </w:r>
      <w:r>
        <w:t>/0</w:t>
      </w:r>
      <w:r w:rsidR="00083CD0">
        <w:t>5</w:t>
      </w:r>
      <w:r>
        <w:t xml:space="preserve"> </w:t>
      </w:r>
      <w:r w:rsidR="000A6EA0" w:rsidRPr="000A6EA0">
        <w:t xml:space="preserve">to </w:t>
      </w:r>
      <w:r w:rsidR="00083CD0">
        <w:t>5</w:t>
      </w:r>
      <w:r w:rsidR="000A6EA0" w:rsidRPr="000A6EA0">
        <w:t>8.</w:t>
      </w:r>
      <w:r w:rsidR="00083CD0">
        <w:t>3</w:t>
      </w:r>
      <w:r w:rsidR="000A6EA0" w:rsidRPr="000A6EA0">
        <w:t>% in 2010/11</w:t>
      </w:r>
      <w:r>
        <w:t>.</w:t>
      </w:r>
      <w:r w:rsidR="00B92437">
        <w:rPr>
          <w:rStyle w:val="FootnoteReference"/>
        </w:rPr>
        <w:footnoteReference w:id="28"/>
      </w:r>
      <w:r>
        <w:t xml:space="preserve"> Performance in the host boroughs has been lower</w:t>
      </w:r>
      <w:r w:rsidR="00332CDC">
        <w:t xml:space="preserve"> </w:t>
      </w:r>
      <w:r w:rsidR="00332CDC" w:rsidRPr="00332CDC">
        <w:t>than in England</w:t>
      </w:r>
      <w:r w:rsidR="007222B5">
        <w:t>,</w:t>
      </w:r>
      <w:r w:rsidR="00332CDC">
        <w:t xml:space="preserve"> </w:t>
      </w:r>
      <w:r w:rsidR="003E5622" w:rsidRPr="003E5622">
        <w:t>although</w:t>
      </w:r>
      <w:r w:rsidR="003E5622">
        <w:t xml:space="preserve"> </w:t>
      </w:r>
      <w:r>
        <w:t xml:space="preserve">Barking &amp; Dagenham, Hackney and Greenwich </w:t>
      </w:r>
      <w:r w:rsidR="003E5622" w:rsidRPr="003E5622">
        <w:t>have made significant progress in</w:t>
      </w:r>
      <w:r w:rsidR="003E5622">
        <w:t xml:space="preserve"> closing the gap</w:t>
      </w:r>
      <w:r w:rsidR="0061785B">
        <w:t>;</w:t>
      </w:r>
    </w:p>
    <w:p w14:paraId="50423227" w14:textId="77777777" w:rsidR="00766979" w:rsidRDefault="00766979" w:rsidP="00D7322D">
      <w:pPr>
        <w:pStyle w:val="BulletOne"/>
      </w:pPr>
      <w:r>
        <w:t xml:space="preserve">There has been a marked improvement in school attendance over the last five years </w:t>
      </w:r>
      <w:r w:rsidR="000A6EA0">
        <w:t xml:space="preserve">across the </w:t>
      </w:r>
      <w:r>
        <w:t xml:space="preserve">host boroughs. </w:t>
      </w:r>
    </w:p>
    <w:p w14:paraId="168AD950" w14:textId="77777777" w:rsidR="00766979" w:rsidRDefault="00766979" w:rsidP="00D95FC8">
      <w:r>
        <w:t>In terms of education policy,</w:t>
      </w:r>
      <w:r w:rsidR="00D95FC8">
        <w:t xml:space="preserve"> </w:t>
      </w:r>
      <w:r>
        <w:t xml:space="preserve">the broad direction as set by the previous and current governments would have continued in the absence of the Games. Interventions which use the Olympic and Paralympic values as a means to inspire and motivate young people </w:t>
      </w:r>
      <w:r w:rsidR="00083CD0">
        <w:t xml:space="preserve">(such as the Get Set programme) </w:t>
      </w:r>
      <w:r w:rsidR="00D95FC8">
        <w:t xml:space="preserve">are </w:t>
      </w:r>
      <w:r>
        <w:t>additional to what would have been the case without the Games.</w:t>
      </w:r>
    </w:p>
    <w:p w14:paraId="67BF8F0D" w14:textId="77777777" w:rsidR="00766979" w:rsidRDefault="00D95FC8" w:rsidP="00D95FC8">
      <w:r>
        <w:t xml:space="preserve">Under the </w:t>
      </w:r>
      <w:r w:rsidR="00766979">
        <w:t>outcome counterfactual</w:t>
      </w:r>
      <w:r>
        <w:t xml:space="preserve">, there would </w:t>
      </w:r>
      <w:r w:rsidR="00766979">
        <w:t xml:space="preserve">have been a continuation of existing trends in pupil attainment and </w:t>
      </w:r>
      <w:r w:rsidR="007D22B5" w:rsidRPr="007D22B5">
        <w:t xml:space="preserve">attendance </w:t>
      </w:r>
      <w:r w:rsidR="00766979">
        <w:t>at the school level</w:t>
      </w:r>
      <w:r w:rsidR="003E5622">
        <w:t xml:space="preserve">, including </w:t>
      </w:r>
      <w:r w:rsidR="00766979">
        <w:t>socially excluded groups targeted</w:t>
      </w:r>
      <w:r>
        <w:t xml:space="preserve">. </w:t>
      </w:r>
    </w:p>
    <w:p w14:paraId="3ADFE062" w14:textId="77777777" w:rsidR="00766979" w:rsidRDefault="00766979" w:rsidP="00766979">
      <w:pPr>
        <w:pStyle w:val="Heading2"/>
      </w:pPr>
      <w:r w:rsidRPr="00766979">
        <w:t>Sustainable living</w:t>
      </w:r>
      <w:r>
        <w:t xml:space="preserve"> </w:t>
      </w:r>
    </w:p>
    <w:p w14:paraId="39AFD057" w14:textId="64DF0418" w:rsidR="00766979" w:rsidRDefault="007D22B5" w:rsidP="00EF1B2B">
      <w:r>
        <w:t xml:space="preserve">Legacy activity in this area is </w:t>
      </w:r>
      <w:r w:rsidR="00D95FC8">
        <w:t xml:space="preserve">tasked with </w:t>
      </w:r>
      <w:r w:rsidR="003E15CA">
        <w:t>using</w:t>
      </w:r>
      <w:r w:rsidR="00D95FC8">
        <w:t xml:space="preserve"> </w:t>
      </w:r>
      <w:r w:rsidR="00766979">
        <w:t xml:space="preserve">the Games </w:t>
      </w:r>
      <w:r w:rsidR="00D95FC8">
        <w:t xml:space="preserve">as a catalyst </w:t>
      </w:r>
      <w:r w:rsidR="00766979">
        <w:t>to encourage increases in sustainable behaviour.</w:t>
      </w:r>
      <w:r w:rsidR="00D95FC8">
        <w:t xml:space="preserve"> </w:t>
      </w:r>
      <w:r w:rsidR="00083CD0">
        <w:t>Indicatively t</w:t>
      </w:r>
      <w:r w:rsidR="00766979">
        <w:t xml:space="preserve">his can be measured by monitoring </w:t>
      </w:r>
      <w:r w:rsidR="00083CD0">
        <w:t xml:space="preserve">broad indicators such as </w:t>
      </w:r>
      <w:r w:rsidR="00766979">
        <w:t xml:space="preserve">patterns of energy use, waste production and travel behaviour. </w:t>
      </w:r>
    </w:p>
    <w:p w14:paraId="28D8710C" w14:textId="26D5C040" w:rsidR="00766979" w:rsidRDefault="00766979" w:rsidP="00D7322D">
      <w:pPr>
        <w:pStyle w:val="BulletOne"/>
      </w:pPr>
      <w:r>
        <w:t>Average domestic energy consumption across Great Britain fell from 10,100 kWh per capita in 2003 to 9,100 kWh in 2007. Consumption in the ho</w:t>
      </w:r>
      <w:r w:rsidR="0061785B">
        <w:t>st boroughs is below this level;</w:t>
      </w:r>
      <w:r w:rsidR="002E504F">
        <w:rPr>
          <w:rStyle w:val="FootnoteReference"/>
        </w:rPr>
        <w:footnoteReference w:id="29"/>
      </w:r>
    </w:p>
    <w:p w14:paraId="1275B23A" w14:textId="38707854" w:rsidR="00766979" w:rsidRDefault="00766979" w:rsidP="00D7322D">
      <w:pPr>
        <w:pStyle w:val="BulletOne"/>
      </w:pPr>
      <w:r>
        <w:t>Between 2008/09 and 2009/10 there was 2.7% decrease in the amount of household waste being produced</w:t>
      </w:r>
      <w:r w:rsidR="00E05151">
        <w:t xml:space="preserve"> in England</w:t>
      </w:r>
      <w:r>
        <w:t xml:space="preserve">, coinciding with an increase in </w:t>
      </w:r>
      <w:r w:rsidR="003E5622">
        <w:t xml:space="preserve">the </w:t>
      </w:r>
      <w:r>
        <w:t>proportion of hou</w:t>
      </w:r>
      <w:r w:rsidR="0061785B">
        <w:t>sehold waste sent for recycling;</w:t>
      </w:r>
      <w:r w:rsidR="00B92437">
        <w:rPr>
          <w:rStyle w:val="FootnoteReference"/>
        </w:rPr>
        <w:footnoteReference w:id="30"/>
      </w:r>
    </w:p>
    <w:p w14:paraId="48431EE1" w14:textId="5067CBD6" w:rsidR="00766979" w:rsidRDefault="00766979" w:rsidP="00D7322D">
      <w:pPr>
        <w:pStyle w:val="BulletOne"/>
      </w:pPr>
      <w:r>
        <w:t>The number of car driver and car passenger trips in Great Britain has decreased by 7% and 9% respectively since 1995/97.</w:t>
      </w:r>
      <w:r w:rsidR="00B92437">
        <w:rPr>
          <w:rStyle w:val="FootnoteReference"/>
        </w:rPr>
        <w:footnoteReference w:id="31"/>
      </w:r>
    </w:p>
    <w:p w14:paraId="52048656" w14:textId="0AAEACB6" w:rsidR="00AB159D" w:rsidRDefault="00766979" w:rsidP="00EF1B2B">
      <w:r>
        <w:lastRenderedPageBreak/>
        <w:t xml:space="preserve">The proposed policy counterfactual is that, in the absence of the Games, </w:t>
      </w:r>
      <w:r w:rsidR="00AB159D" w:rsidRPr="00AB159D">
        <w:t>there would have been no significant additional driver of individual behavioural change (energy and resource use and travel behaviour)</w:t>
      </w:r>
      <w:r w:rsidR="00AB159D">
        <w:t xml:space="preserve">. However, there would continue to be </w:t>
      </w:r>
      <w:r w:rsidR="00AB159D" w:rsidRPr="0086130E">
        <w:t>work targeting households, for example the RENEW programme being delivered in London and work being undertaken by energy providers more widely as part of efforts to meet the UK's carbon reduction targets</w:t>
      </w:r>
      <w:r w:rsidR="00AB159D">
        <w:t xml:space="preserve"> (the undertaking of which is largely unaffected by the presence of the Games)</w:t>
      </w:r>
      <w:r w:rsidR="00E93BBD">
        <w:t>.</w:t>
      </w:r>
    </w:p>
    <w:p w14:paraId="7F3A3089" w14:textId="77777777" w:rsidR="00766979" w:rsidRDefault="00766979" w:rsidP="00EF1B2B">
      <w:r>
        <w:t xml:space="preserve">The outcome counterfactual </w:t>
      </w:r>
      <w:r w:rsidR="00DA5855">
        <w:t xml:space="preserve">is </w:t>
      </w:r>
      <w:r>
        <w:t xml:space="preserve">represented by existing forecasts </w:t>
      </w:r>
      <w:r w:rsidR="00DA496C">
        <w:t>for</w:t>
      </w:r>
      <w:r>
        <w:t xml:space="preserve"> emissions, energy and resource use, to the extent that these incorporate the target reductions in household energy use and/or analysis of current trends relating to transport behaviour.</w:t>
      </w:r>
    </w:p>
    <w:p w14:paraId="7664E96F" w14:textId="77777777" w:rsidR="00766979" w:rsidRDefault="00766979" w:rsidP="00766979">
      <w:pPr>
        <w:pStyle w:val="Heading2"/>
      </w:pPr>
      <w:r w:rsidRPr="00766979">
        <w:t>Influencing attitudes towards disabled people</w:t>
      </w:r>
      <w:r>
        <w:t xml:space="preserve"> </w:t>
      </w:r>
    </w:p>
    <w:p w14:paraId="185C364C" w14:textId="77777777" w:rsidR="00766979" w:rsidRDefault="00766979" w:rsidP="00DA5855">
      <w:r>
        <w:t>The Games are an important event in terms of providing a catalyst for changing public perceptions of disability.</w:t>
      </w:r>
      <w:r w:rsidR="00EF1B2B">
        <w:t xml:space="preserve"> </w:t>
      </w:r>
      <w:r>
        <w:t xml:space="preserve">Before, during and after </w:t>
      </w:r>
      <w:r w:rsidR="002065D0">
        <w:t xml:space="preserve">the </w:t>
      </w:r>
      <w:r>
        <w:t>2012</w:t>
      </w:r>
      <w:r w:rsidR="002065D0">
        <w:t xml:space="preserve"> Games</w:t>
      </w:r>
      <w:r>
        <w:t xml:space="preserve">, organisations such as Channel Four will attempt to maximise these benefits through their programming schedules and approach to televised coverage of Paralympic events. </w:t>
      </w:r>
      <w:r w:rsidR="00DA5855">
        <w:t>Some baseline i</w:t>
      </w:r>
      <w:r>
        <w:t xml:space="preserve">ndicators </w:t>
      </w:r>
      <w:r w:rsidR="00AB159D">
        <w:t xml:space="preserve">from the British Social Attitudes Survey </w:t>
      </w:r>
      <w:r>
        <w:t xml:space="preserve">that track attitudes </w:t>
      </w:r>
      <w:r w:rsidR="00DA5855">
        <w:t>are as follows</w:t>
      </w:r>
      <w:r>
        <w:t xml:space="preserve">: </w:t>
      </w:r>
    </w:p>
    <w:p w14:paraId="249BB589" w14:textId="2A7121CD" w:rsidR="00DA5855" w:rsidRDefault="00DA5855" w:rsidP="00D7322D">
      <w:pPr>
        <w:pStyle w:val="BulletOne"/>
      </w:pPr>
      <w:r>
        <w:t>People thinking of disabled people as the same as everybody else increase</w:t>
      </w:r>
      <w:r w:rsidR="00AB159D">
        <w:t>d</w:t>
      </w:r>
      <w:r>
        <w:t xml:space="preserve"> from 77% in 2005 to 85% in 2009</w:t>
      </w:r>
      <w:r w:rsidR="00E93BBD">
        <w:t>;</w:t>
      </w:r>
    </w:p>
    <w:p w14:paraId="04901DE4" w14:textId="77777777" w:rsidR="00766979" w:rsidRDefault="00DA5855" w:rsidP="00D7322D">
      <w:pPr>
        <w:pStyle w:val="BulletOne"/>
      </w:pPr>
      <w:r>
        <w:t>P</w:t>
      </w:r>
      <w:r w:rsidR="00766979">
        <w:t xml:space="preserve">eople who think </w:t>
      </w:r>
      <w:r w:rsidR="00AB159D">
        <w:t xml:space="preserve">of </w:t>
      </w:r>
      <w:r w:rsidR="00766979">
        <w:t xml:space="preserve">disabled people as 'getting in the way' fell from 9% to 7% </w:t>
      </w:r>
      <w:r>
        <w:t>over the same period</w:t>
      </w:r>
      <w:r w:rsidR="0061785B">
        <w:t>;</w:t>
      </w:r>
    </w:p>
    <w:p w14:paraId="27D7747E" w14:textId="77777777" w:rsidR="00766979" w:rsidRDefault="003E5622" w:rsidP="00D7322D">
      <w:pPr>
        <w:pStyle w:val="BulletOne"/>
      </w:pPr>
      <w:r>
        <w:t>The proportion of p</w:t>
      </w:r>
      <w:r w:rsidR="00766979">
        <w:t xml:space="preserve">eople </w:t>
      </w:r>
      <w:r>
        <w:t xml:space="preserve">who </w:t>
      </w:r>
      <w:r w:rsidR="00766979">
        <w:t>felt that disabled people face a lot or a little prejudice, which was 79% in 2009, a four percentage point rise compared to 2005.</w:t>
      </w:r>
    </w:p>
    <w:p w14:paraId="0F9CD640" w14:textId="654A029E" w:rsidR="003E5622" w:rsidRDefault="003E5622" w:rsidP="00DA5855">
      <w:r w:rsidRPr="003E5622">
        <w:t>Without the Games it would have been difficult for the government to undertake activity to promote positive messages about disabled people on such a large scale.</w:t>
      </w:r>
      <w:r w:rsidR="00E541DB">
        <w:t xml:space="preserve"> </w:t>
      </w:r>
      <w:r w:rsidRPr="003E5622">
        <w:t>Equally, the Games provide an unprecedented opportunity for generating positive media coverage of disabled people, on a scale that is unlikely to have taken place otherwise.</w:t>
      </w:r>
    </w:p>
    <w:p w14:paraId="0ED40BE0" w14:textId="77777777" w:rsidR="00766979" w:rsidRDefault="00766979" w:rsidP="00DA5855">
      <w:r>
        <w:t xml:space="preserve">The </w:t>
      </w:r>
      <w:r w:rsidR="00705ADC">
        <w:t xml:space="preserve">outcome </w:t>
      </w:r>
      <w:r>
        <w:t>counterfactual is that without the catalyst provided by the Games, public attitudes towards disabled people would continue to change along the existing trend.</w:t>
      </w:r>
    </w:p>
    <w:p w14:paraId="77D853CF" w14:textId="77777777" w:rsidR="00766979" w:rsidRDefault="00766979" w:rsidP="00766979"/>
    <w:p w14:paraId="41141852" w14:textId="77777777" w:rsidR="00E00600" w:rsidRDefault="00E00600" w:rsidP="003B7B33"/>
    <w:p w14:paraId="3AF5DFD3" w14:textId="77777777" w:rsidR="006C7824" w:rsidRDefault="006C7824" w:rsidP="006C7824"/>
    <w:p w14:paraId="059879EC" w14:textId="77777777" w:rsidR="00500ED5" w:rsidRDefault="00500ED5" w:rsidP="00500ED5"/>
    <w:p w14:paraId="458A0529" w14:textId="77777777" w:rsidR="006C7824" w:rsidRDefault="006C7824" w:rsidP="00500ED5"/>
    <w:p w14:paraId="5AF4D919" w14:textId="77777777" w:rsidR="00500ED5" w:rsidRDefault="00500ED5" w:rsidP="00F95170"/>
    <w:p w14:paraId="7E3980CD" w14:textId="77777777" w:rsidR="002F6DF1" w:rsidRDefault="002F6DF1" w:rsidP="00E41C3B">
      <w:pPr>
        <w:pStyle w:val="Heading1"/>
      </w:pPr>
      <w:bookmarkStart w:id="7" w:name="_Toc314489498"/>
      <w:r w:rsidRPr="002F6DF1">
        <w:lastRenderedPageBreak/>
        <w:t>Driving the regeneration of East London</w:t>
      </w:r>
      <w:bookmarkEnd w:id="7"/>
    </w:p>
    <w:p w14:paraId="7F0F27D0" w14:textId="77777777" w:rsidR="006864C9" w:rsidRPr="002670A4" w:rsidRDefault="00F64BA5" w:rsidP="006864C9">
      <w:pPr>
        <w:pBdr>
          <w:top w:val="single" w:sz="4" w:space="1" w:color="auto"/>
          <w:left w:val="single" w:sz="4" w:space="4" w:color="auto"/>
          <w:bottom w:val="single" w:sz="4" w:space="1" w:color="auto"/>
          <w:right w:val="single" w:sz="4" w:space="4" w:color="auto"/>
        </w:pBdr>
        <w:shd w:val="clear" w:color="auto" w:fill="CC99FF"/>
        <w:rPr>
          <w:i/>
        </w:rPr>
      </w:pPr>
      <w:r>
        <w:rPr>
          <w:i/>
        </w:rPr>
        <w:t xml:space="preserve">Headline </w:t>
      </w:r>
      <w:r w:rsidR="006864C9">
        <w:rPr>
          <w:i/>
        </w:rPr>
        <w:t xml:space="preserve">research question: </w:t>
      </w:r>
      <w:r w:rsidR="004B074B" w:rsidRPr="004B074B">
        <w:rPr>
          <w:i/>
        </w:rPr>
        <w:t xml:space="preserve">What have been the impacts of the Games on East London, and in particular socio-economic and organisational change? </w:t>
      </w:r>
    </w:p>
    <w:p w14:paraId="0377539F" w14:textId="77777777" w:rsidR="00D030E8" w:rsidRDefault="00D030E8" w:rsidP="002848D0">
      <w:r>
        <w:t xml:space="preserve">The </w:t>
      </w:r>
      <w:r w:rsidR="002848D0">
        <w:t xml:space="preserve">East London </w:t>
      </w:r>
      <w:r>
        <w:t xml:space="preserve">legacy plans centre on ensuring that the Olympic Park can be developed after the Games as one of the principal drivers of regeneration in East London. </w:t>
      </w:r>
      <w:r w:rsidR="002848D0">
        <w:t>B</w:t>
      </w:r>
      <w:r>
        <w:t xml:space="preserve">aseline indicators cover commercial and residential property, green space, local satisfaction levels, community cohesion, business and employment levels and economic structure. </w:t>
      </w:r>
    </w:p>
    <w:p w14:paraId="13CFB462" w14:textId="7654DC1D" w:rsidR="00D030E8" w:rsidRDefault="002848D0" w:rsidP="002848D0">
      <w:r>
        <w:t>O</w:t>
      </w:r>
      <w:r w:rsidR="00D030E8">
        <w:t xml:space="preserve">utcome counterfactuals will largely be defined using a control group approach, where trends in baseline indicators </w:t>
      </w:r>
      <w:r>
        <w:t xml:space="preserve">to 2012 </w:t>
      </w:r>
      <w:r w:rsidR="00E51000">
        <w:t>for</w:t>
      </w:r>
      <w:r w:rsidR="00D030E8">
        <w:t xml:space="preserve"> the host boroughs as a whole will be compared against the performance of a set of similar local authorities as a whole </w:t>
      </w:r>
      <w:r w:rsidR="00E51000">
        <w:t>(</w:t>
      </w:r>
      <w:proofErr w:type="spellStart"/>
      <w:r w:rsidR="00D030E8">
        <w:t>ie</w:t>
      </w:r>
      <w:proofErr w:type="spellEnd"/>
      <w:r w:rsidR="00D030E8">
        <w:t xml:space="preserve"> </w:t>
      </w:r>
      <w:r>
        <w:t>the so-called '</w:t>
      </w:r>
      <w:r w:rsidR="00D030E8">
        <w:t>comparator boroughs</w:t>
      </w:r>
      <w:r>
        <w:t>'</w:t>
      </w:r>
      <w:r w:rsidR="00E51000">
        <w:t>)</w:t>
      </w:r>
      <w:r w:rsidR="00D030E8">
        <w:t>.</w:t>
      </w:r>
      <w:r>
        <w:t xml:space="preserve"> This will be supplemented with analysis of </w:t>
      </w:r>
      <w:r w:rsidR="00D030E8">
        <w:t xml:space="preserve">time series </w:t>
      </w:r>
      <w:r>
        <w:t xml:space="preserve">for other indicators </w:t>
      </w:r>
      <w:r w:rsidR="00D030E8">
        <w:t>and consultations</w:t>
      </w:r>
      <w:r>
        <w:t xml:space="preserve">. </w:t>
      </w:r>
    </w:p>
    <w:p w14:paraId="2247E13B" w14:textId="77777777" w:rsidR="00D7322D" w:rsidRDefault="00D7322D" w:rsidP="00D7322D">
      <w:pPr>
        <w:pStyle w:val="Heading2"/>
      </w:pPr>
      <w:r>
        <w:t xml:space="preserve">Transforming </w:t>
      </w:r>
      <w:r w:rsidR="00FE427C">
        <w:t xml:space="preserve">place </w:t>
      </w:r>
    </w:p>
    <w:p w14:paraId="3A984ECE" w14:textId="77777777" w:rsidR="00D030E8" w:rsidRDefault="002B4694" w:rsidP="00705ADC">
      <w:r w:rsidRPr="002B4694">
        <w:t>Impacts expected in this sub-theme focus on physical development in and around the Olympic Park, including land remediation, venues and the development of the Park itself</w:t>
      </w:r>
      <w:r>
        <w:t>.</w:t>
      </w:r>
      <w:r w:rsidR="00D030E8">
        <w:t xml:space="preserve"> </w:t>
      </w:r>
      <w:r w:rsidR="00F27E80">
        <w:t xml:space="preserve">House prices and housing </w:t>
      </w:r>
      <w:r w:rsidR="00F27E80" w:rsidRPr="00F27E80">
        <w:t xml:space="preserve">completions </w:t>
      </w:r>
      <w:r w:rsidR="00F27E80">
        <w:t>are key baseline indicators</w:t>
      </w:r>
      <w:r w:rsidR="00D32B85">
        <w:t xml:space="preserve">. </w:t>
      </w:r>
      <w:r w:rsidR="00D32B85" w:rsidRPr="00D32B85">
        <w:t>Trends in these indicators show</w:t>
      </w:r>
      <w:r w:rsidR="00EF1B2B">
        <w:t>:</w:t>
      </w:r>
      <w:r w:rsidR="00D030E8">
        <w:t xml:space="preserve"> </w:t>
      </w:r>
    </w:p>
    <w:p w14:paraId="0013FB6C" w14:textId="2B4E4D18" w:rsidR="00D030E8" w:rsidRDefault="00D030E8" w:rsidP="00D030E8">
      <w:pPr>
        <w:pStyle w:val="BulletOne"/>
      </w:pPr>
      <w:r>
        <w:t xml:space="preserve">House prices </w:t>
      </w:r>
      <w:r w:rsidR="00EF1B2B">
        <w:t xml:space="preserve">in the host boroughs have </w:t>
      </w:r>
      <w:r>
        <w:t>been rising in line with those in the rest of London, both growing around 35% between 2003 and 2010</w:t>
      </w:r>
      <w:r w:rsidR="00613679">
        <w:t>;</w:t>
      </w:r>
      <w:r w:rsidR="00B92437">
        <w:rPr>
          <w:rStyle w:val="FootnoteReference"/>
        </w:rPr>
        <w:footnoteReference w:id="32"/>
      </w:r>
    </w:p>
    <w:p w14:paraId="19A115C2" w14:textId="528B34CA" w:rsidR="00D030E8" w:rsidRDefault="00EF1B2B" w:rsidP="00D030E8">
      <w:pPr>
        <w:pStyle w:val="BulletOne"/>
      </w:pPr>
      <w:r>
        <w:t>H</w:t>
      </w:r>
      <w:r w:rsidR="00D030E8">
        <w:t xml:space="preserve">ousing completions in the host boroughs averaged 6,100 units per annum </w:t>
      </w:r>
      <w:r>
        <w:t xml:space="preserve">over the </w:t>
      </w:r>
      <w:r w:rsidR="00D030E8">
        <w:t xml:space="preserve">2003 </w:t>
      </w:r>
      <w:r w:rsidR="002848D0">
        <w:t xml:space="preserve">to </w:t>
      </w:r>
      <w:r w:rsidR="00D030E8">
        <w:t>2009</w:t>
      </w:r>
      <w:r>
        <w:t xml:space="preserve"> period</w:t>
      </w:r>
      <w:r w:rsidR="00D030E8">
        <w:t>.</w:t>
      </w:r>
      <w:r w:rsidR="00B92437">
        <w:rPr>
          <w:rStyle w:val="FootnoteReference"/>
        </w:rPr>
        <w:footnoteReference w:id="33"/>
      </w:r>
      <w:r w:rsidR="00D030E8">
        <w:t xml:space="preserve"> </w:t>
      </w:r>
    </w:p>
    <w:p w14:paraId="53CC7DCE" w14:textId="77777777" w:rsidR="00D030E8" w:rsidRDefault="00D030E8" w:rsidP="00705ADC">
      <w:r>
        <w:t>The policy counterfactual is based on the Lower Lea Valley Area Development Framework drafted in 2003,</w:t>
      </w:r>
      <w:r w:rsidR="00BE64CC">
        <w:t xml:space="preserve"> which is the most recent and relevant public planning document with a </w:t>
      </w:r>
      <w:r w:rsidR="00D32B85">
        <w:t>'</w:t>
      </w:r>
      <w:r w:rsidR="00BE64CC">
        <w:t>no-Games</w:t>
      </w:r>
      <w:r w:rsidR="00D32B85">
        <w:t>'</w:t>
      </w:r>
      <w:r w:rsidR="00BE64CC">
        <w:t xml:space="preserve"> scenario.</w:t>
      </w:r>
      <w:r w:rsidR="002848D0">
        <w:t xml:space="preserve"> The framework was </w:t>
      </w:r>
      <w:r w:rsidR="007B0E79">
        <w:t xml:space="preserve">developed by the </w:t>
      </w:r>
      <w:r w:rsidR="002F6A77">
        <w:t xml:space="preserve">London Development Agency </w:t>
      </w:r>
      <w:r w:rsidR="007B0E79">
        <w:t xml:space="preserve">with support from the </w:t>
      </w:r>
      <w:r w:rsidR="00EF1B2B" w:rsidRPr="00EF1B2B">
        <w:t xml:space="preserve">London Thames Gateway Development Corporation </w:t>
      </w:r>
      <w:r w:rsidR="00EF1B2B">
        <w:t>(</w:t>
      </w:r>
      <w:r>
        <w:t>LTGDC</w:t>
      </w:r>
      <w:r w:rsidR="00EF1B2B">
        <w:t>).</w:t>
      </w:r>
    </w:p>
    <w:p w14:paraId="67033686" w14:textId="1371FF42" w:rsidR="00D030E8" w:rsidRPr="00D030E8" w:rsidRDefault="00CF5381" w:rsidP="00D030E8">
      <w:r>
        <w:rPr>
          <w:noProof/>
          <w:lang w:eastAsia="en-GB"/>
        </w:rPr>
        <mc:AlternateContent>
          <mc:Choice Requires="wps">
            <w:drawing>
              <wp:inline distT="0" distB="0" distL="0" distR="0" wp14:anchorId="2091C148" wp14:editId="010AB943">
                <wp:extent cx="5098415" cy="3288665"/>
                <wp:effectExtent l="0" t="0" r="26035" b="26035"/>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3288665"/>
                        </a:xfrm>
                        <a:prstGeom prst="rect">
                          <a:avLst/>
                        </a:prstGeom>
                        <a:solidFill>
                          <a:srgbClr val="F8F8F8"/>
                        </a:solidFill>
                        <a:ln w="9525">
                          <a:solidFill>
                            <a:srgbClr val="000000"/>
                          </a:solidFill>
                          <a:miter lim="800000"/>
                          <a:headEnd/>
                          <a:tailEnd/>
                        </a:ln>
                      </wps:spPr>
                      <wps:txbx>
                        <w:txbxContent>
                          <w:p w14:paraId="2B82FB61" w14:textId="77777777" w:rsidR="00211063" w:rsidRPr="007F7579" w:rsidRDefault="00211063" w:rsidP="00D030E8">
                            <w:pPr>
                              <w:rPr>
                                <w:b/>
                              </w:rPr>
                            </w:pPr>
                            <w:r w:rsidRPr="002E5317">
                              <w:rPr>
                                <w:b/>
                              </w:rPr>
                              <w:t>B</w:t>
                            </w:r>
                            <w:r>
                              <w:rPr>
                                <w:b/>
                              </w:rPr>
                              <w:t>ox 6-1</w:t>
                            </w:r>
                            <w:r w:rsidRPr="007F7579">
                              <w:rPr>
                                <w:b/>
                              </w:rPr>
                              <w:t xml:space="preserve">: </w:t>
                            </w:r>
                            <w:r>
                              <w:rPr>
                                <w:b/>
                              </w:rPr>
                              <w:t>Lower Lea Valley Accelerated Development Framework (2003)</w:t>
                            </w:r>
                          </w:p>
                          <w:p w14:paraId="5AF27142" w14:textId="77777777" w:rsidR="00211063" w:rsidRDefault="00211063" w:rsidP="00D030E8">
                            <w:pPr>
                              <w:spacing w:after="120"/>
                              <w:rPr>
                                <w:sz w:val="20"/>
                                <w:szCs w:val="20"/>
                              </w:rPr>
                            </w:pPr>
                            <w:r>
                              <w:rPr>
                                <w:sz w:val="20"/>
                                <w:szCs w:val="20"/>
                              </w:rPr>
                              <w:t xml:space="preserve">The </w:t>
                            </w:r>
                            <w:r w:rsidRPr="000138C8">
                              <w:rPr>
                                <w:sz w:val="20"/>
                                <w:szCs w:val="20"/>
                              </w:rPr>
                              <w:t xml:space="preserve">Lower Lea Valley Area Development Framework </w:t>
                            </w:r>
                            <w:r>
                              <w:rPr>
                                <w:sz w:val="20"/>
                                <w:szCs w:val="20"/>
                              </w:rPr>
                              <w:t>sets out a 20 year vision for the area to become a 'Water City', comprising some of London's premier mixed commercial and residential districts. The f</w:t>
                            </w:r>
                            <w:r w:rsidRPr="000138C8">
                              <w:rPr>
                                <w:sz w:val="20"/>
                                <w:szCs w:val="20"/>
                              </w:rPr>
                              <w:t xml:space="preserve">ramework </w:t>
                            </w:r>
                            <w:r>
                              <w:rPr>
                                <w:sz w:val="20"/>
                                <w:szCs w:val="20"/>
                              </w:rPr>
                              <w:t xml:space="preserve">covered 600 hectares and priorities included transport </w:t>
                            </w:r>
                            <w:r w:rsidRPr="00CC2E61">
                              <w:rPr>
                                <w:sz w:val="20"/>
                                <w:szCs w:val="20"/>
                              </w:rPr>
                              <w:t>infrastructure</w:t>
                            </w:r>
                            <w:r>
                              <w:rPr>
                                <w:sz w:val="20"/>
                                <w:szCs w:val="20"/>
                              </w:rPr>
                              <w:t xml:space="preserve">, underground power lines, </w:t>
                            </w:r>
                            <w:proofErr w:type="gramStart"/>
                            <w:r>
                              <w:rPr>
                                <w:sz w:val="20"/>
                                <w:szCs w:val="20"/>
                              </w:rPr>
                              <w:t>creation</w:t>
                            </w:r>
                            <w:proofErr w:type="gramEnd"/>
                            <w:r>
                              <w:rPr>
                                <w:sz w:val="20"/>
                                <w:szCs w:val="20"/>
                              </w:rPr>
                              <w:t xml:space="preserve"> of high-density residential and commercial developments, new open space, business development, enhanced community facilities and support for lifelong learning. </w:t>
                            </w:r>
                          </w:p>
                          <w:p w14:paraId="21EFD396" w14:textId="77777777" w:rsidR="00211063" w:rsidRPr="005E0B9E" w:rsidRDefault="00211063" w:rsidP="00D030E8">
                            <w:pPr>
                              <w:rPr>
                                <w:sz w:val="20"/>
                                <w:szCs w:val="20"/>
                              </w:rPr>
                            </w:pPr>
                            <w:r w:rsidRPr="005E0B9E">
                              <w:rPr>
                                <w:sz w:val="20"/>
                                <w:szCs w:val="20"/>
                              </w:rPr>
                              <w:t xml:space="preserve">The gross public sector cost was estimated in 2003 at £1.3 billion and the net cost at £370 million. </w:t>
                            </w:r>
                            <w:r>
                              <w:rPr>
                                <w:sz w:val="20"/>
                                <w:szCs w:val="20"/>
                              </w:rPr>
                              <w:t>Low</w:t>
                            </w:r>
                            <w:r w:rsidRPr="005E0B9E">
                              <w:rPr>
                                <w:sz w:val="20"/>
                                <w:szCs w:val="20"/>
                              </w:rPr>
                              <w:t xml:space="preserve">, high and full </w:t>
                            </w:r>
                            <w:proofErr w:type="spellStart"/>
                            <w:r w:rsidRPr="005E0B9E">
                              <w:rPr>
                                <w:sz w:val="20"/>
                                <w:szCs w:val="20"/>
                              </w:rPr>
                              <w:t>masterplan</w:t>
                            </w:r>
                            <w:proofErr w:type="spellEnd"/>
                            <w:r w:rsidRPr="005E0B9E">
                              <w:rPr>
                                <w:sz w:val="20"/>
                                <w:szCs w:val="20"/>
                              </w:rPr>
                              <w:t xml:space="preserve"> intervention </w:t>
                            </w:r>
                            <w:r>
                              <w:rPr>
                                <w:sz w:val="20"/>
                                <w:szCs w:val="20"/>
                              </w:rPr>
                              <w:t xml:space="preserve">scenarios to 2023 </w:t>
                            </w:r>
                            <w:r w:rsidRPr="005E0B9E">
                              <w:rPr>
                                <w:sz w:val="20"/>
                                <w:szCs w:val="20"/>
                              </w:rPr>
                              <w:t xml:space="preserve">are shown </w:t>
                            </w:r>
                            <w:r>
                              <w:rPr>
                                <w:sz w:val="20"/>
                                <w:szCs w:val="20"/>
                              </w:rPr>
                              <w:t>below</w:t>
                            </w:r>
                            <w:r w:rsidRPr="005E0B9E">
                              <w:rPr>
                                <w:sz w:val="20"/>
                                <w:szCs w:val="20"/>
                              </w:rPr>
                              <w:t xml:space="preserve">. </w:t>
                            </w:r>
                          </w:p>
                          <w:tbl>
                            <w:tblPr>
                              <w:tblW w:w="729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1E0" w:firstRow="1" w:lastRow="1" w:firstColumn="1" w:lastColumn="1" w:noHBand="0" w:noVBand="0"/>
                            </w:tblPr>
                            <w:tblGrid>
                              <w:gridCol w:w="2327"/>
                              <w:gridCol w:w="1308"/>
                              <w:gridCol w:w="1134"/>
                              <w:gridCol w:w="1134"/>
                              <w:gridCol w:w="1389"/>
                            </w:tblGrid>
                            <w:tr w:rsidR="00211063" w:rsidRPr="00C043A6" w14:paraId="7C1878B9" w14:textId="77777777" w:rsidTr="0003057D">
                              <w:tc>
                                <w:tcPr>
                                  <w:tcW w:w="2327" w:type="dxa"/>
                                  <w:shd w:val="clear" w:color="auto" w:fill="auto"/>
                                </w:tcPr>
                                <w:p w14:paraId="0894D678" w14:textId="77777777" w:rsidR="00211063" w:rsidRPr="00C043A6" w:rsidRDefault="00211063" w:rsidP="0003057D">
                                  <w:pPr>
                                    <w:keepNext/>
                                    <w:spacing w:before="0" w:after="0"/>
                                    <w:rPr>
                                      <w:b/>
                                      <w:sz w:val="18"/>
                                      <w:szCs w:val="18"/>
                                    </w:rPr>
                                  </w:pPr>
                                </w:p>
                              </w:tc>
                              <w:tc>
                                <w:tcPr>
                                  <w:tcW w:w="1308" w:type="dxa"/>
                                  <w:shd w:val="clear" w:color="auto" w:fill="auto"/>
                                </w:tcPr>
                                <w:p w14:paraId="50F47D2E" w14:textId="77777777" w:rsidR="00211063" w:rsidRPr="00C043A6" w:rsidRDefault="00211063" w:rsidP="0003057D">
                                  <w:pPr>
                                    <w:pStyle w:val="Style3"/>
                                    <w:keepNext/>
                                    <w:spacing w:before="0" w:after="0"/>
                                    <w:rPr>
                                      <w:b/>
                                      <w:sz w:val="18"/>
                                      <w:szCs w:val="18"/>
                                    </w:rPr>
                                  </w:pPr>
                                  <w:r w:rsidRPr="00C043A6">
                                    <w:rPr>
                                      <w:b/>
                                      <w:sz w:val="18"/>
                                      <w:szCs w:val="18"/>
                                    </w:rPr>
                                    <w:t>Do nothing</w:t>
                                  </w:r>
                                </w:p>
                              </w:tc>
                              <w:tc>
                                <w:tcPr>
                                  <w:tcW w:w="1134" w:type="dxa"/>
                                </w:tcPr>
                                <w:p w14:paraId="4E732168" w14:textId="77777777" w:rsidR="00211063" w:rsidRPr="00C043A6" w:rsidRDefault="00211063" w:rsidP="0003057D">
                                  <w:pPr>
                                    <w:pStyle w:val="Style3"/>
                                    <w:keepNext/>
                                    <w:spacing w:before="0" w:after="0"/>
                                    <w:rPr>
                                      <w:b/>
                                      <w:sz w:val="18"/>
                                      <w:szCs w:val="18"/>
                                    </w:rPr>
                                  </w:pPr>
                                  <w:r w:rsidRPr="00C043A6">
                                    <w:rPr>
                                      <w:b/>
                                      <w:sz w:val="18"/>
                                      <w:szCs w:val="18"/>
                                    </w:rPr>
                                    <w:t xml:space="preserve">Low </w:t>
                                  </w:r>
                                </w:p>
                              </w:tc>
                              <w:tc>
                                <w:tcPr>
                                  <w:tcW w:w="1134" w:type="dxa"/>
                                </w:tcPr>
                                <w:p w14:paraId="31D56880" w14:textId="77777777" w:rsidR="00211063" w:rsidRPr="00C043A6" w:rsidRDefault="00211063" w:rsidP="0003057D">
                                  <w:pPr>
                                    <w:pStyle w:val="Style3"/>
                                    <w:keepNext/>
                                    <w:spacing w:before="0" w:after="0"/>
                                    <w:rPr>
                                      <w:b/>
                                      <w:sz w:val="18"/>
                                      <w:szCs w:val="18"/>
                                    </w:rPr>
                                  </w:pPr>
                                  <w:r w:rsidRPr="00C043A6">
                                    <w:rPr>
                                      <w:b/>
                                      <w:sz w:val="18"/>
                                      <w:szCs w:val="18"/>
                                    </w:rPr>
                                    <w:t>High</w:t>
                                  </w:r>
                                </w:p>
                              </w:tc>
                              <w:tc>
                                <w:tcPr>
                                  <w:tcW w:w="1389" w:type="dxa"/>
                                </w:tcPr>
                                <w:p w14:paraId="6316C88B" w14:textId="77777777" w:rsidR="00211063" w:rsidRPr="00C043A6" w:rsidRDefault="00211063" w:rsidP="0003057D">
                                  <w:pPr>
                                    <w:pStyle w:val="Style3"/>
                                    <w:keepNext/>
                                    <w:spacing w:before="0" w:after="0"/>
                                    <w:rPr>
                                      <w:b/>
                                      <w:sz w:val="18"/>
                                      <w:szCs w:val="18"/>
                                    </w:rPr>
                                  </w:pPr>
                                  <w:r w:rsidRPr="00C043A6">
                                    <w:rPr>
                                      <w:b/>
                                      <w:sz w:val="18"/>
                                      <w:szCs w:val="18"/>
                                    </w:rPr>
                                    <w:t xml:space="preserve">Full </w:t>
                                  </w:r>
                                  <w:proofErr w:type="spellStart"/>
                                  <w:r w:rsidRPr="00C043A6">
                                    <w:rPr>
                                      <w:b/>
                                      <w:sz w:val="18"/>
                                      <w:szCs w:val="18"/>
                                    </w:rPr>
                                    <w:t>masterplan</w:t>
                                  </w:r>
                                  <w:proofErr w:type="spellEnd"/>
                                </w:p>
                              </w:tc>
                            </w:tr>
                            <w:tr w:rsidR="00211063" w:rsidRPr="00147757" w14:paraId="27DCB4E9" w14:textId="77777777" w:rsidTr="0003057D">
                              <w:tblPrEx>
                                <w:tblCellMar>
                                  <w:right w:w="28" w:type="dxa"/>
                                </w:tblCellMar>
                              </w:tblPrEx>
                              <w:trPr>
                                <w:trHeight w:val="50"/>
                              </w:trPr>
                              <w:tc>
                                <w:tcPr>
                                  <w:tcW w:w="2327" w:type="dxa"/>
                                  <w:shd w:val="clear" w:color="auto" w:fill="auto"/>
                                </w:tcPr>
                                <w:p w14:paraId="51DC578D" w14:textId="77777777" w:rsidR="00211063" w:rsidRPr="00147757" w:rsidRDefault="00211063" w:rsidP="0003057D">
                                  <w:pPr>
                                    <w:keepNext/>
                                    <w:spacing w:before="0" w:after="0"/>
                                    <w:rPr>
                                      <w:sz w:val="18"/>
                                      <w:szCs w:val="18"/>
                                    </w:rPr>
                                  </w:pPr>
                                  <w:proofErr w:type="spellStart"/>
                                  <w:r>
                                    <w:rPr>
                                      <w:sz w:val="18"/>
                                      <w:szCs w:val="18"/>
                                    </w:rPr>
                                    <w:t>Floorspace</w:t>
                                  </w:r>
                                  <w:proofErr w:type="spellEnd"/>
                                  <w:r>
                                    <w:rPr>
                                      <w:sz w:val="18"/>
                                      <w:szCs w:val="18"/>
                                    </w:rPr>
                                    <w:t xml:space="preserve"> (000 </w:t>
                                  </w:r>
                                  <w:proofErr w:type="spellStart"/>
                                  <w:r>
                                    <w:rPr>
                                      <w:sz w:val="18"/>
                                      <w:szCs w:val="18"/>
                                    </w:rPr>
                                    <w:t>sqm</w:t>
                                  </w:r>
                                  <w:proofErr w:type="spellEnd"/>
                                  <w:r>
                                    <w:rPr>
                                      <w:sz w:val="18"/>
                                      <w:szCs w:val="18"/>
                                    </w:rPr>
                                    <w:t>)</w:t>
                                  </w:r>
                                </w:p>
                              </w:tc>
                              <w:tc>
                                <w:tcPr>
                                  <w:tcW w:w="1308" w:type="dxa"/>
                                  <w:shd w:val="clear" w:color="auto" w:fill="auto"/>
                                </w:tcPr>
                                <w:p w14:paraId="0D17B04A" w14:textId="77777777" w:rsidR="00211063" w:rsidRPr="00147757" w:rsidRDefault="00211063" w:rsidP="0003057D">
                                  <w:pPr>
                                    <w:pStyle w:val="Style3"/>
                                    <w:keepNext/>
                                    <w:spacing w:before="0" w:after="0"/>
                                    <w:rPr>
                                      <w:sz w:val="18"/>
                                      <w:szCs w:val="18"/>
                                    </w:rPr>
                                  </w:pPr>
                                  <w:r>
                                    <w:rPr>
                                      <w:sz w:val="18"/>
                                      <w:szCs w:val="18"/>
                                    </w:rPr>
                                    <w:t>300</w:t>
                                  </w:r>
                                </w:p>
                              </w:tc>
                              <w:tc>
                                <w:tcPr>
                                  <w:tcW w:w="1134" w:type="dxa"/>
                                </w:tcPr>
                                <w:p w14:paraId="60D2C838" w14:textId="77777777" w:rsidR="00211063" w:rsidRPr="00147757" w:rsidRDefault="00211063" w:rsidP="0003057D">
                                  <w:pPr>
                                    <w:pStyle w:val="Style3"/>
                                    <w:keepNext/>
                                    <w:spacing w:before="0" w:after="0"/>
                                    <w:rPr>
                                      <w:sz w:val="18"/>
                                      <w:szCs w:val="18"/>
                                    </w:rPr>
                                  </w:pPr>
                                  <w:r>
                                    <w:rPr>
                                      <w:sz w:val="18"/>
                                      <w:szCs w:val="18"/>
                                    </w:rPr>
                                    <w:t>400</w:t>
                                  </w:r>
                                </w:p>
                              </w:tc>
                              <w:tc>
                                <w:tcPr>
                                  <w:tcW w:w="1134" w:type="dxa"/>
                                </w:tcPr>
                                <w:p w14:paraId="1157F52C" w14:textId="77777777" w:rsidR="00211063" w:rsidRPr="00147757" w:rsidRDefault="00211063" w:rsidP="0003057D">
                                  <w:pPr>
                                    <w:pStyle w:val="Style3"/>
                                    <w:keepNext/>
                                    <w:spacing w:before="0" w:after="0"/>
                                    <w:rPr>
                                      <w:sz w:val="18"/>
                                      <w:szCs w:val="18"/>
                                    </w:rPr>
                                  </w:pPr>
                                  <w:r>
                                    <w:rPr>
                                      <w:sz w:val="18"/>
                                      <w:szCs w:val="18"/>
                                    </w:rPr>
                                    <w:t>590</w:t>
                                  </w:r>
                                </w:p>
                              </w:tc>
                              <w:tc>
                                <w:tcPr>
                                  <w:tcW w:w="1389" w:type="dxa"/>
                                </w:tcPr>
                                <w:p w14:paraId="766550E1" w14:textId="77777777" w:rsidR="00211063" w:rsidRPr="00147757" w:rsidRDefault="00211063" w:rsidP="0003057D">
                                  <w:pPr>
                                    <w:pStyle w:val="Style3"/>
                                    <w:keepNext/>
                                    <w:spacing w:before="0" w:after="0"/>
                                    <w:rPr>
                                      <w:sz w:val="18"/>
                                      <w:szCs w:val="18"/>
                                    </w:rPr>
                                  </w:pPr>
                                  <w:r>
                                    <w:rPr>
                                      <w:sz w:val="18"/>
                                      <w:szCs w:val="18"/>
                                    </w:rPr>
                                    <w:t>1,010</w:t>
                                  </w:r>
                                </w:p>
                              </w:tc>
                            </w:tr>
                            <w:tr w:rsidR="00211063" w:rsidRPr="00147757" w14:paraId="08DAFA89" w14:textId="77777777" w:rsidTr="0003057D">
                              <w:tblPrEx>
                                <w:tblCellMar>
                                  <w:right w:w="28" w:type="dxa"/>
                                </w:tblCellMar>
                              </w:tblPrEx>
                              <w:trPr>
                                <w:trHeight w:val="50"/>
                              </w:trPr>
                              <w:tc>
                                <w:tcPr>
                                  <w:tcW w:w="2327" w:type="dxa"/>
                                  <w:shd w:val="clear" w:color="auto" w:fill="auto"/>
                                </w:tcPr>
                                <w:p w14:paraId="59151B25" w14:textId="77777777" w:rsidR="00211063" w:rsidRPr="00147757" w:rsidRDefault="00211063" w:rsidP="0003057D">
                                  <w:pPr>
                                    <w:keepNext/>
                                    <w:spacing w:before="0" w:after="0"/>
                                    <w:rPr>
                                      <w:sz w:val="18"/>
                                      <w:szCs w:val="18"/>
                                    </w:rPr>
                                  </w:pPr>
                                  <w:r>
                                    <w:rPr>
                                      <w:sz w:val="18"/>
                                      <w:szCs w:val="18"/>
                                    </w:rPr>
                                    <w:t>Residential units</w:t>
                                  </w:r>
                                </w:p>
                              </w:tc>
                              <w:tc>
                                <w:tcPr>
                                  <w:tcW w:w="1308" w:type="dxa"/>
                                  <w:shd w:val="clear" w:color="auto" w:fill="auto"/>
                                </w:tcPr>
                                <w:p w14:paraId="19BF45BE" w14:textId="77777777" w:rsidR="00211063" w:rsidRPr="00147757" w:rsidRDefault="00211063" w:rsidP="0003057D">
                                  <w:pPr>
                                    <w:pStyle w:val="Style3"/>
                                    <w:keepNext/>
                                    <w:spacing w:before="0" w:after="0"/>
                                    <w:rPr>
                                      <w:sz w:val="18"/>
                                      <w:szCs w:val="18"/>
                                    </w:rPr>
                                  </w:pPr>
                                  <w:r>
                                    <w:rPr>
                                      <w:sz w:val="18"/>
                                      <w:szCs w:val="18"/>
                                    </w:rPr>
                                    <w:t>13,900</w:t>
                                  </w:r>
                                </w:p>
                              </w:tc>
                              <w:tc>
                                <w:tcPr>
                                  <w:tcW w:w="1134" w:type="dxa"/>
                                </w:tcPr>
                                <w:p w14:paraId="59E341B2" w14:textId="77777777" w:rsidR="00211063" w:rsidRPr="00147757" w:rsidRDefault="00211063" w:rsidP="0003057D">
                                  <w:pPr>
                                    <w:pStyle w:val="Style3"/>
                                    <w:keepNext/>
                                    <w:spacing w:before="0" w:after="0"/>
                                    <w:rPr>
                                      <w:sz w:val="18"/>
                                      <w:szCs w:val="18"/>
                                    </w:rPr>
                                  </w:pPr>
                                  <w:r>
                                    <w:rPr>
                                      <w:sz w:val="18"/>
                                      <w:szCs w:val="18"/>
                                    </w:rPr>
                                    <w:t>15,600</w:t>
                                  </w:r>
                                </w:p>
                              </w:tc>
                              <w:tc>
                                <w:tcPr>
                                  <w:tcW w:w="1134" w:type="dxa"/>
                                </w:tcPr>
                                <w:p w14:paraId="7E5C21ED" w14:textId="77777777" w:rsidR="00211063" w:rsidRPr="00147757" w:rsidRDefault="00211063" w:rsidP="0003057D">
                                  <w:pPr>
                                    <w:pStyle w:val="Style3"/>
                                    <w:keepNext/>
                                    <w:spacing w:before="0" w:after="0"/>
                                    <w:rPr>
                                      <w:sz w:val="18"/>
                                      <w:szCs w:val="18"/>
                                    </w:rPr>
                                  </w:pPr>
                                  <w:r>
                                    <w:rPr>
                                      <w:sz w:val="18"/>
                                      <w:szCs w:val="18"/>
                                    </w:rPr>
                                    <w:t>28,900</w:t>
                                  </w:r>
                                </w:p>
                              </w:tc>
                              <w:tc>
                                <w:tcPr>
                                  <w:tcW w:w="1389" w:type="dxa"/>
                                </w:tcPr>
                                <w:p w14:paraId="2F8E8041" w14:textId="77777777" w:rsidR="00211063" w:rsidRPr="00147757" w:rsidRDefault="00211063" w:rsidP="0003057D">
                                  <w:pPr>
                                    <w:pStyle w:val="Style3"/>
                                    <w:keepNext/>
                                    <w:spacing w:before="0" w:after="0"/>
                                    <w:rPr>
                                      <w:sz w:val="18"/>
                                      <w:szCs w:val="18"/>
                                    </w:rPr>
                                  </w:pPr>
                                  <w:r>
                                    <w:rPr>
                                      <w:sz w:val="18"/>
                                      <w:szCs w:val="18"/>
                                    </w:rPr>
                                    <w:t>35,500</w:t>
                                  </w:r>
                                </w:p>
                              </w:tc>
                            </w:tr>
                            <w:tr w:rsidR="00211063" w:rsidRPr="00147757" w14:paraId="1643B6D4" w14:textId="77777777" w:rsidTr="0003057D">
                              <w:tblPrEx>
                                <w:tblCellMar>
                                  <w:right w:w="28" w:type="dxa"/>
                                </w:tblCellMar>
                              </w:tblPrEx>
                              <w:trPr>
                                <w:trHeight w:val="50"/>
                              </w:trPr>
                              <w:tc>
                                <w:tcPr>
                                  <w:tcW w:w="2327" w:type="dxa"/>
                                  <w:shd w:val="clear" w:color="auto" w:fill="auto"/>
                                </w:tcPr>
                                <w:p w14:paraId="53CA00BB" w14:textId="77777777" w:rsidR="00211063" w:rsidRPr="00147757" w:rsidRDefault="00211063" w:rsidP="0003057D">
                                  <w:pPr>
                                    <w:keepNext/>
                                    <w:spacing w:before="0" w:after="0"/>
                                    <w:rPr>
                                      <w:sz w:val="18"/>
                                      <w:szCs w:val="18"/>
                                    </w:rPr>
                                  </w:pPr>
                                  <w:r>
                                    <w:rPr>
                                      <w:sz w:val="18"/>
                                      <w:szCs w:val="18"/>
                                    </w:rPr>
                                    <w:t xml:space="preserve">Gross employment </w:t>
                                  </w:r>
                                </w:p>
                              </w:tc>
                              <w:tc>
                                <w:tcPr>
                                  <w:tcW w:w="1308" w:type="dxa"/>
                                  <w:shd w:val="clear" w:color="auto" w:fill="auto"/>
                                </w:tcPr>
                                <w:p w14:paraId="078AF129" w14:textId="77777777" w:rsidR="00211063" w:rsidRPr="00147757" w:rsidRDefault="00211063" w:rsidP="0003057D">
                                  <w:pPr>
                                    <w:pStyle w:val="Style3"/>
                                    <w:keepNext/>
                                    <w:spacing w:before="0" w:after="0"/>
                                    <w:rPr>
                                      <w:sz w:val="18"/>
                                      <w:szCs w:val="18"/>
                                    </w:rPr>
                                  </w:pPr>
                                  <w:r>
                                    <w:rPr>
                                      <w:sz w:val="18"/>
                                      <w:szCs w:val="18"/>
                                    </w:rPr>
                                    <w:t>30,200</w:t>
                                  </w:r>
                                </w:p>
                              </w:tc>
                              <w:tc>
                                <w:tcPr>
                                  <w:tcW w:w="1134" w:type="dxa"/>
                                </w:tcPr>
                                <w:p w14:paraId="78526298" w14:textId="77777777" w:rsidR="00211063" w:rsidRPr="00147757" w:rsidRDefault="00211063" w:rsidP="0003057D">
                                  <w:pPr>
                                    <w:pStyle w:val="Style3"/>
                                    <w:keepNext/>
                                    <w:spacing w:before="0" w:after="0"/>
                                    <w:rPr>
                                      <w:sz w:val="18"/>
                                      <w:szCs w:val="18"/>
                                    </w:rPr>
                                  </w:pPr>
                                  <w:r>
                                    <w:rPr>
                                      <w:sz w:val="18"/>
                                      <w:szCs w:val="18"/>
                                    </w:rPr>
                                    <w:t>33,100</w:t>
                                  </w:r>
                                </w:p>
                              </w:tc>
                              <w:tc>
                                <w:tcPr>
                                  <w:tcW w:w="1134" w:type="dxa"/>
                                </w:tcPr>
                                <w:p w14:paraId="0B9D63F9" w14:textId="77777777" w:rsidR="00211063" w:rsidRPr="00147757" w:rsidRDefault="00211063" w:rsidP="0003057D">
                                  <w:pPr>
                                    <w:pStyle w:val="Style3"/>
                                    <w:keepNext/>
                                    <w:spacing w:before="0" w:after="0"/>
                                    <w:rPr>
                                      <w:sz w:val="18"/>
                                      <w:szCs w:val="18"/>
                                    </w:rPr>
                                  </w:pPr>
                                  <w:r>
                                    <w:rPr>
                                      <w:sz w:val="18"/>
                                      <w:szCs w:val="18"/>
                                    </w:rPr>
                                    <w:t>38,100</w:t>
                                  </w:r>
                                </w:p>
                              </w:tc>
                              <w:tc>
                                <w:tcPr>
                                  <w:tcW w:w="1389" w:type="dxa"/>
                                </w:tcPr>
                                <w:p w14:paraId="3010F996" w14:textId="77777777" w:rsidR="00211063" w:rsidRPr="00147757" w:rsidRDefault="00211063" w:rsidP="0003057D">
                                  <w:pPr>
                                    <w:pStyle w:val="Style3"/>
                                    <w:keepNext/>
                                    <w:spacing w:before="0" w:after="0"/>
                                    <w:rPr>
                                      <w:sz w:val="18"/>
                                      <w:szCs w:val="18"/>
                                    </w:rPr>
                                  </w:pPr>
                                  <w:r>
                                    <w:rPr>
                                      <w:sz w:val="18"/>
                                      <w:szCs w:val="18"/>
                                    </w:rPr>
                                    <w:t>43,500</w:t>
                                  </w:r>
                                </w:p>
                              </w:tc>
                            </w:tr>
                            <w:tr w:rsidR="00211063" w:rsidRPr="00147757" w14:paraId="002A5B79" w14:textId="77777777" w:rsidTr="0003057D">
                              <w:tblPrEx>
                                <w:tblCellMar>
                                  <w:right w:w="28" w:type="dxa"/>
                                </w:tblCellMar>
                              </w:tblPrEx>
                              <w:trPr>
                                <w:trHeight w:val="50"/>
                              </w:trPr>
                              <w:tc>
                                <w:tcPr>
                                  <w:tcW w:w="2327" w:type="dxa"/>
                                  <w:shd w:val="clear" w:color="auto" w:fill="auto"/>
                                </w:tcPr>
                                <w:p w14:paraId="3EC9937F" w14:textId="77777777" w:rsidR="00211063" w:rsidRDefault="00211063" w:rsidP="0003057D">
                                  <w:pPr>
                                    <w:keepNext/>
                                    <w:spacing w:before="0" w:after="0"/>
                                    <w:rPr>
                                      <w:sz w:val="18"/>
                                      <w:szCs w:val="18"/>
                                    </w:rPr>
                                  </w:pPr>
                                  <w:r>
                                    <w:rPr>
                                      <w:sz w:val="18"/>
                                      <w:szCs w:val="18"/>
                                    </w:rPr>
                                    <w:t xml:space="preserve">Net additional employment </w:t>
                                  </w:r>
                                </w:p>
                              </w:tc>
                              <w:tc>
                                <w:tcPr>
                                  <w:tcW w:w="1308" w:type="dxa"/>
                                  <w:shd w:val="clear" w:color="auto" w:fill="auto"/>
                                </w:tcPr>
                                <w:p w14:paraId="562C369E" w14:textId="77777777" w:rsidR="00211063" w:rsidRPr="00147757" w:rsidRDefault="00211063" w:rsidP="0003057D">
                                  <w:pPr>
                                    <w:pStyle w:val="Style3"/>
                                    <w:keepNext/>
                                    <w:spacing w:before="0" w:after="0"/>
                                    <w:rPr>
                                      <w:sz w:val="18"/>
                                      <w:szCs w:val="18"/>
                                    </w:rPr>
                                  </w:pPr>
                                </w:p>
                              </w:tc>
                              <w:tc>
                                <w:tcPr>
                                  <w:tcW w:w="1134" w:type="dxa"/>
                                </w:tcPr>
                                <w:p w14:paraId="7938302C" w14:textId="77777777" w:rsidR="00211063" w:rsidRPr="00147757" w:rsidRDefault="00211063" w:rsidP="0003057D">
                                  <w:pPr>
                                    <w:pStyle w:val="Style3"/>
                                    <w:keepNext/>
                                    <w:spacing w:before="0" w:after="0"/>
                                    <w:rPr>
                                      <w:sz w:val="18"/>
                                      <w:szCs w:val="18"/>
                                    </w:rPr>
                                  </w:pPr>
                                  <w:r>
                                    <w:rPr>
                                      <w:sz w:val="18"/>
                                      <w:szCs w:val="18"/>
                                    </w:rPr>
                                    <w:t>3,000</w:t>
                                  </w:r>
                                </w:p>
                              </w:tc>
                              <w:tc>
                                <w:tcPr>
                                  <w:tcW w:w="1134" w:type="dxa"/>
                                </w:tcPr>
                                <w:p w14:paraId="7B9D13F2" w14:textId="77777777" w:rsidR="00211063" w:rsidRPr="00147757" w:rsidRDefault="00211063" w:rsidP="0003057D">
                                  <w:pPr>
                                    <w:pStyle w:val="Style3"/>
                                    <w:keepNext/>
                                    <w:spacing w:before="0" w:after="0"/>
                                    <w:rPr>
                                      <w:sz w:val="18"/>
                                      <w:szCs w:val="18"/>
                                    </w:rPr>
                                  </w:pPr>
                                  <w:r>
                                    <w:rPr>
                                      <w:sz w:val="18"/>
                                      <w:szCs w:val="18"/>
                                    </w:rPr>
                                    <w:t>8,000</w:t>
                                  </w:r>
                                </w:p>
                              </w:tc>
                              <w:tc>
                                <w:tcPr>
                                  <w:tcW w:w="1389" w:type="dxa"/>
                                </w:tcPr>
                                <w:p w14:paraId="541336CE" w14:textId="77777777" w:rsidR="00211063" w:rsidRPr="00147757" w:rsidRDefault="00211063" w:rsidP="0003057D">
                                  <w:pPr>
                                    <w:pStyle w:val="Style3"/>
                                    <w:keepNext/>
                                    <w:spacing w:before="0" w:after="0"/>
                                    <w:rPr>
                                      <w:sz w:val="18"/>
                                      <w:szCs w:val="18"/>
                                    </w:rPr>
                                  </w:pPr>
                                  <w:r>
                                    <w:rPr>
                                      <w:sz w:val="18"/>
                                      <w:szCs w:val="18"/>
                                    </w:rPr>
                                    <w:t>13,400</w:t>
                                  </w:r>
                                </w:p>
                              </w:tc>
                            </w:tr>
                          </w:tbl>
                          <w:p w14:paraId="7403F43D" w14:textId="77777777" w:rsidR="00211063" w:rsidRDefault="00211063" w:rsidP="00D030E8">
                            <w:pPr>
                              <w:spacing w:after="0"/>
                              <w:rPr>
                                <w:sz w:val="20"/>
                                <w:szCs w:val="20"/>
                              </w:rPr>
                            </w:pPr>
                          </w:p>
                          <w:p w14:paraId="56BDCCB5" w14:textId="77777777" w:rsidR="00211063" w:rsidRPr="00116F8A" w:rsidRDefault="00211063" w:rsidP="002829C7">
                            <w:pPr>
                              <w:spacing w:after="0"/>
                            </w:pPr>
                            <w:r>
                              <w:rPr>
                                <w:sz w:val="20"/>
                                <w:szCs w:val="20"/>
                              </w:rPr>
                              <w:t>Clearly there has been some significant economic and social changes across the area since these plans were developed, not least the housing crash and economic recession over the 2008-2010 period which almost certainly will have made these targets more difficult to achieve. However, the framework provides a good indication of the policy counterfactual for the Lower Lea Valley and the outcome counterfactual for the housing units delivered.</w:t>
                            </w:r>
                          </w:p>
                          <w:p w14:paraId="4A633044" w14:textId="77777777" w:rsidR="00211063" w:rsidRDefault="00211063" w:rsidP="00D030E8">
                            <w:pPr>
                              <w:spacing w:after="120"/>
                              <w:rPr>
                                <w:sz w:val="20"/>
                                <w:szCs w:val="20"/>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7" o:spid="_x0000_s1032" type="#_x0000_t202" style="width:401.45pt;height:25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" fillcolor="#f8f8f8">
                <v:textbox>
                  <w:txbxContent>
                    <w:p w14:paraId="2B82FB61" w14:textId="77777777" w:rsidR="00211063" w:rsidRPr="007F7579" w:rsidRDefault="00211063" w:rsidP="00D030E8">
                      <w:pPr>
                        <w:rPr>
                          <w:b/>
                        </w:rPr>
                      </w:pPr>
                      <w:r w:rsidRPr="002E5317">
                        <w:rPr>
                          <w:b/>
                        </w:rPr>
                        <w:t>B</w:t>
                      </w:r>
                      <w:r>
                        <w:rPr>
                          <w:b/>
                        </w:rPr>
                        <w:t>ox 6-1</w:t>
                      </w:r>
                      <w:r w:rsidRPr="007F7579">
                        <w:rPr>
                          <w:b/>
                        </w:rPr>
                        <w:t xml:space="preserve">: </w:t>
                      </w:r>
                      <w:r>
                        <w:rPr>
                          <w:b/>
                        </w:rPr>
                        <w:t>Lower Lea Valley Accelerated Development Framework (2003)</w:t>
                      </w:r>
                    </w:p>
                    <w:p w14:paraId="5AF27142" w14:textId="77777777" w:rsidR="00211063" w:rsidRDefault="00211063" w:rsidP="00D030E8">
                      <w:pPr>
                        <w:spacing w:after="120"/>
                        <w:rPr>
                          <w:sz w:val="20"/>
                          <w:szCs w:val="20"/>
                        </w:rPr>
                      </w:pPr>
                      <w:r>
                        <w:rPr>
                          <w:sz w:val="20"/>
                          <w:szCs w:val="20"/>
                        </w:rPr>
                        <w:t xml:space="preserve">The </w:t>
                      </w:r>
                      <w:r w:rsidRPr="000138C8">
                        <w:rPr>
                          <w:sz w:val="20"/>
                          <w:szCs w:val="20"/>
                        </w:rPr>
                        <w:t xml:space="preserve">Lower Lea Valley Area Development Framework </w:t>
                      </w:r>
                      <w:r>
                        <w:rPr>
                          <w:sz w:val="20"/>
                          <w:szCs w:val="20"/>
                        </w:rPr>
                        <w:t>sets out a 20 year vision for the area to become a 'Water City', comprising some of London's premier mixed commercial and residential districts. The f</w:t>
                      </w:r>
                      <w:r w:rsidRPr="000138C8">
                        <w:rPr>
                          <w:sz w:val="20"/>
                          <w:szCs w:val="20"/>
                        </w:rPr>
                        <w:t xml:space="preserve">ramework </w:t>
                      </w:r>
                      <w:r>
                        <w:rPr>
                          <w:sz w:val="20"/>
                          <w:szCs w:val="20"/>
                        </w:rPr>
                        <w:t xml:space="preserve">covered 600 hectares and priorities included transport </w:t>
                      </w:r>
                      <w:r w:rsidRPr="00CC2E61">
                        <w:rPr>
                          <w:sz w:val="20"/>
                          <w:szCs w:val="20"/>
                        </w:rPr>
                        <w:t>infrastructure</w:t>
                      </w:r>
                      <w:r>
                        <w:rPr>
                          <w:sz w:val="20"/>
                          <w:szCs w:val="20"/>
                        </w:rPr>
                        <w:t xml:space="preserve">, underground power lines, </w:t>
                      </w:r>
                      <w:proofErr w:type="gramStart"/>
                      <w:r>
                        <w:rPr>
                          <w:sz w:val="20"/>
                          <w:szCs w:val="20"/>
                        </w:rPr>
                        <w:t>creation</w:t>
                      </w:r>
                      <w:proofErr w:type="gramEnd"/>
                      <w:r>
                        <w:rPr>
                          <w:sz w:val="20"/>
                          <w:szCs w:val="20"/>
                        </w:rPr>
                        <w:t xml:space="preserve"> of high-density residential and commercial developments, new open space, business development, enhanced community facilities and support for lifelong learning. </w:t>
                      </w:r>
                    </w:p>
                    <w:p w14:paraId="21EFD396" w14:textId="77777777" w:rsidR="00211063" w:rsidRPr="005E0B9E" w:rsidRDefault="00211063" w:rsidP="00D030E8">
                      <w:pPr>
                        <w:rPr>
                          <w:sz w:val="20"/>
                          <w:szCs w:val="20"/>
                        </w:rPr>
                      </w:pPr>
                      <w:r w:rsidRPr="005E0B9E">
                        <w:rPr>
                          <w:sz w:val="20"/>
                          <w:szCs w:val="20"/>
                        </w:rPr>
                        <w:t xml:space="preserve">The gross public sector cost was estimated in 2003 at £1.3 billion and the net cost at £370 million. </w:t>
                      </w:r>
                      <w:r>
                        <w:rPr>
                          <w:sz w:val="20"/>
                          <w:szCs w:val="20"/>
                        </w:rPr>
                        <w:t>Low</w:t>
                      </w:r>
                      <w:r w:rsidRPr="005E0B9E">
                        <w:rPr>
                          <w:sz w:val="20"/>
                          <w:szCs w:val="20"/>
                        </w:rPr>
                        <w:t xml:space="preserve">, high and full </w:t>
                      </w:r>
                      <w:proofErr w:type="spellStart"/>
                      <w:r w:rsidRPr="005E0B9E">
                        <w:rPr>
                          <w:sz w:val="20"/>
                          <w:szCs w:val="20"/>
                        </w:rPr>
                        <w:t>masterplan</w:t>
                      </w:r>
                      <w:proofErr w:type="spellEnd"/>
                      <w:r w:rsidRPr="005E0B9E">
                        <w:rPr>
                          <w:sz w:val="20"/>
                          <w:szCs w:val="20"/>
                        </w:rPr>
                        <w:t xml:space="preserve"> intervention </w:t>
                      </w:r>
                      <w:r>
                        <w:rPr>
                          <w:sz w:val="20"/>
                          <w:szCs w:val="20"/>
                        </w:rPr>
                        <w:t xml:space="preserve">scenarios to 2023 </w:t>
                      </w:r>
                      <w:r w:rsidRPr="005E0B9E">
                        <w:rPr>
                          <w:sz w:val="20"/>
                          <w:szCs w:val="20"/>
                        </w:rPr>
                        <w:t xml:space="preserve">are shown </w:t>
                      </w:r>
                      <w:r>
                        <w:rPr>
                          <w:sz w:val="20"/>
                          <w:szCs w:val="20"/>
                        </w:rPr>
                        <w:t>below</w:t>
                      </w:r>
                      <w:r w:rsidRPr="005E0B9E">
                        <w:rPr>
                          <w:sz w:val="20"/>
                          <w:szCs w:val="20"/>
                        </w:rPr>
                        <w:t xml:space="preserve">. </w:t>
                      </w:r>
                    </w:p>
                    <w:tbl>
                      <w:tblPr>
                        <w:tblW w:w="7292"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1E0" w:firstRow="1" w:lastRow="1" w:firstColumn="1" w:lastColumn="1" w:noHBand="0" w:noVBand="0"/>
                      </w:tblPr>
                      <w:tblGrid>
                        <w:gridCol w:w="2327"/>
                        <w:gridCol w:w="1308"/>
                        <w:gridCol w:w="1134"/>
                        <w:gridCol w:w="1134"/>
                        <w:gridCol w:w="1389"/>
                      </w:tblGrid>
                      <w:tr w:rsidR="00211063" w:rsidRPr="00C043A6" w14:paraId="7C1878B9" w14:textId="77777777" w:rsidTr="0003057D">
                        <w:tc>
                          <w:tcPr>
                            <w:tcW w:w="2327" w:type="dxa"/>
                            <w:shd w:val="clear" w:color="auto" w:fill="auto"/>
                          </w:tcPr>
                          <w:p w14:paraId="0894D678" w14:textId="77777777" w:rsidR="00211063" w:rsidRPr="00C043A6" w:rsidRDefault="00211063" w:rsidP="0003057D">
                            <w:pPr>
                              <w:keepNext/>
                              <w:spacing w:before="0" w:after="0"/>
                              <w:rPr>
                                <w:b/>
                                <w:sz w:val="18"/>
                                <w:szCs w:val="18"/>
                              </w:rPr>
                            </w:pPr>
                          </w:p>
                        </w:tc>
                        <w:tc>
                          <w:tcPr>
                            <w:tcW w:w="1308" w:type="dxa"/>
                            <w:shd w:val="clear" w:color="auto" w:fill="auto"/>
                          </w:tcPr>
                          <w:p w14:paraId="50F47D2E" w14:textId="77777777" w:rsidR="00211063" w:rsidRPr="00C043A6" w:rsidRDefault="00211063" w:rsidP="0003057D">
                            <w:pPr>
                              <w:pStyle w:val="Style3"/>
                              <w:keepNext/>
                              <w:spacing w:before="0" w:after="0"/>
                              <w:rPr>
                                <w:b/>
                                <w:sz w:val="18"/>
                                <w:szCs w:val="18"/>
                              </w:rPr>
                            </w:pPr>
                            <w:r w:rsidRPr="00C043A6">
                              <w:rPr>
                                <w:b/>
                                <w:sz w:val="18"/>
                                <w:szCs w:val="18"/>
                              </w:rPr>
                              <w:t>Do nothing</w:t>
                            </w:r>
                          </w:p>
                        </w:tc>
                        <w:tc>
                          <w:tcPr>
                            <w:tcW w:w="1134" w:type="dxa"/>
                          </w:tcPr>
                          <w:p w14:paraId="4E732168" w14:textId="77777777" w:rsidR="00211063" w:rsidRPr="00C043A6" w:rsidRDefault="00211063" w:rsidP="0003057D">
                            <w:pPr>
                              <w:pStyle w:val="Style3"/>
                              <w:keepNext/>
                              <w:spacing w:before="0" w:after="0"/>
                              <w:rPr>
                                <w:b/>
                                <w:sz w:val="18"/>
                                <w:szCs w:val="18"/>
                              </w:rPr>
                            </w:pPr>
                            <w:r w:rsidRPr="00C043A6">
                              <w:rPr>
                                <w:b/>
                                <w:sz w:val="18"/>
                                <w:szCs w:val="18"/>
                              </w:rPr>
                              <w:t xml:space="preserve">Low </w:t>
                            </w:r>
                          </w:p>
                        </w:tc>
                        <w:tc>
                          <w:tcPr>
                            <w:tcW w:w="1134" w:type="dxa"/>
                          </w:tcPr>
                          <w:p w14:paraId="31D56880" w14:textId="77777777" w:rsidR="00211063" w:rsidRPr="00C043A6" w:rsidRDefault="00211063" w:rsidP="0003057D">
                            <w:pPr>
                              <w:pStyle w:val="Style3"/>
                              <w:keepNext/>
                              <w:spacing w:before="0" w:after="0"/>
                              <w:rPr>
                                <w:b/>
                                <w:sz w:val="18"/>
                                <w:szCs w:val="18"/>
                              </w:rPr>
                            </w:pPr>
                            <w:r w:rsidRPr="00C043A6">
                              <w:rPr>
                                <w:b/>
                                <w:sz w:val="18"/>
                                <w:szCs w:val="18"/>
                              </w:rPr>
                              <w:t>High</w:t>
                            </w:r>
                          </w:p>
                        </w:tc>
                        <w:tc>
                          <w:tcPr>
                            <w:tcW w:w="1389" w:type="dxa"/>
                          </w:tcPr>
                          <w:p w14:paraId="6316C88B" w14:textId="77777777" w:rsidR="00211063" w:rsidRPr="00C043A6" w:rsidRDefault="00211063" w:rsidP="0003057D">
                            <w:pPr>
                              <w:pStyle w:val="Style3"/>
                              <w:keepNext/>
                              <w:spacing w:before="0" w:after="0"/>
                              <w:rPr>
                                <w:b/>
                                <w:sz w:val="18"/>
                                <w:szCs w:val="18"/>
                              </w:rPr>
                            </w:pPr>
                            <w:r w:rsidRPr="00C043A6">
                              <w:rPr>
                                <w:b/>
                                <w:sz w:val="18"/>
                                <w:szCs w:val="18"/>
                              </w:rPr>
                              <w:t xml:space="preserve">Full </w:t>
                            </w:r>
                            <w:proofErr w:type="spellStart"/>
                            <w:r w:rsidRPr="00C043A6">
                              <w:rPr>
                                <w:b/>
                                <w:sz w:val="18"/>
                                <w:szCs w:val="18"/>
                              </w:rPr>
                              <w:t>masterplan</w:t>
                            </w:r>
                            <w:proofErr w:type="spellEnd"/>
                          </w:p>
                        </w:tc>
                      </w:tr>
                      <w:tr w:rsidR="00211063" w:rsidRPr="00147757" w14:paraId="27DCB4E9" w14:textId="77777777" w:rsidTr="0003057D">
                        <w:tblPrEx>
                          <w:tblCellMar>
                            <w:right w:w="28" w:type="dxa"/>
                          </w:tblCellMar>
                        </w:tblPrEx>
                        <w:trPr>
                          <w:trHeight w:val="50"/>
                        </w:trPr>
                        <w:tc>
                          <w:tcPr>
                            <w:tcW w:w="2327" w:type="dxa"/>
                            <w:shd w:val="clear" w:color="auto" w:fill="auto"/>
                          </w:tcPr>
                          <w:p w14:paraId="51DC578D" w14:textId="77777777" w:rsidR="00211063" w:rsidRPr="00147757" w:rsidRDefault="00211063" w:rsidP="0003057D">
                            <w:pPr>
                              <w:keepNext/>
                              <w:spacing w:before="0" w:after="0"/>
                              <w:rPr>
                                <w:sz w:val="18"/>
                                <w:szCs w:val="18"/>
                              </w:rPr>
                            </w:pPr>
                            <w:proofErr w:type="spellStart"/>
                            <w:r>
                              <w:rPr>
                                <w:sz w:val="18"/>
                                <w:szCs w:val="18"/>
                              </w:rPr>
                              <w:t>Floorspace</w:t>
                            </w:r>
                            <w:proofErr w:type="spellEnd"/>
                            <w:r>
                              <w:rPr>
                                <w:sz w:val="18"/>
                                <w:szCs w:val="18"/>
                              </w:rPr>
                              <w:t xml:space="preserve"> (000 </w:t>
                            </w:r>
                            <w:proofErr w:type="spellStart"/>
                            <w:r>
                              <w:rPr>
                                <w:sz w:val="18"/>
                                <w:szCs w:val="18"/>
                              </w:rPr>
                              <w:t>sqm</w:t>
                            </w:r>
                            <w:proofErr w:type="spellEnd"/>
                            <w:r>
                              <w:rPr>
                                <w:sz w:val="18"/>
                                <w:szCs w:val="18"/>
                              </w:rPr>
                              <w:t>)</w:t>
                            </w:r>
                          </w:p>
                        </w:tc>
                        <w:tc>
                          <w:tcPr>
                            <w:tcW w:w="1308" w:type="dxa"/>
                            <w:shd w:val="clear" w:color="auto" w:fill="auto"/>
                          </w:tcPr>
                          <w:p w14:paraId="0D17B04A" w14:textId="77777777" w:rsidR="00211063" w:rsidRPr="00147757" w:rsidRDefault="00211063" w:rsidP="0003057D">
                            <w:pPr>
                              <w:pStyle w:val="Style3"/>
                              <w:keepNext/>
                              <w:spacing w:before="0" w:after="0"/>
                              <w:rPr>
                                <w:sz w:val="18"/>
                                <w:szCs w:val="18"/>
                              </w:rPr>
                            </w:pPr>
                            <w:r>
                              <w:rPr>
                                <w:sz w:val="18"/>
                                <w:szCs w:val="18"/>
                              </w:rPr>
                              <w:t>300</w:t>
                            </w:r>
                          </w:p>
                        </w:tc>
                        <w:tc>
                          <w:tcPr>
                            <w:tcW w:w="1134" w:type="dxa"/>
                          </w:tcPr>
                          <w:p w14:paraId="60D2C838" w14:textId="77777777" w:rsidR="00211063" w:rsidRPr="00147757" w:rsidRDefault="00211063" w:rsidP="0003057D">
                            <w:pPr>
                              <w:pStyle w:val="Style3"/>
                              <w:keepNext/>
                              <w:spacing w:before="0" w:after="0"/>
                              <w:rPr>
                                <w:sz w:val="18"/>
                                <w:szCs w:val="18"/>
                              </w:rPr>
                            </w:pPr>
                            <w:r>
                              <w:rPr>
                                <w:sz w:val="18"/>
                                <w:szCs w:val="18"/>
                              </w:rPr>
                              <w:t>400</w:t>
                            </w:r>
                          </w:p>
                        </w:tc>
                        <w:tc>
                          <w:tcPr>
                            <w:tcW w:w="1134" w:type="dxa"/>
                          </w:tcPr>
                          <w:p w14:paraId="1157F52C" w14:textId="77777777" w:rsidR="00211063" w:rsidRPr="00147757" w:rsidRDefault="00211063" w:rsidP="0003057D">
                            <w:pPr>
                              <w:pStyle w:val="Style3"/>
                              <w:keepNext/>
                              <w:spacing w:before="0" w:after="0"/>
                              <w:rPr>
                                <w:sz w:val="18"/>
                                <w:szCs w:val="18"/>
                              </w:rPr>
                            </w:pPr>
                            <w:r>
                              <w:rPr>
                                <w:sz w:val="18"/>
                                <w:szCs w:val="18"/>
                              </w:rPr>
                              <w:t>590</w:t>
                            </w:r>
                          </w:p>
                        </w:tc>
                        <w:tc>
                          <w:tcPr>
                            <w:tcW w:w="1389" w:type="dxa"/>
                          </w:tcPr>
                          <w:p w14:paraId="766550E1" w14:textId="77777777" w:rsidR="00211063" w:rsidRPr="00147757" w:rsidRDefault="00211063" w:rsidP="0003057D">
                            <w:pPr>
                              <w:pStyle w:val="Style3"/>
                              <w:keepNext/>
                              <w:spacing w:before="0" w:after="0"/>
                              <w:rPr>
                                <w:sz w:val="18"/>
                                <w:szCs w:val="18"/>
                              </w:rPr>
                            </w:pPr>
                            <w:r>
                              <w:rPr>
                                <w:sz w:val="18"/>
                                <w:szCs w:val="18"/>
                              </w:rPr>
                              <w:t>1,010</w:t>
                            </w:r>
                          </w:p>
                        </w:tc>
                      </w:tr>
                      <w:tr w:rsidR="00211063" w:rsidRPr="00147757" w14:paraId="08DAFA89" w14:textId="77777777" w:rsidTr="0003057D">
                        <w:tblPrEx>
                          <w:tblCellMar>
                            <w:right w:w="28" w:type="dxa"/>
                          </w:tblCellMar>
                        </w:tblPrEx>
                        <w:trPr>
                          <w:trHeight w:val="50"/>
                        </w:trPr>
                        <w:tc>
                          <w:tcPr>
                            <w:tcW w:w="2327" w:type="dxa"/>
                            <w:shd w:val="clear" w:color="auto" w:fill="auto"/>
                          </w:tcPr>
                          <w:p w14:paraId="59151B25" w14:textId="77777777" w:rsidR="00211063" w:rsidRPr="00147757" w:rsidRDefault="00211063" w:rsidP="0003057D">
                            <w:pPr>
                              <w:keepNext/>
                              <w:spacing w:before="0" w:after="0"/>
                              <w:rPr>
                                <w:sz w:val="18"/>
                                <w:szCs w:val="18"/>
                              </w:rPr>
                            </w:pPr>
                            <w:r>
                              <w:rPr>
                                <w:sz w:val="18"/>
                                <w:szCs w:val="18"/>
                              </w:rPr>
                              <w:t>Residential units</w:t>
                            </w:r>
                          </w:p>
                        </w:tc>
                        <w:tc>
                          <w:tcPr>
                            <w:tcW w:w="1308" w:type="dxa"/>
                            <w:shd w:val="clear" w:color="auto" w:fill="auto"/>
                          </w:tcPr>
                          <w:p w14:paraId="19BF45BE" w14:textId="77777777" w:rsidR="00211063" w:rsidRPr="00147757" w:rsidRDefault="00211063" w:rsidP="0003057D">
                            <w:pPr>
                              <w:pStyle w:val="Style3"/>
                              <w:keepNext/>
                              <w:spacing w:before="0" w:after="0"/>
                              <w:rPr>
                                <w:sz w:val="18"/>
                                <w:szCs w:val="18"/>
                              </w:rPr>
                            </w:pPr>
                            <w:r>
                              <w:rPr>
                                <w:sz w:val="18"/>
                                <w:szCs w:val="18"/>
                              </w:rPr>
                              <w:t>13,900</w:t>
                            </w:r>
                          </w:p>
                        </w:tc>
                        <w:tc>
                          <w:tcPr>
                            <w:tcW w:w="1134" w:type="dxa"/>
                          </w:tcPr>
                          <w:p w14:paraId="59E341B2" w14:textId="77777777" w:rsidR="00211063" w:rsidRPr="00147757" w:rsidRDefault="00211063" w:rsidP="0003057D">
                            <w:pPr>
                              <w:pStyle w:val="Style3"/>
                              <w:keepNext/>
                              <w:spacing w:before="0" w:after="0"/>
                              <w:rPr>
                                <w:sz w:val="18"/>
                                <w:szCs w:val="18"/>
                              </w:rPr>
                            </w:pPr>
                            <w:r>
                              <w:rPr>
                                <w:sz w:val="18"/>
                                <w:szCs w:val="18"/>
                              </w:rPr>
                              <w:t>15,600</w:t>
                            </w:r>
                          </w:p>
                        </w:tc>
                        <w:tc>
                          <w:tcPr>
                            <w:tcW w:w="1134" w:type="dxa"/>
                          </w:tcPr>
                          <w:p w14:paraId="7E5C21ED" w14:textId="77777777" w:rsidR="00211063" w:rsidRPr="00147757" w:rsidRDefault="00211063" w:rsidP="0003057D">
                            <w:pPr>
                              <w:pStyle w:val="Style3"/>
                              <w:keepNext/>
                              <w:spacing w:before="0" w:after="0"/>
                              <w:rPr>
                                <w:sz w:val="18"/>
                                <w:szCs w:val="18"/>
                              </w:rPr>
                            </w:pPr>
                            <w:r>
                              <w:rPr>
                                <w:sz w:val="18"/>
                                <w:szCs w:val="18"/>
                              </w:rPr>
                              <w:t>28,900</w:t>
                            </w:r>
                          </w:p>
                        </w:tc>
                        <w:tc>
                          <w:tcPr>
                            <w:tcW w:w="1389" w:type="dxa"/>
                          </w:tcPr>
                          <w:p w14:paraId="2F8E8041" w14:textId="77777777" w:rsidR="00211063" w:rsidRPr="00147757" w:rsidRDefault="00211063" w:rsidP="0003057D">
                            <w:pPr>
                              <w:pStyle w:val="Style3"/>
                              <w:keepNext/>
                              <w:spacing w:before="0" w:after="0"/>
                              <w:rPr>
                                <w:sz w:val="18"/>
                                <w:szCs w:val="18"/>
                              </w:rPr>
                            </w:pPr>
                            <w:r>
                              <w:rPr>
                                <w:sz w:val="18"/>
                                <w:szCs w:val="18"/>
                              </w:rPr>
                              <w:t>35,500</w:t>
                            </w:r>
                          </w:p>
                        </w:tc>
                      </w:tr>
                      <w:tr w:rsidR="00211063" w:rsidRPr="00147757" w14:paraId="1643B6D4" w14:textId="77777777" w:rsidTr="0003057D">
                        <w:tblPrEx>
                          <w:tblCellMar>
                            <w:right w:w="28" w:type="dxa"/>
                          </w:tblCellMar>
                        </w:tblPrEx>
                        <w:trPr>
                          <w:trHeight w:val="50"/>
                        </w:trPr>
                        <w:tc>
                          <w:tcPr>
                            <w:tcW w:w="2327" w:type="dxa"/>
                            <w:shd w:val="clear" w:color="auto" w:fill="auto"/>
                          </w:tcPr>
                          <w:p w14:paraId="53CA00BB" w14:textId="77777777" w:rsidR="00211063" w:rsidRPr="00147757" w:rsidRDefault="00211063" w:rsidP="0003057D">
                            <w:pPr>
                              <w:keepNext/>
                              <w:spacing w:before="0" w:after="0"/>
                              <w:rPr>
                                <w:sz w:val="18"/>
                                <w:szCs w:val="18"/>
                              </w:rPr>
                            </w:pPr>
                            <w:r>
                              <w:rPr>
                                <w:sz w:val="18"/>
                                <w:szCs w:val="18"/>
                              </w:rPr>
                              <w:t xml:space="preserve">Gross employment </w:t>
                            </w:r>
                          </w:p>
                        </w:tc>
                        <w:tc>
                          <w:tcPr>
                            <w:tcW w:w="1308" w:type="dxa"/>
                            <w:shd w:val="clear" w:color="auto" w:fill="auto"/>
                          </w:tcPr>
                          <w:p w14:paraId="078AF129" w14:textId="77777777" w:rsidR="00211063" w:rsidRPr="00147757" w:rsidRDefault="00211063" w:rsidP="0003057D">
                            <w:pPr>
                              <w:pStyle w:val="Style3"/>
                              <w:keepNext/>
                              <w:spacing w:before="0" w:after="0"/>
                              <w:rPr>
                                <w:sz w:val="18"/>
                                <w:szCs w:val="18"/>
                              </w:rPr>
                            </w:pPr>
                            <w:r>
                              <w:rPr>
                                <w:sz w:val="18"/>
                                <w:szCs w:val="18"/>
                              </w:rPr>
                              <w:t>30,200</w:t>
                            </w:r>
                          </w:p>
                        </w:tc>
                        <w:tc>
                          <w:tcPr>
                            <w:tcW w:w="1134" w:type="dxa"/>
                          </w:tcPr>
                          <w:p w14:paraId="78526298" w14:textId="77777777" w:rsidR="00211063" w:rsidRPr="00147757" w:rsidRDefault="00211063" w:rsidP="0003057D">
                            <w:pPr>
                              <w:pStyle w:val="Style3"/>
                              <w:keepNext/>
                              <w:spacing w:before="0" w:after="0"/>
                              <w:rPr>
                                <w:sz w:val="18"/>
                                <w:szCs w:val="18"/>
                              </w:rPr>
                            </w:pPr>
                            <w:r>
                              <w:rPr>
                                <w:sz w:val="18"/>
                                <w:szCs w:val="18"/>
                              </w:rPr>
                              <w:t>33,100</w:t>
                            </w:r>
                          </w:p>
                        </w:tc>
                        <w:tc>
                          <w:tcPr>
                            <w:tcW w:w="1134" w:type="dxa"/>
                          </w:tcPr>
                          <w:p w14:paraId="0B9D63F9" w14:textId="77777777" w:rsidR="00211063" w:rsidRPr="00147757" w:rsidRDefault="00211063" w:rsidP="0003057D">
                            <w:pPr>
                              <w:pStyle w:val="Style3"/>
                              <w:keepNext/>
                              <w:spacing w:before="0" w:after="0"/>
                              <w:rPr>
                                <w:sz w:val="18"/>
                                <w:szCs w:val="18"/>
                              </w:rPr>
                            </w:pPr>
                            <w:r>
                              <w:rPr>
                                <w:sz w:val="18"/>
                                <w:szCs w:val="18"/>
                              </w:rPr>
                              <w:t>38,100</w:t>
                            </w:r>
                          </w:p>
                        </w:tc>
                        <w:tc>
                          <w:tcPr>
                            <w:tcW w:w="1389" w:type="dxa"/>
                          </w:tcPr>
                          <w:p w14:paraId="3010F996" w14:textId="77777777" w:rsidR="00211063" w:rsidRPr="00147757" w:rsidRDefault="00211063" w:rsidP="0003057D">
                            <w:pPr>
                              <w:pStyle w:val="Style3"/>
                              <w:keepNext/>
                              <w:spacing w:before="0" w:after="0"/>
                              <w:rPr>
                                <w:sz w:val="18"/>
                                <w:szCs w:val="18"/>
                              </w:rPr>
                            </w:pPr>
                            <w:r>
                              <w:rPr>
                                <w:sz w:val="18"/>
                                <w:szCs w:val="18"/>
                              </w:rPr>
                              <w:t>43,500</w:t>
                            </w:r>
                          </w:p>
                        </w:tc>
                      </w:tr>
                      <w:tr w:rsidR="00211063" w:rsidRPr="00147757" w14:paraId="002A5B79" w14:textId="77777777" w:rsidTr="0003057D">
                        <w:tblPrEx>
                          <w:tblCellMar>
                            <w:right w:w="28" w:type="dxa"/>
                          </w:tblCellMar>
                        </w:tblPrEx>
                        <w:trPr>
                          <w:trHeight w:val="50"/>
                        </w:trPr>
                        <w:tc>
                          <w:tcPr>
                            <w:tcW w:w="2327" w:type="dxa"/>
                            <w:shd w:val="clear" w:color="auto" w:fill="auto"/>
                          </w:tcPr>
                          <w:p w14:paraId="3EC9937F" w14:textId="77777777" w:rsidR="00211063" w:rsidRDefault="00211063" w:rsidP="0003057D">
                            <w:pPr>
                              <w:keepNext/>
                              <w:spacing w:before="0" w:after="0"/>
                              <w:rPr>
                                <w:sz w:val="18"/>
                                <w:szCs w:val="18"/>
                              </w:rPr>
                            </w:pPr>
                            <w:r>
                              <w:rPr>
                                <w:sz w:val="18"/>
                                <w:szCs w:val="18"/>
                              </w:rPr>
                              <w:t xml:space="preserve">Net additional employment </w:t>
                            </w:r>
                          </w:p>
                        </w:tc>
                        <w:tc>
                          <w:tcPr>
                            <w:tcW w:w="1308" w:type="dxa"/>
                            <w:shd w:val="clear" w:color="auto" w:fill="auto"/>
                          </w:tcPr>
                          <w:p w14:paraId="562C369E" w14:textId="77777777" w:rsidR="00211063" w:rsidRPr="00147757" w:rsidRDefault="00211063" w:rsidP="0003057D">
                            <w:pPr>
                              <w:pStyle w:val="Style3"/>
                              <w:keepNext/>
                              <w:spacing w:before="0" w:after="0"/>
                              <w:rPr>
                                <w:sz w:val="18"/>
                                <w:szCs w:val="18"/>
                              </w:rPr>
                            </w:pPr>
                          </w:p>
                        </w:tc>
                        <w:tc>
                          <w:tcPr>
                            <w:tcW w:w="1134" w:type="dxa"/>
                          </w:tcPr>
                          <w:p w14:paraId="7938302C" w14:textId="77777777" w:rsidR="00211063" w:rsidRPr="00147757" w:rsidRDefault="00211063" w:rsidP="0003057D">
                            <w:pPr>
                              <w:pStyle w:val="Style3"/>
                              <w:keepNext/>
                              <w:spacing w:before="0" w:after="0"/>
                              <w:rPr>
                                <w:sz w:val="18"/>
                                <w:szCs w:val="18"/>
                              </w:rPr>
                            </w:pPr>
                            <w:r>
                              <w:rPr>
                                <w:sz w:val="18"/>
                                <w:szCs w:val="18"/>
                              </w:rPr>
                              <w:t>3,000</w:t>
                            </w:r>
                          </w:p>
                        </w:tc>
                        <w:tc>
                          <w:tcPr>
                            <w:tcW w:w="1134" w:type="dxa"/>
                          </w:tcPr>
                          <w:p w14:paraId="7B9D13F2" w14:textId="77777777" w:rsidR="00211063" w:rsidRPr="00147757" w:rsidRDefault="00211063" w:rsidP="0003057D">
                            <w:pPr>
                              <w:pStyle w:val="Style3"/>
                              <w:keepNext/>
                              <w:spacing w:before="0" w:after="0"/>
                              <w:rPr>
                                <w:sz w:val="18"/>
                                <w:szCs w:val="18"/>
                              </w:rPr>
                            </w:pPr>
                            <w:r>
                              <w:rPr>
                                <w:sz w:val="18"/>
                                <w:szCs w:val="18"/>
                              </w:rPr>
                              <w:t>8,000</w:t>
                            </w:r>
                          </w:p>
                        </w:tc>
                        <w:tc>
                          <w:tcPr>
                            <w:tcW w:w="1389" w:type="dxa"/>
                          </w:tcPr>
                          <w:p w14:paraId="541336CE" w14:textId="77777777" w:rsidR="00211063" w:rsidRPr="00147757" w:rsidRDefault="00211063" w:rsidP="0003057D">
                            <w:pPr>
                              <w:pStyle w:val="Style3"/>
                              <w:keepNext/>
                              <w:spacing w:before="0" w:after="0"/>
                              <w:rPr>
                                <w:sz w:val="18"/>
                                <w:szCs w:val="18"/>
                              </w:rPr>
                            </w:pPr>
                            <w:r>
                              <w:rPr>
                                <w:sz w:val="18"/>
                                <w:szCs w:val="18"/>
                              </w:rPr>
                              <w:t>13,400</w:t>
                            </w:r>
                          </w:p>
                        </w:tc>
                      </w:tr>
                    </w:tbl>
                    <w:p w14:paraId="7403F43D" w14:textId="77777777" w:rsidR="00211063" w:rsidRDefault="00211063" w:rsidP="00D030E8">
                      <w:pPr>
                        <w:spacing w:after="0"/>
                        <w:rPr>
                          <w:sz w:val="20"/>
                          <w:szCs w:val="20"/>
                        </w:rPr>
                      </w:pPr>
                    </w:p>
                    <w:p w14:paraId="56BDCCB5" w14:textId="77777777" w:rsidR="00211063" w:rsidRPr="00116F8A" w:rsidRDefault="00211063" w:rsidP="002829C7">
                      <w:pPr>
                        <w:spacing w:after="0"/>
                      </w:pPr>
                      <w:r>
                        <w:rPr>
                          <w:sz w:val="20"/>
                          <w:szCs w:val="20"/>
                        </w:rPr>
                        <w:t>Clearly there has been some significant economic and social changes across the area since these plans were developed, not least the housing crash and economic recession over the 2008-2010 period which almost certainly will have made these targets more difficult to achieve. However, the framework provides a good indication of the policy counterfactual for the Lower Lea Valley and the outcome counterfactual for the housing units delivered.</w:t>
                      </w:r>
                    </w:p>
                    <w:p w14:paraId="4A633044" w14:textId="77777777" w:rsidR="00211063" w:rsidRDefault="00211063" w:rsidP="00D030E8">
                      <w:pPr>
                        <w:spacing w:after="120"/>
                        <w:rPr>
                          <w:sz w:val="20"/>
                          <w:szCs w:val="20"/>
                        </w:rPr>
                      </w:pPr>
                    </w:p>
                  </w:txbxContent>
                </v:textbox>
                <w10:anchorlock/>
              </v:shape>
            </w:pict>
          </mc:Fallback>
        </mc:AlternateContent>
      </w:r>
    </w:p>
    <w:p w14:paraId="014F8F85" w14:textId="77777777" w:rsidR="00440659" w:rsidRDefault="00D7322D" w:rsidP="00D7322D">
      <w:pPr>
        <w:pStyle w:val="Heading2"/>
      </w:pPr>
      <w:r>
        <w:lastRenderedPageBreak/>
        <w:t xml:space="preserve">Transforming </w:t>
      </w:r>
      <w:r w:rsidR="00440659">
        <w:t xml:space="preserve">communities </w:t>
      </w:r>
    </w:p>
    <w:p w14:paraId="644196D0" w14:textId="77777777" w:rsidR="00440659" w:rsidRDefault="007B0E79" w:rsidP="00440659">
      <w:r>
        <w:t xml:space="preserve">The 2012 Games should benefit </w:t>
      </w:r>
      <w:r w:rsidR="00440659">
        <w:t xml:space="preserve">local communities </w:t>
      </w:r>
      <w:r>
        <w:t>through direct transport, housing</w:t>
      </w:r>
      <w:r w:rsidR="002829C7">
        <w:t xml:space="preserve">, leisure </w:t>
      </w:r>
      <w:r>
        <w:t>and other investment</w:t>
      </w:r>
      <w:r w:rsidR="002829C7">
        <w:t>s,</w:t>
      </w:r>
      <w:r>
        <w:t xml:space="preserve"> </w:t>
      </w:r>
      <w:r w:rsidR="00D32B85" w:rsidRPr="00D32B85">
        <w:t>which can impact directly on resident satisfaction and community cohesion</w:t>
      </w:r>
      <w:r w:rsidR="00D32B85">
        <w:t xml:space="preserve">, </w:t>
      </w:r>
      <w:r>
        <w:t xml:space="preserve">as well as indirectly </w:t>
      </w:r>
      <w:r w:rsidR="002829C7">
        <w:t xml:space="preserve">by </w:t>
      </w:r>
      <w:r>
        <w:t>improving the image and perception of the area</w:t>
      </w:r>
      <w:r w:rsidR="00440659">
        <w:t xml:space="preserve">. The baseline </w:t>
      </w:r>
      <w:r>
        <w:t xml:space="preserve">and outcome counterfactual </w:t>
      </w:r>
      <w:r w:rsidR="00440659">
        <w:t xml:space="preserve">is constructed using </w:t>
      </w:r>
      <w:r>
        <w:t xml:space="preserve">the following </w:t>
      </w:r>
      <w:r w:rsidR="00440659">
        <w:t>evidence from local resident surveys:</w:t>
      </w:r>
    </w:p>
    <w:p w14:paraId="43439DED" w14:textId="77777777" w:rsidR="00440659" w:rsidRDefault="007B0E79" w:rsidP="007B0E79">
      <w:pPr>
        <w:pStyle w:val="BulletOne"/>
      </w:pPr>
      <w:r>
        <w:t>S</w:t>
      </w:r>
      <w:r w:rsidRPr="007B0E79">
        <w:t>atisfaction with the local area</w:t>
      </w:r>
      <w:r>
        <w:t xml:space="preserve"> increased from </w:t>
      </w:r>
      <w:r w:rsidR="00440659">
        <w:t>58% to 67%</w:t>
      </w:r>
      <w:r>
        <w:t xml:space="preserve"> in the host boroughs from 2006 to 2008</w:t>
      </w:r>
      <w:r w:rsidR="00440659">
        <w:t xml:space="preserve">, compared </w:t>
      </w:r>
      <w:r>
        <w:t xml:space="preserve">to </w:t>
      </w:r>
      <w:r w:rsidR="00440659">
        <w:t>69% to 75% in London.</w:t>
      </w:r>
      <w:r w:rsidR="00D32B85">
        <w:rPr>
          <w:rStyle w:val="FootnoteReference"/>
        </w:rPr>
        <w:footnoteReference w:id="34"/>
      </w:r>
      <w:r w:rsidR="00440659">
        <w:t xml:space="preserve"> It is expected that this </w:t>
      </w:r>
      <w:r>
        <w:t xml:space="preserve">convergence trend </w:t>
      </w:r>
      <w:r w:rsidR="00440659">
        <w:t xml:space="preserve">would have </w:t>
      </w:r>
      <w:r w:rsidR="00613679">
        <w:t>continued in the host boroughs;</w:t>
      </w:r>
    </w:p>
    <w:p w14:paraId="140E75C7" w14:textId="77777777" w:rsidR="00440659" w:rsidRDefault="002829C7" w:rsidP="00440659">
      <w:pPr>
        <w:pStyle w:val="BulletOne"/>
      </w:pPr>
      <w:r>
        <w:t xml:space="preserve">Social </w:t>
      </w:r>
      <w:r w:rsidR="00440659">
        <w:t xml:space="preserve">cohesion, </w:t>
      </w:r>
      <w:r w:rsidR="00024DBC">
        <w:t xml:space="preserve">measured by </w:t>
      </w:r>
      <w:r w:rsidR="00440659">
        <w:t>the proportion of people who agree their area is a place where people from different backgrounds get on well together</w:t>
      </w:r>
      <w:r w:rsidR="00024DBC">
        <w:t>,</w:t>
      </w:r>
      <w:r w:rsidR="00440659">
        <w:t xml:space="preserve"> declined between 2006 and 2008 in </w:t>
      </w:r>
      <w:r>
        <w:t xml:space="preserve">the </w:t>
      </w:r>
      <w:r w:rsidR="00440659">
        <w:t>host boroughs and London by the same proportion, measuring 71% in host boroughs in 2008 compared with 76% in London.</w:t>
      </w:r>
      <w:r w:rsidR="00D32B85">
        <w:rPr>
          <w:rStyle w:val="FootnoteReference"/>
        </w:rPr>
        <w:footnoteReference w:id="35"/>
      </w:r>
      <w:r w:rsidR="00440659">
        <w:t xml:space="preserve"> </w:t>
      </w:r>
      <w:r w:rsidR="007B0E79">
        <w:t xml:space="preserve">Without the 2012 Games it is </w:t>
      </w:r>
      <w:r w:rsidR="00440659">
        <w:t>expected that t</w:t>
      </w:r>
      <w:r w:rsidR="00613679">
        <w:t>his trend would have continued</w:t>
      </w:r>
      <w:r w:rsidR="007B0E79">
        <w:t xml:space="preserve"> over the short-term.</w:t>
      </w:r>
    </w:p>
    <w:p w14:paraId="09C8FD42" w14:textId="77777777" w:rsidR="00440659" w:rsidRDefault="00440659" w:rsidP="00440659">
      <w:r>
        <w:t xml:space="preserve">The policy counterfactual is closely related to the </w:t>
      </w:r>
      <w:r w:rsidR="000138C8" w:rsidRPr="000138C8">
        <w:t xml:space="preserve">Lower Lea Valley Area Development Framework </w:t>
      </w:r>
      <w:r w:rsidR="007B0E79">
        <w:t>described above. H</w:t>
      </w:r>
      <w:r>
        <w:t xml:space="preserve">ousing completions in the host boroughs would have continued to average 5,000-5,500 </w:t>
      </w:r>
      <w:r w:rsidR="00E51000">
        <w:t xml:space="preserve">units </w:t>
      </w:r>
      <w:r>
        <w:t xml:space="preserve">annually and commercial </w:t>
      </w:r>
      <w:proofErr w:type="spellStart"/>
      <w:r>
        <w:t>floorspace</w:t>
      </w:r>
      <w:proofErr w:type="spellEnd"/>
      <w:r>
        <w:t xml:space="preserve"> delivered would have averaged 80,000-85,000 square metres annually. The </w:t>
      </w:r>
      <w:r w:rsidR="000138C8" w:rsidRPr="000138C8">
        <w:t xml:space="preserve">Area Development Framework </w:t>
      </w:r>
      <w:r>
        <w:t>also provides evidence of the community facilities which would have been delivered in the absence of the Games.</w:t>
      </w:r>
    </w:p>
    <w:p w14:paraId="7EA875A9" w14:textId="77777777" w:rsidR="00D7322D" w:rsidRDefault="00440659" w:rsidP="00D7322D">
      <w:pPr>
        <w:pStyle w:val="Heading2"/>
      </w:pPr>
      <w:r>
        <w:t xml:space="preserve">Transforming </w:t>
      </w:r>
      <w:r w:rsidR="00D7322D">
        <w:t xml:space="preserve">prospects </w:t>
      </w:r>
    </w:p>
    <w:p w14:paraId="1FB6C670" w14:textId="77777777" w:rsidR="00D32B85" w:rsidRDefault="007B0E79" w:rsidP="00440659">
      <w:r>
        <w:t xml:space="preserve">The construction of the Olympic park and </w:t>
      </w:r>
      <w:r w:rsidR="002829C7">
        <w:t xml:space="preserve">wider </w:t>
      </w:r>
      <w:r>
        <w:t xml:space="preserve">economic and social regeneration </w:t>
      </w:r>
      <w:r w:rsidR="002829C7">
        <w:t xml:space="preserve">will </w:t>
      </w:r>
      <w:r>
        <w:t>increase e</w:t>
      </w:r>
      <w:r w:rsidR="00440659">
        <w:t xml:space="preserve">mployment </w:t>
      </w:r>
      <w:r w:rsidR="002829C7">
        <w:t xml:space="preserve">in the local economy </w:t>
      </w:r>
      <w:r w:rsidR="00440659">
        <w:t xml:space="preserve">and </w:t>
      </w:r>
      <w:r w:rsidR="002829C7">
        <w:t xml:space="preserve">should also </w:t>
      </w:r>
      <w:r>
        <w:t xml:space="preserve">stimulate </w:t>
      </w:r>
      <w:r w:rsidR="00440659">
        <w:t xml:space="preserve">business growth in </w:t>
      </w:r>
      <w:r w:rsidR="002829C7">
        <w:t>the surrounding areas</w:t>
      </w:r>
      <w:r>
        <w:t xml:space="preserve">. </w:t>
      </w:r>
      <w:r w:rsidR="00D32B85" w:rsidRPr="00D32B85">
        <w:t xml:space="preserve">Such activity is critical to this theme which covers economic prospects generated by the 2012 Games around employment and skills development and business investment. </w:t>
      </w:r>
    </w:p>
    <w:p w14:paraId="41E77BB2" w14:textId="77777777" w:rsidR="00440659" w:rsidRDefault="007B0E79" w:rsidP="00440659">
      <w:r>
        <w:t>The baseline is expressed by employment rates and the number of businesses</w:t>
      </w:r>
      <w:r w:rsidR="00440659">
        <w:t xml:space="preserve">: </w:t>
      </w:r>
    </w:p>
    <w:p w14:paraId="688140AA" w14:textId="77777777" w:rsidR="00440659" w:rsidRDefault="00440659" w:rsidP="00EF1B2B">
      <w:pPr>
        <w:pStyle w:val="BulletOne"/>
      </w:pPr>
      <w:r>
        <w:t xml:space="preserve">The number of businesses grew 14% between 2003 and 2008, compared to 10% in London. The </w:t>
      </w:r>
      <w:r w:rsidR="00EF1B2B" w:rsidRPr="00EF1B2B">
        <w:t xml:space="preserve">average annual growth rate </w:t>
      </w:r>
      <w:r>
        <w:t>over this time was 2.6% for the host boro</w:t>
      </w:r>
      <w:r w:rsidR="00613679">
        <w:t>ughs and 1.9% in London;</w:t>
      </w:r>
      <w:r w:rsidR="00D32B85">
        <w:rPr>
          <w:rStyle w:val="FootnoteReference"/>
        </w:rPr>
        <w:footnoteReference w:id="36"/>
      </w:r>
    </w:p>
    <w:p w14:paraId="419AB444" w14:textId="77777777" w:rsidR="00440659" w:rsidRDefault="00440659" w:rsidP="00440659">
      <w:pPr>
        <w:pStyle w:val="BulletOne"/>
      </w:pPr>
      <w:r>
        <w:t>The employment rate grew 3.3 percentag</w:t>
      </w:r>
      <w:r w:rsidR="00613679">
        <w:t>e points between 2003 and 2010</w:t>
      </w:r>
      <w:r w:rsidR="007B0E79">
        <w:t xml:space="preserve">, compared to </w:t>
      </w:r>
      <w:r>
        <w:t>London as a whole where employment fell by over 1 percentage point.</w:t>
      </w:r>
      <w:r w:rsidR="00D32B85">
        <w:rPr>
          <w:rStyle w:val="FootnoteReference"/>
        </w:rPr>
        <w:footnoteReference w:id="37"/>
      </w:r>
    </w:p>
    <w:p w14:paraId="1339729E" w14:textId="0DD1FDA0" w:rsidR="004E0FEE" w:rsidRDefault="004E0FEE" w:rsidP="004E0FEE">
      <w:r>
        <w:t>Without the Games, employment and skills initiatives in East London would still have taken place, but without the emphasis and focus provided by the 2012 Games. Prior to the bid for the 2012 Games, East London has already been a focus for overarching skills and employment initiatives. The London Development Agency</w:t>
      </w:r>
      <w:r>
        <w:rPr>
          <w:rStyle w:val="FootnoteReference"/>
        </w:rPr>
        <w:footnoteReference w:id="38"/>
      </w:r>
      <w:r>
        <w:t>, the Learning and Skills Council</w:t>
      </w:r>
      <w:r>
        <w:rPr>
          <w:rStyle w:val="FootnoteReference"/>
        </w:rPr>
        <w:footnoteReference w:id="39"/>
      </w:r>
      <w:r>
        <w:t xml:space="preserve"> and the Thames Gateway </w:t>
      </w:r>
      <w:r w:rsidR="00F05310">
        <w:t xml:space="preserve">London </w:t>
      </w:r>
      <w:r>
        <w:t xml:space="preserve">Partnership for example, have all delivered or contributed to regional initiatives. </w:t>
      </w:r>
    </w:p>
    <w:p w14:paraId="46C40B24" w14:textId="37530080" w:rsidR="004E0FEE" w:rsidRDefault="004E0FEE" w:rsidP="004E0FEE">
      <w:r>
        <w:t>The 2012 Games has allowed resources focused on East London to deliver actions to exploit the employment and skills-development opportunities associated with the Games (e.g. LEST, the London Employment and Skills Taskforce for 2012). The outcome counterfactual will be informed by comparator boroughs analysis using 2012 data.</w:t>
      </w:r>
    </w:p>
    <w:p w14:paraId="282FA51D" w14:textId="77777777" w:rsidR="004E0FEE" w:rsidRDefault="004E0FEE" w:rsidP="004E0FEE">
      <w:r>
        <w:t xml:space="preserve"> </w:t>
      </w:r>
    </w:p>
    <w:p w14:paraId="633DBD54" w14:textId="77777777" w:rsidR="00D7322D" w:rsidRPr="00D7322D" w:rsidRDefault="00D7322D" w:rsidP="00D7322D">
      <w:pPr>
        <w:pStyle w:val="Heading2"/>
      </w:pPr>
      <w:r>
        <w:lastRenderedPageBreak/>
        <w:t xml:space="preserve">Convergence </w:t>
      </w:r>
    </w:p>
    <w:p w14:paraId="52953DFE" w14:textId="77777777" w:rsidR="00D32B85" w:rsidRDefault="00D32B85" w:rsidP="00440659">
      <w:r w:rsidRPr="00D32B85">
        <w:t xml:space="preserve">This sub-theme covers all activity that helps meet the </w:t>
      </w:r>
      <w:r>
        <w:t xml:space="preserve">convergence </w:t>
      </w:r>
      <w:r w:rsidRPr="00D32B85">
        <w:t>aspiration that "</w:t>
      </w:r>
      <w:r w:rsidRPr="00D32B85">
        <w:rPr>
          <w:i/>
        </w:rPr>
        <w:t>within 20 years, the communities which host the 2012 Olympic and Paralympic Games will enjoy the same social and economic chances as their neighbours across London</w:t>
      </w:r>
      <w:r w:rsidRPr="00D32B85">
        <w:t>".</w:t>
      </w:r>
      <w:r>
        <w:rPr>
          <w:rStyle w:val="FootnoteReference"/>
        </w:rPr>
        <w:footnoteReference w:id="40"/>
      </w:r>
    </w:p>
    <w:p w14:paraId="42782A7E" w14:textId="77777777" w:rsidR="00440659" w:rsidRPr="005954F2" w:rsidRDefault="00D32B85" w:rsidP="00D32B85">
      <w:r w:rsidRPr="00D32B85">
        <w:t>To measure progress in this sub-theme</w:t>
      </w:r>
      <w:r>
        <w:t xml:space="preserve">, </w:t>
      </w:r>
      <w:r w:rsidRPr="00D32B85">
        <w:t xml:space="preserve">the baseline indicators </w:t>
      </w:r>
      <w:r w:rsidR="006B12AE" w:rsidRPr="00D32B85">
        <w:t>chosen mirror</w:t>
      </w:r>
      <w:r w:rsidR="00440659">
        <w:t xml:space="preserve"> those in the Strategic Regeneration </w:t>
      </w:r>
      <w:r w:rsidR="00440659" w:rsidRPr="005954F2">
        <w:t>Framework.</w:t>
      </w:r>
      <w:r w:rsidR="009752F9" w:rsidRPr="005954F2">
        <w:rPr>
          <w:rStyle w:val="FootnoteReference"/>
        </w:rPr>
        <w:footnoteReference w:id="41"/>
      </w:r>
      <w:r w:rsidR="00440659" w:rsidRPr="005954F2">
        <w:t xml:space="preserve"> </w:t>
      </w:r>
      <w:r w:rsidR="007B0E79" w:rsidRPr="005954F2">
        <w:t xml:space="preserve">Key baseline </w:t>
      </w:r>
      <w:r w:rsidR="00DB22AA" w:rsidRPr="005954F2">
        <w:t>trends are as follows</w:t>
      </w:r>
      <w:r w:rsidR="00440659" w:rsidRPr="005954F2">
        <w:t xml:space="preserve">: </w:t>
      </w:r>
    </w:p>
    <w:p w14:paraId="1702E8DC" w14:textId="77777777" w:rsidR="00440659" w:rsidRPr="005954F2" w:rsidRDefault="00427318" w:rsidP="00B63186">
      <w:pPr>
        <w:pStyle w:val="BulletOne"/>
      </w:pPr>
      <w:r>
        <w:t>U</w:t>
      </w:r>
      <w:r w:rsidR="00B63186" w:rsidRPr="00B63186">
        <w:t>nemployment rate increased from 9.7% to 12.2%</w:t>
      </w:r>
      <w:r>
        <w:t xml:space="preserve"> in the host boroughs over the 2003-2010 period</w:t>
      </w:r>
      <w:r w:rsidR="00B63186" w:rsidRPr="00B63186">
        <w:t xml:space="preserve">, </w:t>
      </w:r>
      <w:r>
        <w:t xml:space="preserve">largely as a result of the </w:t>
      </w:r>
      <w:r w:rsidR="00B63186" w:rsidRPr="00B63186">
        <w:t xml:space="preserve">economic downturn. The increase was not as marked in London overall, where unemployment increased </w:t>
      </w:r>
      <w:r>
        <w:t xml:space="preserve">by </w:t>
      </w:r>
      <w:r w:rsidR="00B63186" w:rsidRPr="00B63186">
        <w:t>1.9 percentage points to 9</w:t>
      </w:r>
      <w:r w:rsidR="009F0663">
        <w:t>.0</w:t>
      </w:r>
      <w:r w:rsidR="00B63186" w:rsidRPr="00B63186">
        <w:t>%;</w:t>
      </w:r>
      <w:r w:rsidR="00D32B85">
        <w:rPr>
          <w:rStyle w:val="FootnoteReference"/>
        </w:rPr>
        <w:footnoteReference w:id="42"/>
      </w:r>
    </w:p>
    <w:p w14:paraId="65AC0587" w14:textId="77777777" w:rsidR="00440659" w:rsidRPr="005954F2" w:rsidRDefault="00705ADC" w:rsidP="00705ADC">
      <w:pPr>
        <w:pStyle w:val="BulletOne"/>
      </w:pPr>
      <w:proofErr w:type="spellStart"/>
      <w:r w:rsidRPr="005954F2">
        <w:t>Worklessness</w:t>
      </w:r>
      <w:proofErr w:type="spellEnd"/>
      <w:r w:rsidRPr="005954F2">
        <w:t xml:space="preserve"> in the host boroughs was almost 20% in 2010, which is higher than across London (15%) and across England and Wales (14%)</w:t>
      </w:r>
      <w:r w:rsidR="00E51000" w:rsidRPr="005954F2">
        <w:t>;</w:t>
      </w:r>
      <w:r w:rsidR="00D32B85">
        <w:rPr>
          <w:rStyle w:val="FootnoteReference"/>
        </w:rPr>
        <w:footnoteReference w:id="43"/>
      </w:r>
      <w:r w:rsidR="00440659" w:rsidRPr="005954F2">
        <w:t xml:space="preserve"> </w:t>
      </w:r>
    </w:p>
    <w:p w14:paraId="135D026F" w14:textId="77777777" w:rsidR="00440659" w:rsidRDefault="002829C7" w:rsidP="00440659">
      <w:pPr>
        <w:pStyle w:val="BulletOne"/>
      </w:pPr>
      <w:r w:rsidRPr="005954F2">
        <w:t>The p</w:t>
      </w:r>
      <w:r w:rsidR="00440659" w:rsidRPr="005954F2">
        <w:t>roportion of pupils at Key Stage 4 who achieved five or more GCSEs at grades A*-C</w:t>
      </w:r>
      <w:r w:rsidR="00440659">
        <w:t xml:space="preserve"> in the host boroughs was 72%</w:t>
      </w:r>
      <w:r>
        <w:t xml:space="preserve"> in 2009, </w:t>
      </w:r>
      <w:r w:rsidR="00440659">
        <w:t>lower than across London (78%) or England (75%)</w:t>
      </w:r>
      <w:r w:rsidR="00613679">
        <w:t>;</w:t>
      </w:r>
      <w:r w:rsidR="00D32B85">
        <w:rPr>
          <w:rStyle w:val="FootnoteReference"/>
        </w:rPr>
        <w:footnoteReference w:id="44"/>
      </w:r>
    </w:p>
    <w:p w14:paraId="72330F7F" w14:textId="77777777" w:rsidR="00440659" w:rsidRDefault="002829C7" w:rsidP="00440659">
      <w:pPr>
        <w:pStyle w:val="BulletOne"/>
      </w:pPr>
      <w:r>
        <w:t>M</w:t>
      </w:r>
      <w:r w:rsidR="00440659">
        <w:t>edian wage of residents has been rising faster in the host boroughs than in London,</w:t>
      </w:r>
      <w:r>
        <w:t xml:space="preserve"> increasing </w:t>
      </w:r>
      <w:r w:rsidR="00440659">
        <w:t>40% in the host boroughs</w:t>
      </w:r>
      <w:r>
        <w:t xml:space="preserve"> over the 2003-2010 period </w:t>
      </w:r>
      <w:r w:rsidR="00440659">
        <w:t xml:space="preserve">compared to 28% </w:t>
      </w:r>
      <w:r>
        <w:t xml:space="preserve">across </w:t>
      </w:r>
      <w:r w:rsidR="00440659">
        <w:t>London and 28% in England and Wales.</w:t>
      </w:r>
      <w:r w:rsidR="00D32B85">
        <w:rPr>
          <w:rStyle w:val="FootnoteReference"/>
        </w:rPr>
        <w:footnoteReference w:id="45"/>
      </w:r>
    </w:p>
    <w:p w14:paraId="2BE67DAA" w14:textId="77777777" w:rsidR="00440659" w:rsidRDefault="00440659" w:rsidP="00DE6F72">
      <w:r>
        <w:t xml:space="preserve">In relation to the policy counterfactual, the strategic planning role played by </w:t>
      </w:r>
      <w:r w:rsidR="003E5622">
        <w:t xml:space="preserve">the </w:t>
      </w:r>
      <w:r w:rsidR="00EF1B2B">
        <w:t xml:space="preserve">Olympic Park Legacy Company </w:t>
      </w:r>
      <w:r w:rsidR="002829C7">
        <w:t xml:space="preserve">and the forthcoming </w:t>
      </w:r>
      <w:r w:rsidR="002829C7" w:rsidRPr="002829C7">
        <w:t xml:space="preserve">Mayoral Development Corporation </w:t>
      </w:r>
      <w:r>
        <w:t xml:space="preserve">would not have existed </w:t>
      </w:r>
      <w:r w:rsidR="002829C7">
        <w:t>without the Games</w:t>
      </w:r>
      <w:r>
        <w:t xml:space="preserve">. The </w:t>
      </w:r>
      <w:r w:rsidR="00F27E80">
        <w:t>h</w:t>
      </w:r>
      <w:r>
        <w:t xml:space="preserve">ost </w:t>
      </w:r>
      <w:r w:rsidR="00F27E80">
        <w:t>b</w:t>
      </w:r>
      <w:r>
        <w:t>oroughs unit would also not have existed</w:t>
      </w:r>
      <w:r w:rsidR="00DB22AA">
        <w:t xml:space="preserve"> which helps coordinate policies and strategies across the six boroughs</w:t>
      </w:r>
      <w:r>
        <w:t xml:space="preserve">. </w:t>
      </w:r>
    </w:p>
    <w:p w14:paraId="446FA645" w14:textId="77777777" w:rsidR="00D7322D" w:rsidRPr="00D7322D" w:rsidRDefault="00DB22AA" w:rsidP="00993ECB">
      <w:r>
        <w:t xml:space="preserve">In terms of the </w:t>
      </w:r>
      <w:r w:rsidR="00440659">
        <w:t>outcome counterfactual, there may have been individual regeneration programmes delivered but the counterfactual would be a continuation of trends with regards to socio-economic outcomes in the East London area.</w:t>
      </w:r>
    </w:p>
    <w:p w14:paraId="0A4A71CC" w14:textId="77777777" w:rsidR="00500ED5" w:rsidRDefault="00500ED5" w:rsidP="00500ED5"/>
    <w:p w14:paraId="64FC5295" w14:textId="77777777" w:rsidR="006E3864" w:rsidRDefault="006E3864" w:rsidP="00C151C6"/>
    <w:p w14:paraId="3EF9162A" w14:textId="77777777" w:rsidR="006E3864" w:rsidRDefault="006E3864" w:rsidP="00C151C6"/>
    <w:p w14:paraId="74D422A5" w14:textId="77777777" w:rsidR="006E3864" w:rsidRDefault="006E3864" w:rsidP="006E3864">
      <w:pPr>
        <w:pStyle w:val="Heading1"/>
      </w:pPr>
      <w:bookmarkStart w:id="8" w:name="_Toc314489499"/>
      <w:r>
        <w:lastRenderedPageBreak/>
        <w:t>Conclusion and next steps</w:t>
      </w:r>
      <w:bookmarkEnd w:id="8"/>
      <w:r>
        <w:t xml:space="preserve"> </w:t>
      </w:r>
    </w:p>
    <w:p w14:paraId="09420889" w14:textId="77777777" w:rsidR="006E3864" w:rsidRPr="00E41F5B" w:rsidRDefault="006E3864" w:rsidP="006E3864">
      <w:pPr>
        <w:pStyle w:val="Heading2"/>
      </w:pPr>
      <w:r w:rsidRPr="00E41F5B">
        <w:t>Conclusion</w:t>
      </w:r>
    </w:p>
    <w:p w14:paraId="454E1529" w14:textId="77777777" w:rsidR="00137DEE" w:rsidRDefault="00137DEE" w:rsidP="00B63186">
      <w:r>
        <w:t xml:space="preserve">The objective of the meta-evaluation is to </w:t>
      </w:r>
      <w:r w:rsidRPr="00137DEE">
        <w:t xml:space="preserve">synthesise the findings of individual 'project-level' evaluations commissioned outside of this study, in order to </w:t>
      </w:r>
      <w:r>
        <w:t xml:space="preserve">assess </w:t>
      </w:r>
      <w:r w:rsidRPr="00137DEE">
        <w:t xml:space="preserve">the additionality, outputs, results, impacts and associated benefits of the investment in the </w:t>
      </w:r>
      <w:r>
        <w:t xml:space="preserve">2012 </w:t>
      </w:r>
      <w:r w:rsidRPr="00137DEE">
        <w:t>Games.</w:t>
      </w:r>
    </w:p>
    <w:p w14:paraId="5F8E91DF" w14:textId="77777777" w:rsidR="00B63186" w:rsidRDefault="00B63186" w:rsidP="00B63186">
      <w:r w:rsidRPr="00B63186">
        <w:t xml:space="preserve">The baseline assessment </w:t>
      </w:r>
      <w:r>
        <w:t>cove</w:t>
      </w:r>
      <w:r w:rsidR="00FE427C">
        <w:t>r</w:t>
      </w:r>
      <w:r>
        <w:t xml:space="preserve">s </w:t>
      </w:r>
      <w:r w:rsidRPr="00B63186">
        <w:t>analysis of historical trends in these indicators, an assessment of the factors likely to have driven any changes and identification of any issues or uncertainties with the data.</w:t>
      </w:r>
    </w:p>
    <w:p w14:paraId="7B7EF8E4" w14:textId="0FEF8B0C" w:rsidR="00B63186" w:rsidRDefault="00B63186" w:rsidP="00B63186">
      <w:r>
        <w:t xml:space="preserve">In relation to the outcome counterfactual, at this stage of the meta-evaluation, only trend-based techniques can be used to define the counterfactual, as many project-level evaluations have not been completed or commissioned and 2012 data which is needed for cross-sectional analysis is not yet available. </w:t>
      </w:r>
    </w:p>
    <w:p w14:paraId="511F3DB6" w14:textId="2862CF0E" w:rsidR="00635BA0" w:rsidRDefault="00B63186" w:rsidP="00B63186">
      <w:r>
        <w:t xml:space="preserve">In terms of the policy counterfactual, many of the legacy initiatives are new activities which have been developed as a result of the 2012 Games. In addition, </w:t>
      </w:r>
      <w:r w:rsidR="00635BA0">
        <w:t>a number of pre-existing policy initiatives may have been at risk of</w:t>
      </w:r>
      <w:r w:rsidR="00E51000">
        <w:t xml:space="preserve"> being</w:t>
      </w:r>
      <w:r w:rsidR="00635BA0">
        <w:t xml:space="preserve"> scal</w:t>
      </w:r>
      <w:r w:rsidR="00E51000">
        <w:t>ed</w:t>
      </w:r>
      <w:r w:rsidR="00635BA0">
        <w:t xml:space="preserve"> back or cancell</w:t>
      </w:r>
      <w:r w:rsidR="00E51000">
        <w:t xml:space="preserve">ed </w:t>
      </w:r>
      <w:r w:rsidR="00635BA0">
        <w:t xml:space="preserve">as a result of </w:t>
      </w:r>
      <w:r w:rsidR="006A7939">
        <w:t>the economic downturn</w:t>
      </w:r>
      <w:r w:rsidR="00635BA0">
        <w:t xml:space="preserve">, with the impetus of the Games being instrumental in keeping them going. </w:t>
      </w:r>
    </w:p>
    <w:p w14:paraId="368F44C3" w14:textId="77777777" w:rsidR="00AA2951" w:rsidRPr="00E20659" w:rsidRDefault="00AA2951" w:rsidP="00AA2951">
      <w:pPr>
        <w:pStyle w:val="Heading2"/>
      </w:pPr>
      <w:r>
        <w:t>Outputs</w:t>
      </w:r>
      <w:r w:rsidR="00E431F5">
        <w:t xml:space="preserve"> and next steps</w:t>
      </w:r>
      <w:r>
        <w:t xml:space="preserve"> </w:t>
      </w:r>
    </w:p>
    <w:p w14:paraId="314DB7EB" w14:textId="77777777" w:rsidR="00AA2951" w:rsidRDefault="00AA2951" w:rsidP="00AA2951">
      <w:r>
        <w:t>This Summary of Report 3 sets out the baseline and counterfactual of the meta-evaluation and should be read in conjunction with the other reports:</w:t>
      </w:r>
    </w:p>
    <w:p w14:paraId="0D958C5D" w14:textId="77777777" w:rsidR="00AA2951" w:rsidRDefault="00AA2951" w:rsidP="00AA2951">
      <w:pPr>
        <w:pStyle w:val="BulletOne"/>
      </w:pPr>
      <w:r>
        <w:t>Report 1: Research questions and scope (published Summer 2011)</w:t>
      </w:r>
      <w:r w:rsidR="00613679">
        <w:t>;</w:t>
      </w:r>
    </w:p>
    <w:p w14:paraId="3D368508" w14:textId="77777777" w:rsidR="00AA2951" w:rsidRDefault="00AA2951" w:rsidP="00AA2951">
      <w:pPr>
        <w:pStyle w:val="BulletOne"/>
      </w:pPr>
      <w:r>
        <w:t>Report 2: Methods (published Summer 2011)</w:t>
      </w:r>
      <w:r w:rsidR="00613679">
        <w:t>;</w:t>
      </w:r>
    </w:p>
    <w:p w14:paraId="6F9A550D" w14:textId="40D7E7EF" w:rsidR="00AA2951" w:rsidRDefault="00AA2951" w:rsidP="00AA2951">
      <w:pPr>
        <w:pStyle w:val="BulletOne"/>
      </w:pPr>
      <w:r>
        <w:t xml:space="preserve">Report 3: Baseline and counterfactual (published </w:t>
      </w:r>
      <w:r w:rsidR="00D32B85">
        <w:t>early</w:t>
      </w:r>
      <w:r w:rsidR="001B71C7">
        <w:t xml:space="preserve"> 2012</w:t>
      </w:r>
      <w:r>
        <w:t>)</w:t>
      </w:r>
      <w:r w:rsidR="00613679">
        <w:t>;</w:t>
      </w:r>
    </w:p>
    <w:p w14:paraId="0EBDC910" w14:textId="77777777" w:rsidR="00AA2951" w:rsidRDefault="00AA2951" w:rsidP="00AA2951">
      <w:pPr>
        <w:pStyle w:val="BulletOne"/>
      </w:pPr>
      <w:r>
        <w:t xml:space="preserve">Report 4: Interim or pre-Games evaluation (Autumn 2012); </w:t>
      </w:r>
    </w:p>
    <w:p w14:paraId="21D72F86" w14:textId="77777777" w:rsidR="00AA2951" w:rsidRDefault="00AA2951" w:rsidP="00AA2951">
      <w:pPr>
        <w:pStyle w:val="BulletOne"/>
      </w:pPr>
      <w:r>
        <w:t>Report 5: Post-Games initial evaluation (Summer 2013).</w:t>
      </w:r>
      <w:r w:rsidRPr="000A78E0">
        <w:t xml:space="preserve"> </w:t>
      </w:r>
    </w:p>
    <w:p w14:paraId="5746F0CF" w14:textId="77777777" w:rsidR="004D4A16" w:rsidRDefault="00E431F5" w:rsidP="004D4A16">
      <w:r>
        <w:t xml:space="preserve">The next steps will be to commission primary research and to produce the Interim Evaluation </w:t>
      </w:r>
      <w:r w:rsidR="00E51000">
        <w:t>(</w:t>
      </w:r>
      <w:r>
        <w:t xml:space="preserve">Report 4). </w:t>
      </w:r>
    </w:p>
    <w:p w14:paraId="579119D4" w14:textId="77777777" w:rsidR="0085110C" w:rsidRPr="005A0591" w:rsidRDefault="0085110C" w:rsidP="006A4749"/>
    <w:p w14:paraId="7498B1AE" w14:textId="77777777" w:rsidR="006E3864" w:rsidRDefault="006E3864" w:rsidP="009717B4"/>
    <w:p w14:paraId="20E54DFC" w14:textId="77777777" w:rsidR="003B7B33" w:rsidRDefault="003B7B33" w:rsidP="009717B4"/>
    <w:p w14:paraId="17ED7412" w14:textId="77777777" w:rsidR="003B7B33" w:rsidRPr="004D4A16" w:rsidRDefault="003B7B33" w:rsidP="009717B4"/>
    <w:p w14:paraId="0B8AA0DF" w14:textId="77777777" w:rsidR="00C151C6" w:rsidRPr="009377ED" w:rsidRDefault="00220A69" w:rsidP="00C151C6">
      <w:r>
        <w:br/>
      </w:r>
    </w:p>
    <w:p w14:paraId="604A45AE" w14:textId="77777777" w:rsidR="00F95170" w:rsidRDefault="00F95170" w:rsidP="00F95170"/>
    <w:sectPr w:rsidR="00F95170" w:rsidSect="00722E94">
      <w:headerReference w:type="even" r:id="rId18"/>
      <w:headerReference w:type="default" r:id="rId19"/>
      <w:footerReference w:type="even" r:id="rId20"/>
      <w:headerReference w:type="first" r:id="rId21"/>
      <w:pgSz w:w="11906" w:h="16838" w:code="9"/>
      <w:pgMar w:top="1618" w:right="1134" w:bottom="1134" w:left="2608"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7EE66" w14:textId="77777777" w:rsidR="003F5FF9" w:rsidRDefault="003F5FF9">
      <w:r>
        <w:separator/>
      </w:r>
    </w:p>
  </w:endnote>
  <w:endnote w:type="continuationSeparator" w:id="0">
    <w:p w14:paraId="729655B0" w14:textId="77777777" w:rsidR="003F5FF9" w:rsidRDefault="003F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liss">
    <w:panose1 w:val="00000400000000000000"/>
    <w:charset w:val="00"/>
    <w:family w:val="auto"/>
    <w:pitch w:val="variable"/>
    <w:sig w:usb0="80000027"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Dax-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FACF" w14:textId="77777777" w:rsidR="00211063" w:rsidRDefault="0021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0DB9252" w14:textId="77777777" w:rsidR="00211063" w:rsidRDefault="002110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886" w14:textId="77777777" w:rsidR="00211063" w:rsidRDefault="0021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4F6F">
      <w:rPr>
        <w:rStyle w:val="PageNumber"/>
        <w:noProof/>
      </w:rPr>
      <w:t>19</w:t>
    </w:r>
    <w:r>
      <w:rPr>
        <w:rStyle w:val="PageNumber"/>
      </w:rPr>
      <w:fldChar w:fldCharType="end"/>
    </w:r>
  </w:p>
  <w:p w14:paraId="210CF9C7" w14:textId="77777777" w:rsidR="00211063" w:rsidRDefault="00211063">
    <w:pPr>
      <w:pStyle w:val="Footer"/>
      <w:ind w:right="360"/>
      <w:rPr>
        <w:rFonts w:ascii="Garamond" w:hAnsi="Garamond"/>
      </w:rPr>
    </w:pPr>
    <w:r>
      <w:rPr>
        <w:rFonts w:ascii="Garamond" w:hAnsi="Garamond" w:cs="Arial"/>
      </w:rPr>
      <w:t>©</w:t>
    </w:r>
    <w:r>
      <w:rPr>
        <w:rFonts w:ascii="Garamond" w:hAnsi="Garamond"/>
      </w:rPr>
      <w:t xml:space="preserve"> </w:t>
    </w:r>
    <w:r>
      <w:rPr>
        <w:rFonts w:ascii="Garamond" w:hAnsi="Garamond"/>
      </w:rPr>
      <w:fldChar w:fldCharType="begin"/>
    </w:r>
    <w:r>
      <w:rPr>
        <w:rFonts w:ascii="Garamond" w:hAnsi="Garamond"/>
      </w:rPr>
      <w:instrText xml:space="preserve"> SAVEDATE  \@ "yyyy"  \* MERGEFORMAT </w:instrText>
    </w:r>
    <w:r>
      <w:rPr>
        <w:rFonts w:ascii="Garamond" w:hAnsi="Garamond"/>
      </w:rPr>
      <w:fldChar w:fldCharType="separate"/>
    </w:r>
    <w:r w:rsidR="00EA4F6F">
      <w:rPr>
        <w:rFonts w:ascii="Garamond" w:hAnsi="Garamond"/>
        <w:noProof/>
      </w:rPr>
      <w:t>2012</w:t>
    </w:r>
    <w:r>
      <w:rPr>
        <w:rFonts w:ascii="Garamond" w:hAnsi="Garamond"/>
      </w:rPr>
      <w:fldChar w:fldCharType="end"/>
    </w:r>
    <w:r>
      <w:rPr>
        <w:rFonts w:ascii="Garamond" w:hAnsi="Garamond"/>
      </w:rPr>
      <w:t xml:space="preserve"> Grant Thornton </w:t>
    </w:r>
    <w:smartTag w:uri="urn:schemas-microsoft-com:office:smarttags" w:element="country-region">
      <w:smartTag w:uri="urn:schemas-microsoft-com:office:smarttags" w:element="place">
        <w:r>
          <w:rPr>
            <w:rFonts w:ascii="Garamond" w:hAnsi="Garamond"/>
          </w:rPr>
          <w:t>UK</w:t>
        </w:r>
      </w:smartTag>
    </w:smartTag>
    <w:r>
      <w:rPr>
        <w:rFonts w:ascii="Garamond" w:hAnsi="Garamond"/>
      </w:rPr>
      <w:t xml:space="preserve"> </w:t>
    </w:r>
    <w:smartTag w:uri="urn:schemas-microsoft-com:office:smarttags" w:element="PersonName">
      <w:r>
        <w:rPr>
          <w:rFonts w:ascii="Garamond" w:hAnsi="Garamond"/>
        </w:rPr>
        <w:t>LLP</w:t>
      </w:r>
    </w:smartTag>
    <w:r>
      <w:rPr>
        <w:rFonts w:ascii="Garamond" w:hAnsi="Garamond"/>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42E9" w14:textId="77777777" w:rsidR="00211063" w:rsidRDefault="00211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990AD66" w14:textId="77777777" w:rsidR="00211063" w:rsidRDefault="002110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42972" w14:textId="77777777" w:rsidR="003F5FF9" w:rsidRDefault="003F5FF9">
      <w:pPr>
        <w:pStyle w:val="Footer"/>
      </w:pPr>
    </w:p>
  </w:footnote>
  <w:footnote w:type="continuationSeparator" w:id="0">
    <w:p w14:paraId="27616166" w14:textId="77777777" w:rsidR="003F5FF9" w:rsidRDefault="003F5FF9">
      <w:pPr>
        <w:pStyle w:val="Footer"/>
      </w:pPr>
    </w:p>
  </w:footnote>
  <w:footnote w:id="1">
    <w:p w14:paraId="0D73C723"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HM Treasury (2011). The Magenta Book, Guidance for Evaluation.</w:t>
      </w:r>
    </w:p>
  </w:footnote>
  <w:footnote w:id="2">
    <w:p w14:paraId="2DAB3F24"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Sport is defined as at least once a month and includes physical activity (recreational walking and cycling).</w:t>
      </w:r>
    </w:p>
  </w:footnote>
  <w:footnote w:id="3">
    <w:p w14:paraId="1DA20F1D"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Sport and Physical Activity, Special </w:t>
      </w:r>
      <w:proofErr w:type="spellStart"/>
      <w:r w:rsidRPr="00F05310">
        <w:rPr>
          <w:sz w:val="16"/>
          <w:szCs w:val="16"/>
        </w:rPr>
        <w:t>Eurobarometer</w:t>
      </w:r>
      <w:proofErr w:type="spellEnd"/>
      <w:r w:rsidRPr="00F05310">
        <w:rPr>
          <w:sz w:val="16"/>
          <w:szCs w:val="16"/>
        </w:rPr>
        <w:t>, March 2010.</w:t>
      </w:r>
    </w:p>
  </w:footnote>
  <w:footnote w:id="4">
    <w:p w14:paraId="6D2A8680"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Taking Part is a major continuous survey of cultural and sport participation in England and has been undertaken every year since 2005/6. Taking Part has been used throughout the report to provide a picture of participation at a national level. Where there is a need for local level data or more detailed analysis by individual sports the Active People Survey has been used.</w:t>
      </w:r>
    </w:p>
  </w:footnote>
  <w:footnote w:id="5">
    <w:p w14:paraId="08592D8D" w14:textId="74BDA70F"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Taking Part.</w:t>
      </w:r>
      <w:proofErr w:type="gramEnd"/>
    </w:p>
  </w:footnote>
  <w:footnote w:id="6">
    <w:p w14:paraId="0D900BC2" w14:textId="4830D23A"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Active People.</w:t>
      </w:r>
      <w:proofErr w:type="gramEnd"/>
    </w:p>
  </w:footnote>
  <w:footnote w:id="7">
    <w:p w14:paraId="1A30814B" w14:textId="5CEF2DE5"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Sports Coaching in the UK, MORI (2004 / 2006 / 2008).</w:t>
      </w:r>
      <w:proofErr w:type="gramEnd"/>
    </w:p>
  </w:footnote>
  <w:footnote w:id="8">
    <w:p w14:paraId="6184656B" w14:textId="626118C8"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Gross Value Added (GVA) is a measure of the value of goods and services produced in an area, industry or sector of an economy.</w:t>
      </w:r>
    </w:p>
  </w:footnote>
  <w:footnote w:id="9">
    <w:p w14:paraId="19D4560D"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Oxford Economics estimates (</w:t>
      </w:r>
      <w:proofErr w:type="gramStart"/>
      <w:r w:rsidRPr="00F05310">
        <w:rPr>
          <w:sz w:val="16"/>
          <w:szCs w:val="16"/>
        </w:rPr>
        <w:t>Autumn</w:t>
      </w:r>
      <w:proofErr w:type="gramEnd"/>
      <w:r w:rsidRPr="00F05310">
        <w:rPr>
          <w:sz w:val="16"/>
          <w:szCs w:val="16"/>
        </w:rPr>
        <w:t xml:space="preserve"> 2011). </w:t>
      </w:r>
      <w:proofErr w:type="gramStart"/>
      <w:r w:rsidRPr="00F05310">
        <w:rPr>
          <w:sz w:val="16"/>
          <w:szCs w:val="16"/>
        </w:rPr>
        <w:t>GVA in real 2006 prices, consistent with the 1995 European System of Accounts.</w:t>
      </w:r>
      <w:proofErr w:type="gramEnd"/>
    </w:p>
  </w:footnote>
  <w:footnote w:id="10">
    <w:p w14:paraId="50D5EEFC"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ODA Employment and Skills Update (July 2011). </w:t>
      </w:r>
    </w:p>
  </w:footnote>
  <w:footnote w:id="11">
    <w:p w14:paraId="3A3E11F7"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Work Foundation and Oxford Economics (2009). </w:t>
      </w:r>
      <w:proofErr w:type="gramStart"/>
      <w:r w:rsidRPr="00F05310">
        <w:rPr>
          <w:sz w:val="16"/>
          <w:szCs w:val="16"/>
        </w:rPr>
        <w:t>A Lasting Legacy.</w:t>
      </w:r>
      <w:proofErr w:type="gramEnd"/>
      <w:r w:rsidRPr="00F05310">
        <w:rPr>
          <w:sz w:val="16"/>
          <w:szCs w:val="16"/>
        </w:rPr>
        <w:t xml:space="preserve"> </w:t>
      </w:r>
    </w:p>
  </w:footnote>
  <w:footnote w:id="12">
    <w:p w14:paraId="7A440818" w14:textId="2C1A4091" w:rsidR="00211063" w:rsidRPr="00F05310" w:rsidRDefault="00211063" w:rsidP="00F05310">
      <w:pPr>
        <w:pStyle w:val="FootnoteText"/>
        <w:spacing w:before="0" w:after="0"/>
        <w:rPr>
          <w:rStyle w:val="FootnoteReference"/>
          <w:sz w:val="16"/>
          <w:szCs w:val="16"/>
        </w:rPr>
      </w:pPr>
      <w:r w:rsidRPr="00F05310">
        <w:rPr>
          <w:rStyle w:val="FootnoteReference"/>
          <w:sz w:val="16"/>
          <w:szCs w:val="16"/>
        </w:rPr>
        <w:footnoteRef/>
      </w:r>
      <w:r w:rsidRPr="00F05310">
        <w:rPr>
          <w:rStyle w:val="FootnoteReference"/>
          <w:sz w:val="16"/>
          <w:szCs w:val="16"/>
        </w:rPr>
        <w:t xml:space="preserve"> </w:t>
      </w:r>
      <w:r w:rsidRPr="00F05310">
        <w:rPr>
          <w:rStyle w:val="FootnoteReference"/>
          <w:sz w:val="16"/>
          <w:szCs w:val="16"/>
          <w:vertAlign w:val="baseline"/>
        </w:rPr>
        <w:t>ONS, Business Register and Employment Survey</w:t>
      </w:r>
      <w:r w:rsidRPr="00F05310">
        <w:rPr>
          <w:sz w:val="16"/>
          <w:szCs w:val="16"/>
        </w:rPr>
        <w:t>.</w:t>
      </w:r>
    </w:p>
  </w:footnote>
  <w:footnote w:id="13">
    <w:p w14:paraId="0327A045" w14:textId="062BCC4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Ernst and Young European Investment Monitor 2011.</w:t>
      </w:r>
    </w:p>
  </w:footnote>
  <w:footnote w:id="14">
    <w:p w14:paraId="1EF778FB" w14:textId="59486BD9"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rStyle w:val="FootnoteReference"/>
          <w:sz w:val="16"/>
          <w:szCs w:val="16"/>
        </w:rPr>
        <w:t xml:space="preserve"> </w:t>
      </w:r>
      <w:r w:rsidRPr="00F05310">
        <w:rPr>
          <w:rStyle w:val="FootnoteReference"/>
          <w:sz w:val="16"/>
          <w:szCs w:val="16"/>
          <w:vertAlign w:val="baseline"/>
        </w:rPr>
        <w:t>A difference in difference approach involves examining the trends that exist in a comparator area over time and then analysing how those trends differ from those in the area being studied.</w:t>
      </w:r>
    </w:p>
  </w:footnote>
  <w:footnote w:id="15">
    <w:p w14:paraId="5812F7F1" w14:textId="4A55C7F9"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HMRC Regional Trade Statistics data.</w:t>
      </w:r>
      <w:proofErr w:type="gramEnd"/>
    </w:p>
  </w:footnote>
  <w:footnote w:id="16">
    <w:p w14:paraId="4D1E559A" w14:textId="452E4BDA"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International Passenger Survey.</w:t>
      </w:r>
      <w:proofErr w:type="gramEnd"/>
    </w:p>
  </w:footnote>
  <w:footnote w:id="17">
    <w:p w14:paraId="3D59B4BD" w14:textId="5D3671B1"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United Kingdom Tourism Survey.</w:t>
      </w:r>
      <w:proofErr w:type="gramEnd"/>
    </w:p>
  </w:footnote>
  <w:footnote w:id="18">
    <w:p w14:paraId="30EC549C"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Olympic Delivery Authority.</w:t>
      </w:r>
      <w:proofErr w:type="gramEnd"/>
    </w:p>
  </w:footnote>
  <w:footnote w:id="19">
    <w:p w14:paraId="7576A675"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Oxford Economics (September 2007). </w:t>
      </w:r>
      <w:proofErr w:type="gramStart"/>
      <w:r w:rsidRPr="00F05310">
        <w:rPr>
          <w:sz w:val="16"/>
          <w:szCs w:val="16"/>
        </w:rPr>
        <w:t>The value of the London 2012 Olympic and Paralympic Games to UK tourism.</w:t>
      </w:r>
      <w:proofErr w:type="gramEnd"/>
    </w:p>
  </w:footnote>
  <w:footnote w:id="20">
    <w:p w14:paraId="63DCD9C7"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Olive Insight (2010). </w:t>
      </w:r>
      <w:proofErr w:type="gramStart"/>
      <w:r w:rsidRPr="00F05310">
        <w:rPr>
          <w:sz w:val="16"/>
          <w:szCs w:val="16"/>
        </w:rPr>
        <w:t>Expected Impact of Olympics on Visiting London, research for Visit London.</w:t>
      </w:r>
      <w:proofErr w:type="gramEnd"/>
      <w:r w:rsidRPr="00F05310">
        <w:rPr>
          <w:sz w:val="16"/>
          <w:szCs w:val="16"/>
        </w:rPr>
        <w:t xml:space="preserve"> </w:t>
      </w:r>
    </w:p>
  </w:footnote>
  <w:footnote w:id="21">
    <w:p w14:paraId="191E4984" w14:textId="6AEB8596"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ONS, Annual Population Survey.</w:t>
      </w:r>
    </w:p>
  </w:footnote>
  <w:footnote w:id="22">
    <w:p w14:paraId="6D405036" w14:textId="462E53EC"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LOCOG (2010) Carbon Footprint Study – Methodology and Reference Footprint.</w:t>
      </w:r>
      <w:proofErr w:type="gramEnd"/>
    </w:p>
  </w:footnote>
  <w:footnote w:id="23">
    <w:p w14:paraId="0CDB07A3" w14:textId="1223A28B"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Low Carbon and Environmental Goods and Services: an industry analysis (BERR, 2010).</w:t>
      </w:r>
    </w:p>
  </w:footnote>
  <w:footnote w:id="24">
    <w:p w14:paraId="0F0A511C" w14:textId="6356FBBB"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ONS Opinion Survey (published October 2011).</w:t>
      </w:r>
    </w:p>
  </w:footnote>
  <w:footnote w:id="25">
    <w:p w14:paraId="50D833EC" w14:textId="23E4908D"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ONS, Annual Population Survey.</w:t>
      </w:r>
    </w:p>
  </w:footnote>
  <w:footnote w:id="26">
    <w:p w14:paraId="665C0508" w14:textId="41033EC3"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spellStart"/>
      <w:r w:rsidRPr="00F05310">
        <w:rPr>
          <w:sz w:val="16"/>
          <w:szCs w:val="16"/>
        </w:rPr>
        <w:t>TfL</w:t>
      </w:r>
      <w:proofErr w:type="spellEnd"/>
      <w:r w:rsidRPr="00F05310">
        <w:rPr>
          <w:sz w:val="16"/>
          <w:szCs w:val="16"/>
        </w:rPr>
        <w:t xml:space="preserve"> (2010) Travel in London – Report 3.</w:t>
      </w:r>
    </w:p>
  </w:footnote>
  <w:footnote w:id="27">
    <w:p w14:paraId="5D29628C"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Citizenship Survey.</w:t>
      </w:r>
      <w:proofErr w:type="gramEnd"/>
      <w:r w:rsidRPr="00F05310">
        <w:rPr>
          <w:sz w:val="16"/>
          <w:szCs w:val="16"/>
        </w:rPr>
        <w:t xml:space="preserve"> Formal volunteering is defined as unpaid help given as part of a group, club or organisation to benefit others or the environment.</w:t>
      </w:r>
    </w:p>
  </w:footnote>
  <w:footnote w:id="28">
    <w:p w14:paraId="4C47D4F1" w14:textId="6FAF3F68" w:rsidR="00B92437" w:rsidRPr="00F05310" w:rsidRDefault="00B92437"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Department for Education (2011) GCSE and Equivalent Results in England 2010/11 (Provisional).</w:t>
      </w:r>
      <w:proofErr w:type="gramEnd"/>
      <w:r w:rsidRPr="00F05310">
        <w:rPr>
          <w:sz w:val="16"/>
          <w:szCs w:val="16"/>
        </w:rPr>
        <w:t xml:space="preserve"> </w:t>
      </w:r>
      <w:proofErr w:type="gramStart"/>
      <w:r w:rsidRPr="00F05310">
        <w:rPr>
          <w:sz w:val="16"/>
          <w:szCs w:val="16"/>
        </w:rPr>
        <w:t>SFR26/2011.</w:t>
      </w:r>
      <w:proofErr w:type="gramEnd"/>
    </w:p>
  </w:footnote>
  <w:footnote w:id="29">
    <w:p w14:paraId="713D2A0B" w14:textId="7AD90D06"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00634F3B" w:rsidRPr="00F05310">
        <w:rPr>
          <w:sz w:val="16"/>
          <w:szCs w:val="16"/>
        </w:rPr>
        <w:t>Department for Energy and Climate Change.</w:t>
      </w:r>
      <w:proofErr w:type="gramEnd"/>
      <w:r w:rsidR="00634F3B" w:rsidRPr="00F05310">
        <w:rPr>
          <w:sz w:val="16"/>
          <w:szCs w:val="16"/>
        </w:rPr>
        <w:t xml:space="preserve"> </w:t>
      </w:r>
      <w:proofErr w:type="gramStart"/>
      <w:r w:rsidR="00634F3B" w:rsidRPr="00F05310">
        <w:rPr>
          <w:sz w:val="16"/>
          <w:szCs w:val="16"/>
        </w:rPr>
        <w:t>High-level indicators of energy use at regional and local authority level.</w:t>
      </w:r>
      <w:proofErr w:type="gramEnd"/>
      <w:r w:rsidR="00634F3B" w:rsidRPr="00F05310">
        <w:rPr>
          <w:sz w:val="16"/>
          <w:szCs w:val="16"/>
        </w:rPr>
        <w:t xml:space="preserve"> </w:t>
      </w:r>
    </w:p>
  </w:footnote>
  <w:footnote w:id="30">
    <w:p w14:paraId="6CEA3592" w14:textId="2C82FEAA" w:rsidR="00B92437" w:rsidRPr="00F05310" w:rsidRDefault="00B92437"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Defra (2010) 'Statistical Release: Municipal Waste Management Statistics for England 2009/10'.</w:t>
      </w:r>
    </w:p>
  </w:footnote>
  <w:footnote w:id="31">
    <w:p w14:paraId="5AB8BBC6" w14:textId="1156F7A9" w:rsidR="00B92437" w:rsidRPr="00F05310" w:rsidRDefault="00B92437"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Department for Transport (2009) National Travel Survey 2009.</w:t>
      </w:r>
      <w:proofErr w:type="gramEnd"/>
    </w:p>
  </w:footnote>
  <w:footnote w:id="32">
    <w:p w14:paraId="08FA32D6" w14:textId="119C113F" w:rsidR="00B92437" w:rsidRPr="00F05310" w:rsidRDefault="00B92437"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Land Registry Data.</w:t>
      </w:r>
    </w:p>
  </w:footnote>
  <w:footnote w:id="33">
    <w:p w14:paraId="16513298" w14:textId="3B8AAFE8" w:rsidR="00B92437" w:rsidRPr="00F05310" w:rsidRDefault="00B92437"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Greater London Authority, London Development Database.</w:t>
      </w:r>
    </w:p>
  </w:footnote>
  <w:footnote w:id="34">
    <w:p w14:paraId="413C21EE"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Using data from the 2008 Place Survey, DCLG and 2006 Best Value General Survey, Audit Commission.</w:t>
      </w:r>
      <w:proofErr w:type="gramEnd"/>
    </w:p>
  </w:footnote>
  <w:footnote w:id="35">
    <w:p w14:paraId="3AEE80C7"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2008 Place Survey, DCLG and 2006 Best Value General Survey, Audit Commission.</w:t>
      </w:r>
    </w:p>
  </w:footnote>
  <w:footnote w:id="36">
    <w:p w14:paraId="6ACF198C"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Annual Business Inquiry.</w:t>
      </w:r>
      <w:proofErr w:type="gramEnd"/>
    </w:p>
  </w:footnote>
  <w:footnote w:id="37">
    <w:p w14:paraId="26140619"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Annual Population Survey.</w:t>
      </w:r>
      <w:proofErr w:type="gramEnd"/>
    </w:p>
  </w:footnote>
  <w:footnote w:id="38">
    <w:p w14:paraId="124EBAD2" w14:textId="40562A7B" w:rsidR="004E0FEE" w:rsidRPr="00F05310" w:rsidRDefault="004E0FEE"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Office of the Deputy Prime Minister (2003).</w:t>
      </w:r>
      <w:proofErr w:type="gramEnd"/>
      <w:r w:rsidRPr="00F05310">
        <w:rPr>
          <w:sz w:val="16"/>
          <w:szCs w:val="16"/>
        </w:rPr>
        <w:t xml:space="preserve"> Sustainable Communities: Building for the Future. </w:t>
      </w:r>
    </w:p>
  </w:footnote>
  <w:footnote w:id="39">
    <w:p w14:paraId="0BAE7A10" w14:textId="69BA97FE" w:rsidR="004E0FEE" w:rsidRPr="00F05310" w:rsidRDefault="004E0FEE" w:rsidP="00F05310">
      <w:pPr>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Learning and Skills Council.</w:t>
      </w:r>
      <w:proofErr w:type="gramEnd"/>
      <w:r w:rsidRPr="00F05310">
        <w:rPr>
          <w:sz w:val="16"/>
          <w:szCs w:val="16"/>
        </w:rPr>
        <w:t xml:space="preserve"> London East Annual Plan 2003-04. </w:t>
      </w:r>
    </w:p>
  </w:footnote>
  <w:footnote w:id="40">
    <w:p w14:paraId="693AB8AF"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Host boroughs (October 2009).</w:t>
      </w:r>
      <w:proofErr w:type="gramEnd"/>
      <w:r w:rsidRPr="00F05310">
        <w:rPr>
          <w:sz w:val="16"/>
          <w:szCs w:val="16"/>
        </w:rPr>
        <w:t xml:space="preserve"> Convergence, Strategic Regeneration Framework, </w:t>
      </w:r>
      <w:proofErr w:type="gramStart"/>
      <w:r w:rsidRPr="00F05310">
        <w:rPr>
          <w:sz w:val="16"/>
          <w:szCs w:val="16"/>
        </w:rPr>
        <w:t>An</w:t>
      </w:r>
      <w:proofErr w:type="gramEnd"/>
      <w:r w:rsidRPr="00F05310">
        <w:rPr>
          <w:sz w:val="16"/>
          <w:szCs w:val="16"/>
        </w:rPr>
        <w:t xml:space="preserve"> Olympic legacy for the host boroughs.</w:t>
      </w:r>
    </w:p>
  </w:footnote>
  <w:footnote w:id="41">
    <w:p w14:paraId="0CCBF5FB" w14:textId="377DC178"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Host boroughs (October 2009).</w:t>
      </w:r>
      <w:proofErr w:type="gramEnd"/>
      <w:r w:rsidRPr="00F05310">
        <w:rPr>
          <w:sz w:val="16"/>
          <w:szCs w:val="16"/>
        </w:rPr>
        <w:t xml:space="preserve"> Convergence, Strategic Regeneration Framework, </w:t>
      </w:r>
      <w:proofErr w:type="gramStart"/>
      <w:r w:rsidRPr="00F05310">
        <w:rPr>
          <w:sz w:val="16"/>
          <w:szCs w:val="16"/>
        </w:rPr>
        <w:t>An</w:t>
      </w:r>
      <w:proofErr w:type="gramEnd"/>
      <w:r w:rsidRPr="00F05310">
        <w:rPr>
          <w:sz w:val="16"/>
          <w:szCs w:val="16"/>
        </w:rPr>
        <w:t xml:space="preserve"> Olympic legacy for the host boroughs. The SRF is a strategic, cross-borough blueprint for improvement.</w:t>
      </w:r>
    </w:p>
  </w:footnote>
  <w:footnote w:id="42">
    <w:p w14:paraId="07A860F3"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Annual Population Survey.</w:t>
      </w:r>
      <w:proofErr w:type="gramEnd"/>
    </w:p>
  </w:footnote>
  <w:footnote w:id="43">
    <w:p w14:paraId="619BF7AF"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w:t>
      </w:r>
      <w:proofErr w:type="gramStart"/>
      <w:r w:rsidRPr="00F05310">
        <w:rPr>
          <w:sz w:val="16"/>
          <w:szCs w:val="16"/>
        </w:rPr>
        <w:t>Department for Work and Pensions, Benefit claimants - working age client group data.</w:t>
      </w:r>
      <w:proofErr w:type="gramEnd"/>
    </w:p>
  </w:footnote>
  <w:footnote w:id="44">
    <w:p w14:paraId="3779D143"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Department </w:t>
      </w:r>
      <w:proofErr w:type="gramStart"/>
      <w:r w:rsidRPr="00F05310">
        <w:rPr>
          <w:sz w:val="16"/>
          <w:szCs w:val="16"/>
        </w:rPr>
        <w:t>For</w:t>
      </w:r>
      <w:proofErr w:type="gramEnd"/>
      <w:r w:rsidRPr="00F05310">
        <w:rPr>
          <w:sz w:val="16"/>
          <w:szCs w:val="16"/>
        </w:rPr>
        <w:t xml:space="preserve"> Education, GCSE and equivalent results in England data.</w:t>
      </w:r>
    </w:p>
  </w:footnote>
  <w:footnote w:id="45">
    <w:p w14:paraId="575DC544" w14:textId="77777777" w:rsidR="00211063" w:rsidRPr="00F05310" w:rsidRDefault="00211063" w:rsidP="00F05310">
      <w:pPr>
        <w:pStyle w:val="FootnoteText"/>
        <w:spacing w:before="0" w:after="0"/>
        <w:rPr>
          <w:sz w:val="16"/>
          <w:szCs w:val="16"/>
        </w:rPr>
      </w:pPr>
      <w:r w:rsidRPr="00F05310">
        <w:rPr>
          <w:rStyle w:val="FootnoteReference"/>
          <w:sz w:val="16"/>
          <w:szCs w:val="16"/>
        </w:rPr>
        <w:footnoteRef/>
      </w:r>
      <w:r w:rsidRPr="00F05310">
        <w:rPr>
          <w:sz w:val="16"/>
          <w:szCs w:val="16"/>
        </w:rPr>
        <w:t xml:space="preserve"> Annual Survey of Hours and Earnings.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7588E" w14:textId="77777777" w:rsidR="00211063" w:rsidRDefault="00211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6" w:type="dxa"/>
      <w:tblLayout w:type="fixed"/>
      <w:tblCellMar>
        <w:left w:w="0" w:type="dxa"/>
        <w:right w:w="0" w:type="dxa"/>
      </w:tblCellMar>
      <w:tblLook w:val="01E0" w:firstRow="1" w:lastRow="1" w:firstColumn="1" w:lastColumn="1" w:noHBand="0" w:noVBand="0"/>
    </w:tblPr>
    <w:tblGrid>
      <w:gridCol w:w="6156"/>
      <w:gridCol w:w="1710"/>
    </w:tblGrid>
    <w:tr w:rsidR="00211063" w14:paraId="470A0288" w14:textId="77777777">
      <w:tc>
        <w:tcPr>
          <w:tcW w:w="6156" w:type="dxa"/>
        </w:tcPr>
        <w:p w14:paraId="324B15C2" w14:textId="77777777" w:rsidR="00211063" w:rsidRDefault="00211063" w:rsidP="00BD1CE9">
          <w:pPr>
            <w:pStyle w:val="Header"/>
            <w:tabs>
              <w:tab w:val="clear" w:pos="8307"/>
              <w:tab w:val="right" w:pos="7874"/>
            </w:tabs>
            <w:rPr>
              <w:rFonts w:ascii="Garamond" w:hAnsi="Garamond"/>
            </w:rPr>
          </w:pPr>
          <w:r>
            <w:rPr>
              <w:rFonts w:ascii="Garamond" w:hAnsi="Garamond"/>
            </w:rPr>
            <w:t>2012 Games Meta-evaluation: Summary of Report 3</w:t>
          </w:r>
        </w:p>
      </w:tc>
      <w:tc>
        <w:tcPr>
          <w:tcW w:w="1710" w:type="dxa"/>
        </w:tcPr>
        <w:p w14:paraId="058E817B" w14:textId="77777777" w:rsidR="00211063" w:rsidRDefault="00211063">
          <w:pPr>
            <w:pStyle w:val="Header"/>
            <w:tabs>
              <w:tab w:val="center" w:pos="855"/>
              <w:tab w:val="right" w:pos="1710"/>
            </w:tabs>
            <w:rPr>
              <w:rFonts w:ascii="Garamond" w:hAnsi="Garamond"/>
            </w:rPr>
          </w:pPr>
          <w:r>
            <w:rPr>
              <w:rStyle w:val="PageNumber"/>
              <w:rFonts w:ascii="Garamond" w:hAnsi="Garamond"/>
            </w:rPr>
            <w:tab/>
          </w:r>
        </w:p>
      </w:tc>
    </w:tr>
  </w:tbl>
  <w:p w14:paraId="660FF3BF" w14:textId="77777777" w:rsidR="00211063" w:rsidRDefault="00211063">
    <w:pPr>
      <w:pStyle w:val="Header"/>
      <w:tabs>
        <w:tab w:val="clear" w:pos="4150"/>
        <w:tab w:val="clear" w:pos="8307"/>
        <w:tab w:val="left" w:pos="13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0A34" w14:textId="77777777" w:rsidR="00211063" w:rsidRDefault="002110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43A1C" w14:textId="77777777" w:rsidR="00211063" w:rsidRDefault="002110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66" w:type="dxa"/>
      <w:tblLayout w:type="fixed"/>
      <w:tblCellMar>
        <w:left w:w="0" w:type="dxa"/>
        <w:right w:w="0" w:type="dxa"/>
      </w:tblCellMar>
      <w:tblLook w:val="01E0" w:firstRow="1" w:lastRow="1" w:firstColumn="1" w:lastColumn="1" w:noHBand="0" w:noVBand="0"/>
    </w:tblPr>
    <w:tblGrid>
      <w:gridCol w:w="6156"/>
      <w:gridCol w:w="1710"/>
    </w:tblGrid>
    <w:tr w:rsidR="00211063" w14:paraId="3C6E1201" w14:textId="77777777" w:rsidTr="00BC7D66">
      <w:tc>
        <w:tcPr>
          <w:tcW w:w="6156" w:type="dxa"/>
        </w:tcPr>
        <w:p w14:paraId="304F8301" w14:textId="77777777" w:rsidR="00211063" w:rsidRDefault="00211063" w:rsidP="00BD1CE9">
          <w:pPr>
            <w:pStyle w:val="Header"/>
            <w:tabs>
              <w:tab w:val="clear" w:pos="8307"/>
              <w:tab w:val="right" w:pos="7874"/>
            </w:tabs>
            <w:rPr>
              <w:rFonts w:ascii="Garamond" w:hAnsi="Garamond"/>
            </w:rPr>
          </w:pPr>
          <w:r>
            <w:rPr>
              <w:rFonts w:ascii="Garamond" w:hAnsi="Garamond"/>
            </w:rPr>
            <w:t xml:space="preserve">2012 Games Meta-evaluation: Summary of Report 3 </w:t>
          </w:r>
        </w:p>
      </w:tc>
      <w:tc>
        <w:tcPr>
          <w:tcW w:w="1710" w:type="dxa"/>
        </w:tcPr>
        <w:p w14:paraId="75619A6C" w14:textId="77777777" w:rsidR="00211063" w:rsidRDefault="00211063" w:rsidP="00BC7D66">
          <w:pPr>
            <w:pStyle w:val="Header"/>
            <w:tabs>
              <w:tab w:val="center" w:pos="855"/>
              <w:tab w:val="right" w:pos="1710"/>
            </w:tabs>
            <w:rPr>
              <w:rFonts w:ascii="Garamond" w:hAnsi="Garamond"/>
            </w:rPr>
          </w:pPr>
          <w:r>
            <w:rPr>
              <w:rStyle w:val="PageNumber"/>
              <w:rFonts w:ascii="Garamond" w:hAnsi="Garamond"/>
            </w:rPr>
            <w:tab/>
          </w:r>
        </w:p>
      </w:tc>
    </w:tr>
  </w:tbl>
  <w:p w14:paraId="65B57213" w14:textId="77777777" w:rsidR="00211063" w:rsidRDefault="002110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5929" w14:textId="77777777" w:rsidR="00211063" w:rsidRDefault="00211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8CE01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6603139"/>
    <w:multiLevelType w:val="hybridMultilevel"/>
    <w:tmpl w:val="0E205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74A1544"/>
    <w:multiLevelType w:val="hybridMultilevel"/>
    <w:tmpl w:val="9684C158"/>
    <w:lvl w:ilvl="0" w:tplc="4D88B478">
      <w:start w:val="1"/>
      <w:numFmt w:val="bullet"/>
      <w:pStyle w:val="Bullet1"/>
      <w:lvlText w:val=""/>
      <w:lvlJc w:val="left"/>
      <w:pPr>
        <w:tabs>
          <w:tab w:val="num" w:pos="454"/>
        </w:tabs>
        <w:ind w:left="454" w:hanging="454"/>
      </w:pPr>
      <w:rPr>
        <w:rFonts w:ascii="Symbol" w:hAnsi="Symbol" w:hint="default"/>
      </w:rPr>
    </w:lvl>
    <w:lvl w:ilvl="1" w:tplc="CE9E3264">
      <w:start w:val="1"/>
      <w:numFmt w:val="bullet"/>
      <w:lvlText w:val="o"/>
      <w:lvlJc w:val="left"/>
      <w:pPr>
        <w:tabs>
          <w:tab w:val="num" w:pos="2404"/>
        </w:tabs>
        <w:ind w:left="2404" w:hanging="360"/>
      </w:pPr>
      <w:rPr>
        <w:rFonts w:ascii="Courier New" w:hAnsi="Courier New" w:hint="default"/>
      </w:rPr>
    </w:lvl>
    <w:lvl w:ilvl="2" w:tplc="A2BC7462" w:tentative="1">
      <w:start w:val="1"/>
      <w:numFmt w:val="bullet"/>
      <w:lvlText w:val=""/>
      <w:lvlJc w:val="left"/>
      <w:pPr>
        <w:tabs>
          <w:tab w:val="num" w:pos="3124"/>
        </w:tabs>
        <w:ind w:left="3124" w:hanging="360"/>
      </w:pPr>
      <w:rPr>
        <w:rFonts w:ascii="Wingdings" w:hAnsi="Wingdings" w:hint="default"/>
      </w:rPr>
    </w:lvl>
    <w:lvl w:ilvl="3" w:tplc="2FCC168C">
      <w:start w:val="1"/>
      <w:numFmt w:val="bullet"/>
      <w:lvlText w:val=""/>
      <w:lvlJc w:val="left"/>
      <w:pPr>
        <w:tabs>
          <w:tab w:val="num" w:pos="3844"/>
        </w:tabs>
        <w:ind w:left="3844" w:hanging="360"/>
      </w:pPr>
      <w:rPr>
        <w:rFonts w:ascii="Symbol" w:hAnsi="Symbol" w:hint="default"/>
      </w:rPr>
    </w:lvl>
    <w:lvl w:ilvl="4" w:tplc="5178F712" w:tentative="1">
      <w:start w:val="1"/>
      <w:numFmt w:val="bullet"/>
      <w:lvlText w:val="o"/>
      <w:lvlJc w:val="left"/>
      <w:pPr>
        <w:tabs>
          <w:tab w:val="num" w:pos="4564"/>
        </w:tabs>
        <w:ind w:left="4564" w:hanging="360"/>
      </w:pPr>
      <w:rPr>
        <w:rFonts w:ascii="Courier New" w:hAnsi="Courier New" w:hint="default"/>
      </w:rPr>
    </w:lvl>
    <w:lvl w:ilvl="5" w:tplc="2C1237DC" w:tentative="1">
      <w:start w:val="1"/>
      <w:numFmt w:val="bullet"/>
      <w:lvlText w:val=""/>
      <w:lvlJc w:val="left"/>
      <w:pPr>
        <w:tabs>
          <w:tab w:val="num" w:pos="5284"/>
        </w:tabs>
        <w:ind w:left="5284" w:hanging="360"/>
      </w:pPr>
      <w:rPr>
        <w:rFonts w:ascii="Wingdings" w:hAnsi="Wingdings" w:hint="default"/>
      </w:rPr>
    </w:lvl>
    <w:lvl w:ilvl="6" w:tplc="40C64A6A" w:tentative="1">
      <w:start w:val="1"/>
      <w:numFmt w:val="bullet"/>
      <w:lvlText w:val=""/>
      <w:lvlJc w:val="left"/>
      <w:pPr>
        <w:tabs>
          <w:tab w:val="num" w:pos="6004"/>
        </w:tabs>
        <w:ind w:left="6004" w:hanging="360"/>
      </w:pPr>
      <w:rPr>
        <w:rFonts w:ascii="Symbol" w:hAnsi="Symbol" w:hint="default"/>
      </w:rPr>
    </w:lvl>
    <w:lvl w:ilvl="7" w:tplc="4B706DB8" w:tentative="1">
      <w:start w:val="1"/>
      <w:numFmt w:val="bullet"/>
      <w:lvlText w:val="o"/>
      <w:lvlJc w:val="left"/>
      <w:pPr>
        <w:tabs>
          <w:tab w:val="num" w:pos="6724"/>
        </w:tabs>
        <w:ind w:left="6724" w:hanging="360"/>
      </w:pPr>
      <w:rPr>
        <w:rFonts w:ascii="Courier New" w:hAnsi="Courier New" w:hint="default"/>
      </w:rPr>
    </w:lvl>
    <w:lvl w:ilvl="8" w:tplc="893AF8B8" w:tentative="1">
      <w:start w:val="1"/>
      <w:numFmt w:val="bullet"/>
      <w:lvlText w:val=""/>
      <w:lvlJc w:val="left"/>
      <w:pPr>
        <w:tabs>
          <w:tab w:val="num" w:pos="7444"/>
        </w:tabs>
        <w:ind w:left="7444" w:hanging="360"/>
      </w:pPr>
      <w:rPr>
        <w:rFonts w:ascii="Wingdings" w:hAnsi="Wingdings" w:hint="default"/>
      </w:rPr>
    </w:lvl>
  </w:abstractNum>
  <w:abstractNum w:abstractNumId="4">
    <w:nsid w:val="1E4A2BEE"/>
    <w:multiLevelType w:val="multilevel"/>
    <w:tmpl w:val="B2C8291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288"/>
        </w:tabs>
        <w:ind w:left="-288" w:hanging="432"/>
      </w:pPr>
      <w:rPr>
        <w:rFonts w:hint="default"/>
      </w:rPr>
    </w:lvl>
    <w:lvl w:ilvl="2">
      <w:start w:val="1"/>
      <w:numFmt w:val="lowerRoman"/>
      <w:pStyle w:val="Heading3"/>
      <w:lvlText w:val="(%3)"/>
      <w:lvlJc w:val="left"/>
      <w:pPr>
        <w:tabs>
          <w:tab w:val="num" w:pos="720"/>
        </w:tabs>
        <w:ind w:left="504" w:hanging="504"/>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
    <w:nsid w:val="2095352C"/>
    <w:multiLevelType w:val="hybridMultilevel"/>
    <w:tmpl w:val="AF3898B2"/>
    <w:lvl w:ilvl="0" w:tplc="94BEB22A">
      <w:start w:val="1"/>
      <w:numFmt w:val="decimal"/>
      <w:pStyle w:val="BodyTextnumbered"/>
      <w:lvlText w:val="%1"/>
      <w:lvlJc w:val="left"/>
      <w:pPr>
        <w:tabs>
          <w:tab w:val="num" w:pos="1134"/>
        </w:tabs>
        <w:ind w:left="1134" w:hanging="414"/>
      </w:pPr>
      <w:rPr>
        <w:rFonts w:hint="default"/>
        <w:sz w:val="24"/>
        <w:szCs w:val="24"/>
      </w:rPr>
    </w:lvl>
    <w:lvl w:ilvl="1" w:tplc="70700EE4">
      <w:start w:val="1"/>
      <w:numFmt w:val="lowerLetter"/>
      <w:lvlText w:val="%2."/>
      <w:lvlJc w:val="left"/>
      <w:pPr>
        <w:tabs>
          <w:tab w:val="num" w:pos="1309"/>
        </w:tabs>
        <w:ind w:left="1309" w:hanging="360"/>
      </w:pPr>
    </w:lvl>
    <w:lvl w:ilvl="2" w:tplc="7CB6D608">
      <w:start w:val="1"/>
      <w:numFmt w:val="lowerRoman"/>
      <w:lvlText w:val="%3."/>
      <w:lvlJc w:val="right"/>
      <w:pPr>
        <w:tabs>
          <w:tab w:val="num" w:pos="2029"/>
        </w:tabs>
        <w:ind w:left="2029" w:hanging="180"/>
      </w:pPr>
    </w:lvl>
    <w:lvl w:ilvl="3" w:tplc="86F62480" w:tentative="1">
      <w:start w:val="1"/>
      <w:numFmt w:val="decimal"/>
      <w:lvlText w:val="%4."/>
      <w:lvlJc w:val="left"/>
      <w:pPr>
        <w:tabs>
          <w:tab w:val="num" w:pos="2749"/>
        </w:tabs>
        <w:ind w:left="2749" w:hanging="360"/>
      </w:pPr>
    </w:lvl>
    <w:lvl w:ilvl="4" w:tplc="CBE0FB4C" w:tentative="1">
      <w:start w:val="1"/>
      <w:numFmt w:val="lowerLetter"/>
      <w:lvlText w:val="%5."/>
      <w:lvlJc w:val="left"/>
      <w:pPr>
        <w:tabs>
          <w:tab w:val="num" w:pos="3469"/>
        </w:tabs>
        <w:ind w:left="3469" w:hanging="360"/>
      </w:pPr>
    </w:lvl>
    <w:lvl w:ilvl="5" w:tplc="4D1A6724" w:tentative="1">
      <w:start w:val="1"/>
      <w:numFmt w:val="lowerRoman"/>
      <w:lvlText w:val="%6."/>
      <w:lvlJc w:val="right"/>
      <w:pPr>
        <w:tabs>
          <w:tab w:val="num" w:pos="4189"/>
        </w:tabs>
        <w:ind w:left="4189" w:hanging="180"/>
      </w:pPr>
    </w:lvl>
    <w:lvl w:ilvl="6" w:tplc="4C3C0E60" w:tentative="1">
      <w:start w:val="1"/>
      <w:numFmt w:val="decimal"/>
      <w:lvlText w:val="%7."/>
      <w:lvlJc w:val="left"/>
      <w:pPr>
        <w:tabs>
          <w:tab w:val="num" w:pos="4909"/>
        </w:tabs>
        <w:ind w:left="4909" w:hanging="360"/>
      </w:pPr>
    </w:lvl>
    <w:lvl w:ilvl="7" w:tplc="EED4C8B6" w:tentative="1">
      <w:start w:val="1"/>
      <w:numFmt w:val="lowerLetter"/>
      <w:lvlText w:val="%8."/>
      <w:lvlJc w:val="left"/>
      <w:pPr>
        <w:tabs>
          <w:tab w:val="num" w:pos="5629"/>
        </w:tabs>
        <w:ind w:left="5629" w:hanging="360"/>
      </w:pPr>
    </w:lvl>
    <w:lvl w:ilvl="8" w:tplc="940AB25C" w:tentative="1">
      <w:start w:val="1"/>
      <w:numFmt w:val="lowerRoman"/>
      <w:lvlText w:val="%9."/>
      <w:lvlJc w:val="right"/>
      <w:pPr>
        <w:tabs>
          <w:tab w:val="num" w:pos="6349"/>
        </w:tabs>
        <w:ind w:left="6349" w:hanging="180"/>
      </w:pPr>
    </w:lvl>
  </w:abstractNum>
  <w:abstractNum w:abstractNumId="6">
    <w:nsid w:val="2CC95F0D"/>
    <w:multiLevelType w:val="hybridMultilevel"/>
    <w:tmpl w:val="597EC43C"/>
    <w:lvl w:ilvl="0" w:tplc="FFFFFFFF">
      <w:start w:val="1"/>
      <w:numFmt w:val="bullet"/>
      <w:pStyle w:val="TableBullet"/>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E03525D"/>
    <w:multiLevelType w:val="hybridMultilevel"/>
    <w:tmpl w:val="E416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010A57"/>
    <w:multiLevelType w:val="multilevel"/>
    <w:tmpl w:val="0409001D"/>
    <w:styleLink w:val="Titlelevel1"/>
    <w:lvl w:ilvl="0">
      <w:start w:val="1"/>
      <w:numFmt w:val="decimal"/>
      <w:lvlText w:val="%1)"/>
      <w:lvlJc w:val="left"/>
      <w:pPr>
        <w:tabs>
          <w:tab w:val="num" w:pos="360"/>
        </w:tabs>
        <w:ind w:left="360" w:hanging="360"/>
      </w:pPr>
      <w:rPr>
        <w:rFonts w:ascii="Garamond" w:hAnsi="Garamond"/>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36A3678"/>
    <w:multiLevelType w:val="multilevel"/>
    <w:tmpl w:val="6E52A398"/>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64A7D5B"/>
    <w:multiLevelType w:val="multilevel"/>
    <w:tmpl w:val="35A8BA80"/>
    <w:lvl w:ilvl="0">
      <w:start w:val="1"/>
      <w:numFmt w:val="decimal"/>
      <w:pStyle w:val="NumSectio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6D54BBF"/>
    <w:multiLevelType w:val="hybridMultilevel"/>
    <w:tmpl w:val="C12084B6"/>
    <w:lvl w:ilvl="0" w:tplc="FFFFFFFF">
      <w:start w:val="1"/>
      <w:numFmt w:val="bullet"/>
      <w:pStyle w:val="MarginBulletBlack"/>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52FCF2F0"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674205"/>
    <w:multiLevelType w:val="hybridMultilevel"/>
    <w:tmpl w:val="F3BAB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85943C2"/>
    <w:multiLevelType w:val="hybridMultilevel"/>
    <w:tmpl w:val="56D21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213AEC"/>
    <w:multiLevelType w:val="hybridMultilevel"/>
    <w:tmpl w:val="6F7C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4009D3"/>
    <w:multiLevelType w:val="hybridMultilevel"/>
    <w:tmpl w:val="2BB6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973B2B"/>
    <w:multiLevelType w:val="hybridMultilevel"/>
    <w:tmpl w:val="38E89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88A6939"/>
    <w:multiLevelType w:val="hybridMultilevel"/>
    <w:tmpl w:val="F188846C"/>
    <w:lvl w:ilvl="0" w:tplc="2982EB5C">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836AF2"/>
    <w:multiLevelType w:val="hybridMultilevel"/>
    <w:tmpl w:val="40987F9E"/>
    <w:lvl w:ilvl="0" w:tplc="FFFFFFFF">
      <w:start w:val="1"/>
      <w:numFmt w:val="bullet"/>
      <w:pStyle w:val="BulletTwo"/>
      <w:lvlText w:val=""/>
      <w:lvlJc w:val="left"/>
      <w:pPr>
        <w:tabs>
          <w:tab w:val="num" w:pos="680"/>
        </w:tabs>
        <w:ind w:left="68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45721CA"/>
    <w:multiLevelType w:val="hybridMultilevel"/>
    <w:tmpl w:val="44501282"/>
    <w:lvl w:ilvl="0" w:tplc="F5D81A88">
      <w:start w:val="1"/>
      <w:numFmt w:val="bullet"/>
      <w:pStyle w:val="MarginBulletWhite"/>
      <w:lvlText w:val=""/>
      <w:lvlJc w:val="left"/>
      <w:pPr>
        <w:tabs>
          <w:tab w:val="num" w:pos="227"/>
        </w:tabs>
        <w:ind w:left="227" w:hanging="227"/>
      </w:pPr>
      <w:rPr>
        <w:rFonts w:ascii="Symbol" w:hAnsi="Symbol" w:hint="default"/>
        <w:sz w:val="16"/>
      </w:rPr>
    </w:lvl>
    <w:lvl w:ilvl="1" w:tplc="36ACCB20" w:tentative="1">
      <w:start w:val="1"/>
      <w:numFmt w:val="bullet"/>
      <w:lvlText w:val="o"/>
      <w:lvlJc w:val="left"/>
      <w:pPr>
        <w:tabs>
          <w:tab w:val="num" w:pos="1440"/>
        </w:tabs>
        <w:ind w:left="1440" w:hanging="360"/>
      </w:pPr>
      <w:rPr>
        <w:rFonts w:ascii="Courier New" w:hAnsi="Courier New" w:hint="default"/>
      </w:rPr>
    </w:lvl>
    <w:lvl w:ilvl="2" w:tplc="4A32D298" w:tentative="1">
      <w:start w:val="1"/>
      <w:numFmt w:val="bullet"/>
      <w:lvlText w:val=""/>
      <w:lvlJc w:val="left"/>
      <w:pPr>
        <w:tabs>
          <w:tab w:val="num" w:pos="2160"/>
        </w:tabs>
        <w:ind w:left="2160" w:hanging="360"/>
      </w:pPr>
      <w:rPr>
        <w:rFonts w:ascii="Wingdings" w:hAnsi="Wingdings" w:hint="default"/>
      </w:rPr>
    </w:lvl>
    <w:lvl w:ilvl="3" w:tplc="C54A3F46" w:tentative="1">
      <w:start w:val="1"/>
      <w:numFmt w:val="bullet"/>
      <w:lvlText w:val=""/>
      <w:lvlJc w:val="left"/>
      <w:pPr>
        <w:tabs>
          <w:tab w:val="num" w:pos="2880"/>
        </w:tabs>
        <w:ind w:left="2880" w:hanging="360"/>
      </w:pPr>
      <w:rPr>
        <w:rFonts w:ascii="Symbol" w:hAnsi="Symbol" w:hint="default"/>
      </w:rPr>
    </w:lvl>
    <w:lvl w:ilvl="4" w:tplc="F490BF2E" w:tentative="1">
      <w:start w:val="1"/>
      <w:numFmt w:val="bullet"/>
      <w:lvlText w:val="o"/>
      <w:lvlJc w:val="left"/>
      <w:pPr>
        <w:tabs>
          <w:tab w:val="num" w:pos="3600"/>
        </w:tabs>
        <w:ind w:left="3600" w:hanging="360"/>
      </w:pPr>
      <w:rPr>
        <w:rFonts w:ascii="Courier New" w:hAnsi="Courier New" w:hint="default"/>
      </w:rPr>
    </w:lvl>
    <w:lvl w:ilvl="5" w:tplc="DB1EA7AC" w:tentative="1">
      <w:start w:val="1"/>
      <w:numFmt w:val="bullet"/>
      <w:lvlText w:val=""/>
      <w:lvlJc w:val="left"/>
      <w:pPr>
        <w:tabs>
          <w:tab w:val="num" w:pos="4320"/>
        </w:tabs>
        <w:ind w:left="4320" w:hanging="360"/>
      </w:pPr>
      <w:rPr>
        <w:rFonts w:ascii="Wingdings" w:hAnsi="Wingdings" w:hint="default"/>
      </w:rPr>
    </w:lvl>
    <w:lvl w:ilvl="6" w:tplc="F8CAFFDE" w:tentative="1">
      <w:start w:val="1"/>
      <w:numFmt w:val="bullet"/>
      <w:lvlText w:val=""/>
      <w:lvlJc w:val="left"/>
      <w:pPr>
        <w:tabs>
          <w:tab w:val="num" w:pos="5040"/>
        </w:tabs>
        <w:ind w:left="5040" w:hanging="360"/>
      </w:pPr>
      <w:rPr>
        <w:rFonts w:ascii="Symbol" w:hAnsi="Symbol" w:hint="default"/>
      </w:rPr>
    </w:lvl>
    <w:lvl w:ilvl="7" w:tplc="7838A330" w:tentative="1">
      <w:start w:val="1"/>
      <w:numFmt w:val="bullet"/>
      <w:lvlText w:val="o"/>
      <w:lvlJc w:val="left"/>
      <w:pPr>
        <w:tabs>
          <w:tab w:val="num" w:pos="5760"/>
        </w:tabs>
        <w:ind w:left="5760" w:hanging="360"/>
      </w:pPr>
      <w:rPr>
        <w:rFonts w:ascii="Courier New" w:hAnsi="Courier New" w:hint="default"/>
      </w:rPr>
    </w:lvl>
    <w:lvl w:ilvl="8" w:tplc="DBFE5356" w:tentative="1">
      <w:start w:val="1"/>
      <w:numFmt w:val="bullet"/>
      <w:lvlText w:val=""/>
      <w:lvlJc w:val="left"/>
      <w:pPr>
        <w:tabs>
          <w:tab w:val="num" w:pos="6480"/>
        </w:tabs>
        <w:ind w:left="6480" w:hanging="360"/>
      </w:pPr>
      <w:rPr>
        <w:rFonts w:ascii="Wingdings" w:hAnsi="Wingdings" w:hint="default"/>
      </w:rPr>
    </w:lvl>
  </w:abstractNum>
  <w:abstractNum w:abstractNumId="22">
    <w:nsid w:val="6C1538D3"/>
    <w:multiLevelType w:val="hybridMultilevel"/>
    <w:tmpl w:val="771A8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nsid w:val="74FC4680"/>
    <w:multiLevelType w:val="hybridMultilevel"/>
    <w:tmpl w:val="A58092EA"/>
    <w:lvl w:ilvl="0" w:tplc="FFFFFFFF">
      <w:start w:val="1"/>
      <w:numFmt w:val="bullet"/>
      <w:lvlText w:val=""/>
      <w:lvlJc w:val="left"/>
      <w:pPr>
        <w:tabs>
          <w:tab w:val="num" w:pos="680"/>
        </w:tabs>
        <w:ind w:left="680" w:hanging="340"/>
      </w:pPr>
      <w:rPr>
        <w:rFonts w:ascii="Symbol" w:hAnsi="Symbol" w:hint="default"/>
      </w:rPr>
    </w:lvl>
    <w:lvl w:ilvl="1" w:tplc="FFFFFFFF">
      <w:start w:val="1"/>
      <w:numFmt w:val="bullet"/>
      <w:pStyle w:val="BulletOne"/>
      <w:lvlText w:val=""/>
      <w:lvlJc w:val="left"/>
      <w:pPr>
        <w:tabs>
          <w:tab w:val="num" w:pos="1420"/>
        </w:tabs>
        <w:ind w:left="1420" w:hanging="34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A486E2F"/>
    <w:multiLevelType w:val="hybridMultilevel"/>
    <w:tmpl w:val="34924DBE"/>
    <w:lvl w:ilvl="0" w:tplc="F9E2F8E4">
      <w:start w:val="1"/>
      <w:numFmt w:val="bullet"/>
      <w:pStyle w:val="BulletThree"/>
      <w:lvlText w:val=""/>
      <w:lvlJc w:val="left"/>
      <w:pPr>
        <w:tabs>
          <w:tab w:val="num" w:pos="1021"/>
        </w:tabs>
        <w:ind w:left="1021" w:hanging="341"/>
      </w:pPr>
      <w:rPr>
        <w:rFonts w:ascii="Symbol" w:hAnsi="Symbol" w:hint="default"/>
        <w:sz w:val="16"/>
        <w:szCs w:val="16"/>
      </w:rPr>
    </w:lvl>
    <w:lvl w:ilvl="1" w:tplc="D6F2C1A0" w:tentative="1">
      <w:start w:val="1"/>
      <w:numFmt w:val="bullet"/>
      <w:lvlText w:val="o"/>
      <w:lvlJc w:val="left"/>
      <w:pPr>
        <w:tabs>
          <w:tab w:val="num" w:pos="1440"/>
        </w:tabs>
        <w:ind w:left="1440" w:hanging="360"/>
      </w:pPr>
      <w:rPr>
        <w:rFonts w:ascii="Courier New" w:hAnsi="Courier New" w:cs="Courier New" w:hint="default"/>
      </w:rPr>
    </w:lvl>
    <w:lvl w:ilvl="2" w:tplc="A4ACC764" w:tentative="1">
      <w:start w:val="1"/>
      <w:numFmt w:val="bullet"/>
      <w:lvlText w:val=""/>
      <w:lvlJc w:val="left"/>
      <w:pPr>
        <w:tabs>
          <w:tab w:val="num" w:pos="2160"/>
        </w:tabs>
        <w:ind w:left="2160" w:hanging="360"/>
      </w:pPr>
      <w:rPr>
        <w:rFonts w:ascii="Wingdings" w:hAnsi="Wingdings" w:hint="default"/>
      </w:rPr>
    </w:lvl>
    <w:lvl w:ilvl="3" w:tplc="F56E4736" w:tentative="1">
      <w:start w:val="1"/>
      <w:numFmt w:val="bullet"/>
      <w:lvlText w:val=""/>
      <w:lvlJc w:val="left"/>
      <w:pPr>
        <w:tabs>
          <w:tab w:val="num" w:pos="2880"/>
        </w:tabs>
        <w:ind w:left="2880" w:hanging="360"/>
      </w:pPr>
      <w:rPr>
        <w:rFonts w:ascii="Symbol" w:hAnsi="Symbol" w:hint="default"/>
      </w:rPr>
    </w:lvl>
    <w:lvl w:ilvl="4" w:tplc="64D473AC" w:tentative="1">
      <w:start w:val="1"/>
      <w:numFmt w:val="bullet"/>
      <w:lvlText w:val="o"/>
      <w:lvlJc w:val="left"/>
      <w:pPr>
        <w:tabs>
          <w:tab w:val="num" w:pos="3600"/>
        </w:tabs>
        <w:ind w:left="3600" w:hanging="360"/>
      </w:pPr>
      <w:rPr>
        <w:rFonts w:ascii="Courier New" w:hAnsi="Courier New" w:cs="Courier New" w:hint="default"/>
      </w:rPr>
    </w:lvl>
    <w:lvl w:ilvl="5" w:tplc="082E2A24" w:tentative="1">
      <w:start w:val="1"/>
      <w:numFmt w:val="bullet"/>
      <w:lvlText w:val=""/>
      <w:lvlJc w:val="left"/>
      <w:pPr>
        <w:tabs>
          <w:tab w:val="num" w:pos="4320"/>
        </w:tabs>
        <w:ind w:left="4320" w:hanging="360"/>
      </w:pPr>
      <w:rPr>
        <w:rFonts w:ascii="Wingdings" w:hAnsi="Wingdings" w:hint="default"/>
      </w:rPr>
    </w:lvl>
    <w:lvl w:ilvl="6" w:tplc="2912EA08" w:tentative="1">
      <w:start w:val="1"/>
      <w:numFmt w:val="bullet"/>
      <w:lvlText w:val=""/>
      <w:lvlJc w:val="left"/>
      <w:pPr>
        <w:tabs>
          <w:tab w:val="num" w:pos="5040"/>
        </w:tabs>
        <w:ind w:left="5040" w:hanging="360"/>
      </w:pPr>
      <w:rPr>
        <w:rFonts w:ascii="Symbol" w:hAnsi="Symbol" w:hint="default"/>
      </w:rPr>
    </w:lvl>
    <w:lvl w:ilvl="7" w:tplc="FD30E4C8" w:tentative="1">
      <w:start w:val="1"/>
      <w:numFmt w:val="bullet"/>
      <w:lvlText w:val="o"/>
      <w:lvlJc w:val="left"/>
      <w:pPr>
        <w:tabs>
          <w:tab w:val="num" w:pos="5760"/>
        </w:tabs>
        <w:ind w:left="5760" w:hanging="360"/>
      </w:pPr>
      <w:rPr>
        <w:rFonts w:ascii="Courier New" w:hAnsi="Courier New" w:cs="Courier New" w:hint="default"/>
      </w:rPr>
    </w:lvl>
    <w:lvl w:ilvl="8" w:tplc="5D46E17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6"/>
  </w:num>
  <w:num w:numId="4">
    <w:abstractNumId w:val="13"/>
  </w:num>
  <w:num w:numId="5">
    <w:abstractNumId w:val="25"/>
  </w:num>
  <w:num w:numId="6">
    <w:abstractNumId w:val="20"/>
  </w:num>
  <w:num w:numId="7">
    <w:abstractNumId w:val="23"/>
  </w:num>
  <w:num w:numId="8">
    <w:abstractNumId w:val="4"/>
  </w:num>
  <w:num w:numId="9">
    <w:abstractNumId w:val="10"/>
  </w:num>
  <w:num w:numId="10">
    <w:abstractNumId w:val="9"/>
  </w:num>
  <w:num w:numId="11">
    <w:abstractNumId w:val="24"/>
  </w:num>
  <w:num w:numId="12">
    <w:abstractNumId w:val="21"/>
  </w:num>
  <w:num w:numId="13">
    <w:abstractNumId w:val="11"/>
  </w:num>
  <w:num w:numId="14">
    <w:abstractNumId w:val="3"/>
  </w:num>
  <w:num w:numId="15">
    <w:abstractNumId w:val="0"/>
  </w:num>
  <w:num w:numId="16">
    <w:abstractNumId w:val="5"/>
  </w:num>
  <w:num w:numId="17">
    <w:abstractNumId w:val="8"/>
  </w:num>
  <w:num w:numId="18">
    <w:abstractNumId w:val="19"/>
  </w:num>
  <w:num w:numId="19">
    <w:abstractNumId w:val="12"/>
  </w:num>
  <w:num w:numId="20">
    <w:abstractNumId w:val="15"/>
  </w:num>
  <w:num w:numId="21">
    <w:abstractNumId w:val="7"/>
  </w:num>
  <w:num w:numId="22">
    <w:abstractNumId w:val="18"/>
  </w:num>
  <w:num w:numId="23">
    <w:abstractNumId w:val="1"/>
  </w:num>
  <w:num w:numId="24">
    <w:abstractNumId w:val="22"/>
  </w:num>
  <w:num w:numId="25">
    <w:abstractNumId w:val="17"/>
  </w:num>
  <w:num w:numId="26">
    <w:abstractNumId w:val="24"/>
  </w:num>
  <w:num w:numId="27">
    <w:abstractNumId w:val="1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4ia8nMmHdbGUoEPSikYR1Pc21o=" w:salt="rkjFWlbscalNO5WUEkyzjg=="/>
  <w:defaultTabStop w:val="567"/>
  <w:drawingGridHorizontalSpacing w:val="171"/>
  <w:displayVerticalDrawingGridEvery w:val="2"/>
  <w:noPunctuationKerning/>
  <w:characterSpacingControl w:val="doNotCompress"/>
  <w:hdrShapeDefaults>
    <o:shapedefaults v:ext="edit" spidmax="2049" fill="f" fillcolor="white" stroke="f">
      <v:fill color="white" on="f"/>
      <v:stroke on="f"/>
      <o:colormru v:ext="edit" colors="#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Orientation" w:val="Portrait"/>
    <w:docVar w:name="Scheme" w:val="3"/>
  </w:docVars>
  <w:rsids>
    <w:rsidRoot w:val="009006F2"/>
    <w:rsid w:val="000005D2"/>
    <w:rsid w:val="000010FD"/>
    <w:rsid w:val="00002AB5"/>
    <w:rsid w:val="000032A2"/>
    <w:rsid w:val="0000364F"/>
    <w:rsid w:val="00003F7A"/>
    <w:rsid w:val="00005E10"/>
    <w:rsid w:val="00006FFF"/>
    <w:rsid w:val="000070B1"/>
    <w:rsid w:val="00007911"/>
    <w:rsid w:val="00007B0E"/>
    <w:rsid w:val="00010D5B"/>
    <w:rsid w:val="00012050"/>
    <w:rsid w:val="00012167"/>
    <w:rsid w:val="00012826"/>
    <w:rsid w:val="00012D31"/>
    <w:rsid w:val="000138C8"/>
    <w:rsid w:val="000142CF"/>
    <w:rsid w:val="00014F06"/>
    <w:rsid w:val="0001616F"/>
    <w:rsid w:val="0001667E"/>
    <w:rsid w:val="00016A7B"/>
    <w:rsid w:val="00020AE0"/>
    <w:rsid w:val="00021DF2"/>
    <w:rsid w:val="00021EB5"/>
    <w:rsid w:val="0002201E"/>
    <w:rsid w:val="0002385A"/>
    <w:rsid w:val="000246EE"/>
    <w:rsid w:val="00024869"/>
    <w:rsid w:val="00024C68"/>
    <w:rsid w:val="00024CE6"/>
    <w:rsid w:val="00024DBC"/>
    <w:rsid w:val="000265C2"/>
    <w:rsid w:val="00027EA4"/>
    <w:rsid w:val="0003057D"/>
    <w:rsid w:val="000306DA"/>
    <w:rsid w:val="00030FE4"/>
    <w:rsid w:val="000314C2"/>
    <w:rsid w:val="00031A1E"/>
    <w:rsid w:val="000329C9"/>
    <w:rsid w:val="00032B77"/>
    <w:rsid w:val="000348AA"/>
    <w:rsid w:val="00034BD1"/>
    <w:rsid w:val="00034FD4"/>
    <w:rsid w:val="00035650"/>
    <w:rsid w:val="00037861"/>
    <w:rsid w:val="00041CFD"/>
    <w:rsid w:val="00042B3C"/>
    <w:rsid w:val="00043B05"/>
    <w:rsid w:val="00043B64"/>
    <w:rsid w:val="000443B6"/>
    <w:rsid w:val="000445A4"/>
    <w:rsid w:val="000447D7"/>
    <w:rsid w:val="00045B48"/>
    <w:rsid w:val="0004645A"/>
    <w:rsid w:val="00046A36"/>
    <w:rsid w:val="00046B1E"/>
    <w:rsid w:val="000508D0"/>
    <w:rsid w:val="000512FD"/>
    <w:rsid w:val="0005221A"/>
    <w:rsid w:val="000526D7"/>
    <w:rsid w:val="00052B52"/>
    <w:rsid w:val="00053906"/>
    <w:rsid w:val="00055008"/>
    <w:rsid w:val="00055547"/>
    <w:rsid w:val="0005720E"/>
    <w:rsid w:val="00061268"/>
    <w:rsid w:val="00062A56"/>
    <w:rsid w:val="00062DBB"/>
    <w:rsid w:val="0006379C"/>
    <w:rsid w:val="00064FA6"/>
    <w:rsid w:val="0006585C"/>
    <w:rsid w:val="0006590B"/>
    <w:rsid w:val="000660A1"/>
    <w:rsid w:val="00066A1F"/>
    <w:rsid w:val="00066C6A"/>
    <w:rsid w:val="00066C7D"/>
    <w:rsid w:val="00070407"/>
    <w:rsid w:val="00070A9C"/>
    <w:rsid w:val="000717FD"/>
    <w:rsid w:val="00071825"/>
    <w:rsid w:val="0007191B"/>
    <w:rsid w:val="00072BFE"/>
    <w:rsid w:val="00074436"/>
    <w:rsid w:val="00074500"/>
    <w:rsid w:val="000745AC"/>
    <w:rsid w:val="0007482F"/>
    <w:rsid w:val="00075A96"/>
    <w:rsid w:val="000764D1"/>
    <w:rsid w:val="000766FD"/>
    <w:rsid w:val="00076ACD"/>
    <w:rsid w:val="00077650"/>
    <w:rsid w:val="00080B56"/>
    <w:rsid w:val="000812B2"/>
    <w:rsid w:val="000825D1"/>
    <w:rsid w:val="00083BB9"/>
    <w:rsid w:val="00083CD0"/>
    <w:rsid w:val="000843E2"/>
    <w:rsid w:val="000855A4"/>
    <w:rsid w:val="00085AAD"/>
    <w:rsid w:val="00085BD1"/>
    <w:rsid w:val="00085C42"/>
    <w:rsid w:val="00086391"/>
    <w:rsid w:val="00086C92"/>
    <w:rsid w:val="00086CEE"/>
    <w:rsid w:val="00087065"/>
    <w:rsid w:val="000879BC"/>
    <w:rsid w:val="00090338"/>
    <w:rsid w:val="000903AB"/>
    <w:rsid w:val="000910F2"/>
    <w:rsid w:val="00092400"/>
    <w:rsid w:val="00092935"/>
    <w:rsid w:val="00093400"/>
    <w:rsid w:val="00093920"/>
    <w:rsid w:val="00094E99"/>
    <w:rsid w:val="00095A87"/>
    <w:rsid w:val="00095D19"/>
    <w:rsid w:val="000961C8"/>
    <w:rsid w:val="000962B3"/>
    <w:rsid w:val="0009759F"/>
    <w:rsid w:val="00097F95"/>
    <w:rsid w:val="000A04BF"/>
    <w:rsid w:val="000A07B9"/>
    <w:rsid w:val="000A0C1D"/>
    <w:rsid w:val="000A14DA"/>
    <w:rsid w:val="000A1811"/>
    <w:rsid w:val="000A18D8"/>
    <w:rsid w:val="000A1D30"/>
    <w:rsid w:val="000A3DC2"/>
    <w:rsid w:val="000A5952"/>
    <w:rsid w:val="000A5FD7"/>
    <w:rsid w:val="000A68FB"/>
    <w:rsid w:val="000A694D"/>
    <w:rsid w:val="000A6A75"/>
    <w:rsid w:val="000A6EA0"/>
    <w:rsid w:val="000A6EF1"/>
    <w:rsid w:val="000A7619"/>
    <w:rsid w:val="000A78E0"/>
    <w:rsid w:val="000A7BB2"/>
    <w:rsid w:val="000B0AE4"/>
    <w:rsid w:val="000B282D"/>
    <w:rsid w:val="000B34BC"/>
    <w:rsid w:val="000B3875"/>
    <w:rsid w:val="000B3D41"/>
    <w:rsid w:val="000B424F"/>
    <w:rsid w:val="000B49FD"/>
    <w:rsid w:val="000B4ECD"/>
    <w:rsid w:val="000B6401"/>
    <w:rsid w:val="000B669A"/>
    <w:rsid w:val="000B72BF"/>
    <w:rsid w:val="000B7B73"/>
    <w:rsid w:val="000B7D1D"/>
    <w:rsid w:val="000C043F"/>
    <w:rsid w:val="000C08EE"/>
    <w:rsid w:val="000C1320"/>
    <w:rsid w:val="000C1E0B"/>
    <w:rsid w:val="000C2BC7"/>
    <w:rsid w:val="000C2F41"/>
    <w:rsid w:val="000C3D94"/>
    <w:rsid w:val="000C59AC"/>
    <w:rsid w:val="000C68A2"/>
    <w:rsid w:val="000C692D"/>
    <w:rsid w:val="000C759F"/>
    <w:rsid w:val="000C7989"/>
    <w:rsid w:val="000D05C6"/>
    <w:rsid w:val="000D41CE"/>
    <w:rsid w:val="000D43B4"/>
    <w:rsid w:val="000D44D5"/>
    <w:rsid w:val="000D49FB"/>
    <w:rsid w:val="000D4E0D"/>
    <w:rsid w:val="000D66A2"/>
    <w:rsid w:val="000D6749"/>
    <w:rsid w:val="000D7D60"/>
    <w:rsid w:val="000E0E3D"/>
    <w:rsid w:val="000E25F8"/>
    <w:rsid w:val="000E26E8"/>
    <w:rsid w:val="000E2746"/>
    <w:rsid w:val="000E402A"/>
    <w:rsid w:val="000E58FE"/>
    <w:rsid w:val="000E7397"/>
    <w:rsid w:val="000E77AF"/>
    <w:rsid w:val="000E7EC7"/>
    <w:rsid w:val="000F3673"/>
    <w:rsid w:val="000F3B0E"/>
    <w:rsid w:val="000F3F65"/>
    <w:rsid w:val="000F4B7D"/>
    <w:rsid w:val="000F52BB"/>
    <w:rsid w:val="000F53FA"/>
    <w:rsid w:val="000F5EC2"/>
    <w:rsid w:val="000F5EC9"/>
    <w:rsid w:val="00100C00"/>
    <w:rsid w:val="00101228"/>
    <w:rsid w:val="001012C3"/>
    <w:rsid w:val="001015B3"/>
    <w:rsid w:val="0010171E"/>
    <w:rsid w:val="00101F5B"/>
    <w:rsid w:val="00104154"/>
    <w:rsid w:val="001041FC"/>
    <w:rsid w:val="00104C9B"/>
    <w:rsid w:val="00105930"/>
    <w:rsid w:val="00107245"/>
    <w:rsid w:val="00107485"/>
    <w:rsid w:val="0010790E"/>
    <w:rsid w:val="00107CA4"/>
    <w:rsid w:val="001100DC"/>
    <w:rsid w:val="001105B6"/>
    <w:rsid w:val="00110BD6"/>
    <w:rsid w:val="0011101E"/>
    <w:rsid w:val="00111051"/>
    <w:rsid w:val="001120D9"/>
    <w:rsid w:val="00112775"/>
    <w:rsid w:val="00113AC2"/>
    <w:rsid w:val="00114736"/>
    <w:rsid w:val="00115473"/>
    <w:rsid w:val="001154D3"/>
    <w:rsid w:val="00115965"/>
    <w:rsid w:val="0011658F"/>
    <w:rsid w:val="00116955"/>
    <w:rsid w:val="00117B26"/>
    <w:rsid w:val="001203CE"/>
    <w:rsid w:val="00120572"/>
    <w:rsid w:val="00120608"/>
    <w:rsid w:val="0012116E"/>
    <w:rsid w:val="0012141D"/>
    <w:rsid w:val="00122590"/>
    <w:rsid w:val="00123F5C"/>
    <w:rsid w:val="00126351"/>
    <w:rsid w:val="0012682C"/>
    <w:rsid w:val="00126F95"/>
    <w:rsid w:val="00131757"/>
    <w:rsid w:val="00131855"/>
    <w:rsid w:val="001323FD"/>
    <w:rsid w:val="00132639"/>
    <w:rsid w:val="00132A94"/>
    <w:rsid w:val="00132CFC"/>
    <w:rsid w:val="00133D09"/>
    <w:rsid w:val="00134797"/>
    <w:rsid w:val="00134D9B"/>
    <w:rsid w:val="00134DF2"/>
    <w:rsid w:val="001351D2"/>
    <w:rsid w:val="00136B33"/>
    <w:rsid w:val="00137051"/>
    <w:rsid w:val="00137DEE"/>
    <w:rsid w:val="00141D12"/>
    <w:rsid w:val="00142310"/>
    <w:rsid w:val="0014240A"/>
    <w:rsid w:val="00142936"/>
    <w:rsid w:val="00143312"/>
    <w:rsid w:val="00143335"/>
    <w:rsid w:val="00150176"/>
    <w:rsid w:val="001505FF"/>
    <w:rsid w:val="0015077A"/>
    <w:rsid w:val="0015245A"/>
    <w:rsid w:val="001532C1"/>
    <w:rsid w:val="0015383B"/>
    <w:rsid w:val="001539EF"/>
    <w:rsid w:val="001540BD"/>
    <w:rsid w:val="00154877"/>
    <w:rsid w:val="00154A5E"/>
    <w:rsid w:val="00154A9A"/>
    <w:rsid w:val="00154E34"/>
    <w:rsid w:val="00157094"/>
    <w:rsid w:val="00160076"/>
    <w:rsid w:val="001601F3"/>
    <w:rsid w:val="0016025E"/>
    <w:rsid w:val="001602BB"/>
    <w:rsid w:val="00160CD4"/>
    <w:rsid w:val="00161252"/>
    <w:rsid w:val="001613D9"/>
    <w:rsid w:val="00161781"/>
    <w:rsid w:val="001622DD"/>
    <w:rsid w:val="001629BF"/>
    <w:rsid w:val="00164E75"/>
    <w:rsid w:val="001662F1"/>
    <w:rsid w:val="00166320"/>
    <w:rsid w:val="00166F30"/>
    <w:rsid w:val="00170345"/>
    <w:rsid w:val="001711AA"/>
    <w:rsid w:val="0017257B"/>
    <w:rsid w:val="00172BDD"/>
    <w:rsid w:val="001730C3"/>
    <w:rsid w:val="001735CE"/>
    <w:rsid w:val="00176875"/>
    <w:rsid w:val="00176AE3"/>
    <w:rsid w:val="00176DF8"/>
    <w:rsid w:val="001773D8"/>
    <w:rsid w:val="00177BBC"/>
    <w:rsid w:val="001813DB"/>
    <w:rsid w:val="00182103"/>
    <w:rsid w:val="00182C07"/>
    <w:rsid w:val="001832DC"/>
    <w:rsid w:val="00185B1E"/>
    <w:rsid w:val="0019040F"/>
    <w:rsid w:val="001918D3"/>
    <w:rsid w:val="00193688"/>
    <w:rsid w:val="00193714"/>
    <w:rsid w:val="00193794"/>
    <w:rsid w:val="001941AD"/>
    <w:rsid w:val="00194BE1"/>
    <w:rsid w:val="0019751C"/>
    <w:rsid w:val="00197A2D"/>
    <w:rsid w:val="00197AE4"/>
    <w:rsid w:val="001A2849"/>
    <w:rsid w:val="001A2EB7"/>
    <w:rsid w:val="001A357E"/>
    <w:rsid w:val="001A3EF7"/>
    <w:rsid w:val="001A454A"/>
    <w:rsid w:val="001A45FA"/>
    <w:rsid w:val="001A7B64"/>
    <w:rsid w:val="001A7E9A"/>
    <w:rsid w:val="001B025C"/>
    <w:rsid w:val="001B0F0C"/>
    <w:rsid w:val="001B1423"/>
    <w:rsid w:val="001B18A7"/>
    <w:rsid w:val="001B1C7D"/>
    <w:rsid w:val="001B2BF2"/>
    <w:rsid w:val="001B35DD"/>
    <w:rsid w:val="001B3790"/>
    <w:rsid w:val="001B4A76"/>
    <w:rsid w:val="001B58A8"/>
    <w:rsid w:val="001B71C7"/>
    <w:rsid w:val="001B78BE"/>
    <w:rsid w:val="001C0C7F"/>
    <w:rsid w:val="001C1281"/>
    <w:rsid w:val="001C1D27"/>
    <w:rsid w:val="001C2097"/>
    <w:rsid w:val="001C2FB5"/>
    <w:rsid w:val="001C3AEC"/>
    <w:rsid w:val="001C3E12"/>
    <w:rsid w:val="001C4FBE"/>
    <w:rsid w:val="001C508D"/>
    <w:rsid w:val="001C598F"/>
    <w:rsid w:val="001C5EE3"/>
    <w:rsid w:val="001C66BB"/>
    <w:rsid w:val="001D1D79"/>
    <w:rsid w:val="001D37D7"/>
    <w:rsid w:val="001D3998"/>
    <w:rsid w:val="001D447E"/>
    <w:rsid w:val="001D5600"/>
    <w:rsid w:val="001D6F22"/>
    <w:rsid w:val="001D7D3C"/>
    <w:rsid w:val="001D7E90"/>
    <w:rsid w:val="001E0268"/>
    <w:rsid w:val="001E1202"/>
    <w:rsid w:val="001E1BCD"/>
    <w:rsid w:val="001E4504"/>
    <w:rsid w:val="001E47FD"/>
    <w:rsid w:val="001E48D5"/>
    <w:rsid w:val="001E655E"/>
    <w:rsid w:val="001E7044"/>
    <w:rsid w:val="001F06D1"/>
    <w:rsid w:val="001F1913"/>
    <w:rsid w:val="001F24DF"/>
    <w:rsid w:val="001F366A"/>
    <w:rsid w:val="001F44A5"/>
    <w:rsid w:val="001F4B30"/>
    <w:rsid w:val="001F4F9B"/>
    <w:rsid w:val="001F6EA6"/>
    <w:rsid w:val="001F7767"/>
    <w:rsid w:val="001F7958"/>
    <w:rsid w:val="001F7AF5"/>
    <w:rsid w:val="00200D6A"/>
    <w:rsid w:val="0020124F"/>
    <w:rsid w:val="00201918"/>
    <w:rsid w:val="00202A22"/>
    <w:rsid w:val="00202A4A"/>
    <w:rsid w:val="00202F88"/>
    <w:rsid w:val="00203971"/>
    <w:rsid w:val="00203E3B"/>
    <w:rsid w:val="0020493A"/>
    <w:rsid w:val="00204A0B"/>
    <w:rsid w:val="002065D0"/>
    <w:rsid w:val="00210A9F"/>
    <w:rsid w:val="00211063"/>
    <w:rsid w:val="00211122"/>
    <w:rsid w:val="00211170"/>
    <w:rsid w:val="0021320D"/>
    <w:rsid w:val="00213A76"/>
    <w:rsid w:val="00213C5F"/>
    <w:rsid w:val="00213CC7"/>
    <w:rsid w:val="00214246"/>
    <w:rsid w:val="00214AE8"/>
    <w:rsid w:val="00214E25"/>
    <w:rsid w:val="002154B3"/>
    <w:rsid w:val="00215621"/>
    <w:rsid w:val="002157EF"/>
    <w:rsid w:val="0021625C"/>
    <w:rsid w:val="00216E07"/>
    <w:rsid w:val="00220A69"/>
    <w:rsid w:val="00220A9C"/>
    <w:rsid w:val="00221C61"/>
    <w:rsid w:val="00222C66"/>
    <w:rsid w:val="00223D85"/>
    <w:rsid w:val="00224104"/>
    <w:rsid w:val="0022426B"/>
    <w:rsid w:val="00225878"/>
    <w:rsid w:val="002258E1"/>
    <w:rsid w:val="002264F9"/>
    <w:rsid w:val="002266AB"/>
    <w:rsid w:val="00226CA1"/>
    <w:rsid w:val="00231403"/>
    <w:rsid w:val="0023181B"/>
    <w:rsid w:val="0023194C"/>
    <w:rsid w:val="00234254"/>
    <w:rsid w:val="00234446"/>
    <w:rsid w:val="0023529D"/>
    <w:rsid w:val="00236235"/>
    <w:rsid w:val="00236C71"/>
    <w:rsid w:val="002408B5"/>
    <w:rsid w:val="00241E03"/>
    <w:rsid w:val="00242CE4"/>
    <w:rsid w:val="0024323C"/>
    <w:rsid w:val="00243A20"/>
    <w:rsid w:val="00244333"/>
    <w:rsid w:val="00245A1E"/>
    <w:rsid w:val="00245F94"/>
    <w:rsid w:val="002463CB"/>
    <w:rsid w:val="00246669"/>
    <w:rsid w:val="00246FBA"/>
    <w:rsid w:val="00247F27"/>
    <w:rsid w:val="00250682"/>
    <w:rsid w:val="00251F0A"/>
    <w:rsid w:val="00251FA6"/>
    <w:rsid w:val="0025225D"/>
    <w:rsid w:val="00252EEF"/>
    <w:rsid w:val="00252F5E"/>
    <w:rsid w:val="0025458A"/>
    <w:rsid w:val="00254AD7"/>
    <w:rsid w:val="00254DAB"/>
    <w:rsid w:val="002553FC"/>
    <w:rsid w:val="00255F78"/>
    <w:rsid w:val="002566D6"/>
    <w:rsid w:val="00260BB0"/>
    <w:rsid w:val="00262FDA"/>
    <w:rsid w:val="00264A28"/>
    <w:rsid w:val="002650F6"/>
    <w:rsid w:val="002663D7"/>
    <w:rsid w:val="002665D0"/>
    <w:rsid w:val="002670A4"/>
    <w:rsid w:val="00267D09"/>
    <w:rsid w:val="00270377"/>
    <w:rsid w:val="002703E0"/>
    <w:rsid w:val="0027053F"/>
    <w:rsid w:val="00271B6D"/>
    <w:rsid w:val="0027425A"/>
    <w:rsid w:val="0027565E"/>
    <w:rsid w:val="00281749"/>
    <w:rsid w:val="002818EA"/>
    <w:rsid w:val="00282520"/>
    <w:rsid w:val="002829C7"/>
    <w:rsid w:val="00283577"/>
    <w:rsid w:val="002837E1"/>
    <w:rsid w:val="002842CB"/>
    <w:rsid w:val="002846A9"/>
    <w:rsid w:val="002848D0"/>
    <w:rsid w:val="002856BB"/>
    <w:rsid w:val="002869EA"/>
    <w:rsid w:val="00287AD2"/>
    <w:rsid w:val="002902B6"/>
    <w:rsid w:val="00290334"/>
    <w:rsid w:val="00290583"/>
    <w:rsid w:val="00290CFD"/>
    <w:rsid w:val="00290DC1"/>
    <w:rsid w:val="00291289"/>
    <w:rsid w:val="00291A76"/>
    <w:rsid w:val="00291D31"/>
    <w:rsid w:val="00291F62"/>
    <w:rsid w:val="00292690"/>
    <w:rsid w:val="00292A06"/>
    <w:rsid w:val="00293AD7"/>
    <w:rsid w:val="00295D22"/>
    <w:rsid w:val="00296757"/>
    <w:rsid w:val="00296911"/>
    <w:rsid w:val="00296B12"/>
    <w:rsid w:val="00296BF0"/>
    <w:rsid w:val="0029703A"/>
    <w:rsid w:val="002A0B93"/>
    <w:rsid w:val="002A1037"/>
    <w:rsid w:val="002A1407"/>
    <w:rsid w:val="002A28A9"/>
    <w:rsid w:val="002A3D8B"/>
    <w:rsid w:val="002A41E2"/>
    <w:rsid w:val="002A4589"/>
    <w:rsid w:val="002A60B3"/>
    <w:rsid w:val="002A69A6"/>
    <w:rsid w:val="002A6A5B"/>
    <w:rsid w:val="002A6EB0"/>
    <w:rsid w:val="002A7098"/>
    <w:rsid w:val="002B04B2"/>
    <w:rsid w:val="002B0977"/>
    <w:rsid w:val="002B146B"/>
    <w:rsid w:val="002B15F0"/>
    <w:rsid w:val="002B1808"/>
    <w:rsid w:val="002B190E"/>
    <w:rsid w:val="002B2E70"/>
    <w:rsid w:val="002B3298"/>
    <w:rsid w:val="002B3D1C"/>
    <w:rsid w:val="002B428D"/>
    <w:rsid w:val="002B465D"/>
    <w:rsid w:val="002B4694"/>
    <w:rsid w:val="002B4A6D"/>
    <w:rsid w:val="002B5D41"/>
    <w:rsid w:val="002B7888"/>
    <w:rsid w:val="002C0A2F"/>
    <w:rsid w:val="002C244F"/>
    <w:rsid w:val="002C25AE"/>
    <w:rsid w:val="002C34AB"/>
    <w:rsid w:val="002C3ED6"/>
    <w:rsid w:val="002C484F"/>
    <w:rsid w:val="002C4BFA"/>
    <w:rsid w:val="002C66C1"/>
    <w:rsid w:val="002C6D3C"/>
    <w:rsid w:val="002C6E1B"/>
    <w:rsid w:val="002C7591"/>
    <w:rsid w:val="002C7636"/>
    <w:rsid w:val="002C77A8"/>
    <w:rsid w:val="002D0178"/>
    <w:rsid w:val="002D1499"/>
    <w:rsid w:val="002D2859"/>
    <w:rsid w:val="002D29EA"/>
    <w:rsid w:val="002D2E9F"/>
    <w:rsid w:val="002D32F1"/>
    <w:rsid w:val="002D3874"/>
    <w:rsid w:val="002D4648"/>
    <w:rsid w:val="002D6AD6"/>
    <w:rsid w:val="002D6B08"/>
    <w:rsid w:val="002D777A"/>
    <w:rsid w:val="002D7D84"/>
    <w:rsid w:val="002E0119"/>
    <w:rsid w:val="002E13DA"/>
    <w:rsid w:val="002E1459"/>
    <w:rsid w:val="002E1B69"/>
    <w:rsid w:val="002E2417"/>
    <w:rsid w:val="002E2686"/>
    <w:rsid w:val="002E2D07"/>
    <w:rsid w:val="002E3150"/>
    <w:rsid w:val="002E325B"/>
    <w:rsid w:val="002E3BF0"/>
    <w:rsid w:val="002E40D2"/>
    <w:rsid w:val="002E504F"/>
    <w:rsid w:val="002E5843"/>
    <w:rsid w:val="002E5EDD"/>
    <w:rsid w:val="002E5F50"/>
    <w:rsid w:val="002E60D5"/>
    <w:rsid w:val="002E71A6"/>
    <w:rsid w:val="002F0183"/>
    <w:rsid w:val="002F0630"/>
    <w:rsid w:val="002F1E38"/>
    <w:rsid w:val="002F2504"/>
    <w:rsid w:val="002F3009"/>
    <w:rsid w:val="002F49F7"/>
    <w:rsid w:val="002F6178"/>
    <w:rsid w:val="002F6A77"/>
    <w:rsid w:val="002F6DF1"/>
    <w:rsid w:val="002F7AA4"/>
    <w:rsid w:val="00300CA8"/>
    <w:rsid w:val="00301430"/>
    <w:rsid w:val="003018FA"/>
    <w:rsid w:val="00302443"/>
    <w:rsid w:val="00302965"/>
    <w:rsid w:val="003032D4"/>
    <w:rsid w:val="0030389E"/>
    <w:rsid w:val="00303F2A"/>
    <w:rsid w:val="0030404A"/>
    <w:rsid w:val="003045F2"/>
    <w:rsid w:val="003046B7"/>
    <w:rsid w:val="003050ED"/>
    <w:rsid w:val="00306DD1"/>
    <w:rsid w:val="0030780B"/>
    <w:rsid w:val="00310068"/>
    <w:rsid w:val="003103BF"/>
    <w:rsid w:val="00311AA5"/>
    <w:rsid w:val="00311EE4"/>
    <w:rsid w:val="0031282C"/>
    <w:rsid w:val="00313C52"/>
    <w:rsid w:val="00313DCD"/>
    <w:rsid w:val="00314784"/>
    <w:rsid w:val="0031600D"/>
    <w:rsid w:val="00316AE9"/>
    <w:rsid w:val="003171BE"/>
    <w:rsid w:val="003211E2"/>
    <w:rsid w:val="003221AD"/>
    <w:rsid w:val="003228DD"/>
    <w:rsid w:val="00322F21"/>
    <w:rsid w:val="00324AB1"/>
    <w:rsid w:val="003258BF"/>
    <w:rsid w:val="00325C2E"/>
    <w:rsid w:val="0032700B"/>
    <w:rsid w:val="0032717D"/>
    <w:rsid w:val="00332006"/>
    <w:rsid w:val="00332CDC"/>
    <w:rsid w:val="0033382C"/>
    <w:rsid w:val="0033390C"/>
    <w:rsid w:val="00334293"/>
    <w:rsid w:val="0033446D"/>
    <w:rsid w:val="0033469A"/>
    <w:rsid w:val="00335753"/>
    <w:rsid w:val="00335A91"/>
    <w:rsid w:val="00335B66"/>
    <w:rsid w:val="0033682E"/>
    <w:rsid w:val="0033683B"/>
    <w:rsid w:val="00340AE2"/>
    <w:rsid w:val="00341317"/>
    <w:rsid w:val="00341468"/>
    <w:rsid w:val="00341697"/>
    <w:rsid w:val="00341B6E"/>
    <w:rsid w:val="003438AC"/>
    <w:rsid w:val="0034422F"/>
    <w:rsid w:val="00344555"/>
    <w:rsid w:val="00345B20"/>
    <w:rsid w:val="00345C51"/>
    <w:rsid w:val="003462CE"/>
    <w:rsid w:val="0034755D"/>
    <w:rsid w:val="0035003E"/>
    <w:rsid w:val="00350716"/>
    <w:rsid w:val="0035127E"/>
    <w:rsid w:val="0035281D"/>
    <w:rsid w:val="0035316F"/>
    <w:rsid w:val="003536DB"/>
    <w:rsid w:val="003536E1"/>
    <w:rsid w:val="0035389F"/>
    <w:rsid w:val="00354445"/>
    <w:rsid w:val="0035600C"/>
    <w:rsid w:val="00356276"/>
    <w:rsid w:val="003579A8"/>
    <w:rsid w:val="00357F47"/>
    <w:rsid w:val="003614C6"/>
    <w:rsid w:val="0036164B"/>
    <w:rsid w:val="00362253"/>
    <w:rsid w:val="00364D81"/>
    <w:rsid w:val="00365185"/>
    <w:rsid w:val="00365224"/>
    <w:rsid w:val="003666FC"/>
    <w:rsid w:val="00366743"/>
    <w:rsid w:val="00370964"/>
    <w:rsid w:val="00370D10"/>
    <w:rsid w:val="0037438B"/>
    <w:rsid w:val="00374B97"/>
    <w:rsid w:val="00375AB0"/>
    <w:rsid w:val="00375D4C"/>
    <w:rsid w:val="00376857"/>
    <w:rsid w:val="0037735E"/>
    <w:rsid w:val="003803BA"/>
    <w:rsid w:val="00380A50"/>
    <w:rsid w:val="00380CFB"/>
    <w:rsid w:val="003827A0"/>
    <w:rsid w:val="00382BA4"/>
    <w:rsid w:val="00382FD3"/>
    <w:rsid w:val="003839A2"/>
    <w:rsid w:val="00383B63"/>
    <w:rsid w:val="00383CBB"/>
    <w:rsid w:val="0038479C"/>
    <w:rsid w:val="00385201"/>
    <w:rsid w:val="003867DF"/>
    <w:rsid w:val="0038684B"/>
    <w:rsid w:val="00387012"/>
    <w:rsid w:val="00391C46"/>
    <w:rsid w:val="00392054"/>
    <w:rsid w:val="00394163"/>
    <w:rsid w:val="00394CD1"/>
    <w:rsid w:val="003952D6"/>
    <w:rsid w:val="00395631"/>
    <w:rsid w:val="00396190"/>
    <w:rsid w:val="00396723"/>
    <w:rsid w:val="00397747"/>
    <w:rsid w:val="003977F4"/>
    <w:rsid w:val="00397DCD"/>
    <w:rsid w:val="003A1AB5"/>
    <w:rsid w:val="003A2AC6"/>
    <w:rsid w:val="003A2B18"/>
    <w:rsid w:val="003A4185"/>
    <w:rsid w:val="003A42EF"/>
    <w:rsid w:val="003A44D7"/>
    <w:rsid w:val="003A610B"/>
    <w:rsid w:val="003A67AE"/>
    <w:rsid w:val="003A739B"/>
    <w:rsid w:val="003A79EA"/>
    <w:rsid w:val="003B121C"/>
    <w:rsid w:val="003B1279"/>
    <w:rsid w:val="003B243C"/>
    <w:rsid w:val="003B3A00"/>
    <w:rsid w:val="003B3D1D"/>
    <w:rsid w:val="003B4B30"/>
    <w:rsid w:val="003B59C8"/>
    <w:rsid w:val="003B5F38"/>
    <w:rsid w:val="003B6D61"/>
    <w:rsid w:val="003B7B33"/>
    <w:rsid w:val="003C0115"/>
    <w:rsid w:val="003C0CA4"/>
    <w:rsid w:val="003C0EFA"/>
    <w:rsid w:val="003C2E27"/>
    <w:rsid w:val="003C2F9B"/>
    <w:rsid w:val="003C347A"/>
    <w:rsid w:val="003C43DE"/>
    <w:rsid w:val="003C60C2"/>
    <w:rsid w:val="003C6AA7"/>
    <w:rsid w:val="003C7357"/>
    <w:rsid w:val="003C7EA9"/>
    <w:rsid w:val="003D0480"/>
    <w:rsid w:val="003D058C"/>
    <w:rsid w:val="003D4DA5"/>
    <w:rsid w:val="003D515D"/>
    <w:rsid w:val="003D5174"/>
    <w:rsid w:val="003D6390"/>
    <w:rsid w:val="003D65F0"/>
    <w:rsid w:val="003E01C3"/>
    <w:rsid w:val="003E0CF4"/>
    <w:rsid w:val="003E15CA"/>
    <w:rsid w:val="003E213F"/>
    <w:rsid w:val="003E355B"/>
    <w:rsid w:val="003E3D2D"/>
    <w:rsid w:val="003E529B"/>
    <w:rsid w:val="003E5622"/>
    <w:rsid w:val="003E6AF3"/>
    <w:rsid w:val="003E7165"/>
    <w:rsid w:val="003E798B"/>
    <w:rsid w:val="003F027C"/>
    <w:rsid w:val="003F041F"/>
    <w:rsid w:val="003F044E"/>
    <w:rsid w:val="003F0B12"/>
    <w:rsid w:val="003F25C2"/>
    <w:rsid w:val="003F298B"/>
    <w:rsid w:val="003F2D3A"/>
    <w:rsid w:val="003F38C7"/>
    <w:rsid w:val="003F4111"/>
    <w:rsid w:val="003F5FF9"/>
    <w:rsid w:val="003F72EB"/>
    <w:rsid w:val="003F739C"/>
    <w:rsid w:val="003F7895"/>
    <w:rsid w:val="003F78EE"/>
    <w:rsid w:val="003F7AE1"/>
    <w:rsid w:val="004009ED"/>
    <w:rsid w:val="004020DB"/>
    <w:rsid w:val="00402182"/>
    <w:rsid w:val="004021DF"/>
    <w:rsid w:val="00402481"/>
    <w:rsid w:val="00402491"/>
    <w:rsid w:val="00402F2B"/>
    <w:rsid w:val="00403281"/>
    <w:rsid w:val="004043B0"/>
    <w:rsid w:val="00404F78"/>
    <w:rsid w:val="004071A9"/>
    <w:rsid w:val="00407859"/>
    <w:rsid w:val="00407B99"/>
    <w:rsid w:val="00407CDF"/>
    <w:rsid w:val="0041086C"/>
    <w:rsid w:val="004110A7"/>
    <w:rsid w:val="00411493"/>
    <w:rsid w:val="004137AA"/>
    <w:rsid w:val="0041608F"/>
    <w:rsid w:val="004171A6"/>
    <w:rsid w:val="004171E7"/>
    <w:rsid w:val="00417317"/>
    <w:rsid w:val="00417BA3"/>
    <w:rsid w:val="0042142B"/>
    <w:rsid w:val="004220A2"/>
    <w:rsid w:val="004229E9"/>
    <w:rsid w:val="00422B0D"/>
    <w:rsid w:val="00423ECA"/>
    <w:rsid w:val="0042439D"/>
    <w:rsid w:val="004255C8"/>
    <w:rsid w:val="00427318"/>
    <w:rsid w:val="0042752A"/>
    <w:rsid w:val="00427ECC"/>
    <w:rsid w:val="00430200"/>
    <w:rsid w:val="00432901"/>
    <w:rsid w:val="004332DB"/>
    <w:rsid w:val="0043347F"/>
    <w:rsid w:val="004339FF"/>
    <w:rsid w:val="00433DC7"/>
    <w:rsid w:val="0043481C"/>
    <w:rsid w:val="0043579E"/>
    <w:rsid w:val="00436167"/>
    <w:rsid w:val="00436985"/>
    <w:rsid w:val="00440659"/>
    <w:rsid w:val="00440963"/>
    <w:rsid w:val="00440A18"/>
    <w:rsid w:val="00440D84"/>
    <w:rsid w:val="004411D7"/>
    <w:rsid w:val="00441B68"/>
    <w:rsid w:val="0044309E"/>
    <w:rsid w:val="004433F3"/>
    <w:rsid w:val="00443603"/>
    <w:rsid w:val="004442CA"/>
    <w:rsid w:val="004445A3"/>
    <w:rsid w:val="00447917"/>
    <w:rsid w:val="00451308"/>
    <w:rsid w:val="0045188E"/>
    <w:rsid w:val="004520CD"/>
    <w:rsid w:val="00453C12"/>
    <w:rsid w:val="00453DAA"/>
    <w:rsid w:val="00453EBA"/>
    <w:rsid w:val="00454C5D"/>
    <w:rsid w:val="00455B34"/>
    <w:rsid w:val="00455DA6"/>
    <w:rsid w:val="0045795B"/>
    <w:rsid w:val="00462788"/>
    <w:rsid w:val="004629D4"/>
    <w:rsid w:val="00463D72"/>
    <w:rsid w:val="004643F3"/>
    <w:rsid w:val="0046453F"/>
    <w:rsid w:val="00464FD2"/>
    <w:rsid w:val="0046545C"/>
    <w:rsid w:val="00465F60"/>
    <w:rsid w:val="00465FB2"/>
    <w:rsid w:val="004661FB"/>
    <w:rsid w:val="00466A62"/>
    <w:rsid w:val="0047069B"/>
    <w:rsid w:val="00470E80"/>
    <w:rsid w:val="00472D6E"/>
    <w:rsid w:val="00472F35"/>
    <w:rsid w:val="004734AD"/>
    <w:rsid w:val="004735F5"/>
    <w:rsid w:val="00474795"/>
    <w:rsid w:val="00474D3A"/>
    <w:rsid w:val="00477470"/>
    <w:rsid w:val="00477E58"/>
    <w:rsid w:val="0048105F"/>
    <w:rsid w:val="00484EEE"/>
    <w:rsid w:val="00485D0A"/>
    <w:rsid w:val="00486D35"/>
    <w:rsid w:val="0048770F"/>
    <w:rsid w:val="00490710"/>
    <w:rsid w:val="00490782"/>
    <w:rsid w:val="00490DD3"/>
    <w:rsid w:val="004911E9"/>
    <w:rsid w:val="004914FD"/>
    <w:rsid w:val="00492279"/>
    <w:rsid w:val="004924B2"/>
    <w:rsid w:val="00493B4D"/>
    <w:rsid w:val="00495246"/>
    <w:rsid w:val="00495AFD"/>
    <w:rsid w:val="00496504"/>
    <w:rsid w:val="004969B4"/>
    <w:rsid w:val="0049726F"/>
    <w:rsid w:val="00497C62"/>
    <w:rsid w:val="004A051E"/>
    <w:rsid w:val="004A08CB"/>
    <w:rsid w:val="004A2BF8"/>
    <w:rsid w:val="004A39D3"/>
    <w:rsid w:val="004A3BB3"/>
    <w:rsid w:val="004A4E2A"/>
    <w:rsid w:val="004A5329"/>
    <w:rsid w:val="004A53D6"/>
    <w:rsid w:val="004A5A28"/>
    <w:rsid w:val="004A6594"/>
    <w:rsid w:val="004A69CB"/>
    <w:rsid w:val="004B074B"/>
    <w:rsid w:val="004B0E46"/>
    <w:rsid w:val="004B2CB0"/>
    <w:rsid w:val="004B3F5A"/>
    <w:rsid w:val="004B47D0"/>
    <w:rsid w:val="004B480E"/>
    <w:rsid w:val="004B4D97"/>
    <w:rsid w:val="004B57F1"/>
    <w:rsid w:val="004B592B"/>
    <w:rsid w:val="004B5FAE"/>
    <w:rsid w:val="004B67A8"/>
    <w:rsid w:val="004B7BAC"/>
    <w:rsid w:val="004C1545"/>
    <w:rsid w:val="004C220D"/>
    <w:rsid w:val="004C22D2"/>
    <w:rsid w:val="004C2976"/>
    <w:rsid w:val="004C3C2E"/>
    <w:rsid w:val="004C4ABD"/>
    <w:rsid w:val="004C5AED"/>
    <w:rsid w:val="004C64ED"/>
    <w:rsid w:val="004C7212"/>
    <w:rsid w:val="004D0051"/>
    <w:rsid w:val="004D07DD"/>
    <w:rsid w:val="004D19DD"/>
    <w:rsid w:val="004D23CE"/>
    <w:rsid w:val="004D2D02"/>
    <w:rsid w:val="004D30CC"/>
    <w:rsid w:val="004D3F8C"/>
    <w:rsid w:val="004D3FF1"/>
    <w:rsid w:val="004D4A16"/>
    <w:rsid w:val="004D4EBF"/>
    <w:rsid w:val="004E036C"/>
    <w:rsid w:val="004E0481"/>
    <w:rsid w:val="004E0FEE"/>
    <w:rsid w:val="004E263E"/>
    <w:rsid w:val="004E333B"/>
    <w:rsid w:val="004E3EE7"/>
    <w:rsid w:val="004E44C4"/>
    <w:rsid w:val="004E5BF5"/>
    <w:rsid w:val="004E6065"/>
    <w:rsid w:val="004E666E"/>
    <w:rsid w:val="004E6DDC"/>
    <w:rsid w:val="004F0462"/>
    <w:rsid w:val="004F05B0"/>
    <w:rsid w:val="004F1A5F"/>
    <w:rsid w:val="004F1B08"/>
    <w:rsid w:val="004F2954"/>
    <w:rsid w:val="004F49BD"/>
    <w:rsid w:val="004F4A50"/>
    <w:rsid w:val="004F4C3F"/>
    <w:rsid w:val="004F523F"/>
    <w:rsid w:val="004F5781"/>
    <w:rsid w:val="004F5B21"/>
    <w:rsid w:val="004F787A"/>
    <w:rsid w:val="004F7883"/>
    <w:rsid w:val="00500E1A"/>
    <w:rsid w:val="00500ED5"/>
    <w:rsid w:val="00502552"/>
    <w:rsid w:val="005026E5"/>
    <w:rsid w:val="00502917"/>
    <w:rsid w:val="00503E38"/>
    <w:rsid w:val="00504808"/>
    <w:rsid w:val="00505D9B"/>
    <w:rsid w:val="00506F03"/>
    <w:rsid w:val="00507222"/>
    <w:rsid w:val="00507D34"/>
    <w:rsid w:val="00510190"/>
    <w:rsid w:val="00510651"/>
    <w:rsid w:val="0051311B"/>
    <w:rsid w:val="00514B31"/>
    <w:rsid w:val="00515476"/>
    <w:rsid w:val="005200FC"/>
    <w:rsid w:val="00520614"/>
    <w:rsid w:val="005207B9"/>
    <w:rsid w:val="005207DF"/>
    <w:rsid w:val="005211A7"/>
    <w:rsid w:val="00521313"/>
    <w:rsid w:val="005213E3"/>
    <w:rsid w:val="005214ED"/>
    <w:rsid w:val="00522279"/>
    <w:rsid w:val="005224F5"/>
    <w:rsid w:val="00522524"/>
    <w:rsid w:val="00522C89"/>
    <w:rsid w:val="005230D3"/>
    <w:rsid w:val="0052525F"/>
    <w:rsid w:val="00525EEF"/>
    <w:rsid w:val="00525FEF"/>
    <w:rsid w:val="0052616E"/>
    <w:rsid w:val="00526542"/>
    <w:rsid w:val="00526D83"/>
    <w:rsid w:val="005270CE"/>
    <w:rsid w:val="005270D4"/>
    <w:rsid w:val="005303C0"/>
    <w:rsid w:val="00530872"/>
    <w:rsid w:val="0053089B"/>
    <w:rsid w:val="00530E93"/>
    <w:rsid w:val="005313CB"/>
    <w:rsid w:val="00533E83"/>
    <w:rsid w:val="005348F2"/>
    <w:rsid w:val="00536130"/>
    <w:rsid w:val="005368A6"/>
    <w:rsid w:val="0053730D"/>
    <w:rsid w:val="00537520"/>
    <w:rsid w:val="0054011D"/>
    <w:rsid w:val="00540355"/>
    <w:rsid w:val="00542232"/>
    <w:rsid w:val="005441AB"/>
    <w:rsid w:val="00546611"/>
    <w:rsid w:val="00546DD2"/>
    <w:rsid w:val="00547A84"/>
    <w:rsid w:val="0055003E"/>
    <w:rsid w:val="005517D8"/>
    <w:rsid w:val="00554BCC"/>
    <w:rsid w:val="00555E92"/>
    <w:rsid w:val="00557128"/>
    <w:rsid w:val="005572F2"/>
    <w:rsid w:val="005607C2"/>
    <w:rsid w:val="005607E6"/>
    <w:rsid w:val="00562340"/>
    <w:rsid w:val="00563A66"/>
    <w:rsid w:val="005658E1"/>
    <w:rsid w:val="00565913"/>
    <w:rsid w:val="005673E9"/>
    <w:rsid w:val="00567536"/>
    <w:rsid w:val="005701A7"/>
    <w:rsid w:val="0057061E"/>
    <w:rsid w:val="00571350"/>
    <w:rsid w:val="0057240A"/>
    <w:rsid w:val="00572E37"/>
    <w:rsid w:val="00573BD5"/>
    <w:rsid w:val="005760E6"/>
    <w:rsid w:val="005775DE"/>
    <w:rsid w:val="00577735"/>
    <w:rsid w:val="00577A74"/>
    <w:rsid w:val="00580112"/>
    <w:rsid w:val="00580373"/>
    <w:rsid w:val="005804B0"/>
    <w:rsid w:val="005815C5"/>
    <w:rsid w:val="00582FBB"/>
    <w:rsid w:val="00585E27"/>
    <w:rsid w:val="005871A9"/>
    <w:rsid w:val="005916EA"/>
    <w:rsid w:val="0059304F"/>
    <w:rsid w:val="005931E4"/>
    <w:rsid w:val="00593733"/>
    <w:rsid w:val="0059537B"/>
    <w:rsid w:val="005954F2"/>
    <w:rsid w:val="00595C92"/>
    <w:rsid w:val="00596C7D"/>
    <w:rsid w:val="005971DF"/>
    <w:rsid w:val="00597841"/>
    <w:rsid w:val="00597B48"/>
    <w:rsid w:val="005A055F"/>
    <w:rsid w:val="005A0591"/>
    <w:rsid w:val="005A0ED9"/>
    <w:rsid w:val="005A16F6"/>
    <w:rsid w:val="005A1A17"/>
    <w:rsid w:val="005A1A30"/>
    <w:rsid w:val="005A233D"/>
    <w:rsid w:val="005A3BA8"/>
    <w:rsid w:val="005A4B74"/>
    <w:rsid w:val="005A4DE7"/>
    <w:rsid w:val="005A54E8"/>
    <w:rsid w:val="005A69CB"/>
    <w:rsid w:val="005B0101"/>
    <w:rsid w:val="005B0A38"/>
    <w:rsid w:val="005B1AD8"/>
    <w:rsid w:val="005B226A"/>
    <w:rsid w:val="005B4143"/>
    <w:rsid w:val="005B55EF"/>
    <w:rsid w:val="005B58AD"/>
    <w:rsid w:val="005B5AFC"/>
    <w:rsid w:val="005B5D5A"/>
    <w:rsid w:val="005B5E97"/>
    <w:rsid w:val="005B6A9E"/>
    <w:rsid w:val="005B7832"/>
    <w:rsid w:val="005B7928"/>
    <w:rsid w:val="005C099F"/>
    <w:rsid w:val="005C0FAF"/>
    <w:rsid w:val="005C23E8"/>
    <w:rsid w:val="005C2430"/>
    <w:rsid w:val="005C425D"/>
    <w:rsid w:val="005C48A0"/>
    <w:rsid w:val="005C4C9D"/>
    <w:rsid w:val="005C4FC7"/>
    <w:rsid w:val="005C6659"/>
    <w:rsid w:val="005D00B6"/>
    <w:rsid w:val="005D1A73"/>
    <w:rsid w:val="005D1B75"/>
    <w:rsid w:val="005D21C6"/>
    <w:rsid w:val="005D229D"/>
    <w:rsid w:val="005D2432"/>
    <w:rsid w:val="005D311B"/>
    <w:rsid w:val="005D41AC"/>
    <w:rsid w:val="005D4F1F"/>
    <w:rsid w:val="005D523B"/>
    <w:rsid w:val="005D7BBC"/>
    <w:rsid w:val="005E063C"/>
    <w:rsid w:val="005E09ED"/>
    <w:rsid w:val="005E0DB2"/>
    <w:rsid w:val="005E16F4"/>
    <w:rsid w:val="005E2064"/>
    <w:rsid w:val="005E4A85"/>
    <w:rsid w:val="005E513D"/>
    <w:rsid w:val="005E5E28"/>
    <w:rsid w:val="005E6F05"/>
    <w:rsid w:val="005F0922"/>
    <w:rsid w:val="005F0FD0"/>
    <w:rsid w:val="005F211C"/>
    <w:rsid w:val="005F4CEB"/>
    <w:rsid w:val="005F4D97"/>
    <w:rsid w:val="005F67DA"/>
    <w:rsid w:val="005F6CF6"/>
    <w:rsid w:val="005F7F45"/>
    <w:rsid w:val="0060049D"/>
    <w:rsid w:val="00601147"/>
    <w:rsid w:val="00601329"/>
    <w:rsid w:val="006016C0"/>
    <w:rsid w:val="00601F02"/>
    <w:rsid w:val="00601FAC"/>
    <w:rsid w:val="006034FC"/>
    <w:rsid w:val="00603DBB"/>
    <w:rsid w:val="00604104"/>
    <w:rsid w:val="00604AC3"/>
    <w:rsid w:val="00604E3B"/>
    <w:rsid w:val="00605320"/>
    <w:rsid w:val="0060583D"/>
    <w:rsid w:val="0060769B"/>
    <w:rsid w:val="006128B5"/>
    <w:rsid w:val="00613679"/>
    <w:rsid w:val="00614105"/>
    <w:rsid w:val="00615EBF"/>
    <w:rsid w:val="006171A6"/>
    <w:rsid w:val="0061759D"/>
    <w:rsid w:val="0061785B"/>
    <w:rsid w:val="00617CF6"/>
    <w:rsid w:val="00620699"/>
    <w:rsid w:val="00623B83"/>
    <w:rsid w:val="00623C16"/>
    <w:rsid w:val="00623F47"/>
    <w:rsid w:val="00624BBF"/>
    <w:rsid w:val="00624E62"/>
    <w:rsid w:val="00625B67"/>
    <w:rsid w:val="0062710E"/>
    <w:rsid w:val="006271D3"/>
    <w:rsid w:val="006276BC"/>
    <w:rsid w:val="00630752"/>
    <w:rsid w:val="00630864"/>
    <w:rsid w:val="00630B1C"/>
    <w:rsid w:val="00631BE1"/>
    <w:rsid w:val="00631BFA"/>
    <w:rsid w:val="00633597"/>
    <w:rsid w:val="00633E94"/>
    <w:rsid w:val="00634F3B"/>
    <w:rsid w:val="00635BA0"/>
    <w:rsid w:val="00635EF0"/>
    <w:rsid w:val="00641346"/>
    <w:rsid w:val="00641B59"/>
    <w:rsid w:val="006422F0"/>
    <w:rsid w:val="006424B1"/>
    <w:rsid w:val="00642D9B"/>
    <w:rsid w:val="00643E18"/>
    <w:rsid w:val="006447E3"/>
    <w:rsid w:val="00644B7F"/>
    <w:rsid w:val="00645B14"/>
    <w:rsid w:val="006500C9"/>
    <w:rsid w:val="0065034B"/>
    <w:rsid w:val="00650B8F"/>
    <w:rsid w:val="00650E4F"/>
    <w:rsid w:val="00651CC5"/>
    <w:rsid w:val="00651EA7"/>
    <w:rsid w:val="00652769"/>
    <w:rsid w:val="00652D5E"/>
    <w:rsid w:val="00653593"/>
    <w:rsid w:val="006547E6"/>
    <w:rsid w:val="00654C38"/>
    <w:rsid w:val="00654DCC"/>
    <w:rsid w:val="00655B7A"/>
    <w:rsid w:val="00655D22"/>
    <w:rsid w:val="006563E3"/>
    <w:rsid w:val="00656443"/>
    <w:rsid w:val="006568A0"/>
    <w:rsid w:val="00656EB0"/>
    <w:rsid w:val="006574BD"/>
    <w:rsid w:val="00660249"/>
    <w:rsid w:val="00660ED7"/>
    <w:rsid w:val="006615DC"/>
    <w:rsid w:val="00661DBD"/>
    <w:rsid w:val="00662995"/>
    <w:rsid w:val="00662D17"/>
    <w:rsid w:val="00662D3A"/>
    <w:rsid w:val="0066333A"/>
    <w:rsid w:val="00663979"/>
    <w:rsid w:val="00663C99"/>
    <w:rsid w:val="00663F4A"/>
    <w:rsid w:val="00664048"/>
    <w:rsid w:val="0066418B"/>
    <w:rsid w:val="00664621"/>
    <w:rsid w:val="006652CC"/>
    <w:rsid w:val="0066587D"/>
    <w:rsid w:val="0066748D"/>
    <w:rsid w:val="00671F22"/>
    <w:rsid w:val="00672D80"/>
    <w:rsid w:val="006759CD"/>
    <w:rsid w:val="00675D88"/>
    <w:rsid w:val="006769AA"/>
    <w:rsid w:val="00676E7C"/>
    <w:rsid w:val="00677215"/>
    <w:rsid w:val="0067743A"/>
    <w:rsid w:val="00680455"/>
    <w:rsid w:val="006807FA"/>
    <w:rsid w:val="006826EB"/>
    <w:rsid w:val="00682F65"/>
    <w:rsid w:val="006864C9"/>
    <w:rsid w:val="00686862"/>
    <w:rsid w:val="00687E58"/>
    <w:rsid w:val="006911D4"/>
    <w:rsid w:val="0069170C"/>
    <w:rsid w:val="00691914"/>
    <w:rsid w:val="006919FF"/>
    <w:rsid w:val="00692A6B"/>
    <w:rsid w:val="00692F28"/>
    <w:rsid w:val="006931F4"/>
    <w:rsid w:val="0069328F"/>
    <w:rsid w:val="006932D7"/>
    <w:rsid w:val="00694C1A"/>
    <w:rsid w:val="00695316"/>
    <w:rsid w:val="00695A76"/>
    <w:rsid w:val="00695BBF"/>
    <w:rsid w:val="0069676A"/>
    <w:rsid w:val="00696B68"/>
    <w:rsid w:val="006977C1"/>
    <w:rsid w:val="0069786E"/>
    <w:rsid w:val="006A00BD"/>
    <w:rsid w:val="006A0569"/>
    <w:rsid w:val="006A1389"/>
    <w:rsid w:val="006A150D"/>
    <w:rsid w:val="006A1BFB"/>
    <w:rsid w:val="006A316C"/>
    <w:rsid w:val="006A4749"/>
    <w:rsid w:val="006A4B39"/>
    <w:rsid w:val="006A524D"/>
    <w:rsid w:val="006A67F9"/>
    <w:rsid w:val="006A7939"/>
    <w:rsid w:val="006B0EC7"/>
    <w:rsid w:val="006B1010"/>
    <w:rsid w:val="006B12AE"/>
    <w:rsid w:val="006B1C4F"/>
    <w:rsid w:val="006B24A7"/>
    <w:rsid w:val="006B3C63"/>
    <w:rsid w:val="006B40A5"/>
    <w:rsid w:val="006B696C"/>
    <w:rsid w:val="006C1393"/>
    <w:rsid w:val="006C2017"/>
    <w:rsid w:val="006C2BD9"/>
    <w:rsid w:val="006C3162"/>
    <w:rsid w:val="006C36DA"/>
    <w:rsid w:val="006C3CA9"/>
    <w:rsid w:val="006C48D9"/>
    <w:rsid w:val="006C5B3B"/>
    <w:rsid w:val="006C6579"/>
    <w:rsid w:val="006C6EA1"/>
    <w:rsid w:val="006C6FC6"/>
    <w:rsid w:val="006C707C"/>
    <w:rsid w:val="006C7296"/>
    <w:rsid w:val="006C7824"/>
    <w:rsid w:val="006C782C"/>
    <w:rsid w:val="006C79CB"/>
    <w:rsid w:val="006C7B5D"/>
    <w:rsid w:val="006C7DA1"/>
    <w:rsid w:val="006C7F65"/>
    <w:rsid w:val="006D01C1"/>
    <w:rsid w:val="006D08DC"/>
    <w:rsid w:val="006D0C07"/>
    <w:rsid w:val="006D0E69"/>
    <w:rsid w:val="006D13D5"/>
    <w:rsid w:val="006D2AFD"/>
    <w:rsid w:val="006D3901"/>
    <w:rsid w:val="006D41AD"/>
    <w:rsid w:val="006D4BD4"/>
    <w:rsid w:val="006D5FBA"/>
    <w:rsid w:val="006D62D4"/>
    <w:rsid w:val="006E0455"/>
    <w:rsid w:val="006E0A24"/>
    <w:rsid w:val="006E1246"/>
    <w:rsid w:val="006E1513"/>
    <w:rsid w:val="006E3864"/>
    <w:rsid w:val="006E43DA"/>
    <w:rsid w:val="006E5199"/>
    <w:rsid w:val="006E5D79"/>
    <w:rsid w:val="006E697B"/>
    <w:rsid w:val="006E7615"/>
    <w:rsid w:val="006F105F"/>
    <w:rsid w:val="006F19E3"/>
    <w:rsid w:val="006F1AF0"/>
    <w:rsid w:val="006F1E2D"/>
    <w:rsid w:val="006F20E1"/>
    <w:rsid w:val="006F2147"/>
    <w:rsid w:val="006F230F"/>
    <w:rsid w:val="006F2CD7"/>
    <w:rsid w:val="006F372E"/>
    <w:rsid w:val="006F398B"/>
    <w:rsid w:val="006F3A15"/>
    <w:rsid w:val="006F4515"/>
    <w:rsid w:val="006F5A70"/>
    <w:rsid w:val="006F5CBA"/>
    <w:rsid w:val="006F6F32"/>
    <w:rsid w:val="006F724F"/>
    <w:rsid w:val="006F7A42"/>
    <w:rsid w:val="007018C8"/>
    <w:rsid w:val="00701958"/>
    <w:rsid w:val="00701E23"/>
    <w:rsid w:val="0070385F"/>
    <w:rsid w:val="00704498"/>
    <w:rsid w:val="007045CB"/>
    <w:rsid w:val="00704C38"/>
    <w:rsid w:val="00704C76"/>
    <w:rsid w:val="00704DA8"/>
    <w:rsid w:val="00705ADC"/>
    <w:rsid w:val="00706447"/>
    <w:rsid w:val="00706C32"/>
    <w:rsid w:val="00711325"/>
    <w:rsid w:val="00713532"/>
    <w:rsid w:val="00714209"/>
    <w:rsid w:val="00714EAD"/>
    <w:rsid w:val="00715276"/>
    <w:rsid w:val="00716458"/>
    <w:rsid w:val="007164A7"/>
    <w:rsid w:val="007168E3"/>
    <w:rsid w:val="0071773F"/>
    <w:rsid w:val="00717C54"/>
    <w:rsid w:val="00717E9E"/>
    <w:rsid w:val="00720611"/>
    <w:rsid w:val="00721D0E"/>
    <w:rsid w:val="007222B5"/>
    <w:rsid w:val="00722813"/>
    <w:rsid w:val="00722E94"/>
    <w:rsid w:val="007235DB"/>
    <w:rsid w:val="00723D27"/>
    <w:rsid w:val="00725C66"/>
    <w:rsid w:val="00726213"/>
    <w:rsid w:val="00726A09"/>
    <w:rsid w:val="00727C6A"/>
    <w:rsid w:val="00731436"/>
    <w:rsid w:val="007352B7"/>
    <w:rsid w:val="00736413"/>
    <w:rsid w:val="00736A8E"/>
    <w:rsid w:val="00737B39"/>
    <w:rsid w:val="00737E29"/>
    <w:rsid w:val="007400E1"/>
    <w:rsid w:val="00740161"/>
    <w:rsid w:val="007407B8"/>
    <w:rsid w:val="00740BAD"/>
    <w:rsid w:val="00742175"/>
    <w:rsid w:val="00742AC8"/>
    <w:rsid w:val="00743531"/>
    <w:rsid w:val="00743553"/>
    <w:rsid w:val="00743921"/>
    <w:rsid w:val="007445E6"/>
    <w:rsid w:val="00745523"/>
    <w:rsid w:val="007456D7"/>
    <w:rsid w:val="00745CDD"/>
    <w:rsid w:val="00746767"/>
    <w:rsid w:val="00746ABB"/>
    <w:rsid w:val="00746FB8"/>
    <w:rsid w:val="00747ED8"/>
    <w:rsid w:val="00750293"/>
    <w:rsid w:val="007517C4"/>
    <w:rsid w:val="00751824"/>
    <w:rsid w:val="00751E7C"/>
    <w:rsid w:val="00752757"/>
    <w:rsid w:val="00752BB3"/>
    <w:rsid w:val="00753366"/>
    <w:rsid w:val="00754434"/>
    <w:rsid w:val="00754FA0"/>
    <w:rsid w:val="007560CA"/>
    <w:rsid w:val="00756100"/>
    <w:rsid w:val="00756351"/>
    <w:rsid w:val="00756A6C"/>
    <w:rsid w:val="007575F7"/>
    <w:rsid w:val="007602AC"/>
    <w:rsid w:val="00762CD3"/>
    <w:rsid w:val="007630A3"/>
    <w:rsid w:val="007631AE"/>
    <w:rsid w:val="00763233"/>
    <w:rsid w:val="00763932"/>
    <w:rsid w:val="0076422A"/>
    <w:rsid w:val="00765A72"/>
    <w:rsid w:val="00765CE9"/>
    <w:rsid w:val="00765D1B"/>
    <w:rsid w:val="00766408"/>
    <w:rsid w:val="00766979"/>
    <w:rsid w:val="0076729F"/>
    <w:rsid w:val="00767C8A"/>
    <w:rsid w:val="00770036"/>
    <w:rsid w:val="0077122A"/>
    <w:rsid w:val="00773E9B"/>
    <w:rsid w:val="00774057"/>
    <w:rsid w:val="00774597"/>
    <w:rsid w:val="007746F3"/>
    <w:rsid w:val="00774BCB"/>
    <w:rsid w:val="00774EC4"/>
    <w:rsid w:val="00776172"/>
    <w:rsid w:val="00776A1C"/>
    <w:rsid w:val="007800D3"/>
    <w:rsid w:val="0078123D"/>
    <w:rsid w:val="0078126C"/>
    <w:rsid w:val="007819E4"/>
    <w:rsid w:val="00781BD7"/>
    <w:rsid w:val="00782F7A"/>
    <w:rsid w:val="00784212"/>
    <w:rsid w:val="00784BB7"/>
    <w:rsid w:val="00784CFF"/>
    <w:rsid w:val="00784E57"/>
    <w:rsid w:val="007850C5"/>
    <w:rsid w:val="0078691E"/>
    <w:rsid w:val="007877C2"/>
    <w:rsid w:val="00787BF4"/>
    <w:rsid w:val="00790A94"/>
    <w:rsid w:val="00790FE5"/>
    <w:rsid w:val="00791790"/>
    <w:rsid w:val="00791987"/>
    <w:rsid w:val="00791B0D"/>
    <w:rsid w:val="00792EAD"/>
    <w:rsid w:val="00792EC1"/>
    <w:rsid w:val="007932D0"/>
    <w:rsid w:val="00793E6C"/>
    <w:rsid w:val="00794472"/>
    <w:rsid w:val="00794CFF"/>
    <w:rsid w:val="00795D55"/>
    <w:rsid w:val="0079737D"/>
    <w:rsid w:val="007976C0"/>
    <w:rsid w:val="00797B22"/>
    <w:rsid w:val="00797FC9"/>
    <w:rsid w:val="007A18BC"/>
    <w:rsid w:val="007A234F"/>
    <w:rsid w:val="007A3274"/>
    <w:rsid w:val="007A3773"/>
    <w:rsid w:val="007A54CB"/>
    <w:rsid w:val="007A5F85"/>
    <w:rsid w:val="007A6CF6"/>
    <w:rsid w:val="007B00DF"/>
    <w:rsid w:val="007B03B8"/>
    <w:rsid w:val="007B06A4"/>
    <w:rsid w:val="007B0E79"/>
    <w:rsid w:val="007B1685"/>
    <w:rsid w:val="007B24A3"/>
    <w:rsid w:val="007B2FDA"/>
    <w:rsid w:val="007B35F2"/>
    <w:rsid w:val="007B5AEF"/>
    <w:rsid w:val="007B5C01"/>
    <w:rsid w:val="007B6210"/>
    <w:rsid w:val="007B7C42"/>
    <w:rsid w:val="007B7E9D"/>
    <w:rsid w:val="007C0D56"/>
    <w:rsid w:val="007C2BD9"/>
    <w:rsid w:val="007C4FDD"/>
    <w:rsid w:val="007C5589"/>
    <w:rsid w:val="007C57DF"/>
    <w:rsid w:val="007C66D9"/>
    <w:rsid w:val="007C7215"/>
    <w:rsid w:val="007C744C"/>
    <w:rsid w:val="007D00FB"/>
    <w:rsid w:val="007D0B9F"/>
    <w:rsid w:val="007D14F5"/>
    <w:rsid w:val="007D1548"/>
    <w:rsid w:val="007D169D"/>
    <w:rsid w:val="007D1845"/>
    <w:rsid w:val="007D1ADC"/>
    <w:rsid w:val="007D22B5"/>
    <w:rsid w:val="007D25DC"/>
    <w:rsid w:val="007D2E42"/>
    <w:rsid w:val="007D39C7"/>
    <w:rsid w:val="007D3BCE"/>
    <w:rsid w:val="007D4308"/>
    <w:rsid w:val="007D446B"/>
    <w:rsid w:val="007D4794"/>
    <w:rsid w:val="007D4E3F"/>
    <w:rsid w:val="007D4EDB"/>
    <w:rsid w:val="007D76EB"/>
    <w:rsid w:val="007D77FD"/>
    <w:rsid w:val="007D7DB8"/>
    <w:rsid w:val="007E042C"/>
    <w:rsid w:val="007E08AD"/>
    <w:rsid w:val="007E0F0D"/>
    <w:rsid w:val="007E11FC"/>
    <w:rsid w:val="007E279D"/>
    <w:rsid w:val="007E2AC7"/>
    <w:rsid w:val="007E3777"/>
    <w:rsid w:val="007E60F1"/>
    <w:rsid w:val="007E6C39"/>
    <w:rsid w:val="007F00BE"/>
    <w:rsid w:val="007F13AC"/>
    <w:rsid w:val="007F1591"/>
    <w:rsid w:val="007F1FEB"/>
    <w:rsid w:val="007F33E6"/>
    <w:rsid w:val="007F3EA5"/>
    <w:rsid w:val="007F430A"/>
    <w:rsid w:val="007F4646"/>
    <w:rsid w:val="007F4692"/>
    <w:rsid w:val="007F536D"/>
    <w:rsid w:val="007F5E31"/>
    <w:rsid w:val="007F651C"/>
    <w:rsid w:val="007F682D"/>
    <w:rsid w:val="007F68B1"/>
    <w:rsid w:val="007F7579"/>
    <w:rsid w:val="00800485"/>
    <w:rsid w:val="00800D43"/>
    <w:rsid w:val="008011CA"/>
    <w:rsid w:val="008012AD"/>
    <w:rsid w:val="00803B04"/>
    <w:rsid w:val="00803CFE"/>
    <w:rsid w:val="0080443C"/>
    <w:rsid w:val="00806CCF"/>
    <w:rsid w:val="00807283"/>
    <w:rsid w:val="008072B3"/>
    <w:rsid w:val="00810BC7"/>
    <w:rsid w:val="00810C3D"/>
    <w:rsid w:val="0081116A"/>
    <w:rsid w:val="008111FF"/>
    <w:rsid w:val="00811628"/>
    <w:rsid w:val="00811969"/>
    <w:rsid w:val="00812544"/>
    <w:rsid w:val="008140CA"/>
    <w:rsid w:val="008167FD"/>
    <w:rsid w:val="00817005"/>
    <w:rsid w:val="008172BD"/>
    <w:rsid w:val="0081760B"/>
    <w:rsid w:val="00817C0E"/>
    <w:rsid w:val="0082118E"/>
    <w:rsid w:val="00821750"/>
    <w:rsid w:val="008217DA"/>
    <w:rsid w:val="00821F33"/>
    <w:rsid w:val="008220AB"/>
    <w:rsid w:val="00822355"/>
    <w:rsid w:val="00822A6A"/>
    <w:rsid w:val="00822C98"/>
    <w:rsid w:val="008242D6"/>
    <w:rsid w:val="008268D1"/>
    <w:rsid w:val="00826965"/>
    <w:rsid w:val="0082799D"/>
    <w:rsid w:val="00827BE5"/>
    <w:rsid w:val="00827D59"/>
    <w:rsid w:val="00830406"/>
    <w:rsid w:val="008327A9"/>
    <w:rsid w:val="008339FD"/>
    <w:rsid w:val="00833D63"/>
    <w:rsid w:val="008360C1"/>
    <w:rsid w:val="008363F6"/>
    <w:rsid w:val="008369E7"/>
    <w:rsid w:val="00836DD1"/>
    <w:rsid w:val="0083720D"/>
    <w:rsid w:val="0083722C"/>
    <w:rsid w:val="00837644"/>
    <w:rsid w:val="00837CF4"/>
    <w:rsid w:val="00840921"/>
    <w:rsid w:val="008414E5"/>
    <w:rsid w:val="008418BD"/>
    <w:rsid w:val="00841AC0"/>
    <w:rsid w:val="00841D6C"/>
    <w:rsid w:val="00841D93"/>
    <w:rsid w:val="00843B41"/>
    <w:rsid w:val="00843D43"/>
    <w:rsid w:val="00844C15"/>
    <w:rsid w:val="00844ED4"/>
    <w:rsid w:val="008455A4"/>
    <w:rsid w:val="00846993"/>
    <w:rsid w:val="00847700"/>
    <w:rsid w:val="00847B34"/>
    <w:rsid w:val="00850A5B"/>
    <w:rsid w:val="00850EB5"/>
    <w:rsid w:val="00850F34"/>
    <w:rsid w:val="0085110C"/>
    <w:rsid w:val="00851A1C"/>
    <w:rsid w:val="00851B51"/>
    <w:rsid w:val="00851DBC"/>
    <w:rsid w:val="00852401"/>
    <w:rsid w:val="00853540"/>
    <w:rsid w:val="0085650D"/>
    <w:rsid w:val="00857BC3"/>
    <w:rsid w:val="00860D72"/>
    <w:rsid w:val="008615DB"/>
    <w:rsid w:val="00861D87"/>
    <w:rsid w:val="00861E77"/>
    <w:rsid w:val="008624EC"/>
    <w:rsid w:val="008639F0"/>
    <w:rsid w:val="008641CB"/>
    <w:rsid w:val="00864359"/>
    <w:rsid w:val="00864C47"/>
    <w:rsid w:val="00866246"/>
    <w:rsid w:val="008663DE"/>
    <w:rsid w:val="00866D76"/>
    <w:rsid w:val="00867637"/>
    <w:rsid w:val="008677DA"/>
    <w:rsid w:val="00867AAE"/>
    <w:rsid w:val="00867B7A"/>
    <w:rsid w:val="008713B5"/>
    <w:rsid w:val="00873B2C"/>
    <w:rsid w:val="00874F6F"/>
    <w:rsid w:val="008758F9"/>
    <w:rsid w:val="008759E5"/>
    <w:rsid w:val="00876382"/>
    <w:rsid w:val="008778C2"/>
    <w:rsid w:val="00880412"/>
    <w:rsid w:val="00881027"/>
    <w:rsid w:val="008811CB"/>
    <w:rsid w:val="00881637"/>
    <w:rsid w:val="00881C03"/>
    <w:rsid w:val="00882C1E"/>
    <w:rsid w:val="00883AA5"/>
    <w:rsid w:val="00883B33"/>
    <w:rsid w:val="00883F7A"/>
    <w:rsid w:val="008847BC"/>
    <w:rsid w:val="0088482F"/>
    <w:rsid w:val="00884A4A"/>
    <w:rsid w:val="00885CEE"/>
    <w:rsid w:val="00885ED6"/>
    <w:rsid w:val="00886386"/>
    <w:rsid w:val="00890AC3"/>
    <w:rsid w:val="008915B5"/>
    <w:rsid w:val="008915C3"/>
    <w:rsid w:val="00891B8A"/>
    <w:rsid w:val="00891FD1"/>
    <w:rsid w:val="008920E4"/>
    <w:rsid w:val="00892C86"/>
    <w:rsid w:val="008933F8"/>
    <w:rsid w:val="00893DDF"/>
    <w:rsid w:val="008956C3"/>
    <w:rsid w:val="00895D5E"/>
    <w:rsid w:val="008A0907"/>
    <w:rsid w:val="008A0E28"/>
    <w:rsid w:val="008A260D"/>
    <w:rsid w:val="008A2D18"/>
    <w:rsid w:val="008A2E84"/>
    <w:rsid w:val="008A32A4"/>
    <w:rsid w:val="008A32F7"/>
    <w:rsid w:val="008A385B"/>
    <w:rsid w:val="008A5084"/>
    <w:rsid w:val="008A54C2"/>
    <w:rsid w:val="008A7458"/>
    <w:rsid w:val="008B0BF8"/>
    <w:rsid w:val="008B17AA"/>
    <w:rsid w:val="008B21B4"/>
    <w:rsid w:val="008B245B"/>
    <w:rsid w:val="008B2A5F"/>
    <w:rsid w:val="008B2DF0"/>
    <w:rsid w:val="008B356C"/>
    <w:rsid w:val="008B4CE2"/>
    <w:rsid w:val="008B7493"/>
    <w:rsid w:val="008C0FB8"/>
    <w:rsid w:val="008C14AD"/>
    <w:rsid w:val="008C2541"/>
    <w:rsid w:val="008C2855"/>
    <w:rsid w:val="008C2D80"/>
    <w:rsid w:val="008C4725"/>
    <w:rsid w:val="008C4AE2"/>
    <w:rsid w:val="008C4FFC"/>
    <w:rsid w:val="008C5E0A"/>
    <w:rsid w:val="008C63A7"/>
    <w:rsid w:val="008D07DC"/>
    <w:rsid w:val="008D1496"/>
    <w:rsid w:val="008D29FD"/>
    <w:rsid w:val="008D3592"/>
    <w:rsid w:val="008D3648"/>
    <w:rsid w:val="008D4C8A"/>
    <w:rsid w:val="008D4EC2"/>
    <w:rsid w:val="008D5026"/>
    <w:rsid w:val="008D608F"/>
    <w:rsid w:val="008D6109"/>
    <w:rsid w:val="008D71F7"/>
    <w:rsid w:val="008E0448"/>
    <w:rsid w:val="008E33C3"/>
    <w:rsid w:val="008E3CD8"/>
    <w:rsid w:val="008E4066"/>
    <w:rsid w:val="008E432F"/>
    <w:rsid w:val="008E50F0"/>
    <w:rsid w:val="008E585A"/>
    <w:rsid w:val="008E591E"/>
    <w:rsid w:val="008E5C30"/>
    <w:rsid w:val="008F08B2"/>
    <w:rsid w:val="008F0EE1"/>
    <w:rsid w:val="008F2136"/>
    <w:rsid w:val="008F2144"/>
    <w:rsid w:val="008F2217"/>
    <w:rsid w:val="008F2816"/>
    <w:rsid w:val="008F2C29"/>
    <w:rsid w:val="008F4321"/>
    <w:rsid w:val="008F4623"/>
    <w:rsid w:val="008F5A6F"/>
    <w:rsid w:val="008F60A3"/>
    <w:rsid w:val="008F7134"/>
    <w:rsid w:val="008F7E4C"/>
    <w:rsid w:val="009006F2"/>
    <w:rsid w:val="0090232A"/>
    <w:rsid w:val="009025D6"/>
    <w:rsid w:val="00902D26"/>
    <w:rsid w:val="009032A0"/>
    <w:rsid w:val="009037BC"/>
    <w:rsid w:val="00904811"/>
    <w:rsid w:val="00904940"/>
    <w:rsid w:val="00904BDE"/>
    <w:rsid w:val="00905648"/>
    <w:rsid w:val="009064E3"/>
    <w:rsid w:val="009069F3"/>
    <w:rsid w:val="00906E69"/>
    <w:rsid w:val="009074B2"/>
    <w:rsid w:val="00911327"/>
    <w:rsid w:val="0091182D"/>
    <w:rsid w:val="00911876"/>
    <w:rsid w:val="00911CAA"/>
    <w:rsid w:val="009120E2"/>
    <w:rsid w:val="00914E5D"/>
    <w:rsid w:val="0091515C"/>
    <w:rsid w:val="00920190"/>
    <w:rsid w:val="00920245"/>
    <w:rsid w:val="00920477"/>
    <w:rsid w:val="009204AD"/>
    <w:rsid w:val="00920FD7"/>
    <w:rsid w:val="00922892"/>
    <w:rsid w:val="00922F4B"/>
    <w:rsid w:val="00923A47"/>
    <w:rsid w:val="0092430C"/>
    <w:rsid w:val="00924325"/>
    <w:rsid w:val="0092569E"/>
    <w:rsid w:val="00925918"/>
    <w:rsid w:val="00925C6E"/>
    <w:rsid w:val="009260A5"/>
    <w:rsid w:val="0092685E"/>
    <w:rsid w:val="009270CF"/>
    <w:rsid w:val="009301AC"/>
    <w:rsid w:val="00932AB9"/>
    <w:rsid w:val="00932BAD"/>
    <w:rsid w:val="00932DF2"/>
    <w:rsid w:val="00934C06"/>
    <w:rsid w:val="00936DB2"/>
    <w:rsid w:val="009372EF"/>
    <w:rsid w:val="0093730F"/>
    <w:rsid w:val="009377ED"/>
    <w:rsid w:val="00937B7F"/>
    <w:rsid w:val="00937C27"/>
    <w:rsid w:val="00937DC3"/>
    <w:rsid w:val="00940008"/>
    <w:rsid w:val="0094094C"/>
    <w:rsid w:val="00941630"/>
    <w:rsid w:val="009419C2"/>
    <w:rsid w:val="00941AC9"/>
    <w:rsid w:val="00941CE2"/>
    <w:rsid w:val="009427AE"/>
    <w:rsid w:val="00943310"/>
    <w:rsid w:val="00943FD8"/>
    <w:rsid w:val="0094508F"/>
    <w:rsid w:val="00946D96"/>
    <w:rsid w:val="00946E54"/>
    <w:rsid w:val="009479D5"/>
    <w:rsid w:val="00947ACD"/>
    <w:rsid w:val="00947BB6"/>
    <w:rsid w:val="009505E4"/>
    <w:rsid w:val="00951746"/>
    <w:rsid w:val="00952A3A"/>
    <w:rsid w:val="00952B5D"/>
    <w:rsid w:val="00954522"/>
    <w:rsid w:val="009547E1"/>
    <w:rsid w:val="0095728A"/>
    <w:rsid w:val="00957306"/>
    <w:rsid w:val="0096070F"/>
    <w:rsid w:val="009609E1"/>
    <w:rsid w:val="009610E4"/>
    <w:rsid w:val="0096114A"/>
    <w:rsid w:val="00961D38"/>
    <w:rsid w:val="00961F35"/>
    <w:rsid w:val="0096218B"/>
    <w:rsid w:val="0096277F"/>
    <w:rsid w:val="009628D2"/>
    <w:rsid w:val="009628D7"/>
    <w:rsid w:val="009639C9"/>
    <w:rsid w:val="00963A18"/>
    <w:rsid w:val="00964362"/>
    <w:rsid w:val="00964667"/>
    <w:rsid w:val="009655DE"/>
    <w:rsid w:val="00965658"/>
    <w:rsid w:val="00965E85"/>
    <w:rsid w:val="0096624C"/>
    <w:rsid w:val="009663B0"/>
    <w:rsid w:val="00966911"/>
    <w:rsid w:val="00967DE1"/>
    <w:rsid w:val="009717B4"/>
    <w:rsid w:val="009717C7"/>
    <w:rsid w:val="0097185D"/>
    <w:rsid w:val="00971A7A"/>
    <w:rsid w:val="00971E3E"/>
    <w:rsid w:val="0097209B"/>
    <w:rsid w:val="009720EA"/>
    <w:rsid w:val="0097276F"/>
    <w:rsid w:val="0097392A"/>
    <w:rsid w:val="00974402"/>
    <w:rsid w:val="009752F9"/>
    <w:rsid w:val="009770A1"/>
    <w:rsid w:val="0097764A"/>
    <w:rsid w:val="00977AA5"/>
    <w:rsid w:val="00980621"/>
    <w:rsid w:val="00981BD4"/>
    <w:rsid w:val="009823E9"/>
    <w:rsid w:val="00983086"/>
    <w:rsid w:val="0098340A"/>
    <w:rsid w:val="00983763"/>
    <w:rsid w:val="00984FAB"/>
    <w:rsid w:val="0098503D"/>
    <w:rsid w:val="00985618"/>
    <w:rsid w:val="00986328"/>
    <w:rsid w:val="009869C6"/>
    <w:rsid w:val="009872D3"/>
    <w:rsid w:val="009874D5"/>
    <w:rsid w:val="00991813"/>
    <w:rsid w:val="0099183F"/>
    <w:rsid w:val="00992008"/>
    <w:rsid w:val="00993C68"/>
    <w:rsid w:val="00993ECB"/>
    <w:rsid w:val="00993FD3"/>
    <w:rsid w:val="00994647"/>
    <w:rsid w:val="009954AD"/>
    <w:rsid w:val="00995886"/>
    <w:rsid w:val="00997550"/>
    <w:rsid w:val="00997D56"/>
    <w:rsid w:val="009A0C18"/>
    <w:rsid w:val="009A17F9"/>
    <w:rsid w:val="009A1F26"/>
    <w:rsid w:val="009A2E9B"/>
    <w:rsid w:val="009A4C5E"/>
    <w:rsid w:val="009A58A8"/>
    <w:rsid w:val="009A69C7"/>
    <w:rsid w:val="009A6CD3"/>
    <w:rsid w:val="009A72FC"/>
    <w:rsid w:val="009A751C"/>
    <w:rsid w:val="009A7A35"/>
    <w:rsid w:val="009B1B49"/>
    <w:rsid w:val="009B23F6"/>
    <w:rsid w:val="009B2893"/>
    <w:rsid w:val="009B2D44"/>
    <w:rsid w:val="009B3ED6"/>
    <w:rsid w:val="009B4438"/>
    <w:rsid w:val="009B790E"/>
    <w:rsid w:val="009C0D68"/>
    <w:rsid w:val="009C1419"/>
    <w:rsid w:val="009C26F2"/>
    <w:rsid w:val="009C28CE"/>
    <w:rsid w:val="009C2D7C"/>
    <w:rsid w:val="009C32ED"/>
    <w:rsid w:val="009C356B"/>
    <w:rsid w:val="009C3856"/>
    <w:rsid w:val="009C4955"/>
    <w:rsid w:val="009C6D85"/>
    <w:rsid w:val="009C7354"/>
    <w:rsid w:val="009D0D99"/>
    <w:rsid w:val="009D2A0B"/>
    <w:rsid w:val="009D2D0F"/>
    <w:rsid w:val="009D2ED9"/>
    <w:rsid w:val="009D3CC4"/>
    <w:rsid w:val="009D3EC2"/>
    <w:rsid w:val="009D3FEF"/>
    <w:rsid w:val="009D4AF6"/>
    <w:rsid w:val="009D4E77"/>
    <w:rsid w:val="009D7AAC"/>
    <w:rsid w:val="009D7EC3"/>
    <w:rsid w:val="009D7FFB"/>
    <w:rsid w:val="009E0C86"/>
    <w:rsid w:val="009E29EA"/>
    <w:rsid w:val="009E2A12"/>
    <w:rsid w:val="009E2BB7"/>
    <w:rsid w:val="009E3661"/>
    <w:rsid w:val="009E37C5"/>
    <w:rsid w:val="009E418F"/>
    <w:rsid w:val="009E4907"/>
    <w:rsid w:val="009E63FA"/>
    <w:rsid w:val="009E66FC"/>
    <w:rsid w:val="009E6C24"/>
    <w:rsid w:val="009E702F"/>
    <w:rsid w:val="009E73BD"/>
    <w:rsid w:val="009E7919"/>
    <w:rsid w:val="009E7C13"/>
    <w:rsid w:val="009F0663"/>
    <w:rsid w:val="009F213D"/>
    <w:rsid w:val="009F2C32"/>
    <w:rsid w:val="009F3EED"/>
    <w:rsid w:val="009F6FFC"/>
    <w:rsid w:val="00A00DE6"/>
    <w:rsid w:val="00A00E1E"/>
    <w:rsid w:val="00A01C30"/>
    <w:rsid w:val="00A01D88"/>
    <w:rsid w:val="00A01F1C"/>
    <w:rsid w:val="00A03B9E"/>
    <w:rsid w:val="00A05196"/>
    <w:rsid w:val="00A05A71"/>
    <w:rsid w:val="00A05D0A"/>
    <w:rsid w:val="00A06125"/>
    <w:rsid w:val="00A06998"/>
    <w:rsid w:val="00A102C1"/>
    <w:rsid w:val="00A1072A"/>
    <w:rsid w:val="00A1121F"/>
    <w:rsid w:val="00A11690"/>
    <w:rsid w:val="00A11866"/>
    <w:rsid w:val="00A132E1"/>
    <w:rsid w:val="00A13AC5"/>
    <w:rsid w:val="00A148ED"/>
    <w:rsid w:val="00A15D42"/>
    <w:rsid w:val="00A16AD7"/>
    <w:rsid w:val="00A1770E"/>
    <w:rsid w:val="00A1777E"/>
    <w:rsid w:val="00A20A65"/>
    <w:rsid w:val="00A20DE1"/>
    <w:rsid w:val="00A21F8E"/>
    <w:rsid w:val="00A228D7"/>
    <w:rsid w:val="00A230F0"/>
    <w:rsid w:val="00A2447E"/>
    <w:rsid w:val="00A246F5"/>
    <w:rsid w:val="00A2544A"/>
    <w:rsid w:val="00A26275"/>
    <w:rsid w:val="00A26C11"/>
    <w:rsid w:val="00A26DA4"/>
    <w:rsid w:val="00A27082"/>
    <w:rsid w:val="00A27182"/>
    <w:rsid w:val="00A30575"/>
    <w:rsid w:val="00A324E2"/>
    <w:rsid w:val="00A3284C"/>
    <w:rsid w:val="00A33F35"/>
    <w:rsid w:val="00A340EF"/>
    <w:rsid w:val="00A3446D"/>
    <w:rsid w:val="00A34EF3"/>
    <w:rsid w:val="00A3535A"/>
    <w:rsid w:val="00A36088"/>
    <w:rsid w:val="00A36B8A"/>
    <w:rsid w:val="00A45E89"/>
    <w:rsid w:val="00A46DCD"/>
    <w:rsid w:val="00A4765E"/>
    <w:rsid w:val="00A477AA"/>
    <w:rsid w:val="00A478B7"/>
    <w:rsid w:val="00A51738"/>
    <w:rsid w:val="00A51F24"/>
    <w:rsid w:val="00A52590"/>
    <w:rsid w:val="00A544CC"/>
    <w:rsid w:val="00A56192"/>
    <w:rsid w:val="00A5664B"/>
    <w:rsid w:val="00A567DA"/>
    <w:rsid w:val="00A569C9"/>
    <w:rsid w:val="00A57D5F"/>
    <w:rsid w:val="00A60552"/>
    <w:rsid w:val="00A60B53"/>
    <w:rsid w:val="00A60E2F"/>
    <w:rsid w:val="00A60EB1"/>
    <w:rsid w:val="00A612EC"/>
    <w:rsid w:val="00A62EFA"/>
    <w:rsid w:val="00A647F0"/>
    <w:rsid w:val="00A651CD"/>
    <w:rsid w:val="00A65F75"/>
    <w:rsid w:val="00A66099"/>
    <w:rsid w:val="00A67004"/>
    <w:rsid w:val="00A70875"/>
    <w:rsid w:val="00A70FAD"/>
    <w:rsid w:val="00A71640"/>
    <w:rsid w:val="00A725B0"/>
    <w:rsid w:val="00A7266A"/>
    <w:rsid w:val="00A750C6"/>
    <w:rsid w:val="00A76131"/>
    <w:rsid w:val="00A765C7"/>
    <w:rsid w:val="00A765F1"/>
    <w:rsid w:val="00A76637"/>
    <w:rsid w:val="00A76640"/>
    <w:rsid w:val="00A76764"/>
    <w:rsid w:val="00A82C04"/>
    <w:rsid w:val="00A83B6B"/>
    <w:rsid w:val="00A847E2"/>
    <w:rsid w:val="00A850E5"/>
    <w:rsid w:val="00A8548A"/>
    <w:rsid w:val="00A86CD9"/>
    <w:rsid w:val="00A87196"/>
    <w:rsid w:val="00A87D0C"/>
    <w:rsid w:val="00A9026B"/>
    <w:rsid w:val="00A90DCD"/>
    <w:rsid w:val="00A9323E"/>
    <w:rsid w:val="00A933D0"/>
    <w:rsid w:val="00A93CF2"/>
    <w:rsid w:val="00A94FD6"/>
    <w:rsid w:val="00A968A5"/>
    <w:rsid w:val="00A96974"/>
    <w:rsid w:val="00A971DD"/>
    <w:rsid w:val="00A97BCE"/>
    <w:rsid w:val="00AA17A0"/>
    <w:rsid w:val="00AA286E"/>
    <w:rsid w:val="00AA2951"/>
    <w:rsid w:val="00AA3901"/>
    <w:rsid w:val="00AA4585"/>
    <w:rsid w:val="00AA4B38"/>
    <w:rsid w:val="00AB159D"/>
    <w:rsid w:val="00AB1AE5"/>
    <w:rsid w:val="00AB1CEC"/>
    <w:rsid w:val="00AB1D80"/>
    <w:rsid w:val="00AB1E58"/>
    <w:rsid w:val="00AB1F25"/>
    <w:rsid w:val="00AB31A0"/>
    <w:rsid w:val="00AB3425"/>
    <w:rsid w:val="00AB5465"/>
    <w:rsid w:val="00AB5692"/>
    <w:rsid w:val="00AB5D9D"/>
    <w:rsid w:val="00AB75BB"/>
    <w:rsid w:val="00AB771E"/>
    <w:rsid w:val="00AB7FDA"/>
    <w:rsid w:val="00AC052C"/>
    <w:rsid w:val="00AC2CC9"/>
    <w:rsid w:val="00AC33BC"/>
    <w:rsid w:val="00AC3BD0"/>
    <w:rsid w:val="00AC421A"/>
    <w:rsid w:val="00AC5BA1"/>
    <w:rsid w:val="00AC5CB0"/>
    <w:rsid w:val="00AC7B45"/>
    <w:rsid w:val="00AD0AC8"/>
    <w:rsid w:val="00AD1208"/>
    <w:rsid w:val="00AD1CA9"/>
    <w:rsid w:val="00AD22AC"/>
    <w:rsid w:val="00AD2D69"/>
    <w:rsid w:val="00AD35FD"/>
    <w:rsid w:val="00AD5081"/>
    <w:rsid w:val="00AD57AC"/>
    <w:rsid w:val="00AD6656"/>
    <w:rsid w:val="00AD6CF3"/>
    <w:rsid w:val="00AE064B"/>
    <w:rsid w:val="00AE0EB9"/>
    <w:rsid w:val="00AE15A9"/>
    <w:rsid w:val="00AE1ABB"/>
    <w:rsid w:val="00AE2F2B"/>
    <w:rsid w:val="00AE3028"/>
    <w:rsid w:val="00AE4BDA"/>
    <w:rsid w:val="00AE5F3A"/>
    <w:rsid w:val="00AF0F8F"/>
    <w:rsid w:val="00AF1BCD"/>
    <w:rsid w:val="00AF2C8D"/>
    <w:rsid w:val="00AF2F32"/>
    <w:rsid w:val="00AF30B3"/>
    <w:rsid w:val="00AF31CA"/>
    <w:rsid w:val="00AF616D"/>
    <w:rsid w:val="00AF625E"/>
    <w:rsid w:val="00AF6A7D"/>
    <w:rsid w:val="00AF797C"/>
    <w:rsid w:val="00B001A0"/>
    <w:rsid w:val="00B00322"/>
    <w:rsid w:val="00B00D94"/>
    <w:rsid w:val="00B01041"/>
    <w:rsid w:val="00B0109D"/>
    <w:rsid w:val="00B01190"/>
    <w:rsid w:val="00B015B9"/>
    <w:rsid w:val="00B02225"/>
    <w:rsid w:val="00B02FEE"/>
    <w:rsid w:val="00B037A1"/>
    <w:rsid w:val="00B0457D"/>
    <w:rsid w:val="00B04793"/>
    <w:rsid w:val="00B04A15"/>
    <w:rsid w:val="00B06E82"/>
    <w:rsid w:val="00B11914"/>
    <w:rsid w:val="00B133EA"/>
    <w:rsid w:val="00B13ED9"/>
    <w:rsid w:val="00B13FE0"/>
    <w:rsid w:val="00B146A1"/>
    <w:rsid w:val="00B14C1F"/>
    <w:rsid w:val="00B15130"/>
    <w:rsid w:val="00B1530E"/>
    <w:rsid w:val="00B15389"/>
    <w:rsid w:val="00B17A3C"/>
    <w:rsid w:val="00B20293"/>
    <w:rsid w:val="00B21C3C"/>
    <w:rsid w:val="00B21EC7"/>
    <w:rsid w:val="00B2225C"/>
    <w:rsid w:val="00B23A37"/>
    <w:rsid w:val="00B240EE"/>
    <w:rsid w:val="00B25434"/>
    <w:rsid w:val="00B25D4F"/>
    <w:rsid w:val="00B2610C"/>
    <w:rsid w:val="00B27B86"/>
    <w:rsid w:val="00B27EDA"/>
    <w:rsid w:val="00B27F13"/>
    <w:rsid w:val="00B316BE"/>
    <w:rsid w:val="00B31F6B"/>
    <w:rsid w:val="00B403D2"/>
    <w:rsid w:val="00B417F3"/>
    <w:rsid w:val="00B43479"/>
    <w:rsid w:val="00B434B9"/>
    <w:rsid w:val="00B43987"/>
    <w:rsid w:val="00B45CA4"/>
    <w:rsid w:val="00B46584"/>
    <w:rsid w:val="00B466C7"/>
    <w:rsid w:val="00B467B0"/>
    <w:rsid w:val="00B507FA"/>
    <w:rsid w:val="00B50814"/>
    <w:rsid w:val="00B51226"/>
    <w:rsid w:val="00B52E3B"/>
    <w:rsid w:val="00B5334D"/>
    <w:rsid w:val="00B53551"/>
    <w:rsid w:val="00B536ED"/>
    <w:rsid w:val="00B53A57"/>
    <w:rsid w:val="00B53D80"/>
    <w:rsid w:val="00B54002"/>
    <w:rsid w:val="00B5451D"/>
    <w:rsid w:val="00B54F3B"/>
    <w:rsid w:val="00B55217"/>
    <w:rsid w:val="00B55319"/>
    <w:rsid w:val="00B56D13"/>
    <w:rsid w:val="00B57A57"/>
    <w:rsid w:val="00B57D0E"/>
    <w:rsid w:val="00B60A58"/>
    <w:rsid w:val="00B6101C"/>
    <w:rsid w:val="00B61109"/>
    <w:rsid w:val="00B617B0"/>
    <w:rsid w:val="00B63186"/>
    <w:rsid w:val="00B63793"/>
    <w:rsid w:val="00B63FF7"/>
    <w:rsid w:val="00B64A9C"/>
    <w:rsid w:val="00B6592D"/>
    <w:rsid w:val="00B65A7C"/>
    <w:rsid w:val="00B65A94"/>
    <w:rsid w:val="00B67EAC"/>
    <w:rsid w:val="00B701D9"/>
    <w:rsid w:val="00B70489"/>
    <w:rsid w:val="00B708C3"/>
    <w:rsid w:val="00B71D7E"/>
    <w:rsid w:val="00B7329A"/>
    <w:rsid w:val="00B7459D"/>
    <w:rsid w:val="00B75874"/>
    <w:rsid w:val="00B75F0E"/>
    <w:rsid w:val="00B75F54"/>
    <w:rsid w:val="00B76471"/>
    <w:rsid w:val="00B76D24"/>
    <w:rsid w:val="00B779B8"/>
    <w:rsid w:val="00B80463"/>
    <w:rsid w:val="00B81592"/>
    <w:rsid w:val="00B8248C"/>
    <w:rsid w:val="00B82CF7"/>
    <w:rsid w:val="00B83D3C"/>
    <w:rsid w:val="00B83DAB"/>
    <w:rsid w:val="00B83DEA"/>
    <w:rsid w:val="00B83F7F"/>
    <w:rsid w:val="00B86101"/>
    <w:rsid w:val="00B8625D"/>
    <w:rsid w:val="00B865B4"/>
    <w:rsid w:val="00B8694C"/>
    <w:rsid w:val="00B86982"/>
    <w:rsid w:val="00B87249"/>
    <w:rsid w:val="00B8797A"/>
    <w:rsid w:val="00B90152"/>
    <w:rsid w:val="00B91A36"/>
    <w:rsid w:val="00B92437"/>
    <w:rsid w:val="00B92AB5"/>
    <w:rsid w:val="00B94465"/>
    <w:rsid w:val="00B95753"/>
    <w:rsid w:val="00B960F3"/>
    <w:rsid w:val="00B96620"/>
    <w:rsid w:val="00B96998"/>
    <w:rsid w:val="00B96D6C"/>
    <w:rsid w:val="00B96F96"/>
    <w:rsid w:val="00BA0D64"/>
    <w:rsid w:val="00BA3E40"/>
    <w:rsid w:val="00BA3F79"/>
    <w:rsid w:val="00BA4C72"/>
    <w:rsid w:val="00BA50D7"/>
    <w:rsid w:val="00BA75E1"/>
    <w:rsid w:val="00BA7A94"/>
    <w:rsid w:val="00BB0E9B"/>
    <w:rsid w:val="00BB157D"/>
    <w:rsid w:val="00BB2065"/>
    <w:rsid w:val="00BB304D"/>
    <w:rsid w:val="00BB3AF4"/>
    <w:rsid w:val="00BB3BB2"/>
    <w:rsid w:val="00BB3F90"/>
    <w:rsid w:val="00BB4588"/>
    <w:rsid w:val="00BB5383"/>
    <w:rsid w:val="00BB5EE3"/>
    <w:rsid w:val="00BB638C"/>
    <w:rsid w:val="00BB63C9"/>
    <w:rsid w:val="00BB6622"/>
    <w:rsid w:val="00BB758A"/>
    <w:rsid w:val="00BB7A60"/>
    <w:rsid w:val="00BB7B42"/>
    <w:rsid w:val="00BC08C5"/>
    <w:rsid w:val="00BC0AA8"/>
    <w:rsid w:val="00BC13CB"/>
    <w:rsid w:val="00BC1C00"/>
    <w:rsid w:val="00BC1FE9"/>
    <w:rsid w:val="00BC358D"/>
    <w:rsid w:val="00BC3ECE"/>
    <w:rsid w:val="00BC437E"/>
    <w:rsid w:val="00BC4601"/>
    <w:rsid w:val="00BC6A96"/>
    <w:rsid w:val="00BC76A4"/>
    <w:rsid w:val="00BC7990"/>
    <w:rsid w:val="00BC7D66"/>
    <w:rsid w:val="00BD01B6"/>
    <w:rsid w:val="00BD1CE9"/>
    <w:rsid w:val="00BD226F"/>
    <w:rsid w:val="00BD293C"/>
    <w:rsid w:val="00BD374B"/>
    <w:rsid w:val="00BD42C3"/>
    <w:rsid w:val="00BD6561"/>
    <w:rsid w:val="00BD7789"/>
    <w:rsid w:val="00BD787B"/>
    <w:rsid w:val="00BE01C3"/>
    <w:rsid w:val="00BE0699"/>
    <w:rsid w:val="00BE073B"/>
    <w:rsid w:val="00BE081E"/>
    <w:rsid w:val="00BE1D10"/>
    <w:rsid w:val="00BE28F4"/>
    <w:rsid w:val="00BE2E9B"/>
    <w:rsid w:val="00BE2F09"/>
    <w:rsid w:val="00BE3415"/>
    <w:rsid w:val="00BE3679"/>
    <w:rsid w:val="00BE3923"/>
    <w:rsid w:val="00BE5233"/>
    <w:rsid w:val="00BE53DD"/>
    <w:rsid w:val="00BE55D1"/>
    <w:rsid w:val="00BE56CC"/>
    <w:rsid w:val="00BE597C"/>
    <w:rsid w:val="00BE64CC"/>
    <w:rsid w:val="00BE7360"/>
    <w:rsid w:val="00BE7401"/>
    <w:rsid w:val="00BE74DB"/>
    <w:rsid w:val="00BF08ED"/>
    <w:rsid w:val="00BF0A9F"/>
    <w:rsid w:val="00BF3139"/>
    <w:rsid w:val="00BF37F8"/>
    <w:rsid w:val="00BF3C72"/>
    <w:rsid w:val="00BF4D14"/>
    <w:rsid w:val="00BF5947"/>
    <w:rsid w:val="00BF62DD"/>
    <w:rsid w:val="00BF6EF8"/>
    <w:rsid w:val="00C00875"/>
    <w:rsid w:val="00C00E04"/>
    <w:rsid w:val="00C01D47"/>
    <w:rsid w:val="00C028DE"/>
    <w:rsid w:val="00C02DFD"/>
    <w:rsid w:val="00C02E2B"/>
    <w:rsid w:val="00C033A6"/>
    <w:rsid w:val="00C035FC"/>
    <w:rsid w:val="00C044FF"/>
    <w:rsid w:val="00C04E1C"/>
    <w:rsid w:val="00C050F0"/>
    <w:rsid w:val="00C07BD5"/>
    <w:rsid w:val="00C12168"/>
    <w:rsid w:val="00C124A4"/>
    <w:rsid w:val="00C12869"/>
    <w:rsid w:val="00C14A95"/>
    <w:rsid w:val="00C14B40"/>
    <w:rsid w:val="00C14D28"/>
    <w:rsid w:val="00C151C6"/>
    <w:rsid w:val="00C15D9B"/>
    <w:rsid w:val="00C15E2D"/>
    <w:rsid w:val="00C1635D"/>
    <w:rsid w:val="00C168D5"/>
    <w:rsid w:val="00C174DC"/>
    <w:rsid w:val="00C1756C"/>
    <w:rsid w:val="00C20ACC"/>
    <w:rsid w:val="00C2131D"/>
    <w:rsid w:val="00C21907"/>
    <w:rsid w:val="00C21D7E"/>
    <w:rsid w:val="00C222DD"/>
    <w:rsid w:val="00C228A6"/>
    <w:rsid w:val="00C23401"/>
    <w:rsid w:val="00C239BA"/>
    <w:rsid w:val="00C257DC"/>
    <w:rsid w:val="00C26220"/>
    <w:rsid w:val="00C2661C"/>
    <w:rsid w:val="00C268D4"/>
    <w:rsid w:val="00C2746B"/>
    <w:rsid w:val="00C2766A"/>
    <w:rsid w:val="00C27F30"/>
    <w:rsid w:val="00C33605"/>
    <w:rsid w:val="00C36006"/>
    <w:rsid w:val="00C363AB"/>
    <w:rsid w:val="00C40122"/>
    <w:rsid w:val="00C415DC"/>
    <w:rsid w:val="00C41908"/>
    <w:rsid w:val="00C4426B"/>
    <w:rsid w:val="00C450A9"/>
    <w:rsid w:val="00C45813"/>
    <w:rsid w:val="00C459C1"/>
    <w:rsid w:val="00C45F19"/>
    <w:rsid w:val="00C4611B"/>
    <w:rsid w:val="00C46A3D"/>
    <w:rsid w:val="00C46B89"/>
    <w:rsid w:val="00C474C2"/>
    <w:rsid w:val="00C47CFB"/>
    <w:rsid w:val="00C50B44"/>
    <w:rsid w:val="00C50E4B"/>
    <w:rsid w:val="00C51F61"/>
    <w:rsid w:val="00C51FC7"/>
    <w:rsid w:val="00C52F64"/>
    <w:rsid w:val="00C53EAB"/>
    <w:rsid w:val="00C54998"/>
    <w:rsid w:val="00C55376"/>
    <w:rsid w:val="00C557FA"/>
    <w:rsid w:val="00C55C35"/>
    <w:rsid w:val="00C57465"/>
    <w:rsid w:val="00C61956"/>
    <w:rsid w:val="00C66713"/>
    <w:rsid w:val="00C66A58"/>
    <w:rsid w:val="00C67239"/>
    <w:rsid w:val="00C6762A"/>
    <w:rsid w:val="00C67AD7"/>
    <w:rsid w:val="00C72659"/>
    <w:rsid w:val="00C75F76"/>
    <w:rsid w:val="00C77159"/>
    <w:rsid w:val="00C7757F"/>
    <w:rsid w:val="00C77E93"/>
    <w:rsid w:val="00C81158"/>
    <w:rsid w:val="00C81BD5"/>
    <w:rsid w:val="00C826DB"/>
    <w:rsid w:val="00C83B69"/>
    <w:rsid w:val="00C83BFC"/>
    <w:rsid w:val="00C84AF9"/>
    <w:rsid w:val="00C85911"/>
    <w:rsid w:val="00C85FE9"/>
    <w:rsid w:val="00C8672B"/>
    <w:rsid w:val="00C86C79"/>
    <w:rsid w:val="00C8725B"/>
    <w:rsid w:val="00C87633"/>
    <w:rsid w:val="00C87C04"/>
    <w:rsid w:val="00C87C83"/>
    <w:rsid w:val="00C903D2"/>
    <w:rsid w:val="00C91361"/>
    <w:rsid w:val="00C929A3"/>
    <w:rsid w:val="00C929B5"/>
    <w:rsid w:val="00C935F4"/>
    <w:rsid w:val="00C93A5C"/>
    <w:rsid w:val="00C941EF"/>
    <w:rsid w:val="00C94F92"/>
    <w:rsid w:val="00C95AAA"/>
    <w:rsid w:val="00C9740F"/>
    <w:rsid w:val="00CA3F7D"/>
    <w:rsid w:val="00CA44FF"/>
    <w:rsid w:val="00CA4CF2"/>
    <w:rsid w:val="00CA746D"/>
    <w:rsid w:val="00CA7B0E"/>
    <w:rsid w:val="00CB1277"/>
    <w:rsid w:val="00CB1935"/>
    <w:rsid w:val="00CB1BF1"/>
    <w:rsid w:val="00CB1FE1"/>
    <w:rsid w:val="00CB352C"/>
    <w:rsid w:val="00CB3E8F"/>
    <w:rsid w:val="00CB4C75"/>
    <w:rsid w:val="00CB54F1"/>
    <w:rsid w:val="00CB582C"/>
    <w:rsid w:val="00CB5949"/>
    <w:rsid w:val="00CB6233"/>
    <w:rsid w:val="00CB7F8D"/>
    <w:rsid w:val="00CC120A"/>
    <w:rsid w:val="00CC16A1"/>
    <w:rsid w:val="00CC1D72"/>
    <w:rsid w:val="00CC1DBF"/>
    <w:rsid w:val="00CC21DF"/>
    <w:rsid w:val="00CC335D"/>
    <w:rsid w:val="00CC3846"/>
    <w:rsid w:val="00CC55FD"/>
    <w:rsid w:val="00CC5D00"/>
    <w:rsid w:val="00CC64C5"/>
    <w:rsid w:val="00CC6C0A"/>
    <w:rsid w:val="00CC6D9E"/>
    <w:rsid w:val="00CC6EFF"/>
    <w:rsid w:val="00CD085F"/>
    <w:rsid w:val="00CD09D6"/>
    <w:rsid w:val="00CD1500"/>
    <w:rsid w:val="00CD198A"/>
    <w:rsid w:val="00CD2036"/>
    <w:rsid w:val="00CD2269"/>
    <w:rsid w:val="00CD2590"/>
    <w:rsid w:val="00CD33AE"/>
    <w:rsid w:val="00CD3B98"/>
    <w:rsid w:val="00CD464E"/>
    <w:rsid w:val="00CD4B14"/>
    <w:rsid w:val="00CD5A01"/>
    <w:rsid w:val="00CD6353"/>
    <w:rsid w:val="00CD67BB"/>
    <w:rsid w:val="00CD6F55"/>
    <w:rsid w:val="00CD7231"/>
    <w:rsid w:val="00CE3B22"/>
    <w:rsid w:val="00CE6179"/>
    <w:rsid w:val="00CE6D52"/>
    <w:rsid w:val="00CE7A12"/>
    <w:rsid w:val="00CE7A66"/>
    <w:rsid w:val="00CF0CFD"/>
    <w:rsid w:val="00CF22BE"/>
    <w:rsid w:val="00CF2419"/>
    <w:rsid w:val="00CF35AD"/>
    <w:rsid w:val="00CF37B9"/>
    <w:rsid w:val="00CF46BA"/>
    <w:rsid w:val="00CF4D81"/>
    <w:rsid w:val="00CF501C"/>
    <w:rsid w:val="00CF5381"/>
    <w:rsid w:val="00CF5D82"/>
    <w:rsid w:val="00CF6480"/>
    <w:rsid w:val="00CF73BF"/>
    <w:rsid w:val="00CF7503"/>
    <w:rsid w:val="00CF7A17"/>
    <w:rsid w:val="00CF7A22"/>
    <w:rsid w:val="00CF7CA6"/>
    <w:rsid w:val="00CF7D93"/>
    <w:rsid w:val="00D006C9"/>
    <w:rsid w:val="00D01FAD"/>
    <w:rsid w:val="00D02D5E"/>
    <w:rsid w:val="00D030E8"/>
    <w:rsid w:val="00D06681"/>
    <w:rsid w:val="00D06FD2"/>
    <w:rsid w:val="00D07C18"/>
    <w:rsid w:val="00D1022A"/>
    <w:rsid w:val="00D1032B"/>
    <w:rsid w:val="00D10672"/>
    <w:rsid w:val="00D11115"/>
    <w:rsid w:val="00D1189F"/>
    <w:rsid w:val="00D11987"/>
    <w:rsid w:val="00D11D9B"/>
    <w:rsid w:val="00D12DF3"/>
    <w:rsid w:val="00D135CD"/>
    <w:rsid w:val="00D1460D"/>
    <w:rsid w:val="00D14829"/>
    <w:rsid w:val="00D14FC4"/>
    <w:rsid w:val="00D16CA2"/>
    <w:rsid w:val="00D16FE4"/>
    <w:rsid w:val="00D1728F"/>
    <w:rsid w:val="00D1778C"/>
    <w:rsid w:val="00D17E88"/>
    <w:rsid w:val="00D17F55"/>
    <w:rsid w:val="00D20C51"/>
    <w:rsid w:val="00D20DB5"/>
    <w:rsid w:val="00D20FA6"/>
    <w:rsid w:val="00D21BCB"/>
    <w:rsid w:val="00D22C9F"/>
    <w:rsid w:val="00D22E7E"/>
    <w:rsid w:val="00D2315E"/>
    <w:rsid w:val="00D23822"/>
    <w:rsid w:val="00D239B0"/>
    <w:rsid w:val="00D23B14"/>
    <w:rsid w:val="00D2414A"/>
    <w:rsid w:val="00D25A03"/>
    <w:rsid w:val="00D26CCB"/>
    <w:rsid w:val="00D26E35"/>
    <w:rsid w:val="00D26F3C"/>
    <w:rsid w:val="00D27552"/>
    <w:rsid w:val="00D31C7A"/>
    <w:rsid w:val="00D32B85"/>
    <w:rsid w:val="00D33050"/>
    <w:rsid w:val="00D3311B"/>
    <w:rsid w:val="00D36B9D"/>
    <w:rsid w:val="00D3759E"/>
    <w:rsid w:val="00D37A48"/>
    <w:rsid w:val="00D40DDB"/>
    <w:rsid w:val="00D40F24"/>
    <w:rsid w:val="00D41BDD"/>
    <w:rsid w:val="00D424A3"/>
    <w:rsid w:val="00D4270F"/>
    <w:rsid w:val="00D431CB"/>
    <w:rsid w:val="00D431F6"/>
    <w:rsid w:val="00D433D2"/>
    <w:rsid w:val="00D442D8"/>
    <w:rsid w:val="00D44A6F"/>
    <w:rsid w:val="00D44FFB"/>
    <w:rsid w:val="00D4570C"/>
    <w:rsid w:val="00D4594B"/>
    <w:rsid w:val="00D469A8"/>
    <w:rsid w:val="00D46D92"/>
    <w:rsid w:val="00D47798"/>
    <w:rsid w:val="00D51996"/>
    <w:rsid w:val="00D51A27"/>
    <w:rsid w:val="00D5299F"/>
    <w:rsid w:val="00D55E6A"/>
    <w:rsid w:val="00D5679D"/>
    <w:rsid w:val="00D569AF"/>
    <w:rsid w:val="00D57E8C"/>
    <w:rsid w:val="00D60198"/>
    <w:rsid w:val="00D6251D"/>
    <w:rsid w:val="00D627BC"/>
    <w:rsid w:val="00D628C1"/>
    <w:rsid w:val="00D63732"/>
    <w:rsid w:val="00D643EB"/>
    <w:rsid w:val="00D6476E"/>
    <w:rsid w:val="00D6568C"/>
    <w:rsid w:val="00D6611F"/>
    <w:rsid w:val="00D66EA4"/>
    <w:rsid w:val="00D67FA2"/>
    <w:rsid w:val="00D704C2"/>
    <w:rsid w:val="00D70B53"/>
    <w:rsid w:val="00D70D7B"/>
    <w:rsid w:val="00D71605"/>
    <w:rsid w:val="00D724A9"/>
    <w:rsid w:val="00D72852"/>
    <w:rsid w:val="00D7322D"/>
    <w:rsid w:val="00D73F89"/>
    <w:rsid w:val="00D74A25"/>
    <w:rsid w:val="00D74D6B"/>
    <w:rsid w:val="00D75BA2"/>
    <w:rsid w:val="00D76529"/>
    <w:rsid w:val="00D767A6"/>
    <w:rsid w:val="00D770C7"/>
    <w:rsid w:val="00D77FF4"/>
    <w:rsid w:val="00D80171"/>
    <w:rsid w:val="00D802C1"/>
    <w:rsid w:val="00D81D3B"/>
    <w:rsid w:val="00D821C8"/>
    <w:rsid w:val="00D822A9"/>
    <w:rsid w:val="00D822B6"/>
    <w:rsid w:val="00D8243A"/>
    <w:rsid w:val="00D82475"/>
    <w:rsid w:val="00D82537"/>
    <w:rsid w:val="00D828F9"/>
    <w:rsid w:val="00D83782"/>
    <w:rsid w:val="00D839BC"/>
    <w:rsid w:val="00D8407F"/>
    <w:rsid w:val="00D8498A"/>
    <w:rsid w:val="00D86127"/>
    <w:rsid w:val="00D86434"/>
    <w:rsid w:val="00D86671"/>
    <w:rsid w:val="00D86AD6"/>
    <w:rsid w:val="00D873DC"/>
    <w:rsid w:val="00D877C1"/>
    <w:rsid w:val="00D878BA"/>
    <w:rsid w:val="00D87A12"/>
    <w:rsid w:val="00D90844"/>
    <w:rsid w:val="00D91E41"/>
    <w:rsid w:val="00D920D7"/>
    <w:rsid w:val="00D92B02"/>
    <w:rsid w:val="00D93551"/>
    <w:rsid w:val="00D95FC8"/>
    <w:rsid w:val="00D95FFC"/>
    <w:rsid w:val="00D96297"/>
    <w:rsid w:val="00D966E2"/>
    <w:rsid w:val="00D978A9"/>
    <w:rsid w:val="00D97B8E"/>
    <w:rsid w:val="00DA21CC"/>
    <w:rsid w:val="00DA244C"/>
    <w:rsid w:val="00DA2A45"/>
    <w:rsid w:val="00DA3350"/>
    <w:rsid w:val="00DA3AF3"/>
    <w:rsid w:val="00DA3F32"/>
    <w:rsid w:val="00DA45BC"/>
    <w:rsid w:val="00DA496C"/>
    <w:rsid w:val="00DA5855"/>
    <w:rsid w:val="00DA5D6A"/>
    <w:rsid w:val="00DA5ED0"/>
    <w:rsid w:val="00DA696E"/>
    <w:rsid w:val="00DA7208"/>
    <w:rsid w:val="00DA7225"/>
    <w:rsid w:val="00DB028E"/>
    <w:rsid w:val="00DB0422"/>
    <w:rsid w:val="00DB07E6"/>
    <w:rsid w:val="00DB0985"/>
    <w:rsid w:val="00DB0AB4"/>
    <w:rsid w:val="00DB120B"/>
    <w:rsid w:val="00DB1BE6"/>
    <w:rsid w:val="00DB22AA"/>
    <w:rsid w:val="00DB24A8"/>
    <w:rsid w:val="00DB2781"/>
    <w:rsid w:val="00DB2DA7"/>
    <w:rsid w:val="00DB5910"/>
    <w:rsid w:val="00DB6340"/>
    <w:rsid w:val="00DB720A"/>
    <w:rsid w:val="00DB738F"/>
    <w:rsid w:val="00DC02A3"/>
    <w:rsid w:val="00DC10DE"/>
    <w:rsid w:val="00DC20F9"/>
    <w:rsid w:val="00DC4939"/>
    <w:rsid w:val="00DC5B38"/>
    <w:rsid w:val="00DC5E43"/>
    <w:rsid w:val="00DC629F"/>
    <w:rsid w:val="00DC7AFD"/>
    <w:rsid w:val="00DD0422"/>
    <w:rsid w:val="00DD05B1"/>
    <w:rsid w:val="00DD1352"/>
    <w:rsid w:val="00DD176B"/>
    <w:rsid w:val="00DD20C0"/>
    <w:rsid w:val="00DD2B4E"/>
    <w:rsid w:val="00DD44F2"/>
    <w:rsid w:val="00DD4B38"/>
    <w:rsid w:val="00DD6A19"/>
    <w:rsid w:val="00DE03B8"/>
    <w:rsid w:val="00DE33FB"/>
    <w:rsid w:val="00DE3A40"/>
    <w:rsid w:val="00DE4894"/>
    <w:rsid w:val="00DE507E"/>
    <w:rsid w:val="00DE50B9"/>
    <w:rsid w:val="00DE523E"/>
    <w:rsid w:val="00DE5517"/>
    <w:rsid w:val="00DE5FCA"/>
    <w:rsid w:val="00DE6D5B"/>
    <w:rsid w:val="00DE6F72"/>
    <w:rsid w:val="00DE7ED3"/>
    <w:rsid w:val="00DF05CD"/>
    <w:rsid w:val="00DF1FAA"/>
    <w:rsid w:val="00DF25D6"/>
    <w:rsid w:val="00DF3D4B"/>
    <w:rsid w:val="00DF3E88"/>
    <w:rsid w:val="00DF63AE"/>
    <w:rsid w:val="00DF683F"/>
    <w:rsid w:val="00DF6BFA"/>
    <w:rsid w:val="00E00600"/>
    <w:rsid w:val="00E01144"/>
    <w:rsid w:val="00E0151A"/>
    <w:rsid w:val="00E01E55"/>
    <w:rsid w:val="00E021DE"/>
    <w:rsid w:val="00E05151"/>
    <w:rsid w:val="00E06384"/>
    <w:rsid w:val="00E075CF"/>
    <w:rsid w:val="00E10635"/>
    <w:rsid w:val="00E10D0A"/>
    <w:rsid w:val="00E11AD0"/>
    <w:rsid w:val="00E122C1"/>
    <w:rsid w:val="00E131B4"/>
    <w:rsid w:val="00E144C3"/>
    <w:rsid w:val="00E14AC8"/>
    <w:rsid w:val="00E14D4E"/>
    <w:rsid w:val="00E15C1A"/>
    <w:rsid w:val="00E20659"/>
    <w:rsid w:val="00E207C1"/>
    <w:rsid w:val="00E20EFA"/>
    <w:rsid w:val="00E21062"/>
    <w:rsid w:val="00E2157B"/>
    <w:rsid w:val="00E2214A"/>
    <w:rsid w:val="00E2226D"/>
    <w:rsid w:val="00E22370"/>
    <w:rsid w:val="00E22669"/>
    <w:rsid w:val="00E22848"/>
    <w:rsid w:val="00E23A5B"/>
    <w:rsid w:val="00E25CED"/>
    <w:rsid w:val="00E2664B"/>
    <w:rsid w:val="00E26A02"/>
    <w:rsid w:val="00E26AC9"/>
    <w:rsid w:val="00E27679"/>
    <w:rsid w:val="00E27710"/>
    <w:rsid w:val="00E277DD"/>
    <w:rsid w:val="00E304E5"/>
    <w:rsid w:val="00E304EE"/>
    <w:rsid w:val="00E32411"/>
    <w:rsid w:val="00E324F8"/>
    <w:rsid w:val="00E329AE"/>
    <w:rsid w:val="00E32CFB"/>
    <w:rsid w:val="00E33127"/>
    <w:rsid w:val="00E345AA"/>
    <w:rsid w:val="00E36C50"/>
    <w:rsid w:val="00E379EB"/>
    <w:rsid w:val="00E37B61"/>
    <w:rsid w:val="00E41229"/>
    <w:rsid w:val="00E41C3B"/>
    <w:rsid w:val="00E41F5B"/>
    <w:rsid w:val="00E431F5"/>
    <w:rsid w:val="00E4331F"/>
    <w:rsid w:val="00E45BBF"/>
    <w:rsid w:val="00E46015"/>
    <w:rsid w:val="00E470D3"/>
    <w:rsid w:val="00E4758E"/>
    <w:rsid w:val="00E478FF"/>
    <w:rsid w:val="00E47DBA"/>
    <w:rsid w:val="00E50506"/>
    <w:rsid w:val="00E51000"/>
    <w:rsid w:val="00E51198"/>
    <w:rsid w:val="00E520DD"/>
    <w:rsid w:val="00E52B7E"/>
    <w:rsid w:val="00E5321E"/>
    <w:rsid w:val="00E536A6"/>
    <w:rsid w:val="00E53CC7"/>
    <w:rsid w:val="00E541DB"/>
    <w:rsid w:val="00E541F5"/>
    <w:rsid w:val="00E54D49"/>
    <w:rsid w:val="00E54E64"/>
    <w:rsid w:val="00E567F4"/>
    <w:rsid w:val="00E574CB"/>
    <w:rsid w:val="00E575DF"/>
    <w:rsid w:val="00E57C13"/>
    <w:rsid w:val="00E6009F"/>
    <w:rsid w:val="00E600AC"/>
    <w:rsid w:val="00E61786"/>
    <w:rsid w:val="00E62E60"/>
    <w:rsid w:val="00E63248"/>
    <w:rsid w:val="00E640A1"/>
    <w:rsid w:val="00E6577A"/>
    <w:rsid w:val="00E658DB"/>
    <w:rsid w:val="00E65C69"/>
    <w:rsid w:val="00E66578"/>
    <w:rsid w:val="00E6724A"/>
    <w:rsid w:val="00E676FB"/>
    <w:rsid w:val="00E678F9"/>
    <w:rsid w:val="00E67B38"/>
    <w:rsid w:val="00E70F97"/>
    <w:rsid w:val="00E71095"/>
    <w:rsid w:val="00E713D0"/>
    <w:rsid w:val="00E71734"/>
    <w:rsid w:val="00E72FFB"/>
    <w:rsid w:val="00E73702"/>
    <w:rsid w:val="00E743D9"/>
    <w:rsid w:val="00E747C2"/>
    <w:rsid w:val="00E75B71"/>
    <w:rsid w:val="00E76A5B"/>
    <w:rsid w:val="00E76E26"/>
    <w:rsid w:val="00E76FBC"/>
    <w:rsid w:val="00E77923"/>
    <w:rsid w:val="00E80169"/>
    <w:rsid w:val="00E805AB"/>
    <w:rsid w:val="00E816B6"/>
    <w:rsid w:val="00E81B8C"/>
    <w:rsid w:val="00E82EC0"/>
    <w:rsid w:val="00E83101"/>
    <w:rsid w:val="00E83702"/>
    <w:rsid w:val="00E84147"/>
    <w:rsid w:val="00E87905"/>
    <w:rsid w:val="00E87F58"/>
    <w:rsid w:val="00E90C36"/>
    <w:rsid w:val="00E90F8A"/>
    <w:rsid w:val="00E91016"/>
    <w:rsid w:val="00E914BD"/>
    <w:rsid w:val="00E917D9"/>
    <w:rsid w:val="00E91E49"/>
    <w:rsid w:val="00E9225E"/>
    <w:rsid w:val="00E9234E"/>
    <w:rsid w:val="00E92A51"/>
    <w:rsid w:val="00E92BEC"/>
    <w:rsid w:val="00E92E63"/>
    <w:rsid w:val="00E93216"/>
    <w:rsid w:val="00E936A7"/>
    <w:rsid w:val="00E938A3"/>
    <w:rsid w:val="00E93904"/>
    <w:rsid w:val="00E93BBD"/>
    <w:rsid w:val="00E9600F"/>
    <w:rsid w:val="00E9657A"/>
    <w:rsid w:val="00E96882"/>
    <w:rsid w:val="00E968FA"/>
    <w:rsid w:val="00EA092F"/>
    <w:rsid w:val="00EA0961"/>
    <w:rsid w:val="00EA1531"/>
    <w:rsid w:val="00EA179F"/>
    <w:rsid w:val="00EA1D39"/>
    <w:rsid w:val="00EA34ED"/>
    <w:rsid w:val="00EA3767"/>
    <w:rsid w:val="00EA3776"/>
    <w:rsid w:val="00EA4673"/>
    <w:rsid w:val="00EA4F6F"/>
    <w:rsid w:val="00EA51B2"/>
    <w:rsid w:val="00EA530E"/>
    <w:rsid w:val="00EA632B"/>
    <w:rsid w:val="00EA6344"/>
    <w:rsid w:val="00EA6963"/>
    <w:rsid w:val="00EA69E9"/>
    <w:rsid w:val="00EA70A2"/>
    <w:rsid w:val="00EB01B4"/>
    <w:rsid w:val="00EB07DF"/>
    <w:rsid w:val="00EB1437"/>
    <w:rsid w:val="00EB1BCE"/>
    <w:rsid w:val="00EB31BB"/>
    <w:rsid w:val="00EB31DC"/>
    <w:rsid w:val="00EB37D1"/>
    <w:rsid w:val="00EB3CC3"/>
    <w:rsid w:val="00EB3F04"/>
    <w:rsid w:val="00EB466C"/>
    <w:rsid w:val="00EB4FE0"/>
    <w:rsid w:val="00EB6D34"/>
    <w:rsid w:val="00EB7730"/>
    <w:rsid w:val="00EC0963"/>
    <w:rsid w:val="00EC1110"/>
    <w:rsid w:val="00EC1458"/>
    <w:rsid w:val="00EC1D35"/>
    <w:rsid w:val="00EC204E"/>
    <w:rsid w:val="00EC3F73"/>
    <w:rsid w:val="00EC4099"/>
    <w:rsid w:val="00EC43E2"/>
    <w:rsid w:val="00EC47B5"/>
    <w:rsid w:val="00EC5AB7"/>
    <w:rsid w:val="00EC60B1"/>
    <w:rsid w:val="00EC692A"/>
    <w:rsid w:val="00EC7608"/>
    <w:rsid w:val="00ED0999"/>
    <w:rsid w:val="00ED0EBA"/>
    <w:rsid w:val="00ED17CC"/>
    <w:rsid w:val="00ED26AF"/>
    <w:rsid w:val="00ED26B2"/>
    <w:rsid w:val="00ED26D2"/>
    <w:rsid w:val="00ED4546"/>
    <w:rsid w:val="00ED4697"/>
    <w:rsid w:val="00ED4E7B"/>
    <w:rsid w:val="00ED581D"/>
    <w:rsid w:val="00ED5FFB"/>
    <w:rsid w:val="00ED6135"/>
    <w:rsid w:val="00ED68EB"/>
    <w:rsid w:val="00EE0F7F"/>
    <w:rsid w:val="00EE128E"/>
    <w:rsid w:val="00EE1A1F"/>
    <w:rsid w:val="00EE233F"/>
    <w:rsid w:val="00EE284B"/>
    <w:rsid w:val="00EE398C"/>
    <w:rsid w:val="00EE3A0F"/>
    <w:rsid w:val="00EE5030"/>
    <w:rsid w:val="00EE5862"/>
    <w:rsid w:val="00EE589B"/>
    <w:rsid w:val="00EE5ED3"/>
    <w:rsid w:val="00EE752F"/>
    <w:rsid w:val="00EE755F"/>
    <w:rsid w:val="00EF1B2B"/>
    <w:rsid w:val="00EF1F18"/>
    <w:rsid w:val="00EF2DD4"/>
    <w:rsid w:val="00EF2FE5"/>
    <w:rsid w:val="00EF48D9"/>
    <w:rsid w:val="00EF53E7"/>
    <w:rsid w:val="00EF5987"/>
    <w:rsid w:val="00EF677F"/>
    <w:rsid w:val="00EF68DA"/>
    <w:rsid w:val="00EF7EB6"/>
    <w:rsid w:val="00F0014A"/>
    <w:rsid w:val="00F00B99"/>
    <w:rsid w:val="00F00C01"/>
    <w:rsid w:val="00F03569"/>
    <w:rsid w:val="00F03B53"/>
    <w:rsid w:val="00F03EAE"/>
    <w:rsid w:val="00F0490F"/>
    <w:rsid w:val="00F0493F"/>
    <w:rsid w:val="00F05310"/>
    <w:rsid w:val="00F061E7"/>
    <w:rsid w:val="00F07462"/>
    <w:rsid w:val="00F0779A"/>
    <w:rsid w:val="00F10A8F"/>
    <w:rsid w:val="00F11365"/>
    <w:rsid w:val="00F12043"/>
    <w:rsid w:val="00F12F9B"/>
    <w:rsid w:val="00F13BAE"/>
    <w:rsid w:val="00F15BC5"/>
    <w:rsid w:val="00F15E06"/>
    <w:rsid w:val="00F16FE0"/>
    <w:rsid w:val="00F21750"/>
    <w:rsid w:val="00F21CE6"/>
    <w:rsid w:val="00F23349"/>
    <w:rsid w:val="00F23B79"/>
    <w:rsid w:val="00F2450A"/>
    <w:rsid w:val="00F2628D"/>
    <w:rsid w:val="00F262A1"/>
    <w:rsid w:val="00F27230"/>
    <w:rsid w:val="00F27776"/>
    <w:rsid w:val="00F27798"/>
    <w:rsid w:val="00F27E80"/>
    <w:rsid w:val="00F30026"/>
    <w:rsid w:val="00F30B75"/>
    <w:rsid w:val="00F30D39"/>
    <w:rsid w:val="00F312DD"/>
    <w:rsid w:val="00F3146C"/>
    <w:rsid w:val="00F31DC3"/>
    <w:rsid w:val="00F32423"/>
    <w:rsid w:val="00F32D91"/>
    <w:rsid w:val="00F340F5"/>
    <w:rsid w:val="00F34926"/>
    <w:rsid w:val="00F34E30"/>
    <w:rsid w:val="00F363B4"/>
    <w:rsid w:val="00F36D98"/>
    <w:rsid w:val="00F36FE8"/>
    <w:rsid w:val="00F37209"/>
    <w:rsid w:val="00F40463"/>
    <w:rsid w:val="00F438C7"/>
    <w:rsid w:val="00F4414F"/>
    <w:rsid w:val="00F44418"/>
    <w:rsid w:val="00F44699"/>
    <w:rsid w:val="00F4470E"/>
    <w:rsid w:val="00F45844"/>
    <w:rsid w:val="00F45D9F"/>
    <w:rsid w:val="00F4601B"/>
    <w:rsid w:val="00F467E1"/>
    <w:rsid w:val="00F46B01"/>
    <w:rsid w:val="00F50826"/>
    <w:rsid w:val="00F50D32"/>
    <w:rsid w:val="00F519EC"/>
    <w:rsid w:val="00F53750"/>
    <w:rsid w:val="00F55AED"/>
    <w:rsid w:val="00F56A38"/>
    <w:rsid w:val="00F56A8E"/>
    <w:rsid w:val="00F57455"/>
    <w:rsid w:val="00F608C3"/>
    <w:rsid w:val="00F61475"/>
    <w:rsid w:val="00F6202C"/>
    <w:rsid w:val="00F62629"/>
    <w:rsid w:val="00F627E2"/>
    <w:rsid w:val="00F62897"/>
    <w:rsid w:val="00F64BA5"/>
    <w:rsid w:val="00F6552A"/>
    <w:rsid w:val="00F65CBE"/>
    <w:rsid w:val="00F66E28"/>
    <w:rsid w:val="00F677B3"/>
    <w:rsid w:val="00F67A4E"/>
    <w:rsid w:val="00F67DB5"/>
    <w:rsid w:val="00F704CF"/>
    <w:rsid w:val="00F70E37"/>
    <w:rsid w:val="00F719B6"/>
    <w:rsid w:val="00F71E5C"/>
    <w:rsid w:val="00F73683"/>
    <w:rsid w:val="00F736F7"/>
    <w:rsid w:val="00F7470B"/>
    <w:rsid w:val="00F74953"/>
    <w:rsid w:val="00F76AE1"/>
    <w:rsid w:val="00F77408"/>
    <w:rsid w:val="00F77830"/>
    <w:rsid w:val="00F77FB0"/>
    <w:rsid w:val="00F8009A"/>
    <w:rsid w:val="00F8012F"/>
    <w:rsid w:val="00F80282"/>
    <w:rsid w:val="00F80785"/>
    <w:rsid w:val="00F80936"/>
    <w:rsid w:val="00F80E15"/>
    <w:rsid w:val="00F828B6"/>
    <w:rsid w:val="00F8376B"/>
    <w:rsid w:val="00F83847"/>
    <w:rsid w:val="00F83CC7"/>
    <w:rsid w:val="00F83D34"/>
    <w:rsid w:val="00F853D8"/>
    <w:rsid w:val="00F8545E"/>
    <w:rsid w:val="00F85911"/>
    <w:rsid w:val="00F87428"/>
    <w:rsid w:val="00F87A75"/>
    <w:rsid w:val="00F87D43"/>
    <w:rsid w:val="00F90835"/>
    <w:rsid w:val="00F9085D"/>
    <w:rsid w:val="00F9116F"/>
    <w:rsid w:val="00F917A7"/>
    <w:rsid w:val="00F91B80"/>
    <w:rsid w:val="00F92300"/>
    <w:rsid w:val="00F926C0"/>
    <w:rsid w:val="00F92F33"/>
    <w:rsid w:val="00F93891"/>
    <w:rsid w:val="00F940F9"/>
    <w:rsid w:val="00F94272"/>
    <w:rsid w:val="00F950BD"/>
    <w:rsid w:val="00F95170"/>
    <w:rsid w:val="00F95287"/>
    <w:rsid w:val="00F9593C"/>
    <w:rsid w:val="00F966C7"/>
    <w:rsid w:val="00FA0726"/>
    <w:rsid w:val="00FA1146"/>
    <w:rsid w:val="00FA18E2"/>
    <w:rsid w:val="00FA238B"/>
    <w:rsid w:val="00FA3160"/>
    <w:rsid w:val="00FA3747"/>
    <w:rsid w:val="00FA4489"/>
    <w:rsid w:val="00FA4705"/>
    <w:rsid w:val="00FA4C76"/>
    <w:rsid w:val="00FA4EFB"/>
    <w:rsid w:val="00FA5104"/>
    <w:rsid w:val="00FA590E"/>
    <w:rsid w:val="00FA59B9"/>
    <w:rsid w:val="00FA7278"/>
    <w:rsid w:val="00FA76F5"/>
    <w:rsid w:val="00FA7738"/>
    <w:rsid w:val="00FB1057"/>
    <w:rsid w:val="00FB2788"/>
    <w:rsid w:val="00FB28E8"/>
    <w:rsid w:val="00FB575B"/>
    <w:rsid w:val="00FB62E9"/>
    <w:rsid w:val="00FB6B2A"/>
    <w:rsid w:val="00FB77FD"/>
    <w:rsid w:val="00FC0333"/>
    <w:rsid w:val="00FC1393"/>
    <w:rsid w:val="00FC3779"/>
    <w:rsid w:val="00FC4393"/>
    <w:rsid w:val="00FC4979"/>
    <w:rsid w:val="00FC5BF2"/>
    <w:rsid w:val="00FC66B9"/>
    <w:rsid w:val="00FC6719"/>
    <w:rsid w:val="00FC696F"/>
    <w:rsid w:val="00FC6BF5"/>
    <w:rsid w:val="00FC7A21"/>
    <w:rsid w:val="00FD0416"/>
    <w:rsid w:val="00FD0C3A"/>
    <w:rsid w:val="00FD167E"/>
    <w:rsid w:val="00FD194A"/>
    <w:rsid w:val="00FD23F6"/>
    <w:rsid w:val="00FD2E88"/>
    <w:rsid w:val="00FD454B"/>
    <w:rsid w:val="00FD4647"/>
    <w:rsid w:val="00FD4C0D"/>
    <w:rsid w:val="00FD50DA"/>
    <w:rsid w:val="00FD5463"/>
    <w:rsid w:val="00FD6217"/>
    <w:rsid w:val="00FD6349"/>
    <w:rsid w:val="00FD650D"/>
    <w:rsid w:val="00FD6D21"/>
    <w:rsid w:val="00FD7381"/>
    <w:rsid w:val="00FD7F24"/>
    <w:rsid w:val="00FE0C07"/>
    <w:rsid w:val="00FE0FC4"/>
    <w:rsid w:val="00FE18D4"/>
    <w:rsid w:val="00FE1D27"/>
    <w:rsid w:val="00FE24EA"/>
    <w:rsid w:val="00FE266E"/>
    <w:rsid w:val="00FE3068"/>
    <w:rsid w:val="00FE3BB3"/>
    <w:rsid w:val="00FE427C"/>
    <w:rsid w:val="00FE4F40"/>
    <w:rsid w:val="00FE6409"/>
    <w:rsid w:val="00FE6479"/>
    <w:rsid w:val="00FE6D18"/>
    <w:rsid w:val="00FF03BD"/>
    <w:rsid w:val="00FF20C9"/>
    <w:rsid w:val="00FF2495"/>
    <w:rsid w:val="00FF2A5A"/>
    <w:rsid w:val="00FF2CAB"/>
    <w:rsid w:val="00FF30BE"/>
    <w:rsid w:val="00FF3AE8"/>
    <w:rsid w:val="00FF3BC6"/>
    <w:rsid w:val="00FF463A"/>
    <w:rsid w:val="00FF4773"/>
    <w:rsid w:val="00FF7750"/>
    <w:rsid w:val="00FF7CE4"/>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fill="f" fillcolor="white" stroke="f">
      <v:fill color="white" on="f"/>
      <v:stroke on="f"/>
      <o:colormru v:ext="edit" colors="#eaeaea,#f8f8f8"/>
    </o:shapedefaults>
    <o:shapelayout v:ext="edit">
      <o:idmap v:ext="edit" data="1"/>
    </o:shapelayout>
  </w:shapeDefaults>
  <w:decimalSymbol w:val="."/>
  <w:listSeparator w:val=","/>
  <w14:docId w14:val="7691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after="180"/>
    </w:pPr>
    <w:rPr>
      <w:rFonts w:ascii="Garamond" w:hAnsi="Garamond"/>
      <w:sz w:val="22"/>
      <w:szCs w:val="24"/>
      <w:lang w:eastAsia="en-US"/>
    </w:rPr>
  </w:style>
  <w:style w:type="paragraph" w:styleId="Heading1">
    <w:name w:val="heading 1"/>
    <w:basedOn w:val="NumSection"/>
    <w:next w:val="Normal"/>
    <w:qFormat/>
    <w:rsid w:val="00F6552A"/>
    <w:pPr>
      <w:keepNext/>
      <w:framePr w:w="0" w:wrap="auto" w:vAnchor="margin" w:yAlign="inline"/>
      <w:numPr>
        <w:numId w:val="8"/>
      </w:numPr>
      <w:tabs>
        <w:tab w:val="clear" w:pos="-360"/>
      </w:tabs>
      <w:spacing w:after="400" w:line="260" w:lineRule="atLeast"/>
      <w:ind w:left="0" w:hanging="567"/>
      <w:outlineLvl w:val="0"/>
    </w:pPr>
    <w:rPr>
      <w:rFonts w:cs="Arial"/>
      <w:bCs/>
      <w:kern w:val="32"/>
      <w:szCs w:val="21"/>
    </w:rPr>
  </w:style>
  <w:style w:type="paragraph" w:styleId="Heading2">
    <w:name w:val="heading 2"/>
    <w:basedOn w:val="NormalHeading"/>
    <w:next w:val="Normal"/>
    <w:qFormat/>
    <w:pPr>
      <w:keepNext/>
      <w:numPr>
        <w:ilvl w:val="1"/>
        <w:numId w:val="8"/>
      </w:numPr>
      <w:tabs>
        <w:tab w:val="clear" w:pos="-288"/>
      </w:tabs>
      <w:spacing w:before="260" w:line="260" w:lineRule="atLeast"/>
      <w:ind w:left="0" w:hanging="567"/>
      <w:outlineLvl w:val="1"/>
    </w:pPr>
    <w:rPr>
      <w:b/>
      <w:bCs/>
      <w:iCs/>
      <w:color w:val="4F2D7F"/>
      <w:sz w:val="26"/>
      <w:szCs w:val="19"/>
    </w:rPr>
  </w:style>
  <w:style w:type="paragraph" w:styleId="Heading3">
    <w:name w:val="heading 3"/>
    <w:basedOn w:val="Heading2"/>
    <w:next w:val="Normal"/>
    <w:qFormat/>
    <w:pPr>
      <w:numPr>
        <w:ilvl w:val="2"/>
      </w:numPr>
      <w:tabs>
        <w:tab w:val="clear" w:pos="720"/>
      </w:tabs>
      <w:ind w:left="357" w:hanging="357"/>
      <w:outlineLvl w:val="2"/>
    </w:pPr>
    <w:rPr>
      <w:bCs w:val="0"/>
      <w:color w:val="auto"/>
      <w:sz w:val="22"/>
    </w:rPr>
  </w:style>
  <w:style w:type="paragraph" w:styleId="Heading4">
    <w:name w:val="heading 4"/>
    <w:basedOn w:val="Heading3"/>
    <w:next w:val="Normal"/>
    <w:qFormat/>
    <w:pPr>
      <w:outlineLvl w:val="3"/>
    </w:pPr>
    <w:rPr>
      <w:b w:val="0"/>
      <w:bCs/>
    </w:rPr>
  </w:style>
  <w:style w:type="paragraph" w:styleId="Heading5">
    <w:name w:val="heading 5"/>
    <w:basedOn w:val="Normal"/>
    <w:next w:val="Normal"/>
    <w:qFormat/>
    <w:pPr>
      <w:numPr>
        <w:ilvl w:val="4"/>
        <w:numId w:val="7"/>
      </w:numPr>
      <w:spacing w:before="240"/>
      <w:outlineLvl w:val="4"/>
    </w:pPr>
    <w:rPr>
      <w:b/>
      <w:bCs/>
      <w:i/>
      <w:iCs/>
      <w:sz w:val="26"/>
      <w:szCs w:val="26"/>
    </w:rPr>
  </w:style>
  <w:style w:type="paragraph" w:styleId="Heading6">
    <w:name w:val="heading 6"/>
    <w:basedOn w:val="Normal"/>
    <w:next w:val="Normal"/>
    <w:qFormat/>
    <w:pPr>
      <w:numPr>
        <w:ilvl w:val="5"/>
        <w:numId w:val="7"/>
      </w:numPr>
      <w:spacing w:before="240"/>
      <w:outlineLvl w:val="5"/>
    </w:pPr>
    <w:rPr>
      <w:rFonts w:ascii="Times New Roman" w:hAnsi="Times New Roman"/>
      <w:b/>
      <w:bCs/>
      <w:szCs w:val="22"/>
    </w:rPr>
  </w:style>
  <w:style w:type="paragraph" w:styleId="Heading7">
    <w:name w:val="heading 7"/>
    <w:basedOn w:val="Normal"/>
    <w:next w:val="Normal"/>
    <w:qFormat/>
    <w:pPr>
      <w:numPr>
        <w:ilvl w:val="6"/>
        <w:numId w:val="7"/>
      </w:numPr>
      <w:spacing w:before="240"/>
      <w:outlineLvl w:val="6"/>
    </w:pPr>
    <w:rPr>
      <w:rFonts w:ascii="Times New Roman" w:hAnsi="Times New Roman"/>
      <w:sz w:val="24"/>
    </w:rPr>
  </w:style>
  <w:style w:type="paragraph" w:styleId="Heading8">
    <w:name w:val="heading 8"/>
    <w:basedOn w:val="Normal"/>
    <w:next w:val="Normal"/>
    <w:qFormat/>
    <w:pPr>
      <w:numPr>
        <w:ilvl w:val="7"/>
        <w:numId w:val="7"/>
      </w:numPr>
      <w:spacing w:before="240"/>
      <w:outlineLvl w:val="7"/>
    </w:pPr>
    <w:rPr>
      <w:rFonts w:ascii="Times New Roman" w:hAnsi="Times New Roman"/>
      <w:i/>
      <w:iCs/>
      <w:sz w:val="24"/>
    </w:rPr>
  </w:style>
  <w:style w:type="paragraph" w:styleId="Heading9">
    <w:name w:val="heading 9"/>
    <w:basedOn w:val="Normal"/>
    <w:next w:val="Normal"/>
    <w:qFormat/>
    <w:pPr>
      <w:numPr>
        <w:ilvl w:val="8"/>
        <w:numId w:val="7"/>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pPr>
      <w:numPr>
        <w:numId w:val="1"/>
      </w:numPr>
      <w:spacing w:after="0"/>
      <w:jc w:val="right"/>
    </w:pPr>
    <w:rPr>
      <w:rFonts w:ascii="Arial" w:hAnsi="Arial"/>
      <w:b/>
      <w:color w:val="808080"/>
      <w:sz w:val="16"/>
    </w:rPr>
  </w:style>
  <w:style w:type="paragraph" w:styleId="Subtitle">
    <w:name w:val="Subtitle"/>
    <w:qFormat/>
    <w:pPr>
      <w:spacing w:line="280" w:lineRule="atLeast"/>
      <w:outlineLvl w:val="1"/>
    </w:pPr>
    <w:rPr>
      <w:rFonts w:ascii="Arial" w:hAnsi="Arial" w:cs="Arial"/>
      <w:bCs/>
      <w:kern w:val="28"/>
      <w:sz w:val="24"/>
      <w:szCs w:val="24"/>
      <w:lang w:val="en-US" w:eastAsia="en-US"/>
    </w:rPr>
  </w:style>
  <w:style w:type="paragraph" w:styleId="Footer">
    <w:name w:val="footer"/>
    <w:basedOn w:val="Normal"/>
    <w:pPr>
      <w:tabs>
        <w:tab w:val="center" w:pos="4153"/>
        <w:tab w:val="right" w:pos="8306"/>
      </w:tabs>
      <w:spacing w:after="0"/>
    </w:pPr>
    <w:rPr>
      <w:rFonts w:ascii="Arial" w:hAnsi="Arial"/>
      <w:b/>
      <w:color w:val="808080"/>
      <w:sz w:val="16"/>
    </w:rPr>
  </w:style>
  <w:style w:type="paragraph" w:styleId="Header">
    <w:name w:val="header"/>
    <w:basedOn w:val="Normal"/>
    <w:pPr>
      <w:tabs>
        <w:tab w:val="center" w:pos="4150"/>
        <w:tab w:val="right" w:pos="8307"/>
      </w:tabs>
      <w:spacing w:after="0"/>
    </w:pPr>
    <w:rPr>
      <w:rFonts w:ascii="Arial" w:hAnsi="Arial"/>
      <w:b/>
      <w:color w:val="808080"/>
      <w:sz w:val="16"/>
    </w:rPr>
  </w:style>
  <w:style w:type="paragraph" w:customStyle="1" w:styleId="TableHeading">
    <w:name w:val="Table Heading"/>
    <w:basedOn w:val="TableText"/>
    <w:rPr>
      <w:b/>
      <w:bCs/>
      <w:kern w:val="28"/>
      <w:szCs w:val="24"/>
    </w:rPr>
  </w:style>
  <w:style w:type="paragraph" w:customStyle="1" w:styleId="TableText">
    <w:name w:val="Table Text"/>
    <w:basedOn w:val="Normal"/>
    <w:pPr>
      <w:spacing w:after="0"/>
      <w:ind w:right="142"/>
    </w:pPr>
    <w:rPr>
      <w:szCs w:val="22"/>
    </w:rPr>
  </w:style>
  <w:style w:type="paragraph" w:customStyle="1" w:styleId="TableSubTot">
    <w:name w:val="Table SubTot"/>
    <w:basedOn w:val="TableFigures"/>
    <w:pPr>
      <w:pBdr>
        <w:top w:val="single" w:sz="6" w:space="1" w:color="auto"/>
      </w:pBdr>
    </w:pPr>
    <w:rPr>
      <w:szCs w:val="24"/>
    </w:rPr>
  </w:style>
  <w:style w:type="paragraph" w:customStyle="1" w:styleId="TableFigures">
    <w:name w:val="Table Figures"/>
    <w:basedOn w:val="TableText"/>
    <w:pPr>
      <w:spacing w:before="25"/>
    </w:pPr>
    <w:rPr>
      <w:rFonts w:ascii="Arial" w:hAnsi="Arial"/>
      <w:sz w:val="18"/>
    </w:rPr>
  </w:style>
  <w:style w:type="paragraph" w:customStyle="1" w:styleId="TableTotal">
    <w:name w:val="Table Total"/>
    <w:basedOn w:val="TableFigures"/>
    <w:pPr>
      <w:pBdr>
        <w:top w:val="single" w:sz="6" w:space="1" w:color="auto"/>
        <w:bottom w:val="double" w:sz="6" w:space="1" w:color="auto"/>
      </w:pBdr>
    </w:pPr>
  </w:style>
  <w:style w:type="paragraph" w:styleId="Title">
    <w:name w:val="Title"/>
    <w:basedOn w:val="Normal"/>
    <w:next w:val="Subtitle"/>
    <w:qFormat/>
    <w:pPr>
      <w:spacing w:before="400" w:after="400" w:line="580" w:lineRule="atLeast"/>
    </w:pPr>
    <w:rPr>
      <w:rFonts w:cs="Arial"/>
      <w:bCs/>
      <w:color w:val="4F2D7F"/>
      <w:kern w:val="28"/>
      <w:sz w:val="40"/>
      <w:szCs w:val="32"/>
    </w:rPr>
  </w:style>
  <w:style w:type="paragraph" w:customStyle="1" w:styleId="TableDouble">
    <w:name w:val="Table Double"/>
    <w:basedOn w:val="TableFigures"/>
    <w:pPr>
      <w:pBdr>
        <w:bottom w:val="double" w:sz="6" w:space="1" w:color="auto"/>
      </w:pBdr>
    </w:pPr>
    <w:rPr>
      <w:sz w:val="16"/>
      <w:szCs w:val="24"/>
    </w:rPr>
  </w:style>
  <w:style w:type="paragraph" w:customStyle="1" w:styleId="TableSingle">
    <w:name w:val="Table Single"/>
    <w:basedOn w:val="TableFigures"/>
    <w:pPr>
      <w:pBdr>
        <w:bottom w:val="single" w:sz="6" w:space="1" w:color="auto"/>
      </w:pBdr>
    </w:pPr>
    <w:rPr>
      <w:szCs w:val="24"/>
    </w:rPr>
  </w:style>
  <w:style w:type="paragraph" w:customStyle="1" w:styleId="TableBullet">
    <w:name w:val="Table Bullet"/>
    <w:basedOn w:val="TableText"/>
    <w:pPr>
      <w:numPr>
        <w:numId w:val="3"/>
      </w:numPr>
    </w:pPr>
    <w:rPr>
      <w:szCs w:val="20"/>
    </w:rPr>
  </w:style>
  <w:style w:type="paragraph" w:customStyle="1" w:styleId="TableNumberBullet">
    <w:name w:val="Table Number Bullet"/>
    <w:basedOn w:val="TableText"/>
    <w:pPr>
      <w:numPr>
        <w:numId w:val="4"/>
      </w:numPr>
    </w:pPr>
    <w:rPr>
      <w:szCs w:val="24"/>
    </w:rPr>
  </w:style>
  <w:style w:type="paragraph" w:styleId="TOC1">
    <w:name w:val="toc 1"/>
    <w:basedOn w:val="Normal"/>
    <w:next w:val="Normal"/>
    <w:uiPriority w:val="39"/>
    <w:pPr>
      <w:tabs>
        <w:tab w:val="right" w:pos="8108"/>
      </w:tabs>
      <w:spacing w:before="120" w:after="0"/>
      <w:ind w:left="567" w:hanging="567"/>
    </w:pPr>
    <w:rPr>
      <w:b/>
      <w:bCs/>
    </w:rPr>
  </w:style>
  <w:style w:type="paragraph" w:customStyle="1" w:styleId="AppendixTitle">
    <w:name w:val="Appendix Title"/>
    <w:basedOn w:val="Title"/>
    <w:next w:val="Normal"/>
    <w:pPr>
      <w:pageBreakBefore/>
      <w:numPr>
        <w:numId w:val="2"/>
      </w:numPr>
      <w:tabs>
        <w:tab w:val="clear" w:pos="454"/>
      </w:tabs>
      <w:spacing w:before="0" w:after="1400" w:line="240" w:lineRule="auto"/>
      <w:ind w:left="567" w:hanging="567"/>
    </w:pPr>
  </w:style>
  <w:style w:type="character" w:styleId="PageNumber">
    <w:name w:val="page number"/>
    <w:basedOn w:val="DefaultParagraphFont"/>
  </w:style>
  <w:style w:type="paragraph" w:customStyle="1" w:styleId="BulletOne">
    <w:name w:val="BulletOne"/>
    <w:basedOn w:val="Normal"/>
    <w:next w:val="Normal"/>
    <w:rsid w:val="000879BC"/>
    <w:pPr>
      <w:numPr>
        <w:ilvl w:val="1"/>
        <w:numId w:val="11"/>
      </w:numPr>
      <w:tabs>
        <w:tab w:val="clear" w:pos="1420"/>
      </w:tabs>
      <w:spacing w:before="0" w:after="120"/>
      <w:ind w:left="340"/>
    </w:pPr>
  </w:style>
  <w:style w:type="paragraph" w:customStyle="1" w:styleId="BulletThree">
    <w:name w:val="BulletThree"/>
    <w:basedOn w:val="Normal"/>
    <w:pPr>
      <w:numPr>
        <w:numId w:val="5"/>
      </w:numPr>
      <w:spacing w:after="0"/>
    </w:pPr>
  </w:style>
  <w:style w:type="paragraph" w:customStyle="1" w:styleId="BulletTwo">
    <w:name w:val="BulletTwo"/>
    <w:basedOn w:val="Normal"/>
    <w:pPr>
      <w:numPr>
        <w:numId w:val="6"/>
      </w:numPr>
      <w:spacing w:after="0"/>
    </w:pPr>
  </w:style>
  <w:style w:type="paragraph" w:customStyle="1" w:styleId="Indent1">
    <w:name w:val="Indent1"/>
    <w:basedOn w:val="Normal"/>
    <w:pPr>
      <w:tabs>
        <w:tab w:val="left" w:pos="567"/>
      </w:tabs>
      <w:ind w:left="567" w:hanging="567"/>
    </w:pPr>
  </w:style>
  <w:style w:type="paragraph" w:customStyle="1" w:styleId="Indent2">
    <w:name w:val="Indent2"/>
    <w:basedOn w:val="Normal"/>
    <w:pPr>
      <w:tabs>
        <w:tab w:val="left" w:pos="1134"/>
      </w:tabs>
      <w:ind w:left="1134" w:hanging="567"/>
    </w:pPr>
  </w:style>
  <w:style w:type="paragraph" w:customStyle="1" w:styleId="NumBulletOne">
    <w:name w:val="NumBulletOne"/>
    <w:basedOn w:val="Normal"/>
    <w:pPr>
      <w:numPr>
        <w:numId w:val="7"/>
      </w:numPr>
      <w:spacing w:after="0"/>
    </w:pPr>
  </w:style>
  <w:style w:type="paragraph" w:customStyle="1" w:styleId="NumBulletThree">
    <w:name w:val="NumBulletThree"/>
    <w:basedOn w:val="Normal"/>
    <w:pPr>
      <w:numPr>
        <w:ilvl w:val="2"/>
        <w:numId w:val="7"/>
      </w:numPr>
      <w:spacing w:after="0"/>
    </w:pPr>
  </w:style>
  <w:style w:type="paragraph" w:customStyle="1" w:styleId="NumBulletTwo">
    <w:name w:val="NumBulletTwo"/>
    <w:basedOn w:val="Normal"/>
    <w:pPr>
      <w:numPr>
        <w:ilvl w:val="1"/>
        <w:numId w:val="7"/>
      </w:numPr>
      <w:spacing w:after="0"/>
    </w:pPr>
  </w:style>
  <w:style w:type="paragraph" w:styleId="TOC2">
    <w:name w:val="toc 2"/>
    <w:basedOn w:val="Normal"/>
    <w:next w:val="Normal"/>
    <w:semiHidden/>
    <w:pPr>
      <w:tabs>
        <w:tab w:val="left" w:pos="1134"/>
        <w:tab w:val="right" w:pos="8108"/>
      </w:tabs>
      <w:spacing w:before="120" w:after="0"/>
      <w:ind w:left="1134" w:hanging="567"/>
      <w:contextualSpacing/>
    </w:pPr>
  </w:style>
  <w:style w:type="character" w:styleId="Hyperlink">
    <w:name w:val="Hyperlink"/>
    <w:uiPriority w:val="99"/>
    <w:rPr>
      <w:color w:val="0000FF"/>
      <w:u w:val="single"/>
    </w:rPr>
  </w:style>
  <w:style w:type="paragraph" w:styleId="TOC3">
    <w:name w:val="toc 3"/>
    <w:basedOn w:val="Normal"/>
    <w:next w:val="Normal"/>
    <w:semiHidden/>
    <w:pPr>
      <w:tabs>
        <w:tab w:val="right" w:pos="8108"/>
      </w:tabs>
      <w:spacing w:before="120" w:after="0"/>
      <w:ind w:left="567" w:hanging="567"/>
    </w:pPr>
    <w:rPr>
      <w:b/>
    </w:rPr>
  </w:style>
  <w:style w:type="paragraph" w:customStyle="1" w:styleId="NormalHeading">
    <w:name w:val="Normal Heading"/>
    <w:basedOn w:val="Normal"/>
    <w:pPr>
      <w:spacing w:before="0" w:after="0"/>
    </w:pPr>
  </w:style>
  <w:style w:type="paragraph" w:customStyle="1" w:styleId="Contents">
    <w:name w:val="Contents"/>
    <w:basedOn w:val="Normal"/>
    <w:next w:val="Normal"/>
    <w:pPr>
      <w:framePr w:w="8108" w:wrap="around" w:vAnchor="text" w:hAnchor="text" w:y="1"/>
      <w:spacing w:after="1400"/>
    </w:pPr>
    <w:rPr>
      <w:sz w:val="40"/>
    </w:rPr>
  </w:style>
  <w:style w:type="paragraph" w:customStyle="1" w:styleId="NumSection">
    <w:name w:val="NumSection"/>
    <w:basedOn w:val="Normal"/>
    <w:next w:val="NumHead"/>
    <w:pPr>
      <w:pageBreakBefore/>
      <w:framePr w:w="8222" w:wrap="around" w:vAnchor="text" w:hAnchor="text" w:y="1"/>
      <w:numPr>
        <w:numId w:val="9"/>
      </w:numPr>
      <w:spacing w:after="1400"/>
    </w:pPr>
    <w:rPr>
      <w:color w:val="4F2D7F"/>
      <w:sz w:val="40"/>
    </w:rPr>
  </w:style>
  <w:style w:type="paragraph" w:customStyle="1" w:styleId="NumHead">
    <w:name w:val="NumHead"/>
    <w:basedOn w:val="NormalHeading"/>
    <w:next w:val="Normal"/>
    <w:pPr>
      <w:keepNext/>
      <w:spacing w:line="220" w:lineRule="exact"/>
      <w:outlineLvl w:val="1"/>
    </w:pPr>
    <w:rPr>
      <w:b/>
      <w:color w:val="4F2D7F"/>
      <w:sz w:val="26"/>
      <w:szCs w:val="19"/>
    </w:rPr>
  </w:style>
  <w:style w:type="paragraph" w:styleId="Caption">
    <w:name w:val="caption"/>
    <w:basedOn w:val="Normal"/>
    <w:next w:val="Normal"/>
    <w:qFormat/>
    <w:pPr>
      <w:keepNext/>
    </w:pPr>
    <w:rPr>
      <w:b/>
      <w:bCs/>
      <w:szCs w:val="20"/>
    </w:rPr>
  </w:style>
  <w:style w:type="paragraph" w:styleId="Index1">
    <w:name w:val="index 1"/>
    <w:basedOn w:val="Normal"/>
    <w:next w:val="Normal"/>
    <w:autoRedefine/>
    <w:semiHidden/>
    <w:pPr>
      <w:ind w:left="220" w:hanging="2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pPr>
      <w:spacing w:after="284"/>
    </w:pPr>
    <w:rPr>
      <w:sz w:val="20"/>
      <w:szCs w:val="20"/>
    </w:rPr>
  </w:style>
  <w:style w:type="character" w:styleId="FootnoteReference">
    <w:name w:val="footnote reference"/>
    <w:aliases w:val="Footnote symbol"/>
    <w:semiHidden/>
    <w:rPr>
      <w:vertAlign w:val="superscript"/>
    </w:rPr>
  </w:style>
  <w:style w:type="character" w:customStyle="1" w:styleId="BulletOneChar">
    <w:name w:val="BulletOne Char"/>
    <w:rPr>
      <w:rFonts w:ascii="Garamond" w:hAnsi="Garamond"/>
      <w:sz w:val="22"/>
      <w:szCs w:val="24"/>
      <w:lang w:val="en-GB" w:eastAsia="en-US" w:bidi="ar-SA"/>
    </w:rPr>
  </w:style>
  <w:style w:type="paragraph" w:styleId="NoSpacing">
    <w:name w:val="No Spacing"/>
    <w:qFormat/>
    <w:rPr>
      <w:rFonts w:ascii="Calibri" w:eastAsia="Calibri" w:hAnsi="Calibri"/>
      <w:sz w:val="22"/>
      <w:szCs w:val="22"/>
      <w:lang w:eastAsia="en-US"/>
    </w:rPr>
  </w:style>
  <w:style w:type="character" w:customStyle="1" w:styleId="BulletTwoChar">
    <w:name w:val="BulletTwo Char"/>
    <w:rPr>
      <w:rFonts w:ascii="Garamond" w:hAnsi="Garamond"/>
      <w:sz w:val="22"/>
      <w:szCs w:val="24"/>
      <w:lang w:val="en-GB" w:eastAsia="en-US" w:bidi="ar-SA"/>
    </w:rPr>
  </w:style>
  <w:style w:type="paragraph" w:customStyle="1" w:styleId="CM30">
    <w:name w:val="CM30"/>
    <w:basedOn w:val="Default"/>
    <w:next w:val="Default"/>
    <w:rPr>
      <w:rFonts w:ascii="Bliss" w:hAnsi="Bliss" w:cs="Times New Roman"/>
      <w:color w:val="auto"/>
    </w:rPr>
  </w:style>
  <w:style w:type="paragraph" w:customStyle="1" w:styleId="CM32">
    <w:name w:val="CM32"/>
    <w:basedOn w:val="Default"/>
    <w:next w:val="Default"/>
    <w:rPr>
      <w:rFonts w:ascii="Bliss" w:hAnsi="Bliss" w:cs="Times New Roman"/>
      <w:color w:val="auto"/>
    </w:rPr>
  </w:style>
  <w:style w:type="paragraph" w:styleId="ListParagraph">
    <w:name w:val="List Paragraph"/>
    <w:basedOn w:val="Normal"/>
    <w:qFormat/>
    <w:pPr>
      <w:spacing w:after="0"/>
      <w:ind w:left="720"/>
      <w:contextualSpacing/>
    </w:pPr>
    <w:rPr>
      <w:rFonts w:ascii="Calibri" w:eastAsia="Calibri" w:hAnsi="Calibri"/>
      <w:szCs w:val="22"/>
    </w:rPr>
  </w:style>
  <w:style w:type="paragraph" w:styleId="NormalWeb">
    <w:name w:val="Normal (Web)"/>
    <w:basedOn w:val="Normal"/>
    <w:pPr>
      <w:spacing w:after="360"/>
    </w:pPr>
    <w:rPr>
      <w:rFonts w:ascii="Times New Roman" w:hAnsi="Times New Roman"/>
      <w:sz w:val="24"/>
      <w:lang w:val="en-US"/>
    </w:rPr>
  </w:style>
  <w:style w:type="paragraph" w:customStyle="1" w:styleId="last">
    <w:name w:val="last"/>
    <w:basedOn w:val="Normal"/>
    <w:pPr>
      <w:spacing w:after="0"/>
    </w:pPr>
    <w:rPr>
      <w:rFonts w:ascii="Times New Roman" w:hAnsi="Times New Roman"/>
      <w:sz w:val="24"/>
      <w:lang w:val="en-US"/>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1, Char Char, Char"/>
    <w:basedOn w:val="Normal"/>
    <w:pPr>
      <w:numPr>
        <w:numId w:val="10"/>
      </w:numPr>
      <w:spacing w:after="0" w:line="270" w:lineRule="exact"/>
      <w:outlineLvl w:val="0"/>
    </w:pPr>
    <w:rPr>
      <w:rFonts w:ascii="Verdana" w:hAnsi="Verdana"/>
      <w:sz w:val="20"/>
      <w:szCs w:val="20"/>
    </w:rPr>
  </w:style>
  <w:style w:type="paragraph" w:customStyle="1" w:styleId="Tabletext0">
    <w:name w:val="Table text"/>
    <w:basedOn w:val="BodyText"/>
    <w:pPr>
      <w:spacing w:after="240"/>
    </w:pPr>
    <w:rPr>
      <w:rFonts w:ascii="Arial" w:hAnsi="Arial"/>
      <w:sz w:val="20"/>
      <w:szCs w:val="20"/>
    </w:rPr>
  </w:style>
  <w:style w:type="character" w:customStyle="1" w:styleId="TabletextChar">
    <w:name w:val="Table text Char"/>
    <w:rPr>
      <w:rFonts w:ascii="Arial" w:hAnsi="Arial"/>
      <w:lang w:val="en-GB" w:eastAsia="en-US" w:bidi="ar-SA"/>
    </w:rPr>
  </w:style>
  <w:style w:type="paragraph" w:styleId="BodyText">
    <w:name w:val="Body Text"/>
    <w:basedOn w:val="Normal"/>
    <w:pPr>
      <w:spacing w:after="120"/>
    </w:pPr>
  </w:style>
  <w:style w:type="character" w:styleId="Strong">
    <w:name w:val="Strong"/>
    <w:qFormat/>
    <w:rPr>
      <w:b/>
      <w:bCs/>
    </w:rPr>
  </w:style>
  <w:style w:type="character" w:styleId="CommentReference">
    <w:name w:val="annotation reference"/>
    <w:semiHidden/>
    <w:rPr>
      <w:sz w:val="16"/>
      <w:szCs w:val="16"/>
    </w:rPr>
  </w:style>
  <w:style w:type="paragraph" w:customStyle="1" w:styleId="Style1">
    <w:name w:val="Style1"/>
    <w:basedOn w:val="BulletTwo"/>
    <w:pPr>
      <w:numPr>
        <w:numId w:val="0"/>
      </w:numPr>
      <w:ind w:left="680" w:hanging="340"/>
    </w:pPr>
    <w:rPr>
      <w:rFonts w:cs="Dax-Bold"/>
      <w:b/>
      <w:bCs/>
      <w:lang w:val="en-US"/>
    </w:rPr>
  </w:style>
  <w:style w:type="paragraph" w:customStyle="1" w:styleId="Style2">
    <w:name w:val="Style2"/>
    <w:basedOn w:val="Normal"/>
    <w:pPr>
      <w:autoSpaceDE w:val="0"/>
      <w:autoSpaceDN w:val="0"/>
      <w:adjustRightInd w:val="0"/>
      <w:spacing w:after="0"/>
    </w:pPr>
    <w:rPr>
      <w:b/>
      <w:lang w:val="en"/>
    </w:rPr>
  </w:style>
  <w:style w:type="paragraph" w:customStyle="1" w:styleId="Style3">
    <w:name w:val="Style3"/>
    <w:basedOn w:val="Normal"/>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CharChar1">
    <w:name w:val="Char Char1"/>
    <w:rPr>
      <w:rFonts w:ascii="Garamond" w:hAnsi="Garamond"/>
      <w:lang w:val="en-GB" w:eastAsia="en-US" w:bidi="ar-SA"/>
    </w:rPr>
  </w:style>
  <w:style w:type="paragraph" w:styleId="BodyTextIndent">
    <w:name w:val="Body Text Indent"/>
    <w:basedOn w:val="Normal"/>
    <w:pPr>
      <w:ind w:left="567"/>
    </w:pPr>
    <w:rPr>
      <w:i/>
      <w:iCs/>
    </w:rPr>
  </w:style>
  <w:style w:type="paragraph" w:customStyle="1" w:styleId="Tableheader">
    <w:name w:val="Table header"/>
    <w:basedOn w:val="BodyText"/>
    <w:pPr>
      <w:spacing w:after="240"/>
    </w:pPr>
    <w:rPr>
      <w:rFonts w:ascii="Arial" w:hAnsi="Arial"/>
      <w:b/>
      <w:color w:val="FFFFFF"/>
      <w:sz w:val="20"/>
      <w:szCs w:val="20"/>
    </w:rPr>
  </w:style>
  <w:style w:type="character" w:customStyle="1" w:styleId="NormalHeadingChar">
    <w:name w:val="Normal Heading Char"/>
    <w:rPr>
      <w:rFonts w:ascii="Garamond" w:hAnsi="Garamond"/>
      <w:sz w:val="22"/>
      <w:szCs w:val="24"/>
      <w:lang w:val="en-GB" w:eastAsia="en-US" w:bidi="ar-SA"/>
    </w:rPr>
  </w:style>
  <w:style w:type="character" w:customStyle="1" w:styleId="Heading2Char">
    <w:name w:val="Heading 2 Char"/>
    <w:rPr>
      <w:rFonts w:ascii="Garamond" w:hAnsi="Garamond"/>
      <w:b/>
      <w:bCs/>
      <w:iCs/>
      <w:color w:val="4F2D7F"/>
      <w:sz w:val="26"/>
      <w:szCs w:val="19"/>
      <w:lang w:val="en-GB" w:eastAsia="en-US" w:bidi="ar-SA"/>
    </w:rPr>
  </w:style>
  <w:style w:type="character" w:customStyle="1" w:styleId="Heading3CharChar">
    <w:name w:val="Heading 3 Char Char"/>
    <w:rPr>
      <w:rFonts w:ascii="Garamond" w:hAnsi="Garamond"/>
      <w:b/>
      <w:bCs/>
      <w:iCs/>
      <w:color w:val="4F2D7F"/>
      <w:sz w:val="22"/>
      <w:szCs w:val="19"/>
      <w:lang w:val="en-GB" w:eastAsia="en-US" w:bidi="ar-SA"/>
    </w:rPr>
  </w:style>
  <w:style w:type="paragraph" w:customStyle="1" w:styleId="NumText">
    <w:name w:val="NumText"/>
    <w:basedOn w:val="Normal"/>
    <w:pPr>
      <w:tabs>
        <w:tab w:val="num" w:pos="0"/>
      </w:tabs>
      <w:spacing w:line="280" w:lineRule="exact"/>
      <w:ind w:hanging="567"/>
    </w:pPr>
  </w:style>
  <w:style w:type="character" w:customStyle="1" w:styleId="project">
    <w:name w:val="project"/>
    <w:basedOn w:val="DefaultParagraphFont"/>
  </w:style>
  <w:style w:type="character" w:customStyle="1" w:styleId="CharCharCharCharCharCharCharCharCharCharCharCharCharCharCharCharCharCharCharCharCharCharChar">
    <w:name w:val="Char Char Char Char Char Char Char Char Char Char Char Char Char Char Char Char Char Char Char Char Char Char Char"/>
    <w:aliases w:val=" Char Char Char Char Char Char Char Char Char Char Char Char Char Char Char Char Char Char Char Char Char Char1, Char1 Char"/>
    <w:rPr>
      <w:rFonts w:ascii="Verdana" w:hAnsi="Verdana"/>
      <w:lang w:val="en-GB" w:eastAsia="en-US" w:bidi="ar-SA"/>
    </w:rPr>
  </w:style>
  <w:style w:type="character" w:customStyle="1" w:styleId="CharChar3">
    <w:name w:val="Char Char3"/>
    <w:semiHidden/>
    <w:rPr>
      <w:rFonts w:ascii="Garamond" w:hAnsi="Garamond"/>
      <w:lang w:val="en-GB" w:eastAsia="en-US" w:bidi="ar-SA"/>
    </w:rPr>
  </w:style>
  <w:style w:type="character" w:customStyle="1" w:styleId="TableTextChar0">
    <w:name w:val="Table Text Char"/>
    <w:rPr>
      <w:rFonts w:ascii="Garamond" w:hAnsi="Garamond"/>
      <w:sz w:val="22"/>
      <w:szCs w:val="22"/>
      <w:lang w:val="en-GB" w:eastAsia="en-US" w:bidi="ar-SA"/>
    </w:rPr>
  </w:style>
  <w:style w:type="character" w:customStyle="1" w:styleId="TitleChar">
    <w:name w:val="Title Char"/>
    <w:rPr>
      <w:rFonts w:ascii="Garamond" w:hAnsi="Garamond" w:cs="Arial"/>
      <w:bCs/>
      <w:color w:val="4F2D7F"/>
      <w:kern w:val="28"/>
      <w:sz w:val="40"/>
      <w:szCs w:val="32"/>
      <w:lang w:val="en-GB" w:eastAsia="en-US" w:bidi="ar-SA"/>
    </w:rPr>
  </w:style>
  <w:style w:type="paragraph" w:customStyle="1" w:styleId="MarginBulletWhite">
    <w:name w:val="Margin Bullet White"/>
    <w:basedOn w:val="Normal"/>
    <w:pPr>
      <w:numPr>
        <w:numId w:val="12"/>
      </w:numPr>
      <w:spacing w:before="0" w:after="0" w:line="220" w:lineRule="exact"/>
    </w:pPr>
    <w:rPr>
      <w:rFonts w:ascii="Arial" w:hAnsi="Arial" w:cs="Garamond"/>
      <w:color w:val="FFFFFF"/>
      <w:sz w:val="16"/>
      <w:szCs w:val="16"/>
    </w:rPr>
  </w:style>
  <w:style w:type="paragraph" w:customStyle="1" w:styleId="SectionTitle">
    <w:name w:val="Section Title"/>
    <w:basedOn w:val="Normal"/>
    <w:next w:val="Normal"/>
    <w:pPr>
      <w:pageBreakBefore/>
      <w:spacing w:before="0" w:after="1400"/>
    </w:pPr>
    <w:rPr>
      <w:sz w:val="40"/>
    </w:rPr>
  </w:style>
  <w:style w:type="paragraph" w:customStyle="1" w:styleId="MarginNotesBlack">
    <w:name w:val="Margin Notes Black"/>
    <w:basedOn w:val="Normal"/>
    <w:pPr>
      <w:spacing w:before="0" w:after="0" w:line="220" w:lineRule="exact"/>
    </w:pPr>
    <w:rPr>
      <w:rFonts w:ascii="Arial" w:hAnsi="Arial" w:cs="Garamond"/>
      <w:sz w:val="16"/>
    </w:rPr>
  </w:style>
  <w:style w:type="paragraph" w:customStyle="1" w:styleId="Backpage">
    <w:name w:val="Back page"/>
    <w:rPr>
      <w:rFonts w:ascii="Arial Black" w:hAnsi="Arial Black" w:cs="Arial"/>
      <w:sz w:val="18"/>
      <w:lang w:eastAsia="en-US"/>
    </w:rPr>
  </w:style>
  <w:style w:type="paragraph" w:customStyle="1" w:styleId="Copyright">
    <w:name w:val="Copyright"/>
    <w:pPr>
      <w:spacing w:line="220" w:lineRule="atLeast"/>
    </w:pPr>
    <w:rPr>
      <w:rFonts w:ascii="Garamond" w:hAnsi="Garamond" w:cs="Arial"/>
      <w:lang w:eastAsia="en-US"/>
    </w:rPr>
  </w:style>
  <w:style w:type="paragraph" w:customStyle="1" w:styleId="FinalPage">
    <w:name w:val="Final Page"/>
    <w:basedOn w:val="Normal"/>
    <w:pPr>
      <w:spacing w:before="0" w:after="0" w:line="180" w:lineRule="exact"/>
    </w:pPr>
    <w:rPr>
      <w:rFonts w:ascii="Arial" w:hAnsi="Arial"/>
      <w:sz w:val="12"/>
      <w:szCs w:val="16"/>
      <w:lang w:eastAsia="en-GB"/>
    </w:rPr>
  </w:style>
  <w:style w:type="paragraph" w:customStyle="1" w:styleId="MarginBulletBlack">
    <w:name w:val="Margin Bullet Black"/>
    <w:basedOn w:val="MarginNotesBlack"/>
    <w:pPr>
      <w:numPr>
        <w:numId w:val="13"/>
      </w:numPr>
    </w:pPr>
  </w:style>
  <w:style w:type="paragraph" w:customStyle="1" w:styleId="MarginNotesWhite">
    <w:name w:val="Margin Notes White"/>
    <w:basedOn w:val="Normal"/>
    <w:pPr>
      <w:spacing w:before="0" w:after="0" w:line="220" w:lineRule="exact"/>
    </w:pPr>
    <w:rPr>
      <w:rFonts w:ascii="Arial" w:hAnsi="Arial" w:cs="Garamond"/>
      <w:color w:val="FFFFFF"/>
      <w:sz w:val="16"/>
      <w:szCs w:val="16"/>
    </w:rPr>
  </w:style>
  <w:style w:type="paragraph" w:customStyle="1" w:styleId="MarginHeadingBlack">
    <w:name w:val="Margin Heading Black"/>
    <w:basedOn w:val="Normal"/>
    <w:pPr>
      <w:spacing w:before="0" w:after="0" w:line="320" w:lineRule="exact"/>
    </w:pPr>
    <w:rPr>
      <w:rFonts w:ascii="Arial Black" w:hAnsi="Arial Black" w:cs="Garamond"/>
      <w:sz w:val="16"/>
    </w:rPr>
  </w:style>
  <w:style w:type="paragraph" w:customStyle="1" w:styleId="MarginHeadingWhite">
    <w:name w:val="Margin Heading White"/>
    <w:basedOn w:val="Normal"/>
    <w:pPr>
      <w:spacing w:before="0" w:after="0" w:line="320" w:lineRule="exact"/>
    </w:pPr>
    <w:rPr>
      <w:rFonts w:ascii="Arial Black" w:hAnsi="Arial Black" w:cs="Garamond"/>
      <w:color w:val="FFFFFF"/>
      <w:sz w:val="16"/>
    </w:rPr>
  </w:style>
  <w:style w:type="paragraph" w:customStyle="1" w:styleId="Bullet1">
    <w:name w:val="Bullet 1"/>
    <w:basedOn w:val="Normal"/>
    <w:pPr>
      <w:numPr>
        <w:numId w:val="14"/>
      </w:numPr>
      <w:spacing w:before="0" w:after="0"/>
    </w:pPr>
  </w:style>
  <w:style w:type="character" w:styleId="HTMLAcronym">
    <w:name w:val="HTML Acronym"/>
    <w:basedOn w:val="DefaultParagraphFont"/>
  </w:style>
  <w:style w:type="paragraph" w:customStyle="1" w:styleId="Bulleti">
    <w:name w:val="Bullet i"/>
    <w:basedOn w:val="Normal"/>
    <w:pPr>
      <w:tabs>
        <w:tab w:val="left" w:pos="454"/>
      </w:tabs>
      <w:spacing w:before="0" w:after="0"/>
    </w:pPr>
  </w:style>
  <w:style w:type="character" w:styleId="FollowedHyperlink">
    <w:name w:val="FollowedHyperlink"/>
    <w:rPr>
      <w:color w:val="800080"/>
      <w:u w:val="single"/>
    </w:rPr>
  </w:style>
  <w:style w:type="character" w:customStyle="1" w:styleId="Bullet1Char">
    <w:name w:val="Bullet 1 Char"/>
    <w:rPr>
      <w:rFonts w:ascii="Garamond" w:hAnsi="Garamond"/>
      <w:sz w:val="22"/>
      <w:szCs w:val="24"/>
      <w:lang w:val="en-GB" w:eastAsia="en-US" w:bidi="ar-SA"/>
    </w:rPr>
  </w:style>
  <w:style w:type="character" w:customStyle="1" w:styleId="FootnoteTextChar">
    <w:name w:val="Footnote Text Char"/>
    <w:semiHidden/>
    <w:locked/>
    <w:rPr>
      <w:rFonts w:ascii="Arial" w:hAnsi="Arial"/>
      <w:sz w:val="18"/>
      <w:lang w:val="en-GB" w:eastAsia="en-GB" w:bidi="ar-SA"/>
    </w:rPr>
  </w:style>
  <w:style w:type="paragraph" w:styleId="ListBullet2">
    <w:name w:val="List Bullet 2"/>
    <w:basedOn w:val="Normal"/>
    <w:pPr>
      <w:numPr>
        <w:numId w:val="15"/>
      </w:numPr>
      <w:spacing w:before="0" w:after="284"/>
    </w:pPr>
  </w:style>
  <w:style w:type="paragraph" w:customStyle="1" w:styleId="tabletext1">
    <w:name w:val="tabletext"/>
    <w:basedOn w:val="Normal"/>
    <w:pPr>
      <w:spacing w:before="0" w:after="0"/>
      <w:ind w:right="142"/>
      <w:jc w:val="both"/>
    </w:pPr>
    <w:rPr>
      <w:sz w:val="24"/>
      <w:lang w:val="en-US"/>
    </w:rPr>
  </w:style>
  <w:style w:type="paragraph" w:customStyle="1" w:styleId="BodyTextnumbered">
    <w:name w:val="Body Text (numbered)"/>
    <w:basedOn w:val="BodyText"/>
    <w:pPr>
      <w:numPr>
        <w:numId w:val="16"/>
      </w:numPr>
      <w:spacing w:before="0" w:after="240" w:line="288" w:lineRule="auto"/>
    </w:pPr>
    <w:rPr>
      <w:rFonts w:ascii="Arial" w:hAnsi="Arial"/>
      <w:sz w:val="24"/>
      <w:lang w:eastAsia="en-GB"/>
    </w:rPr>
  </w:style>
  <w:style w:type="character" w:styleId="EndnoteReference">
    <w:name w:val="endnote reference"/>
    <w:semiHidden/>
    <w:rPr>
      <w:rFonts w:cs="Arial"/>
      <w:color w:val="000000"/>
    </w:rPr>
  </w:style>
  <w:style w:type="character" w:customStyle="1" w:styleId="BodyTextChar">
    <w:name w:val="Body Text Char"/>
    <w:rPr>
      <w:rFonts w:ascii="Garamond" w:hAnsi="Garamond"/>
      <w:sz w:val="22"/>
      <w:szCs w:val="24"/>
      <w:lang w:val="en-GB" w:eastAsia="en-US" w:bidi="ar-SA"/>
    </w:rPr>
  </w:style>
  <w:style w:type="table" w:styleId="TableGrid">
    <w:name w:val="Table Grid"/>
    <w:basedOn w:val="TableNormal"/>
    <w:rsid w:val="001F7958"/>
    <w:pPr>
      <w:spacing w:after="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itlelevel1">
    <w:name w:val="Title level 1"/>
    <w:rsid w:val="001F7958"/>
    <w:pPr>
      <w:numPr>
        <w:numId w:val="17"/>
      </w:numPr>
    </w:pPr>
  </w:style>
  <w:style w:type="character" w:customStyle="1" w:styleId="ECOTEC">
    <w:name w:val="ECOTEC"/>
    <w:semiHidden/>
    <w:rsid w:val="001F7958"/>
    <w:rPr>
      <w:rFonts w:ascii="Arial" w:hAnsi="Arial" w:cs="Arial"/>
      <w:color w:val="000080"/>
      <w:sz w:val="20"/>
      <w:szCs w:val="20"/>
    </w:rPr>
  </w:style>
  <w:style w:type="paragraph" w:customStyle="1" w:styleId="msolistparagraph0">
    <w:name w:val="msolistparagraph"/>
    <w:basedOn w:val="Normal"/>
    <w:rsid w:val="001F7958"/>
    <w:pPr>
      <w:spacing w:before="0" w:after="0"/>
      <w:ind w:left="720"/>
    </w:pPr>
    <w:rPr>
      <w:rFonts w:ascii="Times New Roman" w:hAnsi="Times New Roman"/>
      <w:sz w:val="24"/>
      <w:lang w:val="en-US"/>
    </w:rPr>
  </w:style>
  <w:style w:type="character" w:customStyle="1" w:styleId="saritabhatia">
    <w:name w:val="saritabhatia"/>
    <w:semiHidden/>
    <w:rsid w:val="001F7958"/>
    <w:rPr>
      <w:rFonts w:ascii="Arial" w:hAnsi="Arial" w:cs="Arial"/>
      <w:color w:val="auto"/>
      <w:sz w:val="20"/>
      <w:szCs w:val="20"/>
    </w:rPr>
  </w:style>
  <w:style w:type="paragraph" w:customStyle="1" w:styleId="bulletone0">
    <w:name w:val="bulletone"/>
    <w:basedOn w:val="Normal"/>
    <w:rsid w:val="00E14AC8"/>
    <w:pPr>
      <w:tabs>
        <w:tab w:val="num" w:pos="1420"/>
      </w:tabs>
      <w:spacing w:before="0" w:after="120"/>
      <w:ind w:left="357" w:hanging="357"/>
    </w:pPr>
    <w:rPr>
      <w:szCs w:val="22"/>
      <w:lang w:val="en-US"/>
    </w:rPr>
  </w:style>
  <w:style w:type="paragraph" w:styleId="Revision">
    <w:name w:val="Revision"/>
    <w:hidden/>
    <w:uiPriority w:val="99"/>
    <w:semiHidden/>
    <w:rsid w:val="007D3BCE"/>
    <w:rPr>
      <w:rFonts w:ascii="Garamond" w:hAnsi="Garamond"/>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40" w:after="180"/>
    </w:pPr>
    <w:rPr>
      <w:rFonts w:ascii="Garamond" w:hAnsi="Garamond"/>
      <w:sz w:val="22"/>
      <w:szCs w:val="24"/>
      <w:lang w:eastAsia="en-US"/>
    </w:rPr>
  </w:style>
  <w:style w:type="paragraph" w:styleId="Heading1">
    <w:name w:val="heading 1"/>
    <w:basedOn w:val="NumSection"/>
    <w:next w:val="Normal"/>
    <w:qFormat/>
    <w:rsid w:val="00F6552A"/>
    <w:pPr>
      <w:keepNext/>
      <w:framePr w:w="0" w:wrap="auto" w:vAnchor="margin" w:yAlign="inline"/>
      <w:numPr>
        <w:numId w:val="8"/>
      </w:numPr>
      <w:tabs>
        <w:tab w:val="clear" w:pos="-360"/>
      </w:tabs>
      <w:spacing w:after="400" w:line="260" w:lineRule="atLeast"/>
      <w:ind w:left="0" w:hanging="567"/>
      <w:outlineLvl w:val="0"/>
    </w:pPr>
    <w:rPr>
      <w:rFonts w:cs="Arial"/>
      <w:bCs/>
      <w:kern w:val="32"/>
      <w:szCs w:val="21"/>
    </w:rPr>
  </w:style>
  <w:style w:type="paragraph" w:styleId="Heading2">
    <w:name w:val="heading 2"/>
    <w:basedOn w:val="NormalHeading"/>
    <w:next w:val="Normal"/>
    <w:qFormat/>
    <w:pPr>
      <w:keepNext/>
      <w:numPr>
        <w:ilvl w:val="1"/>
        <w:numId w:val="8"/>
      </w:numPr>
      <w:tabs>
        <w:tab w:val="clear" w:pos="-288"/>
      </w:tabs>
      <w:spacing w:before="260" w:line="260" w:lineRule="atLeast"/>
      <w:ind w:left="0" w:hanging="567"/>
      <w:outlineLvl w:val="1"/>
    </w:pPr>
    <w:rPr>
      <w:b/>
      <w:bCs/>
      <w:iCs/>
      <w:color w:val="4F2D7F"/>
      <w:sz w:val="26"/>
      <w:szCs w:val="19"/>
    </w:rPr>
  </w:style>
  <w:style w:type="paragraph" w:styleId="Heading3">
    <w:name w:val="heading 3"/>
    <w:basedOn w:val="Heading2"/>
    <w:next w:val="Normal"/>
    <w:qFormat/>
    <w:pPr>
      <w:numPr>
        <w:ilvl w:val="2"/>
      </w:numPr>
      <w:tabs>
        <w:tab w:val="clear" w:pos="720"/>
      </w:tabs>
      <w:ind w:left="357" w:hanging="357"/>
      <w:outlineLvl w:val="2"/>
    </w:pPr>
    <w:rPr>
      <w:bCs w:val="0"/>
      <w:color w:val="auto"/>
      <w:sz w:val="22"/>
    </w:rPr>
  </w:style>
  <w:style w:type="paragraph" w:styleId="Heading4">
    <w:name w:val="heading 4"/>
    <w:basedOn w:val="Heading3"/>
    <w:next w:val="Normal"/>
    <w:qFormat/>
    <w:pPr>
      <w:outlineLvl w:val="3"/>
    </w:pPr>
    <w:rPr>
      <w:b w:val="0"/>
      <w:bCs/>
    </w:rPr>
  </w:style>
  <w:style w:type="paragraph" w:styleId="Heading5">
    <w:name w:val="heading 5"/>
    <w:basedOn w:val="Normal"/>
    <w:next w:val="Normal"/>
    <w:qFormat/>
    <w:pPr>
      <w:numPr>
        <w:ilvl w:val="4"/>
        <w:numId w:val="7"/>
      </w:numPr>
      <w:spacing w:before="240"/>
      <w:outlineLvl w:val="4"/>
    </w:pPr>
    <w:rPr>
      <w:b/>
      <w:bCs/>
      <w:i/>
      <w:iCs/>
      <w:sz w:val="26"/>
      <w:szCs w:val="26"/>
    </w:rPr>
  </w:style>
  <w:style w:type="paragraph" w:styleId="Heading6">
    <w:name w:val="heading 6"/>
    <w:basedOn w:val="Normal"/>
    <w:next w:val="Normal"/>
    <w:qFormat/>
    <w:pPr>
      <w:numPr>
        <w:ilvl w:val="5"/>
        <w:numId w:val="7"/>
      </w:numPr>
      <w:spacing w:before="240"/>
      <w:outlineLvl w:val="5"/>
    </w:pPr>
    <w:rPr>
      <w:rFonts w:ascii="Times New Roman" w:hAnsi="Times New Roman"/>
      <w:b/>
      <w:bCs/>
      <w:szCs w:val="22"/>
    </w:rPr>
  </w:style>
  <w:style w:type="paragraph" w:styleId="Heading7">
    <w:name w:val="heading 7"/>
    <w:basedOn w:val="Normal"/>
    <w:next w:val="Normal"/>
    <w:qFormat/>
    <w:pPr>
      <w:numPr>
        <w:ilvl w:val="6"/>
        <w:numId w:val="7"/>
      </w:numPr>
      <w:spacing w:before="240"/>
      <w:outlineLvl w:val="6"/>
    </w:pPr>
    <w:rPr>
      <w:rFonts w:ascii="Times New Roman" w:hAnsi="Times New Roman"/>
      <w:sz w:val="24"/>
    </w:rPr>
  </w:style>
  <w:style w:type="paragraph" w:styleId="Heading8">
    <w:name w:val="heading 8"/>
    <w:basedOn w:val="Normal"/>
    <w:next w:val="Normal"/>
    <w:qFormat/>
    <w:pPr>
      <w:numPr>
        <w:ilvl w:val="7"/>
        <w:numId w:val="7"/>
      </w:numPr>
      <w:spacing w:before="240"/>
      <w:outlineLvl w:val="7"/>
    </w:pPr>
    <w:rPr>
      <w:rFonts w:ascii="Times New Roman" w:hAnsi="Times New Roman"/>
      <w:i/>
      <w:iCs/>
      <w:sz w:val="24"/>
    </w:rPr>
  </w:style>
  <w:style w:type="paragraph" w:styleId="Heading9">
    <w:name w:val="heading 9"/>
    <w:basedOn w:val="Normal"/>
    <w:next w:val="Normal"/>
    <w:qFormat/>
    <w:pPr>
      <w:numPr>
        <w:ilvl w:val="8"/>
        <w:numId w:val="7"/>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pPr>
      <w:numPr>
        <w:numId w:val="1"/>
      </w:numPr>
      <w:spacing w:after="0"/>
      <w:jc w:val="right"/>
    </w:pPr>
    <w:rPr>
      <w:rFonts w:ascii="Arial" w:hAnsi="Arial"/>
      <w:b/>
      <w:color w:val="808080"/>
      <w:sz w:val="16"/>
    </w:rPr>
  </w:style>
  <w:style w:type="paragraph" w:styleId="Subtitle">
    <w:name w:val="Subtitle"/>
    <w:qFormat/>
    <w:pPr>
      <w:spacing w:line="280" w:lineRule="atLeast"/>
      <w:outlineLvl w:val="1"/>
    </w:pPr>
    <w:rPr>
      <w:rFonts w:ascii="Arial" w:hAnsi="Arial" w:cs="Arial"/>
      <w:bCs/>
      <w:kern w:val="28"/>
      <w:sz w:val="24"/>
      <w:szCs w:val="24"/>
      <w:lang w:val="en-US" w:eastAsia="en-US"/>
    </w:rPr>
  </w:style>
  <w:style w:type="paragraph" w:styleId="Footer">
    <w:name w:val="footer"/>
    <w:basedOn w:val="Normal"/>
    <w:pPr>
      <w:tabs>
        <w:tab w:val="center" w:pos="4153"/>
        <w:tab w:val="right" w:pos="8306"/>
      </w:tabs>
      <w:spacing w:after="0"/>
    </w:pPr>
    <w:rPr>
      <w:rFonts w:ascii="Arial" w:hAnsi="Arial"/>
      <w:b/>
      <w:color w:val="808080"/>
      <w:sz w:val="16"/>
    </w:rPr>
  </w:style>
  <w:style w:type="paragraph" w:styleId="Header">
    <w:name w:val="header"/>
    <w:basedOn w:val="Normal"/>
    <w:pPr>
      <w:tabs>
        <w:tab w:val="center" w:pos="4150"/>
        <w:tab w:val="right" w:pos="8307"/>
      </w:tabs>
      <w:spacing w:after="0"/>
    </w:pPr>
    <w:rPr>
      <w:rFonts w:ascii="Arial" w:hAnsi="Arial"/>
      <w:b/>
      <w:color w:val="808080"/>
      <w:sz w:val="16"/>
    </w:rPr>
  </w:style>
  <w:style w:type="paragraph" w:customStyle="1" w:styleId="TableHeading">
    <w:name w:val="Table Heading"/>
    <w:basedOn w:val="TableText"/>
    <w:rPr>
      <w:b/>
      <w:bCs/>
      <w:kern w:val="28"/>
      <w:szCs w:val="24"/>
    </w:rPr>
  </w:style>
  <w:style w:type="paragraph" w:customStyle="1" w:styleId="TableText">
    <w:name w:val="Table Text"/>
    <w:basedOn w:val="Normal"/>
    <w:pPr>
      <w:spacing w:after="0"/>
      <w:ind w:right="142"/>
    </w:pPr>
    <w:rPr>
      <w:szCs w:val="22"/>
    </w:rPr>
  </w:style>
  <w:style w:type="paragraph" w:customStyle="1" w:styleId="TableSubTot">
    <w:name w:val="Table SubTot"/>
    <w:basedOn w:val="TableFigures"/>
    <w:pPr>
      <w:pBdr>
        <w:top w:val="single" w:sz="6" w:space="1" w:color="auto"/>
      </w:pBdr>
    </w:pPr>
    <w:rPr>
      <w:szCs w:val="24"/>
    </w:rPr>
  </w:style>
  <w:style w:type="paragraph" w:customStyle="1" w:styleId="TableFigures">
    <w:name w:val="Table Figures"/>
    <w:basedOn w:val="TableText"/>
    <w:pPr>
      <w:spacing w:before="25"/>
    </w:pPr>
    <w:rPr>
      <w:rFonts w:ascii="Arial" w:hAnsi="Arial"/>
      <w:sz w:val="18"/>
    </w:rPr>
  </w:style>
  <w:style w:type="paragraph" w:customStyle="1" w:styleId="TableTotal">
    <w:name w:val="Table Total"/>
    <w:basedOn w:val="TableFigures"/>
    <w:pPr>
      <w:pBdr>
        <w:top w:val="single" w:sz="6" w:space="1" w:color="auto"/>
        <w:bottom w:val="double" w:sz="6" w:space="1" w:color="auto"/>
      </w:pBdr>
    </w:pPr>
  </w:style>
  <w:style w:type="paragraph" w:styleId="Title">
    <w:name w:val="Title"/>
    <w:basedOn w:val="Normal"/>
    <w:next w:val="Subtitle"/>
    <w:qFormat/>
    <w:pPr>
      <w:spacing w:before="400" w:after="400" w:line="580" w:lineRule="atLeast"/>
    </w:pPr>
    <w:rPr>
      <w:rFonts w:cs="Arial"/>
      <w:bCs/>
      <w:color w:val="4F2D7F"/>
      <w:kern w:val="28"/>
      <w:sz w:val="40"/>
      <w:szCs w:val="32"/>
    </w:rPr>
  </w:style>
  <w:style w:type="paragraph" w:customStyle="1" w:styleId="TableDouble">
    <w:name w:val="Table Double"/>
    <w:basedOn w:val="TableFigures"/>
    <w:pPr>
      <w:pBdr>
        <w:bottom w:val="double" w:sz="6" w:space="1" w:color="auto"/>
      </w:pBdr>
    </w:pPr>
    <w:rPr>
      <w:sz w:val="16"/>
      <w:szCs w:val="24"/>
    </w:rPr>
  </w:style>
  <w:style w:type="paragraph" w:customStyle="1" w:styleId="TableSingle">
    <w:name w:val="Table Single"/>
    <w:basedOn w:val="TableFigures"/>
    <w:pPr>
      <w:pBdr>
        <w:bottom w:val="single" w:sz="6" w:space="1" w:color="auto"/>
      </w:pBdr>
    </w:pPr>
    <w:rPr>
      <w:szCs w:val="24"/>
    </w:rPr>
  </w:style>
  <w:style w:type="paragraph" w:customStyle="1" w:styleId="TableBullet">
    <w:name w:val="Table Bullet"/>
    <w:basedOn w:val="TableText"/>
    <w:pPr>
      <w:numPr>
        <w:numId w:val="3"/>
      </w:numPr>
    </w:pPr>
    <w:rPr>
      <w:szCs w:val="20"/>
    </w:rPr>
  </w:style>
  <w:style w:type="paragraph" w:customStyle="1" w:styleId="TableNumberBullet">
    <w:name w:val="Table Number Bullet"/>
    <w:basedOn w:val="TableText"/>
    <w:pPr>
      <w:numPr>
        <w:numId w:val="4"/>
      </w:numPr>
    </w:pPr>
    <w:rPr>
      <w:szCs w:val="24"/>
    </w:rPr>
  </w:style>
  <w:style w:type="paragraph" w:styleId="TOC1">
    <w:name w:val="toc 1"/>
    <w:basedOn w:val="Normal"/>
    <w:next w:val="Normal"/>
    <w:uiPriority w:val="39"/>
    <w:pPr>
      <w:tabs>
        <w:tab w:val="right" w:pos="8108"/>
      </w:tabs>
      <w:spacing w:before="120" w:after="0"/>
      <w:ind w:left="567" w:hanging="567"/>
    </w:pPr>
    <w:rPr>
      <w:b/>
      <w:bCs/>
    </w:rPr>
  </w:style>
  <w:style w:type="paragraph" w:customStyle="1" w:styleId="AppendixTitle">
    <w:name w:val="Appendix Title"/>
    <w:basedOn w:val="Title"/>
    <w:next w:val="Normal"/>
    <w:pPr>
      <w:pageBreakBefore/>
      <w:numPr>
        <w:numId w:val="2"/>
      </w:numPr>
      <w:tabs>
        <w:tab w:val="clear" w:pos="454"/>
      </w:tabs>
      <w:spacing w:before="0" w:after="1400" w:line="240" w:lineRule="auto"/>
      <w:ind w:left="567" w:hanging="567"/>
    </w:pPr>
  </w:style>
  <w:style w:type="character" w:styleId="PageNumber">
    <w:name w:val="page number"/>
    <w:basedOn w:val="DefaultParagraphFont"/>
  </w:style>
  <w:style w:type="paragraph" w:customStyle="1" w:styleId="BulletOne">
    <w:name w:val="BulletOne"/>
    <w:basedOn w:val="Normal"/>
    <w:next w:val="Normal"/>
    <w:rsid w:val="000879BC"/>
    <w:pPr>
      <w:numPr>
        <w:ilvl w:val="1"/>
        <w:numId w:val="11"/>
      </w:numPr>
      <w:tabs>
        <w:tab w:val="clear" w:pos="1420"/>
      </w:tabs>
      <w:spacing w:before="0" w:after="120"/>
      <w:ind w:left="340"/>
    </w:pPr>
  </w:style>
  <w:style w:type="paragraph" w:customStyle="1" w:styleId="BulletThree">
    <w:name w:val="BulletThree"/>
    <w:basedOn w:val="Normal"/>
    <w:pPr>
      <w:numPr>
        <w:numId w:val="5"/>
      </w:numPr>
      <w:spacing w:after="0"/>
    </w:pPr>
  </w:style>
  <w:style w:type="paragraph" w:customStyle="1" w:styleId="BulletTwo">
    <w:name w:val="BulletTwo"/>
    <w:basedOn w:val="Normal"/>
    <w:pPr>
      <w:numPr>
        <w:numId w:val="6"/>
      </w:numPr>
      <w:spacing w:after="0"/>
    </w:pPr>
  </w:style>
  <w:style w:type="paragraph" w:customStyle="1" w:styleId="Indent1">
    <w:name w:val="Indent1"/>
    <w:basedOn w:val="Normal"/>
    <w:pPr>
      <w:tabs>
        <w:tab w:val="left" w:pos="567"/>
      </w:tabs>
      <w:ind w:left="567" w:hanging="567"/>
    </w:pPr>
  </w:style>
  <w:style w:type="paragraph" w:customStyle="1" w:styleId="Indent2">
    <w:name w:val="Indent2"/>
    <w:basedOn w:val="Normal"/>
    <w:pPr>
      <w:tabs>
        <w:tab w:val="left" w:pos="1134"/>
      </w:tabs>
      <w:ind w:left="1134" w:hanging="567"/>
    </w:pPr>
  </w:style>
  <w:style w:type="paragraph" w:customStyle="1" w:styleId="NumBulletOne">
    <w:name w:val="NumBulletOne"/>
    <w:basedOn w:val="Normal"/>
    <w:pPr>
      <w:numPr>
        <w:numId w:val="7"/>
      </w:numPr>
      <w:spacing w:after="0"/>
    </w:pPr>
  </w:style>
  <w:style w:type="paragraph" w:customStyle="1" w:styleId="NumBulletThree">
    <w:name w:val="NumBulletThree"/>
    <w:basedOn w:val="Normal"/>
    <w:pPr>
      <w:numPr>
        <w:ilvl w:val="2"/>
        <w:numId w:val="7"/>
      </w:numPr>
      <w:spacing w:after="0"/>
    </w:pPr>
  </w:style>
  <w:style w:type="paragraph" w:customStyle="1" w:styleId="NumBulletTwo">
    <w:name w:val="NumBulletTwo"/>
    <w:basedOn w:val="Normal"/>
    <w:pPr>
      <w:numPr>
        <w:ilvl w:val="1"/>
        <w:numId w:val="7"/>
      </w:numPr>
      <w:spacing w:after="0"/>
    </w:pPr>
  </w:style>
  <w:style w:type="paragraph" w:styleId="TOC2">
    <w:name w:val="toc 2"/>
    <w:basedOn w:val="Normal"/>
    <w:next w:val="Normal"/>
    <w:semiHidden/>
    <w:pPr>
      <w:tabs>
        <w:tab w:val="left" w:pos="1134"/>
        <w:tab w:val="right" w:pos="8108"/>
      </w:tabs>
      <w:spacing w:before="120" w:after="0"/>
      <w:ind w:left="1134" w:hanging="567"/>
      <w:contextualSpacing/>
    </w:pPr>
  </w:style>
  <w:style w:type="character" w:styleId="Hyperlink">
    <w:name w:val="Hyperlink"/>
    <w:uiPriority w:val="99"/>
    <w:rPr>
      <w:color w:val="0000FF"/>
      <w:u w:val="single"/>
    </w:rPr>
  </w:style>
  <w:style w:type="paragraph" w:styleId="TOC3">
    <w:name w:val="toc 3"/>
    <w:basedOn w:val="Normal"/>
    <w:next w:val="Normal"/>
    <w:semiHidden/>
    <w:pPr>
      <w:tabs>
        <w:tab w:val="right" w:pos="8108"/>
      </w:tabs>
      <w:spacing w:before="120" w:after="0"/>
      <w:ind w:left="567" w:hanging="567"/>
    </w:pPr>
    <w:rPr>
      <w:b/>
    </w:rPr>
  </w:style>
  <w:style w:type="paragraph" w:customStyle="1" w:styleId="NormalHeading">
    <w:name w:val="Normal Heading"/>
    <w:basedOn w:val="Normal"/>
    <w:pPr>
      <w:spacing w:before="0" w:after="0"/>
    </w:pPr>
  </w:style>
  <w:style w:type="paragraph" w:customStyle="1" w:styleId="Contents">
    <w:name w:val="Contents"/>
    <w:basedOn w:val="Normal"/>
    <w:next w:val="Normal"/>
    <w:pPr>
      <w:framePr w:w="8108" w:wrap="around" w:vAnchor="text" w:hAnchor="text" w:y="1"/>
      <w:spacing w:after="1400"/>
    </w:pPr>
    <w:rPr>
      <w:sz w:val="40"/>
    </w:rPr>
  </w:style>
  <w:style w:type="paragraph" w:customStyle="1" w:styleId="NumSection">
    <w:name w:val="NumSection"/>
    <w:basedOn w:val="Normal"/>
    <w:next w:val="NumHead"/>
    <w:pPr>
      <w:pageBreakBefore/>
      <w:framePr w:w="8222" w:wrap="around" w:vAnchor="text" w:hAnchor="text" w:y="1"/>
      <w:numPr>
        <w:numId w:val="9"/>
      </w:numPr>
      <w:spacing w:after="1400"/>
    </w:pPr>
    <w:rPr>
      <w:color w:val="4F2D7F"/>
      <w:sz w:val="40"/>
    </w:rPr>
  </w:style>
  <w:style w:type="paragraph" w:customStyle="1" w:styleId="NumHead">
    <w:name w:val="NumHead"/>
    <w:basedOn w:val="NormalHeading"/>
    <w:next w:val="Normal"/>
    <w:pPr>
      <w:keepNext/>
      <w:spacing w:line="220" w:lineRule="exact"/>
      <w:outlineLvl w:val="1"/>
    </w:pPr>
    <w:rPr>
      <w:b/>
      <w:color w:val="4F2D7F"/>
      <w:sz w:val="26"/>
      <w:szCs w:val="19"/>
    </w:rPr>
  </w:style>
  <w:style w:type="paragraph" w:styleId="Caption">
    <w:name w:val="caption"/>
    <w:basedOn w:val="Normal"/>
    <w:next w:val="Normal"/>
    <w:qFormat/>
    <w:pPr>
      <w:keepNext/>
    </w:pPr>
    <w:rPr>
      <w:b/>
      <w:bCs/>
      <w:szCs w:val="20"/>
    </w:rPr>
  </w:style>
  <w:style w:type="paragraph" w:styleId="Index1">
    <w:name w:val="index 1"/>
    <w:basedOn w:val="Normal"/>
    <w:next w:val="Normal"/>
    <w:autoRedefine/>
    <w:semiHidden/>
    <w:pPr>
      <w:ind w:left="220" w:hanging="2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pPr>
      <w:spacing w:after="284"/>
    </w:pPr>
    <w:rPr>
      <w:sz w:val="20"/>
      <w:szCs w:val="20"/>
    </w:rPr>
  </w:style>
  <w:style w:type="character" w:styleId="FootnoteReference">
    <w:name w:val="footnote reference"/>
    <w:aliases w:val="Footnote symbol"/>
    <w:semiHidden/>
    <w:rPr>
      <w:vertAlign w:val="superscript"/>
    </w:rPr>
  </w:style>
  <w:style w:type="character" w:customStyle="1" w:styleId="BulletOneChar">
    <w:name w:val="BulletOne Char"/>
    <w:rPr>
      <w:rFonts w:ascii="Garamond" w:hAnsi="Garamond"/>
      <w:sz w:val="22"/>
      <w:szCs w:val="24"/>
      <w:lang w:val="en-GB" w:eastAsia="en-US" w:bidi="ar-SA"/>
    </w:rPr>
  </w:style>
  <w:style w:type="paragraph" w:styleId="NoSpacing">
    <w:name w:val="No Spacing"/>
    <w:qFormat/>
    <w:rPr>
      <w:rFonts w:ascii="Calibri" w:eastAsia="Calibri" w:hAnsi="Calibri"/>
      <w:sz w:val="22"/>
      <w:szCs w:val="22"/>
      <w:lang w:eastAsia="en-US"/>
    </w:rPr>
  </w:style>
  <w:style w:type="character" w:customStyle="1" w:styleId="BulletTwoChar">
    <w:name w:val="BulletTwo Char"/>
    <w:rPr>
      <w:rFonts w:ascii="Garamond" w:hAnsi="Garamond"/>
      <w:sz w:val="22"/>
      <w:szCs w:val="24"/>
      <w:lang w:val="en-GB" w:eastAsia="en-US" w:bidi="ar-SA"/>
    </w:rPr>
  </w:style>
  <w:style w:type="paragraph" w:customStyle="1" w:styleId="CM30">
    <w:name w:val="CM30"/>
    <w:basedOn w:val="Default"/>
    <w:next w:val="Default"/>
    <w:rPr>
      <w:rFonts w:ascii="Bliss" w:hAnsi="Bliss" w:cs="Times New Roman"/>
      <w:color w:val="auto"/>
    </w:rPr>
  </w:style>
  <w:style w:type="paragraph" w:customStyle="1" w:styleId="CM32">
    <w:name w:val="CM32"/>
    <w:basedOn w:val="Default"/>
    <w:next w:val="Default"/>
    <w:rPr>
      <w:rFonts w:ascii="Bliss" w:hAnsi="Bliss" w:cs="Times New Roman"/>
      <w:color w:val="auto"/>
    </w:rPr>
  </w:style>
  <w:style w:type="paragraph" w:styleId="ListParagraph">
    <w:name w:val="List Paragraph"/>
    <w:basedOn w:val="Normal"/>
    <w:qFormat/>
    <w:pPr>
      <w:spacing w:after="0"/>
      <w:ind w:left="720"/>
      <w:contextualSpacing/>
    </w:pPr>
    <w:rPr>
      <w:rFonts w:ascii="Calibri" w:eastAsia="Calibri" w:hAnsi="Calibri"/>
      <w:szCs w:val="22"/>
    </w:rPr>
  </w:style>
  <w:style w:type="paragraph" w:styleId="NormalWeb">
    <w:name w:val="Normal (Web)"/>
    <w:basedOn w:val="Normal"/>
    <w:pPr>
      <w:spacing w:after="360"/>
    </w:pPr>
    <w:rPr>
      <w:rFonts w:ascii="Times New Roman" w:hAnsi="Times New Roman"/>
      <w:sz w:val="24"/>
      <w:lang w:val="en-US"/>
    </w:rPr>
  </w:style>
  <w:style w:type="paragraph" w:customStyle="1" w:styleId="last">
    <w:name w:val="last"/>
    <w:basedOn w:val="Normal"/>
    <w:pPr>
      <w:spacing w:after="0"/>
    </w:pPr>
    <w:rPr>
      <w:rFonts w:ascii="Times New Roman" w:hAnsi="Times New Roman"/>
      <w:sz w:val="24"/>
      <w:lang w:val="en-US"/>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1, Char Char, Char"/>
    <w:basedOn w:val="Normal"/>
    <w:pPr>
      <w:numPr>
        <w:numId w:val="10"/>
      </w:numPr>
      <w:spacing w:after="0" w:line="270" w:lineRule="exact"/>
      <w:outlineLvl w:val="0"/>
    </w:pPr>
    <w:rPr>
      <w:rFonts w:ascii="Verdana" w:hAnsi="Verdana"/>
      <w:sz w:val="20"/>
      <w:szCs w:val="20"/>
    </w:rPr>
  </w:style>
  <w:style w:type="paragraph" w:customStyle="1" w:styleId="Tabletext0">
    <w:name w:val="Table text"/>
    <w:basedOn w:val="BodyText"/>
    <w:pPr>
      <w:spacing w:after="240"/>
    </w:pPr>
    <w:rPr>
      <w:rFonts w:ascii="Arial" w:hAnsi="Arial"/>
      <w:sz w:val="20"/>
      <w:szCs w:val="20"/>
    </w:rPr>
  </w:style>
  <w:style w:type="character" w:customStyle="1" w:styleId="TabletextChar">
    <w:name w:val="Table text Char"/>
    <w:rPr>
      <w:rFonts w:ascii="Arial" w:hAnsi="Arial"/>
      <w:lang w:val="en-GB" w:eastAsia="en-US" w:bidi="ar-SA"/>
    </w:rPr>
  </w:style>
  <w:style w:type="paragraph" w:styleId="BodyText">
    <w:name w:val="Body Text"/>
    <w:basedOn w:val="Normal"/>
    <w:pPr>
      <w:spacing w:after="120"/>
    </w:pPr>
  </w:style>
  <w:style w:type="character" w:styleId="Strong">
    <w:name w:val="Strong"/>
    <w:qFormat/>
    <w:rPr>
      <w:b/>
      <w:bCs/>
    </w:rPr>
  </w:style>
  <w:style w:type="character" w:styleId="CommentReference">
    <w:name w:val="annotation reference"/>
    <w:semiHidden/>
    <w:rPr>
      <w:sz w:val="16"/>
      <w:szCs w:val="16"/>
    </w:rPr>
  </w:style>
  <w:style w:type="paragraph" w:customStyle="1" w:styleId="Style1">
    <w:name w:val="Style1"/>
    <w:basedOn w:val="BulletTwo"/>
    <w:pPr>
      <w:numPr>
        <w:numId w:val="0"/>
      </w:numPr>
      <w:ind w:left="680" w:hanging="340"/>
    </w:pPr>
    <w:rPr>
      <w:rFonts w:cs="Dax-Bold"/>
      <w:b/>
      <w:bCs/>
      <w:lang w:val="en-US"/>
    </w:rPr>
  </w:style>
  <w:style w:type="paragraph" w:customStyle="1" w:styleId="Style2">
    <w:name w:val="Style2"/>
    <w:basedOn w:val="Normal"/>
    <w:pPr>
      <w:autoSpaceDE w:val="0"/>
      <w:autoSpaceDN w:val="0"/>
      <w:adjustRightInd w:val="0"/>
      <w:spacing w:after="0"/>
    </w:pPr>
    <w:rPr>
      <w:b/>
      <w:lang w:val="en"/>
    </w:rPr>
  </w:style>
  <w:style w:type="paragraph" w:customStyle="1" w:styleId="Style3">
    <w:name w:val="Style3"/>
    <w:basedOn w:val="Normal"/>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CharChar1">
    <w:name w:val="Char Char1"/>
    <w:rPr>
      <w:rFonts w:ascii="Garamond" w:hAnsi="Garamond"/>
      <w:lang w:val="en-GB" w:eastAsia="en-US" w:bidi="ar-SA"/>
    </w:rPr>
  </w:style>
  <w:style w:type="paragraph" w:styleId="BodyTextIndent">
    <w:name w:val="Body Text Indent"/>
    <w:basedOn w:val="Normal"/>
    <w:pPr>
      <w:ind w:left="567"/>
    </w:pPr>
    <w:rPr>
      <w:i/>
      <w:iCs/>
    </w:rPr>
  </w:style>
  <w:style w:type="paragraph" w:customStyle="1" w:styleId="Tableheader">
    <w:name w:val="Table header"/>
    <w:basedOn w:val="BodyText"/>
    <w:pPr>
      <w:spacing w:after="240"/>
    </w:pPr>
    <w:rPr>
      <w:rFonts w:ascii="Arial" w:hAnsi="Arial"/>
      <w:b/>
      <w:color w:val="FFFFFF"/>
      <w:sz w:val="20"/>
      <w:szCs w:val="20"/>
    </w:rPr>
  </w:style>
  <w:style w:type="character" w:customStyle="1" w:styleId="NormalHeadingChar">
    <w:name w:val="Normal Heading Char"/>
    <w:rPr>
      <w:rFonts w:ascii="Garamond" w:hAnsi="Garamond"/>
      <w:sz w:val="22"/>
      <w:szCs w:val="24"/>
      <w:lang w:val="en-GB" w:eastAsia="en-US" w:bidi="ar-SA"/>
    </w:rPr>
  </w:style>
  <w:style w:type="character" w:customStyle="1" w:styleId="Heading2Char">
    <w:name w:val="Heading 2 Char"/>
    <w:rPr>
      <w:rFonts w:ascii="Garamond" w:hAnsi="Garamond"/>
      <w:b/>
      <w:bCs/>
      <w:iCs/>
      <w:color w:val="4F2D7F"/>
      <w:sz w:val="26"/>
      <w:szCs w:val="19"/>
      <w:lang w:val="en-GB" w:eastAsia="en-US" w:bidi="ar-SA"/>
    </w:rPr>
  </w:style>
  <w:style w:type="character" w:customStyle="1" w:styleId="Heading3CharChar">
    <w:name w:val="Heading 3 Char Char"/>
    <w:rPr>
      <w:rFonts w:ascii="Garamond" w:hAnsi="Garamond"/>
      <w:b/>
      <w:bCs/>
      <w:iCs/>
      <w:color w:val="4F2D7F"/>
      <w:sz w:val="22"/>
      <w:szCs w:val="19"/>
      <w:lang w:val="en-GB" w:eastAsia="en-US" w:bidi="ar-SA"/>
    </w:rPr>
  </w:style>
  <w:style w:type="paragraph" w:customStyle="1" w:styleId="NumText">
    <w:name w:val="NumText"/>
    <w:basedOn w:val="Normal"/>
    <w:pPr>
      <w:tabs>
        <w:tab w:val="num" w:pos="0"/>
      </w:tabs>
      <w:spacing w:line="280" w:lineRule="exact"/>
      <w:ind w:hanging="567"/>
    </w:pPr>
  </w:style>
  <w:style w:type="character" w:customStyle="1" w:styleId="project">
    <w:name w:val="project"/>
    <w:basedOn w:val="DefaultParagraphFont"/>
  </w:style>
  <w:style w:type="character" w:customStyle="1" w:styleId="CharCharCharCharCharCharCharCharCharCharCharCharCharCharCharCharCharCharCharCharCharCharChar">
    <w:name w:val="Char Char Char Char Char Char Char Char Char Char Char Char Char Char Char Char Char Char Char Char Char Char Char"/>
    <w:aliases w:val=" Char Char Char Char Char Char Char Char Char Char Char Char Char Char Char Char Char Char Char Char Char Char1, Char1 Char"/>
    <w:rPr>
      <w:rFonts w:ascii="Verdana" w:hAnsi="Verdana"/>
      <w:lang w:val="en-GB" w:eastAsia="en-US" w:bidi="ar-SA"/>
    </w:rPr>
  </w:style>
  <w:style w:type="character" w:customStyle="1" w:styleId="CharChar3">
    <w:name w:val="Char Char3"/>
    <w:semiHidden/>
    <w:rPr>
      <w:rFonts w:ascii="Garamond" w:hAnsi="Garamond"/>
      <w:lang w:val="en-GB" w:eastAsia="en-US" w:bidi="ar-SA"/>
    </w:rPr>
  </w:style>
  <w:style w:type="character" w:customStyle="1" w:styleId="TableTextChar0">
    <w:name w:val="Table Text Char"/>
    <w:rPr>
      <w:rFonts w:ascii="Garamond" w:hAnsi="Garamond"/>
      <w:sz w:val="22"/>
      <w:szCs w:val="22"/>
      <w:lang w:val="en-GB" w:eastAsia="en-US" w:bidi="ar-SA"/>
    </w:rPr>
  </w:style>
  <w:style w:type="character" w:customStyle="1" w:styleId="TitleChar">
    <w:name w:val="Title Char"/>
    <w:rPr>
      <w:rFonts w:ascii="Garamond" w:hAnsi="Garamond" w:cs="Arial"/>
      <w:bCs/>
      <w:color w:val="4F2D7F"/>
      <w:kern w:val="28"/>
      <w:sz w:val="40"/>
      <w:szCs w:val="32"/>
      <w:lang w:val="en-GB" w:eastAsia="en-US" w:bidi="ar-SA"/>
    </w:rPr>
  </w:style>
  <w:style w:type="paragraph" w:customStyle="1" w:styleId="MarginBulletWhite">
    <w:name w:val="Margin Bullet White"/>
    <w:basedOn w:val="Normal"/>
    <w:pPr>
      <w:numPr>
        <w:numId w:val="12"/>
      </w:numPr>
      <w:spacing w:before="0" w:after="0" w:line="220" w:lineRule="exact"/>
    </w:pPr>
    <w:rPr>
      <w:rFonts w:ascii="Arial" w:hAnsi="Arial" w:cs="Garamond"/>
      <w:color w:val="FFFFFF"/>
      <w:sz w:val="16"/>
      <w:szCs w:val="16"/>
    </w:rPr>
  </w:style>
  <w:style w:type="paragraph" w:customStyle="1" w:styleId="SectionTitle">
    <w:name w:val="Section Title"/>
    <w:basedOn w:val="Normal"/>
    <w:next w:val="Normal"/>
    <w:pPr>
      <w:pageBreakBefore/>
      <w:spacing w:before="0" w:after="1400"/>
    </w:pPr>
    <w:rPr>
      <w:sz w:val="40"/>
    </w:rPr>
  </w:style>
  <w:style w:type="paragraph" w:customStyle="1" w:styleId="MarginNotesBlack">
    <w:name w:val="Margin Notes Black"/>
    <w:basedOn w:val="Normal"/>
    <w:pPr>
      <w:spacing w:before="0" w:after="0" w:line="220" w:lineRule="exact"/>
    </w:pPr>
    <w:rPr>
      <w:rFonts w:ascii="Arial" w:hAnsi="Arial" w:cs="Garamond"/>
      <w:sz w:val="16"/>
    </w:rPr>
  </w:style>
  <w:style w:type="paragraph" w:customStyle="1" w:styleId="Backpage">
    <w:name w:val="Back page"/>
    <w:rPr>
      <w:rFonts w:ascii="Arial Black" w:hAnsi="Arial Black" w:cs="Arial"/>
      <w:sz w:val="18"/>
      <w:lang w:eastAsia="en-US"/>
    </w:rPr>
  </w:style>
  <w:style w:type="paragraph" w:customStyle="1" w:styleId="Copyright">
    <w:name w:val="Copyright"/>
    <w:pPr>
      <w:spacing w:line="220" w:lineRule="atLeast"/>
    </w:pPr>
    <w:rPr>
      <w:rFonts w:ascii="Garamond" w:hAnsi="Garamond" w:cs="Arial"/>
      <w:lang w:eastAsia="en-US"/>
    </w:rPr>
  </w:style>
  <w:style w:type="paragraph" w:customStyle="1" w:styleId="FinalPage">
    <w:name w:val="Final Page"/>
    <w:basedOn w:val="Normal"/>
    <w:pPr>
      <w:spacing w:before="0" w:after="0" w:line="180" w:lineRule="exact"/>
    </w:pPr>
    <w:rPr>
      <w:rFonts w:ascii="Arial" w:hAnsi="Arial"/>
      <w:sz w:val="12"/>
      <w:szCs w:val="16"/>
      <w:lang w:eastAsia="en-GB"/>
    </w:rPr>
  </w:style>
  <w:style w:type="paragraph" w:customStyle="1" w:styleId="MarginBulletBlack">
    <w:name w:val="Margin Bullet Black"/>
    <w:basedOn w:val="MarginNotesBlack"/>
    <w:pPr>
      <w:numPr>
        <w:numId w:val="13"/>
      </w:numPr>
    </w:pPr>
  </w:style>
  <w:style w:type="paragraph" w:customStyle="1" w:styleId="MarginNotesWhite">
    <w:name w:val="Margin Notes White"/>
    <w:basedOn w:val="Normal"/>
    <w:pPr>
      <w:spacing w:before="0" w:after="0" w:line="220" w:lineRule="exact"/>
    </w:pPr>
    <w:rPr>
      <w:rFonts w:ascii="Arial" w:hAnsi="Arial" w:cs="Garamond"/>
      <w:color w:val="FFFFFF"/>
      <w:sz w:val="16"/>
      <w:szCs w:val="16"/>
    </w:rPr>
  </w:style>
  <w:style w:type="paragraph" w:customStyle="1" w:styleId="MarginHeadingBlack">
    <w:name w:val="Margin Heading Black"/>
    <w:basedOn w:val="Normal"/>
    <w:pPr>
      <w:spacing w:before="0" w:after="0" w:line="320" w:lineRule="exact"/>
    </w:pPr>
    <w:rPr>
      <w:rFonts w:ascii="Arial Black" w:hAnsi="Arial Black" w:cs="Garamond"/>
      <w:sz w:val="16"/>
    </w:rPr>
  </w:style>
  <w:style w:type="paragraph" w:customStyle="1" w:styleId="MarginHeadingWhite">
    <w:name w:val="Margin Heading White"/>
    <w:basedOn w:val="Normal"/>
    <w:pPr>
      <w:spacing w:before="0" w:after="0" w:line="320" w:lineRule="exact"/>
    </w:pPr>
    <w:rPr>
      <w:rFonts w:ascii="Arial Black" w:hAnsi="Arial Black" w:cs="Garamond"/>
      <w:color w:val="FFFFFF"/>
      <w:sz w:val="16"/>
    </w:rPr>
  </w:style>
  <w:style w:type="paragraph" w:customStyle="1" w:styleId="Bullet1">
    <w:name w:val="Bullet 1"/>
    <w:basedOn w:val="Normal"/>
    <w:pPr>
      <w:numPr>
        <w:numId w:val="14"/>
      </w:numPr>
      <w:spacing w:before="0" w:after="0"/>
    </w:pPr>
  </w:style>
  <w:style w:type="character" w:styleId="HTMLAcronym">
    <w:name w:val="HTML Acronym"/>
    <w:basedOn w:val="DefaultParagraphFont"/>
  </w:style>
  <w:style w:type="paragraph" w:customStyle="1" w:styleId="Bulleti">
    <w:name w:val="Bullet i"/>
    <w:basedOn w:val="Normal"/>
    <w:pPr>
      <w:tabs>
        <w:tab w:val="left" w:pos="454"/>
      </w:tabs>
      <w:spacing w:before="0" w:after="0"/>
    </w:pPr>
  </w:style>
  <w:style w:type="character" w:styleId="FollowedHyperlink">
    <w:name w:val="FollowedHyperlink"/>
    <w:rPr>
      <w:color w:val="800080"/>
      <w:u w:val="single"/>
    </w:rPr>
  </w:style>
  <w:style w:type="character" w:customStyle="1" w:styleId="Bullet1Char">
    <w:name w:val="Bullet 1 Char"/>
    <w:rPr>
      <w:rFonts w:ascii="Garamond" w:hAnsi="Garamond"/>
      <w:sz w:val="22"/>
      <w:szCs w:val="24"/>
      <w:lang w:val="en-GB" w:eastAsia="en-US" w:bidi="ar-SA"/>
    </w:rPr>
  </w:style>
  <w:style w:type="character" w:customStyle="1" w:styleId="FootnoteTextChar">
    <w:name w:val="Footnote Text Char"/>
    <w:semiHidden/>
    <w:locked/>
    <w:rPr>
      <w:rFonts w:ascii="Arial" w:hAnsi="Arial"/>
      <w:sz w:val="18"/>
      <w:lang w:val="en-GB" w:eastAsia="en-GB" w:bidi="ar-SA"/>
    </w:rPr>
  </w:style>
  <w:style w:type="paragraph" w:styleId="ListBullet2">
    <w:name w:val="List Bullet 2"/>
    <w:basedOn w:val="Normal"/>
    <w:pPr>
      <w:numPr>
        <w:numId w:val="15"/>
      </w:numPr>
      <w:spacing w:before="0" w:after="284"/>
    </w:pPr>
  </w:style>
  <w:style w:type="paragraph" w:customStyle="1" w:styleId="tabletext1">
    <w:name w:val="tabletext"/>
    <w:basedOn w:val="Normal"/>
    <w:pPr>
      <w:spacing w:before="0" w:after="0"/>
      <w:ind w:right="142"/>
      <w:jc w:val="both"/>
    </w:pPr>
    <w:rPr>
      <w:sz w:val="24"/>
      <w:lang w:val="en-US"/>
    </w:rPr>
  </w:style>
  <w:style w:type="paragraph" w:customStyle="1" w:styleId="BodyTextnumbered">
    <w:name w:val="Body Text (numbered)"/>
    <w:basedOn w:val="BodyText"/>
    <w:pPr>
      <w:numPr>
        <w:numId w:val="16"/>
      </w:numPr>
      <w:spacing w:before="0" w:after="240" w:line="288" w:lineRule="auto"/>
    </w:pPr>
    <w:rPr>
      <w:rFonts w:ascii="Arial" w:hAnsi="Arial"/>
      <w:sz w:val="24"/>
      <w:lang w:eastAsia="en-GB"/>
    </w:rPr>
  </w:style>
  <w:style w:type="character" w:styleId="EndnoteReference">
    <w:name w:val="endnote reference"/>
    <w:semiHidden/>
    <w:rPr>
      <w:rFonts w:cs="Arial"/>
      <w:color w:val="000000"/>
    </w:rPr>
  </w:style>
  <w:style w:type="character" w:customStyle="1" w:styleId="BodyTextChar">
    <w:name w:val="Body Text Char"/>
    <w:rPr>
      <w:rFonts w:ascii="Garamond" w:hAnsi="Garamond"/>
      <w:sz w:val="22"/>
      <w:szCs w:val="24"/>
      <w:lang w:val="en-GB" w:eastAsia="en-US" w:bidi="ar-SA"/>
    </w:rPr>
  </w:style>
  <w:style w:type="table" w:styleId="TableGrid">
    <w:name w:val="Table Grid"/>
    <w:basedOn w:val="TableNormal"/>
    <w:rsid w:val="001F7958"/>
    <w:pPr>
      <w:spacing w:after="28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itlelevel1">
    <w:name w:val="Title level 1"/>
    <w:rsid w:val="001F7958"/>
    <w:pPr>
      <w:numPr>
        <w:numId w:val="17"/>
      </w:numPr>
    </w:pPr>
  </w:style>
  <w:style w:type="character" w:customStyle="1" w:styleId="ECOTEC">
    <w:name w:val="ECOTEC"/>
    <w:semiHidden/>
    <w:rsid w:val="001F7958"/>
    <w:rPr>
      <w:rFonts w:ascii="Arial" w:hAnsi="Arial" w:cs="Arial"/>
      <w:color w:val="000080"/>
      <w:sz w:val="20"/>
      <w:szCs w:val="20"/>
    </w:rPr>
  </w:style>
  <w:style w:type="paragraph" w:customStyle="1" w:styleId="msolistparagraph0">
    <w:name w:val="msolistparagraph"/>
    <w:basedOn w:val="Normal"/>
    <w:rsid w:val="001F7958"/>
    <w:pPr>
      <w:spacing w:before="0" w:after="0"/>
      <w:ind w:left="720"/>
    </w:pPr>
    <w:rPr>
      <w:rFonts w:ascii="Times New Roman" w:hAnsi="Times New Roman"/>
      <w:sz w:val="24"/>
      <w:lang w:val="en-US"/>
    </w:rPr>
  </w:style>
  <w:style w:type="character" w:customStyle="1" w:styleId="saritabhatia">
    <w:name w:val="saritabhatia"/>
    <w:semiHidden/>
    <w:rsid w:val="001F7958"/>
    <w:rPr>
      <w:rFonts w:ascii="Arial" w:hAnsi="Arial" w:cs="Arial"/>
      <w:color w:val="auto"/>
      <w:sz w:val="20"/>
      <w:szCs w:val="20"/>
    </w:rPr>
  </w:style>
  <w:style w:type="paragraph" w:customStyle="1" w:styleId="bulletone0">
    <w:name w:val="bulletone"/>
    <w:basedOn w:val="Normal"/>
    <w:rsid w:val="00E14AC8"/>
    <w:pPr>
      <w:tabs>
        <w:tab w:val="num" w:pos="1420"/>
      </w:tabs>
      <w:spacing w:before="0" w:after="120"/>
      <w:ind w:left="357" w:hanging="357"/>
    </w:pPr>
    <w:rPr>
      <w:szCs w:val="22"/>
      <w:lang w:val="en-US"/>
    </w:rPr>
  </w:style>
  <w:style w:type="paragraph" w:styleId="Revision">
    <w:name w:val="Revision"/>
    <w:hidden/>
    <w:uiPriority w:val="99"/>
    <w:semiHidden/>
    <w:rsid w:val="007D3BCE"/>
    <w:rPr>
      <w:rFonts w:ascii="Garamond" w:hAnsi="Garamond"/>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Build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E14D-B623-46D1-AC79-6919DFD0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 BuildReport.dot</Template>
  <TotalTime>4</TotalTime>
  <Pages>1</Pages>
  <Words>6810</Words>
  <Characters>38823</Characters>
  <Application>Microsoft Office Word</Application>
  <DocSecurity>8</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45542</CharactersWithSpaces>
  <SharedDoc>false</SharedDoc>
  <HLinks>
    <vt:vector size="42" baseType="variant">
      <vt:variant>
        <vt:i4>1179704</vt:i4>
      </vt:variant>
      <vt:variant>
        <vt:i4>38</vt:i4>
      </vt:variant>
      <vt:variant>
        <vt:i4>0</vt:i4>
      </vt:variant>
      <vt:variant>
        <vt:i4>5</vt:i4>
      </vt:variant>
      <vt:variant>
        <vt:lpwstr/>
      </vt:variant>
      <vt:variant>
        <vt:lpwstr>_Toc313884083</vt:lpwstr>
      </vt:variant>
      <vt:variant>
        <vt:i4>1179704</vt:i4>
      </vt:variant>
      <vt:variant>
        <vt:i4>32</vt:i4>
      </vt:variant>
      <vt:variant>
        <vt:i4>0</vt:i4>
      </vt:variant>
      <vt:variant>
        <vt:i4>5</vt:i4>
      </vt:variant>
      <vt:variant>
        <vt:lpwstr/>
      </vt:variant>
      <vt:variant>
        <vt:lpwstr>_Toc313884082</vt:lpwstr>
      </vt:variant>
      <vt:variant>
        <vt:i4>1179704</vt:i4>
      </vt:variant>
      <vt:variant>
        <vt:i4>26</vt:i4>
      </vt:variant>
      <vt:variant>
        <vt:i4>0</vt:i4>
      </vt:variant>
      <vt:variant>
        <vt:i4>5</vt:i4>
      </vt:variant>
      <vt:variant>
        <vt:lpwstr/>
      </vt:variant>
      <vt:variant>
        <vt:lpwstr>_Toc313884081</vt:lpwstr>
      </vt:variant>
      <vt:variant>
        <vt:i4>1179704</vt:i4>
      </vt:variant>
      <vt:variant>
        <vt:i4>20</vt:i4>
      </vt:variant>
      <vt:variant>
        <vt:i4>0</vt:i4>
      </vt:variant>
      <vt:variant>
        <vt:i4>5</vt:i4>
      </vt:variant>
      <vt:variant>
        <vt:lpwstr/>
      </vt:variant>
      <vt:variant>
        <vt:lpwstr>_Toc313884080</vt:lpwstr>
      </vt:variant>
      <vt:variant>
        <vt:i4>1900600</vt:i4>
      </vt:variant>
      <vt:variant>
        <vt:i4>14</vt:i4>
      </vt:variant>
      <vt:variant>
        <vt:i4>0</vt:i4>
      </vt:variant>
      <vt:variant>
        <vt:i4>5</vt:i4>
      </vt:variant>
      <vt:variant>
        <vt:lpwstr/>
      </vt:variant>
      <vt:variant>
        <vt:lpwstr>_Toc313884079</vt:lpwstr>
      </vt:variant>
      <vt:variant>
        <vt:i4>1900600</vt:i4>
      </vt:variant>
      <vt:variant>
        <vt:i4>8</vt:i4>
      </vt:variant>
      <vt:variant>
        <vt:i4>0</vt:i4>
      </vt:variant>
      <vt:variant>
        <vt:i4>5</vt:i4>
      </vt:variant>
      <vt:variant>
        <vt:lpwstr/>
      </vt:variant>
      <vt:variant>
        <vt:lpwstr>_Toc313884078</vt:lpwstr>
      </vt:variant>
      <vt:variant>
        <vt:i4>1900600</vt:i4>
      </vt:variant>
      <vt:variant>
        <vt:i4>2</vt:i4>
      </vt:variant>
      <vt:variant>
        <vt:i4>0</vt:i4>
      </vt:variant>
      <vt:variant>
        <vt:i4>5</vt:i4>
      </vt:variant>
      <vt:variant>
        <vt:lpwstr/>
      </vt:variant>
      <vt:variant>
        <vt:lpwstr>_Toc313884077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GTUSER</dc:creator>
  <cp:lastModifiedBy>GRAYSON, Andy</cp:lastModifiedBy>
  <cp:revision>10</cp:revision>
  <cp:lastPrinted>2011-12-12T16:35:00Z</cp:lastPrinted>
  <dcterms:created xsi:type="dcterms:W3CDTF">2012-01-16T14:55:00Z</dcterms:created>
  <dcterms:modified xsi:type="dcterms:W3CDTF">2013-07-18T00:02:00Z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AddGTOffice">
    <vt:bool>true</vt:bool>
  </property>
  <property fmtid="{D5CDD505-2E9C-101B-9397-08002B2CF9AE}" pid="4" name="GT Date">
    <vt:filetime>2010-02-18T00:00:00Z</vt:filetime>
  </property>
</Properties>
</file>