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0230C" w14:textId="29683678" w:rsidR="0055634B" w:rsidRPr="00E708F2" w:rsidRDefault="001F4807" w:rsidP="00E708F2">
      <w:pPr>
        <w:pStyle w:val="Default"/>
        <w:jc w:val="center"/>
        <w:rPr>
          <w:rFonts w:ascii="Humnst777 Lt BT" w:hAnsi="Humnst777 Lt BT"/>
          <w:color w:val="auto"/>
        </w:rPr>
      </w:pPr>
      <w:r>
        <w:rPr>
          <w:rFonts w:ascii="Humnst777 Lt BT" w:hAnsi="Humnst777 Lt BT" w:cs="Calibri"/>
          <w:b/>
          <w:bCs/>
          <w:color w:val="auto"/>
        </w:rPr>
        <w:t xml:space="preserve">Revised </w:t>
      </w:r>
      <w:r w:rsidR="0055634B" w:rsidRPr="00E708F2">
        <w:rPr>
          <w:rFonts w:ascii="Humnst777 Lt BT" w:hAnsi="Humnst777 Lt BT" w:cs="Calibri"/>
          <w:b/>
          <w:bCs/>
          <w:color w:val="auto"/>
        </w:rPr>
        <w:t>Terms of Reference for the Action Group on Cross Border Remittances</w:t>
      </w:r>
    </w:p>
    <w:p w14:paraId="100D5EB3" w14:textId="77777777" w:rsidR="0082043D" w:rsidRPr="00E708F2" w:rsidRDefault="0082043D" w:rsidP="0055634B">
      <w:pPr>
        <w:pStyle w:val="Default"/>
        <w:rPr>
          <w:rFonts w:ascii="Humnst777 Lt BT" w:hAnsi="Humnst777 Lt BT" w:cs="Calibri"/>
          <w:b/>
          <w:bCs/>
          <w:color w:val="auto"/>
        </w:rPr>
      </w:pPr>
    </w:p>
    <w:p w14:paraId="6BF6BC9C" w14:textId="77777777" w:rsidR="0055634B" w:rsidRDefault="0055634B" w:rsidP="0055634B">
      <w:pPr>
        <w:pStyle w:val="Default"/>
        <w:rPr>
          <w:rFonts w:ascii="Humnst777 Lt BT" w:hAnsi="Humnst777 Lt BT" w:cs="Calibri"/>
          <w:b/>
          <w:bCs/>
          <w:color w:val="auto"/>
          <w:u w:val="single"/>
        </w:rPr>
      </w:pPr>
      <w:r w:rsidRPr="00E708F2">
        <w:rPr>
          <w:rFonts w:ascii="Humnst777 Lt BT" w:hAnsi="Humnst777 Lt BT" w:cs="Calibri"/>
          <w:b/>
          <w:bCs/>
          <w:color w:val="auto"/>
          <w:u w:val="single"/>
        </w:rPr>
        <w:t xml:space="preserve">Background </w:t>
      </w:r>
    </w:p>
    <w:p w14:paraId="09408F26" w14:textId="77777777" w:rsidR="00453954" w:rsidRPr="00E708F2" w:rsidRDefault="00453954" w:rsidP="0055634B">
      <w:pPr>
        <w:pStyle w:val="Default"/>
        <w:rPr>
          <w:rFonts w:ascii="Humnst777 Lt BT" w:hAnsi="Humnst777 Lt BT"/>
          <w:color w:val="auto"/>
          <w:u w:val="single"/>
        </w:rPr>
      </w:pPr>
    </w:p>
    <w:p w14:paraId="73AEA6BA" w14:textId="51A56B51" w:rsidR="0055634B" w:rsidRPr="00E708F2" w:rsidRDefault="0055634B" w:rsidP="0055634B">
      <w:pPr>
        <w:pStyle w:val="Default"/>
        <w:rPr>
          <w:rFonts w:ascii="Humnst777 Lt BT" w:hAnsi="Humnst777 Lt BT" w:cs="Calibri"/>
          <w:color w:val="auto"/>
        </w:rPr>
      </w:pPr>
      <w:r w:rsidRPr="00E708F2">
        <w:rPr>
          <w:rFonts w:ascii="Humnst777 Lt BT" w:hAnsi="Humnst777 Lt BT" w:cs="Calibri"/>
          <w:color w:val="auto"/>
        </w:rPr>
        <w:t xml:space="preserve">The UK has one of the largest money transfer markets in Europe. Annual remittances from the UK stand in excess of £15 billion with up to 65% flowing to developing countries. These flows are often a vital source of funding for developing countries, in some cases exceeding formal aid contributions to those countries. Remittances support economic development, are a stable source of foreign exchange earnings and provide a vital safety net for individuals and households. They can provide an even more crucial lifeline in fragile and conflict affected states. </w:t>
      </w:r>
    </w:p>
    <w:p w14:paraId="0E3F29BB" w14:textId="77777777" w:rsidR="0082043D" w:rsidRPr="00E708F2" w:rsidRDefault="0082043D" w:rsidP="0055634B">
      <w:pPr>
        <w:pStyle w:val="Default"/>
        <w:rPr>
          <w:rFonts w:ascii="Humnst777 Lt BT" w:hAnsi="Humnst777 Lt BT" w:cs="Calibri"/>
          <w:color w:val="auto"/>
        </w:rPr>
      </w:pPr>
    </w:p>
    <w:p w14:paraId="28309DA9" w14:textId="633BD1F8" w:rsidR="00BC0DE4" w:rsidRDefault="00152D4B" w:rsidP="0055634B">
      <w:pPr>
        <w:pStyle w:val="Default"/>
        <w:rPr>
          <w:rFonts w:ascii="Humnst777 Lt BT" w:hAnsi="Humnst777 Lt BT" w:cs="Calibri"/>
          <w:color w:val="auto"/>
        </w:rPr>
      </w:pPr>
      <w:r>
        <w:rPr>
          <w:rFonts w:ascii="Humnst777 Lt BT" w:hAnsi="Humnst777 Lt BT" w:cs="Calibri"/>
          <w:color w:val="auto"/>
        </w:rPr>
        <w:t xml:space="preserve">In common with other </w:t>
      </w:r>
      <w:r w:rsidR="00C03CC8" w:rsidRPr="00E708F2">
        <w:rPr>
          <w:rFonts w:ascii="Humnst777 Lt BT" w:hAnsi="Humnst777 Lt BT" w:cs="Calibri"/>
          <w:color w:val="auto"/>
        </w:rPr>
        <w:t>financial</w:t>
      </w:r>
      <w:r>
        <w:rPr>
          <w:rFonts w:ascii="Humnst777 Lt BT" w:hAnsi="Humnst777 Lt BT" w:cs="Calibri"/>
          <w:color w:val="auto"/>
        </w:rPr>
        <w:t xml:space="preserve"> services sectors</w:t>
      </w:r>
      <w:r w:rsidR="00BC0DE4">
        <w:rPr>
          <w:rFonts w:ascii="Humnst777 Lt BT" w:hAnsi="Humnst777 Lt BT" w:cs="Calibri"/>
          <w:color w:val="auto"/>
        </w:rPr>
        <w:t xml:space="preserve"> there are risks that criminals may exploit money service businesses to launder money and finance terrorist activity.</w:t>
      </w:r>
      <w:r w:rsidR="00F65E25">
        <w:rPr>
          <w:rFonts w:ascii="Humnst777 Lt BT" w:hAnsi="Humnst777 Lt BT" w:cs="Calibri"/>
          <w:color w:val="auto"/>
        </w:rPr>
        <w:t xml:space="preserve"> </w:t>
      </w:r>
      <w:r w:rsidR="00BC0DE4">
        <w:rPr>
          <w:rFonts w:ascii="Humnst777 Lt BT" w:hAnsi="Humnst777 Lt BT" w:cs="Calibri"/>
          <w:color w:val="auto"/>
        </w:rPr>
        <w:t>While money service businesses are reported to be broadly compliant with their money laundering obligations, the National Crime Agency cites instances of businesses whose systems require more work to limit those risks.</w:t>
      </w:r>
    </w:p>
    <w:p w14:paraId="6C1D351B" w14:textId="77777777" w:rsidR="00BC0DE4" w:rsidRDefault="00BC0DE4" w:rsidP="0055634B">
      <w:pPr>
        <w:pStyle w:val="Default"/>
        <w:rPr>
          <w:rFonts w:ascii="Humnst777 Lt BT" w:hAnsi="Humnst777 Lt BT" w:cs="Calibri"/>
          <w:color w:val="auto"/>
        </w:rPr>
      </w:pPr>
    </w:p>
    <w:p w14:paraId="378B4F69" w14:textId="77777777" w:rsidR="0055634B" w:rsidRPr="00E708F2" w:rsidRDefault="0055634B" w:rsidP="0055634B">
      <w:pPr>
        <w:pStyle w:val="Default"/>
        <w:rPr>
          <w:rFonts w:ascii="Humnst777 Lt BT" w:hAnsi="Humnst777 Lt BT" w:cs="Calibri"/>
          <w:color w:val="auto"/>
        </w:rPr>
      </w:pPr>
      <w:r w:rsidRPr="00E708F2">
        <w:rPr>
          <w:rFonts w:ascii="Humnst777 Lt BT" w:hAnsi="Humnst777 Lt BT" w:cs="Calibri"/>
          <w:color w:val="auto"/>
        </w:rPr>
        <w:t xml:space="preserve">Many developing countries also face challenges from under-developed institutions, legal frameworks and enforcement capacity to effectively tackle risks of money laundering and terrorist financing. </w:t>
      </w:r>
    </w:p>
    <w:p w14:paraId="767239B2" w14:textId="77777777" w:rsidR="0082043D" w:rsidRPr="00E708F2" w:rsidRDefault="0082043D" w:rsidP="0055634B">
      <w:pPr>
        <w:pStyle w:val="Default"/>
        <w:rPr>
          <w:rFonts w:ascii="Humnst777 Lt BT" w:hAnsi="Humnst777 Lt BT" w:cs="Calibri"/>
          <w:color w:val="auto"/>
        </w:rPr>
      </w:pPr>
    </w:p>
    <w:p w14:paraId="7F3778EA" w14:textId="4DB2D8C6" w:rsidR="00A26C78" w:rsidRDefault="00776BFA" w:rsidP="0055634B">
      <w:pPr>
        <w:pStyle w:val="Default"/>
        <w:rPr>
          <w:rFonts w:ascii="Humnst777 Lt BT" w:hAnsi="Humnst777 Lt BT" w:cs="Calibri"/>
          <w:color w:val="auto"/>
        </w:rPr>
      </w:pPr>
      <w:r w:rsidRPr="00776BFA">
        <w:rPr>
          <w:rFonts w:ascii="Humnst777 Lt BT" w:hAnsi="Humnst777 Lt BT" w:cs="Calibri"/>
          <w:color w:val="auto"/>
        </w:rPr>
        <w:t>Over the past few years there has been an accelerated trend in banks reducing</w:t>
      </w:r>
      <w:r w:rsidR="00C0502C">
        <w:rPr>
          <w:rFonts w:ascii="Humnst777 Lt BT" w:hAnsi="Humnst777 Lt BT" w:cs="Calibri"/>
          <w:color w:val="auto"/>
        </w:rPr>
        <w:t xml:space="preserve"> </w:t>
      </w:r>
      <w:r w:rsidRPr="00776BFA">
        <w:rPr>
          <w:rFonts w:ascii="Humnst777 Lt BT" w:hAnsi="Humnst777 Lt BT" w:cs="Calibri"/>
          <w:color w:val="auto"/>
        </w:rPr>
        <w:t>their exposure to large numbers of customers in higher-risk sectors and countries. In the UK this is having a pronounced impact in the money tr</w:t>
      </w:r>
      <w:r w:rsidR="003A1936">
        <w:rPr>
          <w:rFonts w:ascii="Humnst777 Lt BT" w:hAnsi="Humnst777 Lt BT" w:cs="Calibri"/>
          <w:color w:val="auto"/>
        </w:rPr>
        <w:t>ansfer</w:t>
      </w:r>
      <w:r w:rsidRPr="00776BFA">
        <w:rPr>
          <w:rFonts w:ascii="Humnst777 Lt BT" w:hAnsi="Humnst777 Lt BT" w:cs="Calibri"/>
          <w:color w:val="auto"/>
        </w:rPr>
        <w:t xml:space="preserve"> sector, among others. </w:t>
      </w:r>
    </w:p>
    <w:p w14:paraId="2F877FF1" w14:textId="77777777" w:rsidR="0031250F" w:rsidRPr="00E708F2" w:rsidRDefault="0031250F" w:rsidP="0055634B">
      <w:pPr>
        <w:pStyle w:val="Default"/>
        <w:rPr>
          <w:rFonts w:ascii="Humnst777 Lt BT" w:hAnsi="Humnst777 Lt BT" w:cs="Calibri"/>
          <w:color w:val="auto"/>
        </w:rPr>
      </w:pPr>
    </w:p>
    <w:p w14:paraId="46575EE6" w14:textId="6246B260" w:rsidR="0055634B" w:rsidRPr="00E708F2" w:rsidRDefault="0055634B" w:rsidP="0055634B">
      <w:pPr>
        <w:pStyle w:val="Default"/>
        <w:rPr>
          <w:rFonts w:ascii="Humnst777 Lt BT" w:hAnsi="Humnst777 Lt BT" w:cs="Calibri"/>
          <w:color w:val="auto"/>
        </w:rPr>
      </w:pPr>
      <w:r w:rsidRPr="00E708F2">
        <w:rPr>
          <w:rFonts w:ascii="Humnst777 Lt BT" w:hAnsi="Humnst777 Lt BT" w:cs="Calibri"/>
          <w:color w:val="auto"/>
        </w:rPr>
        <w:t xml:space="preserve">HM Government’s aim is to ensure that the UK remittance system </w:t>
      </w:r>
      <w:r w:rsidR="00C95506">
        <w:rPr>
          <w:rFonts w:ascii="Humnst777 Lt BT" w:hAnsi="Humnst777 Lt BT" w:cs="Calibri"/>
          <w:color w:val="auto"/>
        </w:rPr>
        <w:t>remains</w:t>
      </w:r>
      <w:r w:rsidR="00C95506" w:rsidRPr="00E708F2">
        <w:rPr>
          <w:rFonts w:ascii="Humnst777 Lt BT" w:hAnsi="Humnst777 Lt BT" w:cs="Calibri"/>
          <w:color w:val="auto"/>
        </w:rPr>
        <w:t xml:space="preserve"> </w:t>
      </w:r>
      <w:r w:rsidRPr="00E708F2">
        <w:rPr>
          <w:rFonts w:ascii="Humnst777 Lt BT" w:hAnsi="Humnst777 Lt BT" w:cs="Calibri"/>
          <w:color w:val="auto"/>
        </w:rPr>
        <w:t xml:space="preserve">robust, effective and safe, so that remittances can be sent to developing countries and those remittances are used for funding legitimate activities that promote stability and growth in those countries. It is desirable that remittance services are cost effective and make maximum use of formal payment channels where it is possible to do so, taking into account regulatory expectations. </w:t>
      </w:r>
    </w:p>
    <w:p w14:paraId="20E07CF1" w14:textId="77777777" w:rsidR="0082043D" w:rsidRPr="00E708F2" w:rsidRDefault="0082043D" w:rsidP="0055634B">
      <w:pPr>
        <w:pStyle w:val="Default"/>
        <w:rPr>
          <w:rFonts w:ascii="Humnst777 Lt BT" w:hAnsi="Humnst777 Lt BT" w:cs="Calibri"/>
          <w:color w:val="auto"/>
        </w:rPr>
      </w:pPr>
    </w:p>
    <w:p w14:paraId="5F25E5CB" w14:textId="1F57C470" w:rsidR="0055634B" w:rsidRDefault="0055634B" w:rsidP="0055634B">
      <w:pPr>
        <w:pStyle w:val="Default"/>
        <w:rPr>
          <w:rFonts w:ascii="Humnst777 Lt BT" w:hAnsi="Humnst777 Lt BT" w:cs="Calibri"/>
          <w:color w:val="auto"/>
        </w:rPr>
      </w:pPr>
      <w:r w:rsidRPr="00E708F2">
        <w:rPr>
          <w:rFonts w:ascii="Humnst777 Lt BT" w:hAnsi="Humnst777 Lt BT" w:cs="Calibri"/>
          <w:color w:val="auto"/>
        </w:rPr>
        <w:t>On 27 September 2013 the Government hosted a Roundtable on Securing the Future of the UK Remittances Market, which agreed a set of government and supervisor actions</w:t>
      </w:r>
      <w:r w:rsidR="00C95506">
        <w:rPr>
          <w:rFonts w:ascii="Humnst777 Lt BT" w:hAnsi="Humnst777 Lt BT" w:cs="Calibri"/>
          <w:color w:val="auto"/>
        </w:rPr>
        <w:t>.</w:t>
      </w:r>
      <w:r w:rsidR="00DD0475">
        <w:rPr>
          <w:rFonts w:ascii="Humnst777 Lt BT" w:hAnsi="Humnst777 Lt BT" w:cs="Calibri"/>
          <w:color w:val="auto"/>
        </w:rPr>
        <w:t xml:space="preserve"> </w:t>
      </w:r>
      <w:r w:rsidRPr="00E708F2">
        <w:rPr>
          <w:rFonts w:ascii="Humnst777 Lt BT" w:hAnsi="Humnst777 Lt BT" w:cs="Calibri"/>
          <w:color w:val="auto"/>
        </w:rPr>
        <w:t>The first of these</w:t>
      </w:r>
      <w:r w:rsidR="00C03CC8">
        <w:rPr>
          <w:rFonts w:ascii="Humnst777 Lt BT" w:hAnsi="Humnst777 Lt BT" w:cs="Calibri"/>
          <w:color w:val="auto"/>
        </w:rPr>
        <w:t xml:space="preserve"> was </w:t>
      </w:r>
      <w:r w:rsidRPr="00E708F2">
        <w:rPr>
          <w:rFonts w:ascii="Humnst777 Lt BT" w:hAnsi="Humnst777 Lt BT" w:cs="Calibri"/>
          <w:color w:val="auto"/>
        </w:rPr>
        <w:t>to establish an Action Group on Cross</w:t>
      </w:r>
      <w:r w:rsidR="00C95506">
        <w:rPr>
          <w:rFonts w:ascii="Humnst777 Lt BT" w:hAnsi="Humnst777 Lt BT" w:cs="Calibri"/>
          <w:color w:val="auto"/>
        </w:rPr>
        <w:t xml:space="preserve"> </w:t>
      </w:r>
      <w:r w:rsidRPr="00E708F2">
        <w:rPr>
          <w:rFonts w:ascii="Humnst777 Lt BT" w:hAnsi="Humnst777 Lt BT" w:cs="Calibri"/>
          <w:color w:val="auto"/>
        </w:rPr>
        <w:t>Border Remittances</w:t>
      </w:r>
      <w:r w:rsidR="00DD0475">
        <w:rPr>
          <w:rFonts w:ascii="Humnst777 Lt BT" w:hAnsi="Humnst777 Lt BT" w:cs="Calibri"/>
          <w:color w:val="auto"/>
        </w:rPr>
        <w:t xml:space="preserve">, which </w:t>
      </w:r>
      <w:r w:rsidR="00E708F2">
        <w:rPr>
          <w:rFonts w:ascii="Humnst777 Lt BT" w:hAnsi="Humnst777 Lt BT" w:cs="Calibri"/>
          <w:color w:val="auto"/>
        </w:rPr>
        <w:t>met monthly throughout 201</w:t>
      </w:r>
      <w:r w:rsidR="003A1936">
        <w:rPr>
          <w:rFonts w:ascii="Humnst777 Lt BT" w:hAnsi="Humnst777 Lt BT" w:cs="Calibri"/>
          <w:color w:val="auto"/>
        </w:rPr>
        <w:t>4</w:t>
      </w:r>
      <w:r w:rsidR="00DD0475">
        <w:rPr>
          <w:rFonts w:ascii="Humnst777 Lt BT" w:hAnsi="Humnst777 Lt BT" w:cs="Calibri"/>
          <w:color w:val="auto"/>
        </w:rPr>
        <w:t xml:space="preserve">. In December 2014 the Action Group agreed to extend its remit for a further year - the group will continue to meet monthly throughout </w:t>
      </w:r>
      <w:r w:rsidR="00C95506">
        <w:rPr>
          <w:rFonts w:ascii="Humnst777 Lt BT" w:hAnsi="Humnst777 Lt BT" w:cs="Calibri"/>
          <w:color w:val="auto"/>
        </w:rPr>
        <w:t>201</w:t>
      </w:r>
      <w:r w:rsidR="003A1936">
        <w:rPr>
          <w:rFonts w:ascii="Humnst777 Lt BT" w:hAnsi="Humnst777 Lt BT" w:cs="Calibri"/>
          <w:color w:val="auto"/>
        </w:rPr>
        <w:t>5</w:t>
      </w:r>
      <w:r w:rsidR="00C95506">
        <w:rPr>
          <w:rFonts w:ascii="Humnst777 Lt BT" w:hAnsi="Humnst777 Lt BT" w:cs="Calibri"/>
          <w:color w:val="auto"/>
        </w:rPr>
        <w:t xml:space="preserve">. This Terms of Reference document has been updated to reflect the extension of the Action Group’s remit. </w:t>
      </w:r>
      <w:r w:rsidRPr="00E708F2">
        <w:rPr>
          <w:rFonts w:ascii="Humnst777 Lt BT" w:hAnsi="Humnst777 Lt BT" w:cs="Calibri"/>
          <w:color w:val="auto"/>
        </w:rPr>
        <w:t xml:space="preserve"> </w:t>
      </w:r>
    </w:p>
    <w:p w14:paraId="4BED7815" w14:textId="77777777" w:rsidR="00E708F2" w:rsidRPr="00E708F2" w:rsidRDefault="00E708F2" w:rsidP="0055634B">
      <w:pPr>
        <w:pStyle w:val="Default"/>
        <w:rPr>
          <w:rFonts w:ascii="Humnst777 Lt BT" w:hAnsi="Humnst777 Lt BT" w:cs="Calibri"/>
          <w:color w:val="auto"/>
        </w:rPr>
      </w:pPr>
    </w:p>
    <w:p w14:paraId="10DD8B8B" w14:textId="77777777" w:rsidR="00C95506" w:rsidRDefault="00E708F2" w:rsidP="00E708F2">
      <w:pPr>
        <w:pStyle w:val="Default"/>
        <w:rPr>
          <w:rFonts w:ascii="Humnst777 Lt BT" w:hAnsi="Humnst777 Lt BT" w:cs="Calibri"/>
          <w:b/>
          <w:bCs/>
          <w:color w:val="auto"/>
          <w:u w:val="single"/>
        </w:rPr>
      </w:pPr>
      <w:r w:rsidRPr="00E708F2">
        <w:rPr>
          <w:rFonts w:ascii="Humnst777 Lt BT" w:hAnsi="Humnst777 Lt BT" w:cs="Calibri"/>
          <w:b/>
          <w:bCs/>
          <w:color w:val="auto"/>
          <w:u w:val="single"/>
        </w:rPr>
        <w:t>Structure and Membership</w:t>
      </w:r>
    </w:p>
    <w:p w14:paraId="3A37C9AC" w14:textId="77777777" w:rsidR="00453954" w:rsidRDefault="00453954" w:rsidP="00E708F2">
      <w:pPr>
        <w:pStyle w:val="Default"/>
        <w:rPr>
          <w:rFonts w:ascii="Humnst777 Lt BT" w:hAnsi="Humnst777 Lt BT" w:cs="Calibri"/>
          <w:b/>
          <w:bCs/>
          <w:color w:val="auto"/>
          <w:u w:val="single"/>
        </w:rPr>
      </w:pPr>
    </w:p>
    <w:p w14:paraId="1E3F1FA0" w14:textId="61D1A55A" w:rsidR="00E708F2" w:rsidRPr="00E708F2" w:rsidRDefault="00E708F2" w:rsidP="00E708F2">
      <w:pPr>
        <w:pStyle w:val="Default"/>
        <w:rPr>
          <w:rFonts w:ascii="Humnst777 Lt BT" w:hAnsi="Humnst777 Lt BT" w:cs="Calibri"/>
          <w:color w:val="auto"/>
        </w:rPr>
      </w:pPr>
      <w:r w:rsidRPr="00E708F2">
        <w:rPr>
          <w:rFonts w:ascii="Humnst777 Lt BT" w:hAnsi="Humnst777 Lt BT" w:cs="Calibri"/>
          <w:color w:val="auto"/>
        </w:rPr>
        <w:t xml:space="preserve">Members of the Action Group </w:t>
      </w:r>
      <w:r w:rsidR="00C95506">
        <w:rPr>
          <w:rFonts w:ascii="Humnst777 Lt BT" w:hAnsi="Humnst777 Lt BT" w:cs="Calibri"/>
          <w:color w:val="auto"/>
        </w:rPr>
        <w:t>are</w:t>
      </w:r>
      <w:r w:rsidRPr="00E708F2">
        <w:rPr>
          <w:rFonts w:ascii="Humnst777 Lt BT" w:hAnsi="Humnst777 Lt BT" w:cs="Calibri"/>
          <w:color w:val="auto"/>
        </w:rPr>
        <w:t xml:space="preserve"> appointed at the invitation of the HMG Steering Group on Remittances. Membership </w:t>
      </w:r>
      <w:r w:rsidR="00464D49">
        <w:rPr>
          <w:rFonts w:ascii="Humnst777 Lt BT" w:hAnsi="Humnst777 Lt BT" w:cs="Calibri"/>
          <w:color w:val="auto"/>
        </w:rPr>
        <w:t xml:space="preserve">is </w:t>
      </w:r>
      <w:r w:rsidR="00464D49" w:rsidRPr="00E708F2">
        <w:rPr>
          <w:rFonts w:ascii="Humnst777 Lt BT" w:hAnsi="Humnst777 Lt BT" w:cs="Calibri"/>
          <w:color w:val="auto"/>
        </w:rPr>
        <w:t>drawn</w:t>
      </w:r>
      <w:r w:rsidRPr="00E708F2">
        <w:rPr>
          <w:rFonts w:ascii="Humnst777 Lt BT" w:hAnsi="Humnst777 Lt BT" w:cs="Calibri"/>
          <w:color w:val="auto"/>
        </w:rPr>
        <w:t xml:space="preserve"> from a cross section of industry, regulators, civil society and international partners. Additional experts </w:t>
      </w:r>
      <w:r w:rsidR="00464D49">
        <w:rPr>
          <w:rFonts w:ascii="Humnst777 Lt BT" w:hAnsi="Humnst777 Lt BT" w:cs="Calibri"/>
          <w:color w:val="auto"/>
        </w:rPr>
        <w:lastRenderedPageBreak/>
        <w:t xml:space="preserve">are </w:t>
      </w:r>
      <w:r w:rsidR="00464D49" w:rsidRPr="00E708F2">
        <w:rPr>
          <w:rFonts w:ascii="Humnst777 Lt BT" w:hAnsi="Humnst777 Lt BT" w:cs="Calibri"/>
          <w:color w:val="auto"/>
        </w:rPr>
        <w:t>invited</w:t>
      </w:r>
      <w:r w:rsidRPr="00E708F2">
        <w:rPr>
          <w:rFonts w:ascii="Humnst777 Lt BT" w:hAnsi="Humnst777 Lt BT" w:cs="Calibri"/>
          <w:color w:val="auto"/>
        </w:rPr>
        <w:t xml:space="preserve"> to attend meetings</w:t>
      </w:r>
      <w:r w:rsidR="00C95506">
        <w:rPr>
          <w:rFonts w:ascii="Humnst777 Lt BT" w:hAnsi="Humnst777 Lt BT" w:cs="Calibri"/>
          <w:color w:val="auto"/>
        </w:rPr>
        <w:t xml:space="preserve"> as guest members </w:t>
      </w:r>
      <w:r w:rsidR="00BC0DE4">
        <w:rPr>
          <w:rFonts w:ascii="Humnst777 Lt BT" w:hAnsi="Humnst777 Lt BT" w:cs="Calibri"/>
          <w:color w:val="auto"/>
        </w:rPr>
        <w:t>on an ad hoc basis</w:t>
      </w:r>
      <w:r w:rsidRPr="00E708F2">
        <w:rPr>
          <w:rFonts w:ascii="Humnst777 Lt BT" w:hAnsi="Humnst777 Lt BT" w:cs="Calibri"/>
          <w:color w:val="auto"/>
        </w:rPr>
        <w:t xml:space="preserve">. The roles </w:t>
      </w:r>
      <w:r w:rsidR="00BC0DE4">
        <w:rPr>
          <w:rFonts w:ascii="Humnst777 Lt BT" w:hAnsi="Humnst777 Lt BT" w:cs="Calibri"/>
          <w:color w:val="auto"/>
        </w:rPr>
        <w:t xml:space="preserve">are </w:t>
      </w:r>
      <w:r w:rsidRPr="00E708F2">
        <w:rPr>
          <w:rFonts w:ascii="Humnst777 Lt BT" w:hAnsi="Humnst777 Lt BT" w:cs="Calibri"/>
          <w:color w:val="auto"/>
        </w:rPr>
        <w:t xml:space="preserve">non-remunerated. The Action Group </w:t>
      </w:r>
      <w:r w:rsidR="00464D49">
        <w:rPr>
          <w:rFonts w:ascii="Humnst777 Lt BT" w:hAnsi="Humnst777 Lt BT" w:cs="Calibri"/>
          <w:color w:val="auto"/>
        </w:rPr>
        <w:t xml:space="preserve">meets </w:t>
      </w:r>
      <w:r w:rsidR="00464D49" w:rsidRPr="00E708F2">
        <w:rPr>
          <w:rFonts w:ascii="Humnst777 Lt BT" w:hAnsi="Humnst777 Lt BT" w:cs="Calibri"/>
          <w:color w:val="auto"/>
        </w:rPr>
        <w:t>on</w:t>
      </w:r>
      <w:r w:rsidRPr="00E708F2">
        <w:rPr>
          <w:rFonts w:ascii="Humnst777 Lt BT" w:hAnsi="Humnst777 Lt BT" w:cs="Calibri"/>
          <w:color w:val="auto"/>
        </w:rPr>
        <w:t xml:space="preserve"> a monthly basis. </w:t>
      </w:r>
      <w:r w:rsidR="00F65E25">
        <w:rPr>
          <w:rFonts w:ascii="Humnst777 Lt BT" w:hAnsi="Humnst777 Lt BT" w:cs="Calibri"/>
          <w:color w:val="auto"/>
        </w:rPr>
        <w:t xml:space="preserve"> </w:t>
      </w:r>
    </w:p>
    <w:p w14:paraId="76AD0594" w14:textId="77777777" w:rsidR="00E708F2" w:rsidRPr="00E708F2" w:rsidRDefault="00E708F2" w:rsidP="00E708F2">
      <w:pPr>
        <w:pStyle w:val="Default"/>
        <w:rPr>
          <w:rFonts w:ascii="Humnst777 Lt BT" w:hAnsi="Humnst777 Lt BT" w:cs="Calibri"/>
          <w:color w:val="auto"/>
        </w:rPr>
      </w:pPr>
    </w:p>
    <w:p w14:paraId="66BBF167" w14:textId="7D115470" w:rsidR="00E708F2" w:rsidRPr="00E708F2" w:rsidRDefault="00E708F2" w:rsidP="00E708F2">
      <w:pPr>
        <w:pStyle w:val="Default"/>
        <w:rPr>
          <w:rFonts w:ascii="Humnst777 Lt BT" w:hAnsi="Humnst777 Lt BT" w:cs="Calibri"/>
          <w:color w:val="auto"/>
        </w:rPr>
      </w:pPr>
      <w:r w:rsidRPr="00E708F2">
        <w:rPr>
          <w:rFonts w:ascii="Humnst777 Lt BT" w:hAnsi="Humnst777 Lt BT" w:cs="Calibri"/>
          <w:color w:val="auto"/>
        </w:rPr>
        <w:t xml:space="preserve">The structure of the Action Group </w:t>
      </w:r>
      <w:r w:rsidR="00C95506">
        <w:rPr>
          <w:rFonts w:ascii="Humnst777 Lt BT" w:hAnsi="Humnst777 Lt BT" w:cs="Calibri"/>
          <w:color w:val="auto"/>
        </w:rPr>
        <w:t>is</w:t>
      </w:r>
      <w:r w:rsidRPr="00E708F2">
        <w:rPr>
          <w:rFonts w:ascii="Humnst777 Lt BT" w:hAnsi="Humnst777 Lt BT" w:cs="Calibri"/>
          <w:color w:val="auto"/>
        </w:rPr>
        <w:t xml:space="preserve"> as follows: </w:t>
      </w:r>
    </w:p>
    <w:p w14:paraId="5328F953" w14:textId="77777777" w:rsidR="00E708F2" w:rsidRPr="00E708F2" w:rsidRDefault="00E708F2" w:rsidP="00E708F2">
      <w:pPr>
        <w:pStyle w:val="Default"/>
        <w:rPr>
          <w:rFonts w:ascii="Humnst777 Lt BT" w:hAnsi="Humnst777 Lt BT" w:cs="Calibri"/>
          <w:color w:val="auto"/>
        </w:rPr>
      </w:pPr>
    </w:p>
    <w:p w14:paraId="050B1587" w14:textId="61FD1EFB" w:rsidR="00E708F2" w:rsidRPr="00E708F2" w:rsidRDefault="00E708F2" w:rsidP="00E708F2">
      <w:pPr>
        <w:pStyle w:val="Default"/>
        <w:rPr>
          <w:rFonts w:ascii="Humnst777 Lt BT" w:hAnsi="Humnst777 Lt BT" w:cs="Calibri"/>
          <w:color w:val="auto"/>
        </w:rPr>
      </w:pPr>
      <w:r w:rsidRPr="00E708F2">
        <w:rPr>
          <w:rFonts w:ascii="Humnst777 Lt BT" w:hAnsi="Humnst777 Lt BT" w:cs="Calibri"/>
          <w:b/>
          <w:bCs/>
          <w:color w:val="auto"/>
        </w:rPr>
        <w:t xml:space="preserve">Steering </w:t>
      </w:r>
      <w:r w:rsidR="00C95506">
        <w:rPr>
          <w:rFonts w:ascii="Humnst777 Lt BT" w:hAnsi="Humnst777 Lt BT" w:cs="Calibri"/>
          <w:b/>
          <w:bCs/>
          <w:color w:val="auto"/>
        </w:rPr>
        <w:t>Group</w:t>
      </w:r>
    </w:p>
    <w:p w14:paraId="15511853" w14:textId="5C05FCA7" w:rsidR="00EE60F9" w:rsidRPr="00DD509D" w:rsidRDefault="00E708F2" w:rsidP="00DD509D">
      <w:pPr>
        <w:pStyle w:val="Default"/>
        <w:numPr>
          <w:ilvl w:val="0"/>
          <w:numId w:val="3"/>
        </w:numPr>
        <w:rPr>
          <w:rFonts w:ascii="Humnst777 Lt BT" w:hAnsi="Humnst777 Lt BT" w:cs="Calibri"/>
          <w:color w:val="auto"/>
        </w:rPr>
      </w:pPr>
      <w:r w:rsidRPr="00E708F2">
        <w:rPr>
          <w:rFonts w:ascii="Humnst777 Lt BT" w:hAnsi="Humnst777 Lt BT" w:cs="Calibri"/>
          <w:color w:val="auto"/>
        </w:rPr>
        <w:t>Composed of officials from the Cabinet Office (CO); the Department for International Development (D</w:t>
      </w:r>
      <w:r w:rsidR="00361E93">
        <w:rPr>
          <w:rFonts w:ascii="Humnst777 Lt BT" w:hAnsi="Humnst777 Lt BT" w:cs="Calibri"/>
          <w:color w:val="auto"/>
        </w:rPr>
        <w:t>f</w:t>
      </w:r>
      <w:r w:rsidRPr="00E708F2">
        <w:rPr>
          <w:rFonts w:ascii="Humnst777 Lt BT" w:hAnsi="Humnst777 Lt BT" w:cs="Calibri"/>
          <w:color w:val="auto"/>
        </w:rPr>
        <w:t>ID); the Financial Conduct Authority (FCA); the Foreign &amp; Commonwealth Office (FCO); HM Revenue &amp; Customs (HMRC); HM Treasury (HMT)</w:t>
      </w:r>
      <w:r w:rsidR="005C2C72">
        <w:rPr>
          <w:rFonts w:ascii="Humnst777 Lt BT" w:hAnsi="Humnst777 Lt BT" w:cs="Calibri"/>
          <w:color w:val="auto"/>
        </w:rPr>
        <w:t xml:space="preserve">, </w:t>
      </w:r>
      <w:r w:rsidR="003A1936">
        <w:rPr>
          <w:rFonts w:ascii="Humnst777 Lt BT" w:hAnsi="Humnst777 Lt BT" w:cs="Calibri"/>
          <w:color w:val="auto"/>
        </w:rPr>
        <w:t>National Terrorist Financing Investigation Unit (</w:t>
      </w:r>
      <w:r w:rsidR="005C2C72">
        <w:rPr>
          <w:rFonts w:ascii="Humnst777 Lt BT" w:hAnsi="Humnst777 Lt BT" w:cs="Calibri"/>
          <w:color w:val="auto"/>
        </w:rPr>
        <w:t>NTFIU</w:t>
      </w:r>
      <w:r w:rsidR="003A1936">
        <w:rPr>
          <w:rFonts w:ascii="Humnst777 Lt BT" w:hAnsi="Humnst777 Lt BT" w:cs="Calibri"/>
          <w:color w:val="auto"/>
        </w:rPr>
        <w:t>)</w:t>
      </w:r>
      <w:r w:rsidRPr="00E708F2">
        <w:rPr>
          <w:rFonts w:ascii="Humnst777 Lt BT" w:hAnsi="Humnst777 Lt BT" w:cs="Calibri"/>
          <w:color w:val="auto"/>
        </w:rPr>
        <w:t xml:space="preserve"> and the National Crime Agency (NCA).</w:t>
      </w:r>
      <w:r w:rsidR="00EE60F9" w:rsidRPr="006F728D">
        <w:rPr>
          <w:rFonts w:ascii="Humnst777 Lt BT" w:hAnsi="Humnst777 Lt BT" w:cs="Calibri"/>
          <w:color w:val="auto"/>
        </w:rPr>
        <w:t xml:space="preserve">The Steering Group meets fortnightly. Each department </w:t>
      </w:r>
      <w:r w:rsidR="00B23A9B" w:rsidRPr="006F728D">
        <w:rPr>
          <w:rFonts w:ascii="Humnst777 Lt BT" w:hAnsi="Humnst777 Lt BT" w:cs="Calibri"/>
          <w:color w:val="auto"/>
        </w:rPr>
        <w:t xml:space="preserve">should </w:t>
      </w:r>
      <w:r w:rsidR="00EE60F9" w:rsidRPr="006F728D">
        <w:rPr>
          <w:rFonts w:ascii="Humnst777 Lt BT" w:hAnsi="Humnst777 Lt BT" w:cs="Calibri"/>
          <w:color w:val="auto"/>
        </w:rPr>
        <w:t xml:space="preserve">send a representative to </w:t>
      </w:r>
      <w:r w:rsidR="00B23A9B" w:rsidRPr="00DD509D">
        <w:rPr>
          <w:rFonts w:ascii="Humnst777 Lt BT" w:hAnsi="Humnst777 Lt BT" w:cs="Calibri"/>
          <w:color w:val="auto"/>
        </w:rPr>
        <w:t xml:space="preserve">every </w:t>
      </w:r>
      <w:r w:rsidR="00DD0475">
        <w:rPr>
          <w:rFonts w:ascii="Humnst777 Lt BT" w:hAnsi="Humnst777 Lt BT" w:cs="Calibri"/>
          <w:color w:val="auto"/>
        </w:rPr>
        <w:t>Steering Group meeting</w:t>
      </w:r>
      <w:r w:rsidR="00EE60F9" w:rsidRPr="00DD509D">
        <w:rPr>
          <w:rFonts w:ascii="Humnst777 Lt BT" w:hAnsi="Humnst777 Lt BT" w:cs="Calibri"/>
          <w:color w:val="auto"/>
        </w:rPr>
        <w:t>.</w:t>
      </w:r>
      <w:r w:rsidRPr="00DD509D">
        <w:rPr>
          <w:rFonts w:ascii="Humnst777 Lt BT" w:hAnsi="Humnst777 Lt BT" w:cs="Calibri"/>
          <w:color w:val="auto"/>
        </w:rPr>
        <w:t xml:space="preserve"> </w:t>
      </w:r>
    </w:p>
    <w:p w14:paraId="0E02099D" w14:textId="77777777" w:rsidR="00A26C78" w:rsidRDefault="00A26C78" w:rsidP="00E708F2">
      <w:pPr>
        <w:pStyle w:val="Default"/>
        <w:rPr>
          <w:rFonts w:ascii="Humnst777 Lt BT" w:hAnsi="Humnst777 Lt BT" w:cs="Calibri"/>
          <w:b/>
          <w:bCs/>
          <w:color w:val="auto"/>
        </w:rPr>
      </w:pPr>
    </w:p>
    <w:p w14:paraId="631EDCFA" w14:textId="77777777" w:rsidR="00E708F2" w:rsidRPr="00E708F2" w:rsidRDefault="00E708F2" w:rsidP="00E708F2">
      <w:pPr>
        <w:pStyle w:val="Default"/>
        <w:rPr>
          <w:rFonts w:ascii="Humnst777 Lt BT" w:hAnsi="Humnst777 Lt BT" w:cs="Calibri"/>
          <w:color w:val="auto"/>
        </w:rPr>
      </w:pPr>
      <w:r w:rsidRPr="00E708F2">
        <w:rPr>
          <w:rFonts w:ascii="Humnst777 Lt BT" w:hAnsi="Humnst777 Lt BT" w:cs="Calibri"/>
          <w:b/>
          <w:bCs/>
          <w:color w:val="auto"/>
        </w:rPr>
        <w:t xml:space="preserve">Non-Executive Chair </w:t>
      </w:r>
    </w:p>
    <w:p w14:paraId="32103ED5" w14:textId="77777777" w:rsidR="00E708F2" w:rsidRPr="00E708F2" w:rsidRDefault="00E708F2" w:rsidP="00E708F2">
      <w:pPr>
        <w:pStyle w:val="Default"/>
        <w:numPr>
          <w:ilvl w:val="0"/>
          <w:numId w:val="3"/>
        </w:numPr>
        <w:rPr>
          <w:rFonts w:ascii="Humnst777 Lt BT" w:hAnsi="Humnst777 Lt BT" w:cs="Calibri"/>
          <w:color w:val="auto"/>
        </w:rPr>
      </w:pPr>
      <w:r w:rsidRPr="00E708F2">
        <w:rPr>
          <w:rFonts w:ascii="Humnst777 Lt BT" w:hAnsi="Humnst777 Lt BT" w:cs="Calibri"/>
          <w:color w:val="auto"/>
        </w:rPr>
        <w:t xml:space="preserve">Sir Brian Pomeroy CBE </w:t>
      </w:r>
    </w:p>
    <w:p w14:paraId="34474D51" w14:textId="77777777" w:rsidR="00E708F2" w:rsidRPr="00E708F2" w:rsidRDefault="00E708F2" w:rsidP="00E708F2">
      <w:pPr>
        <w:pStyle w:val="Default"/>
        <w:rPr>
          <w:rFonts w:ascii="Humnst777 Lt BT" w:hAnsi="Humnst777 Lt BT" w:cs="Calibri"/>
          <w:color w:val="auto"/>
        </w:rPr>
      </w:pPr>
    </w:p>
    <w:p w14:paraId="2E6DF165" w14:textId="18F52763" w:rsidR="00E708F2" w:rsidRPr="00E708F2" w:rsidRDefault="00CD5B06" w:rsidP="00E708F2">
      <w:pPr>
        <w:pStyle w:val="Default"/>
        <w:rPr>
          <w:rFonts w:ascii="Humnst777 Lt BT" w:hAnsi="Humnst777 Lt BT" w:cs="Calibri"/>
          <w:color w:val="auto"/>
        </w:rPr>
      </w:pPr>
      <w:r>
        <w:rPr>
          <w:rFonts w:ascii="Humnst777 Lt BT" w:hAnsi="Humnst777 Lt BT" w:cs="Calibri"/>
          <w:b/>
          <w:bCs/>
          <w:color w:val="auto"/>
        </w:rPr>
        <w:t>Action Group</w:t>
      </w:r>
    </w:p>
    <w:p w14:paraId="4AD288C8" w14:textId="68DD0D45" w:rsidR="00E708F2" w:rsidRDefault="00E708F2" w:rsidP="00E708F2">
      <w:pPr>
        <w:pStyle w:val="Default"/>
        <w:numPr>
          <w:ilvl w:val="0"/>
          <w:numId w:val="6"/>
        </w:numPr>
        <w:rPr>
          <w:rFonts w:ascii="Humnst777 Lt BT" w:hAnsi="Humnst777 Lt BT" w:cs="Calibri"/>
          <w:color w:val="auto"/>
        </w:rPr>
      </w:pPr>
      <w:r w:rsidRPr="00E708F2">
        <w:rPr>
          <w:rFonts w:ascii="Humnst777 Lt BT" w:hAnsi="Humnst777 Lt BT" w:cs="Calibri"/>
          <w:color w:val="auto"/>
        </w:rPr>
        <w:t xml:space="preserve">Composed of the HMG Steering Group members and representatives from; </w:t>
      </w:r>
      <w:r w:rsidR="00EE60F9" w:rsidRPr="00E708F2">
        <w:rPr>
          <w:rFonts w:ascii="Humnst777 Lt BT" w:hAnsi="Humnst777 Lt BT" w:cs="Calibri"/>
          <w:color w:val="auto"/>
        </w:rPr>
        <w:t>the World Bank</w:t>
      </w:r>
      <w:r w:rsidR="00EE60F9">
        <w:rPr>
          <w:rFonts w:ascii="Humnst777 Lt BT" w:hAnsi="Humnst777 Lt BT" w:cs="Calibri"/>
          <w:color w:val="auto"/>
        </w:rPr>
        <w:t>;</w:t>
      </w:r>
      <w:r w:rsidR="00EE60F9" w:rsidRPr="00E708F2">
        <w:rPr>
          <w:rFonts w:ascii="Humnst777 Lt BT" w:hAnsi="Humnst777 Lt BT" w:cs="Calibri"/>
          <w:color w:val="auto"/>
        </w:rPr>
        <w:t xml:space="preserve"> </w:t>
      </w:r>
      <w:r w:rsidRPr="00E708F2">
        <w:rPr>
          <w:rFonts w:ascii="Humnst777 Lt BT" w:hAnsi="Humnst777 Lt BT" w:cs="Calibri"/>
          <w:color w:val="auto"/>
        </w:rPr>
        <w:t xml:space="preserve">the International Association of Money Transfer Networks (IAMTN); the </w:t>
      </w:r>
      <w:r w:rsidR="00951CEF">
        <w:rPr>
          <w:rFonts w:ascii="Humnst777 Lt BT" w:hAnsi="Humnst777 Lt BT" w:cs="Calibri"/>
          <w:color w:val="auto"/>
        </w:rPr>
        <w:t>Association of UK Payments Institutions (AUKPI)</w:t>
      </w:r>
      <w:r w:rsidRPr="00E708F2">
        <w:rPr>
          <w:rFonts w:ascii="Humnst777 Lt BT" w:hAnsi="Humnst777 Lt BT" w:cs="Calibri"/>
          <w:color w:val="auto"/>
        </w:rPr>
        <w:t>; the British Bankers’ Association (BBA);</w:t>
      </w:r>
      <w:r w:rsidR="00EE60F9">
        <w:rPr>
          <w:rFonts w:ascii="Humnst777 Lt BT" w:hAnsi="Humnst777 Lt BT" w:cs="Calibri"/>
          <w:color w:val="auto"/>
        </w:rPr>
        <w:t xml:space="preserve"> European Payments Institutions Federation (EPIF);</w:t>
      </w:r>
      <w:r w:rsidR="00DD0475">
        <w:rPr>
          <w:rFonts w:ascii="Humnst777 Lt BT" w:hAnsi="Humnst777 Lt BT" w:cs="Calibri"/>
          <w:color w:val="auto"/>
        </w:rPr>
        <w:t xml:space="preserve"> the Charity Finance Group and</w:t>
      </w:r>
      <w:r w:rsidRPr="00E708F2">
        <w:rPr>
          <w:rFonts w:ascii="Humnst777 Lt BT" w:hAnsi="Humnst777 Lt BT" w:cs="Calibri"/>
          <w:color w:val="auto"/>
        </w:rPr>
        <w:t xml:space="preserve"> Consumers </w:t>
      </w:r>
      <w:r w:rsidR="00EE60F9" w:rsidRPr="00E708F2">
        <w:rPr>
          <w:rFonts w:ascii="Humnst777 Lt BT" w:hAnsi="Humnst777 Lt BT" w:cs="Calibri"/>
          <w:color w:val="auto"/>
        </w:rPr>
        <w:t>Internationa</w:t>
      </w:r>
      <w:r w:rsidR="00EE60F9">
        <w:rPr>
          <w:rFonts w:ascii="Humnst777 Lt BT" w:hAnsi="Humnst777 Lt BT" w:cs="Calibri"/>
          <w:color w:val="auto"/>
        </w:rPr>
        <w:t>l</w:t>
      </w:r>
      <w:r w:rsidR="00DD0475">
        <w:rPr>
          <w:rFonts w:ascii="Humnst777 Lt BT" w:hAnsi="Humnst777 Lt BT" w:cs="Calibri"/>
          <w:color w:val="auto"/>
        </w:rPr>
        <w:t>.</w:t>
      </w:r>
    </w:p>
    <w:p w14:paraId="099578E4" w14:textId="77777777" w:rsidR="006F728D" w:rsidRDefault="006F728D" w:rsidP="00DD509D">
      <w:pPr>
        <w:pStyle w:val="Default"/>
        <w:ind w:left="360"/>
        <w:rPr>
          <w:rFonts w:ascii="Humnst777 Lt BT" w:hAnsi="Humnst777 Lt BT" w:cs="Calibri"/>
          <w:color w:val="auto"/>
        </w:rPr>
      </w:pPr>
    </w:p>
    <w:p w14:paraId="429E4963" w14:textId="77777777" w:rsidR="006F728D" w:rsidRPr="00E708F2" w:rsidRDefault="006F728D" w:rsidP="006F728D">
      <w:pPr>
        <w:pStyle w:val="Default"/>
        <w:rPr>
          <w:rFonts w:ascii="Humnst777 Lt BT" w:hAnsi="Humnst777 Lt BT" w:cs="Calibri"/>
          <w:color w:val="auto"/>
        </w:rPr>
      </w:pPr>
      <w:r w:rsidRPr="00E708F2">
        <w:rPr>
          <w:rFonts w:ascii="Humnst777 Lt BT" w:hAnsi="Humnst777 Lt BT" w:cs="Calibri"/>
          <w:color w:val="auto"/>
        </w:rPr>
        <w:t xml:space="preserve">The Chair is responsible for chairing and managing the work of the Action Group. </w:t>
      </w:r>
    </w:p>
    <w:p w14:paraId="4D72296A" w14:textId="77777777" w:rsidR="006F728D" w:rsidRPr="00C30398" w:rsidRDefault="006F728D" w:rsidP="006F728D">
      <w:pPr>
        <w:pStyle w:val="Default"/>
        <w:rPr>
          <w:rFonts w:ascii="Humnst777 Lt BT" w:hAnsi="Humnst777 Lt BT" w:cs="Calibri"/>
          <w:color w:val="auto"/>
        </w:rPr>
      </w:pPr>
    </w:p>
    <w:p w14:paraId="2FABA82B" w14:textId="77777777" w:rsidR="006F728D" w:rsidRPr="00C30398" w:rsidRDefault="006F728D" w:rsidP="006F728D">
      <w:pPr>
        <w:pStyle w:val="Default"/>
        <w:rPr>
          <w:rFonts w:ascii="Humnst777 Lt BT" w:hAnsi="Humnst777 Lt BT" w:cs="Calibri"/>
          <w:color w:val="auto"/>
        </w:rPr>
      </w:pPr>
      <w:r w:rsidRPr="00C30398">
        <w:rPr>
          <w:rFonts w:ascii="Humnst777 Lt BT" w:hAnsi="Humnst777 Lt BT" w:cs="Calibri"/>
          <w:color w:val="auto"/>
        </w:rPr>
        <w:t xml:space="preserve">The Chair will report to the HMG Steering Group and meet with it on a monthly basis. </w:t>
      </w:r>
    </w:p>
    <w:p w14:paraId="675F393C" w14:textId="77777777" w:rsidR="006F728D" w:rsidRPr="00C30398" w:rsidRDefault="006F728D" w:rsidP="006F728D">
      <w:pPr>
        <w:pStyle w:val="Default"/>
        <w:rPr>
          <w:rFonts w:ascii="Humnst777 Lt BT" w:hAnsi="Humnst777 Lt BT" w:cs="Calibri"/>
          <w:color w:val="auto"/>
        </w:rPr>
      </w:pPr>
    </w:p>
    <w:p w14:paraId="6479714E" w14:textId="115F937D" w:rsidR="00361E93" w:rsidRDefault="00C30398" w:rsidP="006F728D">
      <w:pPr>
        <w:pStyle w:val="Default"/>
        <w:rPr>
          <w:rFonts w:ascii="Humnst777 Lt BT" w:hAnsi="Humnst777 Lt BT" w:cs="Calibri"/>
          <w:color w:val="auto"/>
        </w:rPr>
      </w:pPr>
      <w:r w:rsidRPr="00C30398">
        <w:rPr>
          <w:rFonts w:ascii="Humnst777 Lt BT" w:hAnsi="Humnst777 Lt BT"/>
          <w:bCs/>
        </w:rPr>
        <w:t xml:space="preserve">Action Group Secretariat </w:t>
      </w:r>
      <w:r w:rsidR="00361E93">
        <w:rPr>
          <w:rFonts w:ascii="Humnst777 Lt BT" w:hAnsi="Humnst777 Lt BT"/>
          <w:bCs/>
        </w:rPr>
        <w:t>d</w:t>
      </w:r>
      <w:r w:rsidRPr="00C30398">
        <w:rPr>
          <w:rFonts w:ascii="Humnst777 Lt BT" w:hAnsi="Humnst777 Lt BT"/>
          <w:bCs/>
        </w:rPr>
        <w:t>uties</w:t>
      </w:r>
      <w:r w:rsidRPr="00C30398">
        <w:rPr>
          <w:rFonts w:ascii="Humnst777 Lt BT" w:hAnsi="Humnst777 Lt BT"/>
        </w:rPr>
        <w:t xml:space="preserve"> </w:t>
      </w:r>
      <w:r w:rsidRPr="00C30398">
        <w:rPr>
          <w:rFonts w:ascii="Humnst777 Lt BT" w:hAnsi="Humnst777 Lt BT"/>
        </w:rPr>
        <w:t>ar</w:t>
      </w:r>
      <w:r w:rsidRPr="00C30398">
        <w:rPr>
          <w:rFonts w:ascii="Humnst777 Lt BT" w:hAnsi="Humnst777 Lt BT"/>
        </w:rPr>
        <w:t xml:space="preserve">e </w:t>
      </w:r>
      <w:r>
        <w:rPr>
          <w:rFonts w:ascii="Humnst777 Lt BT" w:hAnsi="Humnst777 Lt BT"/>
        </w:rPr>
        <w:t>shared</w:t>
      </w:r>
      <w:r w:rsidR="00361E93">
        <w:rPr>
          <w:rFonts w:ascii="Humnst777 Lt BT" w:hAnsi="Humnst777 Lt BT"/>
        </w:rPr>
        <w:t xml:space="preserve"> among Steering Group m</w:t>
      </w:r>
      <w:r w:rsidRPr="00C30398">
        <w:rPr>
          <w:rFonts w:ascii="Humnst777 Lt BT" w:hAnsi="Humnst777 Lt BT"/>
        </w:rPr>
        <w:t xml:space="preserve">embers </w:t>
      </w:r>
      <w:r w:rsidRPr="00C30398">
        <w:rPr>
          <w:rFonts w:ascii="Humnst777 Lt BT" w:hAnsi="Humnst777 Lt BT"/>
        </w:rPr>
        <w:t>on a rotational basis</w:t>
      </w:r>
      <w:r w:rsidR="00644362" w:rsidRPr="00C30398">
        <w:rPr>
          <w:rFonts w:ascii="Humnst777 Lt BT" w:hAnsi="Humnst777 Lt BT" w:cs="Calibri"/>
          <w:color w:val="auto"/>
        </w:rPr>
        <w:t>.</w:t>
      </w:r>
      <w:r>
        <w:rPr>
          <w:rFonts w:ascii="Humnst777 Lt BT" w:hAnsi="Humnst777 Lt BT" w:cs="Calibri"/>
          <w:color w:val="auto"/>
        </w:rPr>
        <w:t xml:space="preserve"> This includes</w:t>
      </w:r>
      <w:r w:rsidR="006F728D">
        <w:rPr>
          <w:rFonts w:ascii="Humnst777 Lt BT" w:hAnsi="Humnst777 Lt BT" w:cs="Calibri"/>
          <w:color w:val="auto"/>
        </w:rPr>
        <w:t xml:space="preserve"> </w:t>
      </w:r>
      <w:r w:rsidR="00361E93">
        <w:rPr>
          <w:rFonts w:ascii="Humnst777 Lt BT" w:hAnsi="Humnst777 Lt BT" w:cs="Calibri"/>
          <w:color w:val="auto"/>
        </w:rPr>
        <w:t xml:space="preserve">liaising with Chair and Steering Group to prepare </w:t>
      </w:r>
      <w:r>
        <w:rPr>
          <w:rFonts w:ascii="Humnst777 Lt BT" w:hAnsi="Humnst777 Lt BT" w:cs="Calibri"/>
          <w:color w:val="auto"/>
        </w:rPr>
        <w:t xml:space="preserve">the agenda, </w:t>
      </w:r>
      <w:r w:rsidR="00361E93">
        <w:rPr>
          <w:rFonts w:ascii="Humnst777 Lt BT" w:hAnsi="Humnst777 Lt BT" w:cs="Calibri"/>
          <w:color w:val="auto"/>
        </w:rPr>
        <w:t>hosting the meeting</w:t>
      </w:r>
      <w:r>
        <w:rPr>
          <w:rFonts w:ascii="Humnst777 Lt BT" w:hAnsi="Humnst777 Lt BT" w:cs="Calibri"/>
          <w:color w:val="auto"/>
        </w:rPr>
        <w:t xml:space="preserve">, minute-taking, </w:t>
      </w:r>
      <w:r w:rsidR="00361E93">
        <w:rPr>
          <w:rFonts w:ascii="Humnst777 Lt BT" w:hAnsi="Humnst777 Lt BT" w:cs="Calibri"/>
          <w:color w:val="auto"/>
        </w:rPr>
        <w:t xml:space="preserve">drafting a Chair’s summary of the meeting, </w:t>
      </w:r>
      <w:r>
        <w:rPr>
          <w:rFonts w:ascii="Humnst777 Lt BT" w:hAnsi="Humnst777 Lt BT" w:cs="Calibri"/>
          <w:color w:val="auto"/>
        </w:rPr>
        <w:t xml:space="preserve">signing off minutes </w:t>
      </w:r>
      <w:r w:rsidR="00361E93">
        <w:rPr>
          <w:rFonts w:ascii="Humnst777 Lt BT" w:hAnsi="Humnst777 Lt BT" w:cs="Calibri"/>
          <w:color w:val="auto"/>
        </w:rPr>
        <w:t xml:space="preserve">and summary </w:t>
      </w:r>
      <w:r>
        <w:rPr>
          <w:rFonts w:ascii="Humnst777 Lt BT" w:hAnsi="Humnst777 Lt BT" w:cs="Calibri"/>
          <w:color w:val="auto"/>
        </w:rPr>
        <w:t>with the Chair</w:t>
      </w:r>
      <w:r w:rsidR="00361E93">
        <w:rPr>
          <w:rFonts w:ascii="Humnst777 Lt BT" w:hAnsi="Humnst777 Lt BT" w:cs="Calibri"/>
          <w:color w:val="auto"/>
        </w:rPr>
        <w:t xml:space="preserve"> and </w:t>
      </w:r>
      <w:r>
        <w:rPr>
          <w:rFonts w:ascii="Humnst777 Lt BT" w:hAnsi="Humnst777 Lt BT" w:cs="Calibri"/>
          <w:color w:val="auto"/>
        </w:rPr>
        <w:t xml:space="preserve">distributing minutes. </w:t>
      </w:r>
    </w:p>
    <w:p w14:paraId="7414F5F0" w14:textId="77777777" w:rsidR="00361E93" w:rsidRDefault="00361E93" w:rsidP="006F728D">
      <w:pPr>
        <w:pStyle w:val="Default"/>
        <w:rPr>
          <w:rFonts w:ascii="Humnst777 Lt BT" w:hAnsi="Humnst777 Lt BT" w:cs="Calibri"/>
          <w:color w:val="auto"/>
        </w:rPr>
      </w:pPr>
    </w:p>
    <w:p w14:paraId="59452CCA" w14:textId="5385FD8D" w:rsidR="006F728D" w:rsidRDefault="00C30398" w:rsidP="006F728D">
      <w:pPr>
        <w:pStyle w:val="Default"/>
        <w:rPr>
          <w:rFonts w:ascii="Humnst777 Lt BT" w:hAnsi="Humnst777 Lt BT" w:cs="Calibri"/>
          <w:color w:val="auto"/>
        </w:rPr>
      </w:pPr>
      <w:r>
        <w:rPr>
          <w:rFonts w:ascii="Humnst777 Lt BT" w:hAnsi="Humnst777 Lt BT" w:cs="Calibri"/>
          <w:color w:val="auto"/>
        </w:rPr>
        <w:t>DfID</w:t>
      </w:r>
      <w:r w:rsidR="00361E93">
        <w:rPr>
          <w:rFonts w:ascii="Humnst777 Lt BT" w:hAnsi="Humnst777 Lt BT" w:cs="Calibri"/>
          <w:color w:val="auto"/>
        </w:rPr>
        <w:t xml:space="preserve"> are responsible for uploading the Chair’s summary of the meeting onto the Action Group’s webpage (</w:t>
      </w:r>
      <w:hyperlink r:id="rId8" w:history="1">
        <w:r w:rsidR="00361E93" w:rsidRPr="00361E93">
          <w:rPr>
            <w:rStyle w:val="Hyperlink"/>
            <w:rFonts w:ascii="Humnst777 Lt BT" w:hAnsi="Humnst777 Lt BT" w:cs="Calibri"/>
          </w:rPr>
          <w:t>https://www.gov.uk/government/policies/helping-developing-countries-economies-to-grow/supporting-pages/enabling-the-continued-flow-of-remittances</w:t>
        </w:r>
      </w:hyperlink>
      <w:r w:rsidR="00361E93">
        <w:rPr>
          <w:rFonts w:ascii="Humnst777 Lt BT" w:hAnsi="Humnst777 Lt BT" w:cs="Calibri"/>
          <w:color w:val="auto"/>
        </w:rPr>
        <w:t>) on a monthly basis.</w:t>
      </w:r>
    </w:p>
    <w:p w14:paraId="305230BC" w14:textId="77777777" w:rsidR="00C30398" w:rsidRDefault="00C30398" w:rsidP="006F728D">
      <w:pPr>
        <w:pStyle w:val="Default"/>
        <w:rPr>
          <w:rFonts w:ascii="Humnst777 Lt BT" w:hAnsi="Humnst777 Lt BT" w:cs="Calibri"/>
          <w:color w:val="auto"/>
        </w:rPr>
      </w:pPr>
    </w:p>
    <w:p w14:paraId="2508AF98" w14:textId="77777777" w:rsidR="006F728D" w:rsidRDefault="006F728D" w:rsidP="006F728D">
      <w:pPr>
        <w:pStyle w:val="Default"/>
        <w:rPr>
          <w:rFonts w:ascii="Humnst777 Lt BT" w:hAnsi="Humnst777 Lt BT" w:cs="Calibri"/>
          <w:color w:val="auto"/>
        </w:rPr>
      </w:pPr>
      <w:r w:rsidRPr="00E708F2">
        <w:rPr>
          <w:rFonts w:ascii="Humnst777 Lt BT" w:hAnsi="Humnst777 Lt BT" w:cs="Calibri"/>
          <w:color w:val="auto"/>
        </w:rPr>
        <w:t xml:space="preserve">If any perceived conflict of interest arises in the operation of the Action Group, the appropriate Government department will liaise with relevant stakeholders to resolve the issue. All such issues will be noted by the HMG Steering Group. </w:t>
      </w:r>
    </w:p>
    <w:p w14:paraId="428FB438" w14:textId="77777777" w:rsidR="00DD0475" w:rsidRDefault="00DD0475" w:rsidP="00DD0475">
      <w:pPr>
        <w:pStyle w:val="CommentText"/>
      </w:pPr>
    </w:p>
    <w:p w14:paraId="61D9093A" w14:textId="77777777" w:rsidR="00EE60F9" w:rsidRDefault="00E708F2" w:rsidP="00361772">
      <w:pPr>
        <w:pStyle w:val="Default"/>
        <w:spacing w:after="59"/>
        <w:rPr>
          <w:rFonts w:ascii="Humnst777 Lt BT" w:hAnsi="Humnst777 Lt BT" w:cs="Calibri"/>
          <w:b/>
          <w:bCs/>
          <w:color w:val="auto"/>
        </w:rPr>
      </w:pPr>
      <w:r w:rsidRPr="00E708F2">
        <w:rPr>
          <w:rFonts w:ascii="Humnst777 Lt BT" w:hAnsi="Humnst777 Lt BT" w:cs="Calibri"/>
          <w:b/>
          <w:bCs/>
          <w:color w:val="auto"/>
        </w:rPr>
        <w:t xml:space="preserve">Working Groups </w:t>
      </w:r>
    </w:p>
    <w:p w14:paraId="6B8648C3" w14:textId="3F99FC7C" w:rsidR="00E708F2" w:rsidRDefault="00E708F2" w:rsidP="00E708F2">
      <w:pPr>
        <w:pStyle w:val="Default"/>
        <w:numPr>
          <w:ilvl w:val="0"/>
          <w:numId w:val="6"/>
        </w:numPr>
        <w:rPr>
          <w:rFonts w:ascii="Humnst777 Lt BT" w:hAnsi="Humnst777 Lt BT" w:cs="Calibri"/>
          <w:color w:val="auto"/>
        </w:rPr>
      </w:pPr>
      <w:r w:rsidRPr="00E708F2">
        <w:rPr>
          <w:rFonts w:ascii="Humnst777 Lt BT" w:hAnsi="Humnst777 Lt BT" w:cs="Calibri"/>
          <w:color w:val="auto"/>
        </w:rPr>
        <w:t xml:space="preserve">Safer Corridors </w:t>
      </w:r>
      <w:r w:rsidR="003A1936">
        <w:rPr>
          <w:rFonts w:ascii="Humnst777 Lt BT" w:hAnsi="Humnst777 Lt BT" w:cs="Calibri"/>
          <w:color w:val="auto"/>
        </w:rPr>
        <w:t xml:space="preserve">for the UK-Somalia corridor </w:t>
      </w:r>
      <w:r w:rsidRPr="00E708F2">
        <w:rPr>
          <w:rFonts w:ascii="Humnst777 Lt BT" w:hAnsi="Humnst777 Lt BT" w:cs="Calibri"/>
          <w:color w:val="auto"/>
        </w:rPr>
        <w:t>(</w:t>
      </w:r>
      <w:r w:rsidR="00361772">
        <w:rPr>
          <w:rFonts w:ascii="Humnst777 Lt BT" w:hAnsi="Humnst777 Lt BT" w:cs="Calibri"/>
          <w:color w:val="auto"/>
        </w:rPr>
        <w:t>led</w:t>
      </w:r>
      <w:r w:rsidR="00361772" w:rsidRPr="00E708F2">
        <w:rPr>
          <w:rFonts w:ascii="Humnst777 Lt BT" w:hAnsi="Humnst777 Lt BT" w:cs="Calibri"/>
          <w:color w:val="auto"/>
        </w:rPr>
        <w:t xml:space="preserve"> </w:t>
      </w:r>
      <w:r w:rsidRPr="00E708F2">
        <w:rPr>
          <w:rFonts w:ascii="Humnst777 Lt BT" w:hAnsi="Humnst777 Lt BT" w:cs="Calibri"/>
          <w:color w:val="auto"/>
        </w:rPr>
        <w:t>by D</w:t>
      </w:r>
      <w:r w:rsidR="00361E93">
        <w:rPr>
          <w:rFonts w:ascii="Humnst777 Lt BT" w:hAnsi="Humnst777 Lt BT" w:cs="Calibri"/>
          <w:color w:val="auto"/>
        </w:rPr>
        <w:t>f</w:t>
      </w:r>
      <w:r w:rsidRPr="00E708F2">
        <w:rPr>
          <w:rFonts w:ascii="Humnst777 Lt BT" w:hAnsi="Humnst777 Lt BT" w:cs="Calibri"/>
          <w:color w:val="auto"/>
        </w:rPr>
        <w:t xml:space="preserve">ID </w:t>
      </w:r>
      <w:r w:rsidR="00361772">
        <w:rPr>
          <w:rFonts w:ascii="Humnst777 Lt BT" w:hAnsi="Humnst777 Lt BT" w:cs="Calibri"/>
          <w:color w:val="auto"/>
        </w:rPr>
        <w:t xml:space="preserve">and </w:t>
      </w:r>
      <w:r w:rsidR="003A1936">
        <w:rPr>
          <w:rFonts w:ascii="Humnst777 Lt BT" w:hAnsi="Humnst777 Lt BT" w:cs="Calibri"/>
          <w:color w:val="auto"/>
        </w:rPr>
        <w:t>implemented by the World Bank</w:t>
      </w:r>
      <w:r w:rsidRPr="00E708F2">
        <w:rPr>
          <w:rFonts w:ascii="Humnst777 Lt BT" w:hAnsi="Humnst777 Lt BT" w:cs="Calibri"/>
          <w:color w:val="auto"/>
        </w:rPr>
        <w:t xml:space="preserve">) </w:t>
      </w:r>
    </w:p>
    <w:p w14:paraId="01A5943B" w14:textId="77777777" w:rsidR="006F728D" w:rsidRPr="00E708F2" w:rsidRDefault="006F728D" w:rsidP="006F728D">
      <w:pPr>
        <w:pStyle w:val="Default"/>
        <w:numPr>
          <w:ilvl w:val="0"/>
          <w:numId w:val="6"/>
        </w:numPr>
        <w:spacing w:after="59"/>
        <w:rPr>
          <w:rFonts w:ascii="Humnst777 Lt BT" w:hAnsi="Humnst777 Lt BT" w:cs="Calibri"/>
          <w:color w:val="auto"/>
        </w:rPr>
      </w:pPr>
      <w:r w:rsidRPr="00E708F2">
        <w:rPr>
          <w:rFonts w:ascii="Humnst777 Lt BT" w:hAnsi="Humnst777 Lt BT" w:cs="Calibri"/>
          <w:color w:val="auto"/>
        </w:rPr>
        <w:lastRenderedPageBreak/>
        <w:t>Risk (</w:t>
      </w:r>
      <w:r>
        <w:rPr>
          <w:rFonts w:ascii="Humnst777 Lt BT" w:hAnsi="Humnst777 Lt BT" w:cs="Calibri"/>
          <w:color w:val="auto"/>
        </w:rPr>
        <w:t>le</w:t>
      </w:r>
      <w:r w:rsidRPr="00E708F2">
        <w:rPr>
          <w:rFonts w:ascii="Humnst777 Lt BT" w:hAnsi="Humnst777 Lt BT" w:cs="Calibri"/>
          <w:color w:val="auto"/>
        </w:rPr>
        <w:t xml:space="preserve">d by NCA) </w:t>
      </w:r>
    </w:p>
    <w:p w14:paraId="19A24CD0" w14:textId="689EF03C" w:rsidR="00361772" w:rsidRDefault="00BC0DE4" w:rsidP="00E708F2">
      <w:pPr>
        <w:pStyle w:val="Default"/>
        <w:numPr>
          <w:ilvl w:val="0"/>
          <w:numId w:val="6"/>
        </w:numPr>
        <w:rPr>
          <w:rFonts w:ascii="Humnst777 Lt BT" w:hAnsi="Humnst777 Lt BT" w:cs="Calibri"/>
          <w:color w:val="auto"/>
        </w:rPr>
      </w:pPr>
      <w:r>
        <w:rPr>
          <w:rFonts w:ascii="Humnst777 Lt BT" w:hAnsi="Humnst777 Lt BT" w:cs="Calibri"/>
          <w:color w:val="auto"/>
        </w:rPr>
        <w:t xml:space="preserve">Technical capability </w:t>
      </w:r>
    </w:p>
    <w:p w14:paraId="516676DA" w14:textId="6303D0F2" w:rsidR="001F4807" w:rsidRDefault="00776BFA" w:rsidP="00E708F2">
      <w:pPr>
        <w:pStyle w:val="Default"/>
        <w:numPr>
          <w:ilvl w:val="0"/>
          <w:numId w:val="6"/>
        </w:numPr>
        <w:rPr>
          <w:rFonts w:ascii="Humnst777 Lt BT" w:hAnsi="Humnst777 Lt BT" w:cs="Calibri"/>
          <w:color w:val="auto"/>
        </w:rPr>
      </w:pPr>
      <w:r>
        <w:rPr>
          <w:rFonts w:ascii="Humnst777 Lt BT" w:hAnsi="Humnst777 Lt BT" w:cs="Calibri"/>
          <w:color w:val="auto"/>
        </w:rPr>
        <w:t>Market monitoring</w:t>
      </w:r>
      <w:r w:rsidR="006F728D">
        <w:rPr>
          <w:rFonts w:ascii="Humnst777 Lt BT" w:hAnsi="Humnst777 Lt BT" w:cs="Calibri"/>
          <w:color w:val="auto"/>
        </w:rPr>
        <w:t xml:space="preserve"> (led by HMT).</w:t>
      </w:r>
    </w:p>
    <w:p w14:paraId="26048BF7" w14:textId="77777777" w:rsidR="00E708F2" w:rsidRDefault="00E708F2" w:rsidP="00A26C78">
      <w:pPr>
        <w:pStyle w:val="Default"/>
        <w:ind w:left="360"/>
        <w:rPr>
          <w:rFonts w:ascii="Humnst777 Lt BT" w:hAnsi="Humnst777 Lt BT" w:cs="Calibri"/>
          <w:color w:val="auto"/>
        </w:rPr>
      </w:pPr>
    </w:p>
    <w:p w14:paraId="22673C04" w14:textId="2E6AA2DD" w:rsidR="00E708F2" w:rsidRPr="00E708F2" w:rsidRDefault="00E708F2" w:rsidP="00E708F2">
      <w:pPr>
        <w:pStyle w:val="Default"/>
        <w:rPr>
          <w:rFonts w:ascii="Humnst777 Lt BT" w:hAnsi="Humnst777 Lt BT" w:cs="Calibri"/>
          <w:color w:val="auto"/>
        </w:rPr>
      </w:pPr>
      <w:r w:rsidRPr="00E708F2">
        <w:rPr>
          <w:rFonts w:ascii="Humnst777 Lt BT" w:hAnsi="Humnst777 Lt BT" w:cs="Calibri"/>
          <w:color w:val="auto"/>
        </w:rPr>
        <w:t xml:space="preserve">The coordinators of each working group </w:t>
      </w:r>
      <w:r w:rsidR="00D35ED6">
        <w:rPr>
          <w:rFonts w:ascii="Humnst777 Lt BT" w:hAnsi="Humnst777 Lt BT" w:cs="Calibri"/>
          <w:color w:val="auto"/>
        </w:rPr>
        <w:t xml:space="preserve">are responsible for </w:t>
      </w:r>
      <w:r w:rsidR="00464D49" w:rsidRPr="00E708F2">
        <w:rPr>
          <w:rFonts w:ascii="Humnst777 Lt BT" w:hAnsi="Humnst777 Lt BT" w:cs="Calibri"/>
          <w:color w:val="auto"/>
        </w:rPr>
        <w:t>devis</w:t>
      </w:r>
      <w:r w:rsidR="00464D49">
        <w:rPr>
          <w:rFonts w:ascii="Humnst777 Lt BT" w:hAnsi="Humnst777 Lt BT" w:cs="Calibri"/>
          <w:color w:val="auto"/>
        </w:rPr>
        <w:t xml:space="preserve">ing </w:t>
      </w:r>
      <w:r w:rsidR="00464D49" w:rsidRPr="00E708F2">
        <w:rPr>
          <w:rFonts w:ascii="Humnst777 Lt BT" w:hAnsi="Humnst777 Lt BT" w:cs="Calibri"/>
          <w:color w:val="auto"/>
        </w:rPr>
        <w:t>terms</w:t>
      </w:r>
      <w:r w:rsidRPr="00E708F2">
        <w:rPr>
          <w:rFonts w:ascii="Humnst777 Lt BT" w:hAnsi="Humnst777 Lt BT" w:cs="Calibri"/>
          <w:color w:val="auto"/>
        </w:rPr>
        <w:t xml:space="preserve"> of reference for their work</w:t>
      </w:r>
      <w:r w:rsidR="00D35ED6">
        <w:rPr>
          <w:rFonts w:ascii="Humnst777 Lt BT" w:hAnsi="Humnst777 Lt BT" w:cs="Calibri"/>
          <w:color w:val="auto"/>
        </w:rPr>
        <w:t xml:space="preserve">. </w:t>
      </w:r>
      <w:r w:rsidRPr="00E708F2">
        <w:rPr>
          <w:rFonts w:ascii="Humnst777 Lt BT" w:hAnsi="Humnst777 Lt BT" w:cs="Calibri"/>
          <w:color w:val="auto"/>
        </w:rPr>
        <w:t xml:space="preserve">Each of the </w:t>
      </w:r>
      <w:r w:rsidR="00D35ED6">
        <w:rPr>
          <w:rFonts w:ascii="Humnst777 Lt BT" w:hAnsi="Humnst777 Lt BT" w:cs="Calibri"/>
          <w:color w:val="auto"/>
        </w:rPr>
        <w:t>w</w:t>
      </w:r>
      <w:r w:rsidRPr="00E708F2">
        <w:rPr>
          <w:rFonts w:ascii="Humnst777 Lt BT" w:hAnsi="Humnst777 Lt BT" w:cs="Calibri"/>
          <w:color w:val="auto"/>
        </w:rPr>
        <w:t xml:space="preserve">orking </w:t>
      </w:r>
      <w:r w:rsidR="00D35ED6">
        <w:rPr>
          <w:rFonts w:ascii="Humnst777 Lt BT" w:hAnsi="Humnst777 Lt BT" w:cs="Calibri"/>
          <w:color w:val="auto"/>
        </w:rPr>
        <w:t>g</w:t>
      </w:r>
      <w:r w:rsidRPr="00E708F2">
        <w:rPr>
          <w:rFonts w:ascii="Humnst777 Lt BT" w:hAnsi="Humnst777 Lt BT" w:cs="Calibri"/>
          <w:color w:val="auto"/>
        </w:rPr>
        <w:t>roups provide</w:t>
      </w:r>
      <w:r w:rsidR="00331890">
        <w:rPr>
          <w:rFonts w:ascii="Humnst777 Lt BT" w:hAnsi="Humnst777 Lt BT" w:cs="Calibri"/>
          <w:color w:val="auto"/>
        </w:rPr>
        <w:t>s</w:t>
      </w:r>
      <w:r w:rsidRPr="00E708F2">
        <w:rPr>
          <w:rFonts w:ascii="Humnst777 Lt BT" w:hAnsi="Humnst777 Lt BT" w:cs="Calibri"/>
          <w:color w:val="auto"/>
        </w:rPr>
        <w:t xml:space="preserve"> monthly updates to the Action Group on progress against targets and deliverables set out in their respective terms of reference. </w:t>
      </w:r>
    </w:p>
    <w:p w14:paraId="6D76266A" w14:textId="77777777" w:rsidR="00E708F2" w:rsidRPr="00E708F2" w:rsidRDefault="00E708F2" w:rsidP="00E708F2">
      <w:pPr>
        <w:pStyle w:val="Default"/>
        <w:rPr>
          <w:rFonts w:ascii="Humnst777 Lt BT" w:hAnsi="Humnst777 Lt BT" w:cs="Calibri"/>
          <w:color w:val="auto"/>
        </w:rPr>
      </w:pPr>
    </w:p>
    <w:p w14:paraId="6C2AAD33" w14:textId="77777777" w:rsidR="0055634B" w:rsidRDefault="0055634B" w:rsidP="0055634B">
      <w:pPr>
        <w:pStyle w:val="Default"/>
        <w:rPr>
          <w:rFonts w:ascii="Humnst777 Lt BT" w:hAnsi="Humnst777 Lt BT" w:cs="Calibri"/>
          <w:b/>
          <w:bCs/>
          <w:color w:val="auto"/>
          <w:u w:val="single"/>
        </w:rPr>
      </w:pPr>
      <w:r w:rsidRPr="00E708F2">
        <w:rPr>
          <w:rFonts w:ascii="Humnst777 Lt BT" w:hAnsi="Humnst777 Lt BT" w:cs="Calibri"/>
          <w:b/>
          <w:bCs/>
          <w:color w:val="auto"/>
          <w:u w:val="single"/>
        </w:rPr>
        <w:t xml:space="preserve">Objectives </w:t>
      </w:r>
    </w:p>
    <w:p w14:paraId="0EB46949" w14:textId="77777777" w:rsidR="00453954" w:rsidRPr="00E708F2" w:rsidRDefault="00453954" w:rsidP="0055634B">
      <w:pPr>
        <w:pStyle w:val="Default"/>
        <w:rPr>
          <w:rFonts w:ascii="Humnst777 Lt BT" w:hAnsi="Humnst777 Lt BT"/>
          <w:color w:val="auto"/>
          <w:u w:val="single"/>
        </w:rPr>
      </w:pPr>
    </w:p>
    <w:p w14:paraId="3C437CE8" w14:textId="5EE4DB6C" w:rsidR="0055634B" w:rsidRDefault="0055634B" w:rsidP="00E708F2">
      <w:pPr>
        <w:pStyle w:val="Default"/>
        <w:rPr>
          <w:rFonts w:ascii="Humnst777 Lt BT" w:hAnsi="Humnst777 Lt BT" w:cs="Calibri"/>
          <w:color w:val="auto"/>
        </w:rPr>
      </w:pPr>
      <w:r w:rsidRPr="00E708F2">
        <w:rPr>
          <w:rFonts w:ascii="Humnst777 Lt BT" w:hAnsi="Humnst777 Lt BT" w:cs="Calibri"/>
          <w:color w:val="auto"/>
        </w:rPr>
        <w:t>The Action Group serve</w:t>
      </w:r>
      <w:r w:rsidR="00331890">
        <w:rPr>
          <w:rFonts w:ascii="Humnst777 Lt BT" w:hAnsi="Humnst777 Lt BT" w:cs="Calibri"/>
          <w:color w:val="auto"/>
        </w:rPr>
        <w:t>s</w:t>
      </w:r>
      <w:r w:rsidRPr="00E708F2">
        <w:rPr>
          <w:rFonts w:ascii="Humnst777 Lt BT" w:hAnsi="Humnst777 Lt BT" w:cs="Calibri"/>
          <w:color w:val="auto"/>
        </w:rPr>
        <w:t xml:space="preserve"> as a mechanism to maintain continued cross-sector dialogue on </w:t>
      </w:r>
      <w:r w:rsidR="006F728D">
        <w:rPr>
          <w:rFonts w:ascii="Humnst777 Lt BT" w:hAnsi="Humnst777 Lt BT" w:cs="Calibri"/>
          <w:color w:val="auto"/>
        </w:rPr>
        <w:t xml:space="preserve">the withdrawal of banking services from the money service business </w:t>
      </w:r>
      <w:r w:rsidR="00DD509D">
        <w:rPr>
          <w:rFonts w:ascii="Humnst777 Lt BT" w:hAnsi="Humnst777 Lt BT" w:cs="Calibri"/>
          <w:color w:val="auto"/>
        </w:rPr>
        <w:t xml:space="preserve">sector </w:t>
      </w:r>
      <w:r w:rsidR="00DD509D" w:rsidRPr="00E708F2">
        <w:rPr>
          <w:rFonts w:ascii="Humnst777 Lt BT" w:hAnsi="Humnst777 Lt BT" w:cs="Calibri"/>
          <w:color w:val="auto"/>
        </w:rPr>
        <w:t>in</w:t>
      </w:r>
      <w:r w:rsidRPr="00E708F2">
        <w:rPr>
          <w:rFonts w:ascii="Humnst777 Lt BT" w:hAnsi="Humnst777 Lt BT" w:cs="Calibri"/>
          <w:color w:val="auto"/>
        </w:rPr>
        <w:t xml:space="preserve"> order to rebuild trust in the sector</w:t>
      </w:r>
      <w:r w:rsidR="006F728D">
        <w:rPr>
          <w:rFonts w:ascii="Humnst777 Lt BT" w:hAnsi="Humnst777 Lt BT" w:cs="Calibri"/>
          <w:color w:val="auto"/>
        </w:rPr>
        <w:t xml:space="preserve"> and enable remittances to continue to flow</w:t>
      </w:r>
      <w:r w:rsidRPr="00E708F2">
        <w:rPr>
          <w:rFonts w:ascii="Humnst777 Lt BT" w:hAnsi="Humnst777 Lt BT" w:cs="Calibri"/>
          <w:color w:val="auto"/>
        </w:rPr>
        <w:t xml:space="preserve">. </w:t>
      </w:r>
    </w:p>
    <w:p w14:paraId="041BA208" w14:textId="77777777" w:rsidR="00E708F2" w:rsidRPr="00E708F2" w:rsidRDefault="00E708F2" w:rsidP="00E708F2">
      <w:pPr>
        <w:pStyle w:val="Default"/>
        <w:rPr>
          <w:rFonts w:ascii="Humnst777 Lt BT" w:hAnsi="Humnst777 Lt BT" w:cs="Calibri"/>
          <w:color w:val="auto"/>
        </w:rPr>
      </w:pPr>
    </w:p>
    <w:p w14:paraId="3323C6E7" w14:textId="07E8ABFB" w:rsidR="0055634B" w:rsidRDefault="0055634B" w:rsidP="0055634B">
      <w:pPr>
        <w:pStyle w:val="Default"/>
        <w:rPr>
          <w:rFonts w:ascii="Humnst777 Lt BT" w:hAnsi="Humnst777 Lt BT" w:cs="Calibri"/>
          <w:color w:val="auto"/>
        </w:rPr>
      </w:pPr>
      <w:r w:rsidRPr="00E708F2">
        <w:rPr>
          <w:rFonts w:ascii="Humnst777 Lt BT" w:hAnsi="Humnst777 Lt BT" w:cs="Calibri"/>
          <w:color w:val="auto"/>
        </w:rPr>
        <w:t xml:space="preserve">The specific objectives of the Action Group </w:t>
      </w:r>
      <w:r w:rsidR="00331890">
        <w:rPr>
          <w:rFonts w:ascii="Humnst777 Lt BT" w:hAnsi="Humnst777 Lt BT" w:cs="Calibri"/>
          <w:color w:val="auto"/>
        </w:rPr>
        <w:t>are</w:t>
      </w:r>
      <w:r w:rsidRPr="00E708F2">
        <w:rPr>
          <w:rFonts w:ascii="Humnst777 Lt BT" w:hAnsi="Humnst777 Lt BT" w:cs="Calibri"/>
          <w:color w:val="auto"/>
        </w:rPr>
        <w:t xml:space="preserve"> to: </w:t>
      </w:r>
    </w:p>
    <w:p w14:paraId="26A21178" w14:textId="77777777" w:rsidR="00453954" w:rsidRPr="00361E93" w:rsidRDefault="00453954" w:rsidP="0055634B">
      <w:pPr>
        <w:pStyle w:val="Default"/>
        <w:rPr>
          <w:rFonts w:ascii="Humnst777 Lt BT" w:hAnsi="Humnst777 Lt BT" w:cs="Calibri"/>
          <w:color w:val="auto"/>
        </w:rPr>
      </w:pPr>
    </w:p>
    <w:p w14:paraId="7E925605" w14:textId="40E6BEE6" w:rsidR="0055634B" w:rsidRPr="00361E93" w:rsidRDefault="0055634B" w:rsidP="0082043D">
      <w:pPr>
        <w:pStyle w:val="Default"/>
        <w:numPr>
          <w:ilvl w:val="0"/>
          <w:numId w:val="3"/>
        </w:numPr>
        <w:spacing w:after="70"/>
        <w:rPr>
          <w:rFonts w:ascii="Humnst777 Lt BT" w:hAnsi="Humnst777 Lt BT" w:cs="Calibri"/>
          <w:color w:val="auto"/>
        </w:rPr>
      </w:pPr>
      <w:r w:rsidRPr="00361E93">
        <w:rPr>
          <w:rFonts w:ascii="Humnst777 Lt BT" w:hAnsi="Humnst777 Lt BT" w:cs="Calibri"/>
          <w:color w:val="auto"/>
        </w:rPr>
        <w:t xml:space="preserve">Monitor developments in the UK remittances market, including </w:t>
      </w:r>
      <w:r w:rsidR="006F728D" w:rsidRPr="00361E93">
        <w:rPr>
          <w:rFonts w:ascii="Humnst777 Lt BT" w:hAnsi="Humnst777 Lt BT" w:cs="Calibri"/>
          <w:color w:val="auto"/>
        </w:rPr>
        <w:t xml:space="preserve">decisions by formal banking institutions, </w:t>
      </w:r>
      <w:r w:rsidRPr="00361E93">
        <w:rPr>
          <w:rFonts w:ascii="Humnst777 Lt BT" w:hAnsi="Humnst777 Lt BT" w:cs="Calibri"/>
          <w:color w:val="auto"/>
        </w:rPr>
        <w:t xml:space="preserve">the impact of new technologies and </w:t>
      </w:r>
      <w:r w:rsidR="00DD509D" w:rsidRPr="00361E93">
        <w:rPr>
          <w:rFonts w:ascii="Humnst777 Lt BT" w:hAnsi="Humnst777 Lt BT" w:cs="Calibri"/>
          <w:color w:val="auto"/>
        </w:rPr>
        <w:t>remittance flows</w:t>
      </w:r>
      <w:r w:rsidRPr="00361E93">
        <w:rPr>
          <w:rFonts w:ascii="Humnst777 Lt BT" w:hAnsi="Humnst777 Lt BT" w:cs="Calibri"/>
          <w:color w:val="auto"/>
        </w:rPr>
        <w:t xml:space="preserve">; </w:t>
      </w:r>
    </w:p>
    <w:p w14:paraId="2286A73D" w14:textId="77777777" w:rsidR="00453954" w:rsidRPr="00361E93" w:rsidRDefault="00453954" w:rsidP="00453954">
      <w:pPr>
        <w:pStyle w:val="Default"/>
        <w:spacing w:after="70"/>
        <w:ind w:left="360"/>
        <w:rPr>
          <w:rFonts w:ascii="Humnst777 Lt BT" w:hAnsi="Humnst777 Lt BT" w:cs="Calibri"/>
          <w:color w:val="auto"/>
        </w:rPr>
      </w:pPr>
    </w:p>
    <w:p w14:paraId="0BE1CF29" w14:textId="4BD2C845" w:rsidR="0055634B" w:rsidRPr="00361E93" w:rsidRDefault="0055634B" w:rsidP="0082043D">
      <w:pPr>
        <w:pStyle w:val="Default"/>
        <w:numPr>
          <w:ilvl w:val="0"/>
          <w:numId w:val="3"/>
        </w:numPr>
        <w:spacing w:after="70"/>
        <w:rPr>
          <w:rFonts w:ascii="Humnst777 Lt BT" w:hAnsi="Humnst777 Lt BT" w:cs="Calibri"/>
          <w:color w:val="auto"/>
        </w:rPr>
      </w:pPr>
      <w:r w:rsidRPr="00361E93">
        <w:rPr>
          <w:rFonts w:ascii="Humnst777 Lt BT" w:hAnsi="Humnst777 Lt BT" w:cs="Calibri"/>
          <w:color w:val="auto"/>
        </w:rPr>
        <w:t xml:space="preserve">Work with </w:t>
      </w:r>
      <w:r w:rsidR="005C2C72" w:rsidRPr="00361E93">
        <w:rPr>
          <w:rFonts w:ascii="Humnst777 Lt BT" w:hAnsi="Humnst777 Lt BT" w:cs="Calibri"/>
          <w:color w:val="auto"/>
        </w:rPr>
        <w:t>law enforcement</w:t>
      </w:r>
      <w:r w:rsidRPr="00361E93">
        <w:rPr>
          <w:rFonts w:ascii="Humnst777 Lt BT" w:hAnsi="Humnst777 Lt BT" w:cs="Calibri"/>
          <w:color w:val="auto"/>
        </w:rPr>
        <w:t xml:space="preserve"> and industry to </w:t>
      </w:r>
      <w:r w:rsidR="00D10E04" w:rsidRPr="00361E93">
        <w:rPr>
          <w:rFonts w:ascii="Humnst777 Lt BT" w:hAnsi="Humnst777 Lt BT" w:cs="Calibri"/>
          <w:color w:val="auto"/>
        </w:rPr>
        <w:t xml:space="preserve">promote a </w:t>
      </w:r>
      <w:r w:rsidR="00453954" w:rsidRPr="00361E93">
        <w:rPr>
          <w:rFonts w:ascii="Humnst777 Lt BT" w:hAnsi="Humnst777 Lt BT" w:cs="Calibri"/>
          <w:color w:val="auto"/>
        </w:rPr>
        <w:t>shared</w:t>
      </w:r>
      <w:r w:rsidR="00D10E04" w:rsidRPr="00361E93">
        <w:rPr>
          <w:rFonts w:ascii="Humnst777 Lt BT" w:hAnsi="Humnst777 Lt BT" w:cs="Calibri"/>
          <w:color w:val="auto"/>
        </w:rPr>
        <w:t xml:space="preserve"> understanding of the </w:t>
      </w:r>
      <w:r w:rsidRPr="00361E93">
        <w:rPr>
          <w:rFonts w:ascii="Humnst777 Lt BT" w:hAnsi="Humnst777 Lt BT" w:cs="Calibri"/>
          <w:color w:val="auto"/>
        </w:rPr>
        <w:t>risk</w:t>
      </w:r>
      <w:r w:rsidR="00D10E04" w:rsidRPr="00361E93">
        <w:rPr>
          <w:rFonts w:ascii="Humnst777 Lt BT" w:hAnsi="Humnst777 Lt BT" w:cs="Calibri"/>
          <w:color w:val="auto"/>
        </w:rPr>
        <w:t xml:space="preserve"> that the MSB sector represents</w:t>
      </w:r>
      <w:r w:rsidR="00453954" w:rsidRPr="00361E93">
        <w:rPr>
          <w:rFonts w:ascii="Humnst777 Lt BT" w:hAnsi="Humnst777 Lt BT" w:cs="Calibri"/>
          <w:color w:val="auto"/>
        </w:rPr>
        <w:t>;</w:t>
      </w:r>
    </w:p>
    <w:p w14:paraId="51976FA2" w14:textId="77777777" w:rsidR="00453954" w:rsidRPr="00361E93" w:rsidRDefault="00453954" w:rsidP="00453954">
      <w:pPr>
        <w:pStyle w:val="Default"/>
        <w:spacing w:after="70"/>
        <w:ind w:left="360"/>
        <w:rPr>
          <w:rFonts w:ascii="Humnst777 Lt BT" w:hAnsi="Humnst777 Lt BT" w:cs="Calibri"/>
          <w:color w:val="auto"/>
        </w:rPr>
      </w:pPr>
    </w:p>
    <w:p w14:paraId="70D4FDCE" w14:textId="2AD52CB6" w:rsidR="0055634B" w:rsidRPr="00361E93" w:rsidRDefault="00D10E04" w:rsidP="0082043D">
      <w:pPr>
        <w:pStyle w:val="Default"/>
        <w:numPr>
          <w:ilvl w:val="0"/>
          <w:numId w:val="3"/>
        </w:numPr>
        <w:rPr>
          <w:rFonts w:ascii="Humnst777 Lt BT" w:hAnsi="Humnst777 Lt BT" w:cs="Calibri"/>
          <w:color w:val="auto"/>
        </w:rPr>
      </w:pPr>
      <w:r w:rsidRPr="00361E93">
        <w:rPr>
          <w:rFonts w:ascii="Humnst777 Lt BT" w:hAnsi="Humnst777 Lt BT" w:cs="Calibri"/>
          <w:color w:val="auto"/>
        </w:rPr>
        <w:t>Oversee the d</w:t>
      </w:r>
      <w:r w:rsidR="0055634B" w:rsidRPr="00361E93">
        <w:rPr>
          <w:rFonts w:ascii="Humnst777 Lt BT" w:hAnsi="Humnst777 Lt BT" w:cs="Calibri"/>
          <w:color w:val="auto"/>
        </w:rPr>
        <w:t>evelop</w:t>
      </w:r>
      <w:r w:rsidRPr="00361E93">
        <w:rPr>
          <w:rFonts w:ascii="Humnst777 Lt BT" w:hAnsi="Humnst777 Lt BT" w:cs="Calibri"/>
          <w:color w:val="auto"/>
        </w:rPr>
        <w:t>ment of</w:t>
      </w:r>
      <w:r w:rsidR="0055634B" w:rsidRPr="00361E93">
        <w:rPr>
          <w:rFonts w:ascii="Humnst777 Lt BT" w:hAnsi="Humnst777 Lt BT" w:cs="Calibri"/>
          <w:color w:val="auto"/>
        </w:rPr>
        <w:t xml:space="preserve"> a safer corridor pilot for the UK-Somalia corridor. </w:t>
      </w:r>
    </w:p>
    <w:p w14:paraId="2D44F9BC" w14:textId="77777777" w:rsidR="00644362" w:rsidRPr="00361E93" w:rsidRDefault="00644362" w:rsidP="00644362">
      <w:pPr>
        <w:pStyle w:val="ListParagraph"/>
        <w:rPr>
          <w:rFonts w:ascii="Humnst777 Lt BT" w:hAnsi="Humnst777 Lt BT" w:cs="Calibri"/>
        </w:rPr>
      </w:pPr>
    </w:p>
    <w:p w14:paraId="658B54E6" w14:textId="00ECEC91" w:rsidR="00644362" w:rsidRPr="00361E93" w:rsidRDefault="00644362" w:rsidP="00361E93">
      <w:pPr>
        <w:pStyle w:val="Default"/>
        <w:numPr>
          <w:ilvl w:val="0"/>
          <w:numId w:val="3"/>
        </w:numPr>
        <w:rPr>
          <w:rFonts w:ascii="Humnst777 Lt BT" w:hAnsi="Humnst777 Lt BT" w:cs="Calibri"/>
          <w:color w:val="auto"/>
        </w:rPr>
      </w:pPr>
      <w:r w:rsidRPr="00361E93">
        <w:rPr>
          <w:rFonts w:ascii="Humnst777 Lt BT" w:hAnsi="Humnst777 Lt BT" w:cs="Calibri"/>
          <w:color w:val="auto"/>
        </w:rPr>
        <w:t>Advise on any relevant technical issues affecting remittances.</w:t>
      </w:r>
    </w:p>
    <w:p w14:paraId="0F263A60" w14:textId="77777777" w:rsidR="00776BFA" w:rsidRPr="00361E93" w:rsidRDefault="00776BFA" w:rsidP="00776BFA">
      <w:pPr>
        <w:pStyle w:val="Default"/>
        <w:ind w:left="360"/>
        <w:rPr>
          <w:rFonts w:ascii="Humnst777 Lt BT" w:hAnsi="Humnst777 Lt BT" w:cs="Calibri"/>
          <w:color w:val="auto"/>
        </w:rPr>
      </w:pPr>
    </w:p>
    <w:p w14:paraId="1597BF55" w14:textId="0444FAD9" w:rsidR="0055634B" w:rsidRPr="00361E93" w:rsidRDefault="0055634B" w:rsidP="0055634B">
      <w:pPr>
        <w:pStyle w:val="Default"/>
        <w:rPr>
          <w:rFonts w:ascii="Humnst777 Lt BT" w:hAnsi="Humnst777 Lt BT" w:cs="Calibri"/>
          <w:color w:val="auto"/>
        </w:rPr>
      </w:pPr>
      <w:r w:rsidRPr="00361E93">
        <w:rPr>
          <w:rFonts w:ascii="Humnst777 Lt BT" w:hAnsi="Humnst777 Lt BT" w:cs="Calibri"/>
          <w:color w:val="auto"/>
        </w:rPr>
        <w:t>The Action Group may undertake additional relevant activities if proposed by the Chair, subject to agreement by the Steering</w:t>
      </w:r>
      <w:r w:rsidR="00D10E04" w:rsidRPr="00361E93">
        <w:rPr>
          <w:rFonts w:ascii="Humnst777 Lt BT" w:hAnsi="Humnst777 Lt BT" w:cs="Calibri"/>
          <w:color w:val="auto"/>
        </w:rPr>
        <w:t xml:space="preserve"> Group</w:t>
      </w:r>
      <w:r w:rsidRPr="00361E93">
        <w:rPr>
          <w:rFonts w:ascii="Humnst777 Lt BT" w:hAnsi="Humnst777 Lt BT" w:cs="Calibri"/>
          <w:color w:val="auto"/>
        </w:rPr>
        <w:t xml:space="preserve">. </w:t>
      </w:r>
    </w:p>
    <w:p w14:paraId="7993D79F" w14:textId="77777777" w:rsidR="00E708F2" w:rsidRDefault="00E708F2" w:rsidP="0055634B">
      <w:pPr>
        <w:pStyle w:val="Default"/>
        <w:rPr>
          <w:rFonts w:ascii="Humnst777 Lt BT" w:hAnsi="Humnst777 Lt BT" w:cs="Calibri"/>
          <w:color w:val="auto"/>
        </w:rPr>
      </w:pPr>
    </w:p>
    <w:p w14:paraId="54640444" w14:textId="77777777" w:rsidR="00464D49" w:rsidRDefault="0055634B" w:rsidP="0055634B">
      <w:pPr>
        <w:pStyle w:val="Default"/>
        <w:rPr>
          <w:rFonts w:ascii="Humnst777 Lt BT" w:hAnsi="Humnst777 Lt BT" w:cs="Calibri"/>
          <w:b/>
          <w:bCs/>
          <w:color w:val="auto"/>
          <w:u w:val="single"/>
        </w:rPr>
      </w:pPr>
      <w:r w:rsidRPr="00464D49">
        <w:rPr>
          <w:rFonts w:ascii="Humnst777 Lt BT" w:hAnsi="Humnst777 Lt BT" w:cs="Calibri"/>
          <w:b/>
          <w:bCs/>
          <w:color w:val="auto"/>
          <w:u w:val="single"/>
        </w:rPr>
        <w:t xml:space="preserve">Communications </w:t>
      </w:r>
    </w:p>
    <w:p w14:paraId="3284E97C" w14:textId="77777777" w:rsidR="00453954" w:rsidRPr="00464D49" w:rsidRDefault="00453954" w:rsidP="0055634B">
      <w:pPr>
        <w:pStyle w:val="Default"/>
        <w:rPr>
          <w:rFonts w:ascii="Humnst777 Lt BT" w:hAnsi="Humnst777 Lt BT" w:cs="Calibri"/>
          <w:b/>
          <w:bCs/>
          <w:color w:val="auto"/>
          <w:u w:val="single"/>
        </w:rPr>
      </w:pPr>
    </w:p>
    <w:p w14:paraId="6E6E7B23" w14:textId="7059E5A4" w:rsidR="0055634B" w:rsidRPr="00E708F2" w:rsidRDefault="0055634B" w:rsidP="0055634B">
      <w:pPr>
        <w:pStyle w:val="Default"/>
        <w:rPr>
          <w:rFonts w:ascii="Humnst777 Lt BT" w:hAnsi="Humnst777 Lt BT" w:cs="Calibri"/>
          <w:color w:val="auto"/>
        </w:rPr>
      </w:pPr>
      <w:r w:rsidRPr="00E708F2">
        <w:rPr>
          <w:rFonts w:ascii="Humnst777 Lt BT" w:hAnsi="Humnst777 Lt BT" w:cs="Calibri"/>
          <w:color w:val="auto"/>
        </w:rPr>
        <w:t xml:space="preserve">The Chair </w:t>
      </w:r>
      <w:r w:rsidR="003A1936">
        <w:rPr>
          <w:rFonts w:ascii="Humnst777 Lt BT" w:hAnsi="Humnst777 Lt BT" w:cs="Calibri"/>
          <w:color w:val="auto"/>
        </w:rPr>
        <w:t xml:space="preserve">(with support from the FCO) </w:t>
      </w:r>
      <w:r w:rsidRPr="00E708F2">
        <w:rPr>
          <w:rFonts w:ascii="Humnst777 Lt BT" w:hAnsi="Humnst777 Lt BT" w:cs="Calibri"/>
          <w:color w:val="auto"/>
        </w:rPr>
        <w:t xml:space="preserve">will be responsible for public communications from the Action Group to identified stakeholder groups and for developing a strategic communications plan. </w:t>
      </w:r>
    </w:p>
    <w:p w14:paraId="1F76E78D" w14:textId="77777777" w:rsidR="0082043D" w:rsidRDefault="0082043D" w:rsidP="0055634B">
      <w:pPr>
        <w:pStyle w:val="Default"/>
        <w:rPr>
          <w:rFonts w:ascii="Humnst777 Lt BT" w:hAnsi="Humnst777 Lt BT" w:cs="Calibri"/>
          <w:color w:val="auto"/>
        </w:rPr>
      </w:pPr>
    </w:p>
    <w:p w14:paraId="2FFDF910" w14:textId="77777777" w:rsidR="00453954" w:rsidRDefault="00453954" w:rsidP="0055634B">
      <w:pPr>
        <w:pStyle w:val="Default"/>
        <w:rPr>
          <w:rFonts w:ascii="Humnst777 Lt BT" w:hAnsi="Humnst777 Lt BT" w:cs="Calibri"/>
          <w:color w:val="auto"/>
        </w:rPr>
      </w:pPr>
    </w:p>
    <w:p w14:paraId="3D48AB70" w14:textId="77777777" w:rsidR="00453954" w:rsidRDefault="00453954" w:rsidP="0055634B">
      <w:pPr>
        <w:pStyle w:val="Default"/>
        <w:rPr>
          <w:rFonts w:ascii="Humnst777 Lt BT" w:hAnsi="Humnst777 Lt BT" w:cs="Calibri"/>
          <w:color w:val="auto"/>
        </w:rPr>
      </w:pPr>
    </w:p>
    <w:p w14:paraId="27E5AC40" w14:textId="77777777" w:rsidR="00453954" w:rsidRDefault="00453954" w:rsidP="0055634B">
      <w:pPr>
        <w:pStyle w:val="Default"/>
        <w:rPr>
          <w:rFonts w:ascii="Humnst777 Lt BT" w:hAnsi="Humnst777 Lt BT" w:cs="Calibri"/>
          <w:color w:val="auto"/>
        </w:rPr>
      </w:pPr>
    </w:p>
    <w:p w14:paraId="310DCE72" w14:textId="77777777" w:rsidR="00453954" w:rsidRDefault="00453954" w:rsidP="0055634B">
      <w:pPr>
        <w:pStyle w:val="Default"/>
        <w:rPr>
          <w:rFonts w:ascii="Humnst777 Lt BT" w:hAnsi="Humnst777 Lt BT" w:cs="Calibri"/>
          <w:color w:val="auto"/>
        </w:rPr>
      </w:pPr>
    </w:p>
    <w:p w14:paraId="488F09D8" w14:textId="77777777" w:rsidR="00361E93" w:rsidRDefault="00361E93" w:rsidP="001F4807">
      <w:pPr>
        <w:pStyle w:val="Default"/>
        <w:rPr>
          <w:rFonts w:ascii="Humnst777 Lt BT" w:hAnsi="Humnst777 Lt BT" w:cs="Calibri"/>
          <w:b/>
          <w:bCs/>
          <w:color w:val="auto"/>
          <w:u w:val="single"/>
        </w:rPr>
      </w:pPr>
    </w:p>
    <w:p w14:paraId="3279855D" w14:textId="77777777" w:rsidR="00361E93" w:rsidRDefault="00361E93" w:rsidP="001F4807">
      <w:pPr>
        <w:pStyle w:val="Default"/>
        <w:rPr>
          <w:rFonts w:ascii="Humnst777 Lt BT" w:hAnsi="Humnst777 Lt BT" w:cs="Calibri"/>
          <w:b/>
          <w:bCs/>
          <w:color w:val="auto"/>
          <w:u w:val="single"/>
        </w:rPr>
      </w:pPr>
    </w:p>
    <w:p w14:paraId="7AFE1381" w14:textId="77777777" w:rsidR="00361E93" w:rsidRDefault="00361E93" w:rsidP="001F4807">
      <w:pPr>
        <w:pStyle w:val="Default"/>
        <w:rPr>
          <w:rFonts w:ascii="Humnst777 Lt BT" w:hAnsi="Humnst777 Lt BT" w:cs="Calibri"/>
          <w:b/>
          <w:bCs/>
          <w:color w:val="auto"/>
          <w:u w:val="single"/>
        </w:rPr>
      </w:pPr>
    </w:p>
    <w:p w14:paraId="003F2A16" w14:textId="77777777" w:rsidR="00361E93" w:rsidRDefault="00361E93" w:rsidP="001F4807">
      <w:pPr>
        <w:pStyle w:val="Default"/>
        <w:rPr>
          <w:rFonts w:ascii="Humnst777 Lt BT" w:hAnsi="Humnst777 Lt BT" w:cs="Calibri"/>
          <w:b/>
          <w:bCs/>
          <w:color w:val="auto"/>
          <w:u w:val="single"/>
        </w:rPr>
      </w:pPr>
    </w:p>
    <w:p w14:paraId="1CD5BA7E" w14:textId="123E48F7" w:rsidR="001F4807" w:rsidRDefault="00361E93" w:rsidP="001F4807">
      <w:pPr>
        <w:pStyle w:val="Default"/>
        <w:rPr>
          <w:rFonts w:ascii="Humnst777 Lt BT" w:hAnsi="Humnst777 Lt BT" w:cs="Calibri"/>
          <w:b/>
          <w:bCs/>
          <w:color w:val="auto"/>
          <w:u w:val="single"/>
        </w:rPr>
      </w:pPr>
      <w:r>
        <w:rPr>
          <w:rFonts w:ascii="Humnst777 Lt BT" w:hAnsi="Humnst777 Lt BT" w:cs="Calibri"/>
          <w:b/>
          <w:bCs/>
          <w:color w:val="auto"/>
          <w:u w:val="single"/>
        </w:rPr>
        <w:lastRenderedPageBreak/>
        <w:t>A</w:t>
      </w:r>
      <w:bookmarkStart w:id="0" w:name="_GoBack"/>
      <w:bookmarkEnd w:id="0"/>
      <w:r w:rsidR="001F4807">
        <w:rPr>
          <w:rFonts w:ascii="Humnst777 Lt BT" w:hAnsi="Humnst777 Lt BT" w:cs="Calibri"/>
          <w:b/>
          <w:bCs/>
          <w:color w:val="auto"/>
          <w:u w:val="single"/>
        </w:rPr>
        <w:t>nnex A: Progress of the Action Group during 2014</w:t>
      </w:r>
    </w:p>
    <w:p w14:paraId="4E60388F" w14:textId="77777777" w:rsidR="001F4807" w:rsidRPr="00E708F2" w:rsidRDefault="001F4807" w:rsidP="001F4807">
      <w:pPr>
        <w:pStyle w:val="Default"/>
        <w:rPr>
          <w:rFonts w:ascii="Humnst777 Lt BT" w:hAnsi="Humnst777 Lt BT"/>
          <w:color w:val="auto"/>
          <w:u w:val="single"/>
        </w:rPr>
      </w:pPr>
    </w:p>
    <w:p w14:paraId="50545EB0" w14:textId="77777777" w:rsidR="001F4807" w:rsidRPr="00453954" w:rsidRDefault="001F4807" w:rsidP="001F4807">
      <w:pPr>
        <w:pStyle w:val="Default"/>
        <w:numPr>
          <w:ilvl w:val="0"/>
          <w:numId w:val="13"/>
        </w:numPr>
        <w:rPr>
          <w:rFonts w:ascii="Humnst777 Lt BT" w:hAnsi="Humnst777 Lt BT" w:cs="Calibri"/>
        </w:rPr>
      </w:pPr>
      <w:r w:rsidRPr="00453954">
        <w:rPr>
          <w:rFonts w:ascii="Humnst777 Lt BT" w:hAnsi="Humnst777 Lt BT" w:cs="Calibri"/>
          <w:color w:val="auto"/>
        </w:rPr>
        <w:t xml:space="preserve">Oversaw the production of guidance for financial institutions providing banking facilities to MSBs and separately, guidance for MSBs themselves on how to comply with AML/CTF obligations. </w:t>
      </w:r>
    </w:p>
    <w:p w14:paraId="4FC1702F" w14:textId="77777777" w:rsidR="001F4807" w:rsidRDefault="001F4807" w:rsidP="001F4807">
      <w:pPr>
        <w:pStyle w:val="Default"/>
        <w:numPr>
          <w:ilvl w:val="0"/>
          <w:numId w:val="16"/>
        </w:numPr>
        <w:rPr>
          <w:rFonts w:ascii="Humnst777 Lt BT" w:hAnsi="Humnst777 Lt BT" w:cs="Calibri"/>
        </w:rPr>
      </w:pPr>
      <w:r w:rsidRPr="00D10E04">
        <w:rPr>
          <w:rFonts w:ascii="Humnst777 Lt BT" w:hAnsi="Humnst777 Lt BT" w:cs="Calibri"/>
          <w:color w:val="auto"/>
        </w:rPr>
        <w:t>The guidance aims to promote the adoption of best practice standards in the industry, and to reassure banks that MSBs are effectively supervised.</w:t>
      </w:r>
    </w:p>
    <w:p w14:paraId="3959413E" w14:textId="7696CABF" w:rsidR="00B23A9B" w:rsidRPr="00B23A9B" w:rsidRDefault="001F4807" w:rsidP="001F4807">
      <w:pPr>
        <w:pStyle w:val="Default"/>
        <w:numPr>
          <w:ilvl w:val="0"/>
          <w:numId w:val="16"/>
        </w:numPr>
        <w:rPr>
          <w:rFonts w:ascii="Humnst777 Lt BT" w:hAnsi="Humnst777 Lt BT" w:cs="Calibri"/>
        </w:rPr>
      </w:pPr>
      <w:r w:rsidRPr="00453954">
        <w:rPr>
          <w:rFonts w:ascii="Humnst777 Lt BT" w:hAnsi="Humnst777 Lt BT"/>
        </w:rPr>
        <w:t xml:space="preserve">Guidance is an essential part of the UK’s risk-based approach to anti-money-laundering, allowing firms to take a targeted and proportionate approach, following the expert guidance, and not fear of prosecution. Guidance provides a legal ‘safe-harbour’ for regulated firms, should a supervisor wish to impose a civil penalty, or in the event of a prosecution, </w:t>
      </w:r>
      <w:r w:rsidR="00B23A9B">
        <w:rPr>
          <w:rFonts w:ascii="Humnst777 Lt BT" w:hAnsi="Humnst777 Lt BT"/>
        </w:rPr>
        <w:t xml:space="preserve">the supervisor or firm must consider whether the </w:t>
      </w:r>
      <w:r w:rsidR="00B23A9B" w:rsidRPr="00573A5C">
        <w:rPr>
          <w:rFonts w:ascii="Humnst777 Lt BT" w:hAnsi="Humnst777 Lt BT"/>
        </w:rPr>
        <w:t>firm or individual concerned followed relevant guidance</w:t>
      </w:r>
      <w:r w:rsidR="00B23A9B">
        <w:rPr>
          <w:rFonts w:ascii="Humnst777 Lt BT" w:hAnsi="Humnst777 Lt BT"/>
        </w:rPr>
        <w:t xml:space="preserve"> before deciding whether or not they will be </w:t>
      </w:r>
      <w:r w:rsidR="00776BFA">
        <w:rPr>
          <w:rFonts w:ascii="Humnst777 Lt BT" w:hAnsi="Humnst777 Lt BT"/>
        </w:rPr>
        <w:t>penalised</w:t>
      </w:r>
      <w:r w:rsidR="00776BFA" w:rsidRPr="00453954">
        <w:rPr>
          <w:rFonts w:ascii="Humnst777 Lt BT" w:hAnsi="Humnst777 Lt BT"/>
        </w:rPr>
        <w:t>.</w:t>
      </w:r>
    </w:p>
    <w:p w14:paraId="24C5D306" w14:textId="77777777" w:rsidR="00B23A9B" w:rsidRPr="00B23A9B" w:rsidRDefault="00B23A9B" w:rsidP="0031250F">
      <w:pPr>
        <w:pStyle w:val="Default"/>
        <w:ind w:left="786"/>
        <w:rPr>
          <w:rFonts w:ascii="Humnst777 Lt BT" w:hAnsi="Humnst777 Lt BT" w:cs="Calibri"/>
        </w:rPr>
      </w:pPr>
    </w:p>
    <w:p w14:paraId="0F152EE5" w14:textId="77777777" w:rsidR="001F4807" w:rsidRPr="00453954" w:rsidRDefault="001F4807" w:rsidP="001F4807">
      <w:pPr>
        <w:pStyle w:val="Default"/>
        <w:numPr>
          <w:ilvl w:val="0"/>
          <w:numId w:val="13"/>
        </w:numPr>
        <w:rPr>
          <w:rFonts w:ascii="Humnst777 Lt BT" w:hAnsi="Humnst777 Lt BT" w:cs="Calibri"/>
          <w:color w:val="auto"/>
        </w:rPr>
      </w:pPr>
      <w:r w:rsidRPr="00453954">
        <w:rPr>
          <w:rFonts w:ascii="Humnst777 Lt BT" w:hAnsi="Humnst777 Lt BT" w:cs="Calibri"/>
          <w:color w:val="auto"/>
        </w:rPr>
        <w:t xml:space="preserve">Oversaw the design of a safer corridor pilot for UK-Somalia remittances </w:t>
      </w:r>
    </w:p>
    <w:p w14:paraId="3AB4CEF9" w14:textId="77777777" w:rsidR="001F4807" w:rsidRDefault="001F4807" w:rsidP="001F4807">
      <w:pPr>
        <w:pStyle w:val="Default"/>
        <w:numPr>
          <w:ilvl w:val="0"/>
          <w:numId w:val="17"/>
        </w:numPr>
        <w:rPr>
          <w:rFonts w:ascii="Humnst777 Lt BT" w:hAnsi="Humnst777 Lt BT" w:cs="Calibri"/>
          <w:color w:val="auto"/>
        </w:rPr>
      </w:pPr>
      <w:r>
        <w:rPr>
          <w:rFonts w:ascii="Humnst777 Lt BT" w:hAnsi="Humnst777 Lt BT" w:cs="Calibri"/>
          <w:color w:val="auto"/>
        </w:rPr>
        <w:t xml:space="preserve">The safer corridor pilot is a series of coordinated interventions at each key stage of the remittance transaction </w:t>
      </w:r>
      <w:r w:rsidRPr="0028203F">
        <w:rPr>
          <w:rFonts w:ascii="Humnst777 Lt BT" w:hAnsi="Humnst777 Lt BT" w:cs="Calibri"/>
          <w:color w:val="auto"/>
        </w:rPr>
        <w:t>the First Mile (MSB in the UK takes the money), the Second Mile (clearing house in the UAE) and the Last Mile (end destination in Somalia</w:t>
      </w:r>
      <w:r>
        <w:rPr>
          <w:rFonts w:ascii="Humnst777 Lt BT" w:hAnsi="Humnst777 Lt BT" w:cs="Calibri"/>
          <w:color w:val="auto"/>
        </w:rPr>
        <w:t>.</w:t>
      </w:r>
      <w:r w:rsidRPr="0028203F">
        <w:rPr>
          <w:rFonts w:ascii="Humnst777 Lt BT" w:hAnsi="Humnst777 Lt BT" w:cs="Calibri"/>
          <w:color w:val="auto"/>
        </w:rPr>
        <w:t>)</w:t>
      </w:r>
      <w:r>
        <w:rPr>
          <w:rFonts w:ascii="Humnst777 Lt BT" w:hAnsi="Humnst777 Lt BT" w:cs="Calibri"/>
          <w:color w:val="auto"/>
        </w:rPr>
        <w:t xml:space="preserve"> </w:t>
      </w:r>
    </w:p>
    <w:p w14:paraId="457500BF" w14:textId="77777777" w:rsidR="001F4807" w:rsidRDefault="001F4807" w:rsidP="001F4807">
      <w:pPr>
        <w:pStyle w:val="Default"/>
        <w:numPr>
          <w:ilvl w:val="0"/>
          <w:numId w:val="17"/>
        </w:numPr>
        <w:rPr>
          <w:rFonts w:ascii="Humnst777 Lt BT" w:hAnsi="Humnst777 Lt BT" w:cs="Calibri"/>
          <w:color w:val="auto"/>
        </w:rPr>
      </w:pPr>
      <w:r w:rsidRPr="0028203F">
        <w:rPr>
          <w:rFonts w:ascii="Humnst777 Lt BT" w:hAnsi="Humnst777 Lt BT" w:cs="Calibri"/>
          <w:color w:val="auto"/>
        </w:rPr>
        <w:t>The pilot’s objective is to ensure the continued, secure flow of remittances to Somalia and to rebuild the confidence of banks to engage with the market and encourage them to continue support transactions beyo</w:t>
      </w:r>
      <w:r w:rsidRPr="008A5ED4">
        <w:rPr>
          <w:rFonts w:ascii="Humnst777 Lt BT" w:hAnsi="Humnst777 Lt BT" w:cs="Calibri"/>
          <w:color w:val="auto"/>
        </w:rPr>
        <w:t>nd the pilot.</w:t>
      </w:r>
    </w:p>
    <w:p w14:paraId="34AA7482" w14:textId="77777777" w:rsidR="001F4807" w:rsidRPr="00453954" w:rsidRDefault="001F4807" w:rsidP="001F4807">
      <w:pPr>
        <w:pStyle w:val="Default"/>
        <w:numPr>
          <w:ilvl w:val="0"/>
          <w:numId w:val="17"/>
        </w:numPr>
        <w:rPr>
          <w:rFonts w:ascii="Humnst777 Lt BT" w:hAnsi="Humnst777 Lt BT" w:cs="Calibri"/>
          <w:color w:val="auto"/>
        </w:rPr>
      </w:pPr>
      <w:r w:rsidRPr="00453954">
        <w:rPr>
          <w:rFonts w:ascii="Humnst777 Lt BT" w:hAnsi="Humnst777 Lt BT" w:cs="Calibri"/>
        </w:rPr>
        <w:t xml:space="preserve">Led by the Department for International Development and implemented by the World Bank, the </w:t>
      </w:r>
      <w:r w:rsidRPr="00453954">
        <w:rPr>
          <w:rFonts w:ascii="Humnst777 Lt BT" w:hAnsi="Humnst777 Lt BT"/>
        </w:rPr>
        <w:t>design phase of the pilot will be completed by the end of 2014, it is the intention that the first transactions will flow through the corridor during Q2 of 2015.</w:t>
      </w:r>
    </w:p>
    <w:p w14:paraId="0A445FE5" w14:textId="77777777" w:rsidR="001F4807" w:rsidRPr="00453954" w:rsidRDefault="001F4807" w:rsidP="001F4807">
      <w:pPr>
        <w:pStyle w:val="Default"/>
        <w:ind w:left="786"/>
        <w:rPr>
          <w:rFonts w:ascii="Humnst777 Lt BT" w:hAnsi="Humnst777 Lt BT" w:cs="Calibri"/>
          <w:color w:val="auto"/>
        </w:rPr>
      </w:pPr>
    </w:p>
    <w:p w14:paraId="7C1F7E4C" w14:textId="77777777" w:rsidR="001F4807" w:rsidRPr="00453954" w:rsidRDefault="001F4807" w:rsidP="001F4807">
      <w:pPr>
        <w:pStyle w:val="Default"/>
        <w:numPr>
          <w:ilvl w:val="0"/>
          <w:numId w:val="13"/>
        </w:numPr>
        <w:rPr>
          <w:rFonts w:ascii="Humnst777 Lt BT" w:hAnsi="Humnst777 Lt BT" w:cs="Calibri"/>
          <w:color w:val="auto"/>
        </w:rPr>
      </w:pPr>
      <w:r w:rsidRPr="00453954">
        <w:rPr>
          <w:rFonts w:ascii="Humnst777 Lt BT" w:hAnsi="Humnst777 Lt BT" w:cs="Calibri"/>
          <w:color w:val="auto"/>
        </w:rPr>
        <w:t>Held a series of closed workshops facilitated by the BBA, the UK Money Transmitters Association (now AUKPI) and SOMSA to develop a shared understanding of risk in the UK remittances market and the key drivers for ‘de-risking’ in this sector.</w:t>
      </w:r>
    </w:p>
    <w:p w14:paraId="5F3D2CF5" w14:textId="77777777" w:rsidR="001F4807" w:rsidRDefault="001F4807" w:rsidP="001F4807">
      <w:pPr>
        <w:pStyle w:val="Default"/>
        <w:rPr>
          <w:rFonts w:ascii="Humnst777 Lt BT" w:hAnsi="Humnst777 Lt BT" w:cs="Calibri"/>
          <w:color w:val="auto"/>
        </w:rPr>
      </w:pPr>
    </w:p>
    <w:p w14:paraId="48F29CE1" w14:textId="77777777" w:rsidR="001F4807" w:rsidRDefault="001F4807" w:rsidP="0082043D">
      <w:pPr>
        <w:rPr>
          <w:rFonts w:ascii="Humnst777 Lt BT" w:hAnsi="Humnst777 Lt BT" w:cs="Arial"/>
          <w:b/>
        </w:rPr>
      </w:pPr>
    </w:p>
    <w:p w14:paraId="1E793078" w14:textId="77777777" w:rsidR="001F4807" w:rsidRDefault="001F4807" w:rsidP="0082043D">
      <w:pPr>
        <w:rPr>
          <w:rFonts w:ascii="Humnst777 Lt BT" w:hAnsi="Humnst777 Lt BT" w:cs="Arial"/>
          <w:b/>
        </w:rPr>
      </w:pPr>
    </w:p>
    <w:p w14:paraId="7266F0AA" w14:textId="77777777" w:rsidR="001F4807" w:rsidRDefault="001F4807" w:rsidP="0082043D">
      <w:pPr>
        <w:rPr>
          <w:rFonts w:ascii="Humnst777 Lt BT" w:hAnsi="Humnst777 Lt BT" w:cs="Arial"/>
          <w:b/>
        </w:rPr>
      </w:pPr>
    </w:p>
    <w:p w14:paraId="722BB100" w14:textId="77777777" w:rsidR="001F4807" w:rsidRDefault="001F4807" w:rsidP="0082043D">
      <w:pPr>
        <w:rPr>
          <w:rFonts w:ascii="Humnst777 Lt BT" w:hAnsi="Humnst777 Lt BT" w:cs="Arial"/>
          <w:b/>
        </w:rPr>
      </w:pPr>
    </w:p>
    <w:p w14:paraId="5759F22D" w14:textId="77777777" w:rsidR="0031250F" w:rsidRDefault="0031250F" w:rsidP="0082043D">
      <w:pPr>
        <w:rPr>
          <w:rFonts w:ascii="Humnst777 Lt BT" w:hAnsi="Humnst777 Lt BT" w:cs="Arial"/>
          <w:b/>
        </w:rPr>
      </w:pPr>
    </w:p>
    <w:p w14:paraId="30AC9BF7" w14:textId="77777777" w:rsidR="0031250F" w:rsidRDefault="0031250F" w:rsidP="0082043D">
      <w:pPr>
        <w:rPr>
          <w:rFonts w:ascii="Humnst777 Lt BT" w:hAnsi="Humnst777 Lt BT" w:cs="Arial"/>
          <w:b/>
        </w:rPr>
      </w:pPr>
    </w:p>
    <w:p w14:paraId="68E8109E" w14:textId="77777777" w:rsidR="0031250F" w:rsidRDefault="0031250F" w:rsidP="0082043D">
      <w:pPr>
        <w:rPr>
          <w:rFonts w:ascii="Humnst777 Lt BT" w:hAnsi="Humnst777 Lt BT" w:cs="Arial"/>
          <w:b/>
        </w:rPr>
      </w:pPr>
    </w:p>
    <w:p w14:paraId="29D27EF3" w14:textId="77777777" w:rsidR="0031250F" w:rsidRDefault="0031250F" w:rsidP="0082043D">
      <w:pPr>
        <w:rPr>
          <w:rFonts w:ascii="Humnst777 Lt BT" w:hAnsi="Humnst777 Lt BT" w:cs="Arial"/>
          <w:b/>
        </w:rPr>
      </w:pPr>
    </w:p>
    <w:p w14:paraId="0B5D0C4B" w14:textId="77777777" w:rsidR="0031250F" w:rsidRDefault="0031250F" w:rsidP="0082043D">
      <w:pPr>
        <w:rPr>
          <w:rFonts w:ascii="Humnst777 Lt BT" w:hAnsi="Humnst777 Lt BT" w:cs="Arial"/>
          <w:b/>
        </w:rPr>
      </w:pPr>
    </w:p>
    <w:p w14:paraId="0BAD4ED3" w14:textId="77777777" w:rsidR="0031250F" w:rsidRDefault="0031250F" w:rsidP="0082043D">
      <w:pPr>
        <w:rPr>
          <w:rFonts w:ascii="Humnst777 Lt BT" w:hAnsi="Humnst777 Lt BT" w:cs="Arial"/>
          <w:b/>
        </w:rPr>
      </w:pPr>
    </w:p>
    <w:p w14:paraId="12B5A343" w14:textId="77777777" w:rsidR="0031250F" w:rsidRDefault="0031250F" w:rsidP="0082043D">
      <w:pPr>
        <w:rPr>
          <w:rFonts w:ascii="Humnst777 Lt BT" w:hAnsi="Humnst777 Lt BT" w:cs="Arial"/>
          <w:b/>
        </w:rPr>
      </w:pPr>
    </w:p>
    <w:p w14:paraId="113247F6" w14:textId="77777777" w:rsidR="001F4807" w:rsidRDefault="001F4807" w:rsidP="0082043D">
      <w:pPr>
        <w:rPr>
          <w:rFonts w:ascii="Humnst777 Lt BT" w:hAnsi="Humnst777 Lt BT" w:cs="Arial"/>
          <w:b/>
        </w:rPr>
      </w:pPr>
    </w:p>
    <w:p w14:paraId="0C2BCFDD" w14:textId="77777777" w:rsidR="00F65E25" w:rsidRPr="00E708F2" w:rsidRDefault="00F65E25" w:rsidP="00464D49">
      <w:pPr>
        <w:rPr>
          <w:rFonts w:ascii="Humnst777 Lt BT" w:hAnsi="Humnst777 Lt BT" w:cs="Arial"/>
          <w:b/>
        </w:rPr>
      </w:pPr>
    </w:p>
    <w:sectPr w:rsidR="00F65E25" w:rsidRPr="00E708F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9BB92" w14:textId="77777777" w:rsidR="0082043D" w:rsidRDefault="0082043D" w:rsidP="0082043D">
      <w:r>
        <w:separator/>
      </w:r>
    </w:p>
  </w:endnote>
  <w:endnote w:type="continuationSeparator" w:id="0">
    <w:p w14:paraId="7548F27D" w14:textId="77777777" w:rsidR="0082043D" w:rsidRDefault="0082043D" w:rsidP="0082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Lt BT">
    <w:panose1 w:val="020B0402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562395"/>
      <w:docPartObj>
        <w:docPartGallery w:val="Page Numbers (Bottom of Page)"/>
        <w:docPartUnique/>
      </w:docPartObj>
    </w:sdtPr>
    <w:sdtEndPr>
      <w:rPr>
        <w:noProof/>
      </w:rPr>
    </w:sdtEndPr>
    <w:sdtContent>
      <w:p w14:paraId="2A20EC93" w14:textId="77777777" w:rsidR="0082043D" w:rsidRDefault="0082043D">
        <w:pPr>
          <w:pStyle w:val="Footer"/>
          <w:jc w:val="center"/>
        </w:pPr>
        <w:r>
          <w:fldChar w:fldCharType="begin"/>
        </w:r>
        <w:r>
          <w:instrText xml:space="preserve"> PAGE   \* MERGEFORMAT </w:instrText>
        </w:r>
        <w:r>
          <w:fldChar w:fldCharType="separate"/>
        </w:r>
        <w:r w:rsidR="00361E93">
          <w:rPr>
            <w:noProof/>
          </w:rPr>
          <w:t>4</w:t>
        </w:r>
        <w:r>
          <w:rPr>
            <w:noProof/>
          </w:rPr>
          <w:fldChar w:fldCharType="end"/>
        </w:r>
      </w:p>
    </w:sdtContent>
  </w:sdt>
  <w:p w14:paraId="4C208E2E" w14:textId="77777777" w:rsidR="0082043D" w:rsidRDefault="00820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FD8D7" w14:textId="77777777" w:rsidR="0082043D" w:rsidRDefault="0082043D" w:rsidP="0082043D">
      <w:r>
        <w:separator/>
      </w:r>
    </w:p>
  </w:footnote>
  <w:footnote w:type="continuationSeparator" w:id="0">
    <w:p w14:paraId="635AA4DC" w14:textId="77777777" w:rsidR="0082043D" w:rsidRDefault="0082043D" w:rsidP="00820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2409"/>
    <w:multiLevelType w:val="hybridMultilevel"/>
    <w:tmpl w:val="3F2A929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46F25"/>
    <w:multiLevelType w:val="hybridMultilevel"/>
    <w:tmpl w:val="56EE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242B9"/>
    <w:multiLevelType w:val="hybridMultilevel"/>
    <w:tmpl w:val="D2F21724"/>
    <w:lvl w:ilvl="0" w:tplc="2F426F5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290AE2"/>
    <w:multiLevelType w:val="hybridMultilevel"/>
    <w:tmpl w:val="5C72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02EAF"/>
    <w:multiLevelType w:val="hybridMultilevel"/>
    <w:tmpl w:val="58B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B7590"/>
    <w:multiLevelType w:val="hybridMultilevel"/>
    <w:tmpl w:val="B9F0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111D2"/>
    <w:multiLevelType w:val="hybridMultilevel"/>
    <w:tmpl w:val="B69C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950D3D"/>
    <w:multiLevelType w:val="hybridMultilevel"/>
    <w:tmpl w:val="37845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928"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220821"/>
    <w:multiLevelType w:val="hybridMultilevel"/>
    <w:tmpl w:val="09904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613745"/>
    <w:multiLevelType w:val="hybridMultilevel"/>
    <w:tmpl w:val="883CF518"/>
    <w:lvl w:ilvl="0" w:tplc="F70C12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40245"/>
    <w:multiLevelType w:val="hybridMultilevel"/>
    <w:tmpl w:val="5BC0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3E1258"/>
    <w:multiLevelType w:val="multilevel"/>
    <w:tmpl w:val="F4F89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5060E10"/>
    <w:multiLevelType w:val="hybridMultilevel"/>
    <w:tmpl w:val="70FC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5538AB"/>
    <w:multiLevelType w:val="hybridMultilevel"/>
    <w:tmpl w:val="D6B21E46"/>
    <w:lvl w:ilvl="0" w:tplc="0809000F">
      <w:start w:val="1"/>
      <w:numFmt w:val="decimal"/>
      <w:lvlText w:val="%1."/>
      <w:lvlJc w:val="left"/>
      <w:pPr>
        <w:ind w:left="360" w:hanging="360"/>
      </w:pPr>
    </w:lvl>
    <w:lvl w:ilvl="1" w:tplc="807C987A">
      <w:numFmt w:val="bullet"/>
      <w:lvlText w:val="•"/>
      <w:lvlJc w:val="left"/>
      <w:pPr>
        <w:ind w:left="1080" w:hanging="360"/>
      </w:pPr>
      <w:rPr>
        <w:rFonts w:ascii="Humnst777 Lt BT" w:eastAsia="Times New Roman" w:hAnsi="Humnst777 Lt BT"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7156ECE"/>
    <w:multiLevelType w:val="hybridMultilevel"/>
    <w:tmpl w:val="44CE25E2"/>
    <w:lvl w:ilvl="0" w:tplc="25E08EA4">
      <w:start w:val="1"/>
      <w:numFmt w:val="bullet"/>
      <w:lvlText w:val=""/>
      <w:lvlJc w:val="left"/>
      <w:pPr>
        <w:ind w:left="78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6DA80763"/>
    <w:multiLevelType w:val="hybridMultilevel"/>
    <w:tmpl w:val="3DD0D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5F043EB"/>
    <w:multiLevelType w:val="hybridMultilevel"/>
    <w:tmpl w:val="53DA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6B0102"/>
    <w:multiLevelType w:val="hybridMultilevel"/>
    <w:tmpl w:val="C4047706"/>
    <w:lvl w:ilvl="0" w:tplc="25E08EA4">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1354"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9"/>
  </w:num>
  <w:num w:numId="3">
    <w:abstractNumId w:val="8"/>
  </w:num>
  <w:num w:numId="4">
    <w:abstractNumId w:val="3"/>
  </w:num>
  <w:num w:numId="5">
    <w:abstractNumId w:val="5"/>
  </w:num>
  <w:num w:numId="6">
    <w:abstractNumId w:val="16"/>
  </w:num>
  <w:num w:numId="7">
    <w:abstractNumId w:val="15"/>
  </w:num>
  <w:num w:numId="8">
    <w:abstractNumId w:val="12"/>
  </w:num>
  <w:num w:numId="9">
    <w:abstractNumId w:val="0"/>
  </w:num>
  <w:num w:numId="10">
    <w:abstractNumId w:val="6"/>
  </w:num>
  <w:num w:numId="11">
    <w:abstractNumId w:val="10"/>
  </w:num>
  <w:num w:numId="12">
    <w:abstractNumId w:val="1"/>
  </w:num>
  <w:num w:numId="13">
    <w:abstractNumId w:val="7"/>
  </w:num>
  <w:num w:numId="14">
    <w:abstractNumId w:val="2"/>
  </w:num>
  <w:num w:numId="15">
    <w:abstractNumId w:val="13"/>
  </w:num>
  <w:num w:numId="16">
    <w:abstractNumId w:val="1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4B"/>
    <w:rsid w:val="000D3A02"/>
    <w:rsid w:val="00152D4B"/>
    <w:rsid w:val="001F4807"/>
    <w:rsid w:val="0028203F"/>
    <w:rsid w:val="0031250F"/>
    <w:rsid w:val="00331890"/>
    <w:rsid w:val="00361772"/>
    <w:rsid w:val="00361E93"/>
    <w:rsid w:val="00377B5B"/>
    <w:rsid w:val="003A1936"/>
    <w:rsid w:val="00453954"/>
    <w:rsid w:val="00464D49"/>
    <w:rsid w:val="004F0729"/>
    <w:rsid w:val="004F2490"/>
    <w:rsid w:val="0055634B"/>
    <w:rsid w:val="005737A9"/>
    <w:rsid w:val="005C2C72"/>
    <w:rsid w:val="005C73C5"/>
    <w:rsid w:val="00644362"/>
    <w:rsid w:val="006A00A1"/>
    <w:rsid w:val="006F728D"/>
    <w:rsid w:val="0072645D"/>
    <w:rsid w:val="00776BFA"/>
    <w:rsid w:val="0082043D"/>
    <w:rsid w:val="008A5ED4"/>
    <w:rsid w:val="00920CA0"/>
    <w:rsid w:val="00951CEF"/>
    <w:rsid w:val="009934AC"/>
    <w:rsid w:val="00A23035"/>
    <w:rsid w:val="00A26C78"/>
    <w:rsid w:val="00B23A9B"/>
    <w:rsid w:val="00BC0DE4"/>
    <w:rsid w:val="00C03CC8"/>
    <w:rsid w:val="00C0502C"/>
    <w:rsid w:val="00C30398"/>
    <w:rsid w:val="00C64E1F"/>
    <w:rsid w:val="00C95506"/>
    <w:rsid w:val="00CD5B06"/>
    <w:rsid w:val="00D10E04"/>
    <w:rsid w:val="00D35ED6"/>
    <w:rsid w:val="00D90AC1"/>
    <w:rsid w:val="00DD0475"/>
    <w:rsid w:val="00DD509D"/>
    <w:rsid w:val="00E708F2"/>
    <w:rsid w:val="00E71D5A"/>
    <w:rsid w:val="00EE60F9"/>
    <w:rsid w:val="00F65E25"/>
    <w:rsid w:val="00F8055C"/>
    <w:rsid w:val="00FB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F8726"/>
  <w15:chartTrackingRefBased/>
  <w15:docId w15:val="{26E15EBF-47DA-4E55-BF10-463804FE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43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34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2043D"/>
    <w:pPr>
      <w:tabs>
        <w:tab w:val="center" w:pos="4513"/>
        <w:tab w:val="right" w:pos="9026"/>
      </w:tabs>
    </w:pPr>
  </w:style>
  <w:style w:type="character" w:customStyle="1" w:styleId="HeaderChar">
    <w:name w:val="Header Char"/>
    <w:basedOn w:val="DefaultParagraphFont"/>
    <w:link w:val="Header"/>
    <w:uiPriority w:val="99"/>
    <w:rsid w:val="0082043D"/>
    <w:rPr>
      <w:sz w:val="24"/>
      <w:szCs w:val="24"/>
      <w:lang w:eastAsia="en-US"/>
    </w:rPr>
  </w:style>
  <w:style w:type="paragraph" w:styleId="Footer">
    <w:name w:val="footer"/>
    <w:basedOn w:val="Normal"/>
    <w:link w:val="FooterChar"/>
    <w:uiPriority w:val="99"/>
    <w:unhideWhenUsed/>
    <w:rsid w:val="0082043D"/>
    <w:pPr>
      <w:tabs>
        <w:tab w:val="center" w:pos="4513"/>
        <w:tab w:val="right" w:pos="9026"/>
      </w:tabs>
    </w:pPr>
  </w:style>
  <w:style w:type="character" w:customStyle="1" w:styleId="FooterChar">
    <w:name w:val="Footer Char"/>
    <w:basedOn w:val="DefaultParagraphFont"/>
    <w:link w:val="Footer"/>
    <w:uiPriority w:val="99"/>
    <w:rsid w:val="0082043D"/>
    <w:rPr>
      <w:sz w:val="24"/>
      <w:szCs w:val="24"/>
      <w:lang w:eastAsia="en-US"/>
    </w:rPr>
  </w:style>
  <w:style w:type="paragraph" w:styleId="ListParagraph">
    <w:name w:val="List Paragraph"/>
    <w:aliases w:val="Dot pt,List Paragraph1,Colorful List - Accent 11,No Spacing1,List Paragraph Char Char Char,Indicator Text,Numbered Para 1,Bullet 1,F5 List Paragraph,Bullet Points,Párrafo de lista,MAIN CONTENT,Recommendation,List Paragraph2,Normal numbere"/>
    <w:basedOn w:val="Normal"/>
    <w:link w:val="ListParagraphChar"/>
    <w:uiPriority w:val="34"/>
    <w:qFormat/>
    <w:rsid w:val="0082043D"/>
    <w:pPr>
      <w:ind w:left="720"/>
      <w:contextualSpacing/>
    </w:pPr>
  </w:style>
  <w:style w:type="paragraph" w:styleId="BalloonText">
    <w:name w:val="Balloon Text"/>
    <w:basedOn w:val="Normal"/>
    <w:link w:val="BalloonTextChar"/>
    <w:uiPriority w:val="99"/>
    <w:semiHidden/>
    <w:unhideWhenUsed/>
    <w:rsid w:val="00E70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8F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EE60F9"/>
    <w:rPr>
      <w:sz w:val="16"/>
      <w:szCs w:val="16"/>
    </w:rPr>
  </w:style>
  <w:style w:type="paragraph" w:styleId="CommentText">
    <w:name w:val="annotation text"/>
    <w:basedOn w:val="Normal"/>
    <w:link w:val="CommentTextChar"/>
    <w:uiPriority w:val="99"/>
    <w:semiHidden/>
    <w:unhideWhenUsed/>
    <w:rsid w:val="00EE60F9"/>
    <w:rPr>
      <w:sz w:val="20"/>
      <w:szCs w:val="20"/>
    </w:rPr>
  </w:style>
  <w:style w:type="character" w:customStyle="1" w:styleId="CommentTextChar">
    <w:name w:val="Comment Text Char"/>
    <w:basedOn w:val="DefaultParagraphFont"/>
    <w:link w:val="CommentText"/>
    <w:uiPriority w:val="99"/>
    <w:semiHidden/>
    <w:rsid w:val="00EE60F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E60F9"/>
    <w:rPr>
      <w:b/>
      <w:bCs/>
    </w:rPr>
  </w:style>
  <w:style w:type="character" w:customStyle="1" w:styleId="CommentSubjectChar">
    <w:name w:val="Comment Subject Char"/>
    <w:basedOn w:val="CommentTextChar"/>
    <w:link w:val="CommentSubject"/>
    <w:uiPriority w:val="99"/>
    <w:semiHidden/>
    <w:rsid w:val="00EE60F9"/>
    <w:rPr>
      <w:rFonts w:ascii="Arial" w:hAnsi="Arial"/>
      <w:b/>
      <w:bCs/>
      <w:lang w:eastAsia="en-US"/>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link w:val="ListParagraph"/>
    <w:uiPriority w:val="34"/>
    <w:qFormat/>
    <w:locked/>
    <w:rsid w:val="00D10E04"/>
    <w:rPr>
      <w:rFonts w:ascii="Arial" w:hAnsi="Arial"/>
      <w:sz w:val="24"/>
      <w:szCs w:val="24"/>
      <w:lang w:eastAsia="en-US"/>
    </w:rPr>
  </w:style>
  <w:style w:type="character" w:styleId="Hyperlink">
    <w:name w:val="Hyperlink"/>
    <w:basedOn w:val="DefaultParagraphFont"/>
    <w:uiPriority w:val="99"/>
    <w:unhideWhenUsed/>
    <w:rsid w:val="004F0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2317">
      <w:bodyDiv w:val="1"/>
      <w:marLeft w:val="0"/>
      <w:marRight w:val="0"/>
      <w:marTop w:val="0"/>
      <w:marBottom w:val="0"/>
      <w:divBdr>
        <w:top w:val="none" w:sz="0" w:space="0" w:color="auto"/>
        <w:left w:val="none" w:sz="0" w:space="0" w:color="auto"/>
        <w:bottom w:val="none" w:sz="0" w:space="0" w:color="auto"/>
        <w:right w:val="none" w:sz="0" w:space="0" w:color="auto"/>
      </w:divBdr>
    </w:div>
    <w:div w:id="20058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olicies/helping-developing-countries-economies-to-grow/supporting-pages/enabling-the-continued-flow-of-remittan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1D76-A033-46B6-9611-D80858D3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1251</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Public Sector Flex</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Morris</dc:creator>
  <cp:keywords/>
  <dc:description/>
  <cp:lastModifiedBy>Morris, Victoria - HMT</cp:lastModifiedBy>
  <cp:revision>7</cp:revision>
  <cp:lastPrinted>2014-11-24T10:31:00Z</cp:lastPrinted>
  <dcterms:created xsi:type="dcterms:W3CDTF">2015-01-09T14:14:00Z</dcterms:created>
  <dcterms:modified xsi:type="dcterms:W3CDTF">2015-01-27T12:36:00Z</dcterms:modified>
</cp:coreProperties>
</file>