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963.6447019552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70.124951758497"/>
        <w:gridCol w:w="1741.3926632818261"/>
        <w:gridCol w:w="1695"/>
        <w:gridCol w:w="1485"/>
        <w:gridCol w:w="600"/>
        <w:gridCol w:w="1260"/>
        <w:gridCol w:w="1290"/>
        <w:gridCol w:w="1290"/>
        <w:gridCol w:w="2532.1270869149"/>
        <w:tblGridChange w:id="0">
          <w:tblGrid>
            <w:gridCol w:w="2070.124951758497"/>
            <w:gridCol w:w="1741.3926632818261"/>
            <w:gridCol w:w="1695"/>
            <w:gridCol w:w="1485"/>
            <w:gridCol w:w="600"/>
            <w:gridCol w:w="1260"/>
            <w:gridCol w:w="1290"/>
            <w:gridCol w:w="1290"/>
            <w:gridCol w:w="2532.1270869149"/>
          </w:tblGrid>
        </w:tblGridChange>
      </w:tblGrid>
      <w:t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shd w:fill="cccccc" w:val="clear"/>
                <w:rtl w:val="0"/>
              </w:rPr>
              <w:t xml:space="preserve">Table 2:  For all new off-payroll engagements, or those that reached six months in duration, between 1 April 2014 and 31 March 2015, for more than £220 per day and that last for longer than six months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Department / ALB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No. of new engagements, or those that reached six months in duration, between 1 April 2014 and 31 March 2015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that include contractual clauses giving the right to request assurance in relation to income tax and National Insurance obligations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for whom assurance has been requested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for whom assurance has been received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for whom assurance has not been received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that have been terminated as a result of assurance not being received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In any cases where, exceptionally, the department has engaged without including contractual clauses allowing the department to seek assurance as to their tax obligations – or where assurance has been requested and not received, without a contract termination – the department should set out the reasons for this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DCMS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160" w:right="16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British Film 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120" w:before="0" w:line="276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>
            <w:pPr>
              <w:spacing w:after="120" w:lineRule="auto"/>
              <w:ind w:left="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Contracts make it clear that individuals are responsible for tax compliance. Additional assurance was not considered necessary following risk assessment which identified these as low risk.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British Library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British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EHRC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right="16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 </w:t>
            </w:r>
          </w:p>
          <w:p w:rsidR="00000000" w:rsidDel="00000000" w:rsidP="00000000" w:rsidRDefault="00000000" w:rsidRPr="00000000">
            <w:pPr>
              <w:spacing w:after="120" w:lineRule="auto"/>
              <w:ind w:right="1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Gambling Commission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Gallery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0" w:right="16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Paid via recruitment agency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Ofcom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Royal Museums Greenwich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Sport England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0" w:right="1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(2 are contracted through an agency)</w:t>
            </w:r>
          </w:p>
          <w:p w:rsidR="00000000" w:rsidDel="00000000" w:rsidP="00000000" w:rsidRDefault="00000000" w:rsidRPr="00000000">
            <w:pPr>
              <w:spacing w:after="120" w:lineRule="auto"/>
              <w:ind w:left="0" w:right="1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 Royal Parks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>
            <w:pPr>
              <w:ind w:left="0" w:right="1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V&amp;A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Visit Britain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Arts Council England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Churches Conservation Trust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English Heritage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Geffrye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Horniman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Horse race Betting Levy Board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Imperial War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Heritage Memorial Fund /Heritage Lottery Fund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Natural History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Museums Liverpool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Portrait Gallery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Royal Armouries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Science Museum Group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Sir John Soane’s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Sports Ground Safety Authority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UK Sport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Wallace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