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F1" w:rsidRDefault="004703F1">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cstate="print"/>
                    <a:srcRect/>
                    <a:stretch>
                      <a:fillRect/>
                    </a:stretch>
                  </pic:blipFill>
                  <pic:spPr bwMode="auto">
                    <a:xfrm>
                      <a:off x="0" y="0"/>
                      <a:ext cx="2066925" cy="1790700"/>
                    </a:xfrm>
                    <a:prstGeom prst="rect">
                      <a:avLst/>
                    </a:prstGeom>
                    <a:noFill/>
                    <a:ln w="9525">
                      <a:noFill/>
                      <a:miter lim="800000"/>
                      <a:headEnd/>
                      <a:tailEnd/>
                    </a:ln>
                  </pic:spPr>
                </pic:pic>
              </a:graphicData>
            </a:graphic>
          </wp:anchor>
        </w:drawing>
      </w:r>
    </w:p>
    <w:p w:rsidR="004703F1" w:rsidRDefault="004703F1"/>
    <w:p w:rsidR="004703F1" w:rsidRDefault="004703F1"/>
    <w:p w:rsidR="004703F1" w:rsidRDefault="004703F1"/>
    <w:p w:rsidR="004703F1" w:rsidRDefault="004703F1" w:rsidP="004703F1">
      <w:pPr>
        <w:jc w:val="center"/>
        <w:rPr>
          <w:sz w:val="56"/>
          <w:szCs w:val="56"/>
        </w:rPr>
      </w:pPr>
    </w:p>
    <w:p w:rsidR="004703F1" w:rsidRPr="004703F1" w:rsidRDefault="004703F1" w:rsidP="004703F1">
      <w:pPr>
        <w:jc w:val="center"/>
        <w:rPr>
          <w:b/>
          <w:sz w:val="72"/>
          <w:szCs w:val="72"/>
        </w:rPr>
      </w:pPr>
      <w:r w:rsidRPr="004703F1">
        <w:rPr>
          <w:b/>
          <w:sz w:val="72"/>
          <w:szCs w:val="72"/>
        </w:rPr>
        <w:t xml:space="preserve">FCO  </w:t>
      </w:r>
    </w:p>
    <w:p w:rsidR="00547CC4" w:rsidRDefault="00547CC4" w:rsidP="004703F1">
      <w:pPr>
        <w:jc w:val="center"/>
        <w:rPr>
          <w:b/>
          <w:sz w:val="72"/>
          <w:szCs w:val="72"/>
        </w:rPr>
      </w:pPr>
      <w:r>
        <w:rPr>
          <w:b/>
          <w:sz w:val="72"/>
          <w:szCs w:val="72"/>
        </w:rPr>
        <w:t>DIPLOMATIC INFLUENCE &amp; VALUES:</w:t>
      </w:r>
    </w:p>
    <w:p w:rsidR="009B3C5B" w:rsidRDefault="009B3C5B" w:rsidP="004703F1">
      <w:pPr>
        <w:jc w:val="center"/>
        <w:rPr>
          <w:b/>
          <w:sz w:val="72"/>
          <w:szCs w:val="72"/>
        </w:rPr>
      </w:pPr>
      <w:r>
        <w:rPr>
          <w:b/>
          <w:sz w:val="72"/>
          <w:szCs w:val="72"/>
        </w:rPr>
        <w:t>REUNITING EUROPE</w:t>
      </w:r>
      <w:r w:rsidR="004703F1" w:rsidRPr="004703F1">
        <w:rPr>
          <w:b/>
          <w:sz w:val="72"/>
          <w:szCs w:val="72"/>
        </w:rPr>
        <w:t xml:space="preserve"> </w:t>
      </w:r>
    </w:p>
    <w:p w:rsidR="004703F1" w:rsidRPr="004703F1" w:rsidRDefault="004703F1" w:rsidP="004703F1">
      <w:pPr>
        <w:jc w:val="center"/>
        <w:rPr>
          <w:b/>
          <w:sz w:val="72"/>
          <w:szCs w:val="72"/>
        </w:rPr>
      </w:pPr>
      <w:r w:rsidRPr="004703F1">
        <w:rPr>
          <w:b/>
          <w:sz w:val="72"/>
          <w:szCs w:val="72"/>
        </w:rPr>
        <w:t xml:space="preserve">PROGRAMME </w:t>
      </w:r>
    </w:p>
    <w:p w:rsidR="003F13AD" w:rsidRDefault="005E76FA" w:rsidP="004703F1">
      <w:pPr>
        <w:jc w:val="center"/>
        <w:rPr>
          <w:sz w:val="56"/>
          <w:szCs w:val="56"/>
        </w:rPr>
      </w:pPr>
      <w:r w:rsidRPr="004703F1">
        <w:rPr>
          <w:b/>
          <w:sz w:val="72"/>
          <w:szCs w:val="72"/>
        </w:rPr>
        <w:t>STRATEGY</w:t>
      </w:r>
    </w:p>
    <w:p w:rsidR="004703F1" w:rsidRDefault="004703F1" w:rsidP="004703F1">
      <w:pPr>
        <w:jc w:val="center"/>
        <w:rPr>
          <w:sz w:val="32"/>
          <w:szCs w:val="32"/>
        </w:rPr>
      </w:pPr>
    </w:p>
    <w:p w:rsidR="004703F1" w:rsidRDefault="004703F1" w:rsidP="004703F1">
      <w:pPr>
        <w:jc w:val="center"/>
        <w:rPr>
          <w:sz w:val="32"/>
          <w:szCs w:val="32"/>
        </w:rPr>
      </w:pPr>
    </w:p>
    <w:p w:rsidR="004703F1" w:rsidRDefault="004703F1" w:rsidP="004703F1">
      <w:pPr>
        <w:jc w:val="center"/>
        <w:rPr>
          <w:sz w:val="32"/>
          <w:szCs w:val="32"/>
        </w:rPr>
      </w:pPr>
      <w:r>
        <w:rPr>
          <w:sz w:val="32"/>
          <w:szCs w:val="32"/>
        </w:rPr>
        <w:t>FY 201</w:t>
      </w:r>
      <w:r w:rsidR="003664AA">
        <w:rPr>
          <w:sz w:val="32"/>
          <w:szCs w:val="32"/>
        </w:rPr>
        <w:t>4</w:t>
      </w:r>
      <w:r>
        <w:rPr>
          <w:sz w:val="32"/>
          <w:szCs w:val="32"/>
        </w:rPr>
        <w:t>/1</w:t>
      </w:r>
      <w:r w:rsidR="003664AA">
        <w:rPr>
          <w:sz w:val="32"/>
          <w:szCs w:val="32"/>
        </w:rPr>
        <w:t>5</w:t>
      </w:r>
    </w:p>
    <w:p w:rsidR="004703F1" w:rsidRDefault="004703F1" w:rsidP="004703F1">
      <w:pPr>
        <w:jc w:val="center"/>
        <w:rPr>
          <w:sz w:val="32"/>
          <w:szCs w:val="32"/>
        </w:rPr>
      </w:pPr>
    </w:p>
    <w:p w:rsidR="004703F1" w:rsidRDefault="004703F1" w:rsidP="004703F1">
      <w:pPr>
        <w:jc w:val="center"/>
        <w:rPr>
          <w:sz w:val="32"/>
          <w:szCs w:val="32"/>
        </w:rPr>
      </w:pPr>
    </w:p>
    <w:p w:rsidR="004703F1" w:rsidRDefault="004703F1" w:rsidP="004703F1">
      <w:pPr>
        <w:jc w:val="center"/>
        <w:rPr>
          <w:sz w:val="32"/>
          <w:szCs w:val="32"/>
        </w:rPr>
      </w:pPr>
    </w:p>
    <w:p w:rsidR="009B3C5B" w:rsidRDefault="009B3C5B"/>
    <w:p w:rsidR="004703F1" w:rsidRDefault="005B409C">
      <w:r>
        <w:t>GB-3-</w:t>
      </w:r>
      <w:r w:rsidR="005305BC">
        <w:t>PEUSRE</w:t>
      </w:r>
    </w:p>
    <w:p w:rsidR="004703F1" w:rsidRDefault="004703F1">
      <w:r>
        <w:br w:type="page"/>
      </w:r>
    </w:p>
    <w:p w:rsidR="004703F1" w:rsidRDefault="004703F1"/>
    <w:tbl>
      <w:tblPr>
        <w:tblStyle w:val="TableGrid"/>
        <w:tblW w:w="0" w:type="auto"/>
        <w:tblLook w:val="04A0"/>
      </w:tblPr>
      <w:tblGrid>
        <w:gridCol w:w="9242"/>
      </w:tblGrid>
      <w:tr w:rsidR="00EF75BD" w:rsidTr="00EF75BD">
        <w:tc>
          <w:tcPr>
            <w:tcW w:w="9242" w:type="dxa"/>
            <w:shd w:val="clear" w:color="auto" w:fill="D9D9D9" w:themeFill="background1" w:themeFillShade="D9"/>
          </w:tcPr>
          <w:p w:rsidR="00EF75BD" w:rsidRPr="00630D96" w:rsidRDefault="00EF75BD" w:rsidP="00EF75BD">
            <w:pPr>
              <w:rPr>
                <w:b/>
              </w:rPr>
            </w:pPr>
            <w:r w:rsidRPr="00630D96">
              <w:rPr>
                <w:b/>
              </w:rPr>
              <w:t>Programme Overview</w:t>
            </w:r>
          </w:p>
          <w:p w:rsidR="00EF75BD" w:rsidRPr="00EF75BD" w:rsidRDefault="00EF75BD">
            <w:pPr>
              <w:rPr>
                <w:i/>
                <w:sz w:val="20"/>
                <w:szCs w:val="20"/>
              </w:rPr>
            </w:pPr>
            <w:r w:rsidRPr="00EF75BD">
              <w:rPr>
                <w:i/>
                <w:sz w:val="20"/>
                <w:szCs w:val="20"/>
              </w:rPr>
              <w:t>What is the Programme seeking to achieve?</w:t>
            </w:r>
          </w:p>
        </w:tc>
      </w:tr>
      <w:tr w:rsidR="00EF75BD" w:rsidTr="00EF75BD">
        <w:tc>
          <w:tcPr>
            <w:tcW w:w="9242" w:type="dxa"/>
          </w:tcPr>
          <w:p w:rsidR="006D22A6" w:rsidRDefault="006D22A6" w:rsidP="006D22A6">
            <w:r w:rsidRPr="006D22A6">
              <w:t xml:space="preserve">The Reuniting Europe (RE) Programme helps </w:t>
            </w:r>
            <w:r w:rsidR="00BD0D7F">
              <w:t xml:space="preserve">drive reform </w:t>
            </w:r>
            <w:r w:rsidRPr="006D22A6">
              <w:t xml:space="preserve">and </w:t>
            </w:r>
            <w:r w:rsidR="00BD0D7F">
              <w:t>maintain</w:t>
            </w:r>
            <w:r w:rsidRPr="006D22A6">
              <w:t xml:space="preserve"> Britain’s influence in the Western Balkans (Serbia, Bosnia &amp; Herzegovina, Albania, Macedonia, Montenegro and Kosovo)</w:t>
            </w:r>
            <w:r w:rsidR="00BD0D7F">
              <w:t xml:space="preserve"> and Turkey</w:t>
            </w:r>
            <w:r w:rsidRPr="006D22A6">
              <w:t xml:space="preserve">, including by promoting British values and diplomatic influence. Working with other Government Departments, the programme supports </w:t>
            </w:r>
            <w:r w:rsidR="00BD0D7F">
              <w:t xml:space="preserve">reform needs identified by the Commission’s annual progress reports on </w:t>
            </w:r>
            <w:r w:rsidRPr="006D22A6">
              <w:t>the Western Balkans and Turkey</w:t>
            </w:r>
            <w:r w:rsidR="00BD0D7F">
              <w:t>, thereby promoting further conditions-based EU enlargement</w:t>
            </w:r>
            <w:r w:rsidRPr="006D22A6">
              <w:t>.</w:t>
            </w:r>
          </w:p>
          <w:p w:rsidR="006D22A6" w:rsidRDefault="006D22A6" w:rsidP="006D22A6"/>
          <w:p w:rsidR="006D22A6" w:rsidRDefault="006D22A6" w:rsidP="006D22A6">
            <w:r w:rsidRPr="006D22A6">
              <w:t xml:space="preserve">Across Europe the prospect of EU membership is the main driver of reform. </w:t>
            </w:r>
            <w:r w:rsidR="006E4A64">
              <w:t xml:space="preserve"> The </w:t>
            </w:r>
            <w:r w:rsidRPr="006D22A6">
              <w:t>UK can set the policy reform agenda by being able to move quickly, to target politically difficult issues (</w:t>
            </w:r>
            <w:r w:rsidR="00090F35" w:rsidRPr="006D22A6">
              <w:t>e</w:t>
            </w:r>
            <w:r w:rsidR="00090F35">
              <w:t>.</w:t>
            </w:r>
            <w:r w:rsidR="00090F35" w:rsidRPr="006D22A6">
              <w:t>g.</w:t>
            </w:r>
            <w:r w:rsidRPr="006D22A6">
              <w:t xml:space="preserve"> minority rights or policy reform) and to get UK advice a</w:t>
            </w:r>
            <w:r>
              <w:t>nd advisors into key positions.</w:t>
            </w:r>
            <w:r w:rsidR="005448BB">
              <w:t xml:space="preserve"> The programme allows the UK to support candidate countries deliver reforms of direct national interest – including sustained action on the rule-of-law, organised crime and corruption, and illegal migration.</w:t>
            </w:r>
            <w:r w:rsidR="004A64E6">
              <w:t xml:space="preserve">  </w:t>
            </w:r>
            <w:r w:rsidR="00650E47">
              <w:t xml:space="preserve">The RE programme is also </w:t>
            </w:r>
            <w:r w:rsidRPr="006D22A6">
              <w:t xml:space="preserve">a vital tool in influencing and leveraging the </w:t>
            </w:r>
            <w:r w:rsidR="00CB4603">
              <w:t xml:space="preserve">approximately </w:t>
            </w:r>
            <w:r w:rsidRPr="006D22A6">
              <w:t>€</w:t>
            </w:r>
            <w:r w:rsidR="00EB7C86">
              <w:t>60</w:t>
            </w:r>
            <w:r w:rsidR="00691366">
              <w:t>m per year</w:t>
            </w:r>
            <w:r w:rsidRPr="006D22A6">
              <w:t xml:space="preserve"> the European Commission has available for Twinning and TAIEX programmes in the Western Balkans</w:t>
            </w:r>
            <w:r w:rsidR="00FC381B">
              <w:t xml:space="preserve"> and </w:t>
            </w:r>
            <w:r w:rsidRPr="006D22A6">
              <w:t>Turkey through the Instrument for Pre-Accession Assistance</w:t>
            </w:r>
            <w:r w:rsidR="00650E47">
              <w:t xml:space="preserve"> </w:t>
            </w:r>
            <w:r w:rsidRPr="006D22A6">
              <w:t>(IPA)</w:t>
            </w:r>
            <w:r w:rsidR="00650E47">
              <w:t xml:space="preserve"> II Fund (2014-2020</w:t>
            </w:r>
            <w:r w:rsidRPr="006D22A6">
              <w:t xml:space="preserve">). Twinning-focused programmes help the UK to achieve its overseas objectives and develop strong bilateral relations and cooperation. </w:t>
            </w:r>
          </w:p>
          <w:p w:rsidR="00650E47" w:rsidRDefault="00650E47" w:rsidP="006D22A6"/>
          <w:p w:rsidR="00650E47" w:rsidRDefault="00650E47" w:rsidP="006D22A6">
            <w:r w:rsidRPr="00650E47">
              <w:t xml:space="preserve">Since FY 12/13, 100% of the funding allocated to the Western Balkans and Turkey under the auspices of the Reuniting Europe Programme has contributed to the FCO’s ODA target. </w:t>
            </w:r>
          </w:p>
        </w:tc>
      </w:tr>
    </w:tbl>
    <w:p w:rsidR="00EF75BD" w:rsidRDefault="00EF75BD"/>
    <w:p w:rsidR="00EF75BD" w:rsidRDefault="00EF75BD"/>
    <w:tbl>
      <w:tblPr>
        <w:tblStyle w:val="TableGrid"/>
        <w:tblW w:w="0" w:type="auto"/>
        <w:tblLook w:val="04A0"/>
      </w:tblPr>
      <w:tblGrid>
        <w:gridCol w:w="9242"/>
      </w:tblGrid>
      <w:tr w:rsidR="00EF75BD" w:rsidTr="00EF75BD">
        <w:tc>
          <w:tcPr>
            <w:tcW w:w="9242" w:type="dxa"/>
            <w:shd w:val="clear" w:color="auto" w:fill="D9D9D9" w:themeFill="background1" w:themeFillShade="D9"/>
          </w:tcPr>
          <w:p w:rsidR="00EF75BD" w:rsidRPr="00630D96" w:rsidRDefault="00EF75BD" w:rsidP="00EF75BD">
            <w:pPr>
              <w:rPr>
                <w:b/>
              </w:rPr>
            </w:pPr>
            <w:r w:rsidRPr="00630D96">
              <w:rPr>
                <w:b/>
              </w:rPr>
              <w:t>Four Year Goals</w:t>
            </w:r>
          </w:p>
          <w:p w:rsidR="00EF75BD" w:rsidRPr="00EF75BD" w:rsidRDefault="00EF75BD" w:rsidP="00EF75BD">
            <w:pPr>
              <w:rPr>
                <w:i/>
                <w:sz w:val="20"/>
                <w:szCs w:val="20"/>
              </w:rPr>
            </w:pPr>
            <w:r w:rsidRPr="00EF75BD">
              <w:rPr>
                <w:i/>
                <w:sz w:val="20"/>
                <w:szCs w:val="20"/>
              </w:rPr>
              <w:t>These are the longer term outcomes you are expecting to deliver</w:t>
            </w:r>
          </w:p>
          <w:p w:rsidR="00EF75BD" w:rsidRPr="00EF75BD" w:rsidRDefault="00EF75BD">
            <w:pPr>
              <w:rPr>
                <w:i/>
                <w:sz w:val="20"/>
                <w:szCs w:val="20"/>
              </w:rPr>
            </w:pPr>
            <w:r w:rsidRPr="00EF75BD">
              <w:rPr>
                <w:i/>
                <w:sz w:val="20"/>
                <w:szCs w:val="20"/>
              </w:rPr>
              <w:t>How will you know when these have been achieved – what is your “measure of success”</w:t>
            </w:r>
          </w:p>
        </w:tc>
      </w:tr>
      <w:tr w:rsidR="00EF75BD" w:rsidTr="00EF75BD">
        <w:tc>
          <w:tcPr>
            <w:tcW w:w="9242" w:type="dxa"/>
          </w:tcPr>
          <w:p w:rsidR="00484727" w:rsidRDefault="00BF48B0" w:rsidP="00CA3C17">
            <w:pPr>
              <w:pStyle w:val="ListParagraph"/>
              <w:numPr>
                <w:ilvl w:val="0"/>
                <w:numId w:val="5"/>
              </w:numPr>
            </w:pPr>
            <w:r>
              <w:t xml:space="preserve">Promote stability </w:t>
            </w:r>
            <w:r w:rsidR="0091020B">
              <w:t xml:space="preserve">and prosperity </w:t>
            </w:r>
            <w:r>
              <w:t xml:space="preserve">throughout the Western Balkans through </w:t>
            </w:r>
            <w:r w:rsidR="00CC3424">
              <w:t>delivering</w:t>
            </w:r>
            <w:r w:rsidR="005934D8">
              <w:t xml:space="preserve"> the</w:t>
            </w:r>
            <w:r w:rsidR="00CC3424">
              <w:t xml:space="preserve"> reforms necessary</w:t>
            </w:r>
            <w:r w:rsidR="005934D8">
              <w:t xml:space="preserve"> – improving rule of law, democratic institutions and processes, and economic governance – to </w:t>
            </w:r>
            <w:r w:rsidR="00CC3424">
              <w:t>maintain momentum towards EU membership</w:t>
            </w:r>
          </w:p>
          <w:p w:rsidR="00484727" w:rsidRDefault="00484727" w:rsidP="00484727">
            <w:pPr>
              <w:pStyle w:val="ListParagraph"/>
              <w:ind w:left="360"/>
            </w:pPr>
          </w:p>
          <w:p w:rsidR="00CC3424" w:rsidRDefault="00484727" w:rsidP="00484727">
            <w:pPr>
              <w:pStyle w:val="ListParagraph"/>
              <w:numPr>
                <w:ilvl w:val="0"/>
                <w:numId w:val="5"/>
              </w:numPr>
            </w:pPr>
            <w:r w:rsidRPr="00484727">
              <w:t>Reform and democratisation process in Turkey makes significant progress, increasing its credibility as a potential EU member state.</w:t>
            </w:r>
          </w:p>
          <w:p w:rsidR="00CA3C17" w:rsidRDefault="00CA3C17" w:rsidP="00CA3C17">
            <w:pPr>
              <w:pStyle w:val="ListParagraph"/>
            </w:pPr>
          </w:p>
          <w:p w:rsidR="00CA3C17" w:rsidRDefault="00CA3C17" w:rsidP="00484727">
            <w:pPr>
              <w:pStyle w:val="ListParagraph"/>
              <w:numPr>
                <w:ilvl w:val="0"/>
                <w:numId w:val="5"/>
              </w:numPr>
            </w:pPr>
            <w:r>
              <w:t xml:space="preserve">Strengthen </w:t>
            </w:r>
            <w:r w:rsidR="005934D8">
              <w:t>the alignment of</w:t>
            </w:r>
            <w:r>
              <w:t xml:space="preserve"> the EU Instrument of Pre-Accession Assistance (IPA II) </w:t>
            </w:r>
            <w:r w:rsidR="005934D8">
              <w:t xml:space="preserve">with UK priorities </w:t>
            </w:r>
            <w:r w:rsidR="00691366">
              <w:t>through positioning UK public sector to leverage EU Twinning projects.</w:t>
            </w:r>
          </w:p>
          <w:p w:rsidR="00BF48B0" w:rsidRDefault="00BF48B0" w:rsidP="00BF48B0"/>
          <w:p w:rsidR="00BF48B0" w:rsidRPr="005448BB" w:rsidRDefault="00484727" w:rsidP="00BF48B0">
            <w:pPr>
              <w:rPr>
                <w:u w:val="single"/>
              </w:rPr>
            </w:pPr>
            <w:r w:rsidRPr="005448BB">
              <w:rPr>
                <w:u w:val="single"/>
              </w:rPr>
              <w:t>Measures of Success</w:t>
            </w:r>
          </w:p>
          <w:p w:rsidR="005448BB" w:rsidRPr="00484727" w:rsidRDefault="005448BB" w:rsidP="00BF48B0">
            <w:pPr>
              <w:rPr>
                <w:i/>
              </w:rPr>
            </w:pPr>
          </w:p>
          <w:p w:rsidR="00484727" w:rsidRDefault="00BF48B0" w:rsidP="005448BB">
            <w:pPr>
              <w:pStyle w:val="ListParagraph"/>
              <w:numPr>
                <w:ilvl w:val="0"/>
                <w:numId w:val="10"/>
              </w:numPr>
            </w:pPr>
            <w:r>
              <w:t>Serbia and Montenegro</w:t>
            </w:r>
            <w:r w:rsidR="00CC3424">
              <w:t xml:space="preserve"> continue to implement reforms </w:t>
            </w:r>
            <w:r w:rsidR="00484727">
              <w:t xml:space="preserve">moving closer to achieving </w:t>
            </w:r>
            <w:r w:rsidR="00CC3424">
              <w:t>EU membership</w:t>
            </w:r>
            <w:r w:rsidR="00D94362">
              <w:t>, particularly in Chapters 23 and 24, with their progress highlighted in subsequent annual EU Country Progress reports</w:t>
            </w:r>
          </w:p>
          <w:p w:rsidR="000F5044" w:rsidRDefault="000F5044" w:rsidP="000F5044">
            <w:pPr>
              <w:pStyle w:val="ListParagraph"/>
            </w:pPr>
          </w:p>
          <w:p w:rsidR="000F5044" w:rsidRDefault="000F5044" w:rsidP="00903D03">
            <w:pPr>
              <w:pStyle w:val="ListParagraph"/>
              <w:numPr>
                <w:ilvl w:val="0"/>
                <w:numId w:val="10"/>
              </w:numPr>
            </w:pPr>
            <w:r>
              <w:t>Turkey</w:t>
            </w:r>
            <w:r w:rsidRPr="00484727">
              <w:t xml:space="preserve"> makes further</w:t>
            </w:r>
            <w:r>
              <w:t xml:space="preserve"> steady progress in its EU acce</w:t>
            </w:r>
            <w:r w:rsidRPr="00484727">
              <w:t>ssion process, particularly on recently opened Chapter 22; work toward</w:t>
            </w:r>
            <w:r>
              <w:t>s opening of Chapters 23 and 24, and; i</w:t>
            </w:r>
            <w:r w:rsidRPr="00484727">
              <w:t>ntroduces furth</w:t>
            </w:r>
            <w:r w:rsidR="00DE3090">
              <w:t>er reforms to enhance democracy and</w:t>
            </w:r>
            <w:r w:rsidRPr="00484727">
              <w:t xml:space="preserve"> increase respect for human rights</w:t>
            </w:r>
            <w:r w:rsidR="00DE3090">
              <w:t>,</w:t>
            </w:r>
            <w:r w:rsidRPr="00484727">
              <w:t xml:space="preserve"> </w:t>
            </w:r>
            <w:r w:rsidR="00903D03">
              <w:t>with its progress highlighted in subsequent annual EU Country Progress reports.</w:t>
            </w:r>
          </w:p>
          <w:p w:rsidR="00160B4B" w:rsidRDefault="00160B4B">
            <w:pPr>
              <w:pStyle w:val="ListParagraph"/>
            </w:pPr>
          </w:p>
          <w:p w:rsidR="00DE3090" w:rsidRPr="00DE3090" w:rsidRDefault="00DE3090" w:rsidP="00DE3090">
            <w:pPr>
              <w:pStyle w:val="ListParagraph"/>
              <w:numPr>
                <w:ilvl w:val="0"/>
                <w:numId w:val="10"/>
              </w:numPr>
            </w:pPr>
            <w:r w:rsidRPr="00DE3090">
              <w:t>Macedonia continues to implement necessary reforms, moving towards to EU membership, particularly on rule of law and democratic institutions</w:t>
            </w:r>
            <w:r>
              <w:t xml:space="preserve"> and processes, and maintaining</w:t>
            </w:r>
            <w:r w:rsidRPr="00DE3090">
              <w:t xml:space="preserve"> focus on </w:t>
            </w:r>
            <w:r w:rsidRPr="00DE3090">
              <w:lastRenderedPageBreak/>
              <w:t>EU membership, with its continued commitment highlighted in subsequent annual EU Country Progress reports</w:t>
            </w:r>
          </w:p>
          <w:p w:rsidR="005448BB" w:rsidRPr="005448BB" w:rsidRDefault="005448BB" w:rsidP="005448BB">
            <w:pPr>
              <w:pStyle w:val="ListParagraph"/>
              <w:rPr>
                <w:sz w:val="16"/>
                <w:szCs w:val="16"/>
              </w:rPr>
            </w:pPr>
          </w:p>
          <w:p w:rsidR="00484727" w:rsidRDefault="00CC3424" w:rsidP="005448BB">
            <w:pPr>
              <w:pStyle w:val="ListParagraph"/>
              <w:numPr>
                <w:ilvl w:val="0"/>
                <w:numId w:val="10"/>
              </w:numPr>
            </w:pPr>
            <w:r>
              <w:t xml:space="preserve">Albania </w:t>
            </w:r>
            <w:r w:rsidR="000F3A97">
              <w:t>continues to make reform progress, particularly on rule of law issues, working</w:t>
            </w:r>
            <w:r w:rsidR="00D94362" w:rsidRPr="00D94362">
              <w:t xml:space="preserve"> towards the set conditionality for </w:t>
            </w:r>
            <w:r w:rsidR="003E127E">
              <w:t xml:space="preserve">Candidate Status and </w:t>
            </w:r>
            <w:r w:rsidR="00D94362" w:rsidRPr="00D94362">
              <w:t>accession negotiations</w:t>
            </w:r>
            <w:r w:rsidR="00D94362">
              <w:t xml:space="preserve">, with its </w:t>
            </w:r>
            <w:r w:rsidR="00742136">
              <w:t xml:space="preserve">progress </w:t>
            </w:r>
            <w:r w:rsidR="00D94362">
              <w:t>highlighted in subsequent annual EU Country Progress reports</w:t>
            </w:r>
            <w:r w:rsidR="00742136">
              <w:t>.</w:t>
            </w:r>
          </w:p>
          <w:p w:rsidR="005448BB" w:rsidRPr="005448BB" w:rsidRDefault="005448BB" w:rsidP="005448BB">
            <w:pPr>
              <w:rPr>
                <w:sz w:val="16"/>
                <w:szCs w:val="16"/>
              </w:rPr>
            </w:pPr>
          </w:p>
          <w:p w:rsidR="000F3A97" w:rsidRDefault="000F3A97" w:rsidP="000F3A97">
            <w:pPr>
              <w:pStyle w:val="ListParagraph"/>
              <w:numPr>
                <w:ilvl w:val="0"/>
                <w:numId w:val="10"/>
              </w:numPr>
            </w:pPr>
            <w:r>
              <w:t>BiH agrees reforms needed to allow its SAA to enter into force and demonstrates a solid track record and continuing reform necessary for EU membership, with its progress highlighted in subsequent annual EU Country Progress reports.</w:t>
            </w:r>
          </w:p>
          <w:p w:rsidR="00160B4B" w:rsidRDefault="00160B4B"/>
          <w:p w:rsidR="005934D8" w:rsidRDefault="00CC3424" w:rsidP="00977003">
            <w:pPr>
              <w:pStyle w:val="ListParagraph"/>
              <w:numPr>
                <w:ilvl w:val="0"/>
                <w:numId w:val="10"/>
              </w:numPr>
            </w:pPr>
            <w:r>
              <w:t>Kosovo</w:t>
            </w:r>
            <w:r w:rsidR="00484727">
              <w:t xml:space="preserve"> continue</w:t>
            </w:r>
            <w:r w:rsidR="000F3A97">
              <w:t>s</w:t>
            </w:r>
            <w:r w:rsidR="00484727">
              <w:t xml:space="preserve"> to</w:t>
            </w:r>
            <w:r>
              <w:t xml:space="preserve"> </w:t>
            </w:r>
            <w:r w:rsidR="000F3A97">
              <w:t>implement</w:t>
            </w:r>
            <w:r w:rsidR="00D94362">
              <w:t xml:space="preserve"> the broader reforms necessary for EU Membership</w:t>
            </w:r>
            <w:r w:rsidR="000F3A97">
              <w:t xml:space="preserve"> and makes progress on SAA implementation</w:t>
            </w:r>
            <w:r w:rsidR="00D94362">
              <w:t xml:space="preserve">, with </w:t>
            </w:r>
            <w:r w:rsidR="003D5085">
              <w:t>its</w:t>
            </w:r>
            <w:r w:rsidR="00D94362">
              <w:t xml:space="preserve"> progress highlighted in subsequent annual EU Country Progress reports</w:t>
            </w:r>
          </w:p>
          <w:p w:rsidR="00691366" w:rsidRDefault="00691366" w:rsidP="00691366">
            <w:pPr>
              <w:pStyle w:val="ListParagraph"/>
            </w:pPr>
          </w:p>
          <w:p w:rsidR="00691366" w:rsidRDefault="00691366" w:rsidP="00691366">
            <w:pPr>
              <w:pStyle w:val="ListParagraph"/>
              <w:numPr>
                <w:ilvl w:val="0"/>
                <w:numId w:val="10"/>
              </w:numPr>
            </w:pPr>
            <w:r>
              <w:t xml:space="preserve">70% of projects have </w:t>
            </w:r>
            <w:r w:rsidRPr="00691366">
              <w:t>the potential to leverage IPA (EU) funds on behalf of HMG after project completion</w:t>
            </w:r>
            <w:r>
              <w:t>.</w:t>
            </w:r>
            <w:r w:rsidRPr="00691366">
              <w:t xml:space="preserve"> </w:t>
            </w:r>
            <w:r>
              <w:t>UK public sector wins at least 17% of available Twinning funding annually over the next four years</w:t>
            </w:r>
          </w:p>
        </w:tc>
      </w:tr>
    </w:tbl>
    <w:p w:rsidR="00EF75BD" w:rsidRDefault="00EF75BD"/>
    <w:p w:rsidR="00235C92" w:rsidRDefault="00235C92"/>
    <w:tbl>
      <w:tblPr>
        <w:tblStyle w:val="TableGrid"/>
        <w:tblW w:w="0" w:type="auto"/>
        <w:tblLook w:val="04A0"/>
      </w:tblPr>
      <w:tblGrid>
        <w:gridCol w:w="9242"/>
      </w:tblGrid>
      <w:tr w:rsidR="00EF75BD" w:rsidTr="00EF75BD">
        <w:tc>
          <w:tcPr>
            <w:tcW w:w="9242" w:type="dxa"/>
            <w:shd w:val="clear" w:color="auto" w:fill="D9D9D9" w:themeFill="background1" w:themeFillShade="D9"/>
          </w:tcPr>
          <w:p w:rsidR="00EF75BD" w:rsidRPr="00630D96" w:rsidRDefault="00EF75BD" w:rsidP="00EF75BD">
            <w:pPr>
              <w:rPr>
                <w:b/>
              </w:rPr>
            </w:pPr>
            <w:r w:rsidRPr="00630D96">
              <w:rPr>
                <w:b/>
              </w:rPr>
              <w:t xml:space="preserve">Foreign Policy Priorities </w:t>
            </w:r>
          </w:p>
          <w:p w:rsidR="00EF75BD" w:rsidRPr="00EF75BD" w:rsidRDefault="00EF75BD" w:rsidP="00EF75BD">
            <w:pPr>
              <w:rPr>
                <w:i/>
                <w:sz w:val="20"/>
                <w:szCs w:val="20"/>
              </w:rPr>
            </w:pPr>
            <w:r w:rsidRPr="00EF75BD">
              <w:rPr>
                <w:i/>
                <w:sz w:val="20"/>
                <w:szCs w:val="20"/>
              </w:rPr>
              <w:t>Which FPP will you help deliver and how</w:t>
            </w:r>
          </w:p>
          <w:p w:rsidR="00EF75BD" w:rsidRPr="00EF75BD" w:rsidRDefault="00EF75BD" w:rsidP="00EF75BD">
            <w:pPr>
              <w:rPr>
                <w:i/>
                <w:sz w:val="20"/>
                <w:szCs w:val="20"/>
              </w:rPr>
            </w:pPr>
            <w:r w:rsidRPr="00EF75BD">
              <w:rPr>
                <w:i/>
                <w:sz w:val="20"/>
                <w:szCs w:val="20"/>
              </w:rPr>
              <w:t xml:space="preserve">Please note any </w:t>
            </w:r>
            <w:r w:rsidRPr="00EF75BD">
              <w:rPr>
                <w:b/>
                <w:i/>
                <w:sz w:val="20"/>
                <w:szCs w:val="20"/>
              </w:rPr>
              <w:t>Priority Outcomes</w:t>
            </w:r>
            <w:r w:rsidRPr="00EF75BD">
              <w:rPr>
                <w:i/>
                <w:sz w:val="20"/>
                <w:szCs w:val="20"/>
              </w:rPr>
              <w:t xml:space="preserve"> that your Programme will help deliver</w:t>
            </w:r>
          </w:p>
        </w:tc>
      </w:tr>
      <w:tr w:rsidR="00EF75BD" w:rsidTr="002D4A0B">
        <w:trPr>
          <w:trHeight w:val="2280"/>
        </w:trPr>
        <w:tc>
          <w:tcPr>
            <w:tcW w:w="9242" w:type="dxa"/>
          </w:tcPr>
          <w:p w:rsidR="00734BD6" w:rsidRPr="00734BD6" w:rsidRDefault="00484727" w:rsidP="00734BD6">
            <w:pPr>
              <w:rPr>
                <w:b/>
              </w:rPr>
            </w:pPr>
            <w:r>
              <w:rPr>
                <w:b/>
              </w:rPr>
              <w:t>Security</w:t>
            </w:r>
            <w:r w:rsidR="00734BD6">
              <w:rPr>
                <w:b/>
              </w:rPr>
              <w:t xml:space="preserve">: </w:t>
            </w:r>
            <w:r w:rsidR="00734BD6">
              <w:t>Safeguarding</w:t>
            </w:r>
            <w:r w:rsidR="00734BD6" w:rsidRPr="00734BD6">
              <w:t xml:space="preserve"> Britain’s national security by working to reduce conflict</w:t>
            </w:r>
            <w:r w:rsidR="00734BD6" w:rsidRPr="00734BD6">
              <w:rPr>
                <w:b/>
              </w:rPr>
              <w:t xml:space="preserve"> </w:t>
            </w:r>
          </w:p>
          <w:p w:rsidR="00484727" w:rsidRDefault="00484727" w:rsidP="00484727"/>
          <w:p w:rsidR="000F5044" w:rsidRPr="000F5044" w:rsidRDefault="000F5044" w:rsidP="000F5044">
            <w:r>
              <w:t>The Coalition agreement states that the government will work</w:t>
            </w:r>
            <w:r w:rsidRPr="000F5044">
              <w:t xml:space="preserve"> to promote stability in the Western Balkans. </w:t>
            </w:r>
          </w:p>
          <w:p w:rsidR="000F5044" w:rsidRDefault="000F5044" w:rsidP="0091020B"/>
          <w:p w:rsidR="00EF75BD" w:rsidRDefault="006D22A6" w:rsidP="000F5044">
            <w:r w:rsidRPr="006D22A6">
              <w:t>Reuniting Europe Programme activity is part of The Diplomatic Influence and Values (DIV) Fund. This has been created to support the Foreign Secretary’s Implementation Plan under which the FCO will, “pursue an active and activist foreign policy, working with other countries and strengthening the rules-based international sys</w:t>
            </w:r>
            <w:r w:rsidR="00484727">
              <w:t xml:space="preserve">tem in support of our values”.  </w:t>
            </w:r>
          </w:p>
        </w:tc>
      </w:tr>
    </w:tbl>
    <w:p w:rsidR="00235C92" w:rsidRDefault="00235C92"/>
    <w:p w:rsidR="00484727" w:rsidRDefault="00484727"/>
    <w:tbl>
      <w:tblPr>
        <w:tblStyle w:val="TableGrid"/>
        <w:tblW w:w="0" w:type="auto"/>
        <w:tblLook w:val="04A0"/>
      </w:tblPr>
      <w:tblGrid>
        <w:gridCol w:w="2093"/>
        <w:gridCol w:w="2528"/>
        <w:gridCol w:w="23"/>
        <w:gridCol w:w="4598"/>
      </w:tblGrid>
      <w:tr w:rsidR="00EF75BD" w:rsidTr="00EF75BD">
        <w:tc>
          <w:tcPr>
            <w:tcW w:w="9242" w:type="dxa"/>
            <w:gridSpan w:val="4"/>
            <w:shd w:val="clear" w:color="auto" w:fill="D9D9D9" w:themeFill="background1" w:themeFillShade="D9"/>
          </w:tcPr>
          <w:p w:rsidR="00EF75BD" w:rsidRPr="00650E47" w:rsidRDefault="00EF75BD" w:rsidP="00EF75BD">
            <w:pPr>
              <w:rPr>
                <w:b/>
              </w:rPr>
            </w:pPr>
            <w:r w:rsidRPr="00650E47">
              <w:rPr>
                <w:b/>
              </w:rPr>
              <w:t>Thematic and/or Geographic Priorities and Objectives</w:t>
            </w:r>
          </w:p>
          <w:p w:rsidR="00EF75BD" w:rsidRPr="00650E47" w:rsidRDefault="00EF75BD" w:rsidP="00EF75BD"/>
        </w:tc>
      </w:tr>
      <w:tr w:rsidR="00984DC1" w:rsidTr="00984DC1">
        <w:trPr>
          <w:trHeight w:val="143"/>
        </w:trPr>
        <w:tc>
          <w:tcPr>
            <w:tcW w:w="4621" w:type="dxa"/>
            <w:gridSpan w:val="2"/>
          </w:tcPr>
          <w:p w:rsidR="00984DC1" w:rsidRDefault="00984DC1" w:rsidP="00984DC1">
            <w:pPr>
              <w:rPr>
                <w:b/>
              </w:rPr>
            </w:pPr>
            <w:r w:rsidRPr="00984DC1">
              <w:rPr>
                <w:b/>
              </w:rPr>
              <w:t>Geographic</w:t>
            </w:r>
          </w:p>
          <w:p w:rsidR="00984DC1" w:rsidRDefault="00984DC1" w:rsidP="00984DC1">
            <w:pPr>
              <w:pStyle w:val="ListParagraph"/>
              <w:numPr>
                <w:ilvl w:val="0"/>
                <w:numId w:val="8"/>
              </w:numPr>
            </w:pPr>
            <w:r>
              <w:t>Albania</w:t>
            </w:r>
          </w:p>
          <w:p w:rsidR="00984DC1" w:rsidRDefault="00984DC1" w:rsidP="00984DC1">
            <w:pPr>
              <w:pStyle w:val="ListParagraph"/>
              <w:numPr>
                <w:ilvl w:val="0"/>
                <w:numId w:val="8"/>
              </w:numPr>
            </w:pPr>
            <w:r>
              <w:t>Bosnia and Herzegovina</w:t>
            </w:r>
          </w:p>
          <w:p w:rsidR="00984DC1" w:rsidRDefault="00984DC1" w:rsidP="00984DC1">
            <w:pPr>
              <w:pStyle w:val="ListParagraph"/>
              <w:numPr>
                <w:ilvl w:val="0"/>
                <w:numId w:val="8"/>
              </w:numPr>
            </w:pPr>
            <w:r>
              <w:t>Kosovo</w:t>
            </w:r>
          </w:p>
          <w:p w:rsidR="00984DC1" w:rsidRDefault="00984DC1" w:rsidP="00984DC1">
            <w:pPr>
              <w:pStyle w:val="ListParagraph"/>
              <w:numPr>
                <w:ilvl w:val="0"/>
                <w:numId w:val="8"/>
              </w:numPr>
            </w:pPr>
            <w:r>
              <w:t>Macedonia</w:t>
            </w:r>
          </w:p>
          <w:p w:rsidR="00984DC1" w:rsidRDefault="00984DC1" w:rsidP="00984DC1">
            <w:pPr>
              <w:pStyle w:val="ListParagraph"/>
              <w:numPr>
                <w:ilvl w:val="0"/>
                <w:numId w:val="8"/>
              </w:numPr>
            </w:pPr>
            <w:r>
              <w:t>Montenegro</w:t>
            </w:r>
          </w:p>
          <w:p w:rsidR="00984DC1" w:rsidRDefault="00984DC1" w:rsidP="00984DC1">
            <w:pPr>
              <w:pStyle w:val="ListParagraph"/>
              <w:numPr>
                <w:ilvl w:val="0"/>
                <w:numId w:val="8"/>
              </w:numPr>
            </w:pPr>
            <w:r>
              <w:t>Serbia</w:t>
            </w:r>
          </w:p>
          <w:p w:rsidR="00984DC1" w:rsidRPr="00984DC1" w:rsidRDefault="00984DC1" w:rsidP="00984DC1">
            <w:pPr>
              <w:pStyle w:val="ListParagraph"/>
              <w:numPr>
                <w:ilvl w:val="0"/>
                <w:numId w:val="8"/>
              </w:numPr>
            </w:pPr>
            <w:r>
              <w:t>Turkey</w:t>
            </w:r>
          </w:p>
        </w:tc>
        <w:tc>
          <w:tcPr>
            <w:tcW w:w="4621" w:type="dxa"/>
            <w:gridSpan w:val="2"/>
          </w:tcPr>
          <w:p w:rsidR="00984DC1" w:rsidRDefault="00984DC1" w:rsidP="00984DC1">
            <w:r>
              <w:rPr>
                <w:b/>
              </w:rPr>
              <w:t>Thematic</w:t>
            </w:r>
          </w:p>
          <w:p w:rsidR="00984DC1" w:rsidRDefault="00090F35" w:rsidP="00984DC1">
            <w:pPr>
              <w:pStyle w:val="ListParagraph"/>
              <w:numPr>
                <w:ilvl w:val="0"/>
                <w:numId w:val="8"/>
              </w:numPr>
            </w:pPr>
            <w:r>
              <w:t>Rule of Law and Fundamental Rights</w:t>
            </w:r>
          </w:p>
          <w:p w:rsidR="00984DC1" w:rsidRDefault="00090F35" w:rsidP="00984DC1">
            <w:pPr>
              <w:pStyle w:val="ListParagraph"/>
              <w:numPr>
                <w:ilvl w:val="0"/>
                <w:numId w:val="8"/>
              </w:numPr>
            </w:pPr>
            <w:r>
              <w:t>Democratic Institutions</w:t>
            </w:r>
            <w:r w:rsidR="000F5044">
              <w:t xml:space="preserve"> and Processes</w:t>
            </w:r>
          </w:p>
          <w:p w:rsidR="00984DC1" w:rsidRPr="00984DC1" w:rsidRDefault="00090F35" w:rsidP="000F5044">
            <w:pPr>
              <w:pStyle w:val="ListParagraph"/>
              <w:numPr>
                <w:ilvl w:val="0"/>
                <w:numId w:val="8"/>
              </w:numPr>
            </w:pPr>
            <w:r>
              <w:t xml:space="preserve">Economic </w:t>
            </w:r>
            <w:r w:rsidR="00D94362">
              <w:t>Governance</w:t>
            </w:r>
            <w:r w:rsidR="0091020B">
              <w:t xml:space="preserve"> and </w:t>
            </w:r>
            <w:r w:rsidR="000F5044">
              <w:t>Development</w:t>
            </w:r>
          </w:p>
        </w:tc>
      </w:tr>
      <w:tr w:rsidR="00984DC1" w:rsidTr="00984DC1">
        <w:trPr>
          <w:trHeight w:val="142"/>
        </w:trPr>
        <w:tc>
          <w:tcPr>
            <w:tcW w:w="9242" w:type="dxa"/>
            <w:gridSpan w:val="4"/>
          </w:tcPr>
          <w:p w:rsidR="00984DC1" w:rsidRDefault="00984DC1" w:rsidP="00984DC1"/>
          <w:p w:rsidR="00984DC1" w:rsidRPr="00650E47" w:rsidRDefault="00984DC1" w:rsidP="00984DC1">
            <w:r w:rsidRPr="00650E47">
              <w:rPr>
                <w:b/>
              </w:rPr>
              <w:t xml:space="preserve">We encourage Posts to focus on two </w:t>
            </w:r>
            <w:r>
              <w:rPr>
                <w:b/>
              </w:rPr>
              <w:t xml:space="preserve">of the following </w:t>
            </w:r>
            <w:r w:rsidRPr="00650E47">
              <w:rPr>
                <w:b/>
              </w:rPr>
              <w:t xml:space="preserve">objectives which </w:t>
            </w:r>
            <w:r>
              <w:rPr>
                <w:b/>
              </w:rPr>
              <w:t xml:space="preserve">most </w:t>
            </w:r>
            <w:r w:rsidRPr="00650E47">
              <w:rPr>
                <w:b/>
              </w:rPr>
              <w:t>closely fulfil the objectives of their Country Business Plans</w:t>
            </w:r>
            <w:r w:rsidRPr="00650E47">
              <w:t xml:space="preserve">. </w:t>
            </w:r>
          </w:p>
          <w:p w:rsidR="00984DC1" w:rsidRPr="00650E47" w:rsidRDefault="00984DC1" w:rsidP="00984DC1"/>
        </w:tc>
      </w:tr>
      <w:tr w:rsidR="00EF75BD" w:rsidTr="00EF75BD">
        <w:tc>
          <w:tcPr>
            <w:tcW w:w="2093" w:type="dxa"/>
            <w:shd w:val="clear" w:color="auto" w:fill="F2F2F2" w:themeFill="background1" w:themeFillShade="F2"/>
          </w:tcPr>
          <w:p w:rsidR="00090F35" w:rsidRPr="00650E47" w:rsidRDefault="00EF75BD" w:rsidP="00090F35">
            <w:pPr>
              <w:spacing w:after="240"/>
            </w:pPr>
            <w:r w:rsidRPr="00650E47">
              <w:t>Theme</w:t>
            </w:r>
          </w:p>
        </w:tc>
        <w:tc>
          <w:tcPr>
            <w:tcW w:w="2551" w:type="dxa"/>
            <w:gridSpan w:val="2"/>
            <w:shd w:val="clear" w:color="auto" w:fill="F2F2F2" w:themeFill="background1" w:themeFillShade="F2"/>
          </w:tcPr>
          <w:p w:rsidR="00EF75BD" w:rsidRPr="00650E47" w:rsidRDefault="00EF75BD" w:rsidP="00090F35">
            <w:pPr>
              <w:spacing w:after="240"/>
            </w:pPr>
            <w:r w:rsidRPr="00650E47">
              <w:t>Objective</w:t>
            </w:r>
          </w:p>
        </w:tc>
        <w:tc>
          <w:tcPr>
            <w:tcW w:w="4598" w:type="dxa"/>
            <w:shd w:val="clear" w:color="auto" w:fill="F2F2F2" w:themeFill="background1" w:themeFillShade="F2"/>
          </w:tcPr>
          <w:p w:rsidR="00EF75BD" w:rsidRPr="00650E47" w:rsidRDefault="00EF75BD" w:rsidP="00090F35">
            <w:pPr>
              <w:spacing w:after="240"/>
            </w:pPr>
            <w:r w:rsidRPr="00650E47">
              <w:t xml:space="preserve">Focus Issues and </w:t>
            </w:r>
            <w:r w:rsidR="004703F1" w:rsidRPr="00650E47">
              <w:t>Indicators of Success</w:t>
            </w:r>
          </w:p>
        </w:tc>
      </w:tr>
      <w:tr w:rsidR="00002FAC" w:rsidTr="00EF75BD">
        <w:tc>
          <w:tcPr>
            <w:tcW w:w="2093" w:type="dxa"/>
          </w:tcPr>
          <w:p w:rsidR="00002FAC" w:rsidRPr="00002FAC" w:rsidRDefault="00002FAC" w:rsidP="00090F35">
            <w:pPr>
              <w:spacing w:after="240" w:line="276" w:lineRule="auto"/>
              <w:rPr>
                <w:sz w:val="22"/>
                <w:szCs w:val="22"/>
              </w:rPr>
            </w:pPr>
            <w:r w:rsidRPr="00002FAC">
              <w:rPr>
                <w:sz w:val="22"/>
                <w:szCs w:val="22"/>
              </w:rPr>
              <w:t xml:space="preserve">Rule of Law and </w:t>
            </w:r>
            <w:r w:rsidRPr="00002FAC">
              <w:rPr>
                <w:sz w:val="22"/>
                <w:szCs w:val="22"/>
              </w:rPr>
              <w:lastRenderedPageBreak/>
              <w:t>Fundamental Rights</w:t>
            </w:r>
          </w:p>
        </w:tc>
        <w:tc>
          <w:tcPr>
            <w:tcW w:w="2551" w:type="dxa"/>
            <w:gridSpan w:val="2"/>
          </w:tcPr>
          <w:p w:rsidR="00002FAC" w:rsidRPr="00002FAC" w:rsidRDefault="00002FAC" w:rsidP="00002FAC">
            <w:pPr>
              <w:spacing w:after="200" w:line="276" w:lineRule="auto"/>
              <w:rPr>
                <w:b/>
                <w:sz w:val="22"/>
                <w:szCs w:val="22"/>
              </w:rPr>
            </w:pPr>
            <w:r w:rsidRPr="00002FAC">
              <w:rPr>
                <w:b/>
                <w:sz w:val="22"/>
                <w:szCs w:val="22"/>
              </w:rPr>
              <w:lastRenderedPageBreak/>
              <w:t xml:space="preserve">A. Enable </w:t>
            </w:r>
            <w:r w:rsidRPr="00002FAC">
              <w:rPr>
                <w:b/>
                <w:bCs/>
                <w:sz w:val="22"/>
                <w:szCs w:val="22"/>
              </w:rPr>
              <w:t xml:space="preserve">Strong rule of </w:t>
            </w:r>
            <w:r w:rsidRPr="00002FAC">
              <w:rPr>
                <w:b/>
                <w:bCs/>
                <w:sz w:val="22"/>
                <w:szCs w:val="22"/>
              </w:rPr>
              <w:lastRenderedPageBreak/>
              <w:t>law, including through strengthening reforms in the justice sector, countering corruption, organised crime, and promoting human rights</w:t>
            </w:r>
          </w:p>
        </w:tc>
        <w:tc>
          <w:tcPr>
            <w:tcW w:w="4598" w:type="dxa"/>
          </w:tcPr>
          <w:p w:rsidR="00002FAC" w:rsidRPr="00002FAC" w:rsidRDefault="00002FAC" w:rsidP="00002FAC">
            <w:pPr>
              <w:spacing w:after="200" w:line="276" w:lineRule="auto"/>
              <w:rPr>
                <w:sz w:val="22"/>
                <w:szCs w:val="22"/>
              </w:rPr>
            </w:pPr>
            <w:r w:rsidRPr="00002FAC">
              <w:rPr>
                <w:sz w:val="22"/>
                <w:szCs w:val="22"/>
              </w:rPr>
              <w:lastRenderedPageBreak/>
              <w:t xml:space="preserve">A.1 To establish mechanisms and develop operational </w:t>
            </w:r>
            <w:r w:rsidRPr="00002FAC">
              <w:rPr>
                <w:sz w:val="22"/>
                <w:szCs w:val="22"/>
              </w:rPr>
              <w:lastRenderedPageBreak/>
              <w:t xml:space="preserve">capacity to increase the </w:t>
            </w:r>
            <w:r w:rsidR="000F5044">
              <w:rPr>
                <w:sz w:val="22"/>
                <w:szCs w:val="22"/>
              </w:rPr>
              <w:t xml:space="preserve">efficiency, </w:t>
            </w:r>
            <w:r w:rsidRPr="00002FAC">
              <w:rPr>
                <w:sz w:val="22"/>
                <w:szCs w:val="22"/>
              </w:rPr>
              <w:t>transparency</w:t>
            </w:r>
            <w:r w:rsidR="000F5044">
              <w:rPr>
                <w:sz w:val="22"/>
                <w:szCs w:val="22"/>
              </w:rPr>
              <w:t>,</w:t>
            </w:r>
            <w:r w:rsidRPr="00002FAC">
              <w:rPr>
                <w:sz w:val="22"/>
                <w:szCs w:val="22"/>
              </w:rPr>
              <w:t xml:space="preserve"> and public confidence in the judicial system, border management and law enforcement; </w:t>
            </w:r>
          </w:p>
          <w:p w:rsidR="00002FAC" w:rsidRPr="00002FAC" w:rsidRDefault="00002FAC" w:rsidP="00002FAC">
            <w:pPr>
              <w:spacing w:after="200" w:line="276" w:lineRule="auto"/>
              <w:rPr>
                <w:sz w:val="22"/>
                <w:szCs w:val="22"/>
              </w:rPr>
            </w:pPr>
            <w:r w:rsidRPr="00002FAC">
              <w:rPr>
                <w:sz w:val="22"/>
                <w:szCs w:val="22"/>
              </w:rPr>
              <w:t>A.2 To develop operational capacity to increase  the effective and transparent fight against organised crime and corruption, including the requirement for inter-agency and cross-border co-operation to enhance effectiveness in combating organised and other serious crime</w:t>
            </w:r>
            <w:r w:rsidR="004A6812">
              <w:rPr>
                <w:sz w:val="22"/>
                <w:szCs w:val="22"/>
              </w:rPr>
              <w:t xml:space="preserve"> leading to an increase in serious crime prosecutions in each country</w:t>
            </w:r>
            <w:r w:rsidRPr="00002FAC">
              <w:rPr>
                <w:sz w:val="22"/>
                <w:szCs w:val="22"/>
              </w:rPr>
              <w:t xml:space="preserve">; </w:t>
            </w:r>
          </w:p>
          <w:p w:rsidR="00002FAC" w:rsidRPr="00002FAC" w:rsidRDefault="00002FAC" w:rsidP="00002FAC">
            <w:pPr>
              <w:spacing w:after="200" w:line="276" w:lineRule="auto"/>
              <w:rPr>
                <w:sz w:val="22"/>
                <w:szCs w:val="22"/>
              </w:rPr>
            </w:pPr>
            <w:r w:rsidRPr="00002FAC">
              <w:rPr>
                <w:sz w:val="22"/>
                <w:szCs w:val="22"/>
              </w:rPr>
              <w:t xml:space="preserve">A.3 To develop and implement mechanisms and models and undertake capacity building to reduce the burden on courts and prisons, including through inter-agency co-operation;  </w:t>
            </w:r>
          </w:p>
          <w:p w:rsidR="00002FAC" w:rsidRPr="00002FAC" w:rsidRDefault="00002FAC" w:rsidP="00002FAC">
            <w:pPr>
              <w:spacing w:after="200" w:line="276" w:lineRule="auto"/>
              <w:rPr>
                <w:sz w:val="22"/>
                <w:szCs w:val="22"/>
              </w:rPr>
            </w:pPr>
            <w:r w:rsidRPr="00002FAC">
              <w:rPr>
                <w:sz w:val="22"/>
                <w:szCs w:val="22"/>
              </w:rPr>
              <w:t>A.4 To enhance capacity and commitment to integrate marginalised and minority groups in general in order to meet international human rights standards and safeguard the rights of vulnerable communities in the justice system</w:t>
            </w:r>
          </w:p>
          <w:p w:rsidR="00002FAC" w:rsidRPr="00002FAC" w:rsidRDefault="00002FAC" w:rsidP="00002FAC">
            <w:pPr>
              <w:spacing w:after="200" w:line="276" w:lineRule="auto"/>
              <w:rPr>
                <w:sz w:val="22"/>
                <w:szCs w:val="22"/>
              </w:rPr>
            </w:pPr>
            <w:r w:rsidRPr="00002FAC">
              <w:rPr>
                <w:sz w:val="22"/>
                <w:szCs w:val="22"/>
              </w:rPr>
              <w:t>A.5 To improve frameworks to facilitate free and fair elections.</w:t>
            </w:r>
          </w:p>
          <w:p w:rsidR="00002FAC" w:rsidRPr="00002FAC" w:rsidRDefault="00002FAC" w:rsidP="00002FAC">
            <w:pPr>
              <w:spacing w:after="200" w:line="276" w:lineRule="auto"/>
              <w:rPr>
                <w:sz w:val="22"/>
                <w:szCs w:val="22"/>
              </w:rPr>
            </w:pPr>
            <w:r w:rsidRPr="00002FAC">
              <w:rPr>
                <w:sz w:val="22"/>
                <w:szCs w:val="22"/>
              </w:rPr>
              <w:t>A.6 To support key non-governmental stakeholders so that they are demonstrably willing and able to contribute to the promotion of human rights and to the success of the EU integration process in their respective countries.</w:t>
            </w:r>
          </w:p>
        </w:tc>
      </w:tr>
      <w:tr w:rsidR="00002FAC" w:rsidTr="00EF75BD">
        <w:tc>
          <w:tcPr>
            <w:tcW w:w="2093" w:type="dxa"/>
          </w:tcPr>
          <w:p w:rsidR="00002FAC" w:rsidRPr="00002FAC" w:rsidRDefault="00002FAC" w:rsidP="00002FAC">
            <w:pPr>
              <w:spacing w:after="200" w:line="276" w:lineRule="auto"/>
              <w:rPr>
                <w:sz w:val="22"/>
                <w:szCs w:val="22"/>
              </w:rPr>
            </w:pPr>
            <w:r w:rsidRPr="00002FAC">
              <w:rPr>
                <w:sz w:val="22"/>
                <w:szCs w:val="22"/>
              </w:rPr>
              <w:lastRenderedPageBreak/>
              <w:t>Democratic Institutions</w:t>
            </w:r>
            <w:r w:rsidR="000F5044">
              <w:rPr>
                <w:sz w:val="22"/>
                <w:szCs w:val="22"/>
              </w:rPr>
              <w:t xml:space="preserve"> and Processes</w:t>
            </w:r>
          </w:p>
        </w:tc>
        <w:tc>
          <w:tcPr>
            <w:tcW w:w="2551" w:type="dxa"/>
            <w:gridSpan w:val="2"/>
          </w:tcPr>
          <w:p w:rsidR="00002FAC" w:rsidRPr="00002FAC" w:rsidRDefault="00002FAC" w:rsidP="00002FAC">
            <w:pPr>
              <w:spacing w:after="200" w:line="276" w:lineRule="auto"/>
              <w:rPr>
                <w:b/>
                <w:sz w:val="22"/>
                <w:szCs w:val="22"/>
              </w:rPr>
            </w:pPr>
            <w:r w:rsidRPr="00002FAC">
              <w:rPr>
                <w:b/>
                <w:bCs/>
                <w:sz w:val="22"/>
                <w:szCs w:val="22"/>
              </w:rPr>
              <w:t xml:space="preserve">B. To establish and promote proper functioning core institutions necessary for democratic governance </w:t>
            </w:r>
            <w:r w:rsidR="004A6812">
              <w:rPr>
                <w:b/>
                <w:bCs/>
                <w:sz w:val="22"/>
                <w:szCs w:val="22"/>
              </w:rPr>
              <w:t xml:space="preserve">and economic reform </w:t>
            </w:r>
            <w:r w:rsidRPr="00002FAC">
              <w:rPr>
                <w:b/>
                <w:bCs/>
                <w:sz w:val="22"/>
                <w:szCs w:val="22"/>
              </w:rPr>
              <w:t>in the Western Balkans and Turkey</w:t>
            </w:r>
          </w:p>
        </w:tc>
        <w:tc>
          <w:tcPr>
            <w:tcW w:w="4598" w:type="dxa"/>
          </w:tcPr>
          <w:p w:rsidR="00002FAC" w:rsidRPr="00002FAC" w:rsidRDefault="00002FAC" w:rsidP="00002FAC">
            <w:pPr>
              <w:spacing w:after="200" w:line="276" w:lineRule="auto"/>
              <w:rPr>
                <w:b/>
                <w:sz w:val="22"/>
                <w:szCs w:val="22"/>
              </w:rPr>
            </w:pPr>
            <w:r w:rsidRPr="00002FAC">
              <w:rPr>
                <w:b/>
                <w:sz w:val="22"/>
                <w:szCs w:val="22"/>
              </w:rPr>
              <w:t>...through enabling democratic reforms:</w:t>
            </w:r>
          </w:p>
          <w:p w:rsidR="00002FAC" w:rsidRDefault="00002FAC" w:rsidP="00002FAC">
            <w:pPr>
              <w:spacing w:after="200" w:line="276" w:lineRule="auto"/>
              <w:rPr>
                <w:sz w:val="22"/>
                <w:szCs w:val="22"/>
              </w:rPr>
            </w:pPr>
            <w:r w:rsidRPr="00002FAC">
              <w:rPr>
                <w:sz w:val="22"/>
                <w:szCs w:val="22"/>
              </w:rPr>
              <w:t xml:space="preserve">B.1. </w:t>
            </w:r>
            <w:r w:rsidRPr="00002FAC">
              <w:rPr>
                <w:bCs/>
                <w:sz w:val="22"/>
                <w:szCs w:val="22"/>
              </w:rPr>
              <w:t xml:space="preserve">To support the implementation of approximately 5 </w:t>
            </w:r>
            <w:r w:rsidR="000F5044">
              <w:rPr>
                <w:bCs/>
                <w:sz w:val="22"/>
                <w:szCs w:val="22"/>
              </w:rPr>
              <w:t xml:space="preserve">significant and relevant </w:t>
            </w:r>
            <w:r w:rsidRPr="00002FAC">
              <w:rPr>
                <w:bCs/>
                <w:sz w:val="22"/>
                <w:szCs w:val="22"/>
              </w:rPr>
              <w:t>reforms across our 7 countries each year</w:t>
            </w:r>
            <w:r w:rsidRPr="00002FAC">
              <w:rPr>
                <w:sz w:val="22"/>
                <w:szCs w:val="22"/>
              </w:rPr>
              <w:t>.</w:t>
            </w:r>
          </w:p>
          <w:p w:rsidR="00002FAC" w:rsidRPr="00002FAC" w:rsidRDefault="00002FAC" w:rsidP="00002FAC">
            <w:pPr>
              <w:spacing w:after="200" w:line="276" w:lineRule="auto"/>
              <w:rPr>
                <w:b/>
                <w:sz w:val="22"/>
                <w:szCs w:val="22"/>
              </w:rPr>
            </w:pPr>
            <w:r w:rsidRPr="00002FAC">
              <w:rPr>
                <w:b/>
                <w:sz w:val="22"/>
                <w:szCs w:val="22"/>
              </w:rPr>
              <w:t>...</w:t>
            </w:r>
            <w:r w:rsidRPr="00002FAC">
              <w:rPr>
                <w:b/>
                <w:bCs/>
                <w:sz w:val="22"/>
                <w:szCs w:val="22"/>
              </w:rPr>
              <w:t>building institutional &amp; administrative capacity</w:t>
            </w:r>
            <w:r>
              <w:rPr>
                <w:b/>
                <w:bCs/>
                <w:sz w:val="22"/>
                <w:szCs w:val="22"/>
              </w:rPr>
              <w:t>:</w:t>
            </w:r>
          </w:p>
          <w:p w:rsidR="00002FAC" w:rsidRPr="00002FAC" w:rsidRDefault="00002FAC" w:rsidP="00002FAC">
            <w:pPr>
              <w:spacing w:after="200" w:line="276" w:lineRule="auto"/>
              <w:rPr>
                <w:sz w:val="22"/>
                <w:szCs w:val="22"/>
              </w:rPr>
            </w:pPr>
            <w:r>
              <w:rPr>
                <w:sz w:val="22"/>
                <w:szCs w:val="22"/>
              </w:rPr>
              <w:t>B.2</w:t>
            </w:r>
            <w:r w:rsidRPr="00002FAC">
              <w:rPr>
                <w:sz w:val="22"/>
                <w:szCs w:val="22"/>
              </w:rPr>
              <w:t xml:space="preserve"> To review the scale and organisation of Beneficiary Country’s human and financial resources and put in place strong systems for strategic direction and communication at central, regional and local level.</w:t>
            </w:r>
          </w:p>
          <w:p w:rsidR="00002FAC" w:rsidRPr="00002FAC" w:rsidRDefault="00002FAC" w:rsidP="00002FAC">
            <w:pPr>
              <w:spacing w:after="200" w:line="276" w:lineRule="auto"/>
              <w:rPr>
                <w:sz w:val="22"/>
                <w:szCs w:val="22"/>
              </w:rPr>
            </w:pPr>
            <w:r>
              <w:rPr>
                <w:sz w:val="22"/>
                <w:szCs w:val="22"/>
              </w:rPr>
              <w:t>B.3</w:t>
            </w:r>
            <w:r w:rsidRPr="00002FAC">
              <w:rPr>
                <w:sz w:val="22"/>
                <w:szCs w:val="22"/>
              </w:rPr>
              <w:t xml:space="preserve"> To increase structures, mechanisms and skills (which draw on UK best practice) to support an effective and politically neutral civil service. These include transparent recruiting on the basis of merit, strengthened business planning and performance management systems and effective financial and HR </w:t>
            </w:r>
            <w:r w:rsidRPr="00002FAC">
              <w:rPr>
                <w:sz w:val="22"/>
                <w:szCs w:val="22"/>
              </w:rPr>
              <w:lastRenderedPageBreak/>
              <w:t>management;</w:t>
            </w:r>
          </w:p>
          <w:p w:rsidR="00002FAC" w:rsidRPr="00002FAC" w:rsidRDefault="00002FAC" w:rsidP="00002FAC">
            <w:pPr>
              <w:spacing w:after="200" w:line="276" w:lineRule="auto"/>
              <w:rPr>
                <w:sz w:val="22"/>
                <w:szCs w:val="22"/>
              </w:rPr>
            </w:pPr>
            <w:r>
              <w:rPr>
                <w:sz w:val="22"/>
                <w:szCs w:val="22"/>
              </w:rPr>
              <w:t>B.4</w:t>
            </w:r>
            <w:r w:rsidRPr="00002FAC">
              <w:rPr>
                <w:sz w:val="22"/>
                <w:szCs w:val="22"/>
              </w:rPr>
              <w:t xml:space="preserve"> To establish and bring into operation best practice models or policy-making, service delivery and performance measurement - all key areas of public administration. </w:t>
            </w:r>
          </w:p>
          <w:p w:rsidR="00002FAC" w:rsidRDefault="00002FAC" w:rsidP="00002FAC">
            <w:pPr>
              <w:spacing w:after="200" w:line="276" w:lineRule="auto"/>
              <w:rPr>
                <w:sz w:val="22"/>
                <w:szCs w:val="22"/>
              </w:rPr>
            </w:pPr>
            <w:r>
              <w:rPr>
                <w:sz w:val="22"/>
                <w:szCs w:val="22"/>
              </w:rPr>
              <w:t>B.5</w:t>
            </w:r>
            <w:r w:rsidRPr="00002FAC">
              <w:rPr>
                <w:sz w:val="22"/>
                <w:szCs w:val="22"/>
              </w:rPr>
              <w:t>To put in place structures, mechanisms and skills for the planning and co-ordination of the EU integration process. These include developing capacity in local and regional authorities to improve their chances of gaining access to, and effectively deploying, EU funds</w:t>
            </w:r>
            <w:r>
              <w:rPr>
                <w:sz w:val="22"/>
                <w:szCs w:val="22"/>
              </w:rPr>
              <w:t>;</w:t>
            </w:r>
          </w:p>
          <w:p w:rsidR="00002FAC" w:rsidRPr="00002FAC" w:rsidRDefault="00002FAC" w:rsidP="00002FAC">
            <w:pPr>
              <w:spacing w:after="200" w:line="276" w:lineRule="auto"/>
              <w:rPr>
                <w:sz w:val="22"/>
                <w:szCs w:val="22"/>
              </w:rPr>
            </w:pPr>
            <w:r>
              <w:rPr>
                <w:b/>
                <w:bCs/>
                <w:sz w:val="22"/>
                <w:szCs w:val="22"/>
              </w:rPr>
              <w:t>...</w:t>
            </w:r>
            <w:r w:rsidRPr="00002FAC">
              <w:rPr>
                <w:b/>
                <w:bCs/>
                <w:sz w:val="22"/>
                <w:szCs w:val="22"/>
              </w:rPr>
              <w:t>and promoting greater accountability and transparency</w:t>
            </w:r>
          </w:p>
          <w:p w:rsidR="004A6812" w:rsidRDefault="00002FAC" w:rsidP="00002FAC">
            <w:pPr>
              <w:spacing w:after="200" w:line="276" w:lineRule="auto"/>
              <w:rPr>
                <w:sz w:val="22"/>
                <w:szCs w:val="22"/>
              </w:rPr>
            </w:pPr>
            <w:r>
              <w:rPr>
                <w:sz w:val="22"/>
                <w:szCs w:val="22"/>
              </w:rPr>
              <w:t>B.6</w:t>
            </w:r>
            <w:r w:rsidRPr="00002FAC">
              <w:rPr>
                <w:sz w:val="22"/>
                <w:szCs w:val="22"/>
              </w:rPr>
              <w:t xml:space="preserve"> To establish legal and institutional checks and balances in support of greater transparency in policy-m</w:t>
            </w:r>
            <w:r w:rsidR="004A6812">
              <w:rPr>
                <w:sz w:val="22"/>
                <w:szCs w:val="22"/>
              </w:rPr>
              <w:t>aking and implementation</w:t>
            </w:r>
            <w:r w:rsidRPr="00002FAC">
              <w:rPr>
                <w:sz w:val="22"/>
                <w:szCs w:val="22"/>
              </w:rPr>
              <w:t>;</w:t>
            </w:r>
          </w:p>
          <w:p w:rsidR="00002FAC" w:rsidRPr="00002FAC" w:rsidRDefault="004A6812" w:rsidP="00002FAC">
            <w:pPr>
              <w:spacing w:after="200" w:line="276" w:lineRule="auto"/>
              <w:rPr>
                <w:sz w:val="22"/>
                <w:szCs w:val="22"/>
              </w:rPr>
            </w:pPr>
            <w:r>
              <w:rPr>
                <w:sz w:val="22"/>
                <w:szCs w:val="22"/>
              </w:rPr>
              <w:t>B.7 T</w:t>
            </w:r>
            <w:r w:rsidR="00002FAC" w:rsidRPr="00002FAC">
              <w:rPr>
                <w:sz w:val="22"/>
                <w:szCs w:val="22"/>
              </w:rPr>
              <w:t>o support the development and deployment of mechanisms and skills to enable citizens to engage with elected political representatives and so participate in local and national political processes</w:t>
            </w:r>
            <w:r>
              <w:rPr>
                <w:sz w:val="22"/>
                <w:szCs w:val="22"/>
              </w:rPr>
              <w:t>, supporting countries increase their ranking in the Transparency International index</w:t>
            </w:r>
            <w:r w:rsidR="00002FAC">
              <w:rPr>
                <w:sz w:val="22"/>
                <w:szCs w:val="22"/>
              </w:rPr>
              <w:t>;</w:t>
            </w:r>
          </w:p>
          <w:p w:rsidR="00002FAC" w:rsidRPr="00002FAC" w:rsidRDefault="004A6812" w:rsidP="00002FAC">
            <w:pPr>
              <w:spacing w:after="200" w:line="276" w:lineRule="auto"/>
              <w:rPr>
                <w:sz w:val="22"/>
                <w:szCs w:val="22"/>
              </w:rPr>
            </w:pPr>
            <w:r>
              <w:rPr>
                <w:sz w:val="22"/>
                <w:szCs w:val="22"/>
              </w:rPr>
              <w:t>B.8</w:t>
            </w:r>
            <w:r w:rsidR="00002FAC" w:rsidRPr="00002FAC">
              <w:rPr>
                <w:sz w:val="22"/>
                <w:szCs w:val="22"/>
              </w:rPr>
              <w:t xml:space="preserve"> To improve media capacity to act as an agent for transparency and accountability; including activity in support of media freedom and wider freedom of expression.</w:t>
            </w:r>
          </w:p>
        </w:tc>
      </w:tr>
      <w:tr w:rsidR="00002FAC" w:rsidTr="00EF75BD">
        <w:tc>
          <w:tcPr>
            <w:tcW w:w="2093" w:type="dxa"/>
          </w:tcPr>
          <w:p w:rsidR="00002FAC" w:rsidRPr="00002FAC" w:rsidRDefault="00002FAC" w:rsidP="00903D03">
            <w:pPr>
              <w:spacing w:after="200" w:line="276" w:lineRule="auto"/>
              <w:rPr>
                <w:sz w:val="22"/>
                <w:szCs w:val="22"/>
              </w:rPr>
            </w:pPr>
            <w:r w:rsidRPr="00002FAC">
              <w:rPr>
                <w:sz w:val="22"/>
                <w:szCs w:val="22"/>
              </w:rPr>
              <w:lastRenderedPageBreak/>
              <w:t xml:space="preserve">Economic </w:t>
            </w:r>
            <w:r w:rsidR="00903D03">
              <w:rPr>
                <w:sz w:val="22"/>
                <w:szCs w:val="22"/>
              </w:rPr>
              <w:t>Governance</w:t>
            </w:r>
            <w:r w:rsidR="006622F4">
              <w:rPr>
                <w:sz w:val="22"/>
                <w:szCs w:val="22"/>
              </w:rPr>
              <w:t xml:space="preserve"> and </w:t>
            </w:r>
            <w:r w:rsidR="00903D03">
              <w:rPr>
                <w:sz w:val="22"/>
                <w:szCs w:val="22"/>
              </w:rPr>
              <w:t>Development</w:t>
            </w:r>
          </w:p>
        </w:tc>
        <w:tc>
          <w:tcPr>
            <w:tcW w:w="2551" w:type="dxa"/>
            <w:gridSpan w:val="2"/>
          </w:tcPr>
          <w:p w:rsidR="00002FAC" w:rsidRPr="00002FAC" w:rsidRDefault="00002FAC" w:rsidP="00002FAC">
            <w:pPr>
              <w:spacing w:after="200" w:line="276" w:lineRule="auto"/>
              <w:rPr>
                <w:b/>
                <w:sz w:val="22"/>
                <w:szCs w:val="22"/>
              </w:rPr>
            </w:pPr>
            <w:r w:rsidRPr="00002FAC">
              <w:rPr>
                <w:b/>
                <w:sz w:val="22"/>
                <w:szCs w:val="22"/>
              </w:rPr>
              <w:t xml:space="preserve">C. To support economic and financial reforms in the Western Balkans which </w:t>
            </w:r>
            <w:proofErr w:type="gramStart"/>
            <w:r w:rsidRPr="00002FAC">
              <w:rPr>
                <w:b/>
                <w:sz w:val="22"/>
                <w:szCs w:val="22"/>
              </w:rPr>
              <w:t>spur</w:t>
            </w:r>
            <w:proofErr w:type="gramEnd"/>
            <w:r w:rsidRPr="00002FAC">
              <w:rPr>
                <w:b/>
                <w:sz w:val="22"/>
                <w:szCs w:val="22"/>
              </w:rPr>
              <w:t xml:space="preserve"> the development of inclusive, rules-based market economies that </w:t>
            </w:r>
            <w:r w:rsidR="00090F35">
              <w:rPr>
                <w:b/>
                <w:sz w:val="22"/>
                <w:szCs w:val="22"/>
              </w:rPr>
              <w:t>meet the conditions for Enlargement</w:t>
            </w:r>
            <w:r w:rsidRPr="00002FAC">
              <w:rPr>
                <w:b/>
                <w:sz w:val="22"/>
                <w:szCs w:val="22"/>
              </w:rPr>
              <w:t xml:space="preserve">. </w:t>
            </w:r>
          </w:p>
          <w:p w:rsidR="00002FAC" w:rsidRPr="00002FAC" w:rsidRDefault="00002FAC" w:rsidP="00002FAC">
            <w:pPr>
              <w:spacing w:after="200" w:line="276" w:lineRule="auto"/>
              <w:rPr>
                <w:b/>
                <w:sz w:val="22"/>
                <w:szCs w:val="22"/>
              </w:rPr>
            </w:pPr>
          </w:p>
        </w:tc>
        <w:tc>
          <w:tcPr>
            <w:tcW w:w="4598" w:type="dxa"/>
          </w:tcPr>
          <w:p w:rsidR="00002FAC" w:rsidRPr="00002FAC" w:rsidRDefault="00002FAC" w:rsidP="00002FAC">
            <w:pPr>
              <w:spacing w:after="200" w:line="276" w:lineRule="auto"/>
              <w:rPr>
                <w:sz w:val="22"/>
                <w:szCs w:val="22"/>
              </w:rPr>
            </w:pPr>
            <w:r w:rsidRPr="00002FAC">
              <w:rPr>
                <w:sz w:val="22"/>
                <w:szCs w:val="22"/>
              </w:rPr>
              <w:t>C.1 To update financial management procedures and support more rigorous economic policy-making to reduce fraud, corruption and waste, increase transparency and confidence in public sector economic decisions, and prioritise the allocation of resources appropriately, at both national and sub-national levels;</w:t>
            </w:r>
          </w:p>
          <w:p w:rsidR="00002FAC" w:rsidRPr="00002FAC" w:rsidRDefault="00002FAC" w:rsidP="00002FAC">
            <w:pPr>
              <w:spacing w:after="200" w:line="276" w:lineRule="auto"/>
              <w:rPr>
                <w:sz w:val="22"/>
                <w:szCs w:val="22"/>
              </w:rPr>
            </w:pPr>
            <w:r w:rsidRPr="00002FAC">
              <w:rPr>
                <w:sz w:val="22"/>
                <w:szCs w:val="22"/>
              </w:rPr>
              <w:t>C.2 To support reforms that ensure a rules-based system for economic operators by increasing legal certainty, improving access to timely adjudication of disputes, and demarcating the roles of economic and political power.</w:t>
            </w:r>
          </w:p>
          <w:p w:rsidR="00002FAC" w:rsidRPr="00002FAC" w:rsidRDefault="00002FAC" w:rsidP="00002FAC">
            <w:pPr>
              <w:spacing w:after="200" w:line="276" w:lineRule="auto"/>
              <w:rPr>
                <w:sz w:val="22"/>
                <w:szCs w:val="22"/>
              </w:rPr>
            </w:pPr>
            <w:r w:rsidRPr="00002FAC">
              <w:rPr>
                <w:sz w:val="22"/>
                <w:szCs w:val="22"/>
              </w:rPr>
              <w:t xml:space="preserve">C.3 To support the business environment through facilitating the robust evaluation of the cost and benefits of existing and proposed regulation, </w:t>
            </w:r>
            <w:r w:rsidRPr="00002FAC">
              <w:rPr>
                <w:sz w:val="22"/>
                <w:szCs w:val="22"/>
              </w:rPr>
              <w:lastRenderedPageBreak/>
              <w:t>simplifying the administrative procedures for opening, running and closing a business, and developing a healthy and inclusive role for the business community in the policy-making process, both nationally and at local level</w:t>
            </w:r>
            <w:r w:rsidR="004A6812">
              <w:rPr>
                <w:sz w:val="22"/>
                <w:szCs w:val="22"/>
              </w:rPr>
              <w:t>.  We will use progress in the World Bank Ease of doing business ranking to measure success.</w:t>
            </w:r>
          </w:p>
          <w:p w:rsidR="00002FAC" w:rsidRPr="00002FAC" w:rsidRDefault="00002FAC" w:rsidP="000F5044">
            <w:pPr>
              <w:spacing w:after="200" w:line="276" w:lineRule="auto"/>
              <w:rPr>
                <w:sz w:val="22"/>
                <w:szCs w:val="22"/>
              </w:rPr>
            </w:pPr>
            <w:r w:rsidRPr="00002FAC">
              <w:rPr>
                <w:sz w:val="22"/>
                <w:szCs w:val="22"/>
              </w:rPr>
              <w:t>C.</w:t>
            </w:r>
            <w:r w:rsidR="000F5044">
              <w:rPr>
                <w:sz w:val="22"/>
                <w:szCs w:val="22"/>
              </w:rPr>
              <w:t>4</w:t>
            </w:r>
            <w:r w:rsidRPr="00002FAC">
              <w:rPr>
                <w:sz w:val="22"/>
                <w:szCs w:val="22"/>
              </w:rPr>
              <w:t xml:space="preserve">. To strengthen labour markets </w:t>
            </w:r>
            <w:r w:rsidR="006622F4">
              <w:rPr>
                <w:sz w:val="22"/>
                <w:szCs w:val="22"/>
              </w:rPr>
              <w:t xml:space="preserve">and reduce emigration push factors, </w:t>
            </w:r>
            <w:r w:rsidRPr="00002FAC">
              <w:rPr>
                <w:sz w:val="22"/>
                <w:szCs w:val="22"/>
              </w:rPr>
              <w:t>by helping lower barriers to hiring, facilitating the transition of workers from the informal to the formal sector, supporting the provision of education and skills relevant to labour market needs at all levels, and encouraging and supporting entrepreneurship</w:t>
            </w:r>
          </w:p>
        </w:tc>
      </w:tr>
      <w:tr w:rsidR="00691366" w:rsidTr="003A3AD0">
        <w:tc>
          <w:tcPr>
            <w:tcW w:w="4644" w:type="dxa"/>
            <w:gridSpan w:val="3"/>
          </w:tcPr>
          <w:p w:rsidR="00691366" w:rsidRPr="00691366" w:rsidRDefault="00691366" w:rsidP="00002FAC">
            <w:pPr>
              <w:spacing w:line="276" w:lineRule="auto"/>
              <w:rPr>
                <w:b/>
                <w:sz w:val="22"/>
                <w:szCs w:val="22"/>
              </w:rPr>
            </w:pPr>
            <w:r w:rsidRPr="00691366">
              <w:rPr>
                <w:b/>
                <w:sz w:val="22"/>
                <w:szCs w:val="22"/>
              </w:rPr>
              <w:lastRenderedPageBreak/>
              <w:t xml:space="preserve">Programme </w:t>
            </w:r>
            <w:r>
              <w:rPr>
                <w:b/>
                <w:sz w:val="22"/>
                <w:szCs w:val="22"/>
              </w:rPr>
              <w:t xml:space="preserve"> Delivery </w:t>
            </w:r>
            <w:r w:rsidRPr="00691366">
              <w:rPr>
                <w:b/>
                <w:sz w:val="22"/>
                <w:szCs w:val="22"/>
              </w:rPr>
              <w:t>Indicators</w:t>
            </w:r>
          </w:p>
        </w:tc>
        <w:tc>
          <w:tcPr>
            <w:tcW w:w="4598" w:type="dxa"/>
          </w:tcPr>
          <w:p w:rsidR="00691366" w:rsidRPr="00691366" w:rsidRDefault="00691366" w:rsidP="00691366">
            <w:pPr>
              <w:spacing w:line="276" w:lineRule="auto"/>
              <w:rPr>
                <w:b/>
                <w:bCs/>
                <w:sz w:val="22"/>
                <w:szCs w:val="22"/>
                <w:u w:val="single"/>
              </w:rPr>
            </w:pPr>
            <w:proofErr w:type="spellStart"/>
            <w:r w:rsidRPr="00691366">
              <w:rPr>
                <w:sz w:val="22"/>
                <w:szCs w:val="22"/>
              </w:rPr>
              <w:t>i</w:t>
            </w:r>
            <w:proofErr w:type="spellEnd"/>
            <w:r w:rsidRPr="00691366">
              <w:rPr>
                <w:sz w:val="22"/>
                <w:szCs w:val="22"/>
              </w:rPr>
              <w:t>).</w:t>
            </w:r>
            <w:r w:rsidRPr="00691366">
              <w:rPr>
                <w:sz w:val="22"/>
                <w:szCs w:val="22"/>
                <w:u w:val="single"/>
              </w:rPr>
              <w:t xml:space="preserve"> Demonstrable Impact</w:t>
            </w:r>
          </w:p>
          <w:p w:rsidR="00691366" w:rsidRPr="00691366" w:rsidRDefault="00691366" w:rsidP="00691366">
            <w:pPr>
              <w:spacing w:line="276" w:lineRule="auto"/>
              <w:rPr>
                <w:b/>
                <w:bCs/>
                <w:sz w:val="22"/>
                <w:szCs w:val="22"/>
              </w:rPr>
            </w:pPr>
          </w:p>
          <w:p w:rsidR="00691366" w:rsidRPr="00691366" w:rsidRDefault="00691366" w:rsidP="00691366">
            <w:pPr>
              <w:numPr>
                <w:ilvl w:val="0"/>
                <w:numId w:val="11"/>
              </w:numPr>
              <w:spacing w:line="276" w:lineRule="auto"/>
              <w:rPr>
                <w:sz w:val="22"/>
                <w:szCs w:val="22"/>
              </w:rPr>
            </w:pPr>
            <w:r w:rsidRPr="00691366">
              <w:rPr>
                <w:sz w:val="22"/>
                <w:szCs w:val="22"/>
              </w:rPr>
              <w:t>80% of projects operating at the policy-making level, influencing the development of policy or the public and media debate;</w:t>
            </w:r>
          </w:p>
          <w:p w:rsidR="00691366" w:rsidRPr="00691366" w:rsidRDefault="00691366" w:rsidP="00691366">
            <w:pPr>
              <w:spacing w:line="276" w:lineRule="auto"/>
              <w:rPr>
                <w:sz w:val="22"/>
                <w:szCs w:val="22"/>
              </w:rPr>
            </w:pPr>
          </w:p>
          <w:p w:rsidR="00691366" w:rsidRPr="00691366" w:rsidRDefault="00691366" w:rsidP="00691366">
            <w:pPr>
              <w:numPr>
                <w:ilvl w:val="0"/>
                <w:numId w:val="11"/>
              </w:numPr>
              <w:spacing w:line="276" w:lineRule="auto"/>
              <w:rPr>
                <w:sz w:val="22"/>
                <w:szCs w:val="22"/>
              </w:rPr>
            </w:pPr>
            <w:r w:rsidRPr="00691366">
              <w:rPr>
                <w:sz w:val="22"/>
                <w:szCs w:val="22"/>
              </w:rPr>
              <w:t>30% of projects have the involvement or active participation of PAGs (to be assisted by better targeting of input from PAG representatives);</w:t>
            </w:r>
          </w:p>
          <w:p w:rsidR="00691366" w:rsidRPr="00691366" w:rsidRDefault="00691366" w:rsidP="00691366">
            <w:pPr>
              <w:spacing w:line="276" w:lineRule="auto"/>
              <w:rPr>
                <w:sz w:val="22"/>
                <w:szCs w:val="22"/>
              </w:rPr>
            </w:pPr>
            <w:r w:rsidRPr="00691366">
              <w:rPr>
                <w:sz w:val="22"/>
                <w:szCs w:val="22"/>
              </w:rPr>
              <w:t xml:space="preserve"> </w:t>
            </w:r>
          </w:p>
          <w:p w:rsidR="00691366" w:rsidRPr="00691366" w:rsidRDefault="00691366" w:rsidP="00691366">
            <w:pPr>
              <w:spacing w:line="276" w:lineRule="auto"/>
              <w:rPr>
                <w:sz w:val="22"/>
                <w:szCs w:val="22"/>
                <w:u w:val="single"/>
              </w:rPr>
            </w:pPr>
            <w:r w:rsidRPr="00691366">
              <w:rPr>
                <w:sz w:val="22"/>
                <w:szCs w:val="22"/>
              </w:rPr>
              <w:t xml:space="preserve">ii). </w:t>
            </w:r>
            <w:r w:rsidRPr="00691366">
              <w:rPr>
                <w:sz w:val="22"/>
                <w:szCs w:val="22"/>
                <w:u w:val="single"/>
              </w:rPr>
              <w:t>Leveragin</w:t>
            </w:r>
            <w:r>
              <w:rPr>
                <w:sz w:val="22"/>
                <w:szCs w:val="22"/>
                <w:u w:val="single"/>
              </w:rPr>
              <w:t>g</w:t>
            </w:r>
          </w:p>
          <w:p w:rsidR="00691366" w:rsidRPr="00691366" w:rsidRDefault="00691366" w:rsidP="00691366">
            <w:pPr>
              <w:spacing w:line="276" w:lineRule="auto"/>
              <w:rPr>
                <w:sz w:val="22"/>
                <w:szCs w:val="22"/>
              </w:rPr>
            </w:pPr>
          </w:p>
          <w:p w:rsidR="00691366" w:rsidRPr="00691366" w:rsidRDefault="00691366" w:rsidP="00691366">
            <w:pPr>
              <w:numPr>
                <w:ilvl w:val="0"/>
                <w:numId w:val="11"/>
              </w:numPr>
              <w:spacing w:line="276" w:lineRule="auto"/>
              <w:rPr>
                <w:sz w:val="22"/>
                <w:szCs w:val="22"/>
              </w:rPr>
            </w:pPr>
            <w:r w:rsidRPr="00691366">
              <w:rPr>
                <w:sz w:val="22"/>
                <w:szCs w:val="22"/>
              </w:rPr>
              <w:t>Follow up projects funded by host governments or other donors should seek to leverage as much funding as possible-equating  to 100% of the value of the original RE project where viable;</w:t>
            </w:r>
          </w:p>
          <w:p w:rsidR="00691366" w:rsidRPr="00691366" w:rsidRDefault="00691366" w:rsidP="00691366">
            <w:pPr>
              <w:spacing w:line="276" w:lineRule="auto"/>
              <w:rPr>
                <w:sz w:val="22"/>
                <w:szCs w:val="22"/>
              </w:rPr>
            </w:pPr>
          </w:p>
          <w:p w:rsidR="00691366" w:rsidRPr="00691366" w:rsidRDefault="00691366" w:rsidP="00691366">
            <w:pPr>
              <w:numPr>
                <w:ilvl w:val="0"/>
                <w:numId w:val="11"/>
              </w:numPr>
              <w:spacing w:line="276" w:lineRule="auto"/>
              <w:rPr>
                <w:sz w:val="22"/>
                <w:szCs w:val="22"/>
              </w:rPr>
            </w:pPr>
            <w:r w:rsidRPr="00691366">
              <w:rPr>
                <w:sz w:val="22"/>
                <w:szCs w:val="22"/>
              </w:rPr>
              <w:t>70% of project bids should provide clear evidence of how the project fits into future EU funding plans and therefore has the potential to leverage IPA (EU) funds on behalf of HMG after project completion;</w:t>
            </w:r>
          </w:p>
          <w:p w:rsidR="00691366" w:rsidRPr="00691366" w:rsidRDefault="00691366" w:rsidP="00691366">
            <w:pPr>
              <w:spacing w:line="276" w:lineRule="auto"/>
              <w:rPr>
                <w:sz w:val="22"/>
                <w:szCs w:val="22"/>
              </w:rPr>
            </w:pPr>
          </w:p>
          <w:p w:rsidR="00691366" w:rsidRPr="00691366" w:rsidRDefault="00691366" w:rsidP="00691366">
            <w:pPr>
              <w:numPr>
                <w:ilvl w:val="0"/>
                <w:numId w:val="11"/>
              </w:numPr>
              <w:spacing w:line="276" w:lineRule="auto"/>
              <w:rPr>
                <w:sz w:val="22"/>
                <w:szCs w:val="22"/>
              </w:rPr>
            </w:pPr>
            <w:r w:rsidRPr="00691366">
              <w:rPr>
                <w:sz w:val="22"/>
                <w:szCs w:val="22"/>
              </w:rPr>
              <w:t xml:space="preserve">100% of successful project bids demonstrate: </w:t>
            </w:r>
            <w:r w:rsidRPr="00691366">
              <w:rPr>
                <w:sz w:val="22"/>
                <w:szCs w:val="22"/>
              </w:rPr>
              <w:br/>
              <w:t xml:space="preserve">(a) evidence of consultation with other donors; and </w:t>
            </w:r>
            <w:r w:rsidRPr="00691366">
              <w:rPr>
                <w:sz w:val="22"/>
                <w:szCs w:val="22"/>
              </w:rPr>
              <w:br/>
              <w:t>(b) provision for sustainability.</w:t>
            </w:r>
          </w:p>
          <w:p w:rsidR="00691366" w:rsidRPr="00691366" w:rsidRDefault="00691366" w:rsidP="00691366">
            <w:pPr>
              <w:spacing w:line="276" w:lineRule="auto"/>
              <w:rPr>
                <w:sz w:val="22"/>
                <w:szCs w:val="22"/>
              </w:rPr>
            </w:pPr>
          </w:p>
          <w:p w:rsidR="00691366" w:rsidRPr="00691366" w:rsidRDefault="00691366" w:rsidP="00691366">
            <w:pPr>
              <w:spacing w:line="276" w:lineRule="auto"/>
              <w:rPr>
                <w:i/>
                <w:sz w:val="22"/>
                <w:szCs w:val="22"/>
                <w:u w:val="single"/>
              </w:rPr>
            </w:pPr>
            <w:r w:rsidRPr="00691366">
              <w:rPr>
                <w:sz w:val="22"/>
                <w:szCs w:val="22"/>
              </w:rPr>
              <w:t xml:space="preserve">iii). </w:t>
            </w:r>
            <w:r w:rsidRPr="00691366">
              <w:rPr>
                <w:sz w:val="22"/>
                <w:szCs w:val="22"/>
                <w:u w:val="single"/>
              </w:rPr>
              <w:t>Strategic Ambition</w:t>
            </w:r>
          </w:p>
          <w:p w:rsidR="00691366" w:rsidRPr="00691366" w:rsidRDefault="00691366" w:rsidP="00691366">
            <w:pPr>
              <w:spacing w:line="276" w:lineRule="auto"/>
              <w:rPr>
                <w:sz w:val="22"/>
                <w:szCs w:val="22"/>
              </w:rPr>
            </w:pPr>
          </w:p>
          <w:p w:rsidR="00691366" w:rsidRPr="00691366" w:rsidRDefault="00691366" w:rsidP="00691366">
            <w:pPr>
              <w:numPr>
                <w:ilvl w:val="0"/>
                <w:numId w:val="11"/>
              </w:numPr>
              <w:spacing w:line="276" w:lineRule="auto"/>
              <w:rPr>
                <w:sz w:val="22"/>
                <w:szCs w:val="22"/>
              </w:rPr>
            </w:pPr>
            <w:r w:rsidRPr="00691366">
              <w:rPr>
                <w:sz w:val="22"/>
                <w:szCs w:val="22"/>
              </w:rPr>
              <w:t xml:space="preserve">100% of projects work to support Posts’ </w:t>
            </w:r>
            <w:r w:rsidRPr="00691366">
              <w:rPr>
                <w:sz w:val="22"/>
                <w:szCs w:val="22"/>
              </w:rPr>
              <w:lastRenderedPageBreak/>
              <w:t>Country Business Plans and enhance the UK’s overall diplomatic effort;</w:t>
            </w:r>
          </w:p>
          <w:p w:rsidR="00691366" w:rsidRPr="00691366" w:rsidRDefault="00691366" w:rsidP="00691366">
            <w:pPr>
              <w:spacing w:line="276" w:lineRule="auto"/>
              <w:rPr>
                <w:sz w:val="22"/>
                <w:szCs w:val="22"/>
              </w:rPr>
            </w:pPr>
          </w:p>
          <w:p w:rsidR="00691366" w:rsidRPr="00002FAC" w:rsidRDefault="00691366" w:rsidP="00691366">
            <w:pPr>
              <w:numPr>
                <w:ilvl w:val="0"/>
                <w:numId w:val="11"/>
              </w:numPr>
              <w:spacing w:line="276" w:lineRule="auto"/>
              <w:rPr>
                <w:sz w:val="22"/>
                <w:szCs w:val="22"/>
              </w:rPr>
            </w:pPr>
            <w:r w:rsidRPr="00691366">
              <w:rPr>
                <w:sz w:val="22"/>
                <w:szCs w:val="22"/>
              </w:rPr>
              <w:t>75% of projects to engage host government Ministers.</w:t>
            </w:r>
          </w:p>
        </w:tc>
      </w:tr>
    </w:tbl>
    <w:p w:rsidR="00EF75BD" w:rsidRDefault="00EF75BD"/>
    <w:p w:rsidR="00EF75BD" w:rsidRDefault="00EF75BD"/>
    <w:p w:rsidR="004703F1" w:rsidRDefault="004703F1" w:rsidP="00F81B97"/>
    <w:sectPr w:rsidR="004703F1" w:rsidSect="003F13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00D" w:rsidRDefault="007F500D" w:rsidP="00235C92">
      <w:r>
        <w:separator/>
      </w:r>
    </w:p>
  </w:endnote>
  <w:endnote w:type="continuationSeparator" w:id="0">
    <w:p w:rsidR="007F500D" w:rsidRDefault="007F500D" w:rsidP="00235C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0D" w:rsidRDefault="007F50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0D" w:rsidRDefault="007F50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0D" w:rsidRDefault="007F5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00D" w:rsidRDefault="007F500D" w:rsidP="00235C92">
      <w:r>
        <w:separator/>
      </w:r>
    </w:p>
  </w:footnote>
  <w:footnote w:type="continuationSeparator" w:id="0">
    <w:p w:rsidR="007F500D" w:rsidRDefault="007F500D" w:rsidP="00235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0D" w:rsidRDefault="007F50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0D" w:rsidRDefault="007F50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0D" w:rsidRDefault="007F5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7F66BF"/>
    <w:multiLevelType w:val="hybridMultilevel"/>
    <w:tmpl w:val="A78ABD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130114"/>
    <w:multiLevelType w:val="hybridMultilevel"/>
    <w:tmpl w:val="B34E4AF6"/>
    <w:lvl w:ilvl="0" w:tplc="DA14EE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8268C"/>
    <w:multiLevelType w:val="hybridMultilevel"/>
    <w:tmpl w:val="71C641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0C43F7"/>
    <w:multiLevelType w:val="hybridMultilevel"/>
    <w:tmpl w:val="B18E4AF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94F669E"/>
    <w:multiLevelType w:val="hybridMultilevel"/>
    <w:tmpl w:val="150CF2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80A63"/>
    <w:multiLevelType w:val="hybridMultilevel"/>
    <w:tmpl w:val="49A0CEB0"/>
    <w:lvl w:ilvl="0" w:tplc="4E7A2D04">
      <w:start w:val="1"/>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C24713"/>
    <w:multiLevelType w:val="hybridMultilevel"/>
    <w:tmpl w:val="55F88596"/>
    <w:lvl w:ilvl="0" w:tplc="78F4A3A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5870C7"/>
    <w:multiLevelType w:val="hybridMultilevel"/>
    <w:tmpl w:val="9C3C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C9314E"/>
    <w:multiLevelType w:val="hybridMultilevel"/>
    <w:tmpl w:val="7398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226D93"/>
    <w:multiLevelType w:val="multilevel"/>
    <w:tmpl w:val="CE2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356F7"/>
    <w:multiLevelType w:val="hybridMultilevel"/>
    <w:tmpl w:val="0A62C9B4"/>
    <w:lvl w:ilvl="0" w:tplc="7DD6FC84">
      <w:start w:val="1"/>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10"/>
  </w:num>
  <w:num w:numId="7">
    <w:abstractNumId w:val="4"/>
  </w:num>
  <w:num w:numId="8">
    <w:abstractNumId w:val="5"/>
  </w:num>
  <w:num w:numId="9">
    <w:abstractNumId w:val="9"/>
  </w:num>
  <w:num w:numId="10">
    <w:abstractNumId w:val="7"/>
  </w:num>
  <w:num w:numId="11">
    <w:abstractNumId w:val="1"/>
  </w:num>
  <w:num w:numId="12">
    <w:abstractNumId w:val="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35C92"/>
    <w:rsid w:val="00002FAC"/>
    <w:rsid w:val="00007246"/>
    <w:rsid w:val="00013F6D"/>
    <w:rsid w:val="0001416E"/>
    <w:rsid w:val="0001418E"/>
    <w:rsid w:val="00017C27"/>
    <w:rsid w:val="000221BC"/>
    <w:rsid w:val="0002458A"/>
    <w:rsid w:val="0002534E"/>
    <w:rsid w:val="00025416"/>
    <w:rsid w:val="00026681"/>
    <w:rsid w:val="00072B22"/>
    <w:rsid w:val="00076889"/>
    <w:rsid w:val="00090F35"/>
    <w:rsid w:val="000A16AE"/>
    <w:rsid w:val="000A3551"/>
    <w:rsid w:val="000A365A"/>
    <w:rsid w:val="000A5010"/>
    <w:rsid w:val="000A7977"/>
    <w:rsid w:val="000B1D40"/>
    <w:rsid w:val="000E2A14"/>
    <w:rsid w:val="000E7D95"/>
    <w:rsid w:val="000F3A97"/>
    <w:rsid w:val="000F491A"/>
    <w:rsid w:val="000F5044"/>
    <w:rsid w:val="00115351"/>
    <w:rsid w:val="00132509"/>
    <w:rsid w:val="00134855"/>
    <w:rsid w:val="001454AC"/>
    <w:rsid w:val="00147C94"/>
    <w:rsid w:val="0015003D"/>
    <w:rsid w:val="00160B4B"/>
    <w:rsid w:val="00161658"/>
    <w:rsid w:val="00162ED6"/>
    <w:rsid w:val="0016415A"/>
    <w:rsid w:val="00165AB2"/>
    <w:rsid w:val="001661D3"/>
    <w:rsid w:val="00173D5D"/>
    <w:rsid w:val="001774A2"/>
    <w:rsid w:val="00187741"/>
    <w:rsid w:val="001924A9"/>
    <w:rsid w:val="00196C1D"/>
    <w:rsid w:val="001A034B"/>
    <w:rsid w:val="001B6E1B"/>
    <w:rsid w:val="001C0296"/>
    <w:rsid w:val="001C4140"/>
    <w:rsid w:val="001D4414"/>
    <w:rsid w:val="001F1C82"/>
    <w:rsid w:val="002017FD"/>
    <w:rsid w:val="00201D56"/>
    <w:rsid w:val="00201ED3"/>
    <w:rsid w:val="00225B3A"/>
    <w:rsid w:val="00235C92"/>
    <w:rsid w:val="00240AF1"/>
    <w:rsid w:val="002458FE"/>
    <w:rsid w:val="00284FED"/>
    <w:rsid w:val="002865F3"/>
    <w:rsid w:val="00296C52"/>
    <w:rsid w:val="002A52AB"/>
    <w:rsid w:val="002B5367"/>
    <w:rsid w:val="002C1956"/>
    <w:rsid w:val="002C1D06"/>
    <w:rsid w:val="002D4A0B"/>
    <w:rsid w:val="002E46D9"/>
    <w:rsid w:val="002F3E8A"/>
    <w:rsid w:val="002F4418"/>
    <w:rsid w:val="002F5549"/>
    <w:rsid w:val="002F6AC6"/>
    <w:rsid w:val="00303970"/>
    <w:rsid w:val="00312328"/>
    <w:rsid w:val="00316BCD"/>
    <w:rsid w:val="00320615"/>
    <w:rsid w:val="0032145B"/>
    <w:rsid w:val="003455CA"/>
    <w:rsid w:val="0035756C"/>
    <w:rsid w:val="00365245"/>
    <w:rsid w:val="003664AA"/>
    <w:rsid w:val="003727A3"/>
    <w:rsid w:val="003924ED"/>
    <w:rsid w:val="003967F1"/>
    <w:rsid w:val="003A107A"/>
    <w:rsid w:val="003A271F"/>
    <w:rsid w:val="003A3AD0"/>
    <w:rsid w:val="003A48B7"/>
    <w:rsid w:val="003A6357"/>
    <w:rsid w:val="003B39C5"/>
    <w:rsid w:val="003B44B9"/>
    <w:rsid w:val="003B7857"/>
    <w:rsid w:val="003C437E"/>
    <w:rsid w:val="003C4804"/>
    <w:rsid w:val="003D181C"/>
    <w:rsid w:val="003D30A8"/>
    <w:rsid w:val="003D5085"/>
    <w:rsid w:val="003E127E"/>
    <w:rsid w:val="003E3AFC"/>
    <w:rsid w:val="003F13AD"/>
    <w:rsid w:val="003F1DD4"/>
    <w:rsid w:val="003F3C3C"/>
    <w:rsid w:val="003F3FAD"/>
    <w:rsid w:val="003F5F74"/>
    <w:rsid w:val="0040487A"/>
    <w:rsid w:val="0041384B"/>
    <w:rsid w:val="00414495"/>
    <w:rsid w:val="00416757"/>
    <w:rsid w:val="004261D7"/>
    <w:rsid w:val="00427E59"/>
    <w:rsid w:val="004343CB"/>
    <w:rsid w:val="00435F4D"/>
    <w:rsid w:val="00440989"/>
    <w:rsid w:val="00444948"/>
    <w:rsid w:val="00455F34"/>
    <w:rsid w:val="00460621"/>
    <w:rsid w:val="004703F1"/>
    <w:rsid w:val="00470E17"/>
    <w:rsid w:val="004739CF"/>
    <w:rsid w:val="00484727"/>
    <w:rsid w:val="004A5CEC"/>
    <w:rsid w:val="004A64E6"/>
    <w:rsid w:val="004A6812"/>
    <w:rsid w:val="004B2BD1"/>
    <w:rsid w:val="004C0391"/>
    <w:rsid w:val="004E7531"/>
    <w:rsid w:val="004F6AC9"/>
    <w:rsid w:val="005008BC"/>
    <w:rsid w:val="00506D5A"/>
    <w:rsid w:val="00522581"/>
    <w:rsid w:val="005305BC"/>
    <w:rsid w:val="005364A9"/>
    <w:rsid w:val="00541F95"/>
    <w:rsid w:val="00543DE7"/>
    <w:rsid w:val="005447F9"/>
    <w:rsid w:val="005448BB"/>
    <w:rsid w:val="00547A1C"/>
    <w:rsid w:val="00547CC4"/>
    <w:rsid w:val="00583FED"/>
    <w:rsid w:val="005934D8"/>
    <w:rsid w:val="005970D7"/>
    <w:rsid w:val="005A2FB2"/>
    <w:rsid w:val="005A54C7"/>
    <w:rsid w:val="005A60DD"/>
    <w:rsid w:val="005B409C"/>
    <w:rsid w:val="005B640A"/>
    <w:rsid w:val="005C2D77"/>
    <w:rsid w:val="005C31EF"/>
    <w:rsid w:val="005C4954"/>
    <w:rsid w:val="005C7884"/>
    <w:rsid w:val="005E76FA"/>
    <w:rsid w:val="00607C1E"/>
    <w:rsid w:val="00607E74"/>
    <w:rsid w:val="00612916"/>
    <w:rsid w:val="00630D96"/>
    <w:rsid w:val="0063100E"/>
    <w:rsid w:val="0063457F"/>
    <w:rsid w:val="00636507"/>
    <w:rsid w:val="00642B51"/>
    <w:rsid w:val="0064489B"/>
    <w:rsid w:val="006469E4"/>
    <w:rsid w:val="00650E47"/>
    <w:rsid w:val="00653378"/>
    <w:rsid w:val="00653AD1"/>
    <w:rsid w:val="00654081"/>
    <w:rsid w:val="006622F4"/>
    <w:rsid w:val="0067616F"/>
    <w:rsid w:val="00687F13"/>
    <w:rsid w:val="00691366"/>
    <w:rsid w:val="006A04D4"/>
    <w:rsid w:val="006A328A"/>
    <w:rsid w:val="006A3EB3"/>
    <w:rsid w:val="006A4D2A"/>
    <w:rsid w:val="006A6DD6"/>
    <w:rsid w:val="006A7CB0"/>
    <w:rsid w:val="006B7A3E"/>
    <w:rsid w:val="006B7C4B"/>
    <w:rsid w:val="006C45B1"/>
    <w:rsid w:val="006D02DC"/>
    <w:rsid w:val="006D22A6"/>
    <w:rsid w:val="006E00F1"/>
    <w:rsid w:val="006E4A64"/>
    <w:rsid w:val="006E5DCE"/>
    <w:rsid w:val="006F5BF9"/>
    <w:rsid w:val="00700939"/>
    <w:rsid w:val="00702BF8"/>
    <w:rsid w:val="00710917"/>
    <w:rsid w:val="007152FC"/>
    <w:rsid w:val="00720393"/>
    <w:rsid w:val="00732A85"/>
    <w:rsid w:val="00734BD6"/>
    <w:rsid w:val="00741FF6"/>
    <w:rsid w:val="00742136"/>
    <w:rsid w:val="007438ED"/>
    <w:rsid w:val="00743EF2"/>
    <w:rsid w:val="00754D20"/>
    <w:rsid w:val="00757B21"/>
    <w:rsid w:val="0076433C"/>
    <w:rsid w:val="00767356"/>
    <w:rsid w:val="0077197F"/>
    <w:rsid w:val="00795AEE"/>
    <w:rsid w:val="007A1428"/>
    <w:rsid w:val="007D1717"/>
    <w:rsid w:val="007D62FB"/>
    <w:rsid w:val="007E3765"/>
    <w:rsid w:val="007F44C8"/>
    <w:rsid w:val="007F500D"/>
    <w:rsid w:val="00804B35"/>
    <w:rsid w:val="00822792"/>
    <w:rsid w:val="00825008"/>
    <w:rsid w:val="008276AB"/>
    <w:rsid w:val="00833215"/>
    <w:rsid w:val="00837C0F"/>
    <w:rsid w:val="00840E9D"/>
    <w:rsid w:val="00843C39"/>
    <w:rsid w:val="008502E1"/>
    <w:rsid w:val="008634F9"/>
    <w:rsid w:val="00864303"/>
    <w:rsid w:val="00880399"/>
    <w:rsid w:val="00880735"/>
    <w:rsid w:val="008808AD"/>
    <w:rsid w:val="0089139F"/>
    <w:rsid w:val="008954D3"/>
    <w:rsid w:val="008B3A66"/>
    <w:rsid w:val="008C27B6"/>
    <w:rsid w:val="008E3CDB"/>
    <w:rsid w:val="008E6ADC"/>
    <w:rsid w:val="008F1396"/>
    <w:rsid w:val="008F1555"/>
    <w:rsid w:val="008F5D96"/>
    <w:rsid w:val="00903D03"/>
    <w:rsid w:val="0091020B"/>
    <w:rsid w:val="009229D0"/>
    <w:rsid w:val="00925DD1"/>
    <w:rsid w:val="00930B99"/>
    <w:rsid w:val="00931558"/>
    <w:rsid w:val="00932881"/>
    <w:rsid w:val="00950349"/>
    <w:rsid w:val="0095068A"/>
    <w:rsid w:val="0095497C"/>
    <w:rsid w:val="009638CD"/>
    <w:rsid w:val="00970AD5"/>
    <w:rsid w:val="00976C16"/>
    <w:rsid w:val="00977003"/>
    <w:rsid w:val="009827F6"/>
    <w:rsid w:val="00984DC1"/>
    <w:rsid w:val="009A1913"/>
    <w:rsid w:val="009A49D2"/>
    <w:rsid w:val="009B3C5B"/>
    <w:rsid w:val="009B55BA"/>
    <w:rsid w:val="009B6B44"/>
    <w:rsid w:val="009C1DA2"/>
    <w:rsid w:val="009C7C41"/>
    <w:rsid w:val="00A00641"/>
    <w:rsid w:val="00A01F14"/>
    <w:rsid w:val="00A23FCD"/>
    <w:rsid w:val="00A445F7"/>
    <w:rsid w:val="00A447CC"/>
    <w:rsid w:val="00A506C0"/>
    <w:rsid w:val="00A54F92"/>
    <w:rsid w:val="00A573EA"/>
    <w:rsid w:val="00A64D59"/>
    <w:rsid w:val="00A6500E"/>
    <w:rsid w:val="00A65CFB"/>
    <w:rsid w:val="00A83421"/>
    <w:rsid w:val="00A86070"/>
    <w:rsid w:val="00AA2DC8"/>
    <w:rsid w:val="00AB18BA"/>
    <w:rsid w:val="00AB7427"/>
    <w:rsid w:val="00AD7973"/>
    <w:rsid w:val="00B44822"/>
    <w:rsid w:val="00B50B0C"/>
    <w:rsid w:val="00B67565"/>
    <w:rsid w:val="00B73E19"/>
    <w:rsid w:val="00B74862"/>
    <w:rsid w:val="00B7704C"/>
    <w:rsid w:val="00B82529"/>
    <w:rsid w:val="00B82F7D"/>
    <w:rsid w:val="00B91FC4"/>
    <w:rsid w:val="00BA4668"/>
    <w:rsid w:val="00BB3E76"/>
    <w:rsid w:val="00BB6C0D"/>
    <w:rsid w:val="00BC296F"/>
    <w:rsid w:val="00BC4C4E"/>
    <w:rsid w:val="00BD0D7F"/>
    <w:rsid w:val="00BD1D93"/>
    <w:rsid w:val="00BD50CA"/>
    <w:rsid w:val="00BF02EF"/>
    <w:rsid w:val="00BF04CD"/>
    <w:rsid w:val="00BF2E85"/>
    <w:rsid w:val="00BF48B0"/>
    <w:rsid w:val="00C00034"/>
    <w:rsid w:val="00C05631"/>
    <w:rsid w:val="00C26760"/>
    <w:rsid w:val="00C27254"/>
    <w:rsid w:val="00C272E8"/>
    <w:rsid w:val="00C3360E"/>
    <w:rsid w:val="00C3625A"/>
    <w:rsid w:val="00C40143"/>
    <w:rsid w:val="00C50329"/>
    <w:rsid w:val="00C61F31"/>
    <w:rsid w:val="00C71AE9"/>
    <w:rsid w:val="00C724D6"/>
    <w:rsid w:val="00C755F9"/>
    <w:rsid w:val="00CA00AA"/>
    <w:rsid w:val="00CA3C17"/>
    <w:rsid w:val="00CB1FD2"/>
    <w:rsid w:val="00CB4603"/>
    <w:rsid w:val="00CB470B"/>
    <w:rsid w:val="00CB5FDF"/>
    <w:rsid w:val="00CB7070"/>
    <w:rsid w:val="00CC13C3"/>
    <w:rsid w:val="00CC1938"/>
    <w:rsid w:val="00CC2946"/>
    <w:rsid w:val="00CC3424"/>
    <w:rsid w:val="00CC4A05"/>
    <w:rsid w:val="00CC4FF3"/>
    <w:rsid w:val="00CC58E9"/>
    <w:rsid w:val="00CD521B"/>
    <w:rsid w:val="00CE60EF"/>
    <w:rsid w:val="00CF66EF"/>
    <w:rsid w:val="00D01925"/>
    <w:rsid w:val="00D034D8"/>
    <w:rsid w:val="00D171D0"/>
    <w:rsid w:val="00D239A4"/>
    <w:rsid w:val="00D24FD5"/>
    <w:rsid w:val="00D4345B"/>
    <w:rsid w:val="00D4598C"/>
    <w:rsid w:val="00D46B11"/>
    <w:rsid w:val="00D526D5"/>
    <w:rsid w:val="00D56A1D"/>
    <w:rsid w:val="00D65D59"/>
    <w:rsid w:val="00D65E8E"/>
    <w:rsid w:val="00D71DC4"/>
    <w:rsid w:val="00D7312B"/>
    <w:rsid w:val="00D86324"/>
    <w:rsid w:val="00D94362"/>
    <w:rsid w:val="00DA2279"/>
    <w:rsid w:val="00DB75AD"/>
    <w:rsid w:val="00DE3090"/>
    <w:rsid w:val="00DE7DFF"/>
    <w:rsid w:val="00E103A1"/>
    <w:rsid w:val="00E15DA0"/>
    <w:rsid w:val="00E21E18"/>
    <w:rsid w:val="00E23ECD"/>
    <w:rsid w:val="00E2564B"/>
    <w:rsid w:val="00E30BFC"/>
    <w:rsid w:val="00E358E1"/>
    <w:rsid w:val="00E36699"/>
    <w:rsid w:val="00E4255C"/>
    <w:rsid w:val="00E62F94"/>
    <w:rsid w:val="00E72147"/>
    <w:rsid w:val="00E8154B"/>
    <w:rsid w:val="00E831B0"/>
    <w:rsid w:val="00E83487"/>
    <w:rsid w:val="00E83986"/>
    <w:rsid w:val="00EB7C86"/>
    <w:rsid w:val="00EC0B62"/>
    <w:rsid w:val="00EF75BD"/>
    <w:rsid w:val="00F02E68"/>
    <w:rsid w:val="00F03ABE"/>
    <w:rsid w:val="00F23BBC"/>
    <w:rsid w:val="00F31CDD"/>
    <w:rsid w:val="00F35718"/>
    <w:rsid w:val="00F36AB1"/>
    <w:rsid w:val="00F37069"/>
    <w:rsid w:val="00F407FA"/>
    <w:rsid w:val="00F45F34"/>
    <w:rsid w:val="00F678FE"/>
    <w:rsid w:val="00F740B9"/>
    <w:rsid w:val="00F81B97"/>
    <w:rsid w:val="00F86006"/>
    <w:rsid w:val="00F97E92"/>
    <w:rsid w:val="00FA78C3"/>
    <w:rsid w:val="00FA7AE6"/>
    <w:rsid w:val="00FB6903"/>
    <w:rsid w:val="00FB73EC"/>
    <w:rsid w:val="00FC00B6"/>
    <w:rsid w:val="00FC0499"/>
    <w:rsid w:val="00FC24F4"/>
    <w:rsid w:val="00FC381B"/>
    <w:rsid w:val="00FD25E9"/>
    <w:rsid w:val="00FD3C28"/>
    <w:rsid w:val="00FE1303"/>
    <w:rsid w:val="00FE1605"/>
    <w:rsid w:val="00FE49EC"/>
    <w:rsid w:val="00FF5A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paragraph" w:styleId="Heading2">
    <w:name w:val="heading 2"/>
    <w:basedOn w:val="Normal"/>
    <w:next w:val="Normal"/>
    <w:link w:val="Heading2Char"/>
    <w:uiPriority w:val="9"/>
    <w:unhideWhenUsed/>
    <w:qFormat/>
    <w:rsid w:val="004703F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C92"/>
    <w:pPr>
      <w:tabs>
        <w:tab w:val="center" w:pos="4513"/>
        <w:tab w:val="right" w:pos="9026"/>
      </w:tabs>
    </w:pPr>
  </w:style>
  <w:style w:type="character" w:customStyle="1" w:styleId="HeaderChar">
    <w:name w:val="Header Char"/>
    <w:basedOn w:val="DefaultParagraphFont"/>
    <w:link w:val="Header"/>
    <w:uiPriority w:val="99"/>
    <w:semiHidden/>
    <w:rsid w:val="00235C92"/>
  </w:style>
  <w:style w:type="paragraph" w:styleId="Footer">
    <w:name w:val="footer"/>
    <w:basedOn w:val="Normal"/>
    <w:link w:val="FooterChar"/>
    <w:uiPriority w:val="99"/>
    <w:semiHidden/>
    <w:unhideWhenUsed/>
    <w:rsid w:val="00235C92"/>
    <w:pPr>
      <w:tabs>
        <w:tab w:val="center" w:pos="4513"/>
        <w:tab w:val="right" w:pos="9026"/>
      </w:tabs>
    </w:pPr>
  </w:style>
  <w:style w:type="character" w:customStyle="1" w:styleId="FooterChar">
    <w:name w:val="Footer Char"/>
    <w:basedOn w:val="DefaultParagraphFont"/>
    <w:link w:val="Footer"/>
    <w:uiPriority w:val="99"/>
    <w:semiHidden/>
    <w:rsid w:val="00235C92"/>
  </w:style>
  <w:style w:type="paragraph" w:styleId="ListParagraph">
    <w:name w:val="List Paragraph"/>
    <w:basedOn w:val="Normal"/>
    <w:uiPriority w:val="34"/>
    <w:qFormat/>
    <w:rsid w:val="00EF75BD"/>
    <w:pPr>
      <w:ind w:left="720"/>
      <w:contextualSpacing/>
    </w:pPr>
  </w:style>
  <w:style w:type="table" w:styleId="TableGrid">
    <w:name w:val="Table Grid"/>
    <w:basedOn w:val="TableNormal"/>
    <w:uiPriority w:val="59"/>
    <w:rsid w:val="00EF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03F1"/>
    <w:rPr>
      <w:rFonts w:ascii="Cambria" w:eastAsia="Times New Roman" w:hAnsi="Cambria" w:cs="Times New Roman"/>
      <w:b/>
      <w:bCs/>
      <w:i/>
      <w:iCs/>
      <w:sz w:val="28"/>
      <w:szCs w:val="28"/>
    </w:rPr>
  </w:style>
  <w:style w:type="paragraph" w:customStyle="1" w:styleId="Default">
    <w:name w:val="Default"/>
    <w:rsid w:val="004703F1"/>
    <w:pPr>
      <w:autoSpaceDE w:val="0"/>
      <w:autoSpaceDN w:val="0"/>
      <w:adjustRightInd w:val="0"/>
    </w:pPr>
    <w:rPr>
      <w:rFonts w:ascii="Calibri" w:eastAsia="Calibri" w:hAnsi="Calibri" w:cs="Calibri"/>
      <w:color w:val="000000"/>
      <w:lang w:eastAsia="en-GB"/>
    </w:rPr>
  </w:style>
  <w:style w:type="paragraph" w:styleId="NormalWeb">
    <w:name w:val="Normal (Web)"/>
    <w:basedOn w:val="Normal"/>
    <w:uiPriority w:val="99"/>
    <w:semiHidden/>
    <w:unhideWhenUsed/>
    <w:rsid w:val="00BF48B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D0D7F"/>
    <w:rPr>
      <w:rFonts w:ascii="Tahoma" w:hAnsi="Tahoma" w:cs="Tahoma"/>
      <w:sz w:val="16"/>
      <w:szCs w:val="16"/>
    </w:rPr>
  </w:style>
  <w:style w:type="character" w:customStyle="1" w:styleId="BalloonTextChar">
    <w:name w:val="Balloon Text Char"/>
    <w:basedOn w:val="DefaultParagraphFont"/>
    <w:link w:val="BalloonText"/>
    <w:uiPriority w:val="99"/>
    <w:semiHidden/>
    <w:rsid w:val="00BD0D7F"/>
    <w:rPr>
      <w:rFonts w:ascii="Tahoma" w:hAnsi="Tahoma" w:cs="Tahoma"/>
      <w:sz w:val="16"/>
      <w:szCs w:val="16"/>
    </w:rPr>
  </w:style>
  <w:style w:type="character" w:styleId="CommentReference">
    <w:name w:val="annotation reference"/>
    <w:basedOn w:val="DefaultParagraphFont"/>
    <w:uiPriority w:val="99"/>
    <w:semiHidden/>
    <w:unhideWhenUsed/>
    <w:rsid w:val="00BD0D7F"/>
    <w:rPr>
      <w:sz w:val="16"/>
      <w:szCs w:val="16"/>
    </w:rPr>
  </w:style>
  <w:style w:type="paragraph" w:styleId="CommentText">
    <w:name w:val="annotation text"/>
    <w:basedOn w:val="Normal"/>
    <w:link w:val="CommentTextChar"/>
    <w:uiPriority w:val="99"/>
    <w:semiHidden/>
    <w:unhideWhenUsed/>
    <w:rsid w:val="00BD0D7F"/>
    <w:rPr>
      <w:sz w:val="20"/>
      <w:szCs w:val="20"/>
    </w:rPr>
  </w:style>
  <w:style w:type="character" w:customStyle="1" w:styleId="CommentTextChar">
    <w:name w:val="Comment Text Char"/>
    <w:basedOn w:val="DefaultParagraphFont"/>
    <w:link w:val="CommentText"/>
    <w:uiPriority w:val="99"/>
    <w:semiHidden/>
    <w:rsid w:val="00BD0D7F"/>
    <w:rPr>
      <w:sz w:val="20"/>
      <w:szCs w:val="20"/>
    </w:rPr>
  </w:style>
  <w:style w:type="paragraph" w:styleId="CommentSubject">
    <w:name w:val="annotation subject"/>
    <w:basedOn w:val="CommentText"/>
    <w:next w:val="CommentText"/>
    <w:link w:val="CommentSubjectChar"/>
    <w:uiPriority w:val="99"/>
    <w:semiHidden/>
    <w:unhideWhenUsed/>
    <w:rsid w:val="00BD0D7F"/>
    <w:rPr>
      <w:b/>
      <w:bCs/>
    </w:rPr>
  </w:style>
  <w:style w:type="character" w:customStyle="1" w:styleId="CommentSubjectChar">
    <w:name w:val="Comment Subject Char"/>
    <w:basedOn w:val="CommentTextChar"/>
    <w:link w:val="CommentSubject"/>
    <w:uiPriority w:val="99"/>
    <w:semiHidden/>
    <w:rsid w:val="00BD0D7F"/>
    <w:rPr>
      <w:b/>
      <w:bCs/>
    </w:rPr>
  </w:style>
</w:styles>
</file>

<file path=word/webSettings.xml><?xml version="1.0" encoding="utf-8"?>
<w:webSettings xmlns:r="http://schemas.openxmlformats.org/officeDocument/2006/relationships" xmlns:w="http://schemas.openxmlformats.org/wordprocessingml/2006/main">
  <w:divs>
    <w:div w:id="15619687">
      <w:bodyDiv w:val="1"/>
      <w:marLeft w:val="0"/>
      <w:marRight w:val="0"/>
      <w:marTop w:val="0"/>
      <w:marBottom w:val="0"/>
      <w:divBdr>
        <w:top w:val="none" w:sz="0" w:space="0" w:color="auto"/>
        <w:left w:val="none" w:sz="0" w:space="0" w:color="auto"/>
        <w:bottom w:val="none" w:sz="0" w:space="0" w:color="auto"/>
        <w:right w:val="none" w:sz="0" w:space="0" w:color="auto"/>
      </w:divBdr>
    </w:div>
    <w:div w:id="17854038">
      <w:bodyDiv w:val="1"/>
      <w:marLeft w:val="0"/>
      <w:marRight w:val="0"/>
      <w:marTop w:val="0"/>
      <w:marBottom w:val="0"/>
      <w:divBdr>
        <w:top w:val="none" w:sz="0" w:space="0" w:color="auto"/>
        <w:left w:val="none" w:sz="0" w:space="0" w:color="auto"/>
        <w:bottom w:val="none" w:sz="0" w:space="0" w:color="auto"/>
        <w:right w:val="none" w:sz="0" w:space="0" w:color="auto"/>
      </w:divBdr>
    </w:div>
    <w:div w:id="58402634">
      <w:bodyDiv w:val="1"/>
      <w:marLeft w:val="0"/>
      <w:marRight w:val="0"/>
      <w:marTop w:val="0"/>
      <w:marBottom w:val="0"/>
      <w:divBdr>
        <w:top w:val="none" w:sz="0" w:space="0" w:color="auto"/>
        <w:left w:val="none" w:sz="0" w:space="0" w:color="auto"/>
        <w:bottom w:val="none" w:sz="0" w:space="0" w:color="auto"/>
        <w:right w:val="none" w:sz="0" w:space="0" w:color="auto"/>
      </w:divBdr>
    </w:div>
    <w:div w:id="127864408">
      <w:bodyDiv w:val="1"/>
      <w:marLeft w:val="0"/>
      <w:marRight w:val="0"/>
      <w:marTop w:val="0"/>
      <w:marBottom w:val="0"/>
      <w:divBdr>
        <w:top w:val="none" w:sz="0" w:space="0" w:color="auto"/>
        <w:left w:val="none" w:sz="0" w:space="0" w:color="auto"/>
        <w:bottom w:val="none" w:sz="0" w:space="0" w:color="auto"/>
        <w:right w:val="none" w:sz="0" w:space="0" w:color="auto"/>
      </w:divBdr>
    </w:div>
    <w:div w:id="201477686">
      <w:bodyDiv w:val="1"/>
      <w:marLeft w:val="0"/>
      <w:marRight w:val="0"/>
      <w:marTop w:val="0"/>
      <w:marBottom w:val="0"/>
      <w:divBdr>
        <w:top w:val="none" w:sz="0" w:space="0" w:color="auto"/>
        <w:left w:val="none" w:sz="0" w:space="0" w:color="auto"/>
        <w:bottom w:val="none" w:sz="0" w:space="0" w:color="auto"/>
        <w:right w:val="none" w:sz="0" w:space="0" w:color="auto"/>
      </w:divBdr>
    </w:div>
    <w:div w:id="211814533">
      <w:bodyDiv w:val="1"/>
      <w:marLeft w:val="0"/>
      <w:marRight w:val="0"/>
      <w:marTop w:val="0"/>
      <w:marBottom w:val="0"/>
      <w:divBdr>
        <w:top w:val="none" w:sz="0" w:space="0" w:color="auto"/>
        <w:left w:val="none" w:sz="0" w:space="0" w:color="auto"/>
        <w:bottom w:val="none" w:sz="0" w:space="0" w:color="auto"/>
        <w:right w:val="none" w:sz="0" w:space="0" w:color="auto"/>
      </w:divBdr>
    </w:div>
    <w:div w:id="218908239">
      <w:bodyDiv w:val="1"/>
      <w:marLeft w:val="0"/>
      <w:marRight w:val="0"/>
      <w:marTop w:val="0"/>
      <w:marBottom w:val="0"/>
      <w:divBdr>
        <w:top w:val="none" w:sz="0" w:space="0" w:color="auto"/>
        <w:left w:val="none" w:sz="0" w:space="0" w:color="auto"/>
        <w:bottom w:val="none" w:sz="0" w:space="0" w:color="auto"/>
        <w:right w:val="none" w:sz="0" w:space="0" w:color="auto"/>
      </w:divBdr>
    </w:div>
    <w:div w:id="279339619">
      <w:bodyDiv w:val="1"/>
      <w:marLeft w:val="0"/>
      <w:marRight w:val="0"/>
      <w:marTop w:val="0"/>
      <w:marBottom w:val="0"/>
      <w:divBdr>
        <w:top w:val="none" w:sz="0" w:space="0" w:color="auto"/>
        <w:left w:val="none" w:sz="0" w:space="0" w:color="auto"/>
        <w:bottom w:val="none" w:sz="0" w:space="0" w:color="auto"/>
        <w:right w:val="none" w:sz="0" w:space="0" w:color="auto"/>
      </w:divBdr>
    </w:div>
    <w:div w:id="283771682">
      <w:bodyDiv w:val="1"/>
      <w:marLeft w:val="0"/>
      <w:marRight w:val="0"/>
      <w:marTop w:val="0"/>
      <w:marBottom w:val="0"/>
      <w:divBdr>
        <w:top w:val="none" w:sz="0" w:space="0" w:color="auto"/>
        <w:left w:val="none" w:sz="0" w:space="0" w:color="auto"/>
        <w:bottom w:val="none" w:sz="0" w:space="0" w:color="auto"/>
        <w:right w:val="none" w:sz="0" w:space="0" w:color="auto"/>
      </w:divBdr>
    </w:div>
    <w:div w:id="317349035">
      <w:bodyDiv w:val="1"/>
      <w:marLeft w:val="0"/>
      <w:marRight w:val="0"/>
      <w:marTop w:val="0"/>
      <w:marBottom w:val="0"/>
      <w:divBdr>
        <w:top w:val="none" w:sz="0" w:space="0" w:color="auto"/>
        <w:left w:val="none" w:sz="0" w:space="0" w:color="auto"/>
        <w:bottom w:val="none" w:sz="0" w:space="0" w:color="auto"/>
        <w:right w:val="none" w:sz="0" w:space="0" w:color="auto"/>
      </w:divBdr>
    </w:div>
    <w:div w:id="386223573">
      <w:bodyDiv w:val="1"/>
      <w:marLeft w:val="0"/>
      <w:marRight w:val="0"/>
      <w:marTop w:val="0"/>
      <w:marBottom w:val="0"/>
      <w:divBdr>
        <w:top w:val="none" w:sz="0" w:space="0" w:color="auto"/>
        <w:left w:val="none" w:sz="0" w:space="0" w:color="auto"/>
        <w:bottom w:val="none" w:sz="0" w:space="0" w:color="auto"/>
        <w:right w:val="none" w:sz="0" w:space="0" w:color="auto"/>
      </w:divBdr>
    </w:div>
    <w:div w:id="419527632">
      <w:bodyDiv w:val="1"/>
      <w:marLeft w:val="0"/>
      <w:marRight w:val="0"/>
      <w:marTop w:val="0"/>
      <w:marBottom w:val="0"/>
      <w:divBdr>
        <w:top w:val="none" w:sz="0" w:space="0" w:color="auto"/>
        <w:left w:val="none" w:sz="0" w:space="0" w:color="auto"/>
        <w:bottom w:val="none" w:sz="0" w:space="0" w:color="auto"/>
        <w:right w:val="none" w:sz="0" w:space="0" w:color="auto"/>
      </w:divBdr>
    </w:div>
    <w:div w:id="420565681">
      <w:bodyDiv w:val="1"/>
      <w:marLeft w:val="0"/>
      <w:marRight w:val="0"/>
      <w:marTop w:val="0"/>
      <w:marBottom w:val="0"/>
      <w:divBdr>
        <w:top w:val="none" w:sz="0" w:space="0" w:color="auto"/>
        <w:left w:val="none" w:sz="0" w:space="0" w:color="auto"/>
        <w:bottom w:val="none" w:sz="0" w:space="0" w:color="auto"/>
        <w:right w:val="none" w:sz="0" w:space="0" w:color="auto"/>
      </w:divBdr>
      <w:divsChild>
        <w:div w:id="144779364">
          <w:marLeft w:val="0"/>
          <w:marRight w:val="0"/>
          <w:marTop w:val="0"/>
          <w:marBottom w:val="0"/>
          <w:divBdr>
            <w:top w:val="none" w:sz="0" w:space="0" w:color="auto"/>
            <w:left w:val="none" w:sz="0" w:space="0" w:color="auto"/>
            <w:bottom w:val="none" w:sz="0" w:space="0" w:color="auto"/>
            <w:right w:val="none" w:sz="0" w:space="0" w:color="auto"/>
          </w:divBdr>
          <w:divsChild>
            <w:div w:id="781074984">
              <w:marLeft w:val="0"/>
              <w:marRight w:val="0"/>
              <w:marTop w:val="0"/>
              <w:marBottom w:val="0"/>
              <w:divBdr>
                <w:top w:val="none" w:sz="0" w:space="0" w:color="auto"/>
                <w:left w:val="none" w:sz="0" w:space="0" w:color="auto"/>
                <w:bottom w:val="none" w:sz="0" w:space="0" w:color="auto"/>
                <w:right w:val="none" w:sz="0" w:space="0" w:color="auto"/>
              </w:divBdr>
              <w:divsChild>
                <w:div w:id="2012026743">
                  <w:marLeft w:val="0"/>
                  <w:marRight w:val="0"/>
                  <w:marTop w:val="0"/>
                  <w:marBottom w:val="0"/>
                  <w:divBdr>
                    <w:top w:val="none" w:sz="0" w:space="0" w:color="auto"/>
                    <w:left w:val="none" w:sz="0" w:space="0" w:color="auto"/>
                    <w:bottom w:val="none" w:sz="0" w:space="0" w:color="auto"/>
                    <w:right w:val="none" w:sz="0" w:space="0" w:color="auto"/>
                  </w:divBdr>
                  <w:divsChild>
                    <w:div w:id="1535187659">
                      <w:marLeft w:val="0"/>
                      <w:marRight w:val="0"/>
                      <w:marTop w:val="0"/>
                      <w:marBottom w:val="0"/>
                      <w:divBdr>
                        <w:top w:val="none" w:sz="0" w:space="0" w:color="auto"/>
                        <w:left w:val="none" w:sz="0" w:space="0" w:color="auto"/>
                        <w:bottom w:val="none" w:sz="0" w:space="0" w:color="auto"/>
                        <w:right w:val="none" w:sz="0" w:space="0" w:color="auto"/>
                      </w:divBdr>
                      <w:divsChild>
                        <w:div w:id="1987588956">
                          <w:marLeft w:val="0"/>
                          <w:marRight w:val="0"/>
                          <w:marTop w:val="0"/>
                          <w:marBottom w:val="0"/>
                          <w:divBdr>
                            <w:top w:val="none" w:sz="0" w:space="0" w:color="auto"/>
                            <w:left w:val="none" w:sz="0" w:space="0" w:color="auto"/>
                            <w:bottom w:val="none" w:sz="0" w:space="0" w:color="auto"/>
                            <w:right w:val="none" w:sz="0" w:space="0" w:color="auto"/>
                          </w:divBdr>
                          <w:divsChild>
                            <w:div w:id="897587875">
                              <w:marLeft w:val="0"/>
                              <w:marRight w:val="0"/>
                              <w:marTop w:val="0"/>
                              <w:marBottom w:val="0"/>
                              <w:divBdr>
                                <w:top w:val="none" w:sz="0" w:space="0" w:color="auto"/>
                                <w:left w:val="none" w:sz="0" w:space="0" w:color="auto"/>
                                <w:bottom w:val="none" w:sz="0" w:space="0" w:color="auto"/>
                                <w:right w:val="none" w:sz="0" w:space="0" w:color="auto"/>
                              </w:divBdr>
                              <w:divsChild>
                                <w:div w:id="230653672">
                                  <w:marLeft w:val="0"/>
                                  <w:marRight w:val="0"/>
                                  <w:marTop w:val="0"/>
                                  <w:marBottom w:val="0"/>
                                  <w:divBdr>
                                    <w:top w:val="none" w:sz="0" w:space="0" w:color="auto"/>
                                    <w:left w:val="none" w:sz="0" w:space="0" w:color="auto"/>
                                    <w:bottom w:val="none" w:sz="0" w:space="0" w:color="auto"/>
                                    <w:right w:val="none" w:sz="0" w:space="0" w:color="auto"/>
                                  </w:divBdr>
                                  <w:divsChild>
                                    <w:div w:id="7634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594554">
      <w:bodyDiv w:val="1"/>
      <w:marLeft w:val="0"/>
      <w:marRight w:val="0"/>
      <w:marTop w:val="0"/>
      <w:marBottom w:val="0"/>
      <w:divBdr>
        <w:top w:val="none" w:sz="0" w:space="0" w:color="auto"/>
        <w:left w:val="none" w:sz="0" w:space="0" w:color="auto"/>
        <w:bottom w:val="none" w:sz="0" w:space="0" w:color="auto"/>
        <w:right w:val="none" w:sz="0" w:space="0" w:color="auto"/>
      </w:divBdr>
    </w:div>
    <w:div w:id="576403725">
      <w:bodyDiv w:val="1"/>
      <w:marLeft w:val="0"/>
      <w:marRight w:val="0"/>
      <w:marTop w:val="0"/>
      <w:marBottom w:val="0"/>
      <w:divBdr>
        <w:top w:val="none" w:sz="0" w:space="0" w:color="auto"/>
        <w:left w:val="none" w:sz="0" w:space="0" w:color="auto"/>
        <w:bottom w:val="none" w:sz="0" w:space="0" w:color="auto"/>
        <w:right w:val="none" w:sz="0" w:space="0" w:color="auto"/>
      </w:divBdr>
    </w:div>
    <w:div w:id="579946560">
      <w:bodyDiv w:val="1"/>
      <w:marLeft w:val="0"/>
      <w:marRight w:val="0"/>
      <w:marTop w:val="0"/>
      <w:marBottom w:val="0"/>
      <w:divBdr>
        <w:top w:val="none" w:sz="0" w:space="0" w:color="auto"/>
        <w:left w:val="none" w:sz="0" w:space="0" w:color="auto"/>
        <w:bottom w:val="none" w:sz="0" w:space="0" w:color="auto"/>
        <w:right w:val="none" w:sz="0" w:space="0" w:color="auto"/>
      </w:divBdr>
    </w:div>
    <w:div w:id="623148520">
      <w:bodyDiv w:val="1"/>
      <w:marLeft w:val="0"/>
      <w:marRight w:val="0"/>
      <w:marTop w:val="0"/>
      <w:marBottom w:val="0"/>
      <w:divBdr>
        <w:top w:val="none" w:sz="0" w:space="0" w:color="auto"/>
        <w:left w:val="none" w:sz="0" w:space="0" w:color="auto"/>
        <w:bottom w:val="none" w:sz="0" w:space="0" w:color="auto"/>
        <w:right w:val="none" w:sz="0" w:space="0" w:color="auto"/>
      </w:divBdr>
    </w:div>
    <w:div w:id="731926243">
      <w:bodyDiv w:val="1"/>
      <w:marLeft w:val="0"/>
      <w:marRight w:val="0"/>
      <w:marTop w:val="0"/>
      <w:marBottom w:val="0"/>
      <w:divBdr>
        <w:top w:val="none" w:sz="0" w:space="0" w:color="auto"/>
        <w:left w:val="none" w:sz="0" w:space="0" w:color="auto"/>
        <w:bottom w:val="none" w:sz="0" w:space="0" w:color="auto"/>
        <w:right w:val="none" w:sz="0" w:space="0" w:color="auto"/>
      </w:divBdr>
    </w:div>
    <w:div w:id="738359150">
      <w:bodyDiv w:val="1"/>
      <w:marLeft w:val="0"/>
      <w:marRight w:val="0"/>
      <w:marTop w:val="0"/>
      <w:marBottom w:val="0"/>
      <w:divBdr>
        <w:top w:val="none" w:sz="0" w:space="0" w:color="auto"/>
        <w:left w:val="none" w:sz="0" w:space="0" w:color="auto"/>
        <w:bottom w:val="none" w:sz="0" w:space="0" w:color="auto"/>
        <w:right w:val="none" w:sz="0" w:space="0" w:color="auto"/>
      </w:divBdr>
    </w:div>
    <w:div w:id="742223246">
      <w:bodyDiv w:val="1"/>
      <w:marLeft w:val="0"/>
      <w:marRight w:val="0"/>
      <w:marTop w:val="0"/>
      <w:marBottom w:val="0"/>
      <w:divBdr>
        <w:top w:val="none" w:sz="0" w:space="0" w:color="auto"/>
        <w:left w:val="none" w:sz="0" w:space="0" w:color="auto"/>
        <w:bottom w:val="none" w:sz="0" w:space="0" w:color="auto"/>
        <w:right w:val="none" w:sz="0" w:space="0" w:color="auto"/>
      </w:divBdr>
    </w:div>
    <w:div w:id="892041953">
      <w:bodyDiv w:val="1"/>
      <w:marLeft w:val="0"/>
      <w:marRight w:val="0"/>
      <w:marTop w:val="0"/>
      <w:marBottom w:val="0"/>
      <w:divBdr>
        <w:top w:val="none" w:sz="0" w:space="0" w:color="auto"/>
        <w:left w:val="none" w:sz="0" w:space="0" w:color="auto"/>
        <w:bottom w:val="none" w:sz="0" w:space="0" w:color="auto"/>
        <w:right w:val="none" w:sz="0" w:space="0" w:color="auto"/>
      </w:divBdr>
    </w:div>
    <w:div w:id="948780394">
      <w:bodyDiv w:val="1"/>
      <w:marLeft w:val="0"/>
      <w:marRight w:val="0"/>
      <w:marTop w:val="0"/>
      <w:marBottom w:val="0"/>
      <w:divBdr>
        <w:top w:val="none" w:sz="0" w:space="0" w:color="auto"/>
        <w:left w:val="none" w:sz="0" w:space="0" w:color="auto"/>
        <w:bottom w:val="none" w:sz="0" w:space="0" w:color="auto"/>
        <w:right w:val="none" w:sz="0" w:space="0" w:color="auto"/>
      </w:divBdr>
    </w:div>
    <w:div w:id="964459978">
      <w:bodyDiv w:val="1"/>
      <w:marLeft w:val="0"/>
      <w:marRight w:val="0"/>
      <w:marTop w:val="0"/>
      <w:marBottom w:val="0"/>
      <w:divBdr>
        <w:top w:val="none" w:sz="0" w:space="0" w:color="auto"/>
        <w:left w:val="none" w:sz="0" w:space="0" w:color="auto"/>
        <w:bottom w:val="none" w:sz="0" w:space="0" w:color="auto"/>
        <w:right w:val="none" w:sz="0" w:space="0" w:color="auto"/>
      </w:divBdr>
    </w:div>
    <w:div w:id="986277097">
      <w:bodyDiv w:val="1"/>
      <w:marLeft w:val="0"/>
      <w:marRight w:val="0"/>
      <w:marTop w:val="0"/>
      <w:marBottom w:val="0"/>
      <w:divBdr>
        <w:top w:val="none" w:sz="0" w:space="0" w:color="auto"/>
        <w:left w:val="none" w:sz="0" w:space="0" w:color="auto"/>
        <w:bottom w:val="none" w:sz="0" w:space="0" w:color="auto"/>
        <w:right w:val="none" w:sz="0" w:space="0" w:color="auto"/>
      </w:divBdr>
    </w:div>
    <w:div w:id="1043943851">
      <w:bodyDiv w:val="1"/>
      <w:marLeft w:val="0"/>
      <w:marRight w:val="0"/>
      <w:marTop w:val="0"/>
      <w:marBottom w:val="0"/>
      <w:divBdr>
        <w:top w:val="none" w:sz="0" w:space="0" w:color="auto"/>
        <w:left w:val="none" w:sz="0" w:space="0" w:color="auto"/>
        <w:bottom w:val="none" w:sz="0" w:space="0" w:color="auto"/>
        <w:right w:val="none" w:sz="0" w:space="0" w:color="auto"/>
      </w:divBdr>
    </w:div>
    <w:div w:id="1051225431">
      <w:bodyDiv w:val="1"/>
      <w:marLeft w:val="0"/>
      <w:marRight w:val="0"/>
      <w:marTop w:val="0"/>
      <w:marBottom w:val="0"/>
      <w:divBdr>
        <w:top w:val="none" w:sz="0" w:space="0" w:color="auto"/>
        <w:left w:val="none" w:sz="0" w:space="0" w:color="auto"/>
        <w:bottom w:val="none" w:sz="0" w:space="0" w:color="auto"/>
        <w:right w:val="none" w:sz="0" w:space="0" w:color="auto"/>
      </w:divBdr>
    </w:div>
    <w:div w:id="1063599131">
      <w:bodyDiv w:val="1"/>
      <w:marLeft w:val="0"/>
      <w:marRight w:val="0"/>
      <w:marTop w:val="0"/>
      <w:marBottom w:val="0"/>
      <w:divBdr>
        <w:top w:val="none" w:sz="0" w:space="0" w:color="auto"/>
        <w:left w:val="none" w:sz="0" w:space="0" w:color="auto"/>
        <w:bottom w:val="none" w:sz="0" w:space="0" w:color="auto"/>
        <w:right w:val="none" w:sz="0" w:space="0" w:color="auto"/>
      </w:divBdr>
    </w:div>
    <w:div w:id="1100877592">
      <w:bodyDiv w:val="1"/>
      <w:marLeft w:val="0"/>
      <w:marRight w:val="0"/>
      <w:marTop w:val="0"/>
      <w:marBottom w:val="0"/>
      <w:divBdr>
        <w:top w:val="none" w:sz="0" w:space="0" w:color="auto"/>
        <w:left w:val="none" w:sz="0" w:space="0" w:color="auto"/>
        <w:bottom w:val="none" w:sz="0" w:space="0" w:color="auto"/>
        <w:right w:val="none" w:sz="0" w:space="0" w:color="auto"/>
      </w:divBdr>
    </w:div>
    <w:div w:id="1140920595">
      <w:bodyDiv w:val="1"/>
      <w:marLeft w:val="0"/>
      <w:marRight w:val="0"/>
      <w:marTop w:val="0"/>
      <w:marBottom w:val="0"/>
      <w:divBdr>
        <w:top w:val="none" w:sz="0" w:space="0" w:color="auto"/>
        <w:left w:val="none" w:sz="0" w:space="0" w:color="auto"/>
        <w:bottom w:val="none" w:sz="0" w:space="0" w:color="auto"/>
        <w:right w:val="none" w:sz="0" w:space="0" w:color="auto"/>
      </w:divBdr>
    </w:div>
    <w:div w:id="1266617384">
      <w:bodyDiv w:val="1"/>
      <w:marLeft w:val="0"/>
      <w:marRight w:val="0"/>
      <w:marTop w:val="0"/>
      <w:marBottom w:val="0"/>
      <w:divBdr>
        <w:top w:val="none" w:sz="0" w:space="0" w:color="auto"/>
        <w:left w:val="none" w:sz="0" w:space="0" w:color="auto"/>
        <w:bottom w:val="none" w:sz="0" w:space="0" w:color="auto"/>
        <w:right w:val="none" w:sz="0" w:space="0" w:color="auto"/>
      </w:divBdr>
    </w:div>
    <w:div w:id="1307734796">
      <w:bodyDiv w:val="1"/>
      <w:marLeft w:val="0"/>
      <w:marRight w:val="0"/>
      <w:marTop w:val="0"/>
      <w:marBottom w:val="0"/>
      <w:divBdr>
        <w:top w:val="none" w:sz="0" w:space="0" w:color="auto"/>
        <w:left w:val="none" w:sz="0" w:space="0" w:color="auto"/>
        <w:bottom w:val="none" w:sz="0" w:space="0" w:color="auto"/>
        <w:right w:val="none" w:sz="0" w:space="0" w:color="auto"/>
      </w:divBdr>
    </w:div>
    <w:div w:id="1326515035">
      <w:bodyDiv w:val="1"/>
      <w:marLeft w:val="0"/>
      <w:marRight w:val="0"/>
      <w:marTop w:val="0"/>
      <w:marBottom w:val="0"/>
      <w:divBdr>
        <w:top w:val="none" w:sz="0" w:space="0" w:color="auto"/>
        <w:left w:val="none" w:sz="0" w:space="0" w:color="auto"/>
        <w:bottom w:val="none" w:sz="0" w:space="0" w:color="auto"/>
        <w:right w:val="none" w:sz="0" w:space="0" w:color="auto"/>
      </w:divBdr>
      <w:divsChild>
        <w:div w:id="456262528">
          <w:marLeft w:val="0"/>
          <w:marRight w:val="0"/>
          <w:marTop w:val="0"/>
          <w:marBottom w:val="0"/>
          <w:divBdr>
            <w:top w:val="none" w:sz="0" w:space="0" w:color="auto"/>
            <w:left w:val="none" w:sz="0" w:space="0" w:color="auto"/>
            <w:bottom w:val="none" w:sz="0" w:space="0" w:color="auto"/>
            <w:right w:val="none" w:sz="0" w:space="0" w:color="auto"/>
          </w:divBdr>
          <w:divsChild>
            <w:div w:id="1601403923">
              <w:marLeft w:val="0"/>
              <w:marRight w:val="0"/>
              <w:marTop w:val="0"/>
              <w:marBottom w:val="0"/>
              <w:divBdr>
                <w:top w:val="none" w:sz="0" w:space="0" w:color="auto"/>
                <w:left w:val="none" w:sz="0" w:space="0" w:color="auto"/>
                <w:bottom w:val="none" w:sz="0" w:space="0" w:color="auto"/>
                <w:right w:val="none" w:sz="0" w:space="0" w:color="auto"/>
              </w:divBdr>
              <w:divsChild>
                <w:div w:id="1664550264">
                  <w:marLeft w:val="0"/>
                  <w:marRight w:val="0"/>
                  <w:marTop w:val="0"/>
                  <w:marBottom w:val="0"/>
                  <w:divBdr>
                    <w:top w:val="none" w:sz="0" w:space="0" w:color="auto"/>
                    <w:left w:val="none" w:sz="0" w:space="0" w:color="auto"/>
                    <w:bottom w:val="none" w:sz="0" w:space="0" w:color="auto"/>
                    <w:right w:val="none" w:sz="0" w:space="0" w:color="auto"/>
                  </w:divBdr>
                  <w:divsChild>
                    <w:div w:id="662045145">
                      <w:marLeft w:val="0"/>
                      <w:marRight w:val="0"/>
                      <w:marTop w:val="0"/>
                      <w:marBottom w:val="0"/>
                      <w:divBdr>
                        <w:top w:val="none" w:sz="0" w:space="0" w:color="auto"/>
                        <w:left w:val="none" w:sz="0" w:space="0" w:color="auto"/>
                        <w:bottom w:val="none" w:sz="0" w:space="0" w:color="auto"/>
                        <w:right w:val="none" w:sz="0" w:space="0" w:color="auto"/>
                      </w:divBdr>
                      <w:divsChild>
                        <w:div w:id="1889337532">
                          <w:marLeft w:val="0"/>
                          <w:marRight w:val="0"/>
                          <w:marTop w:val="0"/>
                          <w:marBottom w:val="0"/>
                          <w:divBdr>
                            <w:top w:val="none" w:sz="0" w:space="0" w:color="auto"/>
                            <w:left w:val="none" w:sz="0" w:space="0" w:color="auto"/>
                            <w:bottom w:val="none" w:sz="0" w:space="0" w:color="auto"/>
                            <w:right w:val="none" w:sz="0" w:space="0" w:color="auto"/>
                          </w:divBdr>
                          <w:divsChild>
                            <w:div w:id="1214080470">
                              <w:marLeft w:val="0"/>
                              <w:marRight w:val="0"/>
                              <w:marTop w:val="0"/>
                              <w:marBottom w:val="0"/>
                              <w:divBdr>
                                <w:top w:val="none" w:sz="0" w:space="0" w:color="auto"/>
                                <w:left w:val="none" w:sz="0" w:space="0" w:color="auto"/>
                                <w:bottom w:val="none" w:sz="0" w:space="0" w:color="auto"/>
                                <w:right w:val="none" w:sz="0" w:space="0" w:color="auto"/>
                              </w:divBdr>
                              <w:divsChild>
                                <w:div w:id="1635254677">
                                  <w:marLeft w:val="0"/>
                                  <w:marRight w:val="0"/>
                                  <w:marTop w:val="0"/>
                                  <w:marBottom w:val="0"/>
                                  <w:divBdr>
                                    <w:top w:val="none" w:sz="0" w:space="0" w:color="auto"/>
                                    <w:left w:val="none" w:sz="0" w:space="0" w:color="auto"/>
                                    <w:bottom w:val="none" w:sz="0" w:space="0" w:color="auto"/>
                                    <w:right w:val="none" w:sz="0" w:space="0" w:color="auto"/>
                                  </w:divBdr>
                                  <w:divsChild>
                                    <w:div w:id="1746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044781">
      <w:bodyDiv w:val="1"/>
      <w:marLeft w:val="0"/>
      <w:marRight w:val="0"/>
      <w:marTop w:val="0"/>
      <w:marBottom w:val="0"/>
      <w:divBdr>
        <w:top w:val="none" w:sz="0" w:space="0" w:color="auto"/>
        <w:left w:val="none" w:sz="0" w:space="0" w:color="auto"/>
        <w:bottom w:val="none" w:sz="0" w:space="0" w:color="auto"/>
        <w:right w:val="none" w:sz="0" w:space="0" w:color="auto"/>
      </w:divBdr>
    </w:div>
    <w:div w:id="1578396467">
      <w:bodyDiv w:val="1"/>
      <w:marLeft w:val="0"/>
      <w:marRight w:val="0"/>
      <w:marTop w:val="0"/>
      <w:marBottom w:val="0"/>
      <w:divBdr>
        <w:top w:val="none" w:sz="0" w:space="0" w:color="auto"/>
        <w:left w:val="none" w:sz="0" w:space="0" w:color="auto"/>
        <w:bottom w:val="none" w:sz="0" w:space="0" w:color="auto"/>
        <w:right w:val="none" w:sz="0" w:space="0" w:color="auto"/>
      </w:divBdr>
    </w:div>
    <w:div w:id="1629817326">
      <w:bodyDiv w:val="1"/>
      <w:marLeft w:val="0"/>
      <w:marRight w:val="0"/>
      <w:marTop w:val="0"/>
      <w:marBottom w:val="0"/>
      <w:divBdr>
        <w:top w:val="none" w:sz="0" w:space="0" w:color="auto"/>
        <w:left w:val="none" w:sz="0" w:space="0" w:color="auto"/>
        <w:bottom w:val="none" w:sz="0" w:space="0" w:color="auto"/>
        <w:right w:val="none" w:sz="0" w:space="0" w:color="auto"/>
      </w:divBdr>
    </w:div>
    <w:div w:id="1739210289">
      <w:bodyDiv w:val="1"/>
      <w:marLeft w:val="0"/>
      <w:marRight w:val="0"/>
      <w:marTop w:val="0"/>
      <w:marBottom w:val="0"/>
      <w:divBdr>
        <w:top w:val="none" w:sz="0" w:space="0" w:color="auto"/>
        <w:left w:val="none" w:sz="0" w:space="0" w:color="auto"/>
        <w:bottom w:val="none" w:sz="0" w:space="0" w:color="auto"/>
        <w:right w:val="none" w:sz="0" w:space="0" w:color="auto"/>
      </w:divBdr>
    </w:div>
    <w:div w:id="1766421762">
      <w:bodyDiv w:val="1"/>
      <w:marLeft w:val="0"/>
      <w:marRight w:val="0"/>
      <w:marTop w:val="0"/>
      <w:marBottom w:val="0"/>
      <w:divBdr>
        <w:top w:val="none" w:sz="0" w:space="0" w:color="auto"/>
        <w:left w:val="none" w:sz="0" w:space="0" w:color="auto"/>
        <w:bottom w:val="none" w:sz="0" w:space="0" w:color="auto"/>
        <w:right w:val="none" w:sz="0" w:space="0" w:color="auto"/>
      </w:divBdr>
    </w:div>
    <w:div w:id="1809081360">
      <w:bodyDiv w:val="1"/>
      <w:marLeft w:val="0"/>
      <w:marRight w:val="0"/>
      <w:marTop w:val="0"/>
      <w:marBottom w:val="0"/>
      <w:divBdr>
        <w:top w:val="none" w:sz="0" w:space="0" w:color="auto"/>
        <w:left w:val="none" w:sz="0" w:space="0" w:color="auto"/>
        <w:bottom w:val="none" w:sz="0" w:space="0" w:color="auto"/>
        <w:right w:val="none" w:sz="0" w:space="0" w:color="auto"/>
      </w:divBdr>
    </w:div>
    <w:div w:id="1995718524">
      <w:bodyDiv w:val="1"/>
      <w:marLeft w:val="0"/>
      <w:marRight w:val="0"/>
      <w:marTop w:val="0"/>
      <w:marBottom w:val="0"/>
      <w:divBdr>
        <w:top w:val="none" w:sz="0" w:space="0" w:color="auto"/>
        <w:left w:val="none" w:sz="0" w:space="0" w:color="auto"/>
        <w:bottom w:val="none" w:sz="0" w:space="0" w:color="auto"/>
        <w:right w:val="none" w:sz="0" w:space="0" w:color="auto"/>
      </w:divBdr>
    </w:div>
    <w:div w:id="2035812495">
      <w:bodyDiv w:val="1"/>
      <w:marLeft w:val="0"/>
      <w:marRight w:val="0"/>
      <w:marTop w:val="0"/>
      <w:marBottom w:val="0"/>
      <w:divBdr>
        <w:top w:val="none" w:sz="0" w:space="0" w:color="auto"/>
        <w:left w:val="none" w:sz="0" w:space="0" w:color="auto"/>
        <w:bottom w:val="none" w:sz="0" w:space="0" w:color="auto"/>
        <w:right w:val="none" w:sz="0" w:space="0" w:color="auto"/>
      </w:divBdr>
    </w:div>
    <w:div w:id="20767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83E6-EB22-429E-870F-61DA9CEC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2014-15 Evaluation Template</vt:lpstr>
    </vt:vector>
  </TitlesOfParts>
  <Company>FCO</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Evaluation Template</dc:title>
  <dc:subject/>
  <dc:creator>nhearn</dc:creator>
  <cp:keywords/>
  <cp:lastModifiedBy>acowan</cp:lastModifiedBy>
  <cp:revision>4</cp:revision>
  <cp:lastPrinted>2014-01-23T11:50:00Z</cp:lastPrinted>
  <dcterms:created xsi:type="dcterms:W3CDTF">2014-04-04T14:08:00Z</dcterms:created>
  <dcterms:modified xsi:type="dcterms:W3CDTF">2014-04-16T16:02:00Z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2013-09-24T23:00:00Z</vt:filetime>
  </property>
</Properties>
</file>