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589" w:tblpY="766"/>
        <w:tblOverlap w:val="never"/>
        <w:tblW w:w="8902" w:type="dxa"/>
        <w:tblLayout w:type="fixed"/>
        <w:tblCellMar>
          <w:left w:w="0" w:type="dxa"/>
          <w:right w:w="0" w:type="dxa"/>
        </w:tblCellMar>
        <w:tblLook w:val="01E0" w:firstRow="1" w:lastRow="1" w:firstColumn="1" w:lastColumn="1" w:noHBand="0" w:noVBand="0"/>
      </w:tblPr>
      <w:tblGrid>
        <w:gridCol w:w="8902"/>
      </w:tblGrid>
      <w:tr w:rsidR="00C47B85">
        <w:trPr>
          <w:trHeight w:hRule="exact" w:val="1361"/>
        </w:trPr>
        <w:tc>
          <w:tcPr>
            <w:tcW w:w="12662" w:type="dxa"/>
          </w:tcPr>
          <w:p w:rsidR="00C47B85" w:rsidRDefault="00D74F2E" w:rsidP="008C28A0">
            <w:pPr>
              <w:spacing w:after="0"/>
            </w:pPr>
            <w:bookmarkStart w:id="0" w:name="Cover_tbl"/>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7pt;height:37.85pt">
                  <v:imagedata r:id="rId9" o:title="GTlogo-RGB-135"/>
                </v:shape>
              </w:pict>
            </w:r>
          </w:p>
          <w:p w:rsidR="00C47B85" w:rsidRDefault="00C47B85" w:rsidP="008C28A0"/>
        </w:tc>
      </w:tr>
    </w:tbl>
    <w:bookmarkEnd w:id="0"/>
    <w:p w:rsidR="00C47B85" w:rsidRDefault="008C28A0">
      <w:pPr>
        <w:pStyle w:val="Title"/>
      </w:pPr>
      <w:r>
        <w:t xml:space="preserve">Fuel Duty Stabiliser </w:t>
      </w:r>
      <w:r w:rsidR="00DD419F">
        <w:t>–</w:t>
      </w:r>
      <w:r w:rsidR="00456101">
        <w:t xml:space="preserve"> Final </w:t>
      </w:r>
      <w:r w:rsidR="009C69FB">
        <w:t>Report</w:t>
      </w:r>
    </w:p>
    <w:p w:rsidR="00C47B85" w:rsidRPr="0078471C" w:rsidRDefault="008C28A0" w:rsidP="0078471C">
      <w:pPr>
        <w:rPr>
          <w:b/>
          <w:sz w:val="24"/>
        </w:rPr>
      </w:pPr>
      <w:r w:rsidRPr="0078471C">
        <w:rPr>
          <w:b/>
          <w:sz w:val="24"/>
        </w:rPr>
        <w:t xml:space="preserve">Prepared for </w:t>
      </w:r>
      <w:r w:rsidR="00424CAD" w:rsidRPr="0078471C">
        <w:rPr>
          <w:b/>
          <w:sz w:val="24"/>
        </w:rPr>
        <w:t xml:space="preserve">the </w:t>
      </w:r>
      <w:r w:rsidRPr="0078471C">
        <w:rPr>
          <w:b/>
          <w:sz w:val="24"/>
        </w:rPr>
        <w:t>Federation of Small Businesses</w:t>
      </w:r>
    </w:p>
    <w:p w:rsidR="00C47B85" w:rsidRDefault="00C47B85" w:rsidP="0078471C"/>
    <w:p w:rsidR="00BB2B3E" w:rsidRDefault="00BB2B3E" w:rsidP="0078471C"/>
    <w:p w:rsidR="00BB2B3E" w:rsidRDefault="00BB2B3E" w:rsidP="0078471C"/>
    <w:p w:rsidR="00BB2B3E" w:rsidRDefault="00BB2B3E" w:rsidP="0078471C"/>
    <w:p w:rsidR="00BB2B3E" w:rsidRDefault="00BB2B3E" w:rsidP="0078471C"/>
    <w:p w:rsidR="0074565E" w:rsidRDefault="0074565E" w:rsidP="0078471C"/>
    <w:p w:rsidR="0074565E" w:rsidRDefault="0074565E" w:rsidP="0078471C"/>
    <w:p w:rsidR="0074565E" w:rsidRDefault="0074565E" w:rsidP="0078471C"/>
    <w:p w:rsidR="0074565E" w:rsidRDefault="0074565E" w:rsidP="0078471C"/>
    <w:p w:rsidR="0074565E" w:rsidRDefault="0074565E" w:rsidP="0078471C"/>
    <w:p w:rsidR="0074565E" w:rsidRDefault="0074565E" w:rsidP="0078471C"/>
    <w:p w:rsidR="0074565E" w:rsidRDefault="0074565E" w:rsidP="0078471C"/>
    <w:p w:rsidR="0074565E" w:rsidRDefault="0074565E" w:rsidP="0078471C"/>
    <w:p w:rsidR="00BB2B3E" w:rsidRDefault="00BB2B3E" w:rsidP="0078471C"/>
    <w:p w:rsidR="00BB2B3E" w:rsidRDefault="00BB2B3E" w:rsidP="0078471C"/>
    <w:p w:rsidR="00BB2B3E" w:rsidRDefault="00BB2B3E" w:rsidP="0078471C"/>
    <w:p w:rsidR="00BB2B3E" w:rsidRPr="00A86486" w:rsidRDefault="00BB2B3E" w:rsidP="0078471C"/>
    <w:p w:rsidR="00C47B85" w:rsidRDefault="00C47B85" w:rsidP="008C28A0">
      <w:pPr>
        <w:rPr>
          <w:b/>
        </w:rPr>
      </w:pPr>
      <w:r w:rsidRPr="00DD419F">
        <w:rPr>
          <w:b/>
        </w:rPr>
        <w:fldChar w:fldCharType="begin"/>
      </w:r>
      <w:r w:rsidRPr="00DD419F">
        <w:rPr>
          <w:b/>
        </w:rPr>
        <w:instrText xml:space="preserve"> SAVEDATE  \@ "d MMMM yyyy"  \* MERGEFORMAT </w:instrText>
      </w:r>
      <w:r w:rsidRPr="00DD419F">
        <w:rPr>
          <w:b/>
        </w:rPr>
        <w:fldChar w:fldCharType="separate"/>
      </w:r>
      <w:r w:rsidR="00456101">
        <w:rPr>
          <w:b/>
          <w:noProof/>
        </w:rPr>
        <w:t>17 February 2012</w:t>
      </w:r>
      <w:r w:rsidRPr="00DD419F">
        <w:rPr>
          <w:b/>
        </w:rPr>
        <w:fldChar w:fldCharType="end"/>
      </w:r>
    </w:p>
    <w:p w:rsidR="0078471C" w:rsidRPr="0078471C" w:rsidRDefault="0078471C" w:rsidP="008C28A0">
      <w:pPr>
        <w:rPr>
          <w:b/>
        </w:rPr>
      </w:pPr>
    </w:p>
    <w:p w:rsidR="00C47B85" w:rsidRDefault="00C47B85" w:rsidP="008C28A0">
      <w:pPr>
        <w:sectPr w:rsidR="00C47B85" w:rsidSect="008C28A0">
          <w:footerReference w:type="even" r:id="rId10"/>
          <w:pgSz w:w="11906" w:h="16838" w:code="9"/>
          <w:pgMar w:top="1985" w:right="1134" w:bottom="1134" w:left="2608" w:header="709" w:footer="567" w:gutter="0"/>
          <w:pgNumType w:start="1"/>
          <w:cols w:space="720"/>
          <w:docGrid w:linePitch="360"/>
        </w:sectPr>
      </w:pPr>
    </w:p>
    <w:p w:rsidR="00C47B85" w:rsidRDefault="00C47B85" w:rsidP="008C28A0">
      <w:pPr>
        <w:pStyle w:val="Contents"/>
        <w:framePr w:wrap="around"/>
      </w:pPr>
      <w:r>
        <w:lastRenderedPageBreak/>
        <w:t>Contents</w:t>
      </w:r>
    </w:p>
    <w:bookmarkStart w:id="2" w:name="BodyTOC"/>
    <w:bookmarkEnd w:id="2"/>
    <w:p w:rsidR="00B5081D" w:rsidRDefault="0095009A">
      <w:pPr>
        <w:pStyle w:val="TOC3"/>
        <w:rPr>
          <w:rFonts w:asciiTheme="minorHAnsi" w:eastAsiaTheme="minorEastAsia" w:hAnsiTheme="minorHAnsi" w:cstheme="minorBidi"/>
          <w:b w:val="0"/>
          <w:noProof/>
          <w:szCs w:val="22"/>
          <w:lang w:eastAsia="en-GB"/>
        </w:rPr>
      </w:pPr>
      <w:r>
        <w:fldChar w:fldCharType="begin"/>
      </w:r>
      <w:r>
        <w:instrText xml:space="preserve"> TOC \h \z \t "NumSection,3,NumHead,2" </w:instrText>
      </w:r>
      <w:r>
        <w:fldChar w:fldCharType="separate"/>
      </w:r>
      <w:hyperlink w:anchor="_Toc317251208" w:history="1">
        <w:r w:rsidR="00B5081D" w:rsidRPr="00447096">
          <w:rPr>
            <w:rStyle w:val="Hyperlink"/>
            <w:noProof/>
          </w:rPr>
          <w:t>1</w:t>
        </w:r>
        <w:r w:rsidR="00B5081D">
          <w:rPr>
            <w:rFonts w:asciiTheme="minorHAnsi" w:eastAsiaTheme="minorEastAsia" w:hAnsiTheme="minorHAnsi" w:cstheme="minorBidi"/>
            <w:b w:val="0"/>
            <w:noProof/>
            <w:szCs w:val="22"/>
            <w:lang w:eastAsia="en-GB"/>
          </w:rPr>
          <w:tab/>
        </w:r>
        <w:r w:rsidR="00B5081D" w:rsidRPr="00447096">
          <w:rPr>
            <w:rStyle w:val="Hyperlink"/>
            <w:noProof/>
          </w:rPr>
          <w:t>Executive summary</w:t>
        </w:r>
        <w:r w:rsidR="00B5081D">
          <w:rPr>
            <w:noProof/>
            <w:webHidden/>
          </w:rPr>
          <w:tab/>
        </w:r>
        <w:r w:rsidR="00B5081D">
          <w:rPr>
            <w:noProof/>
            <w:webHidden/>
          </w:rPr>
          <w:fldChar w:fldCharType="begin"/>
        </w:r>
        <w:r w:rsidR="00B5081D">
          <w:rPr>
            <w:noProof/>
            <w:webHidden/>
          </w:rPr>
          <w:instrText xml:space="preserve"> PAGEREF _Toc317251208 \h </w:instrText>
        </w:r>
        <w:r w:rsidR="00B5081D">
          <w:rPr>
            <w:noProof/>
            <w:webHidden/>
          </w:rPr>
        </w:r>
        <w:r w:rsidR="00B5081D">
          <w:rPr>
            <w:noProof/>
            <w:webHidden/>
          </w:rPr>
          <w:fldChar w:fldCharType="separate"/>
        </w:r>
        <w:r w:rsidR="001D3237">
          <w:rPr>
            <w:noProof/>
            <w:webHidden/>
          </w:rPr>
          <w:t>1</w:t>
        </w:r>
        <w:r w:rsidR="00B5081D">
          <w:rPr>
            <w:noProof/>
            <w:webHidden/>
          </w:rPr>
          <w:fldChar w:fldCharType="end"/>
        </w:r>
      </w:hyperlink>
    </w:p>
    <w:p w:rsidR="00B5081D" w:rsidRDefault="00D74F2E">
      <w:pPr>
        <w:pStyle w:val="TOC3"/>
        <w:rPr>
          <w:rFonts w:asciiTheme="minorHAnsi" w:eastAsiaTheme="minorEastAsia" w:hAnsiTheme="minorHAnsi" w:cstheme="minorBidi"/>
          <w:b w:val="0"/>
          <w:noProof/>
          <w:szCs w:val="22"/>
          <w:lang w:eastAsia="en-GB"/>
        </w:rPr>
      </w:pPr>
      <w:hyperlink w:anchor="_Toc317251209" w:history="1">
        <w:r w:rsidR="00B5081D" w:rsidRPr="00447096">
          <w:rPr>
            <w:rStyle w:val="Hyperlink"/>
            <w:noProof/>
          </w:rPr>
          <w:t>2</w:t>
        </w:r>
        <w:r w:rsidR="00B5081D">
          <w:rPr>
            <w:rFonts w:asciiTheme="minorHAnsi" w:eastAsiaTheme="minorEastAsia" w:hAnsiTheme="minorHAnsi" w:cstheme="minorBidi"/>
            <w:b w:val="0"/>
            <w:noProof/>
            <w:szCs w:val="22"/>
            <w:lang w:eastAsia="en-GB"/>
          </w:rPr>
          <w:tab/>
        </w:r>
        <w:r w:rsidR="00B5081D" w:rsidRPr="00447096">
          <w:rPr>
            <w:rStyle w:val="Hyperlink"/>
            <w:noProof/>
          </w:rPr>
          <w:t>Introduction</w:t>
        </w:r>
        <w:r w:rsidR="00B5081D">
          <w:rPr>
            <w:noProof/>
            <w:webHidden/>
          </w:rPr>
          <w:tab/>
        </w:r>
        <w:r w:rsidR="00B5081D">
          <w:rPr>
            <w:noProof/>
            <w:webHidden/>
          </w:rPr>
          <w:fldChar w:fldCharType="begin"/>
        </w:r>
        <w:r w:rsidR="00B5081D">
          <w:rPr>
            <w:noProof/>
            <w:webHidden/>
          </w:rPr>
          <w:instrText xml:space="preserve"> PAGEREF _Toc317251209 \h </w:instrText>
        </w:r>
        <w:r w:rsidR="00B5081D">
          <w:rPr>
            <w:noProof/>
            <w:webHidden/>
          </w:rPr>
        </w:r>
        <w:r w:rsidR="00B5081D">
          <w:rPr>
            <w:noProof/>
            <w:webHidden/>
          </w:rPr>
          <w:fldChar w:fldCharType="separate"/>
        </w:r>
        <w:r w:rsidR="001D3237">
          <w:rPr>
            <w:noProof/>
            <w:webHidden/>
          </w:rPr>
          <w:t>2</w:t>
        </w:r>
        <w:r w:rsidR="00B5081D">
          <w:rPr>
            <w:noProof/>
            <w:webHidden/>
          </w:rPr>
          <w:fldChar w:fldCharType="end"/>
        </w:r>
      </w:hyperlink>
    </w:p>
    <w:p w:rsidR="00B5081D" w:rsidRDefault="00D74F2E">
      <w:pPr>
        <w:pStyle w:val="TOC2"/>
        <w:rPr>
          <w:rFonts w:asciiTheme="minorHAnsi" w:eastAsiaTheme="minorEastAsia" w:hAnsiTheme="minorHAnsi" w:cstheme="minorBidi"/>
          <w:noProof/>
          <w:szCs w:val="22"/>
          <w:lang w:eastAsia="en-GB"/>
        </w:rPr>
      </w:pPr>
      <w:hyperlink w:anchor="_Toc317251210" w:history="1">
        <w:r w:rsidR="00B5081D" w:rsidRPr="00447096">
          <w:rPr>
            <w:rStyle w:val="Hyperlink"/>
            <w:noProof/>
          </w:rPr>
          <w:t>2.1</w:t>
        </w:r>
        <w:r w:rsidR="00B5081D">
          <w:rPr>
            <w:rFonts w:asciiTheme="minorHAnsi" w:eastAsiaTheme="minorEastAsia" w:hAnsiTheme="minorHAnsi" w:cstheme="minorBidi"/>
            <w:noProof/>
            <w:szCs w:val="22"/>
            <w:lang w:eastAsia="en-GB"/>
          </w:rPr>
          <w:tab/>
        </w:r>
        <w:r w:rsidR="00B5081D" w:rsidRPr="00447096">
          <w:rPr>
            <w:rStyle w:val="Hyperlink"/>
            <w:noProof/>
          </w:rPr>
          <w:t>Background to the study</w:t>
        </w:r>
        <w:r w:rsidR="00B5081D">
          <w:rPr>
            <w:noProof/>
            <w:webHidden/>
          </w:rPr>
          <w:tab/>
        </w:r>
        <w:r w:rsidR="00B5081D">
          <w:rPr>
            <w:noProof/>
            <w:webHidden/>
          </w:rPr>
          <w:fldChar w:fldCharType="begin"/>
        </w:r>
        <w:r w:rsidR="00B5081D">
          <w:rPr>
            <w:noProof/>
            <w:webHidden/>
          </w:rPr>
          <w:instrText xml:space="preserve"> PAGEREF _Toc317251210 \h </w:instrText>
        </w:r>
        <w:r w:rsidR="00B5081D">
          <w:rPr>
            <w:noProof/>
            <w:webHidden/>
          </w:rPr>
        </w:r>
        <w:r w:rsidR="00B5081D">
          <w:rPr>
            <w:noProof/>
            <w:webHidden/>
          </w:rPr>
          <w:fldChar w:fldCharType="separate"/>
        </w:r>
        <w:r w:rsidR="001D3237">
          <w:rPr>
            <w:noProof/>
            <w:webHidden/>
          </w:rPr>
          <w:t>2</w:t>
        </w:r>
        <w:r w:rsidR="00B5081D">
          <w:rPr>
            <w:noProof/>
            <w:webHidden/>
          </w:rPr>
          <w:fldChar w:fldCharType="end"/>
        </w:r>
      </w:hyperlink>
    </w:p>
    <w:p w:rsidR="00B5081D" w:rsidRDefault="00D74F2E">
      <w:pPr>
        <w:pStyle w:val="TOC2"/>
        <w:rPr>
          <w:rFonts w:asciiTheme="minorHAnsi" w:eastAsiaTheme="minorEastAsia" w:hAnsiTheme="minorHAnsi" w:cstheme="minorBidi"/>
          <w:noProof/>
          <w:szCs w:val="22"/>
          <w:lang w:eastAsia="en-GB"/>
        </w:rPr>
      </w:pPr>
      <w:hyperlink w:anchor="_Toc317251211" w:history="1">
        <w:r w:rsidR="00B5081D" w:rsidRPr="00447096">
          <w:rPr>
            <w:rStyle w:val="Hyperlink"/>
            <w:noProof/>
          </w:rPr>
          <w:t>2.2</w:t>
        </w:r>
        <w:r w:rsidR="00B5081D">
          <w:rPr>
            <w:rFonts w:asciiTheme="minorHAnsi" w:eastAsiaTheme="minorEastAsia" w:hAnsiTheme="minorHAnsi" w:cstheme="minorBidi"/>
            <w:noProof/>
            <w:szCs w:val="22"/>
            <w:lang w:eastAsia="en-GB"/>
          </w:rPr>
          <w:tab/>
        </w:r>
        <w:r w:rsidR="00B5081D" w:rsidRPr="00447096">
          <w:rPr>
            <w:rStyle w:val="Hyperlink"/>
            <w:noProof/>
          </w:rPr>
          <w:t>Key inputs and terminology</w:t>
        </w:r>
        <w:r w:rsidR="00B5081D">
          <w:rPr>
            <w:noProof/>
            <w:webHidden/>
          </w:rPr>
          <w:tab/>
        </w:r>
        <w:r w:rsidR="00B5081D">
          <w:rPr>
            <w:noProof/>
            <w:webHidden/>
          </w:rPr>
          <w:fldChar w:fldCharType="begin"/>
        </w:r>
        <w:r w:rsidR="00B5081D">
          <w:rPr>
            <w:noProof/>
            <w:webHidden/>
          </w:rPr>
          <w:instrText xml:space="preserve"> PAGEREF _Toc317251211 \h </w:instrText>
        </w:r>
        <w:r w:rsidR="00B5081D">
          <w:rPr>
            <w:noProof/>
            <w:webHidden/>
          </w:rPr>
        </w:r>
        <w:r w:rsidR="00B5081D">
          <w:rPr>
            <w:noProof/>
            <w:webHidden/>
          </w:rPr>
          <w:fldChar w:fldCharType="separate"/>
        </w:r>
        <w:r w:rsidR="001D3237">
          <w:rPr>
            <w:noProof/>
            <w:webHidden/>
          </w:rPr>
          <w:t>2</w:t>
        </w:r>
        <w:r w:rsidR="00B5081D">
          <w:rPr>
            <w:noProof/>
            <w:webHidden/>
          </w:rPr>
          <w:fldChar w:fldCharType="end"/>
        </w:r>
      </w:hyperlink>
    </w:p>
    <w:p w:rsidR="00B5081D" w:rsidRDefault="00D74F2E">
      <w:pPr>
        <w:pStyle w:val="TOC3"/>
        <w:rPr>
          <w:rFonts w:asciiTheme="minorHAnsi" w:eastAsiaTheme="minorEastAsia" w:hAnsiTheme="minorHAnsi" w:cstheme="minorBidi"/>
          <w:b w:val="0"/>
          <w:noProof/>
          <w:szCs w:val="22"/>
          <w:lang w:eastAsia="en-GB"/>
        </w:rPr>
      </w:pPr>
      <w:hyperlink w:anchor="_Toc317251212" w:history="1">
        <w:r w:rsidR="00B5081D" w:rsidRPr="00447096">
          <w:rPr>
            <w:rStyle w:val="Hyperlink"/>
            <w:noProof/>
          </w:rPr>
          <w:t>3</w:t>
        </w:r>
        <w:r w:rsidR="00B5081D">
          <w:rPr>
            <w:rFonts w:asciiTheme="minorHAnsi" w:eastAsiaTheme="minorEastAsia" w:hAnsiTheme="minorHAnsi" w:cstheme="minorBidi"/>
            <w:b w:val="0"/>
            <w:noProof/>
            <w:szCs w:val="22"/>
            <w:lang w:eastAsia="en-GB"/>
          </w:rPr>
          <w:tab/>
        </w:r>
        <w:r w:rsidR="00B5081D" w:rsidRPr="00447096">
          <w:rPr>
            <w:rStyle w:val="Hyperlink"/>
            <w:noProof/>
          </w:rPr>
          <w:t>Fuel Stabiliser Model Results</w:t>
        </w:r>
        <w:r w:rsidR="00B5081D">
          <w:rPr>
            <w:noProof/>
            <w:webHidden/>
          </w:rPr>
          <w:tab/>
        </w:r>
        <w:r w:rsidR="00B5081D">
          <w:rPr>
            <w:noProof/>
            <w:webHidden/>
          </w:rPr>
          <w:fldChar w:fldCharType="begin"/>
        </w:r>
        <w:r w:rsidR="00B5081D">
          <w:rPr>
            <w:noProof/>
            <w:webHidden/>
          </w:rPr>
          <w:instrText xml:space="preserve"> PAGEREF _Toc317251212 \h </w:instrText>
        </w:r>
        <w:r w:rsidR="00B5081D">
          <w:rPr>
            <w:noProof/>
            <w:webHidden/>
          </w:rPr>
        </w:r>
        <w:r w:rsidR="00B5081D">
          <w:rPr>
            <w:noProof/>
            <w:webHidden/>
          </w:rPr>
          <w:fldChar w:fldCharType="separate"/>
        </w:r>
        <w:r w:rsidR="001D3237">
          <w:rPr>
            <w:noProof/>
            <w:webHidden/>
          </w:rPr>
          <w:t>4</w:t>
        </w:r>
        <w:r w:rsidR="00B5081D">
          <w:rPr>
            <w:noProof/>
            <w:webHidden/>
          </w:rPr>
          <w:fldChar w:fldCharType="end"/>
        </w:r>
      </w:hyperlink>
    </w:p>
    <w:p w:rsidR="00B5081D" w:rsidRDefault="00D74F2E">
      <w:pPr>
        <w:pStyle w:val="TOC2"/>
        <w:rPr>
          <w:rFonts w:asciiTheme="minorHAnsi" w:eastAsiaTheme="minorEastAsia" w:hAnsiTheme="minorHAnsi" w:cstheme="minorBidi"/>
          <w:noProof/>
          <w:szCs w:val="22"/>
          <w:lang w:eastAsia="en-GB"/>
        </w:rPr>
      </w:pPr>
      <w:hyperlink w:anchor="_Toc317251213" w:history="1">
        <w:r w:rsidR="00B5081D" w:rsidRPr="00447096">
          <w:rPr>
            <w:rStyle w:val="Hyperlink"/>
            <w:noProof/>
          </w:rPr>
          <w:t>3.1</w:t>
        </w:r>
        <w:r w:rsidR="00B5081D">
          <w:rPr>
            <w:rFonts w:asciiTheme="minorHAnsi" w:eastAsiaTheme="minorEastAsia" w:hAnsiTheme="minorHAnsi" w:cstheme="minorBidi"/>
            <w:noProof/>
            <w:szCs w:val="22"/>
            <w:lang w:eastAsia="en-GB"/>
          </w:rPr>
          <w:tab/>
        </w:r>
        <w:r w:rsidR="00B5081D" w:rsidRPr="00447096">
          <w:rPr>
            <w:rStyle w:val="Hyperlink"/>
            <w:noProof/>
          </w:rPr>
          <w:t>Fiscal neutrality of  an adjusted duty</w:t>
        </w:r>
        <w:r w:rsidR="00B5081D">
          <w:rPr>
            <w:noProof/>
            <w:webHidden/>
          </w:rPr>
          <w:tab/>
        </w:r>
        <w:r w:rsidR="00B5081D">
          <w:rPr>
            <w:noProof/>
            <w:webHidden/>
          </w:rPr>
          <w:fldChar w:fldCharType="begin"/>
        </w:r>
        <w:r w:rsidR="00B5081D">
          <w:rPr>
            <w:noProof/>
            <w:webHidden/>
          </w:rPr>
          <w:instrText xml:space="preserve"> PAGEREF _Toc317251213 \h </w:instrText>
        </w:r>
        <w:r w:rsidR="00B5081D">
          <w:rPr>
            <w:noProof/>
            <w:webHidden/>
          </w:rPr>
        </w:r>
        <w:r w:rsidR="00B5081D">
          <w:rPr>
            <w:noProof/>
            <w:webHidden/>
          </w:rPr>
          <w:fldChar w:fldCharType="separate"/>
        </w:r>
        <w:r w:rsidR="001D3237">
          <w:rPr>
            <w:noProof/>
            <w:webHidden/>
          </w:rPr>
          <w:t>4</w:t>
        </w:r>
        <w:r w:rsidR="00B5081D">
          <w:rPr>
            <w:noProof/>
            <w:webHidden/>
          </w:rPr>
          <w:fldChar w:fldCharType="end"/>
        </w:r>
      </w:hyperlink>
    </w:p>
    <w:p w:rsidR="00B5081D" w:rsidRDefault="00D74F2E">
      <w:pPr>
        <w:pStyle w:val="TOC2"/>
        <w:rPr>
          <w:rFonts w:asciiTheme="minorHAnsi" w:eastAsiaTheme="minorEastAsia" w:hAnsiTheme="minorHAnsi" w:cstheme="minorBidi"/>
          <w:noProof/>
          <w:szCs w:val="22"/>
          <w:lang w:eastAsia="en-GB"/>
        </w:rPr>
      </w:pPr>
      <w:hyperlink w:anchor="_Toc317251214" w:history="1">
        <w:r w:rsidR="00B5081D" w:rsidRPr="00447096">
          <w:rPr>
            <w:rStyle w:val="Hyperlink"/>
            <w:noProof/>
          </w:rPr>
          <w:t>3.2</w:t>
        </w:r>
        <w:r w:rsidR="00B5081D">
          <w:rPr>
            <w:rFonts w:asciiTheme="minorHAnsi" w:eastAsiaTheme="minorEastAsia" w:hAnsiTheme="minorHAnsi" w:cstheme="minorBidi"/>
            <w:noProof/>
            <w:szCs w:val="22"/>
            <w:lang w:eastAsia="en-GB"/>
          </w:rPr>
          <w:tab/>
        </w:r>
        <w:r w:rsidR="00B5081D" w:rsidRPr="00447096">
          <w:rPr>
            <w:rStyle w:val="Hyperlink"/>
            <w:noProof/>
          </w:rPr>
          <w:t>Reducing pump price volatility</w:t>
        </w:r>
        <w:r w:rsidR="00B5081D">
          <w:rPr>
            <w:noProof/>
            <w:webHidden/>
          </w:rPr>
          <w:tab/>
        </w:r>
        <w:r w:rsidR="00B5081D">
          <w:rPr>
            <w:noProof/>
            <w:webHidden/>
          </w:rPr>
          <w:fldChar w:fldCharType="begin"/>
        </w:r>
        <w:r w:rsidR="00B5081D">
          <w:rPr>
            <w:noProof/>
            <w:webHidden/>
          </w:rPr>
          <w:instrText xml:space="preserve"> PAGEREF _Toc317251214 \h </w:instrText>
        </w:r>
        <w:r w:rsidR="00B5081D">
          <w:rPr>
            <w:noProof/>
            <w:webHidden/>
          </w:rPr>
        </w:r>
        <w:r w:rsidR="00B5081D">
          <w:rPr>
            <w:noProof/>
            <w:webHidden/>
          </w:rPr>
          <w:fldChar w:fldCharType="separate"/>
        </w:r>
        <w:r w:rsidR="001D3237">
          <w:rPr>
            <w:noProof/>
            <w:webHidden/>
          </w:rPr>
          <w:t>5</w:t>
        </w:r>
        <w:r w:rsidR="00B5081D">
          <w:rPr>
            <w:noProof/>
            <w:webHidden/>
          </w:rPr>
          <w:fldChar w:fldCharType="end"/>
        </w:r>
      </w:hyperlink>
    </w:p>
    <w:p w:rsidR="00B5081D" w:rsidRDefault="00D74F2E">
      <w:pPr>
        <w:pStyle w:val="TOC2"/>
        <w:rPr>
          <w:rFonts w:asciiTheme="minorHAnsi" w:eastAsiaTheme="minorEastAsia" w:hAnsiTheme="minorHAnsi" w:cstheme="minorBidi"/>
          <w:noProof/>
          <w:szCs w:val="22"/>
          <w:lang w:eastAsia="en-GB"/>
        </w:rPr>
      </w:pPr>
      <w:hyperlink w:anchor="_Toc317251215" w:history="1">
        <w:r w:rsidR="00B5081D" w:rsidRPr="00447096">
          <w:rPr>
            <w:rStyle w:val="Hyperlink"/>
            <w:noProof/>
          </w:rPr>
          <w:t>3.3</w:t>
        </w:r>
        <w:r w:rsidR="00B5081D">
          <w:rPr>
            <w:rFonts w:asciiTheme="minorHAnsi" w:eastAsiaTheme="minorEastAsia" w:hAnsiTheme="minorHAnsi" w:cstheme="minorBidi"/>
            <w:noProof/>
            <w:szCs w:val="22"/>
            <w:lang w:eastAsia="en-GB"/>
          </w:rPr>
          <w:tab/>
        </w:r>
        <w:r w:rsidR="00B5081D" w:rsidRPr="00447096">
          <w:rPr>
            <w:rStyle w:val="Hyperlink"/>
            <w:noProof/>
          </w:rPr>
          <w:t>Comparison of forecast pump prices</w:t>
        </w:r>
        <w:r w:rsidR="00B5081D">
          <w:rPr>
            <w:noProof/>
            <w:webHidden/>
          </w:rPr>
          <w:tab/>
        </w:r>
        <w:r w:rsidR="00B5081D">
          <w:rPr>
            <w:noProof/>
            <w:webHidden/>
          </w:rPr>
          <w:fldChar w:fldCharType="begin"/>
        </w:r>
        <w:r w:rsidR="00B5081D">
          <w:rPr>
            <w:noProof/>
            <w:webHidden/>
          </w:rPr>
          <w:instrText xml:space="preserve"> PAGEREF _Toc317251215 \h </w:instrText>
        </w:r>
        <w:r w:rsidR="00B5081D">
          <w:rPr>
            <w:noProof/>
            <w:webHidden/>
          </w:rPr>
        </w:r>
        <w:r w:rsidR="00B5081D">
          <w:rPr>
            <w:noProof/>
            <w:webHidden/>
          </w:rPr>
          <w:fldChar w:fldCharType="separate"/>
        </w:r>
        <w:r w:rsidR="001D3237">
          <w:rPr>
            <w:noProof/>
            <w:webHidden/>
          </w:rPr>
          <w:t>8</w:t>
        </w:r>
        <w:r w:rsidR="00B5081D">
          <w:rPr>
            <w:noProof/>
            <w:webHidden/>
          </w:rPr>
          <w:fldChar w:fldCharType="end"/>
        </w:r>
      </w:hyperlink>
    </w:p>
    <w:p w:rsidR="00C47B85" w:rsidRDefault="0095009A" w:rsidP="002229C1">
      <w:r>
        <w:fldChar w:fldCharType="end"/>
      </w:r>
    </w:p>
    <w:p w:rsidR="00C47B85" w:rsidRDefault="00C47B85" w:rsidP="002229C1"/>
    <w:p w:rsidR="00C47B85" w:rsidRPr="002F4805" w:rsidRDefault="00C47B85" w:rsidP="002229C1">
      <w:pPr>
        <w:rPr>
          <w:b/>
        </w:rPr>
      </w:pPr>
      <w:r w:rsidRPr="002F4805">
        <w:rPr>
          <w:b/>
        </w:rPr>
        <w:t>Appendices</w:t>
      </w:r>
    </w:p>
    <w:p w:rsidR="00B5081D" w:rsidRDefault="00F552CE">
      <w:pPr>
        <w:pStyle w:val="TOC1"/>
        <w:rPr>
          <w:rFonts w:asciiTheme="minorHAnsi" w:eastAsiaTheme="minorEastAsia" w:hAnsiTheme="minorHAnsi" w:cstheme="minorBidi"/>
          <w:b w:val="0"/>
          <w:bCs w:val="0"/>
          <w:noProof/>
          <w:szCs w:val="22"/>
          <w:lang w:eastAsia="en-GB"/>
        </w:rPr>
      </w:pPr>
      <w:r>
        <w:fldChar w:fldCharType="begin"/>
      </w:r>
      <w:r>
        <w:instrText xml:space="preserve"> TOC \h \z \t "Appendix Title,1" </w:instrText>
      </w:r>
      <w:r>
        <w:fldChar w:fldCharType="separate"/>
      </w:r>
      <w:hyperlink w:anchor="_Toc317251200" w:history="1">
        <w:r w:rsidR="00B5081D" w:rsidRPr="00551066">
          <w:rPr>
            <w:rStyle w:val="Hyperlink"/>
            <w:noProof/>
          </w:rPr>
          <w:t>A</w:t>
        </w:r>
        <w:r w:rsidR="00B5081D">
          <w:rPr>
            <w:rFonts w:asciiTheme="minorHAnsi" w:eastAsiaTheme="minorEastAsia" w:hAnsiTheme="minorHAnsi" w:cstheme="minorBidi"/>
            <w:b w:val="0"/>
            <w:bCs w:val="0"/>
            <w:noProof/>
            <w:szCs w:val="22"/>
            <w:lang w:eastAsia="en-GB"/>
          </w:rPr>
          <w:tab/>
        </w:r>
        <w:r w:rsidR="00B5081D" w:rsidRPr="00551066">
          <w:rPr>
            <w:rStyle w:val="Hyperlink"/>
            <w:noProof/>
          </w:rPr>
          <w:t>Methodology for Adjusted duty rates</w:t>
        </w:r>
        <w:r w:rsidR="00B5081D">
          <w:rPr>
            <w:noProof/>
            <w:webHidden/>
          </w:rPr>
          <w:tab/>
        </w:r>
        <w:r w:rsidR="00B5081D">
          <w:rPr>
            <w:noProof/>
            <w:webHidden/>
          </w:rPr>
          <w:fldChar w:fldCharType="begin"/>
        </w:r>
        <w:r w:rsidR="00B5081D">
          <w:rPr>
            <w:noProof/>
            <w:webHidden/>
          </w:rPr>
          <w:instrText xml:space="preserve"> PAGEREF _Toc317251200 \h </w:instrText>
        </w:r>
        <w:r w:rsidR="00B5081D">
          <w:rPr>
            <w:noProof/>
            <w:webHidden/>
          </w:rPr>
        </w:r>
        <w:r w:rsidR="00B5081D">
          <w:rPr>
            <w:noProof/>
            <w:webHidden/>
          </w:rPr>
          <w:fldChar w:fldCharType="separate"/>
        </w:r>
        <w:r w:rsidR="001D3237">
          <w:rPr>
            <w:noProof/>
            <w:webHidden/>
          </w:rPr>
          <w:t>9</w:t>
        </w:r>
        <w:r w:rsidR="00B5081D">
          <w:rPr>
            <w:noProof/>
            <w:webHidden/>
          </w:rPr>
          <w:fldChar w:fldCharType="end"/>
        </w:r>
      </w:hyperlink>
    </w:p>
    <w:p w:rsidR="00B5081D" w:rsidRDefault="00D74F2E">
      <w:pPr>
        <w:pStyle w:val="TOC1"/>
        <w:rPr>
          <w:rFonts w:asciiTheme="minorHAnsi" w:eastAsiaTheme="minorEastAsia" w:hAnsiTheme="minorHAnsi" w:cstheme="minorBidi"/>
          <w:b w:val="0"/>
          <w:bCs w:val="0"/>
          <w:noProof/>
          <w:szCs w:val="22"/>
          <w:lang w:eastAsia="en-GB"/>
        </w:rPr>
      </w:pPr>
      <w:hyperlink w:anchor="_Toc317251201" w:history="1">
        <w:r w:rsidR="00B5081D" w:rsidRPr="00551066">
          <w:rPr>
            <w:rStyle w:val="Hyperlink"/>
            <w:noProof/>
            <w:lang w:eastAsia="en-GB"/>
          </w:rPr>
          <w:t>B</w:t>
        </w:r>
        <w:r w:rsidR="00B5081D">
          <w:rPr>
            <w:rFonts w:asciiTheme="minorHAnsi" w:eastAsiaTheme="minorEastAsia" w:hAnsiTheme="minorHAnsi" w:cstheme="minorBidi"/>
            <w:b w:val="0"/>
            <w:bCs w:val="0"/>
            <w:noProof/>
            <w:szCs w:val="22"/>
            <w:lang w:eastAsia="en-GB"/>
          </w:rPr>
          <w:tab/>
        </w:r>
        <w:r w:rsidR="00B5081D" w:rsidRPr="00551066">
          <w:rPr>
            <w:rStyle w:val="Hyperlink"/>
            <w:noProof/>
            <w:lang w:eastAsia="en-GB"/>
          </w:rPr>
          <w:t>Inputs to the Model and Assumptions</w:t>
        </w:r>
        <w:r w:rsidR="00B5081D">
          <w:rPr>
            <w:noProof/>
            <w:webHidden/>
          </w:rPr>
          <w:tab/>
        </w:r>
        <w:r w:rsidR="00B5081D">
          <w:rPr>
            <w:noProof/>
            <w:webHidden/>
          </w:rPr>
          <w:fldChar w:fldCharType="begin"/>
        </w:r>
        <w:r w:rsidR="00B5081D">
          <w:rPr>
            <w:noProof/>
            <w:webHidden/>
          </w:rPr>
          <w:instrText xml:space="preserve"> PAGEREF _Toc317251201 \h </w:instrText>
        </w:r>
        <w:r w:rsidR="00B5081D">
          <w:rPr>
            <w:noProof/>
            <w:webHidden/>
          </w:rPr>
        </w:r>
        <w:r w:rsidR="00B5081D">
          <w:rPr>
            <w:noProof/>
            <w:webHidden/>
          </w:rPr>
          <w:fldChar w:fldCharType="separate"/>
        </w:r>
        <w:r w:rsidR="001D3237">
          <w:rPr>
            <w:noProof/>
            <w:webHidden/>
          </w:rPr>
          <w:t>10</w:t>
        </w:r>
        <w:r w:rsidR="00B5081D">
          <w:rPr>
            <w:noProof/>
            <w:webHidden/>
          </w:rPr>
          <w:fldChar w:fldCharType="end"/>
        </w:r>
      </w:hyperlink>
    </w:p>
    <w:p w:rsidR="00C47B85" w:rsidRDefault="00F552CE" w:rsidP="002229C1">
      <w:r>
        <w:rPr>
          <w:b/>
          <w:bCs/>
          <w:noProof/>
          <w:lang w:val="en-US"/>
        </w:rPr>
        <w:fldChar w:fldCharType="end"/>
      </w:r>
    </w:p>
    <w:p w:rsidR="00C47B85" w:rsidRDefault="00C47B85" w:rsidP="002229C1">
      <w:pPr>
        <w:sectPr w:rsidR="00C47B85" w:rsidSect="008C28A0">
          <w:headerReference w:type="default" r:id="rId11"/>
          <w:footerReference w:type="default" r:id="rId12"/>
          <w:pgSz w:w="11906" w:h="16838" w:code="9"/>
          <w:pgMar w:top="1985" w:right="1134" w:bottom="1134" w:left="2608" w:header="709" w:footer="567" w:gutter="0"/>
          <w:pgNumType w:start="1"/>
          <w:cols w:space="720"/>
          <w:docGrid w:linePitch="360"/>
        </w:sectPr>
      </w:pPr>
    </w:p>
    <w:p w:rsidR="0078471C" w:rsidRDefault="0078471C" w:rsidP="0095009A">
      <w:pPr>
        <w:pStyle w:val="NumSection"/>
        <w:framePr w:wrap="around"/>
      </w:pPr>
      <w:bookmarkStart w:id="3" w:name="_Toc317251208"/>
      <w:r>
        <w:lastRenderedPageBreak/>
        <w:t>Executive summary</w:t>
      </w:r>
      <w:bookmarkEnd w:id="3"/>
    </w:p>
    <w:p w:rsidR="00A74CF5" w:rsidRDefault="0055005E" w:rsidP="0078471C">
      <w:r>
        <w:t>The volatility of crude oil</w:t>
      </w:r>
      <w:r w:rsidR="00A74CF5">
        <w:t xml:space="preserve"> prices can be attributed to </w:t>
      </w:r>
      <w:r>
        <w:t>factors such as demand-supply dynamics, market speculation and production costs. In the recent period, crude oil prices have fluctuated due to economic turmoil and political unrest in various economies. However, since crude oil is traded globally, the trade prices are comparable across economies and</w:t>
      </w:r>
      <w:r w:rsidRPr="0055005E">
        <w:t xml:space="preserve"> the price paid by consumers largely reflects </w:t>
      </w:r>
      <w:r>
        <w:t xml:space="preserve">the </w:t>
      </w:r>
      <w:r w:rsidRPr="0055005E">
        <w:t>national pricing policy</w:t>
      </w:r>
      <w:r>
        <w:t xml:space="preserve">. </w:t>
      </w:r>
    </w:p>
    <w:p w:rsidR="0055005E" w:rsidRDefault="00406E77" w:rsidP="0055005E">
      <w:r>
        <w:t>Fuel cost</w:t>
      </w:r>
      <w:r w:rsidR="0055005E">
        <w:t xml:space="preserve"> in the UK is made up of the product price and taxation. Product price is composed of crude oil cost, processing &amp; refining cost, and distribution &amp; retailing cost. Taxation is a result of fuel duty and Value Added Tax (VAT) – fuel duty is levied on the product price before VAT. Taxation makes up the largest portion of cost of fuel</w:t>
      </w:r>
      <w:r w:rsidR="00555D7E">
        <w:t xml:space="preserve"> in UK – in November 2011, the pump price for petrol was 133.7</w:t>
      </w:r>
      <w:r w:rsidR="00C3477C">
        <w:t xml:space="preserve"> </w:t>
      </w:r>
      <w:r w:rsidR="00555D7E">
        <w:t>pence of which 80.2</w:t>
      </w:r>
      <w:r w:rsidR="00C3477C">
        <w:t xml:space="preserve"> </w:t>
      </w:r>
      <w:r w:rsidR="00555D7E">
        <w:t>pence was taxation cost (5</w:t>
      </w:r>
      <w:r w:rsidR="00C3477C">
        <w:t>7</w:t>
      </w:r>
      <w:r w:rsidR="00555D7E">
        <w:t>.</w:t>
      </w:r>
      <w:r w:rsidR="00C3477C">
        <w:t xml:space="preserve">9 </w:t>
      </w:r>
      <w:r w:rsidR="00555D7E">
        <w:t>pence was duty rate and 22.</w:t>
      </w:r>
      <w:r w:rsidR="00C3477C">
        <w:t xml:space="preserve">3 </w:t>
      </w:r>
      <w:r w:rsidR="00555D7E">
        <w:t>pence was VAT value) and the remaining 53.</w:t>
      </w:r>
      <w:r w:rsidR="00C3477C">
        <w:t xml:space="preserve">5 </w:t>
      </w:r>
      <w:r w:rsidR="00555D7E">
        <w:t>pence accounted for the product price. Between 2008 and 2011, taxation</w:t>
      </w:r>
      <w:r w:rsidR="004361AA">
        <w:t xml:space="preserve"> accounted for 57% - 7</w:t>
      </w:r>
      <w:r w:rsidR="00555D7E">
        <w:t>3% of the pump prices for petrol.</w:t>
      </w:r>
      <w:r w:rsidR="004361AA">
        <w:t xml:space="preserve"> </w:t>
      </w:r>
    </w:p>
    <w:p w:rsidR="001765A3" w:rsidRDefault="001765A3">
      <w:r w:rsidRPr="001765A3">
        <w:t>To help reduce the impact of high fuel costs</w:t>
      </w:r>
      <w:r>
        <w:t>, t</w:t>
      </w:r>
      <w:r w:rsidR="004361AA">
        <w:t xml:space="preserve">he Government passed the </w:t>
      </w:r>
      <w:r>
        <w:t>Fair Fuel Duty Stabiliser</w:t>
      </w:r>
      <w:r w:rsidR="004361AA">
        <w:t xml:space="preserve"> in the 2011 budget, replacing the </w:t>
      </w:r>
      <w:r>
        <w:t xml:space="preserve">Fuel Duty Escalator </w:t>
      </w:r>
      <w:r w:rsidR="004361AA">
        <w:t xml:space="preserve">with the </w:t>
      </w:r>
      <w:r>
        <w:t>Fair Fuel Duty Stabiliser</w:t>
      </w:r>
      <w:r w:rsidR="004361AA">
        <w:t xml:space="preserve">. </w:t>
      </w:r>
      <w:r w:rsidR="00894263">
        <w:t xml:space="preserve">The </w:t>
      </w:r>
      <w:r>
        <w:t xml:space="preserve">fuel duty rate was cut by 1 penny per litre and the fuel duty rise would increase only by </w:t>
      </w:r>
      <w:proofErr w:type="spellStart"/>
      <w:r>
        <w:t>RPI</w:t>
      </w:r>
      <w:proofErr w:type="spellEnd"/>
      <w:r>
        <w:t xml:space="preserve"> as long as the crude oil prices remained high. The fuel duty price rise would be revised to increase by </w:t>
      </w:r>
      <w:proofErr w:type="spellStart"/>
      <w:r>
        <w:t>RPI</w:t>
      </w:r>
      <w:proofErr w:type="spellEnd"/>
      <w:r>
        <w:t xml:space="preserve"> plus 1 penny if the crude oil prices fell below a pre-determined trigger price. The Government proposes to set the trigger price at $75 per barrel.</w:t>
      </w:r>
    </w:p>
    <w:p w:rsidR="008219C7" w:rsidRDefault="000C255B">
      <w:r>
        <w:rPr>
          <w:noProof/>
          <w:lang w:eastAsia="en-GB"/>
        </w:rPr>
        <w:drawing>
          <wp:anchor distT="0" distB="0" distL="114300" distR="114300" simplePos="0" relativeHeight="251658240" behindDoc="0" locked="0" layoutInCell="1" allowOverlap="1" wp14:anchorId="2FEE3B4D" wp14:editId="6165D090">
            <wp:simplePos x="0" y="0"/>
            <wp:positionH relativeFrom="column">
              <wp:posOffset>2731770</wp:posOffset>
            </wp:positionH>
            <wp:positionV relativeFrom="paragraph">
              <wp:posOffset>48895</wp:posOffset>
            </wp:positionV>
            <wp:extent cx="2519680" cy="1644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1644650"/>
                    </a:xfrm>
                    <a:prstGeom prst="rect">
                      <a:avLst/>
                    </a:prstGeom>
                    <a:noFill/>
                  </pic:spPr>
                </pic:pic>
              </a:graphicData>
            </a:graphic>
            <wp14:sizeRelH relativeFrom="page">
              <wp14:pctWidth>0</wp14:pctWidth>
            </wp14:sizeRelH>
            <wp14:sizeRelV relativeFrom="page">
              <wp14:pctHeight>0</wp14:pctHeight>
            </wp14:sizeRelV>
          </wp:anchor>
        </w:drawing>
      </w:r>
      <w:r w:rsidR="008219C7">
        <w:t>R</w:t>
      </w:r>
      <w:r w:rsidR="008219C7" w:rsidRPr="008219C7">
        <w:t>ise in fuel duty and uncertainty over fuel prices have a significant impact on businesses</w:t>
      </w:r>
      <w:r w:rsidR="008219C7">
        <w:t xml:space="preserve">, making overhead costs and budgeting forecasts unpredictable. </w:t>
      </w:r>
      <w:r w:rsidR="00894263">
        <w:t>This</w:t>
      </w:r>
      <w:r w:rsidR="001765A3">
        <w:t xml:space="preserve"> report discusses a different approach to fuel duty </w:t>
      </w:r>
      <w:r w:rsidR="008219C7">
        <w:t>adjustments - b</w:t>
      </w:r>
      <w:r w:rsidR="008219C7" w:rsidRPr="008219C7">
        <w:t xml:space="preserve">y basing the </w:t>
      </w:r>
      <w:r w:rsidR="008219C7">
        <w:t xml:space="preserve">Fuel Duty </w:t>
      </w:r>
      <w:r w:rsidR="008219C7" w:rsidRPr="008219C7">
        <w:t xml:space="preserve">Stabiliser on the </w:t>
      </w:r>
      <w:r w:rsidR="008219C7">
        <w:t xml:space="preserve">crude </w:t>
      </w:r>
      <w:r w:rsidR="008219C7" w:rsidRPr="008219C7">
        <w:t>oil price cycle, the level of fuel duty could be calculated against a trend price for oil.</w:t>
      </w:r>
      <w:r w:rsidR="008219C7">
        <w:t xml:space="preserve"> The duty rate would then be adjusted in regular intervals following the changes in the crude oil price cycle. </w:t>
      </w:r>
      <w:r w:rsidR="00D32612">
        <w:t>This would result in a more predictable pump rate for fuel</w:t>
      </w:r>
      <w:r w:rsidR="000B16C6">
        <w:t>, as illustrated in the chart above,</w:t>
      </w:r>
      <w:r w:rsidR="00D32612">
        <w:t xml:space="preserve"> and allow for better budgeting for smaller businesses in the short-term.</w:t>
      </w:r>
      <w:r w:rsidR="00F95717">
        <w:rPr>
          <w:noProof/>
          <w:lang w:eastAsia="en-GB"/>
        </w:rPr>
        <w:t xml:space="preserve"> </w:t>
      </w:r>
      <w:r w:rsidR="00894263">
        <w:t xml:space="preserve">With a Fuel Duty Stabiliser, </w:t>
      </w:r>
      <w:r w:rsidR="008219C7">
        <w:t xml:space="preserve">the revenues realised by the Treasury </w:t>
      </w:r>
      <w:r w:rsidR="00915150">
        <w:t xml:space="preserve">from adjusted duty revenues </w:t>
      </w:r>
      <w:r w:rsidR="008219C7">
        <w:t xml:space="preserve">are marginally lower than the </w:t>
      </w:r>
      <w:r w:rsidR="00D32612">
        <w:t xml:space="preserve">actual </w:t>
      </w:r>
      <w:r w:rsidR="008219C7">
        <w:t>revenues realised</w:t>
      </w:r>
      <w:r w:rsidR="00D32612">
        <w:t xml:space="preserve">. </w:t>
      </w:r>
    </w:p>
    <w:p w:rsidR="00F95717" w:rsidRDefault="00F95717">
      <w:r>
        <w:t>The fuel duty stabiliser impacts upon fuel prices as illustrated below.</w:t>
      </w:r>
    </w:p>
    <w:p w:rsidR="00FC7299" w:rsidRDefault="00BF73F4">
      <w:r>
        <w:rPr>
          <w:noProof/>
          <w:lang w:eastAsia="en-GB"/>
        </w:rPr>
        <w:drawing>
          <wp:anchor distT="0" distB="0" distL="114300" distR="114300" simplePos="0" relativeHeight="251659264" behindDoc="0" locked="0" layoutInCell="1" allowOverlap="1" wp14:anchorId="303BE50F">
            <wp:simplePos x="0" y="0"/>
            <wp:positionH relativeFrom="column">
              <wp:posOffset>-10160</wp:posOffset>
            </wp:positionH>
            <wp:positionV relativeFrom="paragraph">
              <wp:posOffset>23495</wp:posOffset>
            </wp:positionV>
            <wp:extent cx="5040000" cy="103320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0" cy="1033200"/>
                    </a:xfrm>
                    <a:prstGeom prst="rect">
                      <a:avLst/>
                    </a:prstGeom>
                    <a:noFill/>
                  </pic:spPr>
                </pic:pic>
              </a:graphicData>
            </a:graphic>
            <wp14:sizeRelH relativeFrom="page">
              <wp14:pctWidth>0</wp14:pctWidth>
            </wp14:sizeRelH>
            <wp14:sizeRelV relativeFrom="page">
              <wp14:pctHeight>0</wp14:pctHeight>
            </wp14:sizeRelV>
          </wp:anchor>
        </w:drawing>
      </w:r>
    </w:p>
    <w:p w:rsidR="0078471C" w:rsidRDefault="0078471C">
      <w:r>
        <w:br w:type="page"/>
      </w:r>
    </w:p>
    <w:p w:rsidR="00731F28" w:rsidRDefault="00144D4C" w:rsidP="0095009A">
      <w:pPr>
        <w:pStyle w:val="NumSection"/>
        <w:framePr w:wrap="around"/>
      </w:pPr>
      <w:bookmarkStart w:id="4" w:name="_Toc317251209"/>
      <w:r>
        <w:lastRenderedPageBreak/>
        <w:t>Introduction</w:t>
      </w:r>
      <w:bookmarkEnd w:id="4"/>
    </w:p>
    <w:p w:rsidR="008C28A0" w:rsidRDefault="008C28A0" w:rsidP="008C28A0">
      <w:pPr>
        <w:pStyle w:val="NumHead"/>
      </w:pPr>
      <w:bookmarkStart w:id="5" w:name="_Toc317251210"/>
      <w:r>
        <w:t>Background to the study</w:t>
      </w:r>
      <w:bookmarkEnd w:id="5"/>
      <w:r w:rsidR="00232AEB">
        <w:t xml:space="preserve"> </w:t>
      </w:r>
    </w:p>
    <w:p w:rsidR="008C28A0" w:rsidRDefault="00BB2B3E" w:rsidP="008C28A0">
      <w:r w:rsidRPr="00CF52AE">
        <w:t>Grant Thornton (</w:t>
      </w:r>
      <w:r w:rsidR="00CF52AE" w:rsidRPr="00CF52AE">
        <w:t>"</w:t>
      </w:r>
      <w:r w:rsidRPr="00CF52AE">
        <w:t>GT</w:t>
      </w:r>
      <w:r w:rsidR="00CF52AE" w:rsidRPr="00CF52AE">
        <w:t>"</w:t>
      </w:r>
      <w:r w:rsidRPr="00CF52AE">
        <w:t>) were</w:t>
      </w:r>
      <w:r w:rsidR="008C28A0" w:rsidRPr="00CF52AE">
        <w:t xml:space="preserve"> engaged by </w:t>
      </w:r>
      <w:r w:rsidRPr="00CF52AE">
        <w:t xml:space="preserve">the </w:t>
      </w:r>
      <w:r w:rsidR="008C28A0" w:rsidRPr="00CF52AE">
        <w:t>Federation of Sm</w:t>
      </w:r>
      <w:r w:rsidR="00CA39E5" w:rsidRPr="00CF52AE">
        <w:t>all Businesses (</w:t>
      </w:r>
      <w:r w:rsidR="00CF52AE" w:rsidRPr="00CF52AE">
        <w:t>"</w:t>
      </w:r>
      <w:r w:rsidR="00CA39E5" w:rsidRPr="00CF52AE">
        <w:t>FSB</w:t>
      </w:r>
      <w:r w:rsidR="00CF52AE" w:rsidRPr="00CF52AE">
        <w:t>"</w:t>
      </w:r>
      <w:r w:rsidR="00CA39E5" w:rsidRPr="00CF52AE">
        <w:t xml:space="preserve">) to build an excel-based </w:t>
      </w:r>
      <w:r w:rsidR="006E1E66" w:rsidRPr="00CF52AE">
        <w:t xml:space="preserve">quantitative "Fuel </w:t>
      </w:r>
      <w:r w:rsidR="00894263">
        <w:t xml:space="preserve">Duty </w:t>
      </w:r>
      <w:r w:rsidR="006E1E66" w:rsidRPr="00CF52AE">
        <w:t>Stabiliser Model" ("the Model"</w:t>
      </w:r>
      <w:r w:rsidR="00406E77">
        <w:t>)</w:t>
      </w:r>
      <w:r w:rsidR="00406E77" w:rsidRPr="00CF52AE">
        <w:t xml:space="preserve">. </w:t>
      </w:r>
      <w:r w:rsidR="002B67EE">
        <w:t>T</w:t>
      </w:r>
      <w:r w:rsidR="009C69FB" w:rsidRPr="00CF52AE">
        <w:t xml:space="preserve">he </w:t>
      </w:r>
      <w:r w:rsidR="006E1E66" w:rsidRPr="00CF52AE">
        <w:t xml:space="preserve">objective </w:t>
      </w:r>
      <w:r w:rsidR="002B67EE">
        <w:t>was to</w:t>
      </w:r>
      <w:r w:rsidR="009C69FB" w:rsidRPr="00CF52AE">
        <w:t xml:space="preserve"> illustr</w:t>
      </w:r>
      <w:r w:rsidR="002B67EE">
        <w:t>ate</w:t>
      </w:r>
      <w:r w:rsidR="006E1E66" w:rsidRPr="00CF52AE">
        <w:t xml:space="preserve"> the potential impact of a fuel stabiliser on </w:t>
      </w:r>
      <w:r w:rsidR="00412B37" w:rsidRPr="00CF52AE">
        <w:t>pump price</w:t>
      </w:r>
      <w:r w:rsidR="00CF52AE">
        <w:t xml:space="preserve"> </w:t>
      </w:r>
      <w:r w:rsidR="006E1E66" w:rsidRPr="00CF52AE">
        <w:t xml:space="preserve">should fuel duty be </w:t>
      </w:r>
      <w:r w:rsidR="00412B37" w:rsidRPr="00CF52AE">
        <w:t>adjusted</w:t>
      </w:r>
      <w:r w:rsidR="00526CE6">
        <w:t xml:space="preserve"> and the fiscal neutrality of the adjusted duty rates</w:t>
      </w:r>
      <w:r w:rsidR="006E1E66" w:rsidRPr="00CF52AE">
        <w:t>.</w:t>
      </w:r>
      <w:r w:rsidR="00E30EAF" w:rsidRPr="00CF52AE">
        <w:t xml:space="preserve"> The Model </w:t>
      </w:r>
      <w:r w:rsidR="00CF52AE" w:rsidRPr="00CF52AE">
        <w:t xml:space="preserve">estimates adjusted duty rates </w:t>
      </w:r>
      <w:r w:rsidR="0092057D">
        <w:t>based on the "forecast</w:t>
      </w:r>
      <w:r w:rsidR="00E30EAF" w:rsidRPr="00CF52AE">
        <w:t xml:space="preserve">ed" </w:t>
      </w:r>
      <w:r w:rsidR="00CF52AE" w:rsidRPr="00CF52AE">
        <w:t>pump price</w:t>
      </w:r>
      <w:r w:rsidR="00E30EAF" w:rsidRPr="00CF52AE">
        <w:t xml:space="preserve"> and compares it to the existing fuel pricing structure.</w:t>
      </w:r>
    </w:p>
    <w:p w:rsidR="00F552CE" w:rsidRDefault="00F552CE" w:rsidP="008C28A0">
      <w:r w:rsidRPr="00F552CE">
        <w:t xml:space="preserve">The theory being tested is whether the use of a fuel price stabiliser will flatten out the peaks and troughs currently seen in fuel prices, hence allowing for better budgeting for small business, </w:t>
      </w:r>
      <w:r w:rsidR="00BB2B3E">
        <w:t>whilst</w:t>
      </w:r>
      <w:r w:rsidRPr="00F552CE">
        <w:t xml:space="preserve"> remaining fiscally neutral for the Treasury.</w:t>
      </w:r>
    </w:p>
    <w:p w:rsidR="00B13BB3" w:rsidRDefault="00B13BB3" w:rsidP="008C28A0">
      <w:r>
        <w:t>This report discusses the results of the Model and further elaborates on the methodology, inputs and assumptions on which it wa</w:t>
      </w:r>
      <w:r w:rsidR="00F21805">
        <w:t>s developed in Appendices A and B</w:t>
      </w:r>
      <w:r>
        <w:t>.</w:t>
      </w:r>
    </w:p>
    <w:p w:rsidR="00B13BB3" w:rsidRDefault="00B13BB3" w:rsidP="008C28A0">
      <w:r>
        <w:t xml:space="preserve">The Model has been developed for two fuel types – petrol and diesel, and estimates the adjusted duty rates for both fuel types. In the context of this report, we discuss the impact of the </w:t>
      </w:r>
      <w:r w:rsidR="00894263">
        <w:t>Fuel Duty Stabiliser</w:t>
      </w:r>
      <w:r>
        <w:t xml:space="preserve"> on petrol prices and corresponding duty rates. </w:t>
      </w:r>
    </w:p>
    <w:p w:rsidR="00C07C5C" w:rsidRDefault="00C07C5C"/>
    <w:p w:rsidR="00CF52AE" w:rsidRDefault="001770BE" w:rsidP="00CF52AE">
      <w:pPr>
        <w:pStyle w:val="NumHead"/>
      </w:pPr>
      <w:bookmarkStart w:id="6" w:name="_Toc317251211"/>
      <w:r>
        <w:t xml:space="preserve">Key inputs and </w:t>
      </w:r>
      <w:r w:rsidR="003B2F9F">
        <w:t>terminology</w:t>
      </w:r>
      <w:bookmarkEnd w:id="6"/>
    </w:p>
    <w:p w:rsidR="007C4BF0" w:rsidRDefault="007C4BF0" w:rsidP="00CF52AE">
      <w:r>
        <w:t xml:space="preserve">The </w:t>
      </w:r>
      <w:r w:rsidR="00F86986" w:rsidRPr="00F86986">
        <w:rPr>
          <w:b/>
        </w:rPr>
        <w:t xml:space="preserve">actual </w:t>
      </w:r>
      <w:r w:rsidRPr="007C4BF0">
        <w:rPr>
          <w:b/>
        </w:rPr>
        <w:t xml:space="preserve">petrol </w:t>
      </w:r>
      <w:r w:rsidR="00DD2089">
        <w:rPr>
          <w:b/>
        </w:rPr>
        <w:t xml:space="preserve">pump </w:t>
      </w:r>
      <w:r w:rsidRPr="007C4BF0">
        <w:rPr>
          <w:b/>
        </w:rPr>
        <w:t>price</w:t>
      </w:r>
      <w:r>
        <w:t xml:space="preserve"> </w:t>
      </w:r>
      <w:r w:rsidR="00DD2089">
        <w:t>(hereinafter referred to as "</w:t>
      </w:r>
      <w:r w:rsidR="00F86986">
        <w:t xml:space="preserve">actual </w:t>
      </w:r>
      <w:r w:rsidR="00DD2089">
        <w:t xml:space="preserve">pump price") </w:t>
      </w:r>
      <w:r>
        <w:t xml:space="preserve">is </w:t>
      </w:r>
      <w:r w:rsidR="00144D4C" w:rsidRPr="00144D4C">
        <w:t xml:space="preserve">made up of </w:t>
      </w:r>
      <w:r>
        <w:t>three main components</w:t>
      </w:r>
      <w:r w:rsidR="00510B58">
        <w:t>:</w:t>
      </w:r>
    </w:p>
    <w:p w:rsidR="007C4BF0" w:rsidRDefault="007C4BF0" w:rsidP="007C4BF0">
      <w:pPr>
        <w:pStyle w:val="BulletOne"/>
      </w:pPr>
      <w:r w:rsidRPr="00C07C5C">
        <w:rPr>
          <w:b/>
        </w:rPr>
        <w:t>Actual duty rate</w:t>
      </w:r>
      <w:r>
        <w:t xml:space="preserve"> –</w:t>
      </w:r>
      <w:r w:rsidR="00DD2089">
        <w:t xml:space="preserve"> </w:t>
      </w:r>
      <w:r>
        <w:t xml:space="preserve">as specified by </w:t>
      </w:r>
      <w:proofErr w:type="spellStart"/>
      <w:r>
        <w:t>HMRC</w:t>
      </w:r>
      <w:proofErr w:type="spellEnd"/>
      <w:r w:rsidR="004813A5">
        <w:t xml:space="preserve"> </w:t>
      </w:r>
    </w:p>
    <w:p w:rsidR="007C4BF0" w:rsidRDefault="007C4BF0" w:rsidP="007C4BF0">
      <w:pPr>
        <w:pStyle w:val="BulletOne"/>
      </w:pPr>
      <w:r w:rsidRPr="00C07C5C">
        <w:rPr>
          <w:b/>
        </w:rPr>
        <w:t>Value added tax (VAT)</w:t>
      </w:r>
      <w:r w:rsidR="00DD2089">
        <w:t xml:space="preserve"> – </w:t>
      </w:r>
      <w:r w:rsidR="004813A5">
        <w:t xml:space="preserve">as specified by </w:t>
      </w:r>
      <w:proofErr w:type="spellStart"/>
      <w:r w:rsidR="004813A5">
        <w:t>HMRC</w:t>
      </w:r>
      <w:proofErr w:type="spellEnd"/>
      <w:r w:rsidR="004813A5">
        <w:t xml:space="preserve"> </w:t>
      </w:r>
    </w:p>
    <w:p w:rsidR="008E75DA" w:rsidRDefault="00F02B62" w:rsidP="00F95717">
      <w:pPr>
        <w:pStyle w:val="BulletTwo"/>
        <w:numPr>
          <w:ilvl w:val="0"/>
          <w:numId w:val="44"/>
        </w:numPr>
      </w:pPr>
      <w:r w:rsidRPr="00F95717">
        <w:rPr>
          <w:b/>
        </w:rPr>
        <w:t>Oil price</w:t>
      </w:r>
      <w:r w:rsidR="008E75DA">
        <w:t xml:space="preserve"> </w:t>
      </w:r>
      <w:r w:rsidR="00C31776">
        <w:t>is c</w:t>
      </w:r>
      <w:r>
        <w:t>alculated as</w:t>
      </w:r>
      <w:r w:rsidR="00F95717">
        <w:t xml:space="preserve"> </w:t>
      </w:r>
      <w:r w:rsidR="000D4833">
        <w:t xml:space="preserve">pump price less actual duty and VAT. </w:t>
      </w:r>
      <w:r w:rsidR="00144D4C" w:rsidRPr="00144D4C">
        <w:t xml:space="preserve">For the purposes of this report, </w:t>
      </w:r>
      <w:r w:rsidR="002B67EE">
        <w:t xml:space="preserve">it is assumed that </w:t>
      </w:r>
      <w:r w:rsidR="008E75DA">
        <w:t xml:space="preserve">actual </w:t>
      </w:r>
      <w:r w:rsidR="002B67EE">
        <w:t>oi</w:t>
      </w:r>
      <w:r w:rsidR="00F86986">
        <w:t>l price includes overheads such as</w:t>
      </w:r>
      <w:r w:rsidR="002B67EE">
        <w:t xml:space="preserve"> </w:t>
      </w:r>
      <w:r w:rsidR="00F86986">
        <w:t xml:space="preserve">refining costs, </w:t>
      </w:r>
      <w:r w:rsidR="00144D4C" w:rsidRPr="00144D4C">
        <w:t>dis</w:t>
      </w:r>
      <w:r w:rsidR="00F86986">
        <w:t xml:space="preserve">tribution costs </w:t>
      </w:r>
      <w:r w:rsidR="00144D4C" w:rsidRPr="00144D4C">
        <w:t>and profit margin within the</w:t>
      </w:r>
      <w:r w:rsidR="002B67EE">
        <w:t xml:space="preserve"> supply chain.</w:t>
      </w:r>
      <w:r w:rsidR="00D3697C">
        <w:t xml:space="preserve"> These overheads have been included in the oil price as it has not been possible to obtain adequate and specific information relating to them.</w:t>
      </w:r>
    </w:p>
    <w:p w:rsidR="002B67EE" w:rsidRDefault="002B67EE" w:rsidP="002B67EE">
      <w:r w:rsidRPr="007C540E">
        <w:rPr>
          <w:b/>
        </w:rPr>
        <w:t>Crude oil prices</w:t>
      </w:r>
      <w:r w:rsidR="00573F11">
        <w:t xml:space="preserve"> relate to </w:t>
      </w:r>
      <w:r>
        <w:t>B</w:t>
      </w:r>
      <w:r w:rsidRPr="00F02B62">
        <w:t>rent</w:t>
      </w:r>
      <w:r>
        <w:t xml:space="preserve"> prices</w:t>
      </w:r>
      <w:r w:rsidR="00F86986">
        <w:t xml:space="preserve">. </w:t>
      </w:r>
      <w:r w:rsidR="00573F11">
        <w:t>Actual Brent prices are taken from the BP website</w:t>
      </w:r>
      <w:r w:rsidR="0048165A">
        <w:t>,</w:t>
      </w:r>
      <w:r w:rsidR="00573F11">
        <w:t xml:space="preserve"> </w:t>
      </w:r>
      <w:r w:rsidR="0048165A">
        <w:t>with</w:t>
      </w:r>
      <w:r w:rsidR="00573F11">
        <w:t xml:space="preserve"> the 1, 2 and 3</w:t>
      </w:r>
      <w:r w:rsidR="00B54B28">
        <w:t xml:space="preserve"> </w:t>
      </w:r>
      <w:r w:rsidR="00573F11">
        <w:t>month</w:t>
      </w:r>
      <w:r w:rsidR="0048165A">
        <w:t xml:space="preserve"> future prices taken from </w:t>
      </w:r>
      <w:r w:rsidR="006E23C4">
        <w:t xml:space="preserve">Thomson Reuters </w:t>
      </w:r>
      <w:r w:rsidR="0064257F">
        <w:t>DataStream</w:t>
      </w:r>
      <w:r w:rsidR="0048165A">
        <w:t>.</w:t>
      </w:r>
      <w:r w:rsidR="00573F11">
        <w:t xml:space="preserve"> </w:t>
      </w:r>
    </w:p>
    <w:p w:rsidR="008E75DA" w:rsidRDefault="008E75DA" w:rsidP="002B67EE"/>
    <w:p w:rsidR="00F95717" w:rsidRDefault="00F95717" w:rsidP="002B67EE"/>
    <w:p w:rsidR="00F95717" w:rsidRDefault="00F95717" w:rsidP="002B67EE"/>
    <w:p w:rsidR="000F7157" w:rsidRDefault="00803593" w:rsidP="000F7157">
      <w:r>
        <w:lastRenderedPageBreak/>
        <w:t xml:space="preserve">In order to calculate </w:t>
      </w:r>
      <w:r w:rsidR="00B54B28">
        <w:t xml:space="preserve">a </w:t>
      </w:r>
      <w:r>
        <w:t xml:space="preserve">stabilised rate of fuel duty, we need to forecast pump prices based on future spot oil prices. </w:t>
      </w:r>
      <w:r w:rsidRPr="00803593">
        <w:t xml:space="preserve">The Model estimates </w:t>
      </w:r>
      <w:r w:rsidRPr="00803593">
        <w:rPr>
          <w:b/>
        </w:rPr>
        <w:t>forecast pump price</w:t>
      </w:r>
      <w:r w:rsidR="00121A48">
        <w:t xml:space="preserve"> under</w:t>
      </w:r>
      <w:r w:rsidR="00475785">
        <w:t xml:space="preserve"> three</w:t>
      </w:r>
      <w:r w:rsidR="000F7157">
        <w:t xml:space="preserve"> scenarios:</w:t>
      </w:r>
    </w:p>
    <w:p w:rsidR="002E6ADE" w:rsidRDefault="000F7157" w:rsidP="002E6ADE">
      <w:pPr>
        <w:pStyle w:val="BulletOne"/>
      </w:pPr>
      <w:r w:rsidRPr="009C69FB">
        <w:rPr>
          <w:b/>
        </w:rPr>
        <w:t xml:space="preserve">6+6 </w:t>
      </w:r>
      <w:r w:rsidR="00475785">
        <w:rPr>
          <w:b/>
        </w:rPr>
        <w:t>forecast</w:t>
      </w:r>
      <w:r w:rsidR="00564386">
        <w:rPr>
          <w:b/>
        </w:rPr>
        <w:t xml:space="preserve"> pump price</w:t>
      </w:r>
      <w:r w:rsidR="00564386">
        <w:t xml:space="preserve"> </w:t>
      </w:r>
      <w:r>
        <w:t xml:space="preserve">- </w:t>
      </w:r>
      <w:r w:rsidR="00564386">
        <w:t xml:space="preserve">The actual pump price is </w:t>
      </w:r>
      <w:r w:rsidR="00475785">
        <w:t>forecasted</w:t>
      </w:r>
      <w:r w:rsidR="00564386">
        <w:t xml:space="preserve"> based on</w:t>
      </w:r>
      <w:r w:rsidR="00564386" w:rsidRPr="00C50A62">
        <w:t xml:space="preserve"> a</w:t>
      </w:r>
      <w:r w:rsidR="00564386">
        <w:t xml:space="preserve"> 6 month historic and 6 </w:t>
      </w:r>
      <w:r w:rsidR="00564386" w:rsidRPr="00C50A62">
        <w:t>month forecast average</w:t>
      </w:r>
      <w:r w:rsidR="00564386">
        <w:t>.</w:t>
      </w:r>
      <w:r w:rsidR="000D4833" w:rsidRPr="000D4833">
        <w:rPr>
          <w:b/>
        </w:rPr>
        <w:t xml:space="preserve"> </w:t>
      </w:r>
      <w:r w:rsidR="000D4833" w:rsidRPr="000D4833">
        <w:t>Appendix A details</w:t>
      </w:r>
      <w:r w:rsidR="000D4833">
        <w:t xml:space="preserve"> the methodology used to calculate the 6+6 </w:t>
      </w:r>
      <w:r w:rsidR="00475785">
        <w:t>forecast</w:t>
      </w:r>
      <w:r w:rsidR="000D4833">
        <w:t xml:space="preserve"> pump price.</w:t>
      </w:r>
    </w:p>
    <w:p w:rsidR="00915150" w:rsidRPr="000D4833" w:rsidRDefault="00475785" w:rsidP="000D4833">
      <w:pPr>
        <w:pStyle w:val="BulletOne"/>
      </w:pPr>
      <w:r>
        <w:rPr>
          <w:b/>
        </w:rPr>
        <w:t>12+3 forecast</w:t>
      </w:r>
      <w:r w:rsidR="00915150">
        <w:rPr>
          <w:b/>
        </w:rPr>
        <w:t xml:space="preserve"> pump price </w:t>
      </w:r>
      <w:r w:rsidR="00915150" w:rsidRPr="00915150">
        <w:t>-</w:t>
      </w:r>
      <w:r w:rsidR="00915150">
        <w:t xml:space="preserve"> The actual pump price is </w:t>
      </w:r>
      <w:r>
        <w:t xml:space="preserve">forecasted </w:t>
      </w:r>
      <w:r w:rsidR="00915150">
        <w:t>based on</w:t>
      </w:r>
      <w:r w:rsidR="00915150" w:rsidRPr="00C50A62">
        <w:t xml:space="preserve"> a</w:t>
      </w:r>
      <w:r w:rsidR="00915150">
        <w:t xml:space="preserve"> 12 month historic and 3 </w:t>
      </w:r>
      <w:r w:rsidR="00915150" w:rsidRPr="00C50A62">
        <w:t>month forecast average</w:t>
      </w:r>
      <w:r w:rsidR="00915150">
        <w:t>.</w:t>
      </w:r>
      <w:r w:rsidR="00915150" w:rsidRPr="000D4833">
        <w:rPr>
          <w:b/>
        </w:rPr>
        <w:t xml:space="preserve"> </w:t>
      </w:r>
    </w:p>
    <w:p w:rsidR="000F7157" w:rsidRDefault="000D4833" w:rsidP="00564386">
      <w:pPr>
        <w:pStyle w:val="BulletOne"/>
      </w:pPr>
      <w:r w:rsidRPr="0048165A">
        <w:rPr>
          <w:b/>
        </w:rPr>
        <w:t xml:space="preserve">12 month </w:t>
      </w:r>
      <w:r w:rsidR="00475785">
        <w:rPr>
          <w:b/>
        </w:rPr>
        <w:t xml:space="preserve">forecast </w:t>
      </w:r>
      <w:r w:rsidRPr="0048165A">
        <w:rPr>
          <w:b/>
        </w:rPr>
        <w:t xml:space="preserve">pump price - </w:t>
      </w:r>
      <w:r>
        <w:t xml:space="preserve">The actual pump price is </w:t>
      </w:r>
      <w:r w:rsidR="00475785">
        <w:t xml:space="preserve">forecasted </w:t>
      </w:r>
      <w:r>
        <w:t xml:space="preserve">using a 12 </w:t>
      </w:r>
      <w:r w:rsidRPr="00C50A62">
        <w:t xml:space="preserve">month historic </w:t>
      </w:r>
      <w:r>
        <w:t>moving average.</w:t>
      </w:r>
    </w:p>
    <w:p w:rsidR="00C07C5C" w:rsidRDefault="000F7157" w:rsidP="000F7157">
      <w:r>
        <w:t xml:space="preserve">The </w:t>
      </w:r>
      <w:r w:rsidR="00121A48" w:rsidRPr="00121A48">
        <w:rPr>
          <w:b/>
        </w:rPr>
        <w:t xml:space="preserve">adjusted </w:t>
      </w:r>
      <w:r w:rsidRPr="00121A48">
        <w:rPr>
          <w:b/>
        </w:rPr>
        <w:t>duty rates</w:t>
      </w:r>
      <w:r w:rsidR="007527A2">
        <w:t xml:space="preserve"> are</w:t>
      </w:r>
      <w:r w:rsidR="00953381">
        <w:t xml:space="preserve"> </w:t>
      </w:r>
      <w:r w:rsidR="007527A2">
        <w:t>derived</w:t>
      </w:r>
      <w:r>
        <w:t xml:space="preserve"> </w:t>
      </w:r>
      <w:r w:rsidR="00510B58">
        <w:t xml:space="preserve">from the </w:t>
      </w:r>
      <w:r w:rsidR="00475785">
        <w:t xml:space="preserve">forecasted </w:t>
      </w:r>
      <w:r w:rsidR="00510B58">
        <w:t>pump price</w:t>
      </w:r>
      <w:r w:rsidR="007527A2">
        <w:t xml:space="preserve">, after </w:t>
      </w:r>
      <w:r w:rsidR="00953381">
        <w:t xml:space="preserve">accounting for </w:t>
      </w:r>
      <w:r w:rsidR="007527A2">
        <w:t>oil price and VAT,</w:t>
      </w:r>
      <w:r w:rsidR="00510B58">
        <w:t xml:space="preserve"> </w:t>
      </w:r>
      <w:r w:rsidR="00121A48">
        <w:t>under each scenario</w:t>
      </w:r>
      <w:r w:rsidR="00510B58">
        <w:t>:</w:t>
      </w:r>
    </w:p>
    <w:p w:rsidR="000D4833" w:rsidRDefault="000D4833" w:rsidP="000D4833">
      <w:pPr>
        <w:pStyle w:val="BulletOne"/>
      </w:pPr>
      <w:r>
        <w:rPr>
          <w:b/>
        </w:rPr>
        <w:t xml:space="preserve">6+6 adjusted duty rate - </w:t>
      </w:r>
      <w:r>
        <w:t xml:space="preserve">The adjusted duty rate is estimated from 6+6 </w:t>
      </w:r>
      <w:r w:rsidR="00475785">
        <w:t xml:space="preserve">forecasted </w:t>
      </w:r>
      <w:r>
        <w:t>pump price af</w:t>
      </w:r>
      <w:r w:rsidR="00915150">
        <w:t>ter accounting for VAT and estimated oil price</w:t>
      </w:r>
      <w:r>
        <w:t>.</w:t>
      </w:r>
    </w:p>
    <w:p w:rsidR="00915150" w:rsidRDefault="00915150" w:rsidP="000D4833">
      <w:pPr>
        <w:pStyle w:val="BulletOne"/>
      </w:pPr>
      <w:r>
        <w:rPr>
          <w:b/>
        </w:rPr>
        <w:t xml:space="preserve">12+3 adjusted duty rate - </w:t>
      </w:r>
      <w:r>
        <w:t xml:space="preserve">The adjusted duty rate is estimated from 12+3 </w:t>
      </w:r>
      <w:r w:rsidR="00475785">
        <w:t xml:space="preserve">forecasted </w:t>
      </w:r>
      <w:r>
        <w:t>pump price after accounting for VAT and estimated oil price.</w:t>
      </w:r>
    </w:p>
    <w:p w:rsidR="00C069C4" w:rsidRDefault="00C069C4" w:rsidP="00C069C4">
      <w:pPr>
        <w:pStyle w:val="BulletOne"/>
      </w:pPr>
      <w:r w:rsidRPr="009C69FB">
        <w:rPr>
          <w:b/>
        </w:rPr>
        <w:t>12 m</w:t>
      </w:r>
      <w:r>
        <w:rPr>
          <w:b/>
        </w:rPr>
        <w:t xml:space="preserve">onth adjusted duty rate - </w:t>
      </w:r>
      <w:r>
        <w:t xml:space="preserve">The adjusted duty rate is estimated from 12 month </w:t>
      </w:r>
      <w:r w:rsidR="00475785">
        <w:t xml:space="preserve">forecasted </w:t>
      </w:r>
      <w:r>
        <w:t>pump price after accounting for oil price and VAT.</w:t>
      </w:r>
    </w:p>
    <w:p w:rsidR="00564386" w:rsidRPr="00CF52AE" w:rsidRDefault="00564386" w:rsidP="005C6F81"/>
    <w:p w:rsidR="00570783" w:rsidRDefault="00570783">
      <w:r>
        <w:br w:type="page"/>
      </w:r>
    </w:p>
    <w:p w:rsidR="00570783" w:rsidRDefault="00286E7A" w:rsidP="00570783">
      <w:pPr>
        <w:pStyle w:val="NumSection"/>
        <w:framePr w:wrap="around"/>
      </w:pPr>
      <w:bookmarkStart w:id="7" w:name="_Toc317251212"/>
      <w:r>
        <w:lastRenderedPageBreak/>
        <w:t>Fuel Stabiliser Model Results</w:t>
      </w:r>
      <w:bookmarkEnd w:id="7"/>
    </w:p>
    <w:p w:rsidR="002024FC" w:rsidRDefault="002024FC" w:rsidP="002024FC">
      <w:pPr>
        <w:pStyle w:val="NumHead"/>
      </w:pPr>
      <w:bookmarkStart w:id="8" w:name="_Toc317251213"/>
      <w:r>
        <w:t>Fiscal neutrality of an adjusted duty</w:t>
      </w:r>
      <w:bookmarkEnd w:id="8"/>
      <w:r>
        <w:t xml:space="preserve"> </w:t>
      </w:r>
    </w:p>
    <w:p w:rsidR="005115E5" w:rsidRDefault="005115E5" w:rsidP="002024FC">
      <w:r>
        <w:t xml:space="preserve">The Model </w:t>
      </w:r>
      <w:r w:rsidR="005729D4">
        <w:t xml:space="preserve">estimates the adjusted duty rate for the </w:t>
      </w:r>
      <w:r w:rsidR="000D4833">
        <w:t>6+6</w:t>
      </w:r>
      <w:r w:rsidR="00915150">
        <w:t xml:space="preserve">, 12+3 </w:t>
      </w:r>
      <w:r w:rsidR="000D4833">
        <w:t xml:space="preserve">and </w:t>
      </w:r>
      <w:r w:rsidR="005729D4">
        <w:t xml:space="preserve">12 month </w:t>
      </w:r>
      <w:r w:rsidR="00475785">
        <w:t xml:space="preserve">forecasted </w:t>
      </w:r>
      <w:r w:rsidR="005729D4">
        <w:t>pump price respectively and then compares the total duty r</w:t>
      </w:r>
      <w:r w:rsidR="00915150">
        <w:t>evenues realised under the three</w:t>
      </w:r>
      <w:r w:rsidR="005729D4">
        <w:t xml:space="preserve"> scenarios to the actual duty revenues. The objective is to find the optimal scenario under which the revenue realised by the Treasury is least deviated from the actual duty revenue.</w:t>
      </w:r>
    </w:p>
    <w:p w:rsidR="000C255B" w:rsidRDefault="00766F8E" w:rsidP="002024FC">
      <w:r>
        <w:t>Table</w:t>
      </w:r>
      <w:r w:rsidR="00637D40">
        <w:t xml:space="preserve"> 1 </w:t>
      </w:r>
      <w:r w:rsidR="002024FC">
        <w:t>compare</w:t>
      </w:r>
      <w:r w:rsidR="00637D40">
        <w:t>s</w:t>
      </w:r>
      <w:r w:rsidR="002024FC">
        <w:t xml:space="preserve"> the fiscal neutrality of the revenues realised from </w:t>
      </w:r>
      <w:r w:rsidR="00D47F1C">
        <w:t xml:space="preserve">the </w:t>
      </w:r>
      <w:r w:rsidR="002024FC">
        <w:t>adjusted duty rates</w:t>
      </w:r>
      <w:r w:rsidR="00915150">
        <w:t xml:space="preserve"> under the three</w:t>
      </w:r>
      <w:r w:rsidR="005729D4">
        <w:t xml:space="preserve"> scenarios</w:t>
      </w:r>
      <w:r w:rsidR="002024FC">
        <w:t xml:space="preserve"> to the revenues realised from actual duty rates</w:t>
      </w:r>
      <w:r w:rsidR="005729D4">
        <w:t xml:space="preserve">. </w:t>
      </w:r>
    </w:p>
    <w:p w:rsidR="002024FC" w:rsidRDefault="00755878" w:rsidP="002024FC">
      <w:r>
        <w:t xml:space="preserve">The actual duty is calculated </w:t>
      </w:r>
      <w:r w:rsidR="00B54B28">
        <w:t>based on</w:t>
      </w:r>
      <w:r>
        <w:t xml:space="preserve"> the fuel duty </w:t>
      </w:r>
      <w:r w:rsidR="00B54B28">
        <w:t>per</w:t>
      </w:r>
      <w:r>
        <w:t xml:space="preserve"> litre of fuel for each month from January 2008 to December 2011. </w:t>
      </w:r>
    </w:p>
    <w:p w:rsidR="002024FC" w:rsidRDefault="002024FC" w:rsidP="002024FC"/>
    <w:p w:rsidR="002024FC" w:rsidRDefault="002024FC" w:rsidP="002024FC">
      <w:r>
        <w:t xml:space="preserve">Table 1 - Total </w:t>
      </w:r>
      <w:r w:rsidR="000D4833">
        <w:t xml:space="preserve">duty revenues realised </w:t>
      </w:r>
      <w:r w:rsidR="00637D40">
        <w:t xml:space="preserve">from </w:t>
      </w:r>
      <w:r w:rsidR="000D4833">
        <w:t>January</w:t>
      </w:r>
      <w:r w:rsidR="00637D40">
        <w:t xml:space="preserve"> 2008</w:t>
      </w:r>
      <w:r>
        <w:t xml:space="preserve"> to </w:t>
      </w:r>
      <w:r w:rsidR="008E75DA">
        <w:t xml:space="preserve">December </w:t>
      </w:r>
      <w:r w:rsidR="00637D40">
        <w:t>2011</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417"/>
        <w:gridCol w:w="1417"/>
        <w:gridCol w:w="1417"/>
        <w:gridCol w:w="1416"/>
      </w:tblGrid>
      <w:tr w:rsidR="00915150" w:rsidRPr="00222352" w:rsidTr="00915150">
        <w:trPr>
          <w:trHeight w:val="570"/>
        </w:trPr>
        <w:tc>
          <w:tcPr>
            <w:tcW w:w="1553" w:type="pct"/>
            <w:vMerge w:val="restart"/>
            <w:shd w:val="clear" w:color="auto" w:fill="auto"/>
            <w:noWrap/>
            <w:vAlign w:val="center"/>
            <w:hideMark/>
          </w:tcPr>
          <w:p w:rsidR="00915150" w:rsidRPr="00222352" w:rsidRDefault="00915150" w:rsidP="002024FC">
            <w:pPr>
              <w:spacing w:before="0" w:after="0"/>
              <w:rPr>
                <w:rFonts w:cs="Arial"/>
                <w:szCs w:val="22"/>
                <w:lang w:eastAsia="en-GB"/>
              </w:rPr>
            </w:pPr>
          </w:p>
        </w:tc>
        <w:tc>
          <w:tcPr>
            <w:tcW w:w="862" w:type="pct"/>
            <w:tcBorders>
              <w:bottom w:val="nil"/>
            </w:tcBorders>
            <w:shd w:val="clear" w:color="auto" w:fill="auto"/>
            <w:noWrap/>
            <w:vAlign w:val="center"/>
          </w:tcPr>
          <w:p w:rsidR="00915150" w:rsidRPr="00222352" w:rsidRDefault="00915150" w:rsidP="002024FC">
            <w:pPr>
              <w:spacing w:before="0" w:after="0"/>
              <w:rPr>
                <w:rFonts w:cs="Arial"/>
                <w:szCs w:val="22"/>
                <w:lang w:eastAsia="en-GB"/>
              </w:rPr>
            </w:pPr>
            <w:r>
              <w:rPr>
                <w:rFonts w:cs="Arial"/>
                <w:szCs w:val="22"/>
                <w:lang w:eastAsia="en-GB"/>
              </w:rPr>
              <w:t xml:space="preserve">Actual duty </w:t>
            </w:r>
          </w:p>
        </w:tc>
        <w:tc>
          <w:tcPr>
            <w:tcW w:w="862" w:type="pct"/>
            <w:tcBorders>
              <w:bottom w:val="nil"/>
            </w:tcBorders>
            <w:shd w:val="clear" w:color="auto" w:fill="auto"/>
            <w:vAlign w:val="center"/>
          </w:tcPr>
          <w:p w:rsidR="00915150" w:rsidRPr="003431B8" w:rsidRDefault="00915150" w:rsidP="00997020">
            <w:pPr>
              <w:spacing w:before="0" w:after="0"/>
              <w:rPr>
                <w:rFonts w:cs="Arial"/>
                <w:b/>
                <w:szCs w:val="22"/>
                <w:lang w:eastAsia="en-GB"/>
              </w:rPr>
            </w:pPr>
            <w:r w:rsidRPr="003431B8">
              <w:rPr>
                <w:rFonts w:cs="Arial"/>
                <w:b/>
                <w:szCs w:val="22"/>
                <w:lang w:eastAsia="en-GB"/>
              </w:rPr>
              <w:t>6+6 adjusted duty</w:t>
            </w:r>
          </w:p>
        </w:tc>
        <w:tc>
          <w:tcPr>
            <w:tcW w:w="862" w:type="pct"/>
            <w:tcBorders>
              <w:bottom w:val="nil"/>
            </w:tcBorders>
            <w:shd w:val="clear" w:color="auto" w:fill="auto"/>
            <w:noWrap/>
            <w:vAlign w:val="center"/>
          </w:tcPr>
          <w:p w:rsidR="00915150" w:rsidRPr="003431B8" w:rsidRDefault="00915150" w:rsidP="00915150">
            <w:pPr>
              <w:spacing w:before="0" w:after="0"/>
              <w:rPr>
                <w:rFonts w:cs="Arial"/>
                <w:szCs w:val="22"/>
                <w:lang w:eastAsia="en-GB"/>
              </w:rPr>
            </w:pPr>
            <w:r w:rsidRPr="003431B8">
              <w:rPr>
                <w:rFonts w:cs="Arial"/>
                <w:szCs w:val="22"/>
                <w:lang w:eastAsia="en-GB"/>
              </w:rPr>
              <w:t>12</w:t>
            </w:r>
            <w:r>
              <w:rPr>
                <w:rFonts w:cs="Arial"/>
                <w:szCs w:val="22"/>
                <w:lang w:eastAsia="en-GB"/>
              </w:rPr>
              <w:t xml:space="preserve">+3 </w:t>
            </w:r>
            <w:r w:rsidRPr="003431B8">
              <w:rPr>
                <w:rFonts w:cs="Arial"/>
                <w:szCs w:val="22"/>
                <w:lang w:eastAsia="en-GB"/>
              </w:rPr>
              <w:t>adjusted duty</w:t>
            </w:r>
          </w:p>
        </w:tc>
        <w:tc>
          <w:tcPr>
            <w:tcW w:w="862" w:type="pct"/>
            <w:tcBorders>
              <w:bottom w:val="nil"/>
            </w:tcBorders>
            <w:shd w:val="clear" w:color="auto" w:fill="auto"/>
            <w:vAlign w:val="center"/>
          </w:tcPr>
          <w:p w:rsidR="00915150" w:rsidRPr="003431B8" w:rsidRDefault="00915150" w:rsidP="00915150">
            <w:pPr>
              <w:spacing w:before="0" w:after="0"/>
              <w:rPr>
                <w:rFonts w:cs="Arial"/>
                <w:szCs w:val="22"/>
                <w:lang w:eastAsia="en-GB"/>
              </w:rPr>
            </w:pPr>
            <w:r w:rsidRPr="003431B8">
              <w:rPr>
                <w:rFonts w:cs="Arial"/>
                <w:szCs w:val="22"/>
                <w:lang w:eastAsia="en-GB"/>
              </w:rPr>
              <w:t>12 month adjusted duty</w:t>
            </w:r>
          </w:p>
        </w:tc>
      </w:tr>
      <w:tr w:rsidR="00915150" w:rsidRPr="00222352" w:rsidTr="00915150">
        <w:trPr>
          <w:trHeight w:val="273"/>
        </w:trPr>
        <w:tc>
          <w:tcPr>
            <w:tcW w:w="1553" w:type="pct"/>
            <w:vMerge/>
            <w:shd w:val="clear" w:color="auto" w:fill="auto"/>
            <w:noWrap/>
            <w:vAlign w:val="center"/>
            <w:hideMark/>
          </w:tcPr>
          <w:p w:rsidR="00915150" w:rsidRPr="00222352" w:rsidRDefault="00915150" w:rsidP="002024FC">
            <w:pPr>
              <w:spacing w:before="0" w:after="0"/>
              <w:rPr>
                <w:rFonts w:cs="Arial"/>
                <w:szCs w:val="22"/>
                <w:lang w:eastAsia="en-GB"/>
              </w:rPr>
            </w:pPr>
          </w:p>
        </w:tc>
        <w:tc>
          <w:tcPr>
            <w:tcW w:w="862" w:type="pct"/>
            <w:tcBorders>
              <w:top w:val="nil"/>
            </w:tcBorders>
            <w:shd w:val="clear" w:color="auto" w:fill="auto"/>
            <w:noWrap/>
            <w:vAlign w:val="center"/>
            <w:hideMark/>
          </w:tcPr>
          <w:p w:rsidR="00915150" w:rsidRPr="00222352" w:rsidRDefault="00915150" w:rsidP="002024FC">
            <w:pPr>
              <w:spacing w:before="0" w:after="0"/>
              <w:rPr>
                <w:rFonts w:cs="Arial"/>
                <w:szCs w:val="22"/>
                <w:lang w:eastAsia="en-GB"/>
              </w:rPr>
            </w:pPr>
            <w:r>
              <w:rPr>
                <w:rFonts w:cs="Arial"/>
                <w:szCs w:val="22"/>
                <w:lang w:eastAsia="en-GB"/>
              </w:rPr>
              <w:t>£</w:t>
            </w:r>
          </w:p>
        </w:tc>
        <w:tc>
          <w:tcPr>
            <w:tcW w:w="862" w:type="pct"/>
            <w:tcBorders>
              <w:top w:val="nil"/>
            </w:tcBorders>
            <w:shd w:val="clear" w:color="auto" w:fill="auto"/>
            <w:noWrap/>
            <w:vAlign w:val="center"/>
            <w:hideMark/>
          </w:tcPr>
          <w:p w:rsidR="00915150" w:rsidRPr="003431B8" w:rsidRDefault="00915150" w:rsidP="002024FC">
            <w:pPr>
              <w:spacing w:before="0" w:after="0"/>
              <w:rPr>
                <w:rFonts w:cs="Arial"/>
                <w:b/>
                <w:szCs w:val="22"/>
                <w:lang w:eastAsia="en-GB"/>
              </w:rPr>
            </w:pPr>
            <w:r w:rsidRPr="003431B8">
              <w:rPr>
                <w:rFonts w:cs="Arial"/>
                <w:b/>
                <w:szCs w:val="22"/>
                <w:lang w:eastAsia="en-GB"/>
              </w:rPr>
              <w:t>£</w:t>
            </w:r>
          </w:p>
        </w:tc>
        <w:tc>
          <w:tcPr>
            <w:tcW w:w="862" w:type="pct"/>
            <w:tcBorders>
              <w:top w:val="nil"/>
            </w:tcBorders>
            <w:shd w:val="clear" w:color="auto" w:fill="auto"/>
            <w:noWrap/>
            <w:vAlign w:val="center"/>
            <w:hideMark/>
          </w:tcPr>
          <w:p w:rsidR="00915150" w:rsidRPr="003431B8" w:rsidRDefault="00915150" w:rsidP="002024FC">
            <w:pPr>
              <w:spacing w:before="0" w:after="0"/>
              <w:rPr>
                <w:rFonts w:cs="Arial"/>
                <w:szCs w:val="22"/>
                <w:lang w:eastAsia="en-GB"/>
              </w:rPr>
            </w:pPr>
            <w:r w:rsidRPr="003431B8">
              <w:rPr>
                <w:rFonts w:cs="Arial"/>
                <w:szCs w:val="22"/>
                <w:lang w:eastAsia="en-GB"/>
              </w:rPr>
              <w:t>£</w:t>
            </w:r>
          </w:p>
        </w:tc>
        <w:tc>
          <w:tcPr>
            <w:tcW w:w="862" w:type="pct"/>
            <w:tcBorders>
              <w:top w:val="nil"/>
            </w:tcBorders>
            <w:shd w:val="clear" w:color="auto" w:fill="auto"/>
            <w:vAlign w:val="center"/>
          </w:tcPr>
          <w:p w:rsidR="00915150" w:rsidRPr="003431B8" w:rsidRDefault="00915150" w:rsidP="00915150">
            <w:pPr>
              <w:spacing w:before="0" w:after="0"/>
              <w:rPr>
                <w:rFonts w:cs="Arial"/>
                <w:szCs w:val="22"/>
                <w:lang w:eastAsia="en-GB"/>
              </w:rPr>
            </w:pPr>
            <w:r w:rsidRPr="003431B8">
              <w:rPr>
                <w:rFonts w:cs="Arial"/>
                <w:szCs w:val="22"/>
                <w:lang w:eastAsia="en-GB"/>
              </w:rPr>
              <w:t>£</w:t>
            </w:r>
          </w:p>
        </w:tc>
      </w:tr>
      <w:tr w:rsidR="00915150" w:rsidRPr="00222352" w:rsidTr="00915150">
        <w:trPr>
          <w:trHeight w:val="375"/>
        </w:trPr>
        <w:tc>
          <w:tcPr>
            <w:tcW w:w="1553" w:type="pct"/>
            <w:shd w:val="clear" w:color="auto" w:fill="auto"/>
            <w:noWrap/>
            <w:vAlign w:val="center"/>
            <w:hideMark/>
          </w:tcPr>
          <w:p w:rsidR="00915150" w:rsidRPr="00222352" w:rsidRDefault="00915150" w:rsidP="002024FC">
            <w:pPr>
              <w:spacing w:before="0" w:after="0"/>
              <w:rPr>
                <w:rFonts w:cs="Arial"/>
                <w:szCs w:val="22"/>
                <w:lang w:eastAsia="en-GB"/>
              </w:rPr>
            </w:pPr>
            <w:r>
              <w:rPr>
                <w:rFonts w:cs="Arial"/>
                <w:szCs w:val="22"/>
                <w:lang w:eastAsia="en-GB"/>
              </w:rPr>
              <w:t xml:space="preserve">Cumulative </w:t>
            </w:r>
            <w:r w:rsidRPr="00222352">
              <w:rPr>
                <w:rFonts w:cs="Arial"/>
                <w:szCs w:val="22"/>
                <w:lang w:eastAsia="en-GB"/>
              </w:rPr>
              <w:t xml:space="preserve">duty </w:t>
            </w:r>
            <w:r>
              <w:rPr>
                <w:rFonts w:cs="Arial"/>
                <w:szCs w:val="22"/>
                <w:lang w:eastAsia="en-GB"/>
              </w:rPr>
              <w:t>revenue</w:t>
            </w:r>
          </w:p>
        </w:tc>
        <w:tc>
          <w:tcPr>
            <w:tcW w:w="862" w:type="pct"/>
            <w:shd w:val="clear" w:color="auto" w:fill="auto"/>
            <w:noWrap/>
            <w:vAlign w:val="center"/>
          </w:tcPr>
          <w:p w:rsidR="00915150" w:rsidRPr="00222352" w:rsidRDefault="00915150" w:rsidP="002024FC">
            <w:pPr>
              <w:spacing w:before="0" w:after="0"/>
              <w:jc w:val="right"/>
              <w:rPr>
                <w:rFonts w:cs="Arial"/>
                <w:szCs w:val="22"/>
                <w:lang w:eastAsia="en-GB"/>
              </w:rPr>
            </w:pPr>
            <w:r>
              <w:rPr>
                <w:rFonts w:cs="Arial"/>
                <w:szCs w:val="22"/>
                <w:lang w:eastAsia="en-GB"/>
              </w:rPr>
              <w:t>26.41</w:t>
            </w:r>
          </w:p>
        </w:tc>
        <w:tc>
          <w:tcPr>
            <w:tcW w:w="862" w:type="pct"/>
            <w:shd w:val="clear" w:color="auto" w:fill="auto"/>
            <w:noWrap/>
            <w:vAlign w:val="center"/>
          </w:tcPr>
          <w:p w:rsidR="00915150" w:rsidRPr="003431B8" w:rsidRDefault="00915150" w:rsidP="002024FC">
            <w:pPr>
              <w:spacing w:before="0" w:after="0"/>
              <w:jc w:val="right"/>
              <w:rPr>
                <w:rFonts w:cs="Arial"/>
                <w:b/>
                <w:szCs w:val="22"/>
                <w:lang w:eastAsia="en-GB"/>
              </w:rPr>
            </w:pPr>
            <w:r>
              <w:rPr>
                <w:rFonts w:cs="Arial"/>
                <w:b/>
                <w:szCs w:val="22"/>
                <w:lang w:eastAsia="en-GB"/>
              </w:rPr>
              <w:t>25.91</w:t>
            </w:r>
          </w:p>
        </w:tc>
        <w:tc>
          <w:tcPr>
            <w:tcW w:w="862" w:type="pct"/>
            <w:shd w:val="clear" w:color="auto" w:fill="auto"/>
            <w:noWrap/>
            <w:vAlign w:val="center"/>
          </w:tcPr>
          <w:p w:rsidR="00915150" w:rsidRPr="003431B8" w:rsidRDefault="00915150" w:rsidP="00915150">
            <w:pPr>
              <w:spacing w:before="0" w:after="0"/>
              <w:jc w:val="right"/>
              <w:rPr>
                <w:rFonts w:cs="Arial"/>
                <w:szCs w:val="22"/>
                <w:lang w:eastAsia="en-GB"/>
              </w:rPr>
            </w:pPr>
            <w:r>
              <w:rPr>
                <w:rFonts w:cs="Arial"/>
                <w:szCs w:val="22"/>
                <w:lang w:eastAsia="en-GB"/>
              </w:rPr>
              <w:t>24.49</w:t>
            </w:r>
          </w:p>
        </w:tc>
        <w:tc>
          <w:tcPr>
            <w:tcW w:w="862" w:type="pct"/>
            <w:shd w:val="clear" w:color="auto" w:fill="auto"/>
            <w:vAlign w:val="center"/>
          </w:tcPr>
          <w:p w:rsidR="00915150" w:rsidRPr="003431B8" w:rsidRDefault="00915150" w:rsidP="002024FC">
            <w:pPr>
              <w:spacing w:before="0" w:after="0"/>
              <w:jc w:val="right"/>
              <w:rPr>
                <w:rFonts w:cs="Arial"/>
                <w:szCs w:val="22"/>
                <w:lang w:eastAsia="en-GB"/>
              </w:rPr>
            </w:pPr>
            <w:r>
              <w:rPr>
                <w:rFonts w:cs="Arial"/>
                <w:szCs w:val="22"/>
                <w:lang w:eastAsia="en-GB"/>
              </w:rPr>
              <w:t>23.94</w:t>
            </w:r>
          </w:p>
        </w:tc>
      </w:tr>
      <w:tr w:rsidR="00915150" w:rsidRPr="00222352" w:rsidTr="00915150">
        <w:trPr>
          <w:trHeight w:val="604"/>
        </w:trPr>
        <w:tc>
          <w:tcPr>
            <w:tcW w:w="1553" w:type="pct"/>
            <w:shd w:val="clear" w:color="auto" w:fill="auto"/>
            <w:vAlign w:val="center"/>
            <w:hideMark/>
          </w:tcPr>
          <w:p w:rsidR="00915150" w:rsidRPr="00222352" w:rsidRDefault="00915150" w:rsidP="002024FC">
            <w:pPr>
              <w:spacing w:before="0" w:after="0"/>
              <w:rPr>
                <w:rFonts w:cs="Arial"/>
                <w:szCs w:val="22"/>
                <w:lang w:eastAsia="en-GB"/>
              </w:rPr>
            </w:pPr>
            <w:r w:rsidRPr="00222352">
              <w:rPr>
                <w:rFonts w:cs="Arial"/>
                <w:szCs w:val="22"/>
                <w:lang w:eastAsia="en-GB"/>
              </w:rPr>
              <w:t>Differ</w:t>
            </w:r>
            <w:r>
              <w:rPr>
                <w:rFonts w:cs="Arial"/>
                <w:szCs w:val="22"/>
                <w:lang w:eastAsia="en-GB"/>
              </w:rPr>
              <w:t>ence between actual and adjusted</w:t>
            </w:r>
            <w:r w:rsidRPr="00222352">
              <w:rPr>
                <w:rFonts w:cs="Arial"/>
                <w:szCs w:val="22"/>
                <w:lang w:eastAsia="en-GB"/>
              </w:rPr>
              <w:t xml:space="preserve"> duty</w:t>
            </w:r>
            <w:r>
              <w:rPr>
                <w:rFonts w:cs="Arial"/>
                <w:szCs w:val="22"/>
                <w:lang w:eastAsia="en-GB"/>
              </w:rPr>
              <w:t xml:space="preserve"> revenue</w:t>
            </w:r>
          </w:p>
        </w:tc>
        <w:tc>
          <w:tcPr>
            <w:tcW w:w="862" w:type="pct"/>
            <w:shd w:val="clear" w:color="auto" w:fill="auto"/>
            <w:noWrap/>
            <w:vAlign w:val="center"/>
          </w:tcPr>
          <w:p w:rsidR="00915150" w:rsidRPr="00222352" w:rsidRDefault="00915150" w:rsidP="002024FC">
            <w:pPr>
              <w:spacing w:before="0" w:after="0"/>
              <w:rPr>
                <w:rFonts w:cs="Arial"/>
                <w:szCs w:val="22"/>
                <w:lang w:eastAsia="en-GB"/>
              </w:rPr>
            </w:pPr>
          </w:p>
        </w:tc>
        <w:tc>
          <w:tcPr>
            <w:tcW w:w="862" w:type="pct"/>
            <w:shd w:val="clear" w:color="auto" w:fill="auto"/>
            <w:noWrap/>
            <w:vAlign w:val="center"/>
          </w:tcPr>
          <w:p w:rsidR="00915150" w:rsidRPr="003431B8" w:rsidRDefault="00915150" w:rsidP="002024FC">
            <w:pPr>
              <w:spacing w:before="0" w:after="0"/>
              <w:jc w:val="right"/>
              <w:rPr>
                <w:rFonts w:cs="Arial"/>
                <w:b/>
                <w:szCs w:val="22"/>
                <w:lang w:eastAsia="en-GB"/>
              </w:rPr>
            </w:pPr>
            <w:r>
              <w:rPr>
                <w:rFonts w:cs="Arial"/>
                <w:b/>
                <w:szCs w:val="22"/>
                <w:lang w:eastAsia="en-GB"/>
              </w:rPr>
              <w:t>0.50</w:t>
            </w:r>
          </w:p>
        </w:tc>
        <w:tc>
          <w:tcPr>
            <w:tcW w:w="862" w:type="pct"/>
            <w:shd w:val="clear" w:color="auto" w:fill="auto"/>
            <w:noWrap/>
            <w:vAlign w:val="center"/>
          </w:tcPr>
          <w:p w:rsidR="00915150" w:rsidRPr="003431B8" w:rsidRDefault="00915150" w:rsidP="00915150">
            <w:pPr>
              <w:spacing w:before="0" w:after="0"/>
              <w:jc w:val="right"/>
              <w:rPr>
                <w:rFonts w:cs="Arial"/>
                <w:szCs w:val="22"/>
                <w:lang w:eastAsia="en-GB"/>
              </w:rPr>
            </w:pPr>
            <w:r>
              <w:rPr>
                <w:rFonts w:cs="Arial"/>
                <w:szCs w:val="22"/>
                <w:lang w:eastAsia="en-GB"/>
              </w:rPr>
              <w:t>1.92</w:t>
            </w:r>
          </w:p>
        </w:tc>
        <w:tc>
          <w:tcPr>
            <w:tcW w:w="862" w:type="pct"/>
            <w:shd w:val="clear" w:color="auto" w:fill="auto"/>
            <w:vAlign w:val="center"/>
          </w:tcPr>
          <w:p w:rsidR="00915150" w:rsidRPr="003431B8" w:rsidRDefault="00915150" w:rsidP="002024FC">
            <w:pPr>
              <w:spacing w:before="0" w:after="0"/>
              <w:jc w:val="right"/>
              <w:rPr>
                <w:rFonts w:cs="Arial"/>
                <w:szCs w:val="22"/>
                <w:lang w:eastAsia="en-GB"/>
              </w:rPr>
            </w:pPr>
            <w:r>
              <w:rPr>
                <w:rFonts w:cs="Arial"/>
                <w:szCs w:val="22"/>
                <w:lang w:eastAsia="en-GB"/>
              </w:rPr>
              <w:t>2.47</w:t>
            </w:r>
          </w:p>
        </w:tc>
      </w:tr>
      <w:tr w:rsidR="00915150" w:rsidRPr="00222352" w:rsidTr="00915150">
        <w:trPr>
          <w:trHeight w:val="375"/>
        </w:trPr>
        <w:tc>
          <w:tcPr>
            <w:tcW w:w="1553" w:type="pct"/>
            <w:shd w:val="clear" w:color="auto" w:fill="auto"/>
            <w:noWrap/>
            <w:vAlign w:val="center"/>
            <w:hideMark/>
          </w:tcPr>
          <w:p w:rsidR="00915150" w:rsidRPr="00052114" w:rsidRDefault="00915150" w:rsidP="002024FC">
            <w:pPr>
              <w:spacing w:before="0" w:after="0"/>
              <w:rPr>
                <w:rFonts w:cs="Arial"/>
                <w:i/>
                <w:szCs w:val="22"/>
                <w:lang w:eastAsia="en-GB"/>
              </w:rPr>
            </w:pPr>
            <w:r>
              <w:rPr>
                <w:rFonts w:cs="Arial"/>
                <w:i/>
                <w:szCs w:val="22"/>
                <w:lang w:eastAsia="en-GB"/>
              </w:rPr>
              <w:t xml:space="preserve">Difference as a </w:t>
            </w:r>
            <w:r w:rsidRPr="00052114">
              <w:rPr>
                <w:rFonts w:cs="Arial"/>
                <w:i/>
                <w:szCs w:val="22"/>
                <w:lang w:eastAsia="en-GB"/>
              </w:rPr>
              <w:t>% of total actual duty</w:t>
            </w:r>
            <w:r>
              <w:rPr>
                <w:rFonts w:cs="Arial"/>
                <w:i/>
                <w:szCs w:val="22"/>
                <w:lang w:eastAsia="en-GB"/>
              </w:rPr>
              <w:t xml:space="preserve"> revenue</w:t>
            </w:r>
          </w:p>
        </w:tc>
        <w:tc>
          <w:tcPr>
            <w:tcW w:w="862" w:type="pct"/>
            <w:shd w:val="clear" w:color="auto" w:fill="auto"/>
            <w:noWrap/>
            <w:vAlign w:val="center"/>
          </w:tcPr>
          <w:p w:rsidR="00915150" w:rsidRPr="00052114" w:rsidRDefault="00915150" w:rsidP="002024FC">
            <w:pPr>
              <w:spacing w:before="0" w:after="0"/>
              <w:rPr>
                <w:rFonts w:cs="Arial"/>
                <w:i/>
                <w:szCs w:val="22"/>
                <w:lang w:eastAsia="en-GB"/>
              </w:rPr>
            </w:pPr>
          </w:p>
        </w:tc>
        <w:tc>
          <w:tcPr>
            <w:tcW w:w="862" w:type="pct"/>
            <w:shd w:val="clear" w:color="auto" w:fill="auto"/>
            <w:noWrap/>
            <w:vAlign w:val="center"/>
          </w:tcPr>
          <w:p w:rsidR="00915150" w:rsidRPr="003431B8" w:rsidRDefault="00915150" w:rsidP="00A70A7B">
            <w:pPr>
              <w:spacing w:before="0" w:after="0"/>
              <w:jc w:val="right"/>
              <w:rPr>
                <w:rFonts w:cs="Arial"/>
                <w:b/>
                <w:i/>
                <w:szCs w:val="22"/>
                <w:lang w:eastAsia="en-GB"/>
              </w:rPr>
            </w:pPr>
            <w:r>
              <w:rPr>
                <w:rFonts w:cs="Arial"/>
                <w:b/>
                <w:i/>
                <w:szCs w:val="22"/>
                <w:lang w:eastAsia="en-GB"/>
              </w:rPr>
              <w:t>1.88%</w:t>
            </w:r>
          </w:p>
        </w:tc>
        <w:tc>
          <w:tcPr>
            <w:tcW w:w="862" w:type="pct"/>
            <w:shd w:val="clear" w:color="auto" w:fill="auto"/>
            <w:noWrap/>
            <w:vAlign w:val="center"/>
          </w:tcPr>
          <w:p w:rsidR="00915150" w:rsidRPr="003431B8" w:rsidRDefault="00915150" w:rsidP="00915150">
            <w:pPr>
              <w:spacing w:before="0" w:after="0"/>
              <w:jc w:val="right"/>
              <w:rPr>
                <w:rFonts w:cs="Arial"/>
                <w:i/>
                <w:szCs w:val="22"/>
                <w:lang w:eastAsia="en-GB"/>
              </w:rPr>
            </w:pPr>
            <w:r>
              <w:rPr>
                <w:rFonts w:cs="Arial"/>
                <w:i/>
                <w:szCs w:val="22"/>
                <w:lang w:eastAsia="en-GB"/>
              </w:rPr>
              <w:t>7.25%</w:t>
            </w:r>
          </w:p>
        </w:tc>
        <w:tc>
          <w:tcPr>
            <w:tcW w:w="862" w:type="pct"/>
            <w:shd w:val="clear" w:color="auto" w:fill="auto"/>
            <w:vAlign w:val="center"/>
          </w:tcPr>
          <w:p w:rsidR="00915150" w:rsidRPr="003431B8" w:rsidRDefault="00915150" w:rsidP="002024FC">
            <w:pPr>
              <w:spacing w:before="0" w:after="0"/>
              <w:jc w:val="right"/>
              <w:rPr>
                <w:rFonts w:cs="Arial"/>
                <w:i/>
                <w:szCs w:val="22"/>
                <w:lang w:eastAsia="en-GB"/>
              </w:rPr>
            </w:pPr>
            <w:r>
              <w:rPr>
                <w:rFonts w:cs="Arial"/>
                <w:i/>
                <w:szCs w:val="22"/>
                <w:lang w:eastAsia="en-GB"/>
              </w:rPr>
              <w:t>9.35%</w:t>
            </w:r>
          </w:p>
        </w:tc>
      </w:tr>
    </w:tbl>
    <w:p w:rsidR="002024FC" w:rsidRDefault="002024FC" w:rsidP="002024FC"/>
    <w:p w:rsidR="00C70F39" w:rsidRDefault="00894263" w:rsidP="00C70F39">
      <w:r>
        <w:t>From Table</w:t>
      </w:r>
      <w:r w:rsidR="00637D40">
        <w:t xml:space="preserve"> 1</w:t>
      </w:r>
      <w:r w:rsidR="00915150">
        <w:t>, a comparison of the three</w:t>
      </w:r>
      <w:r w:rsidR="002024FC">
        <w:t xml:space="preserve"> scenar</w:t>
      </w:r>
      <w:r w:rsidR="00EA7F7E">
        <w:t xml:space="preserve">ios shows that the </w:t>
      </w:r>
      <w:r w:rsidR="00EA7F7E" w:rsidRPr="00D3301C">
        <w:rPr>
          <w:b/>
        </w:rPr>
        <w:t xml:space="preserve">6+6 adjusted </w:t>
      </w:r>
      <w:r w:rsidR="002024FC" w:rsidRPr="00D3301C">
        <w:rPr>
          <w:b/>
        </w:rPr>
        <w:t>duty rate results in the lowest deviation</w:t>
      </w:r>
      <w:r w:rsidR="00A70A7B">
        <w:t xml:space="preserve"> of </w:t>
      </w:r>
      <w:r w:rsidR="003431B8" w:rsidRPr="00BA29F6">
        <w:rPr>
          <w:b/>
          <w:i/>
        </w:rPr>
        <w:t>1.</w:t>
      </w:r>
      <w:r w:rsidR="009E3D00" w:rsidRPr="00BA29F6">
        <w:rPr>
          <w:b/>
          <w:i/>
        </w:rPr>
        <w:t>88</w:t>
      </w:r>
      <w:r w:rsidR="00A70A7B" w:rsidRPr="00BA29F6">
        <w:rPr>
          <w:b/>
          <w:i/>
        </w:rPr>
        <w:t>%</w:t>
      </w:r>
      <w:r w:rsidR="00A70A7B">
        <w:t xml:space="preserve"> </w:t>
      </w:r>
      <w:r w:rsidR="002024FC">
        <w:t xml:space="preserve">from the total duty revenues realised </w:t>
      </w:r>
      <w:r w:rsidR="00EA7F7E">
        <w:t xml:space="preserve">from actual </w:t>
      </w:r>
      <w:r w:rsidR="002024FC">
        <w:t>duty rates</w:t>
      </w:r>
      <w:r w:rsidR="00D47F1C">
        <w:t>.</w:t>
      </w:r>
      <w:r w:rsidR="002024FC">
        <w:t xml:space="preserve"> </w:t>
      </w:r>
      <w:r w:rsidR="00C70F39">
        <w:t xml:space="preserve">The results from the Model, as illustrated above, support the </w:t>
      </w:r>
      <w:r w:rsidR="00C70F39" w:rsidRPr="009C380E">
        <w:t xml:space="preserve">hypothesis that the use of a </w:t>
      </w:r>
      <w:r w:rsidRPr="009C380E">
        <w:t xml:space="preserve">Fuel </w:t>
      </w:r>
      <w:r>
        <w:t xml:space="preserve">Duty </w:t>
      </w:r>
      <w:r w:rsidRPr="009C380E">
        <w:t xml:space="preserve">Stabiliser </w:t>
      </w:r>
      <w:r w:rsidR="00915150">
        <w:t xml:space="preserve">does not </w:t>
      </w:r>
      <w:r w:rsidR="003431B8">
        <w:t>substantially</w:t>
      </w:r>
      <w:r w:rsidR="00C70F39">
        <w:t xml:space="preserve"> </w:t>
      </w:r>
      <w:r w:rsidR="00C70F39" w:rsidRPr="009C380E">
        <w:t>affecting reven</w:t>
      </w:r>
      <w:r w:rsidR="00C70F39">
        <w:t>ue to the government</w:t>
      </w:r>
      <w:r w:rsidR="00D47F1C">
        <w:t>.</w:t>
      </w:r>
      <w:r w:rsidR="00756572">
        <w:t xml:space="preserve"> Based on the comparison of adjusted duty revenues under the three scenarios to actual duty revenues, the Model suggests the 6+6 </w:t>
      </w:r>
      <w:r w:rsidR="00475785">
        <w:t xml:space="preserve">forecasted </w:t>
      </w:r>
      <w:r w:rsidR="00756572">
        <w:t>pump price as the preferred option.</w:t>
      </w:r>
    </w:p>
    <w:p w:rsidR="00EA7F7E" w:rsidRDefault="00EA7F7E" w:rsidP="002024FC">
      <w:r>
        <w:t>Further, the dut</w:t>
      </w:r>
      <w:r w:rsidR="00912074">
        <w:t>y revenues are compared over a 4</w:t>
      </w:r>
      <w:r>
        <w:t xml:space="preserve"> year h</w:t>
      </w:r>
      <w:r w:rsidR="003431B8">
        <w:t>orizon (January</w:t>
      </w:r>
      <w:r w:rsidR="00912074">
        <w:t xml:space="preserve"> 2008</w:t>
      </w:r>
      <w:r w:rsidR="00A70A7B">
        <w:t xml:space="preserve"> – </w:t>
      </w:r>
      <w:r w:rsidR="009E3D00">
        <w:t>December</w:t>
      </w:r>
      <w:r w:rsidR="00912074">
        <w:t xml:space="preserve"> 2011</w:t>
      </w:r>
      <w:r>
        <w:t xml:space="preserve">), including 2008 and 2009, when the oil prices </w:t>
      </w:r>
      <w:r w:rsidR="00912074">
        <w:t>were</w:t>
      </w:r>
      <w:r>
        <w:t xml:space="preserve"> highly volatile. This suggests that the </w:t>
      </w:r>
      <w:r w:rsidR="00915150" w:rsidRPr="009C380E">
        <w:t xml:space="preserve">Fuel </w:t>
      </w:r>
      <w:r w:rsidR="00915150">
        <w:t xml:space="preserve">Duty </w:t>
      </w:r>
      <w:r w:rsidR="00915150" w:rsidRPr="009C380E">
        <w:t xml:space="preserve">Stabiliser </w:t>
      </w:r>
      <w:r>
        <w:t>can be applied under volatile market conditions to achieve more predictable pump prices.</w:t>
      </w:r>
    </w:p>
    <w:p w:rsidR="007B7AAE" w:rsidRDefault="007B7AAE"/>
    <w:p w:rsidR="00637D40" w:rsidRDefault="00637D40"/>
    <w:p w:rsidR="00372CC8" w:rsidRDefault="00372CC8"/>
    <w:p w:rsidR="007B7AAE" w:rsidRDefault="00501B2B" w:rsidP="007B7AAE">
      <w:pPr>
        <w:pStyle w:val="NumHead"/>
      </w:pPr>
      <w:bookmarkStart w:id="9" w:name="_Toc317251214"/>
      <w:r>
        <w:lastRenderedPageBreak/>
        <w:t>Reducing pump price volatility</w:t>
      </w:r>
      <w:bookmarkEnd w:id="9"/>
    </w:p>
    <w:p w:rsidR="00A96726" w:rsidRDefault="00501B2B" w:rsidP="007B7AAE">
      <w:r>
        <w:t xml:space="preserve">The smoothing of pump price volatility </w:t>
      </w:r>
      <w:r w:rsidR="00612301">
        <w:t xml:space="preserve">is the </w:t>
      </w:r>
      <w:r>
        <w:t xml:space="preserve">key </w:t>
      </w:r>
      <w:r w:rsidR="00612301">
        <w:t xml:space="preserve">objective </w:t>
      </w:r>
      <w:r>
        <w:t>in order</w:t>
      </w:r>
      <w:r w:rsidR="00923666">
        <w:t xml:space="preserve"> </w:t>
      </w:r>
      <w:r>
        <w:t>to allow businesses to better plan their overheads</w:t>
      </w:r>
      <w:r w:rsidR="00612301">
        <w:t xml:space="preserve">. </w:t>
      </w:r>
      <w:r>
        <w:t>T</w:t>
      </w:r>
      <w:r w:rsidR="00FB4561">
        <w:t>he accuracy of the forecasted pump prices will prove important as this would result in</w:t>
      </w:r>
      <w:r>
        <w:t xml:space="preserve"> a</w:t>
      </w:r>
      <w:r w:rsidR="00FB4561">
        <w:t xml:space="preserve"> lower variation of actual</w:t>
      </w:r>
      <w:r>
        <w:t xml:space="preserve"> overheads</w:t>
      </w:r>
      <w:r w:rsidR="00FB4561">
        <w:t xml:space="preserve"> from budgeted estimates. </w:t>
      </w:r>
    </w:p>
    <w:p w:rsidR="00612301" w:rsidRDefault="00AA7D6E" w:rsidP="007B7AAE">
      <w:r>
        <w:t xml:space="preserve">The 6+6 approach helps smooth pump price volatility, as illustrated in </w:t>
      </w:r>
      <w:r w:rsidR="00243FA6">
        <w:t>Chart 1</w:t>
      </w:r>
      <w:r>
        <w:t xml:space="preserve">. </w:t>
      </w:r>
      <w:r w:rsidR="00F0684F">
        <w:t>As shown in the chart, th</w:t>
      </w:r>
      <w:r>
        <w:t>e 6+6 forecast pump price dampen</w:t>
      </w:r>
      <w:r w:rsidR="00F0684F">
        <w:t xml:space="preserve">s the peaks and troughs of the actual pump </w:t>
      </w:r>
      <w:r>
        <w:t xml:space="preserve">price but with a slight </w:t>
      </w:r>
      <w:r w:rsidR="00F0684F">
        <w:t>time-lag. This is because 6+6 forecast pump price uses the estimated 1, 2 and 3</w:t>
      </w:r>
      <w:r w:rsidR="00B54B28">
        <w:t xml:space="preserve"> </w:t>
      </w:r>
      <w:r w:rsidR="00F0684F">
        <w:t xml:space="preserve">month future </w:t>
      </w:r>
      <w:r w:rsidR="00803593">
        <w:t xml:space="preserve">spot </w:t>
      </w:r>
      <w:r w:rsidR="00F0684F">
        <w:t>oil prices which capture the crude oil volatility in the s</w:t>
      </w:r>
      <w:r w:rsidR="00501B2B">
        <w:t xml:space="preserve">hort-term. </w:t>
      </w:r>
    </w:p>
    <w:p w:rsidR="007B7AAE" w:rsidRDefault="007B7AAE" w:rsidP="007B7AAE"/>
    <w:p w:rsidR="007B7AAE" w:rsidRDefault="007E7257" w:rsidP="007B7AAE">
      <w:r>
        <w:t>Chart 1 – Actual pump price versus 6+6</w:t>
      </w:r>
      <w:r w:rsidR="00475785">
        <w:t xml:space="preserve"> forecast</w:t>
      </w:r>
      <w:r>
        <w:t xml:space="preserve"> pump</w:t>
      </w:r>
      <w:r w:rsidR="007B7AAE">
        <w:t xml:space="preserve"> </w:t>
      </w:r>
      <w:r w:rsidR="00997020">
        <w:t>price</w:t>
      </w:r>
    </w:p>
    <w:p w:rsidR="007B7AAE" w:rsidRDefault="000C255B" w:rsidP="007B7AAE">
      <w:r>
        <w:rPr>
          <w:noProof/>
          <w:lang w:eastAsia="en-GB"/>
        </w:rPr>
        <w:drawing>
          <wp:inline distT="0" distB="0" distL="0" distR="0">
            <wp:extent cx="5040000" cy="3290400"/>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0" cy="3290400"/>
                    </a:xfrm>
                    <a:prstGeom prst="rect">
                      <a:avLst/>
                    </a:prstGeom>
                    <a:noFill/>
                  </pic:spPr>
                </pic:pic>
              </a:graphicData>
            </a:graphic>
          </wp:inline>
        </w:drawing>
      </w:r>
    </w:p>
    <w:p w:rsidR="007B7AAE" w:rsidRDefault="007B7AAE" w:rsidP="007B7AAE"/>
    <w:p w:rsidR="00BE1D60" w:rsidRDefault="00BE1D60" w:rsidP="007B7AAE">
      <w:r>
        <w:t xml:space="preserve">Further, </w:t>
      </w:r>
      <w:r w:rsidR="00B54B28">
        <w:t xml:space="preserve">the table in </w:t>
      </w:r>
      <w:r>
        <w:t xml:space="preserve">section 3.1 also shows that the </w:t>
      </w:r>
      <w:r w:rsidRPr="00BE1D60">
        <w:t>6+6 adjusted duty rate results in the lowest deviation</w:t>
      </w:r>
      <w:r>
        <w:t xml:space="preserve"> of </w:t>
      </w:r>
      <w:r w:rsidR="00851DB4">
        <w:t xml:space="preserve">duty </w:t>
      </w:r>
      <w:r>
        <w:t xml:space="preserve">revenues from actuals. </w:t>
      </w:r>
    </w:p>
    <w:p w:rsidR="00756572" w:rsidRDefault="00756572" w:rsidP="007B7AAE"/>
    <w:p w:rsidR="00EA54A4" w:rsidRDefault="00EA54A4" w:rsidP="007B7AAE"/>
    <w:p w:rsidR="00EA54A4" w:rsidRDefault="00EA54A4" w:rsidP="007B7AAE"/>
    <w:p w:rsidR="00F0684F" w:rsidRDefault="00F0684F" w:rsidP="007B7AAE"/>
    <w:p w:rsidR="00F0684F" w:rsidRDefault="00F0684F" w:rsidP="007B7AAE"/>
    <w:p w:rsidR="00756572" w:rsidRDefault="00756572" w:rsidP="007B7AAE"/>
    <w:p w:rsidR="007B7AAE" w:rsidRDefault="007B7AAE" w:rsidP="007B7AAE">
      <w:r>
        <w:lastRenderedPageBreak/>
        <w:t xml:space="preserve">The composition of actual </w:t>
      </w:r>
      <w:r w:rsidR="0092057D">
        <w:t>and 6+6 forecast</w:t>
      </w:r>
      <w:r w:rsidR="00E41B05">
        <w:t xml:space="preserve"> pump</w:t>
      </w:r>
      <w:r>
        <w:t xml:space="preserve"> prices (</w:t>
      </w:r>
      <w:r w:rsidR="00E41B05">
        <w:t>chart</w:t>
      </w:r>
      <w:r w:rsidR="00894263">
        <w:t>s</w:t>
      </w:r>
      <w:r w:rsidR="00E41B05">
        <w:t xml:space="preserve"> 2 and 3</w:t>
      </w:r>
      <w:r w:rsidR="0092057D">
        <w:t>) show that t</w:t>
      </w:r>
      <w:r>
        <w:t xml:space="preserve">he </w:t>
      </w:r>
      <w:r w:rsidR="00C70F39">
        <w:t xml:space="preserve">adjusted </w:t>
      </w:r>
      <w:r>
        <w:t>duty and VAT values ch</w:t>
      </w:r>
      <w:r w:rsidR="0092057D">
        <w:t>ange as a result of the forecast</w:t>
      </w:r>
      <w:r w:rsidR="00E41B05">
        <w:t xml:space="preserve"> pump</w:t>
      </w:r>
      <w:r w:rsidR="0092057D">
        <w:t xml:space="preserve"> price</w:t>
      </w:r>
      <w:r>
        <w:t>.</w:t>
      </w:r>
    </w:p>
    <w:p w:rsidR="007B7AAE" w:rsidRDefault="007B7AAE" w:rsidP="007B7AAE">
      <w:r>
        <w:t>Chart</w:t>
      </w:r>
      <w:r w:rsidR="00E41B05">
        <w:t xml:space="preserve"> 2 – Composition of actual pump </w:t>
      </w:r>
      <w:r>
        <w:t>prices</w:t>
      </w:r>
    </w:p>
    <w:p w:rsidR="007B7AAE" w:rsidRDefault="00756572" w:rsidP="007B7AAE">
      <w:r>
        <w:rPr>
          <w:noProof/>
          <w:lang w:eastAsia="en-GB"/>
        </w:rPr>
        <w:drawing>
          <wp:inline distT="0" distB="0" distL="0" distR="0">
            <wp:extent cx="5040000" cy="3290400"/>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0" cy="3290400"/>
                    </a:xfrm>
                    <a:prstGeom prst="rect">
                      <a:avLst/>
                    </a:prstGeom>
                    <a:noFill/>
                  </pic:spPr>
                </pic:pic>
              </a:graphicData>
            </a:graphic>
          </wp:inline>
        </w:drawing>
      </w:r>
    </w:p>
    <w:p w:rsidR="007B7AAE" w:rsidRDefault="007B7AAE" w:rsidP="007B7AAE">
      <w:r>
        <w:t>Chart</w:t>
      </w:r>
      <w:r w:rsidR="0092057D">
        <w:t xml:space="preserve"> 3 – Composition of 6+6 forecast</w:t>
      </w:r>
      <w:r w:rsidR="00AE0BCD">
        <w:t xml:space="preserve"> pump</w:t>
      </w:r>
      <w:r>
        <w:t xml:space="preserve"> prices</w:t>
      </w:r>
    </w:p>
    <w:p w:rsidR="007B7AAE" w:rsidRDefault="00A64D8D" w:rsidP="007B7AAE">
      <w:r>
        <w:rPr>
          <w:noProof/>
          <w:lang w:eastAsia="en-GB"/>
        </w:rPr>
        <w:drawing>
          <wp:inline distT="0" distB="0" distL="0" distR="0">
            <wp:extent cx="5040000" cy="3290400"/>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0" cy="3290400"/>
                    </a:xfrm>
                    <a:prstGeom prst="rect">
                      <a:avLst/>
                    </a:prstGeom>
                    <a:noFill/>
                  </pic:spPr>
                </pic:pic>
              </a:graphicData>
            </a:graphic>
          </wp:inline>
        </w:drawing>
      </w:r>
    </w:p>
    <w:p w:rsidR="005F1663" w:rsidRDefault="005F1663" w:rsidP="007B7AAE"/>
    <w:p w:rsidR="00F760E0" w:rsidRDefault="00F760E0" w:rsidP="007B7AAE"/>
    <w:p w:rsidR="00F760E0" w:rsidRDefault="00F760E0" w:rsidP="007B7AAE">
      <w:r>
        <w:lastRenderedPageBreak/>
        <w:t xml:space="preserve">Chart </w:t>
      </w:r>
      <w:r w:rsidR="004F4D39">
        <w:t>4</w:t>
      </w:r>
      <w:r>
        <w:t xml:space="preserve"> – Comparison of actual pump price to forecast pump price</w:t>
      </w:r>
    </w:p>
    <w:p w:rsidR="00F760E0" w:rsidRDefault="00F760E0" w:rsidP="007B7AAE">
      <w:r>
        <w:rPr>
          <w:noProof/>
          <w:lang w:eastAsia="en-GB"/>
        </w:rPr>
        <w:drawing>
          <wp:inline distT="0" distB="0" distL="0" distR="0">
            <wp:extent cx="5040000" cy="3294000"/>
            <wp:effectExtent l="0" t="0" r="825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0" cy="3294000"/>
                    </a:xfrm>
                    <a:prstGeom prst="rect">
                      <a:avLst/>
                    </a:prstGeom>
                    <a:noFill/>
                  </pic:spPr>
                </pic:pic>
              </a:graphicData>
            </a:graphic>
          </wp:inline>
        </w:drawing>
      </w:r>
    </w:p>
    <w:p w:rsidR="00F760E0" w:rsidRDefault="00F760E0" w:rsidP="007B7AAE"/>
    <w:p w:rsidR="00F760E0" w:rsidRDefault="00F760E0" w:rsidP="007B7AAE">
      <w:r>
        <w:t>The smoothing of volatility in pump prices can be clearly seen from the above chart, as the adjusted duty rates stabilise the volatile oil prices.</w:t>
      </w:r>
    </w:p>
    <w:p w:rsidR="00F760E0" w:rsidRDefault="00F760E0">
      <w:r>
        <w:br w:type="page"/>
      </w:r>
    </w:p>
    <w:p w:rsidR="005F1663" w:rsidRDefault="005F1663" w:rsidP="005F1663">
      <w:pPr>
        <w:pStyle w:val="NumHead"/>
      </w:pPr>
      <w:bookmarkStart w:id="10" w:name="_Toc317251215"/>
      <w:r>
        <w:lastRenderedPageBreak/>
        <w:t>Comparison of forecast pump prices</w:t>
      </w:r>
      <w:bookmarkEnd w:id="10"/>
    </w:p>
    <w:p w:rsidR="005F1663" w:rsidRDefault="005F1663" w:rsidP="005F1663">
      <w:r>
        <w:t xml:space="preserve">The Model forecasts pump prices under the three scenarios as illustrated in Chart </w:t>
      </w:r>
      <w:r w:rsidR="004F4D39">
        <w:t>5</w:t>
      </w:r>
      <w:r>
        <w:t>.</w:t>
      </w:r>
      <w:r w:rsidR="00C32A24">
        <w:t xml:space="preserve"> </w:t>
      </w:r>
    </w:p>
    <w:p w:rsidR="00BE1D60" w:rsidRDefault="00BE1D60" w:rsidP="005F1663"/>
    <w:p w:rsidR="005F1663" w:rsidRDefault="00F0684F" w:rsidP="005F1663">
      <w:r>
        <w:t xml:space="preserve">Chart </w:t>
      </w:r>
      <w:r w:rsidR="004F4D39">
        <w:t>5</w:t>
      </w:r>
      <w:r w:rsidR="005F1663">
        <w:t xml:space="preserve"> – Actual pump price versus 6+6, 12+3 and 12 month forecast pump price</w:t>
      </w:r>
    </w:p>
    <w:p w:rsidR="005F1663" w:rsidRDefault="00753D49" w:rsidP="005F1663">
      <w:r>
        <w:rPr>
          <w:noProof/>
          <w:lang w:eastAsia="en-GB"/>
        </w:rPr>
        <w:drawing>
          <wp:inline distT="0" distB="0" distL="0" distR="0">
            <wp:extent cx="5040000" cy="3290400"/>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3290400"/>
                    </a:xfrm>
                    <a:prstGeom prst="rect">
                      <a:avLst/>
                    </a:prstGeom>
                    <a:noFill/>
                  </pic:spPr>
                </pic:pic>
              </a:graphicData>
            </a:graphic>
          </wp:inline>
        </w:drawing>
      </w:r>
    </w:p>
    <w:p w:rsidR="00BA29F6" w:rsidRDefault="00B23A39" w:rsidP="00B23A39">
      <w:r>
        <w:t xml:space="preserve">Comparison of the three forecasted pump prices to the actual pump price reveals that </w:t>
      </w:r>
      <w:r w:rsidR="00B54B28">
        <w:t xml:space="preserve">the </w:t>
      </w:r>
      <w:r>
        <w:t>12 month forecast pump price results in a smoother pump price. However, since this forecast is only based on historic data, the resulting forecast pump price has a higher degree of variance to the actual pump price. This effectively means that though the peaks and troughs of the actual pump price are flattened, the forecast pump prices are not predictable with a high degree of accuracy. The 12+3 forecast pump price is based on 12 month historic prices and 3 month forecasted prices, but even this has a high variance to the actual pump price.</w:t>
      </w:r>
      <w:r w:rsidR="00C32A24">
        <w:t xml:space="preserve"> </w:t>
      </w:r>
    </w:p>
    <w:p w:rsidR="00B23A39" w:rsidRDefault="00C32A24" w:rsidP="00B23A39">
      <w:r>
        <w:t xml:space="preserve">Further, the fiscal impact of the corresponding adjusted duty rates under 12+3 and 12 month scenarios were discussed in section 3.1, and </w:t>
      </w:r>
      <w:r w:rsidR="00B54B28">
        <w:t>show</w:t>
      </w:r>
      <w:r>
        <w:t xml:space="preserve"> substantial variations from the actual duty revenues.</w:t>
      </w:r>
    </w:p>
    <w:p w:rsidR="00BA29F6" w:rsidRDefault="00B23A39" w:rsidP="00B23A39">
      <w:r>
        <w:t xml:space="preserve">The 6+6 forecast pump price has the least variance to actual pump prices, resulting in higher degree of accuracy for pump price predictions. Further, the 6+6 adjusted duty rates calculated from 6+6 forecast pump price also result in </w:t>
      </w:r>
      <w:r w:rsidR="00B54B28">
        <w:t xml:space="preserve">the </w:t>
      </w:r>
      <w:r w:rsidRPr="00C116BE">
        <w:t xml:space="preserve">lowest deviation of 1.88% from the total </w:t>
      </w:r>
      <w:r>
        <w:t xml:space="preserve">actual </w:t>
      </w:r>
      <w:r w:rsidRPr="00C116BE">
        <w:t>duty revenues</w:t>
      </w:r>
      <w:r>
        <w:t xml:space="preserve"> realised by the Treasury. </w:t>
      </w:r>
    </w:p>
    <w:p w:rsidR="00B23A39" w:rsidRDefault="00C32A24" w:rsidP="00B23A39">
      <w:r>
        <w:t xml:space="preserve">This </w:t>
      </w:r>
      <w:r w:rsidR="00B54B28">
        <w:t>illustrates</w:t>
      </w:r>
      <w:r>
        <w:t xml:space="preserve"> the trade-</w:t>
      </w:r>
      <w:r w:rsidR="004F4D39">
        <w:t xml:space="preserve">off between </w:t>
      </w:r>
      <w:r w:rsidR="00803593">
        <w:t xml:space="preserve">a </w:t>
      </w:r>
      <w:r w:rsidR="004F4D39">
        <w:t>smooth pump price and</w:t>
      </w:r>
      <w:r>
        <w:t xml:space="preserve"> fiscal neut</w:t>
      </w:r>
      <w:r w:rsidR="004F4D39">
        <w:t>rality</w:t>
      </w:r>
      <w:r>
        <w:t xml:space="preserve">. </w:t>
      </w:r>
    </w:p>
    <w:p w:rsidR="005F1663" w:rsidRDefault="005F1663" w:rsidP="005F1663"/>
    <w:p w:rsidR="005F1663" w:rsidRPr="005F1663" w:rsidRDefault="005F1663" w:rsidP="005F1663"/>
    <w:p w:rsidR="007E7DE0" w:rsidRDefault="007E7DE0">
      <w:r>
        <w:br w:type="page"/>
      </w:r>
    </w:p>
    <w:p w:rsidR="006E1E66" w:rsidRDefault="006E1E66" w:rsidP="00286E7A">
      <w:pPr>
        <w:pStyle w:val="AppendixTitle"/>
        <w:framePr w:wrap="around"/>
      </w:pPr>
      <w:bookmarkStart w:id="11" w:name="_Toc317251200"/>
      <w:r>
        <w:lastRenderedPageBreak/>
        <w:t>Methodology</w:t>
      </w:r>
      <w:r w:rsidR="0057250E">
        <w:t xml:space="preserve"> for Adjusted duty rates</w:t>
      </w:r>
      <w:bookmarkEnd w:id="11"/>
    </w:p>
    <w:p w:rsidR="002C0FC6" w:rsidRDefault="00E77DDC" w:rsidP="00F15167">
      <w:pPr>
        <w:rPr>
          <w:noProof/>
          <w:lang w:eastAsia="en-GB"/>
        </w:rPr>
      </w:pPr>
      <w:r>
        <w:rPr>
          <w:noProof/>
          <w:lang w:eastAsia="en-GB"/>
        </w:rPr>
        <w:t xml:space="preserve">The approach and methodology applied to achieve the stabilised fuel price </w:t>
      </w:r>
      <w:r w:rsidR="0090496A">
        <w:rPr>
          <w:noProof/>
          <w:lang w:eastAsia="en-GB"/>
        </w:rPr>
        <w:t>forecasts is shown in the chart</w:t>
      </w:r>
      <w:r>
        <w:rPr>
          <w:noProof/>
          <w:lang w:eastAsia="en-GB"/>
        </w:rPr>
        <w:t xml:space="preserve"> below. The key inputs to the Model are </w:t>
      </w:r>
      <w:r w:rsidR="00F21805">
        <w:rPr>
          <w:noProof/>
          <w:lang w:eastAsia="en-GB"/>
        </w:rPr>
        <w:t xml:space="preserve">crude oil prices, actual pump </w:t>
      </w:r>
      <w:r>
        <w:rPr>
          <w:noProof/>
          <w:lang w:eastAsia="en-GB"/>
        </w:rPr>
        <w:t>prices, duty rates and VAT.</w:t>
      </w:r>
      <w:r w:rsidR="00D40F42">
        <w:rPr>
          <w:noProof/>
          <w:lang w:eastAsia="en-GB"/>
        </w:rPr>
        <w:t xml:space="preserve"> </w:t>
      </w:r>
    </w:p>
    <w:p w:rsidR="002E6ADE" w:rsidRDefault="00E341E5">
      <w:pPr>
        <w:rPr>
          <w:noProof/>
          <w:lang w:eastAsia="en-GB"/>
        </w:rPr>
      </w:pPr>
      <w:r>
        <w:rPr>
          <w:noProof/>
          <w:lang w:eastAsia="en-GB"/>
        </w:rPr>
        <w:drawing>
          <wp:inline distT="0" distB="0" distL="0" distR="0">
            <wp:extent cx="4320000" cy="5713200"/>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5713200"/>
                    </a:xfrm>
                    <a:prstGeom prst="rect">
                      <a:avLst/>
                    </a:prstGeom>
                    <a:noFill/>
                  </pic:spPr>
                </pic:pic>
              </a:graphicData>
            </a:graphic>
          </wp:inline>
        </w:drawing>
      </w:r>
    </w:p>
    <w:p w:rsidR="002E6ADE" w:rsidRDefault="002E6ADE" w:rsidP="002E6ADE">
      <w:r>
        <w:t xml:space="preserve">Forecast pump price is calculated as the weighted average of </w:t>
      </w:r>
      <w:r w:rsidR="00501157">
        <w:t xml:space="preserve">1, 2 and 3-month </w:t>
      </w:r>
      <w:r>
        <w:t>future oil prices</w:t>
      </w:r>
      <w:r w:rsidR="00501157">
        <w:t xml:space="preserve">. </w:t>
      </w:r>
      <w:r>
        <w:t>The Model assigns a weight</w:t>
      </w:r>
      <w:r w:rsidR="00417DF0">
        <w:t>ing</w:t>
      </w:r>
      <w:r>
        <w:t xml:space="preserve"> of </w:t>
      </w:r>
      <w:r w:rsidR="00417DF0">
        <w:t>'</w:t>
      </w:r>
      <w:r>
        <w:t>4</w:t>
      </w:r>
      <w:r w:rsidR="00417DF0">
        <w:t>'</w:t>
      </w:r>
      <w:r>
        <w:t xml:space="preserve"> to the 3 month future oil price as </w:t>
      </w:r>
      <w:r w:rsidR="00501157">
        <w:t>it is assumed that future oil price</w:t>
      </w:r>
      <w:r w:rsidR="00417DF0">
        <w:t>s</w:t>
      </w:r>
      <w:r w:rsidR="00501157">
        <w:t xml:space="preserve"> in </w:t>
      </w:r>
      <w:r w:rsidR="00417DF0">
        <w:t xml:space="preserve">months </w:t>
      </w:r>
      <w:r w:rsidR="00501157">
        <w:t>4</w:t>
      </w:r>
      <w:r w:rsidR="00417DF0">
        <w:t xml:space="preserve"> to</w:t>
      </w:r>
      <w:r w:rsidR="00501157">
        <w:t xml:space="preserve"> 6</w:t>
      </w:r>
      <w:r w:rsidR="00417DF0">
        <w:t xml:space="preserve"> </w:t>
      </w:r>
      <w:r w:rsidR="00501157">
        <w:t xml:space="preserve">would be same as the 3-month future price. </w:t>
      </w:r>
    </w:p>
    <w:p w:rsidR="0057250E" w:rsidRDefault="0057250E">
      <w:pPr>
        <w:rPr>
          <w:noProof/>
          <w:lang w:eastAsia="en-GB"/>
        </w:rPr>
      </w:pPr>
      <w:r>
        <w:rPr>
          <w:noProof/>
          <w:lang w:eastAsia="en-GB"/>
        </w:rPr>
        <w:br w:type="page"/>
      </w:r>
    </w:p>
    <w:p w:rsidR="006E6478" w:rsidRDefault="000A0046" w:rsidP="000A0046">
      <w:pPr>
        <w:pStyle w:val="AppendixTitle"/>
        <w:framePr w:wrap="around"/>
        <w:rPr>
          <w:noProof/>
          <w:lang w:eastAsia="en-GB"/>
        </w:rPr>
      </w:pPr>
      <w:bookmarkStart w:id="12" w:name="_Toc317251201"/>
      <w:r>
        <w:rPr>
          <w:noProof/>
          <w:lang w:eastAsia="en-GB"/>
        </w:rPr>
        <w:lastRenderedPageBreak/>
        <w:t>Inputs to the Model</w:t>
      </w:r>
      <w:r w:rsidR="009C69FB">
        <w:rPr>
          <w:noProof/>
          <w:lang w:eastAsia="en-GB"/>
        </w:rPr>
        <w:t xml:space="preserve"> and A</w:t>
      </w:r>
      <w:r w:rsidR="007C2B27">
        <w:rPr>
          <w:noProof/>
          <w:lang w:eastAsia="en-GB"/>
        </w:rPr>
        <w:t>ssumptions</w:t>
      </w:r>
      <w:bookmarkEnd w:id="12"/>
    </w:p>
    <w:p w:rsidR="00A016DC" w:rsidRDefault="000B42E3" w:rsidP="00476AA5">
      <w:pPr>
        <w:pStyle w:val="BulletOne"/>
      </w:pPr>
      <w:r>
        <w:t>Crude o</w:t>
      </w:r>
      <w:r w:rsidR="00A016DC">
        <w:t xml:space="preserve">il prices: </w:t>
      </w:r>
      <w:r w:rsidR="00B86F52">
        <w:t>Historic c</w:t>
      </w:r>
      <w:r>
        <w:t>rude o</w:t>
      </w:r>
      <w:r w:rsidR="00A016DC">
        <w:t xml:space="preserve">il </w:t>
      </w:r>
      <w:r>
        <w:t xml:space="preserve">prices </w:t>
      </w:r>
      <w:r w:rsidR="00A016DC">
        <w:t>contained withi</w:t>
      </w:r>
      <w:r w:rsidR="0074565E">
        <w:t xml:space="preserve">n the model refer to </w:t>
      </w:r>
      <w:r w:rsidR="00406E77">
        <w:t>Brent</w:t>
      </w:r>
      <w:r>
        <w:t xml:space="preserve"> </w:t>
      </w:r>
      <w:r w:rsidR="00A016DC">
        <w:t>prices and have b</w:t>
      </w:r>
      <w:r w:rsidR="00912074">
        <w:t>een taken from the BP website</w:t>
      </w:r>
      <w:r w:rsidR="00B86F52">
        <w:t>.</w:t>
      </w:r>
    </w:p>
    <w:p w:rsidR="00B86F52" w:rsidRDefault="00B86F52" w:rsidP="00476AA5">
      <w:pPr>
        <w:pStyle w:val="BulletOne"/>
      </w:pPr>
      <w:r>
        <w:t xml:space="preserve">Future oil prices have been taken from Thomson Reuters </w:t>
      </w:r>
      <w:r w:rsidR="0064257F">
        <w:t>DataStream</w:t>
      </w:r>
      <w:r>
        <w:t>.</w:t>
      </w:r>
    </w:p>
    <w:p w:rsidR="00A016DC" w:rsidRDefault="00A016DC" w:rsidP="00476AA5">
      <w:pPr>
        <w:pStyle w:val="BulletOne"/>
      </w:pPr>
      <w:r>
        <w:t>The $:£ exchange rate has been taken from OANDA.com.</w:t>
      </w:r>
      <w:r w:rsidR="000B42E3">
        <w:t xml:space="preserve"> </w:t>
      </w:r>
    </w:p>
    <w:p w:rsidR="006E23C4" w:rsidRDefault="00A016DC" w:rsidP="00B86F52">
      <w:pPr>
        <w:pStyle w:val="BulletOne"/>
      </w:pPr>
      <w:r>
        <w:t>Petrol and Diesel prices have been taken from the monthly reports published on the AA website.  Future p</w:t>
      </w:r>
      <w:r w:rsidR="000B42E3">
        <w:t>rojections have been estimated based on the methodology detailed in Appendix A.</w:t>
      </w:r>
    </w:p>
    <w:p w:rsidR="0045616B" w:rsidRDefault="00A016DC" w:rsidP="0045616B">
      <w:pPr>
        <w:pStyle w:val="BulletOne"/>
      </w:pPr>
      <w:r>
        <w:t xml:space="preserve">Duty rates have been taken from </w:t>
      </w:r>
      <w:proofErr w:type="spellStart"/>
      <w:r>
        <w:t>HMRC</w:t>
      </w:r>
      <w:proofErr w:type="spellEnd"/>
      <w:r>
        <w:t xml:space="preserve"> documentati</w:t>
      </w:r>
      <w:r w:rsidR="0045616B">
        <w:t>on available on their website.</w:t>
      </w:r>
    </w:p>
    <w:p w:rsidR="0045616B" w:rsidRPr="0045616B" w:rsidRDefault="0045616B" w:rsidP="0045616B">
      <w:pPr>
        <w:rPr>
          <w:sz w:val="6"/>
          <w:szCs w:val="6"/>
        </w:rPr>
      </w:pPr>
    </w:p>
    <w:tbl>
      <w:tblPr>
        <w:tblW w:w="43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300"/>
      </w:tblGrid>
      <w:tr w:rsidR="0045616B" w:rsidRPr="0045616B" w:rsidTr="00894263">
        <w:trPr>
          <w:trHeight w:val="300"/>
          <w:jc w:val="center"/>
        </w:trPr>
        <w:tc>
          <w:tcPr>
            <w:tcW w:w="2040" w:type="dxa"/>
            <w:shd w:val="clear" w:color="auto" w:fill="auto"/>
            <w:noWrap/>
            <w:vAlign w:val="bottom"/>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 </w:t>
            </w:r>
          </w:p>
        </w:tc>
        <w:tc>
          <w:tcPr>
            <w:tcW w:w="2300" w:type="dxa"/>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Duty rate (pence per litre)</w:t>
            </w:r>
          </w:p>
        </w:tc>
      </w:tr>
      <w:tr w:rsidR="0045616B" w:rsidRPr="0045616B" w:rsidTr="00894263">
        <w:trPr>
          <w:trHeight w:val="300"/>
          <w:jc w:val="center"/>
        </w:trPr>
        <w:tc>
          <w:tcPr>
            <w:tcW w:w="2040" w:type="dxa"/>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Oct 2007 - Nov 2008</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50.35</w:t>
            </w:r>
          </w:p>
        </w:tc>
      </w:tr>
      <w:tr w:rsidR="0045616B" w:rsidRPr="0045616B" w:rsidTr="00894263">
        <w:trPr>
          <w:trHeight w:val="300"/>
          <w:jc w:val="center"/>
        </w:trPr>
        <w:tc>
          <w:tcPr>
            <w:tcW w:w="2040" w:type="dxa"/>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Dec 2008 - Mar 2009</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52.35</w:t>
            </w:r>
          </w:p>
        </w:tc>
      </w:tr>
      <w:tr w:rsidR="0045616B" w:rsidRPr="0045616B" w:rsidTr="00894263">
        <w:trPr>
          <w:trHeight w:val="300"/>
          <w:jc w:val="center"/>
        </w:trPr>
        <w:tc>
          <w:tcPr>
            <w:tcW w:w="2040" w:type="dxa"/>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Apr 2009 - Aug 2009</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54.19</w:t>
            </w:r>
          </w:p>
        </w:tc>
      </w:tr>
      <w:tr w:rsidR="0045616B" w:rsidRPr="0045616B" w:rsidTr="00894263">
        <w:trPr>
          <w:trHeight w:val="300"/>
          <w:jc w:val="center"/>
        </w:trPr>
        <w:tc>
          <w:tcPr>
            <w:tcW w:w="2040" w:type="dxa"/>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Sep 2009 - Mar 2010</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56.19</w:t>
            </w:r>
          </w:p>
        </w:tc>
      </w:tr>
      <w:tr w:rsidR="0045616B" w:rsidRPr="0045616B" w:rsidTr="00894263">
        <w:trPr>
          <w:trHeight w:val="300"/>
          <w:jc w:val="center"/>
        </w:trPr>
        <w:tc>
          <w:tcPr>
            <w:tcW w:w="2040" w:type="dxa"/>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Apr 2010 - Sep 2010</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57.19</w:t>
            </w:r>
          </w:p>
        </w:tc>
      </w:tr>
      <w:tr w:rsidR="0045616B" w:rsidRPr="0045616B" w:rsidTr="00894263">
        <w:trPr>
          <w:trHeight w:val="300"/>
          <w:jc w:val="center"/>
        </w:trPr>
        <w:tc>
          <w:tcPr>
            <w:tcW w:w="2040" w:type="dxa"/>
            <w:shd w:val="clear" w:color="auto" w:fill="auto"/>
            <w:noWrap/>
            <w:vAlign w:val="center"/>
            <w:hideMark/>
          </w:tcPr>
          <w:p w:rsidR="0045616B" w:rsidRPr="0045616B" w:rsidRDefault="00894263" w:rsidP="0045616B">
            <w:pPr>
              <w:spacing w:before="0" w:after="0"/>
              <w:rPr>
                <w:rFonts w:cs="Arial"/>
                <w:color w:val="000000"/>
                <w:sz w:val="20"/>
                <w:szCs w:val="20"/>
                <w:lang w:eastAsia="en-GB"/>
              </w:rPr>
            </w:pPr>
            <w:r>
              <w:rPr>
                <w:rFonts w:cs="Arial"/>
                <w:color w:val="000000"/>
                <w:sz w:val="20"/>
                <w:szCs w:val="20"/>
                <w:lang w:eastAsia="en-GB"/>
              </w:rPr>
              <w:t>Oct 2010 - Jan 2011</w:t>
            </w:r>
          </w:p>
        </w:tc>
        <w:tc>
          <w:tcPr>
            <w:tcW w:w="2300" w:type="dxa"/>
            <w:shd w:val="clear" w:color="auto" w:fill="auto"/>
            <w:noWrap/>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58.19</w:t>
            </w:r>
          </w:p>
        </w:tc>
      </w:tr>
      <w:tr w:rsidR="00894263" w:rsidRPr="0045616B" w:rsidTr="00894263">
        <w:trPr>
          <w:trHeight w:val="300"/>
          <w:jc w:val="center"/>
        </w:trPr>
        <w:tc>
          <w:tcPr>
            <w:tcW w:w="2040" w:type="dxa"/>
            <w:shd w:val="clear" w:color="auto" w:fill="auto"/>
            <w:noWrap/>
            <w:vAlign w:val="center"/>
          </w:tcPr>
          <w:p w:rsidR="00894263" w:rsidRPr="0045616B" w:rsidRDefault="00894263" w:rsidP="0045616B">
            <w:pPr>
              <w:spacing w:before="0" w:after="0"/>
              <w:rPr>
                <w:rFonts w:cs="Arial"/>
                <w:color w:val="000000"/>
                <w:sz w:val="20"/>
                <w:szCs w:val="20"/>
                <w:lang w:eastAsia="en-GB"/>
              </w:rPr>
            </w:pPr>
            <w:r>
              <w:rPr>
                <w:rFonts w:cs="Arial"/>
                <w:color w:val="000000"/>
                <w:sz w:val="20"/>
                <w:szCs w:val="20"/>
                <w:lang w:eastAsia="en-GB"/>
              </w:rPr>
              <w:t>Feb 2011 – Dec 2011</w:t>
            </w:r>
          </w:p>
        </w:tc>
        <w:tc>
          <w:tcPr>
            <w:tcW w:w="2300" w:type="dxa"/>
            <w:shd w:val="clear" w:color="auto" w:fill="auto"/>
            <w:noWrap/>
            <w:vAlign w:val="center"/>
          </w:tcPr>
          <w:p w:rsidR="00894263" w:rsidRPr="0045616B" w:rsidRDefault="00894263" w:rsidP="0045616B">
            <w:pPr>
              <w:spacing w:before="0" w:after="0"/>
              <w:jc w:val="right"/>
              <w:rPr>
                <w:rFonts w:cs="Arial"/>
                <w:color w:val="000000"/>
                <w:sz w:val="20"/>
                <w:szCs w:val="20"/>
                <w:lang w:eastAsia="en-GB"/>
              </w:rPr>
            </w:pPr>
            <w:r>
              <w:rPr>
                <w:rFonts w:cs="Arial"/>
                <w:color w:val="000000"/>
                <w:sz w:val="20"/>
                <w:szCs w:val="20"/>
                <w:lang w:eastAsia="en-GB"/>
              </w:rPr>
              <w:t>57.95</w:t>
            </w:r>
          </w:p>
        </w:tc>
      </w:tr>
    </w:tbl>
    <w:p w:rsidR="00A016DC" w:rsidRDefault="00476AA5" w:rsidP="00476AA5">
      <w:pPr>
        <w:pStyle w:val="BulletOne"/>
      </w:pPr>
      <w:r>
        <w:t>T</w:t>
      </w:r>
      <w:r w:rsidR="00A016DC">
        <w:t xml:space="preserve">he VAT rate has </w:t>
      </w:r>
      <w:r w:rsidR="009B5443">
        <w:t xml:space="preserve">been taken from the </w:t>
      </w:r>
      <w:proofErr w:type="spellStart"/>
      <w:r w:rsidR="009B5443">
        <w:t>HMRC</w:t>
      </w:r>
      <w:proofErr w:type="spellEnd"/>
      <w:r w:rsidR="009B5443">
        <w:t xml:space="preserve"> documentation availab</w:t>
      </w:r>
      <w:r w:rsidR="00437135">
        <w:t xml:space="preserve">le on their website. </w:t>
      </w:r>
    </w:p>
    <w:p w:rsidR="00964392" w:rsidRPr="00964392" w:rsidRDefault="00964392" w:rsidP="00964392">
      <w:pPr>
        <w:rPr>
          <w:sz w:val="6"/>
          <w:szCs w:val="6"/>
        </w:rPr>
      </w:pPr>
    </w:p>
    <w:tbl>
      <w:tblPr>
        <w:tblW w:w="4340" w:type="dxa"/>
        <w:jc w:val="center"/>
        <w:tblInd w:w="93" w:type="dxa"/>
        <w:tblLook w:val="04A0" w:firstRow="1" w:lastRow="0" w:firstColumn="1" w:lastColumn="0" w:noHBand="0" w:noVBand="1"/>
      </w:tblPr>
      <w:tblGrid>
        <w:gridCol w:w="2040"/>
        <w:gridCol w:w="2300"/>
      </w:tblGrid>
      <w:tr w:rsidR="0045616B" w:rsidRPr="0045616B" w:rsidTr="00964392">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16B" w:rsidRPr="0045616B" w:rsidRDefault="0045616B" w:rsidP="0045616B">
            <w:pPr>
              <w:spacing w:before="0" w:after="0"/>
              <w:rPr>
                <w:rFonts w:ascii="Arial" w:hAnsi="Arial" w:cs="Arial"/>
                <w:color w:val="000000"/>
                <w:sz w:val="20"/>
                <w:szCs w:val="20"/>
                <w:lang w:eastAsia="en-GB"/>
              </w:rPr>
            </w:pPr>
            <w:r w:rsidRPr="0045616B">
              <w:rPr>
                <w:rFonts w:ascii="Arial" w:hAnsi="Arial" w:cs="Arial"/>
                <w:color w:val="000000"/>
                <w:sz w:val="20"/>
                <w:szCs w:val="20"/>
                <w:lang w:eastAsia="en-GB"/>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VAT %</w:t>
            </w:r>
          </w:p>
        </w:tc>
      </w:tr>
      <w:tr w:rsidR="0045616B" w:rsidRPr="0045616B" w:rsidTr="00964392">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Jan 2007 – Nov 2008</w:t>
            </w:r>
          </w:p>
        </w:tc>
        <w:tc>
          <w:tcPr>
            <w:tcW w:w="2300" w:type="dxa"/>
            <w:tcBorders>
              <w:top w:val="nil"/>
              <w:left w:val="nil"/>
              <w:bottom w:val="single" w:sz="4" w:space="0" w:color="auto"/>
              <w:right w:val="single" w:sz="4" w:space="0" w:color="auto"/>
            </w:tcBorders>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17.50%</w:t>
            </w:r>
          </w:p>
        </w:tc>
      </w:tr>
      <w:tr w:rsidR="0045616B" w:rsidRPr="0045616B" w:rsidTr="00964392">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Dec 2008 – Dec 2009</w:t>
            </w:r>
          </w:p>
        </w:tc>
        <w:tc>
          <w:tcPr>
            <w:tcW w:w="2300" w:type="dxa"/>
            <w:tcBorders>
              <w:top w:val="nil"/>
              <w:left w:val="nil"/>
              <w:bottom w:val="single" w:sz="4" w:space="0" w:color="auto"/>
              <w:right w:val="single" w:sz="4" w:space="0" w:color="auto"/>
            </w:tcBorders>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15.00%</w:t>
            </w:r>
          </w:p>
        </w:tc>
      </w:tr>
      <w:tr w:rsidR="0045616B" w:rsidRPr="0045616B" w:rsidTr="00964392">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Jan 2010 – Dec 2010</w:t>
            </w:r>
          </w:p>
        </w:tc>
        <w:tc>
          <w:tcPr>
            <w:tcW w:w="2300" w:type="dxa"/>
            <w:tcBorders>
              <w:top w:val="nil"/>
              <w:left w:val="nil"/>
              <w:bottom w:val="single" w:sz="4" w:space="0" w:color="auto"/>
              <w:right w:val="single" w:sz="4" w:space="0" w:color="auto"/>
            </w:tcBorders>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17.50%</w:t>
            </w:r>
          </w:p>
        </w:tc>
      </w:tr>
      <w:tr w:rsidR="0045616B" w:rsidRPr="0045616B" w:rsidTr="00964392">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616B" w:rsidRPr="0045616B" w:rsidRDefault="0045616B" w:rsidP="0045616B">
            <w:pPr>
              <w:spacing w:before="0" w:after="0"/>
              <w:rPr>
                <w:rFonts w:cs="Arial"/>
                <w:color w:val="000000"/>
                <w:sz w:val="20"/>
                <w:szCs w:val="20"/>
                <w:lang w:eastAsia="en-GB"/>
              </w:rPr>
            </w:pPr>
            <w:r w:rsidRPr="0045616B">
              <w:rPr>
                <w:rFonts w:cs="Arial"/>
                <w:color w:val="000000"/>
                <w:sz w:val="20"/>
                <w:szCs w:val="20"/>
                <w:lang w:eastAsia="en-GB"/>
              </w:rPr>
              <w:t>Jan 2011 – Present</w:t>
            </w:r>
          </w:p>
        </w:tc>
        <w:tc>
          <w:tcPr>
            <w:tcW w:w="2300" w:type="dxa"/>
            <w:tcBorders>
              <w:top w:val="nil"/>
              <w:left w:val="nil"/>
              <w:bottom w:val="single" w:sz="4" w:space="0" w:color="auto"/>
              <w:right w:val="single" w:sz="4" w:space="0" w:color="auto"/>
            </w:tcBorders>
            <w:shd w:val="clear" w:color="auto" w:fill="auto"/>
            <w:vAlign w:val="center"/>
            <w:hideMark/>
          </w:tcPr>
          <w:p w:rsidR="0045616B" w:rsidRPr="0045616B" w:rsidRDefault="0045616B" w:rsidP="0045616B">
            <w:pPr>
              <w:spacing w:before="0" w:after="0"/>
              <w:jc w:val="right"/>
              <w:rPr>
                <w:rFonts w:cs="Arial"/>
                <w:color w:val="000000"/>
                <w:sz w:val="20"/>
                <w:szCs w:val="20"/>
                <w:lang w:eastAsia="en-GB"/>
              </w:rPr>
            </w:pPr>
            <w:r w:rsidRPr="0045616B">
              <w:rPr>
                <w:rFonts w:cs="Arial"/>
                <w:color w:val="000000"/>
                <w:sz w:val="20"/>
                <w:szCs w:val="20"/>
                <w:lang w:eastAsia="en-GB"/>
              </w:rPr>
              <w:t>20.00%</w:t>
            </w:r>
          </w:p>
        </w:tc>
      </w:tr>
    </w:tbl>
    <w:p w:rsidR="00CC3164" w:rsidRPr="00CC3164" w:rsidRDefault="00CC3164" w:rsidP="00CC3164">
      <w:pPr>
        <w:rPr>
          <w:sz w:val="2"/>
          <w:szCs w:val="2"/>
        </w:rPr>
      </w:pPr>
    </w:p>
    <w:p w:rsidR="00A016DC" w:rsidRDefault="00A016DC" w:rsidP="00A016DC"/>
    <w:p w:rsidR="00A016DC" w:rsidRPr="00A016DC" w:rsidRDefault="00A016DC" w:rsidP="00A016DC">
      <w:pPr>
        <w:rPr>
          <w:b/>
        </w:rPr>
      </w:pPr>
      <w:r w:rsidRPr="00A016DC">
        <w:rPr>
          <w:b/>
        </w:rPr>
        <w:t>Sources</w:t>
      </w:r>
    </w:p>
    <w:p w:rsidR="00A016DC" w:rsidRDefault="00A016DC" w:rsidP="00A016DC">
      <w:r>
        <w:t>Fuel Price Information - http://www.theaa.com/motoring_advice/fuel/</w:t>
      </w:r>
    </w:p>
    <w:p w:rsidR="006E6478" w:rsidRDefault="00A016DC" w:rsidP="007C2B27">
      <w:r>
        <w:t>Oil Price Information - http://production.investis.com/bp2/download/brent_oil/</w:t>
      </w:r>
    </w:p>
    <w:sectPr w:rsidR="006E6478" w:rsidSect="0095009A">
      <w:headerReference w:type="default" r:id="rId21"/>
      <w:footerReference w:type="default" r:id="rId22"/>
      <w:pgSz w:w="11906" w:h="16838" w:code="9"/>
      <w:pgMar w:top="1985" w:right="1134" w:bottom="1134" w:left="2608"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2E" w:rsidRDefault="00D74F2E">
      <w:r>
        <w:separator/>
      </w:r>
    </w:p>
  </w:endnote>
  <w:endnote w:type="continuationSeparator" w:id="0">
    <w:p w:rsidR="00D74F2E" w:rsidRDefault="00D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7" w:rsidRDefault="001D3237" w:rsidP="008C2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237" w:rsidRDefault="001D3237" w:rsidP="009500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7" w:rsidRDefault="001D3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7" w:rsidRDefault="001D3237" w:rsidP="008C2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77C">
      <w:rPr>
        <w:rStyle w:val="PageNumber"/>
        <w:noProof/>
      </w:rPr>
      <w:t>1</w:t>
    </w:r>
    <w:r>
      <w:rPr>
        <w:rStyle w:val="PageNumber"/>
      </w:rPr>
      <w:fldChar w:fldCharType="end"/>
    </w:r>
  </w:p>
  <w:p w:rsidR="001D3237" w:rsidRDefault="001D3237" w:rsidP="0095009A">
    <w:pPr>
      <w:pStyle w:val="Footer"/>
      <w:ind w:right="360"/>
    </w:pPr>
    <w:r>
      <w:rPr>
        <w:rFonts w:cs="Arial"/>
      </w:rPr>
      <w:t>©</w:t>
    </w:r>
    <w:r>
      <w:t xml:space="preserve"> </w:t>
    </w:r>
    <w:r>
      <w:fldChar w:fldCharType="begin"/>
    </w:r>
    <w:r>
      <w:instrText xml:space="preserve"> SAVEDATE  \@ "yyyy"  \* MERGEFORMAT </w:instrText>
    </w:r>
    <w:r>
      <w:fldChar w:fldCharType="separate"/>
    </w:r>
    <w:r w:rsidR="00456101">
      <w:rPr>
        <w:noProof/>
      </w:rPr>
      <w:t>2012</w:t>
    </w:r>
    <w:r>
      <w:fldChar w:fldCharType="end"/>
    </w:r>
    <w:r>
      <w:t xml:space="preserve"> Grant Thornton UK LLP.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2E" w:rsidRDefault="00D74F2E">
      <w:pPr>
        <w:pStyle w:val="Footer"/>
      </w:pPr>
    </w:p>
  </w:footnote>
  <w:footnote w:type="continuationSeparator" w:id="0">
    <w:p w:rsidR="00D74F2E" w:rsidRDefault="00D74F2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7" w:rsidRDefault="001D3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7" w:rsidRDefault="001D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0AF04375"/>
    <w:multiLevelType w:val="hybridMultilevel"/>
    <w:tmpl w:val="3392E950"/>
    <w:lvl w:ilvl="0" w:tplc="08090001">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522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5">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7">
    <w:nsid w:val="1E4A2BEE"/>
    <w:multiLevelType w:val="multilevel"/>
    <w:tmpl w:val="2828F05C"/>
    <w:lvl w:ilvl="0">
      <w:start w:val="1"/>
      <w:numFmt w:val="decimal"/>
      <w:pStyle w:val="NumSection"/>
      <w:lvlText w:val="%1"/>
      <w:lvlJc w:val="left"/>
      <w:pPr>
        <w:tabs>
          <w:tab w:val="num" w:pos="567"/>
        </w:tabs>
        <w:ind w:left="567" w:hanging="567"/>
      </w:pPr>
      <w:rPr>
        <w:rFonts w:hint="default"/>
      </w:rPr>
    </w:lvl>
    <w:lvl w:ilvl="1">
      <w:start w:val="1"/>
      <w:numFmt w:val="decimal"/>
      <w:pStyle w:val="NumHead"/>
      <w:lvlText w:val="%1.%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63614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541EF"/>
    <w:multiLevelType w:val="multilevel"/>
    <w:tmpl w:val="43DCD2B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4">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FC78EC"/>
    <w:multiLevelType w:val="hybridMultilevel"/>
    <w:tmpl w:val="10588116"/>
    <w:lvl w:ilvl="0" w:tplc="C57EE82A">
      <w:start w:val="1"/>
      <w:numFmt w:val="bullet"/>
      <w:pStyle w:val="BulletOne"/>
      <w:lvlText w:val=""/>
      <w:lvlJc w:val="left"/>
      <w:pPr>
        <w:tabs>
          <w:tab w:val="num" w:pos="624"/>
        </w:tabs>
        <w:ind w:left="624"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1">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221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8"/>
  </w:num>
  <w:num w:numId="4">
    <w:abstractNumId w:val="12"/>
  </w:num>
  <w:num w:numId="5">
    <w:abstractNumId w:val="20"/>
  </w:num>
  <w:num w:numId="6">
    <w:abstractNumId w:val="20"/>
  </w:num>
  <w:num w:numId="7">
    <w:abstractNumId w:val="9"/>
  </w:num>
  <w:num w:numId="8">
    <w:abstractNumId w:val="14"/>
  </w:num>
  <w:num w:numId="9">
    <w:abstractNumId w:val="15"/>
  </w:num>
  <w:num w:numId="10">
    <w:abstractNumId w:val="15"/>
  </w:num>
  <w:num w:numId="11">
    <w:abstractNumId w:val="0"/>
  </w:num>
  <w:num w:numId="12">
    <w:abstractNumId w:val="4"/>
  </w:num>
  <w:num w:numId="13">
    <w:abstractNumId w:val="1"/>
  </w:num>
  <w:num w:numId="14">
    <w:abstractNumId w:val="18"/>
  </w:num>
  <w:num w:numId="15">
    <w:abstractNumId w:val="12"/>
  </w:num>
  <w:num w:numId="16">
    <w:abstractNumId w:val="0"/>
  </w:num>
  <w:num w:numId="17">
    <w:abstractNumId w:val="0"/>
  </w:num>
  <w:num w:numId="18">
    <w:abstractNumId w:val="0"/>
  </w:num>
  <w:num w:numId="19">
    <w:abstractNumId w:val="9"/>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3"/>
  </w:num>
  <w:num w:numId="25">
    <w:abstractNumId w:val="13"/>
  </w:num>
  <w:num w:numId="26">
    <w:abstractNumId w:val="11"/>
  </w:num>
  <w:num w:numId="27">
    <w:abstractNumId w:val="25"/>
  </w:num>
  <w:num w:numId="28">
    <w:abstractNumId w:val="19"/>
  </w:num>
  <w:num w:numId="29">
    <w:abstractNumId w:val="26"/>
  </w:num>
  <w:num w:numId="30">
    <w:abstractNumId w:val="21"/>
  </w:num>
  <w:num w:numId="31">
    <w:abstractNumId w:val="23"/>
  </w:num>
  <w:num w:numId="32">
    <w:abstractNumId w:val="23"/>
  </w:num>
  <w:num w:numId="33">
    <w:abstractNumId w:val="23"/>
  </w:num>
  <w:num w:numId="34">
    <w:abstractNumId w:val="10"/>
  </w:num>
  <w:num w:numId="35">
    <w:abstractNumId w:val="17"/>
  </w:num>
  <w:num w:numId="36">
    <w:abstractNumId w:val="5"/>
  </w:num>
  <w:num w:numId="37">
    <w:abstractNumId w:val="24"/>
  </w:num>
  <w:num w:numId="38">
    <w:abstractNumId w:val="16"/>
  </w:num>
  <w:num w:numId="39">
    <w:abstractNumId w:val="8"/>
  </w:num>
  <w:num w:numId="40">
    <w:abstractNumId w:val="22"/>
  </w:num>
  <w:num w:numId="41">
    <w:abstractNumId w:val="3"/>
  </w:num>
  <w:num w:numId="42">
    <w:abstractNumId w:val="7"/>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Orientation" w:val="Portrait"/>
    <w:docVar w:name="Scheme" w:val="3"/>
  </w:docVars>
  <w:rsids>
    <w:rsidRoot w:val="00C47B85"/>
    <w:rsid w:val="00002109"/>
    <w:rsid w:val="00010A3B"/>
    <w:rsid w:val="00014B28"/>
    <w:rsid w:val="0003054B"/>
    <w:rsid w:val="0003153A"/>
    <w:rsid w:val="000338F5"/>
    <w:rsid w:val="00043BF6"/>
    <w:rsid w:val="00047046"/>
    <w:rsid w:val="0005054E"/>
    <w:rsid w:val="00052114"/>
    <w:rsid w:val="00062721"/>
    <w:rsid w:val="00063B9A"/>
    <w:rsid w:val="0006548D"/>
    <w:rsid w:val="00067212"/>
    <w:rsid w:val="00070838"/>
    <w:rsid w:val="00070DA5"/>
    <w:rsid w:val="0008455D"/>
    <w:rsid w:val="00084C3A"/>
    <w:rsid w:val="000872DC"/>
    <w:rsid w:val="000A0046"/>
    <w:rsid w:val="000A2DEB"/>
    <w:rsid w:val="000A3D4A"/>
    <w:rsid w:val="000A760A"/>
    <w:rsid w:val="000B16C6"/>
    <w:rsid w:val="000B42E3"/>
    <w:rsid w:val="000C255B"/>
    <w:rsid w:val="000C45E8"/>
    <w:rsid w:val="000D4833"/>
    <w:rsid w:val="000D56F8"/>
    <w:rsid w:val="000D7766"/>
    <w:rsid w:val="000E22B7"/>
    <w:rsid w:val="000F7157"/>
    <w:rsid w:val="00101A95"/>
    <w:rsid w:val="00105D04"/>
    <w:rsid w:val="001073F9"/>
    <w:rsid w:val="00116956"/>
    <w:rsid w:val="001209FB"/>
    <w:rsid w:val="00121A48"/>
    <w:rsid w:val="00121C2C"/>
    <w:rsid w:val="00131497"/>
    <w:rsid w:val="0013155D"/>
    <w:rsid w:val="0013161E"/>
    <w:rsid w:val="00132FA8"/>
    <w:rsid w:val="001420C1"/>
    <w:rsid w:val="00144D4C"/>
    <w:rsid w:val="00147852"/>
    <w:rsid w:val="00152D49"/>
    <w:rsid w:val="001603D6"/>
    <w:rsid w:val="001625C5"/>
    <w:rsid w:val="00165C76"/>
    <w:rsid w:val="00170A35"/>
    <w:rsid w:val="001735FF"/>
    <w:rsid w:val="001765A3"/>
    <w:rsid w:val="001769AD"/>
    <w:rsid w:val="001770BE"/>
    <w:rsid w:val="0018191E"/>
    <w:rsid w:val="00182F8B"/>
    <w:rsid w:val="001A276A"/>
    <w:rsid w:val="001B3C6F"/>
    <w:rsid w:val="001B6D20"/>
    <w:rsid w:val="001D3237"/>
    <w:rsid w:val="001D772B"/>
    <w:rsid w:val="002024FC"/>
    <w:rsid w:val="002151D3"/>
    <w:rsid w:val="0021649E"/>
    <w:rsid w:val="0021776E"/>
    <w:rsid w:val="002204D9"/>
    <w:rsid w:val="00222352"/>
    <w:rsid w:val="0022295A"/>
    <w:rsid w:val="002229C1"/>
    <w:rsid w:val="002303F0"/>
    <w:rsid w:val="00232AEB"/>
    <w:rsid w:val="00237418"/>
    <w:rsid w:val="00243FA6"/>
    <w:rsid w:val="002452C8"/>
    <w:rsid w:val="002678E0"/>
    <w:rsid w:val="00270658"/>
    <w:rsid w:val="00280362"/>
    <w:rsid w:val="00286E7A"/>
    <w:rsid w:val="00290832"/>
    <w:rsid w:val="002A3309"/>
    <w:rsid w:val="002A35C8"/>
    <w:rsid w:val="002B1793"/>
    <w:rsid w:val="002B3363"/>
    <w:rsid w:val="002B67EE"/>
    <w:rsid w:val="002B74CA"/>
    <w:rsid w:val="002C0E71"/>
    <w:rsid w:val="002C0FC6"/>
    <w:rsid w:val="002C3D47"/>
    <w:rsid w:val="002C462D"/>
    <w:rsid w:val="002C6CDC"/>
    <w:rsid w:val="002D5FDE"/>
    <w:rsid w:val="002E6ADE"/>
    <w:rsid w:val="002F3802"/>
    <w:rsid w:val="00305B45"/>
    <w:rsid w:val="003072B6"/>
    <w:rsid w:val="003100B5"/>
    <w:rsid w:val="0031100F"/>
    <w:rsid w:val="0031566A"/>
    <w:rsid w:val="00331934"/>
    <w:rsid w:val="0033248E"/>
    <w:rsid w:val="003431B8"/>
    <w:rsid w:val="00345033"/>
    <w:rsid w:val="003456F5"/>
    <w:rsid w:val="0036207F"/>
    <w:rsid w:val="003626C7"/>
    <w:rsid w:val="00363A9B"/>
    <w:rsid w:val="003671B7"/>
    <w:rsid w:val="00367902"/>
    <w:rsid w:val="003722C4"/>
    <w:rsid w:val="0037265A"/>
    <w:rsid w:val="00372CC8"/>
    <w:rsid w:val="003733C7"/>
    <w:rsid w:val="00382CF3"/>
    <w:rsid w:val="00385351"/>
    <w:rsid w:val="00386A20"/>
    <w:rsid w:val="003A01BB"/>
    <w:rsid w:val="003A1E7B"/>
    <w:rsid w:val="003A2BE0"/>
    <w:rsid w:val="003B1D80"/>
    <w:rsid w:val="003B2F9F"/>
    <w:rsid w:val="003B2FE8"/>
    <w:rsid w:val="003C2D19"/>
    <w:rsid w:val="003C5E51"/>
    <w:rsid w:val="003C7189"/>
    <w:rsid w:val="003E5E31"/>
    <w:rsid w:val="003F717E"/>
    <w:rsid w:val="004032A5"/>
    <w:rsid w:val="00406E77"/>
    <w:rsid w:val="00412B37"/>
    <w:rsid w:val="00417A5E"/>
    <w:rsid w:val="00417DF0"/>
    <w:rsid w:val="00424CAD"/>
    <w:rsid w:val="00430509"/>
    <w:rsid w:val="00435524"/>
    <w:rsid w:val="004361AA"/>
    <w:rsid w:val="00437135"/>
    <w:rsid w:val="00437867"/>
    <w:rsid w:val="0044155D"/>
    <w:rsid w:val="00443AC9"/>
    <w:rsid w:val="00446458"/>
    <w:rsid w:val="0044686D"/>
    <w:rsid w:val="00456101"/>
    <w:rsid w:val="0045616B"/>
    <w:rsid w:val="0046142E"/>
    <w:rsid w:val="004708DA"/>
    <w:rsid w:val="00475785"/>
    <w:rsid w:val="00475AA8"/>
    <w:rsid w:val="00476AA5"/>
    <w:rsid w:val="004813A5"/>
    <w:rsid w:val="0048165A"/>
    <w:rsid w:val="00487D7F"/>
    <w:rsid w:val="0049065B"/>
    <w:rsid w:val="0049486C"/>
    <w:rsid w:val="00495EE0"/>
    <w:rsid w:val="00496888"/>
    <w:rsid w:val="004C66DF"/>
    <w:rsid w:val="004E020E"/>
    <w:rsid w:val="004E20A6"/>
    <w:rsid w:val="004F4D39"/>
    <w:rsid w:val="004F6F0C"/>
    <w:rsid w:val="004F7940"/>
    <w:rsid w:val="00501157"/>
    <w:rsid w:val="00501B2B"/>
    <w:rsid w:val="00510B58"/>
    <w:rsid w:val="005115E5"/>
    <w:rsid w:val="00513870"/>
    <w:rsid w:val="00517277"/>
    <w:rsid w:val="00521366"/>
    <w:rsid w:val="005259DB"/>
    <w:rsid w:val="00526CE6"/>
    <w:rsid w:val="005455DD"/>
    <w:rsid w:val="00546057"/>
    <w:rsid w:val="0055005E"/>
    <w:rsid w:val="005545E3"/>
    <w:rsid w:val="00554BA9"/>
    <w:rsid w:val="00555D7E"/>
    <w:rsid w:val="00561082"/>
    <w:rsid w:val="00563F0E"/>
    <w:rsid w:val="00563F84"/>
    <w:rsid w:val="00564386"/>
    <w:rsid w:val="00570783"/>
    <w:rsid w:val="0057207C"/>
    <w:rsid w:val="0057250E"/>
    <w:rsid w:val="005729D4"/>
    <w:rsid w:val="00573F11"/>
    <w:rsid w:val="005740E0"/>
    <w:rsid w:val="0058029F"/>
    <w:rsid w:val="005868D2"/>
    <w:rsid w:val="005869A0"/>
    <w:rsid w:val="0059029D"/>
    <w:rsid w:val="00595D50"/>
    <w:rsid w:val="00596044"/>
    <w:rsid w:val="005A693F"/>
    <w:rsid w:val="005B7132"/>
    <w:rsid w:val="005B7CE4"/>
    <w:rsid w:val="005C101D"/>
    <w:rsid w:val="005C5F7C"/>
    <w:rsid w:val="005C614F"/>
    <w:rsid w:val="005C6F81"/>
    <w:rsid w:val="005D06B4"/>
    <w:rsid w:val="005F1663"/>
    <w:rsid w:val="005F2471"/>
    <w:rsid w:val="006079E2"/>
    <w:rsid w:val="00612301"/>
    <w:rsid w:val="00614158"/>
    <w:rsid w:val="00621DB2"/>
    <w:rsid w:val="00624BAF"/>
    <w:rsid w:val="0063019F"/>
    <w:rsid w:val="00634A83"/>
    <w:rsid w:val="00637D40"/>
    <w:rsid w:val="0064257F"/>
    <w:rsid w:val="00651457"/>
    <w:rsid w:val="00651CFB"/>
    <w:rsid w:val="00651D00"/>
    <w:rsid w:val="00652AD4"/>
    <w:rsid w:val="006532DF"/>
    <w:rsid w:val="00660859"/>
    <w:rsid w:val="006679C1"/>
    <w:rsid w:val="0067285B"/>
    <w:rsid w:val="00673C45"/>
    <w:rsid w:val="00681185"/>
    <w:rsid w:val="00685A42"/>
    <w:rsid w:val="00687A05"/>
    <w:rsid w:val="00692BE4"/>
    <w:rsid w:val="006941EF"/>
    <w:rsid w:val="006A533C"/>
    <w:rsid w:val="006A7088"/>
    <w:rsid w:val="006B0420"/>
    <w:rsid w:val="006C06B3"/>
    <w:rsid w:val="006C5B63"/>
    <w:rsid w:val="006D320D"/>
    <w:rsid w:val="006E1E66"/>
    <w:rsid w:val="006E1E93"/>
    <w:rsid w:val="006E23C4"/>
    <w:rsid w:val="006E25BB"/>
    <w:rsid w:val="006E6478"/>
    <w:rsid w:val="006E7A91"/>
    <w:rsid w:val="006F1904"/>
    <w:rsid w:val="007032F9"/>
    <w:rsid w:val="007139FE"/>
    <w:rsid w:val="007179B2"/>
    <w:rsid w:val="00721DFB"/>
    <w:rsid w:val="0072325C"/>
    <w:rsid w:val="0072574F"/>
    <w:rsid w:val="00731F28"/>
    <w:rsid w:val="007352B9"/>
    <w:rsid w:val="00741E7E"/>
    <w:rsid w:val="0074565E"/>
    <w:rsid w:val="00745FBD"/>
    <w:rsid w:val="00750F2D"/>
    <w:rsid w:val="007527A2"/>
    <w:rsid w:val="00753D49"/>
    <w:rsid w:val="00755878"/>
    <w:rsid w:val="00755966"/>
    <w:rsid w:val="00756572"/>
    <w:rsid w:val="00761E6C"/>
    <w:rsid w:val="00765C18"/>
    <w:rsid w:val="00766F8E"/>
    <w:rsid w:val="0077772C"/>
    <w:rsid w:val="007778C5"/>
    <w:rsid w:val="007835E0"/>
    <w:rsid w:val="0078471C"/>
    <w:rsid w:val="007848BF"/>
    <w:rsid w:val="007962F6"/>
    <w:rsid w:val="00797030"/>
    <w:rsid w:val="007A0745"/>
    <w:rsid w:val="007A1468"/>
    <w:rsid w:val="007A30F7"/>
    <w:rsid w:val="007A522A"/>
    <w:rsid w:val="007A643C"/>
    <w:rsid w:val="007B5AEA"/>
    <w:rsid w:val="007B5EFF"/>
    <w:rsid w:val="007B7AAE"/>
    <w:rsid w:val="007B7C57"/>
    <w:rsid w:val="007C2B27"/>
    <w:rsid w:val="007C4534"/>
    <w:rsid w:val="007C4BF0"/>
    <w:rsid w:val="007C540E"/>
    <w:rsid w:val="007C69EC"/>
    <w:rsid w:val="007D2C79"/>
    <w:rsid w:val="007D69D8"/>
    <w:rsid w:val="007E7257"/>
    <w:rsid w:val="007E7DE0"/>
    <w:rsid w:val="007F3FEB"/>
    <w:rsid w:val="00803593"/>
    <w:rsid w:val="00806403"/>
    <w:rsid w:val="008133FC"/>
    <w:rsid w:val="0081570E"/>
    <w:rsid w:val="008175F5"/>
    <w:rsid w:val="008219C7"/>
    <w:rsid w:val="0082606A"/>
    <w:rsid w:val="00833A5B"/>
    <w:rsid w:val="00840EA2"/>
    <w:rsid w:val="00843304"/>
    <w:rsid w:val="00846F4F"/>
    <w:rsid w:val="00851DB4"/>
    <w:rsid w:val="0086024F"/>
    <w:rsid w:val="008610BB"/>
    <w:rsid w:val="008615E9"/>
    <w:rsid w:val="008715A2"/>
    <w:rsid w:val="00880199"/>
    <w:rsid w:val="008878DE"/>
    <w:rsid w:val="008906CD"/>
    <w:rsid w:val="00891AD5"/>
    <w:rsid w:val="00892C81"/>
    <w:rsid w:val="00894263"/>
    <w:rsid w:val="008A4FDE"/>
    <w:rsid w:val="008A5743"/>
    <w:rsid w:val="008A6019"/>
    <w:rsid w:val="008A60F5"/>
    <w:rsid w:val="008B2455"/>
    <w:rsid w:val="008B3477"/>
    <w:rsid w:val="008B7FDD"/>
    <w:rsid w:val="008C28A0"/>
    <w:rsid w:val="008C4120"/>
    <w:rsid w:val="008C6199"/>
    <w:rsid w:val="008D1B63"/>
    <w:rsid w:val="008E75DA"/>
    <w:rsid w:val="008F0283"/>
    <w:rsid w:val="008F5D9D"/>
    <w:rsid w:val="0090474C"/>
    <w:rsid w:val="0090496A"/>
    <w:rsid w:val="00904AFA"/>
    <w:rsid w:val="00912074"/>
    <w:rsid w:val="00914274"/>
    <w:rsid w:val="00915150"/>
    <w:rsid w:val="00916E6A"/>
    <w:rsid w:val="00917342"/>
    <w:rsid w:val="0092057D"/>
    <w:rsid w:val="00923666"/>
    <w:rsid w:val="00945129"/>
    <w:rsid w:val="0094583F"/>
    <w:rsid w:val="0095009A"/>
    <w:rsid w:val="00953381"/>
    <w:rsid w:val="00954B84"/>
    <w:rsid w:val="00960037"/>
    <w:rsid w:val="00963CF7"/>
    <w:rsid w:val="00964392"/>
    <w:rsid w:val="009677EA"/>
    <w:rsid w:val="009708E9"/>
    <w:rsid w:val="009739BC"/>
    <w:rsid w:val="009809A9"/>
    <w:rsid w:val="00984A28"/>
    <w:rsid w:val="00986495"/>
    <w:rsid w:val="00997020"/>
    <w:rsid w:val="009A0024"/>
    <w:rsid w:val="009A287C"/>
    <w:rsid w:val="009A5D7A"/>
    <w:rsid w:val="009B4D9A"/>
    <w:rsid w:val="009B5443"/>
    <w:rsid w:val="009B59E1"/>
    <w:rsid w:val="009B6033"/>
    <w:rsid w:val="009C1CEF"/>
    <w:rsid w:val="009C2D77"/>
    <w:rsid w:val="009C3236"/>
    <w:rsid w:val="009C380E"/>
    <w:rsid w:val="009C3DE2"/>
    <w:rsid w:val="009C404F"/>
    <w:rsid w:val="009C53EC"/>
    <w:rsid w:val="009C69FB"/>
    <w:rsid w:val="009D743B"/>
    <w:rsid w:val="009D7C66"/>
    <w:rsid w:val="009E1B4B"/>
    <w:rsid w:val="009E3D00"/>
    <w:rsid w:val="009F15E0"/>
    <w:rsid w:val="009F60AD"/>
    <w:rsid w:val="00A016DC"/>
    <w:rsid w:val="00A12E4E"/>
    <w:rsid w:val="00A17A6E"/>
    <w:rsid w:val="00A24A84"/>
    <w:rsid w:val="00A31E02"/>
    <w:rsid w:val="00A3407C"/>
    <w:rsid w:val="00A348F1"/>
    <w:rsid w:val="00A36300"/>
    <w:rsid w:val="00A37BEB"/>
    <w:rsid w:val="00A44696"/>
    <w:rsid w:val="00A55E7F"/>
    <w:rsid w:val="00A62DBF"/>
    <w:rsid w:val="00A64D8D"/>
    <w:rsid w:val="00A70A7B"/>
    <w:rsid w:val="00A733C0"/>
    <w:rsid w:val="00A74CF5"/>
    <w:rsid w:val="00A8344F"/>
    <w:rsid w:val="00A8445F"/>
    <w:rsid w:val="00A865A3"/>
    <w:rsid w:val="00A86CDC"/>
    <w:rsid w:val="00A92FAE"/>
    <w:rsid w:val="00A958C0"/>
    <w:rsid w:val="00A96726"/>
    <w:rsid w:val="00AA0BF0"/>
    <w:rsid w:val="00AA29DD"/>
    <w:rsid w:val="00AA7D6E"/>
    <w:rsid w:val="00AB3872"/>
    <w:rsid w:val="00AB3A1F"/>
    <w:rsid w:val="00AB652A"/>
    <w:rsid w:val="00AB6D99"/>
    <w:rsid w:val="00AC0BF6"/>
    <w:rsid w:val="00AD1908"/>
    <w:rsid w:val="00AD27A5"/>
    <w:rsid w:val="00AE0BCD"/>
    <w:rsid w:val="00AE56ED"/>
    <w:rsid w:val="00AF34C3"/>
    <w:rsid w:val="00B07330"/>
    <w:rsid w:val="00B13BB3"/>
    <w:rsid w:val="00B144A5"/>
    <w:rsid w:val="00B17041"/>
    <w:rsid w:val="00B1776F"/>
    <w:rsid w:val="00B22E96"/>
    <w:rsid w:val="00B23A39"/>
    <w:rsid w:val="00B258C3"/>
    <w:rsid w:val="00B326E0"/>
    <w:rsid w:val="00B36970"/>
    <w:rsid w:val="00B4322D"/>
    <w:rsid w:val="00B43DBF"/>
    <w:rsid w:val="00B44527"/>
    <w:rsid w:val="00B5081D"/>
    <w:rsid w:val="00B54B28"/>
    <w:rsid w:val="00B602F8"/>
    <w:rsid w:val="00B624FE"/>
    <w:rsid w:val="00B6743D"/>
    <w:rsid w:val="00B70541"/>
    <w:rsid w:val="00B720F3"/>
    <w:rsid w:val="00B86B51"/>
    <w:rsid w:val="00B86F52"/>
    <w:rsid w:val="00B87254"/>
    <w:rsid w:val="00B9288B"/>
    <w:rsid w:val="00B9749F"/>
    <w:rsid w:val="00B9771A"/>
    <w:rsid w:val="00BA0D33"/>
    <w:rsid w:val="00BA104C"/>
    <w:rsid w:val="00BA29F6"/>
    <w:rsid w:val="00BB1258"/>
    <w:rsid w:val="00BB1405"/>
    <w:rsid w:val="00BB2B3E"/>
    <w:rsid w:val="00BB7DCE"/>
    <w:rsid w:val="00BD0FDB"/>
    <w:rsid w:val="00BE1D60"/>
    <w:rsid w:val="00BE20C5"/>
    <w:rsid w:val="00BE3894"/>
    <w:rsid w:val="00BE73B5"/>
    <w:rsid w:val="00BF03B6"/>
    <w:rsid w:val="00BF5C9A"/>
    <w:rsid w:val="00BF73F4"/>
    <w:rsid w:val="00BF74B6"/>
    <w:rsid w:val="00BF7B9A"/>
    <w:rsid w:val="00C05040"/>
    <w:rsid w:val="00C05ED5"/>
    <w:rsid w:val="00C069C4"/>
    <w:rsid w:val="00C07C5C"/>
    <w:rsid w:val="00C110D6"/>
    <w:rsid w:val="00C116BE"/>
    <w:rsid w:val="00C121F7"/>
    <w:rsid w:val="00C22809"/>
    <w:rsid w:val="00C244D0"/>
    <w:rsid w:val="00C275B6"/>
    <w:rsid w:val="00C31776"/>
    <w:rsid w:val="00C32A24"/>
    <w:rsid w:val="00C3477C"/>
    <w:rsid w:val="00C42367"/>
    <w:rsid w:val="00C436BC"/>
    <w:rsid w:val="00C4795C"/>
    <w:rsid w:val="00C47B85"/>
    <w:rsid w:val="00C50A62"/>
    <w:rsid w:val="00C527F3"/>
    <w:rsid w:val="00C56550"/>
    <w:rsid w:val="00C60D2F"/>
    <w:rsid w:val="00C616E3"/>
    <w:rsid w:val="00C63603"/>
    <w:rsid w:val="00C6730E"/>
    <w:rsid w:val="00C70F39"/>
    <w:rsid w:val="00C75C0D"/>
    <w:rsid w:val="00C76F01"/>
    <w:rsid w:val="00C77386"/>
    <w:rsid w:val="00C93BF0"/>
    <w:rsid w:val="00C9532F"/>
    <w:rsid w:val="00C97B28"/>
    <w:rsid w:val="00CA39E5"/>
    <w:rsid w:val="00CA70D3"/>
    <w:rsid w:val="00CB7C00"/>
    <w:rsid w:val="00CC3164"/>
    <w:rsid w:val="00CC3D97"/>
    <w:rsid w:val="00CC5134"/>
    <w:rsid w:val="00CC54EB"/>
    <w:rsid w:val="00CD0841"/>
    <w:rsid w:val="00CE7234"/>
    <w:rsid w:val="00CF52AE"/>
    <w:rsid w:val="00D01412"/>
    <w:rsid w:val="00D02BAA"/>
    <w:rsid w:val="00D1018A"/>
    <w:rsid w:val="00D10F60"/>
    <w:rsid w:val="00D21DEE"/>
    <w:rsid w:val="00D3244A"/>
    <w:rsid w:val="00D32612"/>
    <w:rsid w:val="00D3301C"/>
    <w:rsid w:val="00D34CD7"/>
    <w:rsid w:val="00D3697C"/>
    <w:rsid w:val="00D40F42"/>
    <w:rsid w:val="00D421A3"/>
    <w:rsid w:val="00D441B7"/>
    <w:rsid w:val="00D46AAC"/>
    <w:rsid w:val="00D47F1C"/>
    <w:rsid w:val="00D54D6A"/>
    <w:rsid w:val="00D629CF"/>
    <w:rsid w:val="00D656E4"/>
    <w:rsid w:val="00D73855"/>
    <w:rsid w:val="00D74F2E"/>
    <w:rsid w:val="00D751D3"/>
    <w:rsid w:val="00D81050"/>
    <w:rsid w:val="00D81E80"/>
    <w:rsid w:val="00D8644F"/>
    <w:rsid w:val="00D86483"/>
    <w:rsid w:val="00D870A0"/>
    <w:rsid w:val="00D91AAF"/>
    <w:rsid w:val="00D93C70"/>
    <w:rsid w:val="00DA2CE1"/>
    <w:rsid w:val="00DA5ED6"/>
    <w:rsid w:val="00DA5FB1"/>
    <w:rsid w:val="00DA6BEF"/>
    <w:rsid w:val="00DA771C"/>
    <w:rsid w:val="00DB4241"/>
    <w:rsid w:val="00DC30FA"/>
    <w:rsid w:val="00DC7053"/>
    <w:rsid w:val="00DD2089"/>
    <w:rsid w:val="00DD419F"/>
    <w:rsid w:val="00DD6B1E"/>
    <w:rsid w:val="00DF6884"/>
    <w:rsid w:val="00E017B8"/>
    <w:rsid w:val="00E07A7B"/>
    <w:rsid w:val="00E07DB0"/>
    <w:rsid w:val="00E17F2A"/>
    <w:rsid w:val="00E26773"/>
    <w:rsid w:val="00E30EAF"/>
    <w:rsid w:val="00E341E5"/>
    <w:rsid w:val="00E41B05"/>
    <w:rsid w:val="00E43B43"/>
    <w:rsid w:val="00E44F8F"/>
    <w:rsid w:val="00E61D2E"/>
    <w:rsid w:val="00E64A10"/>
    <w:rsid w:val="00E66FC6"/>
    <w:rsid w:val="00E70981"/>
    <w:rsid w:val="00E77DDC"/>
    <w:rsid w:val="00E85D9D"/>
    <w:rsid w:val="00E926EF"/>
    <w:rsid w:val="00E9654D"/>
    <w:rsid w:val="00EA54A4"/>
    <w:rsid w:val="00EA5936"/>
    <w:rsid w:val="00EA6C69"/>
    <w:rsid w:val="00EA7F7E"/>
    <w:rsid w:val="00EC060F"/>
    <w:rsid w:val="00EC0D8A"/>
    <w:rsid w:val="00EC10A2"/>
    <w:rsid w:val="00EC1283"/>
    <w:rsid w:val="00EC346A"/>
    <w:rsid w:val="00EC358C"/>
    <w:rsid w:val="00EC7675"/>
    <w:rsid w:val="00EE4224"/>
    <w:rsid w:val="00EE5F45"/>
    <w:rsid w:val="00F02B62"/>
    <w:rsid w:val="00F02FC8"/>
    <w:rsid w:val="00F03726"/>
    <w:rsid w:val="00F0684F"/>
    <w:rsid w:val="00F15167"/>
    <w:rsid w:val="00F1562A"/>
    <w:rsid w:val="00F2118B"/>
    <w:rsid w:val="00F21805"/>
    <w:rsid w:val="00F23179"/>
    <w:rsid w:val="00F24ED6"/>
    <w:rsid w:val="00F250F9"/>
    <w:rsid w:val="00F33459"/>
    <w:rsid w:val="00F35709"/>
    <w:rsid w:val="00F36AC5"/>
    <w:rsid w:val="00F372D1"/>
    <w:rsid w:val="00F40AD5"/>
    <w:rsid w:val="00F4278B"/>
    <w:rsid w:val="00F43369"/>
    <w:rsid w:val="00F47628"/>
    <w:rsid w:val="00F533CD"/>
    <w:rsid w:val="00F5341B"/>
    <w:rsid w:val="00F545BA"/>
    <w:rsid w:val="00F552CE"/>
    <w:rsid w:val="00F619B4"/>
    <w:rsid w:val="00F65989"/>
    <w:rsid w:val="00F66B28"/>
    <w:rsid w:val="00F67940"/>
    <w:rsid w:val="00F70432"/>
    <w:rsid w:val="00F71430"/>
    <w:rsid w:val="00F71CE2"/>
    <w:rsid w:val="00F746B0"/>
    <w:rsid w:val="00F760E0"/>
    <w:rsid w:val="00F76CB7"/>
    <w:rsid w:val="00F77C5F"/>
    <w:rsid w:val="00F77C78"/>
    <w:rsid w:val="00F8319C"/>
    <w:rsid w:val="00F831C0"/>
    <w:rsid w:val="00F86986"/>
    <w:rsid w:val="00F95717"/>
    <w:rsid w:val="00F9755A"/>
    <w:rsid w:val="00FA26DE"/>
    <w:rsid w:val="00FA40EC"/>
    <w:rsid w:val="00FB4561"/>
    <w:rsid w:val="00FC2BC7"/>
    <w:rsid w:val="00FC7299"/>
    <w:rsid w:val="00FD004A"/>
    <w:rsid w:val="00FD2F95"/>
    <w:rsid w:val="00FD4F4D"/>
    <w:rsid w:val="00FE0924"/>
    <w:rsid w:val="00FE2186"/>
    <w:rsid w:val="00FE352C"/>
    <w:rsid w:val="00FE6B8C"/>
    <w:rsid w:val="00FF64CF"/>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663"/>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color w:val="4F2D7F"/>
      <w:kern w:val="32"/>
      <w:sz w:val="21"/>
      <w:szCs w:val="21"/>
    </w:rPr>
  </w:style>
  <w:style w:type="paragraph" w:styleId="Heading2">
    <w:name w:val="heading 2"/>
    <w:basedOn w:val="Heading1"/>
    <w:next w:val="Normal"/>
    <w:qFormat/>
    <w:rsid w:val="00BE73B5"/>
    <w:pPr>
      <w:outlineLvl w:val="1"/>
    </w:pPr>
    <w:rPr>
      <w:bCs w:val="0"/>
      <w:iCs/>
      <w:color w:val="auto"/>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8C4120"/>
    <w:pPr>
      <w:outlineLvl w:val="3"/>
    </w:pPr>
    <w:rPr>
      <w:b w:val="0"/>
      <w:bCs w:val="0"/>
    </w:rPr>
  </w:style>
  <w:style w:type="paragraph" w:styleId="Heading5">
    <w:name w:val="heading 5"/>
    <w:basedOn w:val="Normal"/>
    <w:next w:val="Normal"/>
    <w:qFormat/>
    <w:rsid w:val="003E5E31"/>
    <w:pPr>
      <w:numPr>
        <w:ilvl w:val="4"/>
        <w:numId w:val="33"/>
      </w:numPr>
      <w:spacing w:after="60"/>
      <w:outlineLvl w:val="4"/>
    </w:pPr>
    <w:rPr>
      <w:b/>
      <w:bCs/>
      <w:i/>
      <w:iCs/>
      <w:sz w:val="26"/>
      <w:szCs w:val="26"/>
    </w:rPr>
  </w:style>
  <w:style w:type="paragraph" w:styleId="Heading6">
    <w:name w:val="heading 6"/>
    <w:basedOn w:val="Normal"/>
    <w:next w:val="Normal"/>
    <w:qFormat/>
    <w:rsid w:val="003E5E31"/>
    <w:pPr>
      <w:numPr>
        <w:ilvl w:val="5"/>
        <w:numId w:val="33"/>
      </w:numPr>
      <w:spacing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D81050"/>
    <w:pPr>
      <w:numPr>
        <w:numId w:val="10"/>
      </w:numPr>
      <w:spacing w:after="0"/>
      <w:jc w:val="right"/>
    </w:pPr>
    <w:rPr>
      <w:rFonts w:ascii="Arial" w:hAnsi="Arial"/>
      <w:b/>
      <w:color w:val="808080"/>
      <w:sz w:val="16"/>
    </w:rPr>
  </w:style>
  <w:style w:type="paragraph" w:styleId="Subtitle">
    <w:name w:val="Subtitle"/>
    <w:qFormat/>
    <w:rsid w:val="00C9532F"/>
    <w:pPr>
      <w:spacing w:line="280" w:lineRule="atLeast"/>
      <w:outlineLvl w:val="1"/>
    </w:pPr>
    <w:rPr>
      <w:rFonts w:ascii="Arial" w:hAnsi="Arial" w:cs="Arial"/>
      <w:bCs/>
      <w:kern w:val="28"/>
      <w:sz w:val="24"/>
      <w:szCs w:val="24"/>
      <w:lang w:val="en-US" w:eastAsia="en-US"/>
    </w:rPr>
  </w:style>
  <w:style w:type="paragraph" w:styleId="Footer">
    <w:name w:val="footer"/>
    <w:basedOn w:val="Normal"/>
    <w:rsid w:val="00D81050"/>
    <w:pPr>
      <w:tabs>
        <w:tab w:val="center" w:pos="4153"/>
        <w:tab w:val="right" w:pos="8306"/>
      </w:tabs>
      <w:spacing w:after="0"/>
    </w:pPr>
    <w:rPr>
      <w:rFonts w:ascii="Arial" w:hAnsi="Arial"/>
      <w:b/>
      <w:color w:val="808080"/>
      <w:sz w:val="16"/>
    </w:rPr>
  </w:style>
  <w:style w:type="paragraph" w:styleId="Header">
    <w:name w:val="header"/>
    <w:basedOn w:val="Normal"/>
    <w:rsid w:val="00D81050"/>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Subtitle"/>
    <w:qFormat/>
    <w:rsid w:val="00D81050"/>
    <w:pPr>
      <w:spacing w:before="400" w:after="400" w:line="580" w:lineRule="atLeast"/>
    </w:pPr>
    <w:rPr>
      <w:rFonts w:cs="Arial"/>
      <w:bCs/>
      <w:color w:val="4F2D7F"/>
      <w:kern w:val="28"/>
      <w:sz w:val="40"/>
      <w:szCs w:val="32"/>
    </w:rPr>
  </w:style>
  <w:style w:type="paragraph" w:customStyle="1" w:styleId="TableDouble">
    <w:name w:val="Table Double"/>
    <w:basedOn w:val="TableFigures"/>
    <w:rsid w:val="00D81050"/>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uiPriority w:val="39"/>
    <w:rsid w:val="00010A3B"/>
    <w:pPr>
      <w:tabs>
        <w:tab w:val="right" w:pos="8108"/>
      </w:tabs>
      <w:spacing w:before="120" w:after="0"/>
      <w:ind w:left="567" w:hanging="567"/>
    </w:pPr>
    <w:rPr>
      <w:b/>
      <w:bCs/>
    </w:rPr>
  </w:style>
  <w:style w:type="paragraph" w:customStyle="1" w:styleId="AppendixTitle">
    <w:name w:val="Appendix Title"/>
    <w:basedOn w:val="Title"/>
    <w:next w:val="Normal"/>
    <w:rsid w:val="0095009A"/>
    <w:pPr>
      <w:framePr w:w="8160" w:wrap="around" w:vAnchor="text" w:hAnchor="text" w:y="1"/>
      <w:numPr>
        <w:numId w:val="11"/>
      </w:numPr>
      <w:tabs>
        <w:tab w:val="clear" w:pos="454"/>
      </w:tabs>
      <w:spacing w:before="0" w:after="1400" w:line="240" w:lineRule="auto"/>
      <w:ind w:left="567" w:hanging="567"/>
    </w:pPr>
  </w:style>
  <w:style w:type="character" w:styleId="PageNumber">
    <w:name w:val="page number"/>
    <w:basedOn w:val="DefaultParagraphFont"/>
    <w:semiHidden/>
    <w:rsid w:val="00634A83"/>
  </w:style>
  <w:style w:type="paragraph" w:customStyle="1" w:styleId="BulletOne">
    <w:name w:val="BulletOne"/>
    <w:basedOn w:val="Normal"/>
    <w:rsid w:val="00F9755A"/>
    <w:pPr>
      <w:numPr>
        <w:numId w:val="28"/>
      </w:numPr>
      <w:tabs>
        <w:tab w:val="clear" w:pos="624"/>
        <w:tab w:val="num" w:pos="680"/>
      </w:tabs>
      <w:spacing w:after="0"/>
      <w:ind w:left="68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 w:type="paragraph" w:styleId="TOC2">
    <w:name w:val="toc 2"/>
    <w:basedOn w:val="Normal"/>
    <w:next w:val="Normal"/>
    <w:uiPriority w:val="39"/>
    <w:rsid w:val="0049486C"/>
    <w:pPr>
      <w:tabs>
        <w:tab w:val="left" w:pos="1134"/>
        <w:tab w:val="right" w:pos="8108"/>
      </w:tabs>
      <w:spacing w:before="120" w:after="0"/>
      <w:ind w:left="1134" w:hanging="567"/>
      <w:contextualSpacing/>
    </w:pPr>
  </w:style>
  <w:style w:type="character" w:styleId="Hyperlink">
    <w:name w:val="Hyperlink"/>
    <w:basedOn w:val="DefaultParagraphFont"/>
    <w:uiPriority w:val="99"/>
    <w:rsid w:val="00731F28"/>
    <w:rPr>
      <w:color w:val="0000FF"/>
      <w:u w:val="single"/>
    </w:rPr>
  </w:style>
  <w:style w:type="paragraph" w:styleId="TOC3">
    <w:name w:val="toc 3"/>
    <w:basedOn w:val="Normal"/>
    <w:next w:val="Normal"/>
    <w:uiPriority w:val="39"/>
    <w:rsid w:val="00010A3B"/>
    <w:pPr>
      <w:tabs>
        <w:tab w:val="right" w:pos="8108"/>
      </w:tabs>
      <w:spacing w:before="120" w:after="0"/>
      <w:ind w:left="567" w:hanging="567"/>
    </w:pPr>
    <w:rPr>
      <w:b/>
    </w:rPr>
  </w:style>
  <w:style w:type="paragraph" w:styleId="TOC4">
    <w:name w:val="toc 4"/>
    <w:basedOn w:val="Normal"/>
    <w:next w:val="Normal"/>
    <w:semiHidden/>
    <w:rsid w:val="00D46AAC"/>
    <w:pPr>
      <w:tabs>
        <w:tab w:val="right" w:pos="8108"/>
      </w:tabs>
      <w:spacing w:before="120" w:after="0"/>
      <w:ind w:left="1134" w:hanging="567"/>
      <w:contextualSpacing/>
    </w:pPr>
  </w:style>
  <w:style w:type="paragraph" w:customStyle="1" w:styleId="Contents">
    <w:name w:val="Contents"/>
    <w:basedOn w:val="Normal"/>
    <w:next w:val="Normal"/>
    <w:rsid w:val="00C47B85"/>
    <w:pPr>
      <w:framePr w:w="8108" w:wrap="around" w:vAnchor="text" w:hAnchor="text" w:y="1"/>
      <w:spacing w:after="1400"/>
    </w:pPr>
    <w:rPr>
      <w:sz w:val="40"/>
    </w:rPr>
  </w:style>
  <w:style w:type="paragraph" w:customStyle="1" w:styleId="NumSection">
    <w:name w:val="NumSection"/>
    <w:basedOn w:val="Normal"/>
    <w:next w:val="NumHead"/>
    <w:rsid w:val="0095009A"/>
    <w:pPr>
      <w:pageBreakBefore/>
      <w:framePr w:w="8222" w:wrap="around" w:vAnchor="text" w:hAnchor="text" w:y="1"/>
      <w:numPr>
        <w:numId w:val="43"/>
      </w:numPr>
      <w:spacing w:after="1400"/>
      <w:outlineLvl w:val="0"/>
    </w:pPr>
    <w:rPr>
      <w:color w:val="4F2D7F"/>
      <w:sz w:val="40"/>
    </w:rPr>
  </w:style>
  <w:style w:type="paragraph" w:customStyle="1" w:styleId="NumHead">
    <w:name w:val="NumHead"/>
    <w:basedOn w:val="Normal"/>
    <w:next w:val="Normal"/>
    <w:rsid w:val="0095009A"/>
    <w:pPr>
      <w:keepNext/>
      <w:numPr>
        <w:ilvl w:val="1"/>
        <w:numId w:val="43"/>
      </w:numPr>
      <w:spacing w:after="0" w:line="260" w:lineRule="exact"/>
      <w:outlineLvl w:val="1"/>
    </w:pPr>
    <w:rPr>
      <w:rFonts w:ascii="Arial Black" w:hAnsi="Arial Black"/>
      <w:color w:val="4F2D7F"/>
      <w:sz w:val="19"/>
      <w:szCs w:val="19"/>
    </w:rPr>
  </w:style>
  <w:style w:type="paragraph" w:styleId="BalloonText">
    <w:name w:val="Balloon Text"/>
    <w:basedOn w:val="Normal"/>
    <w:link w:val="BalloonTextChar"/>
    <w:rsid w:val="009C38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9C380E"/>
    <w:rPr>
      <w:rFonts w:ascii="Tahoma" w:hAnsi="Tahoma" w:cs="Tahoma"/>
      <w:sz w:val="16"/>
      <w:szCs w:val="16"/>
      <w:lang w:eastAsia="en-US"/>
    </w:rPr>
  </w:style>
  <w:style w:type="paragraph" w:styleId="Revision">
    <w:name w:val="Revision"/>
    <w:hidden/>
    <w:uiPriority w:val="99"/>
    <w:semiHidden/>
    <w:rsid w:val="00232AEB"/>
    <w:pPr>
      <w:spacing w:before="0" w:after="0"/>
    </w:pPr>
    <w:rPr>
      <w:rFonts w:ascii="Garamond" w:hAnsi="Garamond"/>
      <w:sz w:val="22"/>
      <w:szCs w:val="24"/>
      <w:lang w:eastAsia="en-US"/>
    </w:rPr>
  </w:style>
  <w:style w:type="character" w:styleId="CommentReference">
    <w:name w:val="annotation reference"/>
    <w:basedOn w:val="DefaultParagraphFont"/>
    <w:rsid w:val="00B13BB3"/>
    <w:rPr>
      <w:sz w:val="16"/>
      <w:szCs w:val="16"/>
    </w:rPr>
  </w:style>
  <w:style w:type="paragraph" w:styleId="CommentText">
    <w:name w:val="annotation text"/>
    <w:basedOn w:val="Normal"/>
    <w:link w:val="CommentTextChar"/>
    <w:rsid w:val="00B13BB3"/>
    <w:rPr>
      <w:sz w:val="20"/>
      <w:szCs w:val="20"/>
    </w:rPr>
  </w:style>
  <w:style w:type="character" w:customStyle="1" w:styleId="CommentTextChar">
    <w:name w:val="Comment Text Char"/>
    <w:basedOn w:val="DefaultParagraphFont"/>
    <w:link w:val="CommentText"/>
    <w:rsid w:val="00B13BB3"/>
    <w:rPr>
      <w:rFonts w:ascii="Garamond" w:hAnsi="Garamond"/>
      <w:lang w:eastAsia="en-US"/>
    </w:rPr>
  </w:style>
  <w:style w:type="paragraph" w:styleId="CommentSubject">
    <w:name w:val="annotation subject"/>
    <w:basedOn w:val="CommentText"/>
    <w:next w:val="CommentText"/>
    <w:link w:val="CommentSubjectChar"/>
    <w:rsid w:val="00B13BB3"/>
    <w:rPr>
      <w:b/>
      <w:bCs/>
    </w:rPr>
  </w:style>
  <w:style w:type="character" w:customStyle="1" w:styleId="CommentSubjectChar">
    <w:name w:val="Comment Subject Char"/>
    <w:basedOn w:val="CommentTextChar"/>
    <w:link w:val="CommentSubject"/>
    <w:rsid w:val="00B13BB3"/>
    <w:rPr>
      <w:rFonts w:ascii="Garamond" w:hAnsi="Garamond"/>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663"/>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color w:val="4F2D7F"/>
      <w:kern w:val="32"/>
      <w:sz w:val="21"/>
      <w:szCs w:val="21"/>
    </w:rPr>
  </w:style>
  <w:style w:type="paragraph" w:styleId="Heading2">
    <w:name w:val="heading 2"/>
    <w:basedOn w:val="Heading1"/>
    <w:next w:val="Normal"/>
    <w:qFormat/>
    <w:rsid w:val="00BE73B5"/>
    <w:pPr>
      <w:outlineLvl w:val="1"/>
    </w:pPr>
    <w:rPr>
      <w:bCs w:val="0"/>
      <w:iCs/>
      <w:color w:val="auto"/>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8C4120"/>
    <w:pPr>
      <w:outlineLvl w:val="3"/>
    </w:pPr>
    <w:rPr>
      <w:b w:val="0"/>
      <w:bCs w:val="0"/>
    </w:rPr>
  </w:style>
  <w:style w:type="paragraph" w:styleId="Heading5">
    <w:name w:val="heading 5"/>
    <w:basedOn w:val="Normal"/>
    <w:next w:val="Normal"/>
    <w:qFormat/>
    <w:rsid w:val="003E5E31"/>
    <w:pPr>
      <w:numPr>
        <w:ilvl w:val="4"/>
        <w:numId w:val="33"/>
      </w:numPr>
      <w:spacing w:after="60"/>
      <w:outlineLvl w:val="4"/>
    </w:pPr>
    <w:rPr>
      <w:b/>
      <w:bCs/>
      <w:i/>
      <w:iCs/>
      <w:sz w:val="26"/>
      <w:szCs w:val="26"/>
    </w:rPr>
  </w:style>
  <w:style w:type="paragraph" w:styleId="Heading6">
    <w:name w:val="heading 6"/>
    <w:basedOn w:val="Normal"/>
    <w:next w:val="Normal"/>
    <w:qFormat/>
    <w:rsid w:val="003E5E31"/>
    <w:pPr>
      <w:numPr>
        <w:ilvl w:val="5"/>
        <w:numId w:val="33"/>
      </w:numPr>
      <w:spacing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D81050"/>
    <w:pPr>
      <w:numPr>
        <w:numId w:val="10"/>
      </w:numPr>
      <w:spacing w:after="0"/>
      <w:jc w:val="right"/>
    </w:pPr>
    <w:rPr>
      <w:rFonts w:ascii="Arial" w:hAnsi="Arial"/>
      <w:b/>
      <w:color w:val="808080"/>
      <w:sz w:val="16"/>
    </w:rPr>
  </w:style>
  <w:style w:type="paragraph" w:styleId="Subtitle">
    <w:name w:val="Subtitle"/>
    <w:qFormat/>
    <w:rsid w:val="00C9532F"/>
    <w:pPr>
      <w:spacing w:line="280" w:lineRule="atLeast"/>
      <w:outlineLvl w:val="1"/>
    </w:pPr>
    <w:rPr>
      <w:rFonts w:ascii="Arial" w:hAnsi="Arial" w:cs="Arial"/>
      <w:bCs/>
      <w:kern w:val="28"/>
      <w:sz w:val="24"/>
      <w:szCs w:val="24"/>
      <w:lang w:val="en-US" w:eastAsia="en-US"/>
    </w:rPr>
  </w:style>
  <w:style w:type="paragraph" w:styleId="Footer">
    <w:name w:val="footer"/>
    <w:basedOn w:val="Normal"/>
    <w:rsid w:val="00D81050"/>
    <w:pPr>
      <w:tabs>
        <w:tab w:val="center" w:pos="4153"/>
        <w:tab w:val="right" w:pos="8306"/>
      </w:tabs>
      <w:spacing w:after="0"/>
    </w:pPr>
    <w:rPr>
      <w:rFonts w:ascii="Arial" w:hAnsi="Arial"/>
      <w:b/>
      <w:color w:val="808080"/>
      <w:sz w:val="16"/>
    </w:rPr>
  </w:style>
  <w:style w:type="paragraph" w:styleId="Header">
    <w:name w:val="header"/>
    <w:basedOn w:val="Normal"/>
    <w:rsid w:val="00D81050"/>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Subtitle"/>
    <w:qFormat/>
    <w:rsid w:val="00D81050"/>
    <w:pPr>
      <w:spacing w:before="400" w:after="400" w:line="580" w:lineRule="atLeast"/>
    </w:pPr>
    <w:rPr>
      <w:rFonts w:cs="Arial"/>
      <w:bCs/>
      <w:color w:val="4F2D7F"/>
      <w:kern w:val="28"/>
      <w:sz w:val="40"/>
      <w:szCs w:val="32"/>
    </w:rPr>
  </w:style>
  <w:style w:type="paragraph" w:customStyle="1" w:styleId="TableDouble">
    <w:name w:val="Table Double"/>
    <w:basedOn w:val="TableFigures"/>
    <w:rsid w:val="00D81050"/>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uiPriority w:val="39"/>
    <w:rsid w:val="00010A3B"/>
    <w:pPr>
      <w:tabs>
        <w:tab w:val="right" w:pos="8108"/>
      </w:tabs>
      <w:spacing w:before="120" w:after="0"/>
      <w:ind w:left="567" w:hanging="567"/>
    </w:pPr>
    <w:rPr>
      <w:b/>
      <w:bCs/>
    </w:rPr>
  </w:style>
  <w:style w:type="paragraph" w:customStyle="1" w:styleId="AppendixTitle">
    <w:name w:val="Appendix Title"/>
    <w:basedOn w:val="Title"/>
    <w:next w:val="Normal"/>
    <w:rsid w:val="0095009A"/>
    <w:pPr>
      <w:framePr w:w="8160" w:wrap="around" w:vAnchor="text" w:hAnchor="text" w:y="1"/>
      <w:numPr>
        <w:numId w:val="11"/>
      </w:numPr>
      <w:tabs>
        <w:tab w:val="clear" w:pos="454"/>
      </w:tabs>
      <w:spacing w:before="0" w:after="1400" w:line="240" w:lineRule="auto"/>
      <w:ind w:left="567" w:hanging="567"/>
    </w:pPr>
  </w:style>
  <w:style w:type="character" w:styleId="PageNumber">
    <w:name w:val="page number"/>
    <w:basedOn w:val="DefaultParagraphFont"/>
    <w:semiHidden/>
    <w:rsid w:val="00634A83"/>
  </w:style>
  <w:style w:type="paragraph" w:customStyle="1" w:styleId="BulletOne">
    <w:name w:val="BulletOne"/>
    <w:basedOn w:val="Normal"/>
    <w:rsid w:val="00F9755A"/>
    <w:pPr>
      <w:numPr>
        <w:numId w:val="28"/>
      </w:numPr>
      <w:tabs>
        <w:tab w:val="clear" w:pos="624"/>
        <w:tab w:val="num" w:pos="680"/>
      </w:tabs>
      <w:spacing w:after="0"/>
      <w:ind w:left="68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 w:type="paragraph" w:styleId="TOC2">
    <w:name w:val="toc 2"/>
    <w:basedOn w:val="Normal"/>
    <w:next w:val="Normal"/>
    <w:uiPriority w:val="39"/>
    <w:rsid w:val="0049486C"/>
    <w:pPr>
      <w:tabs>
        <w:tab w:val="left" w:pos="1134"/>
        <w:tab w:val="right" w:pos="8108"/>
      </w:tabs>
      <w:spacing w:before="120" w:after="0"/>
      <w:ind w:left="1134" w:hanging="567"/>
      <w:contextualSpacing/>
    </w:pPr>
  </w:style>
  <w:style w:type="character" w:styleId="Hyperlink">
    <w:name w:val="Hyperlink"/>
    <w:basedOn w:val="DefaultParagraphFont"/>
    <w:uiPriority w:val="99"/>
    <w:rsid w:val="00731F28"/>
    <w:rPr>
      <w:color w:val="0000FF"/>
      <w:u w:val="single"/>
    </w:rPr>
  </w:style>
  <w:style w:type="paragraph" w:styleId="TOC3">
    <w:name w:val="toc 3"/>
    <w:basedOn w:val="Normal"/>
    <w:next w:val="Normal"/>
    <w:uiPriority w:val="39"/>
    <w:rsid w:val="00010A3B"/>
    <w:pPr>
      <w:tabs>
        <w:tab w:val="right" w:pos="8108"/>
      </w:tabs>
      <w:spacing w:before="120" w:after="0"/>
      <w:ind w:left="567" w:hanging="567"/>
    </w:pPr>
    <w:rPr>
      <w:b/>
    </w:rPr>
  </w:style>
  <w:style w:type="paragraph" w:styleId="TOC4">
    <w:name w:val="toc 4"/>
    <w:basedOn w:val="Normal"/>
    <w:next w:val="Normal"/>
    <w:semiHidden/>
    <w:rsid w:val="00D46AAC"/>
    <w:pPr>
      <w:tabs>
        <w:tab w:val="right" w:pos="8108"/>
      </w:tabs>
      <w:spacing w:before="120" w:after="0"/>
      <w:ind w:left="1134" w:hanging="567"/>
      <w:contextualSpacing/>
    </w:pPr>
  </w:style>
  <w:style w:type="paragraph" w:customStyle="1" w:styleId="Contents">
    <w:name w:val="Contents"/>
    <w:basedOn w:val="Normal"/>
    <w:next w:val="Normal"/>
    <w:rsid w:val="00C47B85"/>
    <w:pPr>
      <w:framePr w:w="8108" w:wrap="around" w:vAnchor="text" w:hAnchor="text" w:y="1"/>
      <w:spacing w:after="1400"/>
    </w:pPr>
    <w:rPr>
      <w:sz w:val="40"/>
    </w:rPr>
  </w:style>
  <w:style w:type="paragraph" w:customStyle="1" w:styleId="NumSection">
    <w:name w:val="NumSection"/>
    <w:basedOn w:val="Normal"/>
    <w:next w:val="NumHead"/>
    <w:rsid w:val="0095009A"/>
    <w:pPr>
      <w:pageBreakBefore/>
      <w:framePr w:w="8222" w:wrap="around" w:vAnchor="text" w:hAnchor="text" w:y="1"/>
      <w:numPr>
        <w:numId w:val="43"/>
      </w:numPr>
      <w:spacing w:after="1400"/>
      <w:outlineLvl w:val="0"/>
    </w:pPr>
    <w:rPr>
      <w:color w:val="4F2D7F"/>
      <w:sz w:val="40"/>
    </w:rPr>
  </w:style>
  <w:style w:type="paragraph" w:customStyle="1" w:styleId="NumHead">
    <w:name w:val="NumHead"/>
    <w:basedOn w:val="Normal"/>
    <w:next w:val="Normal"/>
    <w:rsid w:val="0095009A"/>
    <w:pPr>
      <w:keepNext/>
      <w:numPr>
        <w:ilvl w:val="1"/>
        <w:numId w:val="43"/>
      </w:numPr>
      <w:spacing w:after="0" w:line="260" w:lineRule="exact"/>
      <w:outlineLvl w:val="1"/>
    </w:pPr>
    <w:rPr>
      <w:rFonts w:ascii="Arial Black" w:hAnsi="Arial Black"/>
      <w:color w:val="4F2D7F"/>
      <w:sz w:val="19"/>
      <w:szCs w:val="19"/>
    </w:rPr>
  </w:style>
  <w:style w:type="paragraph" w:styleId="BalloonText">
    <w:name w:val="Balloon Text"/>
    <w:basedOn w:val="Normal"/>
    <w:link w:val="BalloonTextChar"/>
    <w:rsid w:val="009C38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9C380E"/>
    <w:rPr>
      <w:rFonts w:ascii="Tahoma" w:hAnsi="Tahoma" w:cs="Tahoma"/>
      <w:sz w:val="16"/>
      <w:szCs w:val="16"/>
      <w:lang w:eastAsia="en-US"/>
    </w:rPr>
  </w:style>
  <w:style w:type="paragraph" w:styleId="Revision">
    <w:name w:val="Revision"/>
    <w:hidden/>
    <w:uiPriority w:val="99"/>
    <w:semiHidden/>
    <w:rsid w:val="00232AEB"/>
    <w:pPr>
      <w:spacing w:before="0" w:after="0"/>
    </w:pPr>
    <w:rPr>
      <w:rFonts w:ascii="Garamond" w:hAnsi="Garamond"/>
      <w:sz w:val="22"/>
      <w:szCs w:val="24"/>
      <w:lang w:eastAsia="en-US"/>
    </w:rPr>
  </w:style>
  <w:style w:type="character" w:styleId="CommentReference">
    <w:name w:val="annotation reference"/>
    <w:basedOn w:val="DefaultParagraphFont"/>
    <w:rsid w:val="00B13BB3"/>
    <w:rPr>
      <w:sz w:val="16"/>
      <w:szCs w:val="16"/>
    </w:rPr>
  </w:style>
  <w:style w:type="paragraph" w:styleId="CommentText">
    <w:name w:val="annotation text"/>
    <w:basedOn w:val="Normal"/>
    <w:link w:val="CommentTextChar"/>
    <w:rsid w:val="00B13BB3"/>
    <w:rPr>
      <w:sz w:val="20"/>
      <w:szCs w:val="20"/>
    </w:rPr>
  </w:style>
  <w:style w:type="character" w:customStyle="1" w:styleId="CommentTextChar">
    <w:name w:val="Comment Text Char"/>
    <w:basedOn w:val="DefaultParagraphFont"/>
    <w:link w:val="CommentText"/>
    <w:rsid w:val="00B13BB3"/>
    <w:rPr>
      <w:rFonts w:ascii="Garamond" w:hAnsi="Garamond"/>
      <w:lang w:eastAsia="en-US"/>
    </w:rPr>
  </w:style>
  <w:style w:type="paragraph" w:styleId="CommentSubject">
    <w:name w:val="annotation subject"/>
    <w:basedOn w:val="CommentText"/>
    <w:next w:val="CommentText"/>
    <w:link w:val="CommentSubjectChar"/>
    <w:rsid w:val="00B13BB3"/>
    <w:rPr>
      <w:b/>
      <w:bCs/>
    </w:rPr>
  </w:style>
  <w:style w:type="character" w:customStyle="1" w:styleId="CommentSubjectChar">
    <w:name w:val="Comment Subject Char"/>
    <w:basedOn w:val="CommentTextChar"/>
    <w:link w:val="CommentSubject"/>
    <w:rsid w:val="00B13BB3"/>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7218">
      <w:bodyDiv w:val="1"/>
      <w:marLeft w:val="0"/>
      <w:marRight w:val="0"/>
      <w:marTop w:val="0"/>
      <w:marBottom w:val="0"/>
      <w:divBdr>
        <w:top w:val="none" w:sz="0" w:space="0" w:color="auto"/>
        <w:left w:val="none" w:sz="0" w:space="0" w:color="auto"/>
        <w:bottom w:val="none" w:sz="0" w:space="0" w:color="auto"/>
        <w:right w:val="none" w:sz="0" w:space="0" w:color="auto"/>
      </w:divBdr>
    </w:div>
    <w:div w:id="586965190">
      <w:bodyDiv w:val="1"/>
      <w:marLeft w:val="0"/>
      <w:marRight w:val="0"/>
      <w:marTop w:val="0"/>
      <w:marBottom w:val="0"/>
      <w:divBdr>
        <w:top w:val="none" w:sz="0" w:space="0" w:color="auto"/>
        <w:left w:val="none" w:sz="0" w:space="0" w:color="auto"/>
        <w:bottom w:val="none" w:sz="0" w:space="0" w:color="auto"/>
        <w:right w:val="none" w:sz="0" w:space="0" w:color="auto"/>
      </w:divBdr>
    </w:div>
    <w:div w:id="723991276">
      <w:bodyDiv w:val="1"/>
      <w:marLeft w:val="0"/>
      <w:marRight w:val="0"/>
      <w:marTop w:val="0"/>
      <w:marBottom w:val="0"/>
      <w:divBdr>
        <w:top w:val="none" w:sz="0" w:space="0" w:color="auto"/>
        <w:left w:val="none" w:sz="0" w:space="0" w:color="auto"/>
        <w:bottom w:val="none" w:sz="0" w:space="0" w:color="auto"/>
        <w:right w:val="none" w:sz="0" w:space="0" w:color="auto"/>
      </w:divBdr>
    </w:div>
    <w:div w:id="1112632787">
      <w:bodyDiv w:val="1"/>
      <w:marLeft w:val="0"/>
      <w:marRight w:val="0"/>
      <w:marTop w:val="0"/>
      <w:marBottom w:val="0"/>
      <w:divBdr>
        <w:top w:val="none" w:sz="0" w:space="0" w:color="auto"/>
        <w:left w:val="none" w:sz="0" w:space="0" w:color="auto"/>
        <w:bottom w:val="none" w:sz="0" w:space="0" w:color="auto"/>
        <w:right w:val="none" w:sz="0" w:space="0" w:color="auto"/>
      </w:divBdr>
    </w:div>
    <w:div w:id="1157065236">
      <w:bodyDiv w:val="1"/>
      <w:marLeft w:val="0"/>
      <w:marRight w:val="0"/>
      <w:marTop w:val="0"/>
      <w:marBottom w:val="0"/>
      <w:divBdr>
        <w:top w:val="none" w:sz="0" w:space="0" w:color="auto"/>
        <w:left w:val="none" w:sz="0" w:space="0" w:color="auto"/>
        <w:bottom w:val="none" w:sz="0" w:space="0" w:color="auto"/>
        <w:right w:val="none" w:sz="0" w:space="0" w:color="auto"/>
      </w:divBdr>
    </w:div>
    <w:div w:id="1195265570">
      <w:bodyDiv w:val="1"/>
      <w:marLeft w:val="0"/>
      <w:marRight w:val="0"/>
      <w:marTop w:val="0"/>
      <w:marBottom w:val="0"/>
      <w:divBdr>
        <w:top w:val="none" w:sz="0" w:space="0" w:color="auto"/>
        <w:left w:val="none" w:sz="0" w:space="0" w:color="auto"/>
        <w:bottom w:val="none" w:sz="0" w:space="0" w:color="auto"/>
        <w:right w:val="none" w:sz="0" w:space="0" w:color="auto"/>
      </w:divBdr>
    </w:div>
    <w:div w:id="1260024824">
      <w:bodyDiv w:val="1"/>
      <w:marLeft w:val="0"/>
      <w:marRight w:val="0"/>
      <w:marTop w:val="0"/>
      <w:marBottom w:val="0"/>
      <w:divBdr>
        <w:top w:val="none" w:sz="0" w:space="0" w:color="auto"/>
        <w:left w:val="none" w:sz="0" w:space="0" w:color="auto"/>
        <w:bottom w:val="none" w:sz="0" w:space="0" w:color="auto"/>
        <w:right w:val="none" w:sz="0" w:space="0" w:color="auto"/>
      </w:divBdr>
    </w:div>
    <w:div w:id="1261177541">
      <w:bodyDiv w:val="1"/>
      <w:marLeft w:val="0"/>
      <w:marRight w:val="0"/>
      <w:marTop w:val="0"/>
      <w:marBottom w:val="0"/>
      <w:divBdr>
        <w:top w:val="none" w:sz="0" w:space="0" w:color="auto"/>
        <w:left w:val="none" w:sz="0" w:space="0" w:color="auto"/>
        <w:bottom w:val="none" w:sz="0" w:space="0" w:color="auto"/>
        <w:right w:val="none" w:sz="0" w:space="0" w:color="auto"/>
      </w:divBdr>
    </w:div>
    <w:div w:id="1424565860">
      <w:bodyDiv w:val="1"/>
      <w:marLeft w:val="0"/>
      <w:marRight w:val="0"/>
      <w:marTop w:val="0"/>
      <w:marBottom w:val="0"/>
      <w:divBdr>
        <w:top w:val="none" w:sz="0" w:space="0" w:color="auto"/>
        <w:left w:val="none" w:sz="0" w:space="0" w:color="auto"/>
        <w:bottom w:val="none" w:sz="0" w:space="0" w:color="auto"/>
        <w:right w:val="none" w:sz="0" w:space="0" w:color="auto"/>
      </w:divBdr>
    </w:div>
    <w:div w:id="1552576221">
      <w:bodyDiv w:val="1"/>
      <w:marLeft w:val="0"/>
      <w:marRight w:val="0"/>
      <w:marTop w:val="0"/>
      <w:marBottom w:val="0"/>
      <w:divBdr>
        <w:top w:val="none" w:sz="0" w:space="0" w:color="auto"/>
        <w:left w:val="none" w:sz="0" w:space="0" w:color="auto"/>
        <w:bottom w:val="none" w:sz="0" w:space="0" w:color="auto"/>
        <w:right w:val="none" w:sz="0" w:space="0" w:color="auto"/>
      </w:divBdr>
    </w:div>
    <w:div w:id="2097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Build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CA92-7F32-4C46-8079-59F446F1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BuildReport.dotm</Template>
  <TotalTime>77</TotalTime>
  <Pages>12</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creator>
  <cp:lastModifiedBy>Stephen Gifford</cp:lastModifiedBy>
  <cp:revision>10</cp:revision>
  <cp:lastPrinted>2012-02-17T14:41:00Z</cp:lastPrinted>
  <dcterms:created xsi:type="dcterms:W3CDTF">2012-02-17T14:12:00Z</dcterms:created>
  <dcterms:modified xsi:type="dcterms:W3CDTF">2012-02-17T16:29:00Z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GT Date">
    <vt:filetime>2009-09-30T23:00:00Z</vt:filetime>
  </property>
</Properties>
</file>