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98E" w:rsidRPr="009D2F38" w:rsidRDefault="00731A26">
      <w:pPr>
        <w:rPr>
          <w:b/>
          <w:sz w:val="40"/>
          <w:szCs w:val="40"/>
        </w:rPr>
      </w:pPr>
      <w:r w:rsidRPr="009D2F38">
        <w:rPr>
          <w:b/>
          <w:sz w:val="40"/>
          <w:szCs w:val="40"/>
        </w:rPr>
        <w:t>Planning Appeal Inquiries Review</w:t>
      </w:r>
      <w:r w:rsidR="004C598E" w:rsidRPr="009D2F38">
        <w:rPr>
          <w:b/>
          <w:sz w:val="40"/>
          <w:szCs w:val="40"/>
        </w:rPr>
        <w:t xml:space="preserve"> – call for evidence </w:t>
      </w:r>
      <w:r w:rsidR="009D2F38" w:rsidRPr="009D2F38">
        <w:rPr>
          <w:b/>
          <w:sz w:val="40"/>
          <w:szCs w:val="40"/>
        </w:rPr>
        <w:t>questionnaire</w:t>
      </w:r>
    </w:p>
    <w:p w:rsidR="00F605C4" w:rsidRDefault="00F605C4" w:rsidP="00BD1EA2">
      <w:pPr>
        <w:spacing w:after="0" w:line="240" w:lineRule="auto"/>
      </w:pPr>
      <w:r w:rsidRPr="00153826">
        <w:t xml:space="preserve">Thank you for responding to the call for evidence. All </w:t>
      </w:r>
      <w:r w:rsidR="00153826">
        <w:t xml:space="preserve">comments </w:t>
      </w:r>
      <w:r w:rsidRPr="00153826">
        <w:t>are welcome</w:t>
      </w:r>
      <w:r w:rsidR="00E5032E">
        <w:t>. I</w:t>
      </w:r>
      <w:r w:rsidRPr="00153826">
        <w:t xml:space="preserve">t would </w:t>
      </w:r>
      <w:r w:rsidR="00CF0E95">
        <w:t xml:space="preserve">particularly </w:t>
      </w:r>
      <w:r w:rsidRPr="00153826">
        <w:t>help</w:t>
      </w:r>
      <w:r w:rsidR="00153826" w:rsidRPr="00153826">
        <w:t xml:space="preserve"> us undertake our analysis and capture your views correctly if you could fill in the </w:t>
      </w:r>
      <w:r w:rsidR="00502914">
        <w:t>online survey</w:t>
      </w:r>
      <w:r w:rsidR="00624D44">
        <w:t xml:space="preserve"> at </w:t>
      </w:r>
      <w:hyperlink r:id="rId10" w:history="1">
        <w:r w:rsidR="00624D44">
          <w:rPr>
            <w:rStyle w:val="Hyperlink"/>
          </w:rPr>
          <w:t>https://www.surveymonkey.co.uk/r/RV5CTV8</w:t>
        </w:r>
      </w:hyperlink>
      <w:r w:rsidR="00502914">
        <w:t>. If you are not able to complete the online survey, please complete this questionnaire</w:t>
      </w:r>
      <w:r w:rsidRPr="00153826">
        <w:t>. The list of questions is not exhaustive</w:t>
      </w:r>
      <w:r w:rsidR="00502914">
        <w:t>. The final question provides an opportunity</w:t>
      </w:r>
      <w:r w:rsidRPr="00153826">
        <w:t xml:space="preserve"> to add </w:t>
      </w:r>
      <w:r w:rsidR="00C12218">
        <w:t xml:space="preserve">any </w:t>
      </w:r>
      <w:r w:rsidR="00DE121E">
        <w:t>additional</w:t>
      </w:r>
      <w:r w:rsidRPr="00153826">
        <w:t xml:space="preserve"> comments or suggestions </w:t>
      </w:r>
      <w:r w:rsidR="00DE121E">
        <w:t>on</w:t>
      </w:r>
      <w:r w:rsidRPr="00153826">
        <w:t xml:space="preserve"> the planning appeal inquiries process.</w:t>
      </w:r>
      <w:r w:rsidR="000E513A">
        <w:t xml:space="preserve"> Please feel free to skip any questions you do not wish to answer.</w:t>
      </w:r>
      <w:r w:rsidRPr="00153826">
        <w:t xml:space="preserve"> </w:t>
      </w:r>
    </w:p>
    <w:p w:rsidR="00E82E62" w:rsidRDefault="00E82E62" w:rsidP="00BD1EA2">
      <w:pPr>
        <w:spacing w:after="0" w:line="240" w:lineRule="auto"/>
      </w:pPr>
    </w:p>
    <w:p w:rsidR="00E82E62" w:rsidRDefault="000E513A" w:rsidP="00BD1EA2">
      <w:pPr>
        <w:spacing w:after="0" w:line="240" w:lineRule="auto"/>
      </w:pPr>
      <w:r>
        <w:t>If you are unable to respond online, please c</w:t>
      </w:r>
      <w:r w:rsidR="00E82E62">
        <w:t>omplete</w:t>
      </w:r>
      <w:r>
        <w:t xml:space="preserve"> this</w:t>
      </w:r>
      <w:r w:rsidR="00E82E62">
        <w:t xml:space="preserve"> questionnaire </w:t>
      </w:r>
      <w:r>
        <w:t>and</w:t>
      </w:r>
      <w:r w:rsidR="00E82E62">
        <w:t xml:space="preserve"> email to </w:t>
      </w:r>
      <w:r w:rsidR="00E82E62" w:rsidRPr="00BD1EA2">
        <w:t>InquiriesReview@communities.gsi.gov.</w:t>
      </w:r>
      <w:r w:rsidR="00E82E62" w:rsidRPr="00E82E62">
        <w:t xml:space="preserve">uk </w:t>
      </w:r>
      <w:r w:rsidR="00E82E62">
        <w:t>or post to the Inquiries Review Team, c/o MHCLG, 3</w:t>
      </w:r>
      <w:r w:rsidR="00E82E62" w:rsidRPr="00BD1EA2">
        <w:rPr>
          <w:vertAlign w:val="superscript"/>
        </w:rPr>
        <w:t>rd</w:t>
      </w:r>
      <w:r w:rsidR="00E82E62">
        <w:t xml:space="preserve"> Floor, Fry Building, 2 Marsham Street, London SW1P 4DF.  </w:t>
      </w:r>
    </w:p>
    <w:p w:rsidR="00126017" w:rsidRDefault="00126017" w:rsidP="00BD1EA2">
      <w:pPr>
        <w:spacing w:after="0" w:line="240" w:lineRule="auto"/>
      </w:pPr>
    </w:p>
    <w:p w:rsidR="00126017" w:rsidRDefault="00126017" w:rsidP="00BD1EA2">
      <w:pPr>
        <w:spacing w:after="0" w:line="240" w:lineRule="auto"/>
      </w:pPr>
      <w:r>
        <w:t>This call for evidence document and process have been planned to adhere to the Consultation Principles issued by the Cabinet Office. Information provided in response to this call for evidence, including personal data, may be published or disclosed in accordance with the access to information regimes. The Ministry of Housing, Communities and Local Government will process your personal data in accordance with the law and in the majority of circumstances this will mean that your personal data will not be disclosed to third parties. Further information is included at Annex A and a full privacy notice is included at Annex B.</w:t>
      </w:r>
    </w:p>
    <w:p w:rsidR="00126017" w:rsidRDefault="00126017" w:rsidP="00BD1EA2">
      <w:pPr>
        <w:spacing w:after="0" w:line="240" w:lineRule="auto"/>
      </w:pPr>
    </w:p>
    <w:p w:rsidR="00B047D8" w:rsidRDefault="00D84A2A" w:rsidP="00BD1EA2">
      <w:pPr>
        <w:spacing w:after="0" w:line="240" w:lineRule="auto"/>
      </w:pPr>
      <w:r>
        <w:t xml:space="preserve">The call for evidence closes on </w:t>
      </w:r>
      <w:r w:rsidR="00726087">
        <w:t>1</w:t>
      </w:r>
      <w:r w:rsidR="00624D44">
        <w:t>8</w:t>
      </w:r>
      <w:r w:rsidR="00726087">
        <w:t xml:space="preserve"> September 2018</w:t>
      </w:r>
      <w:r>
        <w:t xml:space="preserve">. </w:t>
      </w:r>
      <w:r w:rsidR="00E82E62">
        <w:t xml:space="preserve">Individual responses will not be acknowledged unless specifically requested. </w:t>
      </w:r>
    </w:p>
    <w:p w:rsidR="00E82E62" w:rsidRDefault="00E82E62" w:rsidP="00BD1EA2">
      <w:pPr>
        <w:spacing w:after="0" w:line="240" w:lineRule="auto"/>
      </w:pPr>
    </w:p>
    <w:p w:rsidR="00E82E62" w:rsidRDefault="00E82E62" w:rsidP="00BD1EA2">
      <w:pPr>
        <w:spacing w:after="0" w:line="240" w:lineRule="auto"/>
      </w:pPr>
      <w:r>
        <w:t xml:space="preserve">Thank you for your interest and for taking the time to respond. </w:t>
      </w:r>
    </w:p>
    <w:p w:rsidR="00E82E62" w:rsidRDefault="00E82E62" w:rsidP="00BD1EA2">
      <w:pPr>
        <w:spacing w:after="0" w:line="240" w:lineRule="auto"/>
      </w:pPr>
    </w:p>
    <w:p w:rsidR="00E82E62" w:rsidRDefault="00E82E62" w:rsidP="00BD1EA2">
      <w:pPr>
        <w:spacing w:after="0" w:line="240" w:lineRule="auto"/>
      </w:pPr>
    </w:p>
    <w:p w:rsidR="00E82E62" w:rsidRPr="00D84A2A" w:rsidRDefault="00E82E62" w:rsidP="00BD1EA2">
      <w:pPr>
        <w:spacing w:after="0" w:line="240" w:lineRule="auto"/>
      </w:pPr>
      <w:r>
        <w:t>Inquiries R</w:t>
      </w:r>
      <w:r w:rsidRPr="00E82E62">
        <w:t>eview Team</w:t>
      </w:r>
    </w:p>
    <w:p w:rsidR="00A0449D" w:rsidRDefault="00E82E62">
      <w:pPr>
        <w:rPr>
          <w:b/>
        </w:rPr>
      </w:pPr>
      <w:r w:rsidRPr="00BD1EA2">
        <w:t>July 2018</w:t>
      </w:r>
      <w:r w:rsidR="00A0449D">
        <w:rPr>
          <w:b/>
        </w:rPr>
        <w:br w:type="page"/>
      </w:r>
    </w:p>
    <w:p w:rsidR="00BF191D" w:rsidRDefault="00BF191D">
      <w:pPr>
        <w:rPr>
          <w:b/>
        </w:rPr>
      </w:pPr>
      <w:r>
        <w:rPr>
          <w:b/>
        </w:rPr>
        <w:lastRenderedPageBreak/>
        <w:t>About you</w:t>
      </w:r>
    </w:p>
    <w:p w:rsidR="00BF191D" w:rsidRPr="00245E02" w:rsidRDefault="00BF191D" w:rsidP="00245E02">
      <w:pPr>
        <w:pStyle w:val="ListParagraph"/>
        <w:numPr>
          <w:ilvl w:val="0"/>
          <w:numId w:val="2"/>
        </w:numPr>
        <w:ind w:left="720"/>
        <w:rPr>
          <w:b/>
        </w:rPr>
      </w:pPr>
      <w:r w:rsidRPr="00245E02">
        <w:rPr>
          <w:b/>
        </w:rPr>
        <w:t>Contact details</w:t>
      </w:r>
    </w:p>
    <w:tbl>
      <w:tblPr>
        <w:tblStyle w:val="TableGrid"/>
        <w:tblW w:w="0" w:type="auto"/>
        <w:tblInd w:w="720" w:type="dxa"/>
        <w:tblLook w:val="04A0" w:firstRow="1" w:lastRow="0" w:firstColumn="1" w:lastColumn="0" w:noHBand="0" w:noVBand="1"/>
      </w:tblPr>
      <w:tblGrid>
        <w:gridCol w:w="4327"/>
        <w:gridCol w:w="4195"/>
      </w:tblGrid>
      <w:tr w:rsidR="00BF191D" w:rsidTr="00BF191D">
        <w:tc>
          <w:tcPr>
            <w:tcW w:w="4621" w:type="dxa"/>
          </w:tcPr>
          <w:p w:rsidR="00BF191D" w:rsidRDefault="00BF191D" w:rsidP="00BF191D">
            <w:pPr>
              <w:pStyle w:val="ListParagraph"/>
              <w:ind w:left="0"/>
            </w:pPr>
            <w:r>
              <w:t>Name</w:t>
            </w:r>
          </w:p>
        </w:tc>
        <w:tc>
          <w:tcPr>
            <w:tcW w:w="4621" w:type="dxa"/>
          </w:tcPr>
          <w:p w:rsidR="00BF191D" w:rsidRDefault="00BF191D" w:rsidP="00BF191D">
            <w:pPr>
              <w:pStyle w:val="ListParagraph"/>
              <w:ind w:left="0"/>
            </w:pPr>
          </w:p>
        </w:tc>
      </w:tr>
      <w:tr w:rsidR="00BF191D" w:rsidTr="00BF191D">
        <w:tc>
          <w:tcPr>
            <w:tcW w:w="4621" w:type="dxa"/>
          </w:tcPr>
          <w:p w:rsidR="00BF191D" w:rsidRDefault="00BF191D" w:rsidP="00BF191D">
            <w:pPr>
              <w:pStyle w:val="ListParagraph"/>
              <w:ind w:left="0"/>
            </w:pPr>
            <w:r>
              <w:t>Organisation (if applicable)</w:t>
            </w:r>
          </w:p>
        </w:tc>
        <w:tc>
          <w:tcPr>
            <w:tcW w:w="4621" w:type="dxa"/>
          </w:tcPr>
          <w:p w:rsidR="00BF191D" w:rsidRDefault="00BF191D" w:rsidP="00BF191D">
            <w:pPr>
              <w:pStyle w:val="ListParagraph"/>
              <w:ind w:left="0"/>
            </w:pPr>
          </w:p>
        </w:tc>
      </w:tr>
      <w:tr w:rsidR="00BF191D" w:rsidTr="00BF191D">
        <w:tc>
          <w:tcPr>
            <w:tcW w:w="4621" w:type="dxa"/>
          </w:tcPr>
          <w:p w:rsidR="00BF191D" w:rsidRDefault="00BF191D" w:rsidP="00BF191D">
            <w:pPr>
              <w:pStyle w:val="ListParagraph"/>
              <w:ind w:left="0"/>
            </w:pPr>
            <w:r>
              <w:t>Role in organisation (if applicable)</w:t>
            </w:r>
          </w:p>
        </w:tc>
        <w:tc>
          <w:tcPr>
            <w:tcW w:w="4621" w:type="dxa"/>
          </w:tcPr>
          <w:p w:rsidR="00BF191D" w:rsidRDefault="00BF191D" w:rsidP="00BF191D">
            <w:pPr>
              <w:pStyle w:val="ListParagraph"/>
              <w:ind w:left="0"/>
            </w:pPr>
          </w:p>
        </w:tc>
      </w:tr>
      <w:tr w:rsidR="00BF191D" w:rsidTr="00BF191D">
        <w:tc>
          <w:tcPr>
            <w:tcW w:w="4621" w:type="dxa"/>
          </w:tcPr>
          <w:p w:rsidR="00BF191D" w:rsidRDefault="00BF191D" w:rsidP="00BF191D">
            <w:pPr>
              <w:pStyle w:val="ListParagraph"/>
              <w:ind w:left="0"/>
            </w:pPr>
            <w:r>
              <w:t>Address</w:t>
            </w:r>
          </w:p>
        </w:tc>
        <w:tc>
          <w:tcPr>
            <w:tcW w:w="4621" w:type="dxa"/>
          </w:tcPr>
          <w:p w:rsidR="00BF191D" w:rsidRDefault="00BF191D" w:rsidP="00BF191D">
            <w:pPr>
              <w:pStyle w:val="ListParagraph"/>
              <w:ind w:left="0"/>
            </w:pPr>
          </w:p>
        </w:tc>
      </w:tr>
      <w:tr w:rsidR="00BF191D" w:rsidTr="00BF191D">
        <w:tc>
          <w:tcPr>
            <w:tcW w:w="4621" w:type="dxa"/>
          </w:tcPr>
          <w:p w:rsidR="00BF191D" w:rsidRDefault="00BF191D" w:rsidP="00BF191D">
            <w:pPr>
              <w:pStyle w:val="ListParagraph"/>
              <w:ind w:left="0"/>
            </w:pPr>
            <w:r>
              <w:t>Post code</w:t>
            </w:r>
          </w:p>
        </w:tc>
        <w:tc>
          <w:tcPr>
            <w:tcW w:w="4621" w:type="dxa"/>
          </w:tcPr>
          <w:p w:rsidR="00BF191D" w:rsidRDefault="00BF191D" w:rsidP="00BF191D">
            <w:pPr>
              <w:pStyle w:val="ListParagraph"/>
              <w:ind w:left="0"/>
            </w:pPr>
          </w:p>
        </w:tc>
      </w:tr>
      <w:tr w:rsidR="00BF191D" w:rsidTr="00BF191D">
        <w:tc>
          <w:tcPr>
            <w:tcW w:w="4621" w:type="dxa"/>
          </w:tcPr>
          <w:p w:rsidR="00BF191D" w:rsidRDefault="00BF191D" w:rsidP="00BF191D">
            <w:pPr>
              <w:pStyle w:val="ListParagraph"/>
              <w:ind w:left="0"/>
            </w:pPr>
            <w:r>
              <w:t>Email address</w:t>
            </w:r>
          </w:p>
        </w:tc>
        <w:tc>
          <w:tcPr>
            <w:tcW w:w="4621" w:type="dxa"/>
          </w:tcPr>
          <w:p w:rsidR="00BF191D" w:rsidRDefault="00BF191D" w:rsidP="00BF191D">
            <w:pPr>
              <w:pStyle w:val="ListParagraph"/>
              <w:ind w:left="0"/>
            </w:pPr>
          </w:p>
        </w:tc>
      </w:tr>
    </w:tbl>
    <w:p w:rsidR="00BF191D" w:rsidRDefault="00BF191D" w:rsidP="00245E02">
      <w:pPr>
        <w:pStyle w:val="ListParagraph"/>
      </w:pPr>
    </w:p>
    <w:p w:rsidR="00BF191D" w:rsidRPr="00245E02" w:rsidRDefault="00BF191D" w:rsidP="00245E02">
      <w:pPr>
        <w:pStyle w:val="ListParagraph"/>
        <w:numPr>
          <w:ilvl w:val="0"/>
          <w:numId w:val="2"/>
        </w:numPr>
        <w:ind w:left="720"/>
        <w:rPr>
          <w:b/>
        </w:rPr>
      </w:pPr>
      <w:r w:rsidRPr="00245E02">
        <w:rPr>
          <w:b/>
        </w:rPr>
        <w:t>Is this an organisational or personal response?</w:t>
      </w:r>
    </w:p>
    <w:tbl>
      <w:tblPr>
        <w:tblStyle w:val="TableGrid"/>
        <w:tblW w:w="0" w:type="auto"/>
        <w:tblInd w:w="720" w:type="dxa"/>
        <w:tblLook w:val="04A0" w:firstRow="1" w:lastRow="0" w:firstColumn="1" w:lastColumn="0" w:noHBand="0" w:noVBand="1"/>
      </w:tblPr>
      <w:tblGrid>
        <w:gridCol w:w="4295"/>
        <w:gridCol w:w="4227"/>
      </w:tblGrid>
      <w:tr w:rsidR="00BF191D" w:rsidTr="00BF191D">
        <w:tc>
          <w:tcPr>
            <w:tcW w:w="4621" w:type="dxa"/>
          </w:tcPr>
          <w:p w:rsidR="00BF191D" w:rsidRDefault="00BF191D" w:rsidP="00BF191D">
            <w:pPr>
              <w:pStyle w:val="ListParagraph"/>
              <w:ind w:left="0"/>
            </w:pPr>
            <w:r>
              <w:t>Organisational</w:t>
            </w:r>
          </w:p>
        </w:tc>
        <w:tc>
          <w:tcPr>
            <w:tcW w:w="4621" w:type="dxa"/>
          </w:tcPr>
          <w:p w:rsidR="00BF191D" w:rsidRDefault="00FD6730" w:rsidP="00BF191D">
            <w:pPr>
              <w:pStyle w:val="ListParagraph"/>
              <w:ind w:left="0"/>
            </w:pPr>
            <w:r>
              <w:t>Personal</w:t>
            </w:r>
          </w:p>
        </w:tc>
      </w:tr>
      <w:tr w:rsidR="00BF191D" w:rsidTr="00BF191D">
        <w:tc>
          <w:tcPr>
            <w:tcW w:w="4621" w:type="dxa"/>
          </w:tcPr>
          <w:p w:rsidR="00BF191D" w:rsidRDefault="00BF191D" w:rsidP="00BF191D">
            <w:pPr>
              <w:pStyle w:val="ListParagraph"/>
              <w:ind w:left="0"/>
            </w:pPr>
          </w:p>
        </w:tc>
        <w:tc>
          <w:tcPr>
            <w:tcW w:w="4621" w:type="dxa"/>
          </w:tcPr>
          <w:p w:rsidR="00BF191D" w:rsidRDefault="00BF191D" w:rsidP="00BF191D">
            <w:pPr>
              <w:pStyle w:val="ListParagraph"/>
              <w:ind w:left="0"/>
            </w:pPr>
          </w:p>
        </w:tc>
      </w:tr>
    </w:tbl>
    <w:p w:rsidR="00BF191D" w:rsidRDefault="00BF191D">
      <w:pPr>
        <w:rPr>
          <w:b/>
        </w:rPr>
      </w:pPr>
    </w:p>
    <w:p w:rsidR="00F605C4" w:rsidRPr="00245E02" w:rsidRDefault="0095517F" w:rsidP="00245E02">
      <w:pPr>
        <w:pStyle w:val="ListParagraph"/>
        <w:numPr>
          <w:ilvl w:val="0"/>
          <w:numId w:val="2"/>
        </w:numPr>
        <w:ind w:left="720"/>
        <w:rPr>
          <w:b/>
        </w:rPr>
      </w:pPr>
      <w:r w:rsidRPr="001257CF">
        <w:rPr>
          <w:b/>
        </w:rPr>
        <w:t>Who are you?</w:t>
      </w:r>
    </w:p>
    <w:tbl>
      <w:tblPr>
        <w:tblStyle w:val="TableGrid"/>
        <w:tblW w:w="0" w:type="auto"/>
        <w:tblLook w:val="04A0" w:firstRow="1" w:lastRow="0" w:firstColumn="1" w:lastColumn="0" w:noHBand="0" w:noVBand="1"/>
      </w:tblPr>
      <w:tblGrid>
        <w:gridCol w:w="4621"/>
        <w:gridCol w:w="4621"/>
      </w:tblGrid>
      <w:tr w:rsidR="00FC48C6" w:rsidTr="00FC48C6">
        <w:tc>
          <w:tcPr>
            <w:tcW w:w="4621" w:type="dxa"/>
          </w:tcPr>
          <w:p w:rsidR="00FC48C6" w:rsidRDefault="00FC48C6">
            <w:r>
              <w:t>Developer</w:t>
            </w:r>
          </w:p>
        </w:tc>
        <w:tc>
          <w:tcPr>
            <w:tcW w:w="4621" w:type="dxa"/>
          </w:tcPr>
          <w:p w:rsidR="00FC48C6" w:rsidRDefault="00FC48C6"/>
        </w:tc>
      </w:tr>
      <w:tr w:rsidR="00FC48C6" w:rsidTr="00FC48C6">
        <w:tc>
          <w:tcPr>
            <w:tcW w:w="4621" w:type="dxa"/>
          </w:tcPr>
          <w:p w:rsidR="00FC48C6" w:rsidRDefault="00FC48C6">
            <w:r>
              <w:t>Planning Consultant</w:t>
            </w:r>
          </w:p>
        </w:tc>
        <w:tc>
          <w:tcPr>
            <w:tcW w:w="4621" w:type="dxa"/>
          </w:tcPr>
          <w:p w:rsidR="00FC48C6" w:rsidRDefault="00FC48C6"/>
        </w:tc>
      </w:tr>
      <w:tr w:rsidR="00FC48C6" w:rsidTr="00FC48C6">
        <w:tc>
          <w:tcPr>
            <w:tcW w:w="4621" w:type="dxa"/>
          </w:tcPr>
          <w:p w:rsidR="00FC48C6" w:rsidRDefault="00FC48C6">
            <w:r>
              <w:t>Lawyer</w:t>
            </w:r>
          </w:p>
        </w:tc>
        <w:tc>
          <w:tcPr>
            <w:tcW w:w="4621" w:type="dxa"/>
          </w:tcPr>
          <w:p w:rsidR="00FC48C6" w:rsidRDefault="00FC48C6"/>
        </w:tc>
      </w:tr>
      <w:tr w:rsidR="00FC48C6" w:rsidTr="00FC48C6">
        <w:tc>
          <w:tcPr>
            <w:tcW w:w="4621" w:type="dxa"/>
          </w:tcPr>
          <w:p w:rsidR="00FC48C6" w:rsidRDefault="00FC48C6" w:rsidP="00BD1EA2">
            <w:r>
              <w:t>L</w:t>
            </w:r>
            <w:r w:rsidR="00B047D8">
              <w:t>ocal planning authority</w:t>
            </w:r>
          </w:p>
        </w:tc>
        <w:tc>
          <w:tcPr>
            <w:tcW w:w="4621" w:type="dxa"/>
          </w:tcPr>
          <w:p w:rsidR="00FC48C6" w:rsidRDefault="00FC48C6"/>
        </w:tc>
      </w:tr>
      <w:tr w:rsidR="00FC48C6" w:rsidTr="00FC48C6">
        <w:tc>
          <w:tcPr>
            <w:tcW w:w="4621" w:type="dxa"/>
          </w:tcPr>
          <w:p w:rsidR="00FC48C6" w:rsidRDefault="00FC48C6">
            <w:r>
              <w:t>Community group</w:t>
            </w:r>
          </w:p>
        </w:tc>
        <w:tc>
          <w:tcPr>
            <w:tcW w:w="4621" w:type="dxa"/>
          </w:tcPr>
          <w:p w:rsidR="00FC48C6" w:rsidRDefault="00FC48C6"/>
        </w:tc>
      </w:tr>
      <w:tr w:rsidR="00FC48C6" w:rsidTr="00FC48C6">
        <w:tc>
          <w:tcPr>
            <w:tcW w:w="4621" w:type="dxa"/>
          </w:tcPr>
          <w:p w:rsidR="00FC48C6" w:rsidRDefault="00FC48C6" w:rsidP="00BD1EA2">
            <w:r>
              <w:t>N</w:t>
            </w:r>
            <w:r w:rsidR="00B047D8">
              <w:t>on-governmental organisation</w:t>
            </w:r>
          </w:p>
        </w:tc>
        <w:tc>
          <w:tcPr>
            <w:tcW w:w="4621" w:type="dxa"/>
          </w:tcPr>
          <w:p w:rsidR="00FC48C6" w:rsidRDefault="00FC48C6"/>
        </w:tc>
      </w:tr>
      <w:tr w:rsidR="00FC48C6" w:rsidTr="00FC48C6">
        <w:tc>
          <w:tcPr>
            <w:tcW w:w="4621" w:type="dxa"/>
          </w:tcPr>
          <w:p w:rsidR="00FC48C6" w:rsidRDefault="00FC48C6">
            <w:r>
              <w:t xml:space="preserve">Statutory </w:t>
            </w:r>
            <w:proofErr w:type="spellStart"/>
            <w:r>
              <w:t>consultee</w:t>
            </w:r>
            <w:proofErr w:type="spellEnd"/>
          </w:p>
        </w:tc>
        <w:tc>
          <w:tcPr>
            <w:tcW w:w="4621" w:type="dxa"/>
          </w:tcPr>
          <w:p w:rsidR="00FC48C6" w:rsidRDefault="00FC48C6"/>
        </w:tc>
      </w:tr>
      <w:tr w:rsidR="00FC48C6" w:rsidTr="00FC48C6">
        <w:tc>
          <w:tcPr>
            <w:tcW w:w="4621" w:type="dxa"/>
          </w:tcPr>
          <w:p w:rsidR="00FC48C6" w:rsidRDefault="00FC48C6">
            <w:r>
              <w:t>Private individual</w:t>
            </w:r>
          </w:p>
        </w:tc>
        <w:tc>
          <w:tcPr>
            <w:tcW w:w="4621" w:type="dxa"/>
          </w:tcPr>
          <w:p w:rsidR="00FC48C6" w:rsidRDefault="00FC48C6"/>
        </w:tc>
      </w:tr>
      <w:tr w:rsidR="00FC48C6" w:rsidTr="00FC48C6">
        <w:tc>
          <w:tcPr>
            <w:tcW w:w="4621" w:type="dxa"/>
          </w:tcPr>
          <w:p w:rsidR="00FC48C6" w:rsidRDefault="00302119">
            <w:r>
              <w:t>Construction company</w:t>
            </w:r>
          </w:p>
        </w:tc>
        <w:tc>
          <w:tcPr>
            <w:tcW w:w="4621" w:type="dxa"/>
          </w:tcPr>
          <w:p w:rsidR="00FC48C6" w:rsidRDefault="00FC48C6"/>
        </w:tc>
      </w:tr>
      <w:tr w:rsidR="00302119" w:rsidTr="00FC48C6">
        <w:tc>
          <w:tcPr>
            <w:tcW w:w="4621" w:type="dxa"/>
          </w:tcPr>
          <w:p w:rsidR="00302119" w:rsidRDefault="00302119">
            <w:r>
              <w:t>Professional organisation</w:t>
            </w:r>
          </w:p>
        </w:tc>
        <w:tc>
          <w:tcPr>
            <w:tcW w:w="4621" w:type="dxa"/>
          </w:tcPr>
          <w:p w:rsidR="00302119" w:rsidRDefault="00302119"/>
        </w:tc>
      </w:tr>
      <w:tr w:rsidR="00D85FD7" w:rsidTr="00FC48C6">
        <w:tc>
          <w:tcPr>
            <w:tcW w:w="4621" w:type="dxa"/>
          </w:tcPr>
          <w:p w:rsidR="00D85FD7" w:rsidRDefault="00D85FD7">
            <w:r>
              <w:t>Planning Inspector</w:t>
            </w:r>
          </w:p>
        </w:tc>
        <w:tc>
          <w:tcPr>
            <w:tcW w:w="4621" w:type="dxa"/>
          </w:tcPr>
          <w:p w:rsidR="00D85FD7" w:rsidRDefault="00D85FD7"/>
        </w:tc>
      </w:tr>
      <w:tr w:rsidR="00302119" w:rsidTr="00FC48C6">
        <w:tc>
          <w:tcPr>
            <w:tcW w:w="4621" w:type="dxa"/>
          </w:tcPr>
          <w:p w:rsidR="00302119" w:rsidRDefault="00302119">
            <w:r>
              <w:t>Other (please specify)</w:t>
            </w:r>
          </w:p>
        </w:tc>
        <w:tc>
          <w:tcPr>
            <w:tcW w:w="4621" w:type="dxa"/>
          </w:tcPr>
          <w:p w:rsidR="00302119" w:rsidRDefault="00302119"/>
        </w:tc>
      </w:tr>
    </w:tbl>
    <w:p w:rsidR="0095517F" w:rsidRPr="0095517F" w:rsidRDefault="0095517F"/>
    <w:p w:rsidR="00153826" w:rsidRPr="001257CF" w:rsidRDefault="00153826" w:rsidP="00245E02">
      <w:pPr>
        <w:pStyle w:val="ListParagraph"/>
        <w:numPr>
          <w:ilvl w:val="0"/>
          <w:numId w:val="2"/>
        </w:numPr>
        <w:ind w:left="720"/>
        <w:rPr>
          <w:b/>
        </w:rPr>
      </w:pPr>
      <w:r w:rsidRPr="001257CF">
        <w:rPr>
          <w:b/>
        </w:rPr>
        <w:t>Wh</w:t>
      </w:r>
      <w:r w:rsidR="00E5032E" w:rsidRPr="001257CF">
        <w:rPr>
          <w:b/>
        </w:rPr>
        <w:t>at</w:t>
      </w:r>
      <w:r w:rsidRPr="001257CF">
        <w:rPr>
          <w:b/>
        </w:rPr>
        <w:t xml:space="preserve"> </w:t>
      </w:r>
      <w:r w:rsidR="0095517F" w:rsidRPr="001257CF">
        <w:rPr>
          <w:b/>
        </w:rPr>
        <w:t xml:space="preserve">role have </w:t>
      </w:r>
      <w:r w:rsidR="00CF19C5" w:rsidRPr="001257CF">
        <w:rPr>
          <w:b/>
        </w:rPr>
        <w:t xml:space="preserve">you had </w:t>
      </w:r>
      <w:r w:rsidR="009D2F38" w:rsidRPr="001257CF">
        <w:rPr>
          <w:b/>
        </w:rPr>
        <w:t>at an</w:t>
      </w:r>
      <w:r w:rsidR="0095517F" w:rsidRPr="001257CF">
        <w:rPr>
          <w:b/>
        </w:rPr>
        <w:t xml:space="preserve"> inquir</w:t>
      </w:r>
      <w:r w:rsidR="009D2F38" w:rsidRPr="001257CF">
        <w:rPr>
          <w:b/>
        </w:rPr>
        <w:t>y</w:t>
      </w:r>
      <w:r w:rsidR="00F54823" w:rsidRPr="001257CF">
        <w:rPr>
          <w:b/>
        </w:rPr>
        <w:t xml:space="preserve"> in the last five</w:t>
      </w:r>
      <w:r w:rsidR="00CF19C5" w:rsidRPr="001257CF">
        <w:rPr>
          <w:b/>
        </w:rPr>
        <w:t xml:space="preserve"> years</w:t>
      </w:r>
      <w:r w:rsidRPr="001257CF">
        <w:rPr>
          <w:b/>
        </w:rPr>
        <w:t>?</w:t>
      </w:r>
    </w:p>
    <w:p w:rsidR="00EA2CE1" w:rsidRDefault="00EA2CE1" w:rsidP="00EA2CE1">
      <w:r>
        <w:t xml:space="preserve">Please </w:t>
      </w:r>
      <w:r w:rsidR="00245305">
        <w:t>select</w:t>
      </w:r>
      <w:r>
        <w:t xml:space="preserve"> the </w:t>
      </w:r>
      <w:r w:rsidR="00A14B8A">
        <w:t xml:space="preserve">one or more </w:t>
      </w:r>
      <w:r>
        <w:t xml:space="preserve">boxes that best describe your </w:t>
      </w:r>
      <w:r w:rsidR="00A14B8A">
        <w:t xml:space="preserve">usual </w:t>
      </w:r>
      <w:r>
        <w:t>role</w:t>
      </w:r>
      <w:r w:rsidR="0032164A">
        <w:t>(s)</w:t>
      </w:r>
      <w:r>
        <w:t xml:space="preserve"> at an inquiry </w:t>
      </w:r>
      <w:r w:rsidR="00F54823">
        <w:t>over the last five</w:t>
      </w:r>
      <w:r w:rsidR="00F56FC4">
        <w:t xml:space="preserve"> years</w:t>
      </w:r>
    </w:p>
    <w:tbl>
      <w:tblPr>
        <w:tblW w:w="0" w:type="auto"/>
        <w:tblCellMar>
          <w:left w:w="0" w:type="dxa"/>
          <w:right w:w="0" w:type="dxa"/>
        </w:tblCellMar>
        <w:tblLook w:val="04A0" w:firstRow="1" w:lastRow="0" w:firstColumn="1" w:lastColumn="0" w:noHBand="0" w:noVBand="1"/>
      </w:tblPr>
      <w:tblGrid>
        <w:gridCol w:w="2099"/>
        <w:gridCol w:w="1579"/>
        <w:gridCol w:w="1676"/>
        <w:gridCol w:w="1984"/>
        <w:gridCol w:w="1904"/>
      </w:tblGrid>
      <w:tr w:rsidR="006F4BA7" w:rsidTr="000B435F">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A2CE1" w:rsidRDefault="00EA2CE1">
            <w:pPr>
              <w:rPr>
                <w:rFonts w:ascii="Calibri" w:hAnsi="Calibri"/>
              </w:rPr>
            </w:pPr>
            <w:r>
              <w:t>Role in inquiries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14B8A" w:rsidRPr="009F16C9" w:rsidRDefault="00EA2CE1" w:rsidP="00A14B8A">
            <w:pPr>
              <w:rPr>
                <w:sz w:val="22"/>
                <w:szCs w:val="22"/>
              </w:rPr>
            </w:pPr>
            <w:r w:rsidRPr="00EA2CE1">
              <w:rPr>
                <w:sz w:val="22"/>
                <w:szCs w:val="22"/>
              </w:rPr>
              <w:t>Expert witness</w:t>
            </w:r>
            <w:r w:rsidR="00A14B8A">
              <w:rPr>
                <w:sz w:val="22"/>
                <w:szCs w:val="22"/>
              </w:rPr>
              <w:t xml:space="preserve"> / or given  evidence in person at inquiry</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CE1" w:rsidRPr="00EA2CE1" w:rsidRDefault="00EA2CE1">
            <w:pPr>
              <w:rPr>
                <w:rFonts w:ascii="Calibri" w:hAnsi="Calibri"/>
                <w:sz w:val="22"/>
                <w:szCs w:val="22"/>
              </w:rPr>
            </w:pPr>
            <w:r w:rsidRPr="00EA2CE1">
              <w:rPr>
                <w:sz w:val="22"/>
                <w:szCs w:val="22"/>
              </w:rPr>
              <w:t>Legal representative</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CE1" w:rsidRPr="00EA2CE1" w:rsidRDefault="000B435F" w:rsidP="000B435F">
            <w:pPr>
              <w:rPr>
                <w:rFonts w:ascii="Calibri" w:hAnsi="Calibri"/>
                <w:sz w:val="22"/>
                <w:szCs w:val="22"/>
              </w:rPr>
            </w:pPr>
            <w:r w:rsidRPr="00EA2CE1">
              <w:rPr>
                <w:sz w:val="22"/>
                <w:szCs w:val="22"/>
              </w:rPr>
              <w:t xml:space="preserve">Submitted </w:t>
            </w:r>
            <w:r w:rsidR="00A14B8A">
              <w:rPr>
                <w:sz w:val="22"/>
                <w:szCs w:val="22"/>
              </w:rPr>
              <w:t xml:space="preserve">written </w:t>
            </w:r>
            <w:r w:rsidRPr="00EA2CE1">
              <w:rPr>
                <w:sz w:val="22"/>
                <w:szCs w:val="22"/>
              </w:rPr>
              <w:t>representations/ evidence</w:t>
            </w:r>
          </w:p>
        </w:tc>
        <w:tc>
          <w:tcPr>
            <w:tcW w:w="19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CE1" w:rsidRPr="00EA2CE1" w:rsidRDefault="000B435F" w:rsidP="000B435F">
            <w:pPr>
              <w:rPr>
                <w:rFonts w:ascii="Calibri" w:hAnsi="Calibri"/>
                <w:sz w:val="22"/>
                <w:szCs w:val="22"/>
              </w:rPr>
            </w:pPr>
            <w:r w:rsidRPr="00EA2CE1">
              <w:rPr>
                <w:sz w:val="22"/>
                <w:szCs w:val="22"/>
              </w:rPr>
              <w:t xml:space="preserve">Observer </w:t>
            </w:r>
          </w:p>
        </w:tc>
      </w:tr>
      <w:tr w:rsidR="006F4BA7" w:rsidTr="000B435F">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CE1" w:rsidRDefault="00EA2CE1">
            <w:pPr>
              <w:rPr>
                <w:rFonts w:ascii="Calibri" w:hAnsi="Calibri"/>
              </w:rPr>
            </w:pPr>
            <w:r>
              <w:t>Appellant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EA2CE1" w:rsidRDefault="00EA2CE1">
            <w:pPr>
              <w:rPr>
                <w:rFonts w:ascii="Calibri" w:hAnsi="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EA2CE1" w:rsidRDefault="00EA2CE1">
            <w:pPr>
              <w:rPr>
                <w:rFonts w:ascii="Calibri" w:hAnsi="Calibri"/>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rsidR="00EA2CE1" w:rsidRDefault="00EA2CE1">
            <w:pPr>
              <w:rPr>
                <w:rFonts w:ascii="Calibri" w:hAnsi="Calibri"/>
              </w:rPr>
            </w:pPr>
          </w:p>
        </w:tc>
        <w:tc>
          <w:tcPr>
            <w:tcW w:w="1904" w:type="dxa"/>
            <w:tcBorders>
              <w:top w:val="nil"/>
              <w:left w:val="nil"/>
              <w:bottom w:val="single" w:sz="8" w:space="0" w:color="auto"/>
              <w:right w:val="single" w:sz="8" w:space="0" w:color="auto"/>
            </w:tcBorders>
            <w:tcMar>
              <w:top w:w="0" w:type="dxa"/>
              <w:left w:w="108" w:type="dxa"/>
              <w:bottom w:w="0" w:type="dxa"/>
              <w:right w:w="108" w:type="dxa"/>
            </w:tcMar>
          </w:tcPr>
          <w:p w:rsidR="00EA2CE1" w:rsidRDefault="00EA2CE1">
            <w:pPr>
              <w:rPr>
                <w:rFonts w:ascii="Calibri" w:hAnsi="Calibri"/>
              </w:rPr>
            </w:pPr>
          </w:p>
        </w:tc>
      </w:tr>
      <w:tr w:rsidR="006F4BA7" w:rsidTr="000B435F">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CE1" w:rsidRDefault="00EA2CE1">
            <w:pPr>
              <w:rPr>
                <w:rFonts w:ascii="Calibri" w:hAnsi="Calibri"/>
              </w:rPr>
            </w:pPr>
            <w:r>
              <w:t>L</w:t>
            </w:r>
            <w:r w:rsidR="006F4BA7">
              <w:t>ocal planning authority</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EA2CE1" w:rsidRDefault="00EA2CE1">
            <w:pPr>
              <w:rPr>
                <w:rFonts w:ascii="Calibri" w:hAnsi="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EA2CE1" w:rsidRDefault="00EA2CE1">
            <w:pPr>
              <w:rPr>
                <w:rFonts w:ascii="Calibri" w:hAnsi="Calibri"/>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rsidR="00EA2CE1" w:rsidRDefault="00EA2CE1">
            <w:pPr>
              <w:rPr>
                <w:rFonts w:ascii="Calibri" w:hAnsi="Calibri"/>
              </w:rPr>
            </w:pPr>
          </w:p>
        </w:tc>
        <w:tc>
          <w:tcPr>
            <w:tcW w:w="1904" w:type="dxa"/>
            <w:tcBorders>
              <w:top w:val="nil"/>
              <w:left w:val="nil"/>
              <w:bottom w:val="single" w:sz="8" w:space="0" w:color="auto"/>
              <w:right w:val="single" w:sz="8" w:space="0" w:color="auto"/>
            </w:tcBorders>
            <w:tcMar>
              <w:top w:w="0" w:type="dxa"/>
              <w:left w:w="108" w:type="dxa"/>
              <w:bottom w:w="0" w:type="dxa"/>
              <w:right w:w="108" w:type="dxa"/>
            </w:tcMar>
          </w:tcPr>
          <w:p w:rsidR="00EA2CE1" w:rsidRDefault="00EA2CE1">
            <w:pPr>
              <w:rPr>
                <w:rFonts w:ascii="Calibri" w:hAnsi="Calibri"/>
              </w:rPr>
            </w:pPr>
          </w:p>
        </w:tc>
      </w:tr>
      <w:tr w:rsidR="006F4BA7" w:rsidTr="000B435F">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CE1" w:rsidRDefault="00EA2CE1">
            <w:pPr>
              <w:rPr>
                <w:rFonts w:ascii="Calibri" w:hAnsi="Calibri"/>
              </w:rPr>
            </w:pPr>
            <w:r>
              <w:lastRenderedPageBreak/>
              <w:t>Rule 6 party</w:t>
            </w:r>
            <w:r w:rsidR="00A14B8A">
              <w:rPr>
                <w:rStyle w:val="FootnoteReference"/>
              </w:rPr>
              <w:footnoteReference w:id="1"/>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EA2CE1" w:rsidRDefault="00EA2CE1">
            <w:pPr>
              <w:rPr>
                <w:rFonts w:ascii="Calibri" w:hAnsi="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EA2CE1" w:rsidRDefault="00EA2CE1">
            <w:pPr>
              <w:rPr>
                <w:rFonts w:ascii="Calibri" w:hAnsi="Calibri"/>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rsidR="00EA2CE1" w:rsidRDefault="00EA2CE1">
            <w:pPr>
              <w:rPr>
                <w:rFonts w:ascii="Calibri" w:hAnsi="Calibri"/>
              </w:rPr>
            </w:pPr>
          </w:p>
        </w:tc>
        <w:tc>
          <w:tcPr>
            <w:tcW w:w="1904" w:type="dxa"/>
            <w:tcBorders>
              <w:top w:val="nil"/>
              <w:left w:val="nil"/>
              <w:bottom w:val="single" w:sz="8" w:space="0" w:color="auto"/>
              <w:right w:val="single" w:sz="8" w:space="0" w:color="auto"/>
            </w:tcBorders>
            <w:tcMar>
              <w:top w:w="0" w:type="dxa"/>
              <w:left w:w="108" w:type="dxa"/>
              <w:bottom w:w="0" w:type="dxa"/>
              <w:right w:w="108" w:type="dxa"/>
            </w:tcMar>
          </w:tcPr>
          <w:p w:rsidR="00EA2CE1" w:rsidRDefault="00EA2CE1">
            <w:pPr>
              <w:rPr>
                <w:rFonts w:ascii="Calibri" w:hAnsi="Calibri"/>
              </w:rPr>
            </w:pPr>
          </w:p>
        </w:tc>
      </w:tr>
      <w:tr w:rsidR="006F4BA7" w:rsidTr="000B435F">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CE1" w:rsidRDefault="00EA2CE1">
            <w:pPr>
              <w:rPr>
                <w:rFonts w:ascii="Calibri" w:hAnsi="Calibri"/>
              </w:rPr>
            </w:pPr>
            <w:r>
              <w:t xml:space="preserve">Community group / </w:t>
            </w:r>
            <w:r w:rsidR="006F4BA7">
              <w:t>non-governmental organisation</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EA2CE1" w:rsidRDefault="00EA2CE1">
            <w:pPr>
              <w:rPr>
                <w:rFonts w:ascii="Calibri" w:hAnsi="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EA2CE1" w:rsidRDefault="00EA2CE1">
            <w:pPr>
              <w:rPr>
                <w:rFonts w:ascii="Calibri" w:hAnsi="Calibri"/>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rsidR="00EA2CE1" w:rsidRDefault="00EA2CE1">
            <w:pPr>
              <w:rPr>
                <w:rFonts w:ascii="Calibri" w:hAnsi="Calibri"/>
              </w:rPr>
            </w:pPr>
          </w:p>
        </w:tc>
        <w:tc>
          <w:tcPr>
            <w:tcW w:w="1904" w:type="dxa"/>
            <w:tcBorders>
              <w:top w:val="nil"/>
              <w:left w:val="nil"/>
              <w:bottom w:val="single" w:sz="8" w:space="0" w:color="auto"/>
              <w:right w:val="single" w:sz="8" w:space="0" w:color="auto"/>
            </w:tcBorders>
            <w:tcMar>
              <w:top w:w="0" w:type="dxa"/>
              <w:left w:w="108" w:type="dxa"/>
              <w:bottom w:w="0" w:type="dxa"/>
              <w:right w:w="108" w:type="dxa"/>
            </w:tcMar>
          </w:tcPr>
          <w:p w:rsidR="00EA2CE1" w:rsidRDefault="00EA2CE1">
            <w:pPr>
              <w:rPr>
                <w:rFonts w:ascii="Calibri" w:hAnsi="Calibri"/>
              </w:rPr>
            </w:pPr>
          </w:p>
        </w:tc>
      </w:tr>
      <w:tr w:rsidR="006F4BA7" w:rsidTr="00226633">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CE1" w:rsidRDefault="00EA2CE1">
            <w:pPr>
              <w:rPr>
                <w:rFonts w:ascii="Calibri" w:hAnsi="Calibri"/>
              </w:rPr>
            </w:pPr>
            <w:r>
              <w:t xml:space="preserve">Statutory </w:t>
            </w:r>
            <w:proofErr w:type="spellStart"/>
            <w:r>
              <w:t>consultee</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EA2CE1" w:rsidRDefault="00EA2CE1">
            <w:pPr>
              <w:rPr>
                <w:rFonts w:ascii="Calibri" w:hAnsi="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EA2CE1" w:rsidRDefault="00EA2CE1">
            <w:pPr>
              <w:rPr>
                <w:rFonts w:ascii="Calibri" w:hAnsi="Calibri"/>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rsidR="00EA2CE1" w:rsidRDefault="00EA2CE1">
            <w:pPr>
              <w:rPr>
                <w:rFonts w:ascii="Calibri" w:hAnsi="Calibri"/>
              </w:rPr>
            </w:pPr>
          </w:p>
        </w:tc>
        <w:tc>
          <w:tcPr>
            <w:tcW w:w="1904" w:type="dxa"/>
            <w:tcBorders>
              <w:top w:val="nil"/>
              <w:left w:val="nil"/>
              <w:bottom w:val="single" w:sz="8" w:space="0" w:color="auto"/>
              <w:right w:val="single" w:sz="8" w:space="0" w:color="auto"/>
            </w:tcBorders>
            <w:tcMar>
              <w:top w:w="0" w:type="dxa"/>
              <w:left w:w="108" w:type="dxa"/>
              <w:bottom w:w="0" w:type="dxa"/>
              <w:right w:w="108" w:type="dxa"/>
            </w:tcMar>
          </w:tcPr>
          <w:p w:rsidR="00EA2CE1" w:rsidRDefault="00EA2CE1">
            <w:pPr>
              <w:rPr>
                <w:rFonts w:ascii="Calibri" w:hAnsi="Calibri"/>
              </w:rPr>
            </w:pPr>
          </w:p>
        </w:tc>
      </w:tr>
      <w:tr w:rsidR="006F4BA7" w:rsidTr="00226633">
        <w:tc>
          <w:tcPr>
            <w:tcW w:w="0" w:type="auto"/>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EA2CE1" w:rsidRDefault="00EA2CE1">
            <w:pPr>
              <w:rPr>
                <w:rFonts w:ascii="Calibri" w:hAnsi="Calibri"/>
              </w:rPr>
            </w:pPr>
            <w:r>
              <w:t>Private individual</w:t>
            </w:r>
          </w:p>
        </w:tc>
        <w:tc>
          <w:tcPr>
            <w:tcW w:w="0" w:type="auto"/>
            <w:tcBorders>
              <w:top w:val="single" w:sz="8" w:space="0" w:color="auto"/>
              <w:left w:val="nil"/>
              <w:bottom w:val="single" w:sz="4" w:space="0" w:color="auto"/>
              <w:right w:val="single" w:sz="8" w:space="0" w:color="auto"/>
            </w:tcBorders>
            <w:tcMar>
              <w:top w:w="0" w:type="dxa"/>
              <w:left w:w="108" w:type="dxa"/>
              <w:bottom w:w="0" w:type="dxa"/>
              <w:right w:w="108" w:type="dxa"/>
            </w:tcMar>
          </w:tcPr>
          <w:p w:rsidR="00EA2CE1" w:rsidRDefault="00EA2CE1">
            <w:pPr>
              <w:rPr>
                <w:rFonts w:ascii="Calibri" w:hAnsi="Calibri"/>
              </w:rPr>
            </w:pPr>
          </w:p>
        </w:tc>
        <w:tc>
          <w:tcPr>
            <w:tcW w:w="0" w:type="auto"/>
            <w:tcBorders>
              <w:top w:val="single" w:sz="8" w:space="0" w:color="auto"/>
              <w:left w:val="nil"/>
              <w:bottom w:val="single" w:sz="4" w:space="0" w:color="auto"/>
              <w:right w:val="single" w:sz="8" w:space="0" w:color="auto"/>
            </w:tcBorders>
            <w:tcMar>
              <w:top w:w="0" w:type="dxa"/>
              <w:left w:w="108" w:type="dxa"/>
              <w:bottom w:w="0" w:type="dxa"/>
              <w:right w:w="108" w:type="dxa"/>
            </w:tcMar>
          </w:tcPr>
          <w:p w:rsidR="00EA2CE1" w:rsidRDefault="00EA2CE1">
            <w:pPr>
              <w:rPr>
                <w:rFonts w:ascii="Calibri" w:hAnsi="Calibri"/>
              </w:rPr>
            </w:pPr>
          </w:p>
        </w:tc>
        <w:tc>
          <w:tcPr>
            <w:tcW w:w="1984"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EA2CE1" w:rsidRDefault="00EA2CE1">
            <w:pPr>
              <w:rPr>
                <w:rFonts w:ascii="Calibri" w:hAnsi="Calibri"/>
              </w:rPr>
            </w:pPr>
          </w:p>
        </w:tc>
        <w:tc>
          <w:tcPr>
            <w:tcW w:w="1904"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EA2CE1" w:rsidRDefault="00EA2CE1">
            <w:pPr>
              <w:rPr>
                <w:rFonts w:ascii="Calibri" w:hAnsi="Calibri"/>
              </w:rPr>
            </w:pPr>
          </w:p>
        </w:tc>
      </w:tr>
      <w:tr w:rsidR="006F4BA7" w:rsidTr="00226633">
        <w:tc>
          <w:tcPr>
            <w:tcW w:w="0" w:type="auto"/>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606A0C" w:rsidRDefault="00606A0C">
            <w:r>
              <w:t>Other</w:t>
            </w:r>
          </w:p>
        </w:tc>
        <w:tc>
          <w:tcPr>
            <w:tcW w:w="0" w:type="auto"/>
            <w:tcBorders>
              <w:top w:val="single" w:sz="4" w:space="0" w:color="auto"/>
              <w:left w:val="nil"/>
              <w:bottom w:val="single" w:sz="8" w:space="0" w:color="auto"/>
              <w:right w:val="single" w:sz="8" w:space="0" w:color="auto"/>
            </w:tcBorders>
            <w:tcMar>
              <w:top w:w="0" w:type="dxa"/>
              <w:left w:w="108" w:type="dxa"/>
              <w:bottom w:w="0" w:type="dxa"/>
              <w:right w:w="108" w:type="dxa"/>
            </w:tcMar>
          </w:tcPr>
          <w:p w:rsidR="00606A0C" w:rsidRDefault="00606A0C">
            <w:pPr>
              <w:rPr>
                <w:rFonts w:ascii="Calibri" w:hAnsi="Calibri"/>
              </w:rPr>
            </w:pPr>
          </w:p>
        </w:tc>
        <w:tc>
          <w:tcPr>
            <w:tcW w:w="0" w:type="auto"/>
            <w:tcBorders>
              <w:top w:val="single" w:sz="4" w:space="0" w:color="auto"/>
              <w:left w:val="nil"/>
              <w:bottom w:val="single" w:sz="8" w:space="0" w:color="auto"/>
              <w:right w:val="single" w:sz="8" w:space="0" w:color="auto"/>
            </w:tcBorders>
            <w:tcMar>
              <w:top w:w="0" w:type="dxa"/>
              <w:left w:w="108" w:type="dxa"/>
              <w:bottom w:w="0" w:type="dxa"/>
              <w:right w:w="108" w:type="dxa"/>
            </w:tcMar>
          </w:tcPr>
          <w:p w:rsidR="00606A0C" w:rsidRDefault="00606A0C">
            <w:pPr>
              <w:rPr>
                <w:rFonts w:ascii="Calibri" w:hAnsi="Calibri"/>
              </w:rPr>
            </w:pPr>
          </w:p>
        </w:tc>
        <w:tc>
          <w:tcPr>
            <w:tcW w:w="1984"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606A0C" w:rsidRDefault="00606A0C">
            <w:pPr>
              <w:rPr>
                <w:rFonts w:ascii="Calibri" w:hAnsi="Calibri"/>
              </w:rPr>
            </w:pPr>
          </w:p>
        </w:tc>
        <w:tc>
          <w:tcPr>
            <w:tcW w:w="1904"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606A0C" w:rsidRDefault="00606A0C">
            <w:pPr>
              <w:rPr>
                <w:rFonts w:ascii="Calibri" w:hAnsi="Calibri"/>
              </w:rPr>
            </w:pPr>
          </w:p>
        </w:tc>
      </w:tr>
    </w:tbl>
    <w:p w:rsidR="009F16C9" w:rsidRDefault="009F16C9">
      <w:pPr>
        <w:rPr>
          <w:b/>
        </w:rPr>
      </w:pPr>
    </w:p>
    <w:p w:rsidR="00EA2CE1" w:rsidRDefault="00EA2CE1">
      <w:pPr>
        <w:rPr>
          <w:b/>
        </w:rPr>
      </w:pPr>
      <w:r>
        <w:rPr>
          <w:b/>
        </w:rPr>
        <w:t>If “other” please add description here: ……………………………</w:t>
      </w:r>
    </w:p>
    <w:p w:rsidR="005A7607" w:rsidRDefault="005A7607">
      <w:pPr>
        <w:rPr>
          <w:b/>
        </w:rPr>
      </w:pPr>
    </w:p>
    <w:p w:rsidR="005A7607" w:rsidRPr="00245E02" w:rsidRDefault="005A7607" w:rsidP="00245E02">
      <w:pPr>
        <w:pStyle w:val="ListParagraph"/>
        <w:numPr>
          <w:ilvl w:val="0"/>
          <w:numId w:val="2"/>
        </w:numPr>
        <w:ind w:left="720"/>
        <w:rPr>
          <w:b/>
        </w:rPr>
      </w:pPr>
      <w:r w:rsidRPr="001257CF">
        <w:rPr>
          <w:b/>
        </w:rPr>
        <w:t>How many inquiries have you been involved in?</w:t>
      </w:r>
    </w:p>
    <w:tbl>
      <w:tblPr>
        <w:tblW w:w="0" w:type="auto"/>
        <w:tblCellMar>
          <w:left w:w="0" w:type="dxa"/>
          <w:right w:w="0" w:type="dxa"/>
        </w:tblCellMar>
        <w:tblLook w:val="04A0" w:firstRow="1" w:lastRow="0" w:firstColumn="1" w:lastColumn="0" w:noHBand="0" w:noVBand="1"/>
      </w:tblPr>
      <w:tblGrid>
        <w:gridCol w:w="1368"/>
        <w:gridCol w:w="1368"/>
        <w:gridCol w:w="1368"/>
        <w:gridCol w:w="1368"/>
        <w:gridCol w:w="1368"/>
        <w:gridCol w:w="1368"/>
      </w:tblGrid>
      <w:tr w:rsidR="0017302A" w:rsidRPr="0017302A" w:rsidTr="005A7607">
        <w:tc>
          <w:tcPr>
            <w:tcW w:w="13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A7607" w:rsidRPr="00BD1EA2" w:rsidRDefault="005A7607">
            <w:pPr>
              <w:rPr>
                <w:rFonts w:ascii="Calibri" w:hAnsi="Calibri"/>
                <w:sz w:val="22"/>
                <w:szCs w:val="22"/>
              </w:rPr>
            </w:pPr>
            <w:r w:rsidRPr="00BD1EA2">
              <w:t>Number of inquiries involved in</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A7607" w:rsidRPr="00BD1EA2" w:rsidRDefault="005A7607">
            <w:pPr>
              <w:rPr>
                <w:rFonts w:ascii="Calibri" w:hAnsi="Calibri"/>
                <w:sz w:val="22"/>
                <w:szCs w:val="22"/>
              </w:rPr>
            </w:pPr>
            <w:r w:rsidRPr="00BD1EA2">
              <w:t>0</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A7607" w:rsidRPr="00BD1EA2" w:rsidRDefault="005A7607">
            <w:pPr>
              <w:rPr>
                <w:rFonts w:ascii="Calibri" w:hAnsi="Calibri"/>
                <w:sz w:val="22"/>
                <w:szCs w:val="22"/>
              </w:rPr>
            </w:pPr>
            <w:r w:rsidRPr="00BD1EA2">
              <w:t>1-2</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A7607" w:rsidRPr="00BD1EA2" w:rsidRDefault="005A7607">
            <w:pPr>
              <w:rPr>
                <w:rFonts w:ascii="Calibri" w:hAnsi="Calibri"/>
                <w:sz w:val="22"/>
                <w:szCs w:val="22"/>
              </w:rPr>
            </w:pPr>
            <w:r w:rsidRPr="00BD1EA2">
              <w:t>3-5</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A7607" w:rsidRPr="00BD1EA2" w:rsidRDefault="005A7607">
            <w:pPr>
              <w:rPr>
                <w:rFonts w:ascii="Calibri" w:hAnsi="Calibri"/>
                <w:sz w:val="22"/>
                <w:szCs w:val="22"/>
              </w:rPr>
            </w:pPr>
            <w:r w:rsidRPr="00BD1EA2">
              <w:t>6-10</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A7607" w:rsidRPr="00BD1EA2" w:rsidRDefault="005A7607">
            <w:pPr>
              <w:rPr>
                <w:rFonts w:ascii="Calibri" w:hAnsi="Calibri"/>
                <w:sz w:val="22"/>
                <w:szCs w:val="22"/>
              </w:rPr>
            </w:pPr>
            <w:r w:rsidRPr="00BD1EA2">
              <w:t>More than 10</w:t>
            </w:r>
          </w:p>
        </w:tc>
      </w:tr>
      <w:tr w:rsidR="0017302A" w:rsidRPr="0017302A" w:rsidTr="005A7607">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7607" w:rsidRPr="00BD1EA2" w:rsidRDefault="005A7607">
            <w:pPr>
              <w:rPr>
                <w:rFonts w:ascii="Calibri" w:hAnsi="Calibri"/>
                <w:sz w:val="22"/>
                <w:szCs w:val="22"/>
              </w:rPr>
            </w:pPr>
            <w:r w:rsidRPr="00BD1EA2">
              <w:t>Please select</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5A7607" w:rsidRPr="00BD1EA2" w:rsidRDefault="005A7607">
            <w:pPr>
              <w:rPr>
                <w:rFonts w:ascii="Calibri" w:hAnsi="Calibri"/>
                <w:sz w:val="22"/>
                <w:szCs w:val="22"/>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5A7607" w:rsidRPr="00BD1EA2" w:rsidRDefault="005A7607">
            <w:pPr>
              <w:rPr>
                <w:rFonts w:ascii="Calibri" w:hAnsi="Calibri"/>
                <w:sz w:val="22"/>
                <w:szCs w:val="22"/>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5A7607" w:rsidRPr="00BD1EA2" w:rsidRDefault="005A7607">
            <w:pPr>
              <w:rPr>
                <w:rFonts w:ascii="Calibri" w:hAnsi="Calibri"/>
                <w:sz w:val="22"/>
                <w:szCs w:val="22"/>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5A7607" w:rsidRPr="00BD1EA2" w:rsidRDefault="005A7607">
            <w:pPr>
              <w:rPr>
                <w:rFonts w:ascii="Calibri" w:hAnsi="Calibri"/>
                <w:sz w:val="22"/>
                <w:szCs w:val="22"/>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5A7607" w:rsidRPr="00BD1EA2" w:rsidRDefault="005A7607">
            <w:pPr>
              <w:rPr>
                <w:rFonts w:ascii="Calibri" w:hAnsi="Calibri"/>
                <w:sz w:val="22"/>
                <w:szCs w:val="22"/>
              </w:rPr>
            </w:pPr>
          </w:p>
        </w:tc>
      </w:tr>
    </w:tbl>
    <w:p w:rsidR="009F16C9" w:rsidRDefault="009F16C9">
      <w:pPr>
        <w:rPr>
          <w:b/>
        </w:rPr>
      </w:pPr>
      <w:r>
        <w:rPr>
          <w:b/>
        </w:rPr>
        <w:br w:type="page"/>
      </w:r>
    </w:p>
    <w:p w:rsidR="009F16C9" w:rsidRPr="00A0449D" w:rsidRDefault="009F16C9" w:rsidP="009F16C9">
      <w:pPr>
        <w:rPr>
          <w:b/>
          <w:u w:val="single"/>
        </w:rPr>
      </w:pPr>
      <w:r w:rsidRPr="00A0449D">
        <w:rPr>
          <w:b/>
          <w:u w:val="single"/>
        </w:rPr>
        <w:lastRenderedPageBreak/>
        <w:t xml:space="preserve">VIEWS ON THE OVERALL </w:t>
      </w:r>
      <w:r w:rsidR="00BF191D">
        <w:rPr>
          <w:b/>
          <w:u w:val="single"/>
        </w:rPr>
        <w:t xml:space="preserve">PLANNING APPEAL INQUIRIES </w:t>
      </w:r>
      <w:r w:rsidRPr="00A0449D">
        <w:rPr>
          <w:b/>
          <w:u w:val="single"/>
        </w:rPr>
        <w:t>PROCESS</w:t>
      </w:r>
    </w:p>
    <w:p w:rsidR="00153826" w:rsidRPr="00245E02" w:rsidRDefault="00E1487D" w:rsidP="009F16C9">
      <w:pPr>
        <w:pStyle w:val="ListParagraph"/>
        <w:numPr>
          <w:ilvl w:val="0"/>
          <w:numId w:val="2"/>
        </w:numPr>
        <w:ind w:left="720"/>
        <w:rPr>
          <w:b/>
        </w:rPr>
      </w:pPr>
      <w:r w:rsidRPr="00245E02">
        <w:rPr>
          <w:b/>
        </w:rPr>
        <w:t xml:space="preserve">What do you value most about the </w:t>
      </w:r>
      <w:r w:rsidR="009F5834" w:rsidRPr="00245E02">
        <w:rPr>
          <w:b/>
        </w:rPr>
        <w:t>planning appeal inquiries process compared to written representations or hearings</w:t>
      </w:r>
      <w:r w:rsidR="00153826" w:rsidRPr="00245E02">
        <w:rPr>
          <w:b/>
        </w:rPr>
        <w:t>?</w:t>
      </w:r>
    </w:p>
    <w:tbl>
      <w:tblPr>
        <w:tblStyle w:val="TableGrid"/>
        <w:tblW w:w="0" w:type="auto"/>
        <w:tblLook w:val="04A0" w:firstRow="1" w:lastRow="0" w:firstColumn="1" w:lastColumn="0" w:noHBand="0" w:noVBand="1"/>
      </w:tblPr>
      <w:tblGrid>
        <w:gridCol w:w="3125"/>
        <w:gridCol w:w="1146"/>
        <w:gridCol w:w="1279"/>
        <w:gridCol w:w="926"/>
        <w:gridCol w:w="1351"/>
        <w:gridCol w:w="1415"/>
      </w:tblGrid>
      <w:tr w:rsidR="009C0012" w:rsidTr="008A15AF">
        <w:tc>
          <w:tcPr>
            <w:tcW w:w="0" w:type="auto"/>
          </w:tcPr>
          <w:p w:rsidR="009C0012" w:rsidRPr="003D71C6" w:rsidRDefault="009C0012" w:rsidP="003D71C6">
            <w:pPr>
              <w:ind w:left="1080"/>
              <w:rPr>
                <w:bCs/>
                <w:sz w:val="20"/>
                <w:szCs w:val="20"/>
              </w:rPr>
            </w:pPr>
          </w:p>
        </w:tc>
        <w:tc>
          <w:tcPr>
            <w:tcW w:w="0" w:type="auto"/>
          </w:tcPr>
          <w:p w:rsidR="009C0012" w:rsidRPr="00EA2CE1" w:rsidRDefault="009C0012" w:rsidP="008A15AF">
            <w:pPr>
              <w:rPr>
                <w:sz w:val="22"/>
                <w:szCs w:val="22"/>
              </w:rPr>
            </w:pPr>
            <w:r w:rsidRPr="00EA2CE1">
              <w:rPr>
                <w:sz w:val="22"/>
                <w:szCs w:val="22"/>
              </w:rPr>
              <w:t>Important</w:t>
            </w:r>
          </w:p>
        </w:tc>
        <w:tc>
          <w:tcPr>
            <w:tcW w:w="0" w:type="auto"/>
          </w:tcPr>
          <w:p w:rsidR="009C0012" w:rsidRPr="00EA2CE1" w:rsidRDefault="009C0012" w:rsidP="008A15AF">
            <w:pPr>
              <w:rPr>
                <w:sz w:val="22"/>
                <w:szCs w:val="22"/>
              </w:rPr>
            </w:pPr>
            <w:r w:rsidRPr="00EA2CE1">
              <w:rPr>
                <w:sz w:val="22"/>
                <w:szCs w:val="22"/>
              </w:rPr>
              <w:t>Quite important</w:t>
            </w:r>
          </w:p>
        </w:tc>
        <w:tc>
          <w:tcPr>
            <w:tcW w:w="0" w:type="auto"/>
          </w:tcPr>
          <w:p w:rsidR="009C0012" w:rsidRPr="00EA2CE1" w:rsidRDefault="009C0012" w:rsidP="008A15AF">
            <w:pPr>
              <w:rPr>
                <w:sz w:val="22"/>
                <w:szCs w:val="22"/>
              </w:rPr>
            </w:pPr>
            <w:r w:rsidRPr="00EA2CE1">
              <w:rPr>
                <w:sz w:val="22"/>
                <w:szCs w:val="22"/>
              </w:rPr>
              <w:t>Neutral</w:t>
            </w:r>
          </w:p>
        </w:tc>
        <w:tc>
          <w:tcPr>
            <w:tcW w:w="0" w:type="auto"/>
          </w:tcPr>
          <w:p w:rsidR="009C0012" w:rsidRPr="00EA2CE1" w:rsidRDefault="009C0012" w:rsidP="008A15AF">
            <w:pPr>
              <w:rPr>
                <w:sz w:val="22"/>
                <w:szCs w:val="22"/>
              </w:rPr>
            </w:pPr>
            <w:r w:rsidRPr="00EA2CE1">
              <w:rPr>
                <w:sz w:val="22"/>
                <w:szCs w:val="22"/>
              </w:rPr>
              <w:t>Not very important</w:t>
            </w:r>
          </w:p>
        </w:tc>
        <w:tc>
          <w:tcPr>
            <w:tcW w:w="0" w:type="auto"/>
          </w:tcPr>
          <w:p w:rsidR="009C0012" w:rsidRPr="00EA2CE1" w:rsidRDefault="009C0012" w:rsidP="008A15AF">
            <w:pPr>
              <w:rPr>
                <w:sz w:val="22"/>
                <w:szCs w:val="22"/>
              </w:rPr>
            </w:pPr>
            <w:r w:rsidRPr="00EA2CE1">
              <w:rPr>
                <w:sz w:val="22"/>
                <w:szCs w:val="22"/>
              </w:rPr>
              <w:t>Unimportant</w:t>
            </w:r>
          </w:p>
        </w:tc>
      </w:tr>
      <w:tr w:rsidR="009C0012" w:rsidTr="008A15AF">
        <w:tc>
          <w:tcPr>
            <w:tcW w:w="0" w:type="auto"/>
          </w:tcPr>
          <w:p w:rsidR="009C0012" w:rsidRPr="00EA2CE1" w:rsidRDefault="007012D2" w:rsidP="008A15AF">
            <w:r w:rsidRPr="00EA2CE1">
              <w:t>Ability for all parties to meet face to face</w:t>
            </w:r>
          </w:p>
        </w:tc>
        <w:tc>
          <w:tcPr>
            <w:tcW w:w="0" w:type="auto"/>
          </w:tcPr>
          <w:p w:rsidR="009C0012" w:rsidRPr="00EA2CE1" w:rsidRDefault="009C0012" w:rsidP="008A15AF"/>
        </w:tc>
        <w:tc>
          <w:tcPr>
            <w:tcW w:w="0" w:type="auto"/>
          </w:tcPr>
          <w:p w:rsidR="009C0012" w:rsidRPr="00EA2CE1" w:rsidRDefault="009C0012" w:rsidP="008A15AF"/>
        </w:tc>
        <w:tc>
          <w:tcPr>
            <w:tcW w:w="0" w:type="auto"/>
          </w:tcPr>
          <w:p w:rsidR="009C0012" w:rsidRPr="00EA2CE1" w:rsidRDefault="009C0012" w:rsidP="008A15AF"/>
        </w:tc>
        <w:tc>
          <w:tcPr>
            <w:tcW w:w="0" w:type="auto"/>
          </w:tcPr>
          <w:p w:rsidR="009C0012" w:rsidRPr="00EA2CE1" w:rsidRDefault="009C0012" w:rsidP="008A15AF"/>
        </w:tc>
        <w:tc>
          <w:tcPr>
            <w:tcW w:w="0" w:type="auto"/>
          </w:tcPr>
          <w:p w:rsidR="009C0012" w:rsidRPr="00EA2CE1" w:rsidRDefault="009C0012" w:rsidP="008A15AF"/>
        </w:tc>
      </w:tr>
      <w:tr w:rsidR="009C0012" w:rsidTr="008A15AF">
        <w:tc>
          <w:tcPr>
            <w:tcW w:w="0" w:type="auto"/>
          </w:tcPr>
          <w:p w:rsidR="009C0012" w:rsidRPr="00EA2CE1" w:rsidRDefault="009C0012" w:rsidP="008A15AF">
            <w:r w:rsidRPr="00EA2CE1">
              <w:t>Ability to present evidence orally</w:t>
            </w:r>
          </w:p>
        </w:tc>
        <w:tc>
          <w:tcPr>
            <w:tcW w:w="0" w:type="auto"/>
          </w:tcPr>
          <w:p w:rsidR="009C0012" w:rsidRPr="00EA2CE1" w:rsidRDefault="009C0012" w:rsidP="008A15AF"/>
        </w:tc>
        <w:tc>
          <w:tcPr>
            <w:tcW w:w="0" w:type="auto"/>
          </w:tcPr>
          <w:p w:rsidR="009C0012" w:rsidRPr="00EA2CE1" w:rsidRDefault="009C0012" w:rsidP="008A15AF"/>
        </w:tc>
        <w:tc>
          <w:tcPr>
            <w:tcW w:w="0" w:type="auto"/>
          </w:tcPr>
          <w:p w:rsidR="009C0012" w:rsidRPr="00EA2CE1" w:rsidRDefault="009C0012" w:rsidP="008A15AF"/>
        </w:tc>
        <w:tc>
          <w:tcPr>
            <w:tcW w:w="0" w:type="auto"/>
          </w:tcPr>
          <w:p w:rsidR="009C0012" w:rsidRPr="00EA2CE1" w:rsidRDefault="009C0012" w:rsidP="008A15AF"/>
        </w:tc>
        <w:tc>
          <w:tcPr>
            <w:tcW w:w="0" w:type="auto"/>
          </w:tcPr>
          <w:p w:rsidR="009C0012" w:rsidRPr="00EA2CE1" w:rsidRDefault="009C0012" w:rsidP="008A15AF"/>
        </w:tc>
      </w:tr>
      <w:tr w:rsidR="009C0012" w:rsidTr="008A15AF">
        <w:tc>
          <w:tcPr>
            <w:tcW w:w="0" w:type="auto"/>
          </w:tcPr>
          <w:p w:rsidR="009C0012" w:rsidRPr="00EA2CE1" w:rsidRDefault="009C0012" w:rsidP="008A15AF">
            <w:r w:rsidRPr="00EA2CE1">
              <w:t>Ability to cross examine witnesses</w:t>
            </w:r>
          </w:p>
        </w:tc>
        <w:tc>
          <w:tcPr>
            <w:tcW w:w="0" w:type="auto"/>
          </w:tcPr>
          <w:p w:rsidR="009C0012" w:rsidRPr="00EA2CE1" w:rsidRDefault="009C0012" w:rsidP="008A15AF"/>
        </w:tc>
        <w:tc>
          <w:tcPr>
            <w:tcW w:w="0" w:type="auto"/>
          </w:tcPr>
          <w:p w:rsidR="009C0012" w:rsidRPr="00EA2CE1" w:rsidRDefault="009C0012" w:rsidP="008A15AF"/>
        </w:tc>
        <w:tc>
          <w:tcPr>
            <w:tcW w:w="0" w:type="auto"/>
          </w:tcPr>
          <w:p w:rsidR="009C0012" w:rsidRPr="00EA2CE1" w:rsidRDefault="009C0012" w:rsidP="008A15AF"/>
        </w:tc>
        <w:tc>
          <w:tcPr>
            <w:tcW w:w="0" w:type="auto"/>
          </w:tcPr>
          <w:p w:rsidR="009C0012" w:rsidRPr="00EA2CE1" w:rsidRDefault="009C0012" w:rsidP="008A15AF"/>
        </w:tc>
        <w:tc>
          <w:tcPr>
            <w:tcW w:w="0" w:type="auto"/>
          </w:tcPr>
          <w:p w:rsidR="009C0012" w:rsidRPr="00EA2CE1" w:rsidRDefault="009C0012" w:rsidP="008A15AF"/>
        </w:tc>
      </w:tr>
      <w:tr w:rsidR="009C0012" w:rsidTr="008A15AF">
        <w:tc>
          <w:tcPr>
            <w:tcW w:w="0" w:type="auto"/>
          </w:tcPr>
          <w:p w:rsidR="009C0012" w:rsidRPr="00EA2CE1" w:rsidRDefault="003864F7" w:rsidP="009F5834">
            <w:r>
              <w:t>More</w:t>
            </w:r>
            <w:r w:rsidR="009F5834">
              <w:t xml:space="preserve"> </w:t>
            </w:r>
            <w:r w:rsidR="007012D2" w:rsidRPr="00EA2CE1">
              <w:t>time to prepare</w:t>
            </w:r>
            <w:r w:rsidR="009F5834">
              <w:t xml:space="preserve"> all the</w:t>
            </w:r>
            <w:r w:rsidR="007012D2" w:rsidRPr="00EA2CE1">
              <w:t xml:space="preserve"> evidence</w:t>
            </w:r>
          </w:p>
        </w:tc>
        <w:tc>
          <w:tcPr>
            <w:tcW w:w="0" w:type="auto"/>
          </w:tcPr>
          <w:p w:rsidR="009C0012" w:rsidRPr="00EA2CE1" w:rsidRDefault="009C0012" w:rsidP="008A15AF"/>
        </w:tc>
        <w:tc>
          <w:tcPr>
            <w:tcW w:w="0" w:type="auto"/>
          </w:tcPr>
          <w:p w:rsidR="009C0012" w:rsidRPr="00EA2CE1" w:rsidRDefault="009C0012" w:rsidP="008A15AF"/>
        </w:tc>
        <w:tc>
          <w:tcPr>
            <w:tcW w:w="0" w:type="auto"/>
          </w:tcPr>
          <w:p w:rsidR="009C0012" w:rsidRPr="00EA2CE1" w:rsidRDefault="009C0012" w:rsidP="008A15AF"/>
        </w:tc>
        <w:tc>
          <w:tcPr>
            <w:tcW w:w="0" w:type="auto"/>
          </w:tcPr>
          <w:p w:rsidR="009C0012" w:rsidRPr="00EA2CE1" w:rsidRDefault="009C0012" w:rsidP="008A15AF"/>
        </w:tc>
        <w:tc>
          <w:tcPr>
            <w:tcW w:w="0" w:type="auto"/>
          </w:tcPr>
          <w:p w:rsidR="009C0012" w:rsidRPr="00EA2CE1" w:rsidRDefault="009C0012" w:rsidP="008A15AF"/>
        </w:tc>
      </w:tr>
      <w:tr w:rsidR="009C0012" w:rsidTr="008A15AF">
        <w:tc>
          <w:tcPr>
            <w:tcW w:w="0" w:type="auto"/>
          </w:tcPr>
          <w:p w:rsidR="009C0012" w:rsidRPr="00EA2CE1" w:rsidRDefault="000F21E2" w:rsidP="00A0449D">
            <w:r>
              <w:t>Ability for detailed consideration of p</w:t>
            </w:r>
            <w:r w:rsidR="009C0012" w:rsidRPr="00EA2CE1">
              <w:t xml:space="preserve">otential </w:t>
            </w:r>
            <w:r>
              <w:t>i</w:t>
            </w:r>
            <w:r w:rsidR="009C0012" w:rsidRPr="00EA2CE1">
              <w:t>mpact</w:t>
            </w:r>
            <w:r w:rsidR="00A0449D">
              <w:t>s</w:t>
            </w:r>
            <w:r w:rsidR="009C0012" w:rsidRPr="00EA2CE1">
              <w:t xml:space="preserve"> of </w:t>
            </w:r>
            <w:r>
              <w:t xml:space="preserve">a </w:t>
            </w:r>
            <w:r w:rsidR="009C0012" w:rsidRPr="00EA2CE1">
              <w:t>development</w:t>
            </w:r>
            <w:r>
              <w:t xml:space="preserve"> </w:t>
            </w:r>
          </w:p>
        </w:tc>
        <w:tc>
          <w:tcPr>
            <w:tcW w:w="0" w:type="auto"/>
          </w:tcPr>
          <w:p w:rsidR="009C0012" w:rsidRPr="00EA2CE1" w:rsidRDefault="009C0012" w:rsidP="008A15AF"/>
        </w:tc>
        <w:tc>
          <w:tcPr>
            <w:tcW w:w="0" w:type="auto"/>
          </w:tcPr>
          <w:p w:rsidR="009C0012" w:rsidRPr="00EA2CE1" w:rsidRDefault="009C0012" w:rsidP="008A15AF"/>
        </w:tc>
        <w:tc>
          <w:tcPr>
            <w:tcW w:w="0" w:type="auto"/>
          </w:tcPr>
          <w:p w:rsidR="009C0012" w:rsidRPr="00EA2CE1" w:rsidRDefault="009C0012" w:rsidP="008A15AF"/>
        </w:tc>
        <w:tc>
          <w:tcPr>
            <w:tcW w:w="0" w:type="auto"/>
          </w:tcPr>
          <w:p w:rsidR="009C0012" w:rsidRPr="00EA2CE1" w:rsidRDefault="009C0012" w:rsidP="008A15AF"/>
        </w:tc>
        <w:tc>
          <w:tcPr>
            <w:tcW w:w="0" w:type="auto"/>
          </w:tcPr>
          <w:p w:rsidR="009C0012" w:rsidRPr="00EA2CE1" w:rsidRDefault="009C0012" w:rsidP="008A15AF"/>
        </w:tc>
      </w:tr>
      <w:tr w:rsidR="009C0012" w:rsidTr="008A15AF">
        <w:tc>
          <w:tcPr>
            <w:tcW w:w="0" w:type="auto"/>
          </w:tcPr>
          <w:p w:rsidR="009C0012" w:rsidRPr="00EA2CE1" w:rsidRDefault="009F5834" w:rsidP="009F5834">
            <w:r>
              <w:t>Ability to consider c</w:t>
            </w:r>
            <w:r w:rsidR="009C0012" w:rsidRPr="00EA2CE1">
              <w:t>omplex issues</w:t>
            </w:r>
          </w:p>
        </w:tc>
        <w:tc>
          <w:tcPr>
            <w:tcW w:w="0" w:type="auto"/>
          </w:tcPr>
          <w:p w:rsidR="009C0012" w:rsidRPr="00EA2CE1" w:rsidRDefault="009C0012" w:rsidP="008A15AF"/>
        </w:tc>
        <w:tc>
          <w:tcPr>
            <w:tcW w:w="0" w:type="auto"/>
          </w:tcPr>
          <w:p w:rsidR="009C0012" w:rsidRPr="00EA2CE1" w:rsidRDefault="009C0012" w:rsidP="008A15AF"/>
        </w:tc>
        <w:tc>
          <w:tcPr>
            <w:tcW w:w="0" w:type="auto"/>
          </w:tcPr>
          <w:p w:rsidR="009C0012" w:rsidRPr="00EA2CE1" w:rsidRDefault="009C0012" w:rsidP="008A15AF"/>
        </w:tc>
        <w:tc>
          <w:tcPr>
            <w:tcW w:w="0" w:type="auto"/>
          </w:tcPr>
          <w:p w:rsidR="009C0012" w:rsidRPr="00EA2CE1" w:rsidRDefault="009C0012" w:rsidP="008A15AF"/>
        </w:tc>
        <w:tc>
          <w:tcPr>
            <w:tcW w:w="0" w:type="auto"/>
          </w:tcPr>
          <w:p w:rsidR="009C0012" w:rsidRPr="00EA2CE1" w:rsidRDefault="009C0012" w:rsidP="008A15AF"/>
        </w:tc>
      </w:tr>
      <w:tr w:rsidR="009C0012" w:rsidTr="008A15AF">
        <w:tc>
          <w:tcPr>
            <w:tcW w:w="0" w:type="auto"/>
          </w:tcPr>
          <w:p w:rsidR="009C0012" w:rsidRPr="00EA2CE1" w:rsidRDefault="009F5834" w:rsidP="009F5834">
            <w:r>
              <w:t>Ability of local community to be heard</w:t>
            </w:r>
          </w:p>
        </w:tc>
        <w:tc>
          <w:tcPr>
            <w:tcW w:w="0" w:type="auto"/>
          </w:tcPr>
          <w:p w:rsidR="009C0012" w:rsidRPr="00EA2CE1" w:rsidRDefault="009C0012" w:rsidP="008A15AF"/>
        </w:tc>
        <w:tc>
          <w:tcPr>
            <w:tcW w:w="0" w:type="auto"/>
          </w:tcPr>
          <w:p w:rsidR="009C0012" w:rsidRPr="00EA2CE1" w:rsidRDefault="009C0012" w:rsidP="008A15AF"/>
        </w:tc>
        <w:tc>
          <w:tcPr>
            <w:tcW w:w="0" w:type="auto"/>
          </w:tcPr>
          <w:p w:rsidR="009C0012" w:rsidRPr="00EA2CE1" w:rsidRDefault="009C0012" w:rsidP="008A15AF"/>
        </w:tc>
        <w:tc>
          <w:tcPr>
            <w:tcW w:w="0" w:type="auto"/>
          </w:tcPr>
          <w:p w:rsidR="009C0012" w:rsidRPr="00EA2CE1" w:rsidRDefault="009C0012" w:rsidP="008A15AF"/>
        </w:tc>
        <w:tc>
          <w:tcPr>
            <w:tcW w:w="0" w:type="auto"/>
          </w:tcPr>
          <w:p w:rsidR="009C0012" w:rsidRPr="00EA2CE1" w:rsidRDefault="009C0012" w:rsidP="008A15AF"/>
        </w:tc>
      </w:tr>
      <w:tr w:rsidR="009C0012" w:rsidTr="008A15AF">
        <w:tc>
          <w:tcPr>
            <w:tcW w:w="0" w:type="auto"/>
          </w:tcPr>
          <w:p w:rsidR="009C0012" w:rsidRPr="00EA2CE1" w:rsidRDefault="009C0012" w:rsidP="008A15AF">
            <w:r w:rsidRPr="00EA2CE1">
              <w:t>Other</w:t>
            </w:r>
            <w:r w:rsidR="00E1487D">
              <w:t xml:space="preserve"> factor</w:t>
            </w:r>
            <w:r w:rsidR="00B65D88">
              <w:t xml:space="preserve">(s) </w:t>
            </w:r>
            <w:r w:rsidRPr="00EA2CE1">
              <w:t xml:space="preserve"> - please specify _________</w:t>
            </w:r>
          </w:p>
        </w:tc>
        <w:tc>
          <w:tcPr>
            <w:tcW w:w="0" w:type="auto"/>
          </w:tcPr>
          <w:p w:rsidR="009C0012" w:rsidRPr="00EA2CE1" w:rsidRDefault="009C0012" w:rsidP="008A15AF"/>
        </w:tc>
        <w:tc>
          <w:tcPr>
            <w:tcW w:w="0" w:type="auto"/>
          </w:tcPr>
          <w:p w:rsidR="009C0012" w:rsidRPr="00EA2CE1" w:rsidRDefault="009C0012" w:rsidP="008A15AF"/>
        </w:tc>
        <w:tc>
          <w:tcPr>
            <w:tcW w:w="0" w:type="auto"/>
          </w:tcPr>
          <w:p w:rsidR="009C0012" w:rsidRPr="00EA2CE1" w:rsidRDefault="009C0012" w:rsidP="008A15AF"/>
        </w:tc>
        <w:tc>
          <w:tcPr>
            <w:tcW w:w="0" w:type="auto"/>
          </w:tcPr>
          <w:p w:rsidR="009C0012" w:rsidRPr="00EA2CE1" w:rsidRDefault="009C0012" w:rsidP="008A15AF"/>
        </w:tc>
        <w:tc>
          <w:tcPr>
            <w:tcW w:w="0" w:type="auto"/>
          </w:tcPr>
          <w:p w:rsidR="009C0012" w:rsidRPr="00EA2CE1" w:rsidRDefault="009C0012" w:rsidP="008A15AF"/>
        </w:tc>
      </w:tr>
    </w:tbl>
    <w:p w:rsidR="00280557" w:rsidRDefault="00280557">
      <w:pPr>
        <w:rPr>
          <w:b/>
        </w:rPr>
      </w:pPr>
    </w:p>
    <w:p w:rsidR="00245305" w:rsidRPr="001257CF" w:rsidRDefault="009B2959" w:rsidP="009B2959">
      <w:pPr>
        <w:pStyle w:val="ListParagraph"/>
        <w:numPr>
          <w:ilvl w:val="0"/>
          <w:numId w:val="2"/>
        </w:numPr>
        <w:ind w:left="0" w:firstLine="426"/>
        <w:rPr>
          <w:b/>
        </w:rPr>
      </w:pPr>
      <w:r w:rsidRPr="00245E02">
        <w:rPr>
          <w:b/>
        </w:rPr>
        <w:t>What aspects of the current inquiry process work well?</w:t>
      </w:r>
      <w:r w:rsidRPr="001257CF">
        <w:rPr>
          <w:b/>
        </w:rPr>
        <w:br/>
      </w:r>
    </w:p>
    <w:tbl>
      <w:tblPr>
        <w:tblStyle w:val="TableGrid"/>
        <w:tblW w:w="0" w:type="auto"/>
        <w:tblInd w:w="426" w:type="dxa"/>
        <w:tblLook w:val="04A0" w:firstRow="1" w:lastRow="0" w:firstColumn="1" w:lastColumn="0" w:noHBand="0" w:noVBand="1"/>
      </w:tblPr>
      <w:tblGrid>
        <w:gridCol w:w="8816"/>
      </w:tblGrid>
      <w:tr w:rsidR="00245305" w:rsidTr="00245305">
        <w:tc>
          <w:tcPr>
            <w:tcW w:w="9242" w:type="dxa"/>
          </w:tcPr>
          <w:p w:rsidR="00226633" w:rsidRDefault="00226633" w:rsidP="00245305">
            <w:pPr>
              <w:pStyle w:val="ListParagraph"/>
              <w:ind w:left="0"/>
              <w:rPr>
                <w:b/>
              </w:rPr>
            </w:pPr>
          </w:p>
        </w:tc>
      </w:tr>
    </w:tbl>
    <w:p w:rsidR="009B2959" w:rsidRPr="009B2959" w:rsidRDefault="009B2959" w:rsidP="00BD1EA2">
      <w:pPr>
        <w:pStyle w:val="ListParagraph"/>
        <w:ind w:left="426"/>
        <w:rPr>
          <w:b/>
        </w:rPr>
      </w:pPr>
      <w:r>
        <w:rPr>
          <w:b/>
        </w:rPr>
        <w:br/>
      </w:r>
    </w:p>
    <w:p w:rsidR="00AE5D8B" w:rsidRDefault="00AE5D8B" w:rsidP="00362B01">
      <w:pPr>
        <w:pStyle w:val="ListParagraph"/>
        <w:numPr>
          <w:ilvl w:val="0"/>
          <w:numId w:val="2"/>
        </w:numPr>
        <w:ind w:left="709"/>
      </w:pPr>
      <w:r w:rsidRPr="00245E02">
        <w:rPr>
          <w:b/>
        </w:rPr>
        <w:t>Wh</w:t>
      </w:r>
      <w:r w:rsidR="00E1487D" w:rsidRPr="00245E02">
        <w:rPr>
          <w:b/>
        </w:rPr>
        <w:t>at</w:t>
      </w:r>
      <w:r w:rsidRPr="00245E02">
        <w:rPr>
          <w:b/>
        </w:rPr>
        <w:t xml:space="preserve"> aspects of the current inquiry process don’t work well?</w:t>
      </w:r>
      <w:r>
        <w:br/>
      </w:r>
      <w:r w:rsidR="009B2959" w:rsidRPr="00362B01">
        <w:rPr>
          <w:i/>
          <w:sz w:val="22"/>
          <w:szCs w:val="22"/>
        </w:rPr>
        <w:br/>
      </w:r>
      <w:r w:rsidRPr="00362B01">
        <w:rPr>
          <w:i/>
          <w:sz w:val="22"/>
          <w:szCs w:val="22"/>
        </w:rPr>
        <w:t>NB in the next section</w:t>
      </w:r>
      <w:r w:rsidR="00E1487D" w:rsidRPr="00362B01">
        <w:rPr>
          <w:i/>
          <w:sz w:val="22"/>
          <w:szCs w:val="22"/>
        </w:rPr>
        <w:t xml:space="preserve"> of th</w:t>
      </w:r>
      <w:r w:rsidR="009D2F38" w:rsidRPr="00362B01">
        <w:rPr>
          <w:i/>
          <w:sz w:val="22"/>
          <w:szCs w:val="22"/>
        </w:rPr>
        <w:t>e</w:t>
      </w:r>
      <w:r w:rsidR="00E1487D" w:rsidRPr="00362B01">
        <w:rPr>
          <w:i/>
          <w:sz w:val="22"/>
          <w:szCs w:val="22"/>
        </w:rPr>
        <w:t xml:space="preserve"> questionnaire</w:t>
      </w:r>
      <w:r w:rsidRPr="00362B01">
        <w:rPr>
          <w:i/>
          <w:sz w:val="22"/>
          <w:szCs w:val="22"/>
        </w:rPr>
        <w:t xml:space="preserve"> we look at each stage in the process in turn</w:t>
      </w:r>
      <w:r w:rsidR="00E1487D" w:rsidRPr="00362B01">
        <w:rPr>
          <w:i/>
          <w:sz w:val="22"/>
          <w:szCs w:val="22"/>
        </w:rPr>
        <w:t>,</w:t>
      </w:r>
      <w:r w:rsidRPr="00362B01">
        <w:rPr>
          <w:i/>
          <w:sz w:val="22"/>
          <w:szCs w:val="22"/>
        </w:rPr>
        <w:t xml:space="preserve"> so if your concern is about process then it may be easier to make the point below.</w:t>
      </w:r>
    </w:p>
    <w:tbl>
      <w:tblPr>
        <w:tblStyle w:val="TableGrid"/>
        <w:tblW w:w="0" w:type="auto"/>
        <w:tblLook w:val="04A0" w:firstRow="1" w:lastRow="0" w:firstColumn="1" w:lastColumn="0" w:noHBand="0" w:noVBand="1"/>
      </w:tblPr>
      <w:tblGrid>
        <w:gridCol w:w="9242"/>
      </w:tblGrid>
      <w:tr w:rsidR="00245305" w:rsidTr="00245305">
        <w:tc>
          <w:tcPr>
            <w:tcW w:w="9242" w:type="dxa"/>
          </w:tcPr>
          <w:p w:rsidR="00245305" w:rsidRDefault="00245305" w:rsidP="00362B01"/>
        </w:tc>
      </w:tr>
    </w:tbl>
    <w:p w:rsidR="00245305" w:rsidRDefault="00245305" w:rsidP="00245E02">
      <w:pPr>
        <w:pStyle w:val="ListParagraph"/>
        <w:ind w:left="426"/>
      </w:pPr>
    </w:p>
    <w:p w:rsidR="005A7607" w:rsidRPr="001257CF" w:rsidRDefault="00CB61AB" w:rsidP="00245E02">
      <w:pPr>
        <w:pStyle w:val="ListParagraph"/>
        <w:numPr>
          <w:ilvl w:val="0"/>
          <w:numId w:val="2"/>
        </w:numPr>
        <w:ind w:left="0" w:firstLine="426"/>
        <w:rPr>
          <w:b/>
          <w:u w:val="single"/>
        </w:rPr>
      </w:pPr>
      <w:r w:rsidRPr="00245E02">
        <w:rPr>
          <w:b/>
        </w:rPr>
        <w:t>In your experience, a</w:t>
      </w:r>
      <w:r w:rsidR="004A77C3" w:rsidRPr="00245E02">
        <w:rPr>
          <w:b/>
        </w:rPr>
        <w:t xml:space="preserve">re the right </w:t>
      </w:r>
      <w:r w:rsidR="00362B01" w:rsidRPr="00245E02">
        <w:rPr>
          <w:b/>
        </w:rPr>
        <w:t>appeals subject to</w:t>
      </w:r>
      <w:r w:rsidR="004A77C3" w:rsidRPr="00245E02">
        <w:rPr>
          <w:b/>
        </w:rPr>
        <w:t xml:space="preserve"> an inquiry, rather than written representations or hearings?</w:t>
      </w:r>
      <w:r w:rsidR="004A77C3">
        <w:t xml:space="preserve"> </w:t>
      </w:r>
      <w:r w:rsidR="004A77C3">
        <w:br/>
      </w:r>
      <w:r w:rsidR="004A77C3">
        <w:br/>
      </w:r>
      <w:r w:rsidR="004A77C3" w:rsidRPr="00245E02">
        <w:rPr>
          <w:i/>
          <w:sz w:val="22"/>
          <w:szCs w:val="22"/>
        </w:rPr>
        <w:t xml:space="preserve">NB  the criteria the Planning Inspectorate take into account for determining the appeal procedure are set out in Annex K of the Planning Appeals Procedural Guide </w:t>
      </w:r>
      <w:r w:rsidR="001D7E66" w:rsidRPr="00245E02">
        <w:rPr>
          <w:i/>
          <w:sz w:val="22"/>
          <w:szCs w:val="22"/>
        </w:rPr>
        <w:t>(</w:t>
      </w:r>
      <w:hyperlink r:id="rId11" w:history="1">
        <w:r w:rsidR="001D7E66" w:rsidRPr="001257CF">
          <w:rPr>
            <w:rStyle w:val="Hyperlink"/>
            <w:i/>
            <w:sz w:val="22"/>
            <w:szCs w:val="22"/>
          </w:rPr>
          <w:t>https://www.gov.uk/government/publications/planning-appeals-procedural-guide</w:t>
        </w:r>
      </w:hyperlink>
      <w:r w:rsidR="001D7E66" w:rsidRPr="00245E02">
        <w:rPr>
          <w:i/>
          <w:sz w:val="22"/>
          <w:szCs w:val="22"/>
        </w:rPr>
        <w:t>)</w:t>
      </w:r>
    </w:p>
    <w:tbl>
      <w:tblPr>
        <w:tblStyle w:val="TableGrid"/>
        <w:tblW w:w="0" w:type="auto"/>
        <w:jc w:val="center"/>
        <w:tblLook w:val="04A0" w:firstRow="1" w:lastRow="0" w:firstColumn="1" w:lastColumn="0" w:noHBand="0" w:noVBand="1"/>
      </w:tblPr>
      <w:tblGrid>
        <w:gridCol w:w="1848"/>
        <w:gridCol w:w="1849"/>
      </w:tblGrid>
      <w:tr w:rsidR="00FD6730" w:rsidRPr="001D7E66" w:rsidTr="00245E02">
        <w:trPr>
          <w:jc w:val="center"/>
        </w:trPr>
        <w:tc>
          <w:tcPr>
            <w:tcW w:w="1848" w:type="dxa"/>
          </w:tcPr>
          <w:p w:rsidR="00FD6730" w:rsidRPr="001D7E66" w:rsidRDefault="00FD6730" w:rsidP="005A7607">
            <w:r w:rsidRPr="001D7E66">
              <w:t xml:space="preserve">Yes </w:t>
            </w:r>
          </w:p>
        </w:tc>
        <w:tc>
          <w:tcPr>
            <w:tcW w:w="1849" w:type="dxa"/>
          </w:tcPr>
          <w:p w:rsidR="00FD6730" w:rsidRPr="001D7E66" w:rsidRDefault="00FD6730" w:rsidP="00E56F5E">
            <w:r w:rsidRPr="001D7E66">
              <w:t>No</w:t>
            </w:r>
          </w:p>
        </w:tc>
      </w:tr>
      <w:tr w:rsidR="00FD6730" w:rsidRPr="001D7E66" w:rsidTr="00245E02">
        <w:trPr>
          <w:jc w:val="center"/>
        </w:trPr>
        <w:tc>
          <w:tcPr>
            <w:tcW w:w="1848" w:type="dxa"/>
          </w:tcPr>
          <w:p w:rsidR="00FD6730" w:rsidRPr="001D7E66" w:rsidRDefault="00FD6730" w:rsidP="00E56F5E"/>
        </w:tc>
        <w:tc>
          <w:tcPr>
            <w:tcW w:w="1849" w:type="dxa"/>
          </w:tcPr>
          <w:p w:rsidR="00FD6730" w:rsidRPr="001D7E66" w:rsidRDefault="00FD6730" w:rsidP="00E56F5E"/>
        </w:tc>
      </w:tr>
    </w:tbl>
    <w:p w:rsidR="0088496B" w:rsidRDefault="0088496B" w:rsidP="005A7607">
      <w:pPr>
        <w:pStyle w:val="ListParagraph"/>
        <w:rPr>
          <w:b/>
        </w:rPr>
      </w:pPr>
    </w:p>
    <w:p w:rsidR="00245305" w:rsidRPr="008427F3" w:rsidRDefault="0088496B" w:rsidP="005A7607">
      <w:pPr>
        <w:pStyle w:val="ListParagraph"/>
      </w:pPr>
      <w:r w:rsidRPr="008427F3">
        <w:lastRenderedPageBreak/>
        <w:t>Comments</w:t>
      </w:r>
      <w:r w:rsidR="005A7607" w:rsidRPr="008427F3" w:rsidDel="005A7607">
        <w:t xml:space="preserve"> </w:t>
      </w:r>
    </w:p>
    <w:tbl>
      <w:tblPr>
        <w:tblStyle w:val="TableGrid"/>
        <w:tblW w:w="0" w:type="auto"/>
        <w:tblInd w:w="720" w:type="dxa"/>
        <w:tblLook w:val="04A0" w:firstRow="1" w:lastRow="0" w:firstColumn="1" w:lastColumn="0" w:noHBand="0" w:noVBand="1"/>
      </w:tblPr>
      <w:tblGrid>
        <w:gridCol w:w="8522"/>
      </w:tblGrid>
      <w:tr w:rsidR="00245305" w:rsidTr="00245305">
        <w:tc>
          <w:tcPr>
            <w:tcW w:w="9242" w:type="dxa"/>
          </w:tcPr>
          <w:p w:rsidR="00245305" w:rsidRDefault="00245305" w:rsidP="005A7607">
            <w:pPr>
              <w:pStyle w:val="ListParagraph"/>
              <w:ind w:left="0"/>
              <w:rPr>
                <w:b/>
                <w:u w:val="single"/>
              </w:rPr>
            </w:pPr>
          </w:p>
        </w:tc>
      </w:tr>
    </w:tbl>
    <w:p w:rsidR="004A77C3" w:rsidRPr="00362B01" w:rsidRDefault="004A77C3" w:rsidP="005A7607">
      <w:pPr>
        <w:pStyle w:val="ListParagraph"/>
        <w:rPr>
          <w:b/>
          <w:u w:val="single"/>
        </w:rPr>
      </w:pPr>
    </w:p>
    <w:p w:rsidR="004A77C3" w:rsidRPr="004A77C3" w:rsidRDefault="004A77C3" w:rsidP="00362B01">
      <w:pPr>
        <w:pStyle w:val="ListParagraph"/>
        <w:rPr>
          <w:b/>
          <w:u w:val="single"/>
        </w:rPr>
      </w:pPr>
      <w:r w:rsidRPr="004A77C3">
        <w:rPr>
          <w:b/>
          <w:u w:val="single"/>
        </w:rPr>
        <w:t>IMPROVING EACH STAGE IN THE PROCESS</w:t>
      </w:r>
      <w:r w:rsidRPr="004A77C3">
        <w:rPr>
          <w:b/>
          <w:u w:val="single"/>
        </w:rPr>
        <w:br/>
      </w:r>
    </w:p>
    <w:p w:rsidR="00B13367" w:rsidRPr="003D71C6" w:rsidRDefault="001B6AF6" w:rsidP="003D71C6">
      <w:pPr>
        <w:pStyle w:val="ListParagraph"/>
        <w:numPr>
          <w:ilvl w:val="0"/>
          <w:numId w:val="2"/>
        </w:numPr>
        <w:ind w:left="720"/>
      </w:pPr>
      <w:r>
        <w:rPr>
          <w:b/>
        </w:rPr>
        <w:t>Receipt to</w:t>
      </w:r>
      <w:r w:rsidRPr="001B6AF6">
        <w:rPr>
          <w:b/>
        </w:rPr>
        <w:t xml:space="preserve"> valid</w:t>
      </w:r>
      <w:r>
        <w:t xml:space="preserve">. </w:t>
      </w:r>
      <w:r w:rsidR="005456B7">
        <w:t xml:space="preserve"> On receipt of an appeal, the Planning Inspectorate undertake</w:t>
      </w:r>
      <w:r w:rsidR="00AE5D8B">
        <w:t xml:space="preserve"> a check to ensure</w:t>
      </w:r>
      <w:r w:rsidR="00A0449D">
        <w:t xml:space="preserve"> that</w:t>
      </w:r>
      <w:r w:rsidR="00AE5D8B">
        <w:t xml:space="preserve"> </w:t>
      </w:r>
      <w:r>
        <w:t>all the relevant documents</w:t>
      </w:r>
      <w:r w:rsidR="00AE5D8B">
        <w:t xml:space="preserve"> have been submitted. Many appeals are complete on submission</w:t>
      </w:r>
      <w:r w:rsidR="005456B7">
        <w:t xml:space="preserve"> and thus the process of checking is completed within a day. H</w:t>
      </w:r>
      <w:r w:rsidR="00AE5D8B">
        <w:t xml:space="preserve">owever </w:t>
      </w:r>
      <w:r w:rsidR="005456B7">
        <w:t xml:space="preserve">in </w:t>
      </w:r>
      <w:r w:rsidR="00AE5D8B">
        <w:t>a significant number of cases</w:t>
      </w:r>
      <w:r w:rsidR="005456B7">
        <w:t xml:space="preserve">, </w:t>
      </w:r>
      <w:r w:rsidR="00AE5D8B">
        <w:t>some information is missing</w:t>
      </w:r>
      <w:r w:rsidR="005456B7">
        <w:t xml:space="preserve"> on receipt. In these cases, the Planning Inspectorate will contact the appellant to request the missing material.</w:t>
      </w:r>
      <w:r w:rsidR="00A0449D">
        <w:br/>
      </w:r>
      <w:r w:rsidR="00A0449D">
        <w:br/>
      </w:r>
      <w:r w:rsidR="00676830">
        <w:t xml:space="preserve">The time taken for all </w:t>
      </w:r>
      <w:r w:rsidR="00A0449D">
        <w:t xml:space="preserve">inquiry </w:t>
      </w:r>
      <w:r>
        <w:t xml:space="preserve">appeals </w:t>
      </w:r>
      <w:r w:rsidR="00676830">
        <w:t xml:space="preserve">from </w:t>
      </w:r>
      <w:r>
        <w:t>receipt to</w:t>
      </w:r>
      <w:r w:rsidR="009D2F38">
        <w:t xml:space="preserve"> being</w:t>
      </w:r>
      <w:r>
        <w:t xml:space="preserve"> valid was an</w:t>
      </w:r>
      <w:r w:rsidR="00631EA0">
        <w:t xml:space="preserve"> average of 4.</w:t>
      </w:r>
      <w:r w:rsidR="000F558C">
        <w:t>5</w:t>
      </w:r>
      <w:r w:rsidR="00631EA0">
        <w:t xml:space="preserve"> weeks in 2017-18. </w:t>
      </w:r>
      <w:r w:rsidR="009638EA" w:rsidRPr="00245E02">
        <w:rPr>
          <w:b/>
        </w:rPr>
        <w:t xml:space="preserve">Could the </w:t>
      </w:r>
      <w:r w:rsidRPr="00245E02">
        <w:rPr>
          <w:b/>
        </w:rPr>
        <w:t xml:space="preserve">receipt to </w:t>
      </w:r>
      <w:r w:rsidR="009638EA" w:rsidRPr="00245E02">
        <w:rPr>
          <w:b/>
        </w:rPr>
        <w:t>valid stage be improved?</w:t>
      </w:r>
      <w:r w:rsidR="009638EA" w:rsidRPr="003D71C6">
        <w:t xml:space="preserve"> </w:t>
      </w:r>
    </w:p>
    <w:tbl>
      <w:tblPr>
        <w:tblStyle w:val="TableGrid"/>
        <w:tblW w:w="0" w:type="auto"/>
        <w:jc w:val="center"/>
        <w:tblLook w:val="04A0" w:firstRow="1" w:lastRow="0" w:firstColumn="1" w:lastColumn="0" w:noHBand="0" w:noVBand="1"/>
      </w:tblPr>
      <w:tblGrid>
        <w:gridCol w:w="1848"/>
        <w:gridCol w:w="1848"/>
        <w:gridCol w:w="1848"/>
        <w:gridCol w:w="1849"/>
      </w:tblGrid>
      <w:tr w:rsidR="009638EA" w:rsidRPr="001D7E66" w:rsidTr="00245E02">
        <w:trPr>
          <w:jc w:val="center"/>
        </w:trPr>
        <w:tc>
          <w:tcPr>
            <w:tcW w:w="1848" w:type="dxa"/>
          </w:tcPr>
          <w:p w:rsidR="009638EA" w:rsidRPr="001D7E66" w:rsidRDefault="009638EA" w:rsidP="007012D2"/>
        </w:tc>
        <w:tc>
          <w:tcPr>
            <w:tcW w:w="1848" w:type="dxa"/>
          </w:tcPr>
          <w:p w:rsidR="009638EA" w:rsidRPr="001D7E66" w:rsidRDefault="009638EA" w:rsidP="007012D2">
            <w:r w:rsidRPr="001D7E66">
              <w:t>Yes – a lot</w:t>
            </w:r>
          </w:p>
        </w:tc>
        <w:tc>
          <w:tcPr>
            <w:tcW w:w="1848" w:type="dxa"/>
          </w:tcPr>
          <w:p w:rsidR="009638EA" w:rsidRPr="001D7E66" w:rsidRDefault="009638EA" w:rsidP="009638EA">
            <w:r w:rsidRPr="001D7E66">
              <w:t>Yes, but not much</w:t>
            </w:r>
          </w:p>
        </w:tc>
        <w:tc>
          <w:tcPr>
            <w:tcW w:w="1849" w:type="dxa"/>
          </w:tcPr>
          <w:p w:rsidR="009638EA" w:rsidRPr="001D7E66" w:rsidRDefault="009638EA" w:rsidP="007012D2">
            <w:r w:rsidRPr="001D7E66">
              <w:t>No</w:t>
            </w:r>
          </w:p>
        </w:tc>
      </w:tr>
      <w:tr w:rsidR="009638EA" w:rsidRPr="001D7E66" w:rsidTr="00245E02">
        <w:trPr>
          <w:jc w:val="center"/>
        </w:trPr>
        <w:tc>
          <w:tcPr>
            <w:tcW w:w="1848" w:type="dxa"/>
          </w:tcPr>
          <w:p w:rsidR="009638EA" w:rsidRPr="001D7E66" w:rsidRDefault="009638EA" w:rsidP="007012D2">
            <w:r w:rsidRPr="001D7E66">
              <w:t>Tick as appropriate</w:t>
            </w:r>
          </w:p>
        </w:tc>
        <w:tc>
          <w:tcPr>
            <w:tcW w:w="1848" w:type="dxa"/>
          </w:tcPr>
          <w:p w:rsidR="009638EA" w:rsidRPr="001D7E66" w:rsidRDefault="009638EA" w:rsidP="007012D2"/>
        </w:tc>
        <w:tc>
          <w:tcPr>
            <w:tcW w:w="1848" w:type="dxa"/>
          </w:tcPr>
          <w:p w:rsidR="009638EA" w:rsidRPr="001D7E66" w:rsidRDefault="009638EA" w:rsidP="007012D2"/>
        </w:tc>
        <w:tc>
          <w:tcPr>
            <w:tcW w:w="1849" w:type="dxa"/>
          </w:tcPr>
          <w:p w:rsidR="009638EA" w:rsidRPr="001D7E66" w:rsidRDefault="009638EA" w:rsidP="007012D2"/>
        </w:tc>
      </w:tr>
    </w:tbl>
    <w:p w:rsidR="001D7E66" w:rsidRDefault="001D7E66" w:rsidP="007012D2">
      <w:pPr>
        <w:rPr>
          <w:u w:val="single"/>
        </w:rPr>
      </w:pPr>
    </w:p>
    <w:p w:rsidR="00B13367" w:rsidRPr="001D7E66" w:rsidRDefault="009638EA" w:rsidP="007012D2">
      <w:r w:rsidRPr="001D7E66">
        <w:t>If yes, please explain how</w:t>
      </w:r>
      <w:r w:rsidR="00212013">
        <w:t xml:space="preserve"> it could be improved</w:t>
      </w:r>
    </w:p>
    <w:tbl>
      <w:tblPr>
        <w:tblStyle w:val="TableGrid"/>
        <w:tblW w:w="0" w:type="auto"/>
        <w:tblLook w:val="04A0" w:firstRow="1" w:lastRow="0" w:firstColumn="1" w:lastColumn="0" w:noHBand="0" w:noVBand="1"/>
      </w:tblPr>
      <w:tblGrid>
        <w:gridCol w:w="9242"/>
      </w:tblGrid>
      <w:tr w:rsidR="00245305" w:rsidTr="00245305">
        <w:tc>
          <w:tcPr>
            <w:tcW w:w="9242" w:type="dxa"/>
          </w:tcPr>
          <w:p w:rsidR="00245305" w:rsidRDefault="00245305" w:rsidP="007012D2">
            <w:pPr>
              <w:rPr>
                <w:u w:val="single"/>
              </w:rPr>
            </w:pPr>
          </w:p>
        </w:tc>
      </w:tr>
    </w:tbl>
    <w:p w:rsidR="009638EA" w:rsidRDefault="009638EA" w:rsidP="007012D2">
      <w:pPr>
        <w:rPr>
          <w:u w:val="single"/>
        </w:rPr>
      </w:pPr>
    </w:p>
    <w:p w:rsidR="00A0449D" w:rsidRDefault="00631EA0" w:rsidP="003D71C6">
      <w:pPr>
        <w:pStyle w:val="ListParagraph"/>
        <w:numPr>
          <w:ilvl w:val="0"/>
          <w:numId w:val="2"/>
        </w:numPr>
        <w:ind w:left="720"/>
      </w:pPr>
      <w:r w:rsidRPr="003D71C6">
        <w:rPr>
          <w:b/>
        </w:rPr>
        <w:t>Valid to start date</w:t>
      </w:r>
      <w:r w:rsidR="001B6AF6" w:rsidRPr="003D71C6">
        <w:t>.</w:t>
      </w:r>
      <w:r w:rsidR="001B6AF6">
        <w:rPr>
          <w:b/>
        </w:rPr>
        <w:t xml:space="preserve"> </w:t>
      </w:r>
      <w:r w:rsidR="00814669">
        <w:t>T</w:t>
      </w:r>
      <w:r w:rsidR="001B6AF6">
        <w:t>his stage includes</w:t>
      </w:r>
      <w:r w:rsidR="00814669">
        <w:t xml:space="preserve"> the Planning Inspectorate </w:t>
      </w:r>
      <w:r w:rsidR="009D2F38">
        <w:t xml:space="preserve">confirming </w:t>
      </w:r>
      <w:r w:rsidR="00A0449D">
        <w:t>whether</w:t>
      </w:r>
      <w:r w:rsidR="00814669">
        <w:t xml:space="preserve"> the inquiry process is the appropriate </w:t>
      </w:r>
      <w:r w:rsidR="00A0449D">
        <w:t xml:space="preserve">appeal </w:t>
      </w:r>
      <w:r w:rsidR="00814669">
        <w:t>procedure</w:t>
      </w:r>
      <w:r w:rsidR="00A0449D">
        <w:t xml:space="preserve"> to use</w:t>
      </w:r>
      <w:r w:rsidR="00814669">
        <w:t xml:space="preserve"> (following consultation with the local planning authority), </w:t>
      </w:r>
      <w:r w:rsidR="001B6AF6">
        <w:t xml:space="preserve">setting up the file, and </w:t>
      </w:r>
      <w:r w:rsidR="00B112A1">
        <w:t xml:space="preserve">preparing </w:t>
      </w:r>
      <w:r w:rsidR="001B6AF6">
        <w:t xml:space="preserve">the </w:t>
      </w:r>
      <w:r w:rsidR="00B112A1">
        <w:t>“start letter”</w:t>
      </w:r>
      <w:r w:rsidR="00814669">
        <w:t xml:space="preserve"> which explains how the inquiry process will proceed</w:t>
      </w:r>
      <w:r w:rsidR="001B6AF6">
        <w:t>.</w:t>
      </w:r>
      <w:r w:rsidR="00B112A1">
        <w:t xml:space="preserve"> The issue date of the start letter</w:t>
      </w:r>
      <w:r w:rsidR="00814669">
        <w:t xml:space="preserve"> is important</w:t>
      </w:r>
      <w:r w:rsidR="00071331">
        <w:t xml:space="preserve"> in terms of the overall programme of the appeal</w:t>
      </w:r>
      <w:r w:rsidR="00B112A1">
        <w:t>.</w:t>
      </w:r>
      <w:r w:rsidR="001B6AF6">
        <w:t xml:space="preserve"> </w:t>
      </w:r>
    </w:p>
    <w:p w:rsidR="00690399" w:rsidRPr="003A60B9" w:rsidRDefault="00A0449D" w:rsidP="00A0449D">
      <w:pPr>
        <w:pStyle w:val="ListParagraph"/>
      </w:pPr>
      <w:r>
        <w:rPr>
          <w:b/>
        </w:rPr>
        <w:br/>
      </w:r>
      <w:r w:rsidR="00631EA0">
        <w:t xml:space="preserve">This stage took an average of </w:t>
      </w:r>
      <w:r w:rsidR="000F558C">
        <w:t>2.7</w:t>
      </w:r>
      <w:r w:rsidR="00631EA0">
        <w:t xml:space="preserve"> weeks in 2017-18. </w:t>
      </w:r>
      <w:r w:rsidR="00690399" w:rsidRPr="00245E02">
        <w:rPr>
          <w:b/>
        </w:rPr>
        <w:t xml:space="preserve">Could the valid </w:t>
      </w:r>
      <w:r w:rsidR="00631EA0" w:rsidRPr="00245E02">
        <w:rPr>
          <w:b/>
        </w:rPr>
        <w:t xml:space="preserve">to start </w:t>
      </w:r>
      <w:r w:rsidR="00690399" w:rsidRPr="00245E02">
        <w:rPr>
          <w:b/>
        </w:rPr>
        <w:t>stage be improved?</w:t>
      </w:r>
      <w:r w:rsidR="00690399" w:rsidRPr="003A60B9">
        <w:t xml:space="preserve"> </w:t>
      </w:r>
    </w:p>
    <w:tbl>
      <w:tblPr>
        <w:tblStyle w:val="TableGrid"/>
        <w:tblW w:w="0" w:type="auto"/>
        <w:jc w:val="center"/>
        <w:tblLook w:val="04A0" w:firstRow="1" w:lastRow="0" w:firstColumn="1" w:lastColumn="0" w:noHBand="0" w:noVBand="1"/>
      </w:tblPr>
      <w:tblGrid>
        <w:gridCol w:w="1848"/>
        <w:gridCol w:w="1848"/>
        <w:gridCol w:w="1848"/>
        <w:gridCol w:w="1849"/>
      </w:tblGrid>
      <w:tr w:rsidR="00690399" w:rsidRPr="001D7E66" w:rsidTr="00245E02">
        <w:trPr>
          <w:jc w:val="center"/>
        </w:trPr>
        <w:tc>
          <w:tcPr>
            <w:tcW w:w="1848" w:type="dxa"/>
          </w:tcPr>
          <w:p w:rsidR="00690399" w:rsidRPr="001D7E66" w:rsidRDefault="00690399" w:rsidP="003A60B9"/>
        </w:tc>
        <w:tc>
          <w:tcPr>
            <w:tcW w:w="1848" w:type="dxa"/>
          </w:tcPr>
          <w:p w:rsidR="00690399" w:rsidRPr="001D7E66" w:rsidRDefault="00690399" w:rsidP="003A60B9">
            <w:r w:rsidRPr="001D7E66">
              <w:t>Yes – a lot</w:t>
            </w:r>
          </w:p>
        </w:tc>
        <w:tc>
          <w:tcPr>
            <w:tcW w:w="1848" w:type="dxa"/>
          </w:tcPr>
          <w:p w:rsidR="00690399" w:rsidRPr="001D7E66" w:rsidRDefault="00690399" w:rsidP="003A60B9">
            <w:r w:rsidRPr="001D7E66">
              <w:t>Yes, but not much</w:t>
            </w:r>
          </w:p>
        </w:tc>
        <w:tc>
          <w:tcPr>
            <w:tcW w:w="1849" w:type="dxa"/>
          </w:tcPr>
          <w:p w:rsidR="00690399" w:rsidRPr="001D7E66" w:rsidRDefault="00690399" w:rsidP="003A60B9">
            <w:r w:rsidRPr="001D7E66">
              <w:t>No</w:t>
            </w:r>
          </w:p>
        </w:tc>
      </w:tr>
      <w:tr w:rsidR="00690399" w:rsidRPr="001D7E66" w:rsidTr="00245E02">
        <w:trPr>
          <w:jc w:val="center"/>
        </w:trPr>
        <w:tc>
          <w:tcPr>
            <w:tcW w:w="1848" w:type="dxa"/>
          </w:tcPr>
          <w:p w:rsidR="00690399" w:rsidRPr="001D7E66" w:rsidRDefault="00690399" w:rsidP="003A60B9">
            <w:r w:rsidRPr="001D7E66">
              <w:t>Tick as appropriate</w:t>
            </w:r>
          </w:p>
        </w:tc>
        <w:tc>
          <w:tcPr>
            <w:tcW w:w="1848" w:type="dxa"/>
          </w:tcPr>
          <w:p w:rsidR="00690399" w:rsidRPr="001D7E66" w:rsidRDefault="00690399" w:rsidP="003A60B9"/>
        </w:tc>
        <w:tc>
          <w:tcPr>
            <w:tcW w:w="1848" w:type="dxa"/>
          </w:tcPr>
          <w:p w:rsidR="00690399" w:rsidRPr="001D7E66" w:rsidRDefault="00690399" w:rsidP="003A60B9"/>
        </w:tc>
        <w:tc>
          <w:tcPr>
            <w:tcW w:w="1849" w:type="dxa"/>
          </w:tcPr>
          <w:p w:rsidR="00690399" w:rsidRPr="001D7E66" w:rsidRDefault="00690399" w:rsidP="003A60B9"/>
        </w:tc>
      </w:tr>
    </w:tbl>
    <w:p w:rsidR="001D7E66" w:rsidRDefault="001D7E66" w:rsidP="00690399"/>
    <w:p w:rsidR="00690399" w:rsidRPr="001D7E66" w:rsidRDefault="00690399" w:rsidP="00690399">
      <w:r w:rsidRPr="001D7E66">
        <w:t>If yes, please explain how</w:t>
      </w:r>
      <w:r w:rsidR="007C1EC4">
        <w:t xml:space="preserve"> it could be improved</w:t>
      </w:r>
    </w:p>
    <w:tbl>
      <w:tblPr>
        <w:tblStyle w:val="TableGrid"/>
        <w:tblW w:w="0" w:type="auto"/>
        <w:tblLook w:val="04A0" w:firstRow="1" w:lastRow="0" w:firstColumn="1" w:lastColumn="0" w:noHBand="0" w:noVBand="1"/>
      </w:tblPr>
      <w:tblGrid>
        <w:gridCol w:w="9242"/>
      </w:tblGrid>
      <w:tr w:rsidR="00245305" w:rsidTr="00245305">
        <w:tc>
          <w:tcPr>
            <w:tcW w:w="9242" w:type="dxa"/>
          </w:tcPr>
          <w:p w:rsidR="00245305" w:rsidRDefault="00245305" w:rsidP="00690399">
            <w:pPr>
              <w:rPr>
                <w:u w:val="single"/>
              </w:rPr>
            </w:pPr>
          </w:p>
        </w:tc>
      </w:tr>
    </w:tbl>
    <w:p w:rsidR="00690399" w:rsidRDefault="00E1487D" w:rsidP="00690399">
      <w:pPr>
        <w:rPr>
          <w:u w:val="single"/>
        </w:rPr>
      </w:pPr>
      <w:r>
        <w:rPr>
          <w:u w:val="single"/>
        </w:rPr>
        <w:lastRenderedPageBreak/>
        <w:br/>
      </w:r>
    </w:p>
    <w:p w:rsidR="00690399" w:rsidRPr="003A60B9" w:rsidRDefault="00B72DD5" w:rsidP="003D71C6">
      <w:pPr>
        <w:pStyle w:val="ListParagraph"/>
        <w:numPr>
          <w:ilvl w:val="0"/>
          <w:numId w:val="2"/>
        </w:numPr>
        <w:ind w:left="720"/>
      </w:pPr>
      <w:r w:rsidRPr="003D71C6">
        <w:rPr>
          <w:b/>
        </w:rPr>
        <w:t>Start to event</w:t>
      </w:r>
      <w:r>
        <w:t xml:space="preserve">. This </w:t>
      </w:r>
      <w:r w:rsidR="000C4746">
        <w:t xml:space="preserve">stage </w:t>
      </w:r>
      <w:r>
        <w:t>covers the period from the start date to the first date of the inquiry event. It includes the agreeing and setting of the inquiry event dates</w:t>
      </w:r>
      <w:r w:rsidR="00071331">
        <w:t>, the pre-inquiry meeting when one is held</w:t>
      </w:r>
      <w:r>
        <w:t>, and</w:t>
      </w:r>
      <w:r w:rsidR="00071331">
        <w:t xml:space="preserve"> the</w:t>
      </w:r>
      <w:r>
        <w:t xml:space="preserve"> submission of different forms of evidence by all parties. This stage </w:t>
      </w:r>
      <w:r w:rsidR="009D2F38">
        <w:t xml:space="preserve">took </w:t>
      </w:r>
      <w:r>
        <w:t>an average of 29.</w:t>
      </w:r>
      <w:r w:rsidR="000F558C">
        <w:t>4</w:t>
      </w:r>
      <w:r>
        <w:t xml:space="preserve"> weeks in 2017-18.</w:t>
      </w:r>
      <w:r w:rsidR="00690399">
        <w:t xml:space="preserve"> </w:t>
      </w:r>
      <w:r w:rsidR="00690399" w:rsidRPr="00245E02">
        <w:rPr>
          <w:b/>
        </w:rPr>
        <w:t xml:space="preserve">Could the </w:t>
      </w:r>
      <w:r w:rsidRPr="00245E02">
        <w:rPr>
          <w:b/>
        </w:rPr>
        <w:t xml:space="preserve">start to event </w:t>
      </w:r>
      <w:r w:rsidR="00690399" w:rsidRPr="00245E02">
        <w:rPr>
          <w:b/>
        </w:rPr>
        <w:t>stage be improved?</w:t>
      </w:r>
      <w:r w:rsidR="00690399" w:rsidRPr="003A60B9">
        <w:t xml:space="preserve"> </w:t>
      </w:r>
    </w:p>
    <w:tbl>
      <w:tblPr>
        <w:tblStyle w:val="TableGrid"/>
        <w:tblW w:w="0" w:type="auto"/>
        <w:jc w:val="center"/>
        <w:tblLook w:val="04A0" w:firstRow="1" w:lastRow="0" w:firstColumn="1" w:lastColumn="0" w:noHBand="0" w:noVBand="1"/>
      </w:tblPr>
      <w:tblGrid>
        <w:gridCol w:w="1848"/>
        <w:gridCol w:w="1848"/>
        <w:gridCol w:w="1848"/>
        <w:gridCol w:w="1849"/>
      </w:tblGrid>
      <w:tr w:rsidR="00690399" w:rsidRPr="001D7E66" w:rsidTr="00245E02">
        <w:trPr>
          <w:jc w:val="center"/>
        </w:trPr>
        <w:tc>
          <w:tcPr>
            <w:tcW w:w="1848" w:type="dxa"/>
          </w:tcPr>
          <w:p w:rsidR="00690399" w:rsidRPr="001D7E66" w:rsidRDefault="00690399" w:rsidP="003A60B9"/>
        </w:tc>
        <w:tc>
          <w:tcPr>
            <w:tcW w:w="1848" w:type="dxa"/>
          </w:tcPr>
          <w:p w:rsidR="00690399" w:rsidRPr="001D7E66" w:rsidRDefault="00690399" w:rsidP="003A60B9">
            <w:r w:rsidRPr="001D7E66">
              <w:t>Yes – a lot</w:t>
            </w:r>
          </w:p>
        </w:tc>
        <w:tc>
          <w:tcPr>
            <w:tcW w:w="1848" w:type="dxa"/>
          </w:tcPr>
          <w:p w:rsidR="00690399" w:rsidRPr="001D7E66" w:rsidRDefault="00690399" w:rsidP="003A60B9">
            <w:r w:rsidRPr="001D7E66">
              <w:t>Yes, but not much</w:t>
            </w:r>
          </w:p>
        </w:tc>
        <w:tc>
          <w:tcPr>
            <w:tcW w:w="1849" w:type="dxa"/>
          </w:tcPr>
          <w:p w:rsidR="00690399" w:rsidRPr="001D7E66" w:rsidRDefault="00690399" w:rsidP="003A60B9">
            <w:r w:rsidRPr="001D7E66">
              <w:t>No</w:t>
            </w:r>
          </w:p>
        </w:tc>
      </w:tr>
      <w:tr w:rsidR="00690399" w:rsidRPr="001D7E66" w:rsidTr="00245E02">
        <w:trPr>
          <w:jc w:val="center"/>
        </w:trPr>
        <w:tc>
          <w:tcPr>
            <w:tcW w:w="1848" w:type="dxa"/>
          </w:tcPr>
          <w:p w:rsidR="00690399" w:rsidRPr="001D7E66" w:rsidRDefault="00690399" w:rsidP="003A60B9">
            <w:r w:rsidRPr="001D7E66">
              <w:t>Tick as appropriate</w:t>
            </w:r>
          </w:p>
        </w:tc>
        <w:tc>
          <w:tcPr>
            <w:tcW w:w="1848" w:type="dxa"/>
          </w:tcPr>
          <w:p w:rsidR="00690399" w:rsidRPr="001D7E66" w:rsidRDefault="00690399" w:rsidP="003A60B9"/>
        </w:tc>
        <w:tc>
          <w:tcPr>
            <w:tcW w:w="1848" w:type="dxa"/>
          </w:tcPr>
          <w:p w:rsidR="00690399" w:rsidRPr="001D7E66" w:rsidRDefault="00690399" w:rsidP="003A60B9"/>
        </w:tc>
        <w:tc>
          <w:tcPr>
            <w:tcW w:w="1849" w:type="dxa"/>
          </w:tcPr>
          <w:p w:rsidR="00690399" w:rsidRPr="001D7E66" w:rsidRDefault="00690399" w:rsidP="003A60B9"/>
        </w:tc>
      </w:tr>
    </w:tbl>
    <w:p w:rsidR="001D7E66" w:rsidRDefault="001D7E66" w:rsidP="001D7E66">
      <w:pPr>
        <w:spacing w:after="0"/>
      </w:pPr>
    </w:p>
    <w:p w:rsidR="00690399" w:rsidRPr="001D7E66" w:rsidRDefault="00690399" w:rsidP="001D7E66">
      <w:pPr>
        <w:spacing w:after="0"/>
      </w:pPr>
      <w:r w:rsidRPr="001D7E66">
        <w:t>If yes, please explain how</w:t>
      </w:r>
      <w:r w:rsidR="007C1EC4">
        <w:t xml:space="preserve"> it could be improved</w:t>
      </w:r>
    </w:p>
    <w:tbl>
      <w:tblPr>
        <w:tblStyle w:val="TableGrid"/>
        <w:tblW w:w="0" w:type="auto"/>
        <w:tblLook w:val="04A0" w:firstRow="1" w:lastRow="0" w:firstColumn="1" w:lastColumn="0" w:noHBand="0" w:noVBand="1"/>
      </w:tblPr>
      <w:tblGrid>
        <w:gridCol w:w="9242"/>
      </w:tblGrid>
      <w:tr w:rsidR="00245305" w:rsidTr="00245305">
        <w:tc>
          <w:tcPr>
            <w:tcW w:w="9242" w:type="dxa"/>
          </w:tcPr>
          <w:p w:rsidR="00245305" w:rsidRDefault="00245305" w:rsidP="001D7E66">
            <w:pPr>
              <w:rPr>
                <w:u w:val="single"/>
              </w:rPr>
            </w:pPr>
          </w:p>
        </w:tc>
      </w:tr>
    </w:tbl>
    <w:p w:rsidR="00690399" w:rsidRDefault="00E1487D" w:rsidP="001D7E66">
      <w:pPr>
        <w:spacing w:after="0"/>
        <w:rPr>
          <w:u w:val="single"/>
        </w:rPr>
      </w:pPr>
      <w:r>
        <w:rPr>
          <w:u w:val="single"/>
        </w:rPr>
        <w:br/>
      </w:r>
    </w:p>
    <w:p w:rsidR="00E1487D" w:rsidRDefault="000C4746" w:rsidP="003D71C6">
      <w:pPr>
        <w:pStyle w:val="ListParagraph"/>
        <w:numPr>
          <w:ilvl w:val="0"/>
          <w:numId w:val="2"/>
        </w:numPr>
        <w:ind w:left="720"/>
      </w:pPr>
      <w:r>
        <w:rPr>
          <w:b/>
        </w:rPr>
        <w:t>Event to</w:t>
      </w:r>
      <w:r w:rsidRPr="000C4746">
        <w:rPr>
          <w:b/>
        </w:rPr>
        <w:t xml:space="preserve"> decision</w:t>
      </w:r>
      <w:r w:rsidR="00020B8C">
        <w:rPr>
          <w:b/>
        </w:rPr>
        <w:t>/submission of report</w:t>
      </w:r>
      <w:r>
        <w:t>. This stage covers the period from the first date of the inquiry event to the decision being sent out</w:t>
      </w:r>
      <w:r w:rsidR="00A0449D">
        <w:t>,</w:t>
      </w:r>
      <w:r w:rsidR="00071331">
        <w:t xml:space="preserve"> or in the case of a called in planning application</w:t>
      </w:r>
      <w:r w:rsidR="00020B8C">
        <w:t>,</w:t>
      </w:r>
      <w:r w:rsidR="00071331">
        <w:t xml:space="preserve"> or an appeal that has been “recovered” for decision by the Secretary of State, this stage ends with the submission of the Inspector’s report to </w:t>
      </w:r>
      <w:r w:rsidR="00020B8C">
        <w:t>the Ministry of Housing, Communities and Local Government</w:t>
      </w:r>
      <w:r>
        <w:t xml:space="preserve">. </w:t>
      </w:r>
    </w:p>
    <w:p w:rsidR="00690399" w:rsidRPr="003A60B9" w:rsidRDefault="000C4746" w:rsidP="00E1487D">
      <w:pPr>
        <w:ind w:left="720"/>
      </w:pPr>
      <w:r>
        <w:t xml:space="preserve">This stage was an average of </w:t>
      </w:r>
      <w:r w:rsidR="00A0449D">
        <w:t>10.</w:t>
      </w:r>
      <w:r w:rsidR="000F558C">
        <w:t>9</w:t>
      </w:r>
      <w:r w:rsidR="00A0449D">
        <w:t xml:space="preserve"> </w:t>
      </w:r>
      <w:r>
        <w:t>weeks in 2017-18</w:t>
      </w:r>
      <w:r w:rsidR="00B112A1">
        <w:t xml:space="preserve"> for Inspector decisions</w:t>
      </w:r>
      <w:r>
        <w:t>.</w:t>
      </w:r>
      <w:r w:rsidR="00020B8C">
        <w:t xml:space="preserve"> The average time period for the submission of reports for called in applications and recovered appeals was </w:t>
      </w:r>
      <w:r w:rsidR="000F558C">
        <w:t>21.4</w:t>
      </w:r>
      <w:r w:rsidR="00A0449D">
        <w:t xml:space="preserve"> weeks</w:t>
      </w:r>
      <w:r w:rsidR="00020B8C">
        <w:t xml:space="preserve"> and </w:t>
      </w:r>
      <w:r w:rsidR="000F558C">
        <w:t>22.7</w:t>
      </w:r>
      <w:r w:rsidR="00020B8C">
        <w:t xml:space="preserve"> weeks respectively. </w:t>
      </w:r>
      <w:r w:rsidR="00690399" w:rsidRPr="00245E02">
        <w:rPr>
          <w:b/>
        </w:rPr>
        <w:t xml:space="preserve">Could the </w:t>
      </w:r>
      <w:r w:rsidRPr="00245E02">
        <w:rPr>
          <w:b/>
        </w:rPr>
        <w:t>event to decision</w:t>
      </w:r>
      <w:r w:rsidR="00E1487D" w:rsidRPr="00245E02">
        <w:rPr>
          <w:b/>
        </w:rPr>
        <w:t>/submission of report</w:t>
      </w:r>
      <w:r w:rsidR="00690399" w:rsidRPr="00245E02">
        <w:rPr>
          <w:b/>
        </w:rPr>
        <w:t xml:space="preserve"> stage be improved?</w:t>
      </w:r>
      <w:r w:rsidR="00690399" w:rsidRPr="003A60B9">
        <w:t xml:space="preserve"> </w:t>
      </w:r>
    </w:p>
    <w:tbl>
      <w:tblPr>
        <w:tblStyle w:val="TableGrid"/>
        <w:tblW w:w="0" w:type="auto"/>
        <w:jc w:val="center"/>
        <w:tblLook w:val="04A0" w:firstRow="1" w:lastRow="0" w:firstColumn="1" w:lastColumn="0" w:noHBand="0" w:noVBand="1"/>
      </w:tblPr>
      <w:tblGrid>
        <w:gridCol w:w="1848"/>
        <w:gridCol w:w="1848"/>
        <w:gridCol w:w="1848"/>
        <w:gridCol w:w="1849"/>
      </w:tblGrid>
      <w:tr w:rsidR="00690399" w:rsidRPr="001D7E66" w:rsidTr="00245E02">
        <w:trPr>
          <w:jc w:val="center"/>
        </w:trPr>
        <w:tc>
          <w:tcPr>
            <w:tcW w:w="1848" w:type="dxa"/>
          </w:tcPr>
          <w:p w:rsidR="00690399" w:rsidRPr="001D7E66" w:rsidRDefault="00690399" w:rsidP="003A60B9"/>
        </w:tc>
        <w:tc>
          <w:tcPr>
            <w:tcW w:w="1848" w:type="dxa"/>
          </w:tcPr>
          <w:p w:rsidR="00690399" w:rsidRPr="001D7E66" w:rsidRDefault="00690399" w:rsidP="003A60B9">
            <w:r w:rsidRPr="001D7E66">
              <w:t>Yes – a lot</w:t>
            </w:r>
          </w:p>
        </w:tc>
        <w:tc>
          <w:tcPr>
            <w:tcW w:w="1848" w:type="dxa"/>
          </w:tcPr>
          <w:p w:rsidR="00690399" w:rsidRPr="001D7E66" w:rsidRDefault="00690399" w:rsidP="003A60B9">
            <w:r w:rsidRPr="001D7E66">
              <w:t>Yes, but not much</w:t>
            </w:r>
          </w:p>
        </w:tc>
        <w:tc>
          <w:tcPr>
            <w:tcW w:w="1849" w:type="dxa"/>
          </w:tcPr>
          <w:p w:rsidR="00690399" w:rsidRPr="001D7E66" w:rsidRDefault="00690399" w:rsidP="003A60B9">
            <w:r w:rsidRPr="001D7E66">
              <w:t>No</w:t>
            </w:r>
          </w:p>
        </w:tc>
      </w:tr>
      <w:tr w:rsidR="00690399" w:rsidRPr="001D7E66" w:rsidTr="00245E02">
        <w:trPr>
          <w:jc w:val="center"/>
        </w:trPr>
        <w:tc>
          <w:tcPr>
            <w:tcW w:w="1848" w:type="dxa"/>
          </w:tcPr>
          <w:p w:rsidR="00690399" w:rsidRPr="001D7E66" w:rsidRDefault="00690399" w:rsidP="003A60B9">
            <w:r w:rsidRPr="001D7E66">
              <w:t>Tick as appropriate</w:t>
            </w:r>
          </w:p>
        </w:tc>
        <w:tc>
          <w:tcPr>
            <w:tcW w:w="1848" w:type="dxa"/>
          </w:tcPr>
          <w:p w:rsidR="00690399" w:rsidRPr="001D7E66" w:rsidRDefault="00690399" w:rsidP="003A60B9"/>
        </w:tc>
        <w:tc>
          <w:tcPr>
            <w:tcW w:w="1848" w:type="dxa"/>
          </w:tcPr>
          <w:p w:rsidR="00690399" w:rsidRPr="001D7E66" w:rsidRDefault="00690399" w:rsidP="003A60B9"/>
        </w:tc>
        <w:tc>
          <w:tcPr>
            <w:tcW w:w="1849" w:type="dxa"/>
          </w:tcPr>
          <w:p w:rsidR="00690399" w:rsidRPr="001D7E66" w:rsidRDefault="00690399" w:rsidP="003A60B9"/>
        </w:tc>
      </w:tr>
    </w:tbl>
    <w:p w:rsidR="001D7E66" w:rsidRDefault="001D7E66" w:rsidP="00690399"/>
    <w:p w:rsidR="00690399" w:rsidRPr="001D7E66" w:rsidRDefault="00690399" w:rsidP="001D7E66">
      <w:pPr>
        <w:spacing w:after="0"/>
      </w:pPr>
      <w:r w:rsidRPr="001D7E66">
        <w:t>If yes, please explain how</w:t>
      </w:r>
      <w:r w:rsidR="007C1EC4">
        <w:t xml:space="preserve"> it could be improved</w:t>
      </w:r>
    </w:p>
    <w:tbl>
      <w:tblPr>
        <w:tblStyle w:val="TableGrid"/>
        <w:tblW w:w="0" w:type="auto"/>
        <w:tblLook w:val="04A0" w:firstRow="1" w:lastRow="0" w:firstColumn="1" w:lastColumn="0" w:noHBand="0" w:noVBand="1"/>
      </w:tblPr>
      <w:tblGrid>
        <w:gridCol w:w="9242"/>
      </w:tblGrid>
      <w:tr w:rsidR="00245305" w:rsidTr="00245305">
        <w:tc>
          <w:tcPr>
            <w:tcW w:w="9242" w:type="dxa"/>
          </w:tcPr>
          <w:p w:rsidR="00245305" w:rsidRDefault="00245305" w:rsidP="00690399">
            <w:pPr>
              <w:rPr>
                <w:u w:val="single"/>
              </w:rPr>
            </w:pPr>
          </w:p>
        </w:tc>
      </w:tr>
    </w:tbl>
    <w:p w:rsidR="00E1487D" w:rsidRDefault="00E1487D">
      <w:pPr>
        <w:rPr>
          <w:b/>
          <w:u w:val="single"/>
        </w:rPr>
      </w:pPr>
      <w:r>
        <w:rPr>
          <w:b/>
          <w:u w:val="single"/>
        </w:rPr>
        <w:br w:type="page"/>
      </w:r>
    </w:p>
    <w:p w:rsidR="00515457" w:rsidRPr="00DB6AEE" w:rsidRDefault="00DB6AEE" w:rsidP="00DB6AEE">
      <w:pPr>
        <w:rPr>
          <w:b/>
          <w:u w:val="single"/>
        </w:rPr>
      </w:pPr>
      <w:r w:rsidRPr="00DB6AEE">
        <w:rPr>
          <w:b/>
          <w:u w:val="single"/>
        </w:rPr>
        <w:lastRenderedPageBreak/>
        <w:t>WIDER PROCESS</w:t>
      </w:r>
      <w:r w:rsidR="007C1EC4">
        <w:rPr>
          <w:b/>
          <w:u w:val="single"/>
        </w:rPr>
        <w:t xml:space="preserve"> AND OTHER</w:t>
      </w:r>
      <w:r w:rsidRPr="00DB6AEE">
        <w:rPr>
          <w:b/>
          <w:u w:val="single"/>
        </w:rPr>
        <w:t xml:space="preserve"> ISSUES</w:t>
      </w:r>
      <w:r w:rsidR="007C1EC4">
        <w:rPr>
          <w:b/>
          <w:u w:val="single"/>
        </w:rPr>
        <w:t xml:space="preserve"> </w:t>
      </w:r>
    </w:p>
    <w:p w:rsidR="00F10D60" w:rsidRDefault="00F10D60" w:rsidP="003D71C6">
      <w:pPr>
        <w:pStyle w:val="ListParagraph"/>
        <w:numPr>
          <w:ilvl w:val="0"/>
          <w:numId w:val="2"/>
        </w:numPr>
        <w:ind w:left="720"/>
      </w:pPr>
      <w:r w:rsidRPr="00245E02">
        <w:rPr>
          <w:b/>
        </w:rPr>
        <w:t xml:space="preserve">Do you have any suggestions on how better use could be made of </w:t>
      </w:r>
      <w:r w:rsidR="00E1487D" w:rsidRPr="00245E02">
        <w:rPr>
          <w:b/>
        </w:rPr>
        <w:t xml:space="preserve">new </w:t>
      </w:r>
      <w:r w:rsidRPr="00245E02">
        <w:rPr>
          <w:b/>
        </w:rPr>
        <w:t>technology</w:t>
      </w:r>
      <w:r w:rsidR="00E1487D" w:rsidRPr="00245E02">
        <w:rPr>
          <w:b/>
        </w:rPr>
        <w:t xml:space="preserve">, including artificial intelligence, </w:t>
      </w:r>
      <w:r w:rsidRPr="00245E02">
        <w:rPr>
          <w:b/>
        </w:rPr>
        <w:t>to enable more efficient handling of inquiries at each stage?</w:t>
      </w:r>
      <w:r w:rsidRPr="007524B7">
        <w:t xml:space="preserve"> (</w:t>
      </w:r>
      <w:proofErr w:type="spellStart"/>
      <w:r w:rsidRPr="007524B7">
        <w:t>eg</w:t>
      </w:r>
      <w:proofErr w:type="spellEnd"/>
      <w:r w:rsidRPr="007524B7">
        <w:t xml:space="preserve"> in relation to sharing of evidence or electronic working at inquiries)</w:t>
      </w:r>
      <w:r w:rsidR="00E1487D">
        <w:t>.</w:t>
      </w:r>
      <w:r w:rsidRPr="007524B7">
        <w:t xml:space="preserve"> It would also be helpful if you could highlight any issues/risks to be avoided as well as good examples from elsewhere. </w:t>
      </w:r>
    </w:p>
    <w:tbl>
      <w:tblPr>
        <w:tblStyle w:val="TableGrid"/>
        <w:tblW w:w="0" w:type="auto"/>
        <w:tblLook w:val="04A0" w:firstRow="1" w:lastRow="0" w:firstColumn="1" w:lastColumn="0" w:noHBand="0" w:noVBand="1"/>
      </w:tblPr>
      <w:tblGrid>
        <w:gridCol w:w="9242"/>
      </w:tblGrid>
      <w:tr w:rsidR="00245305" w:rsidTr="00245305">
        <w:tc>
          <w:tcPr>
            <w:tcW w:w="9242" w:type="dxa"/>
          </w:tcPr>
          <w:p w:rsidR="00245305" w:rsidRDefault="00245305" w:rsidP="009E4C2A">
            <w:pPr>
              <w:rPr>
                <w:u w:val="single"/>
              </w:rPr>
            </w:pPr>
          </w:p>
        </w:tc>
      </w:tr>
    </w:tbl>
    <w:p w:rsidR="009E4C2A" w:rsidRDefault="009E4C2A" w:rsidP="009E4C2A">
      <w:pPr>
        <w:rPr>
          <w:u w:val="single"/>
        </w:rPr>
      </w:pPr>
    </w:p>
    <w:p w:rsidR="00DB6AEE" w:rsidRDefault="00EE7B8A" w:rsidP="003D71C6">
      <w:pPr>
        <w:pStyle w:val="ListParagraph"/>
        <w:numPr>
          <w:ilvl w:val="0"/>
          <w:numId w:val="2"/>
        </w:numPr>
        <w:ind w:left="720"/>
      </w:pPr>
      <w:r>
        <w:t xml:space="preserve">A substantial proportion </w:t>
      </w:r>
      <w:r w:rsidR="00565E29" w:rsidRPr="00DB6AEE">
        <w:t xml:space="preserve">of </w:t>
      </w:r>
      <w:r w:rsidR="00817007">
        <w:t xml:space="preserve">appeals that would be heard at </w:t>
      </w:r>
      <w:r w:rsidR="009D2F38">
        <w:t xml:space="preserve">an </w:t>
      </w:r>
      <w:r w:rsidR="00817007">
        <w:t>inquiry</w:t>
      </w:r>
      <w:r w:rsidR="00565E29" w:rsidRPr="00DB6AEE">
        <w:t xml:space="preserve"> are withdrawn</w:t>
      </w:r>
      <w:r w:rsidR="00817007">
        <w:t xml:space="preserve">, typically before the inquiry starts. </w:t>
      </w:r>
      <w:r w:rsidR="00817007" w:rsidRPr="00245E02">
        <w:rPr>
          <w:b/>
        </w:rPr>
        <w:t xml:space="preserve">What are your views on this matter and what, if any, steps would you suggest to </w:t>
      </w:r>
      <w:r w:rsidR="00682A01" w:rsidRPr="00245E02">
        <w:rPr>
          <w:b/>
        </w:rPr>
        <w:t>limit the number of withdrawn inquiries</w:t>
      </w:r>
      <w:r w:rsidR="00E1487D" w:rsidRPr="00245E02">
        <w:rPr>
          <w:b/>
        </w:rPr>
        <w:t>?</w:t>
      </w:r>
    </w:p>
    <w:p w:rsidR="001257CF" w:rsidRDefault="001257CF" w:rsidP="00245E02">
      <w:pPr>
        <w:pStyle w:val="ListParagraph"/>
      </w:pPr>
    </w:p>
    <w:tbl>
      <w:tblPr>
        <w:tblStyle w:val="TableGrid"/>
        <w:tblW w:w="0" w:type="auto"/>
        <w:tblLook w:val="04A0" w:firstRow="1" w:lastRow="0" w:firstColumn="1" w:lastColumn="0" w:noHBand="0" w:noVBand="1"/>
      </w:tblPr>
      <w:tblGrid>
        <w:gridCol w:w="8731"/>
      </w:tblGrid>
      <w:tr w:rsidR="00245305" w:rsidTr="00245E02">
        <w:tc>
          <w:tcPr>
            <w:tcW w:w="8731" w:type="dxa"/>
          </w:tcPr>
          <w:p w:rsidR="00245305" w:rsidRPr="00245E02" w:rsidRDefault="00245305" w:rsidP="00245E02">
            <w:pPr>
              <w:pStyle w:val="ListParagraph"/>
              <w:ind w:left="0"/>
            </w:pPr>
          </w:p>
        </w:tc>
      </w:tr>
    </w:tbl>
    <w:p w:rsidR="00313DDA" w:rsidRDefault="00313DDA" w:rsidP="00313DDA">
      <w:pPr>
        <w:rPr>
          <w:u w:val="single"/>
        </w:rPr>
      </w:pPr>
    </w:p>
    <w:p w:rsidR="00682A01" w:rsidRPr="00245E02" w:rsidRDefault="00BD14C4" w:rsidP="003D71C6">
      <w:pPr>
        <w:pStyle w:val="ListParagraph"/>
        <w:numPr>
          <w:ilvl w:val="0"/>
          <w:numId w:val="2"/>
        </w:numPr>
        <w:ind w:left="720"/>
        <w:rPr>
          <w:b/>
        </w:rPr>
      </w:pPr>
      <w:r>
        <w:t xml:space="preserve"> </w:t>
      </w:r>
      <w:r w:rsidR="008613E2" w:rsidRPr="00245E02">
        <w:rPr>
          <w:b/>
        </w:rPr>
        <w:t xml:space="preserve">Please </w:t>
      </w:r>
      <w:r w:rsidR="00D85C90">
        <w:rPr>
          <w:b/>
        </w:rPr>
        <w:t xml:space="preserve">give </w:t>
      </w:r>
      <w:r w:rsidR="008613E2" w:rsidRPr="00245E02">
        <w:rPr>
          <w:b/>
        </w:rPr>
        <w:t xml:space="preserve">us </w:t>
      </w:r>
      <w:r w:rsidRPr="00245E02">
        <w:rPr>
          <w:b/>
        </w:rPr>
        <w:t xml:space="preserve">any further suggestions, no matter how </w:t>
      </w:r>
      <w:r w:rsidR="00BF69CF">
        <w:rPr>
          <w:b/>
        </w:rPr>
        <w:t>innovative</w:t>
      </w:r>
      <w:r w:rsidRPr="00245E02">
        <w:rPr>
          <w:b/>
        </w:rPr>
        <w:t xml:space="preserve">, on how the planning appeal inquiries process may be </w:t>
      </w:r>
      <w:r w:rsidR="008613E2" w:rsidRPr="00245E02">
        <w:rPr>
          <w:b/>
        </w:rPr>
        <w:t>improved</w:t>
      </w:r>
      <w:r w:rsidR="00682A01" w:rsidRPr="00245E02">
        <w:rPr>
          <w:b/>
        </w:rPr>
        <w:t>.</w:t>
      </w:r>
      <w:r w:rsidR="009D2F38" w:rsidRPr="00245E02">
        <w:rPr>
          <w:b/>
        </w:rPr>
        <w:t xml:space="preserve"> </w:t>
      </w:r>
      <w:r w:rsidR="00014F90" w:rsidRPr="00245E02">
        <w:rPr>
          <w:b/>
        </w:rPr>
        <w:br/>
      </w:r>
    </w:p>
    <w:tbl>
      <w:tblPr>
        <w:tblStyle w:val="TableGrid"/>
        <w:tblW w:w="0" w:type="auto"/>
        <w:tblInd w:w="720" w:type="dxa"/>
        <w:tblLook w:val="04A0" w:firstRow="1" w:lastRow="0" w:firstColumn="1" w:lastColumn="0" w:noHBand="0" w:noVBand="1"/>
      </w:tblPr>
      <w:tblGrid>
        <w:gridCol w:w="8522"/>
      </w:tblGrid>
      <w:tr w:rsidR="00682A01" w:rsidTr="00682A01">
        <w:tc>
          <w:tcPr>
            <w:tcW w:w="9242" w:type="dxa"/>
          </w:tcPr>
          <w:p w:rsidR="00682A01" w:rsidRDefault="00682A01" w:rsidP="00682A01">
            <w:pPr>
              <w:pStyle w:val="ListParagraph"/>
              <w:ind w:left="0"/>
            </w:pPr>
          </w:p>
        </w:tc>
      </w:tr>
    </w:tbl>
    <w:p w:rsidR="00245305" w:rsidRDefault="00014F90" w:rsidP="00BD1EA2">
      <w:pPr>
        <w:pStyle w:val="ListParagraph"/>
        <w:rPr>
          <w:u w:val="single"/>
        </w:rPr>
      </w:pPr>
      <w:r>
        <w:br/>
      </w:r>
    </w:p>
    <w:p w:rsidR="00502914" w:rsidRPr="00245E02" w:rsidRDefault="00682A01" w:rsidP="00BD1EA2">
      <w:pPr>
        <w:pStyle w:val="ListParagraph"/>
        <w:numPr>
          <w:ilvl w:val="0"/>
          <w:numId w:val="2"/>
        </w:numPr>
        <w:ind w:left="720"/>
        <w:rPr>
          <w:b/>
        </w:rPr>
      </w:pPr>
      <w:r w:rsidRPr="00245E02">
        <w:rPr>
          <w:b/>
        </w:rPr>
        <w:t xml:space="preserve">Please </w:t>
      </w:r>
      <w:r w:rsidR="00D85C90">
        <w:rPr>
          <w:b/>
        </w:rPr>
        <w:t>give</w:t>
      </w:r>
      <w:r w:rsidRPr="00245E02">
        <w:rPr>
          <w:b/>
        </w:rPr>
        <w:t xml:space="preserve"> us </w:t>
      </w:r>
      <w:r w:rsidR="00502914" w:rsidRPr="00245E02">
        <w:rPr>
          <w:b/>
        </w:rPr>
        <w:t>any additional comments on the planning appeal inquiries process</w:t>
      </w:r>
      <w:r w:rsidRPr="00245E02">
        <w:rPr>
          <w:b/>
        </w:rPr>
        <w:t xml:space="preserve"> which you would like the Review to consider</w:t>
      </w:r>
      <w:r w:rsidR="00F26B14">
        <w:rPr>
          <w:b/>
        </w:rPr>
        <w:t>.</w:t>
      </w:r>
    </w:p>
    <w:p w:rsidR="006770AF" w:rsidRDefault="006770AF" w:rsidP="006770AF">
      <w:pPr>
        <w:pStyle w:val="ListParagraph"/>
      </w:pPr>
      <w:r>
        <w:t xml:space="preserve"> </w:t>
      </w:r>
    </w:p>
    <w:tbl>
      <w:tblPr>
        <w:tblStyle w:val="TableGrid"/>
        <w:tblW w:w="0" w:type="auto"/>
        <w:tblInd w:w="720" w:type="dxa"/>
        <w:tblLook w:val="04A0" w:firstRow="1" w:lastRow="0" w:firstColumn="1" w:lastColumn="0" w:noHBand="0" w:noVBand="1"/>
      </w:tblPr>
      <w:tblGrid>
        <w:gridCol w:w="8522"/>
      </w:tblGrid>
      <w:tr w:rsidR="00245305" w:rsidTr="00245305">
        <w:tc>
          <w:tcPr>
            <w:tcW w:w="9242" w:type="dxa"/>
          </w:tcPr>
          <w:p w:rsidR="00245305" w:rsidRDefault="00245305" w:rsidP="006770AF">
            <w:pPr>
              <w:pStyle w:val="ListParagraph"/>
              <w:ind w:left="0"/>
            </w:pPr>
          </w:p>
        </w:tc>
      </w:tr>
    </w:tbl>
    <w:p w:rsidR="006770AF" w:rsidRPr="00BD1EA2" w:rsidRDefault="006770AF" w:rsidP="006770AF">
      <w:pPr>
        <w:pStyle w:val="ListParagraph"/>
      </w:pPr>
    </w:p>
    <w:p w:rsidR="00502914" w:rsidRDefault="00502914" w:rsidP="00BD1EA2">
      <w:pPr>
        <w:pStyle w:val="ListParagraph"/>
      </w:pPr>
    </w:p>
    <w:p w:rsidR="00126017" w:rsidRDefault="00DB6AEE">
      <w:bookmarkStart w:id="0" w:name="_GoBack"/>
      <w:bookmarkEnd w:id="0"/>
      <w:r w:rsidRPr="00DB6AEE">
        <w:t xml:space="preserve">Thank you for your response  </w:t>
      </w:r>
      <w:r w:rsidR="00126017">
        <w:br w:type="page"/>
      </w:r>
    </w:p>
    <w:p w:rsidR="00126017" w:rsidRPr="00BD1EA2" w:rsidRDefault="00126017" w:rsidP="00BD1EA2">
      <w:pPr>
        <w:spacing w:after="0" w:line="240" w:lineRule="auto"/>
        <w:rPr>
          <w:sz w:val="32"/>
          <w:szCs w:val="32"/>
        </w:rPr>
      </w:pPr>
      <w:r w:rsidRPr="00BD1EA2">
        <w:rPr>
          <w:sz w:val="32"/>
          <w:szCs w:val="32"/>
        </w:rPr>
        <w:lastRenderedPageBreak/>
        <w:t>Annex A</w:t>
      </w:r>
    </w:p>
    <w:p w:rsidR="00763E44" w:rsidRDefault="00763E44" w:rsidP="00BD1EA2">
      <w:pPr>
        <w:spacing w:after="0" w:line="240" w:lineRule="auto"/>
      </w:pPr>
    </w:p>
    <w:p w:rsidR="00126017" w:rsidRPr="00BD1EA2" w:rsidRDefault="00126017" w:rsidP="00BD1EA2">
      <w:pPr>
        <w:spacing w:after="0" w:line="240" w:lineRule="auto"/>
        <w:rPr>
          <w:b/>
        </w:rPr>
      </w:pPr>
      <w:r w:rsidRPr="00BD1EA2">
        <w:rPr>
          <w:b/>
        </w:rPr>
        <w:t>About this call for evidence</w:t>
      </w:r>
    </w:p>
    <w:p w:rsidR="00763E44" w:rsidRDefault="00763E44" w:rsidP="00BD1EA2">
      <w:pPr>
        <w:spacing w:after="0" w:line="240" w:lineRule="auto"/>
      </w:pPr>
    </w:p>
    <w:p w:rsidR="00126017" w:rsidRDefault="00126017" w:rsidP="00BD1EA2">
      <w:pPr>
        <w:spacing w:after="0" w:line="240" w:lineRule="auto"/>
      </w:pPr>
      <w:r>
        <w:t xml:space="preserve">This call for evidence document and call for evidence process have been planned to adhere to the Consultation Principles issued by the Cabinet Office. </w:t>
      </w:r>
    </w:p>
    <w:p w:rsidR="00126017" w:rsidRDefault="00126017" w:rsidP="00BD1EA2">
      <w:pPr>
        <w:spacing w:after="0" w:line="240" w:lineRule="auto"/>
      </w:pPr>
    </w:p>
    <w:p w:rsidR="00126017" w:rsidRDefault="00126017" w:rsidP="00BD1EA2">
      <w:pPr>
        <w:spacing w:after="0" w:line="240" w:lineRule="auto"/>
      </w:pPr>
      <w:r>
        <w:t>Representative groups are asked to give a summary of the people and organisations they represent, and where relevant who else they have consulted in reaching their conclusions when they respond.</w:t>
      </w:r>
    </w:p>
    <w:p w:rsidR="00126017" w:rsidRDefault="00126017" w:rsidP="00BD1EA2">
      <w:pPr>
        <w:spacing w:after="0" w:line="240" w:lineRule="auto"/>
      </w:pPr>
    </w:p>
    <w:p w:rsidR="00126017" w:rsidRDefault="00126017" w:rsidP="00BD1EA2">
      <w:pPr>
        <w:spacing w:after="0" w:line="240" w:lineRule="auto"/>
      </w:pPr>
      <w:r>
        <w:t>Information provided in response to this call for evidence, including personal data, may be published or disclosed in accordance with the access to information regimes (these are primarily the Freedom of Information Act 2000 (FOIA), the Data Protection Act 2018 (DPA), the EU General Data Protection Regulation, and the Environmental Information Regulations 2004.</w:t>
      </w:r>
    </w:p>
    <w:p w:rsidR="00126017" w:rsidRDefault="00126017" w:rsidP="00BD1EA2">
      <w:pPr>
        <w:spacing w:after="0" w:line="240" w:lineRule="auto"/>
      </w:pPr>
    </w:p>
    <w:p w:rsidR="00126017" w:rsidRDefault="00126017" w:rsidP="00BD1EA2">
      <w:pPr>
        <w:spacing w:after="0" w:line="240" w:lineRule="auto"/>
      </w:pPr>
      <w:r>
        <w:t>If you want the information that you provide to be treated as confidential, please be aware that, as a public authority, the Department is bound by the Freedom of Information Act and may therefore be obliged to disclose all or some of the information you provide. In view of this it would be helpful if you could explain to us why you regard the information you have provided as confidential. If we receive a request for disclosure of the information we will take full account of your explanation, but we cannot give an assurance that confidentiality can be maintained in all circumstances. An automatic confidentiality disclaimer generated by your IT system will not, of itself, be regarded as binding on the Department.</w:t>
      </w:r>
    </w:p>
    <w:p w:rsidR="00126017" w:rsidRDefault="00126017" w:rsidP="00BD1EA2">
      <w:pPr>
        <w:spacing w:after="0" w:line="240" w:lineRule="auto"/>
      </w:pPr>
    </w:p>
    <w:p w:rsidR="00126017" w:rsidRDefault="00126017" w:rsidP="00BD1EA2">
      <w:pPr>
        <w:spacing w:after="0" w:line="240" w:lineRule="auto"/>
      </w:pPr>
      <w:r>
        <w:t>The Ministry of Housing, Communities and Local Government will process your personal data in accordance with the law and in the majority of circumstances this will mean that your personal data will not be disclosed to third parties. A full privacy notice is included at Annex B.</w:t>
      </w:r>
    </w:p>
    <w:p w:rsidR="00126017" w:rsidRDefault="00126017" w:rsidP="00BD1EA2">
      <w:pPr>
        <w:spacing w:after="0" w:line="240" w:lineRule="auto"/>
      </w:pPr>
    </w:p>
    <w:p w:rsidR="00126017" w:rsidRDefault="00126017" w:rsidP="00BD1EA2">
      <w:pPr>
        <w:spacing w:after="0" w:line="240" w:lineRule="auto"/>
      </w:pPr>
      <w:r>
        <w:t>Individual responses will not be acknowledged unless specifically requested.</w:t>
      </w:r>
    </w:p>
    <w:p w:rsidR="00126017" w:rsidRDefault="00126017" w:rsidP="00BD1EA2">
      <w:pPr>
        <w:spacing w:after="0" w:line="240" w:lineRule="auto"/>
      </w:pPr>
    </w:p>
    <w:p w:rsidR="00126017" w:rsidRDefault="00126017" w:rsidP="00BD1EA2">
      <w:pPr>
        <w:spacing w:after="0" w:line="240" w:lineRule="auto"/>
      </w:pPr>
      <w:r>
        <w:t>Your opinions are valuable to us. Thank you for taking the time to read this document and respond.</w:t>
      </w:r>
    </w:p>
    <w:p w:rsidR="00126017" w:rsidRDefault="00126017" w:rsidP="00BD1EA2">
      <w:pPr>
        <w:spacing w:after="0" w:line="240" w:lineRule="auto"/>
      </w:pPr>
    </w:p>
    <w:p w:rsidR="00126017" w:rsidRDefault="00126017" w:rsidP="00BD1EA2">
      <w:pPr>
        <w:spacing w:after="0" w:line="240" w:lineRule="auto"/>
      </w:pPr>
      <w:r>
        <w:t xml:space="preserve">Are you satisfied that this </w:t>
      </w:r>
      <w:r w:rsidR="008561D5">
        <w:t xml:space="preserve">call for evidence </w:t>
      </w:r>
      <w:r>
        <w:t xml:space="preserve">has followed the Consultation Principles?  If not or you have any other observations about how we can improve the process please contact us via the </w:t>
      </w:r>
      <w:hyperlink r:id="rId12" w:history="1">
        <w:r w:rsidRPr="00AD76C4">
          <w:rPr>
            <w:rStyle w:val="Hyperlink"/>
          </w:rPr>
          <w:t>complaints procedure</w:t>
        </w:r>
      </w:hyperlink>
      <w:r>
        <w:t xml:space="preserve">. </w:t>
      </w:r>
    </w:p>
    <w:p w:rsidR="00126017" w:rsidRDefault="00126017" w:rsidP="00BD1EA2">
      <w:pPr>
        <w:spacing w:after="0" w:line="240" w:lineRule="auto"/>
      </w:pPr>
      <w:r>
        <w:br w:type="page"/>
      </w:r>
    </w:p>
    <w:p w:rsidR="00126017" w:rsidRPr="00BD1EA2" w:rsidRDefault="00126017" w:rsidP="00BD1EA2">
      <w:pPr>
        <w:spacing w:after="0" w:line="240" w:lineRule="auto"/>
        <w:rPr>
          <w:b/>
          <w:sz w:val="32"/>
          <w:szCs w:val="32"/>
        </w:rPr>
      </w:pPr>
      <w:r w:rsidRPr="00BD1EA2">
        <w:rPr>
          <w:b/>
          <w:sz w:val="32"/>
          <w:szCs w:val="32"/>
        </w:rPr>
        <w:lastRenderedPageBreak/>
        <w:t>Annex B</w:t>
      </w:r>
    </w:p>
    <w:p w:rsidR="00126017" w:rsidRDefault="00126017" w:rsidP="00BD1EA2">
      <w:pPr>
        <w:spacing w:after="0" w:line="240" w:lineRule="auto"/>
      </w:pPr>
    </w:p>
    <w:p w:rsidR="00126017" w:rsidRPr="008B2F88" w:rsidRDefault="00126017" w:rsidP="00BD1EA2">
      <w:pPr>
        <w:spacing w:after="0" w:line="240" w:lineRule="auto"/>
        <w:rPr>
          <w:b/>
        </w:rPr>
      </w:pPr>
      <w:r w:rsidRPr="008B2F88">
        <w:rPr>
          <w:b/>
        </w:rPr>
        <w:t>Personal data</w:t>
      </w:r>
    </w:p>
    <w:p w:rsidR="00126017" w:rsidRPr="00EA3E5B" w:rsidRDefault="00126017" w:rsidP="00BD1EA2">
      <w:pPr>
        <w:spacing w:after="0" w:line="240" w:lineRule="auto"/>
      </w:pPr>
      <w:r w:rsidRPr="002A5D94">
        <w:t>The following is to explain your rights and give you the information you are entitled to under the Data Protection Act 2018.</w:t>
      </w:r>
      <w:r w:rsidRPr="00892572">
        <w:t xml:space="preserve"> </w:t>
      </w:r>
    </w:p>
    <w:p w:rsidR="00126017" w:rsidRPr="008F31DA" w:rsidRDefault="00126017" w:rsidP="00BD1EA2">
      <w:pPr>
        <w:spacing w:after="0" w:line="240" w:lineRule="auto"/>
      </w:pPr>
    </w:p>
    <w:p w:rsidR="00126017" w:rsidRPr="007401C0" w:rsidRDefault="00126017" w:rsidP="00BD1EA2">
      <w:pPr>
        <w:spacing w:after="0" w:line="240" w:lineRule="auto"/>
      </w:pPr>
      <w:r w:rsidRPr="007401C0">
        <w:t xml:space="preserve">Note that this section only refers to your personal data (your name address and anything that could be used to identify you personally) not the content of your response to the </w:t>
      </w:r>
      <w:r w:rsidR="00977ED1">
        <w:t>call for evidence</w:t>
      </w:r>
      <w:r w:rsidRPr="007401C0">
        <w:t xml:space="preserve">. </w:t>
      </w:r>
    </w:p>
    <w:p w:rsidR="00126017" w:rsidRPr="001B00E1" w:rsidRDefault="00126017" w:rsidP="00BD1EA2">
      <w:pPr>
        <w:spacing w:after="0" w:line="240" w:lineRule="auto"/>
      </w:pPr>
    </w:p>
    <w:p w:rsidR="00126017" w:rsidRPr="00EA3E5B" w:rsidRDefault="00126017" w:rsidP="00BD1EA2">
      <w:pPr>
        <w:spacing w:after="0" w:line="240" w:lineRule="auto"/>
      </w:pPr>
      <w:r w:rsidRPr="00245E02">
        <w:rPr>
          <w:b/>
        </w:rPr>
        <w:t>1</w:t>
      </w:r>
      <w:r w:rsidRPr="001B00E1">
        <w:t xml:space="preserve">. </w:t>
      </w:r>
      <w:r w:rsidRPr="001B00E1">
        <w:rPr>
          <w:b/>
        </w:rPr>
        <w:t>The identity of the data controller and contact details of our Data Protection</w:t>
      </w:r>
      <w:r w:rsidRPr="001B00E1">
        <w:t xml:space="preserve"> </w:t>
      </w:r>
      <w:r w:rsidRPr="00EA3E5B">
        <w:rPr>
          <w:b/>
        </w:rPr>
        <w:t xml:space="preserve">Officer  </w:t>
      </w:r>
      <w:r w:rsidRPr="00EA3E5B">
        <w:t xml:space="preserve">  </w:t>
      </w:r>
    </w:p>
    <w:p w:rsidR="00126017" w:rsidRPr="007401C0" w:rsidRDefault="00126017" w:rsidP="00BD1EA2">
      <w:pPr>
        <w:spacing w:after="0" w:line="240" w:lineRule="auto"/>
      </w:pPr>
      <w:r w:rsidRPr="008F31DA">
        <w:t xml:space="preserve">The Ministry of Housing, Communities and Local Government (MHCLG) is the data controller. The Data Protection Officer can be contacted at </w:t>
      </w:r>
      <w:hyperlink r:id="rId13" w:history="1">
        <w:r w:rsidRPr="00CA2093">
          <w:rPr>
            <w:rStyle w:val="Hyperlink"/>
          </w:rPr>
          <w:t>dataprotection@communities.gsi.gov.uk</w:t>
        </w:r>
      </w:hyperlink>
      <w:r>
        <w:t xml:space="preserve"> </w:t>
      </w:r>
      <w:r w:rsidRPr="008F31DA">
        <w:t xml:space="preserve"> </w:t>
      </w:r>
    </w:p>
    <w:p w:rsidR="00126017" w:rsidRPr="007401C0" w:rsidRDefault="00126017" w:rsidP="00BD1EA2">
      <w:pPr>
        <w:spacing w:after="0" w:line="240" w:lineRule="auto"/>
      </w:pPr>
      <w:r w:rsidRPr="007401C0">
        <w:t xml:space="preserve">              </w:t>
      </w:r>
    </w:p>
    <w:p w:rsidR="00126017" w:rsidRPr="001B00E1" w:rsidRDefault="00126017" w:rsidP="00BD1EA2">
      <w:pPr>
        <w:spacing w:after="0" w:line="240" w:lineRule="auto"/>
        <w:rPr>
          <w:b/>
        </w:rPr>
      </w:pPr>
      <w:r w:rsidRPr="001B00E1">
        <w:rPr>
          <w:b/>
        </w:rPr>
        <w:t xml:space="preserve">2. Why we are collecting your personal data   </w:t>
      </w:r>
    </w:p>
    <w:p w:rsidR="00126017" w:rsidRPr="004A1ECB" w:rsidRDefault="00126017" w:rsidP="00BD1EA2">
      <w:pPr>
        <w:spacing w:after="0" w:line="240" w:lineRule="auto"/>
      </w:pPr>
      <w:r w:rsidRPr="001B00E1">
        <w:t xml:space="preserve">Your personal data is being collected as an essential part of the </w:t>
      </w:r>
      <w:r w:rsidR="00977ED1">
        <w:t>call for evidence</w:t>
      </w:r>
      <w:r w:rsidRPr="001B00E1">
        <w:t xml:space="preserve"> process, so that we can contact you regarding your response and for statistical purposes. We may also use it to contact you about related matters.</w:t>
      </w:r>
    </w:p>
    <w:p w:rsidR="00126017" w:rsidRPr="006360C9" w:rsidRDefault="00126017" w:rsidP="00BD1EA2">
      <w:pPr>
        <w:spacing w:after="0" w:line="240" w:lineRule="auto"/>
      </w:pPr>
    </w:p>
    <w:p w:rsidR="00126017" w:rsidRDefault="00126017" w:rsidP="00BD1EA2">
      <w:pPr>
        <w:spacing w:after="0" w:line="240" w:lineRule="auto"/>
        <w:rPr>
          <w:b/>
        </w:rPr>
      </w:pPr>
      <w:r w:rsidRPr="00892572">
        <w:rPr>
          <w:b/>
        </w:rPr>
        <w:t xml:space="preserve">3. Our legal basis </w:t>
      </w:r>
      <w:r w:rsidRPr="008F31DA">
        <w:rPr>
          <w:b/>
        </w:rPr>
        <w:t>for processing your personal data</w:t>
      </w:r>
    </w:p>
    <w:p w:rsidR="00126017" w:rsidRPr="00EA3E5B" w:rsidRDefault="00126017" w:rsidP="00BD1EA2">
      <w:pPr>
        <w:spacing w:after="0" w:line="240" w:lineRule="auto"/>
      </w:pPr>
      <w:r w:rsidRPr="00BD1EA2">
        <w:t>The Data Protection Act 2018 states that, as a government department, MHCLG may process personal data as necessary for the effective performance of a task carried out in the public interest. i.e. a c</w:t>
      </w:r>
      <w:r w:rsidR="00977ED1" w:rsidRPr="00BD1EA2">
        <w:t>all for evidence</w:t>
      </w:r>
      <w:r w:rsidRPr="00BD1EA2">
        <w:t>.</w:t>
      </w:r>
    </w:p>
    <w:p w:rsidR="00126017" w:rsidRPr="008F31DA" w:rsidRDefault="00126017" w:rsidP="00BD1EA2">
      <w:pPr>
        <w:spacing w:after="0" w:line="240" w:lineRule="auto"/>
      </w:pPr>
    </w:p>
    <w:p w:rsidR="00126017" w:rsidRPr="008F31DA" w:rsidRDefault="00977ED1" w:rsidP="00BD1EA2">
      <w:pPr>
        <w:spacing w:after="0" w:line="240" w:lineRule="auto"/>
        <w:rPr>
          <w:b/>
        </w:rPr>
      </w:pPr>
      <w:r>
        <w:rPr>
          <w:b/>
        </w:rPr>
        <w:t>4</w:t>
      </w:r>
      <w:r w:rsidR="00126017" w:rsidRPr="008F31DA">
        <w:rPr>
          <w:b/>
        </w:rPr>
        <w:t>. With whom we will be sharing your personal data</w:t>
      </w:r>
    </w:p>
    <w:p w:rsidR="00977ED1" w:rsidRPr="00BD1EA2" w:rsidRDefault="00977ED1" w:rsidP="00BD1EA2">
      <w:pPr>
        <w:spacing w:after="0" w:line="240" w:lineRule="auto"/>
      </w:pPr>
      <w:r w:rsidRPr="00BD1EA2">
        <w:t xml:space="preserve">We will share </w:t>
      </w:r>
      <w:r>
        <w:t xml:space="preserve">your data with the Planning Inspectorate, who are working with us as part of the Inquiries Review Team. </w:t>
      </w:r>
    </w:p>
    <w:p w:rsidR="00126017" w:rsidRPr="008F31DA" w:rsidRDefault="00126017" w:rsidP="00BD1EA2">
      <w:pPr>
        <w:spacing w:after="0" w:line="240" w:lineRule="auto"/>
      </w:pPr>
    </w:p>
    <w:p w:rsidR="00126017" w:rsidRPr="007401C0" w:rsidRDefault="00977ED1" w:rsidP="00BD1EA2">
      <w:pPr>
        <w:spacing w:after="0" w:line="240" w:lineRule="auto"/>
        <w:rPr>
          <w:b/>
        </w:rPr>
      </w:pPr>
      <w:r>
        <w:rPr>
          <w:b/>
        </w:rPr>
        <w:t>5</w:t>
      </w:r>
      <w:r w:rsidR="00126017" w:rsidRPr="008F31DA">
        <w:rPr>
          <w:b/>
        </w:rPr>
        <w:t xml:space="preserve">. For how long we will keep your personal data, or criteria used to determine the retention period. </w:t>
      </w:r>
    </w:p>
    <w:p w:rsidR="00126017" w:rsidRDefault="00126017" w:rsidP="00BD1EA2">
      <w:pPr>
        <w:spacing w:after="0" w:line="240" w:lineRule="auto"/>
      </w:pPr>
      <w:r w:rsidRPr="007401C0">
        <w:t xml:space="preserve">Your personal data will be held for </w:t>
      </w:r>
      <w:r>
        <w:t xml:space="preserve">two years from the closure of the </w:t>
      </w:r>
      <w:r w:rsidR="00977ED1">
        <w:t xml:space="preserve">call for evidence. </w:t>
      </w:r>
    </w:p>
    <w:p w:rsidR="00977ED1" w:rsidRPr="008F31DA" w:rsidRDefault="00977ED1" w:rsidP="00BD1EA2">
      <w:pPr>
        <w:spacing w:after="0" w:line="240" w:lineRule="auto"/>
      </w:pPr>
    </w:p>
    <w:p w:rsidR="00126017" w:rsidRPr="008F31DA" w:rsidRDefault="00977ED1" w:rsidP="00BD1EA2">
      <w:pPr>
        <w:spacing w:after="0" w:line="240" w:lineRule="auto"/>
        <w:rPr>
          <w:b/>
        </w:rPr>
      </w:pPr>
      <w:r>
        <w:rPr>
          <w:b/>
        </w:rPr>
        <w:t>6</w:t>
      </w:r>
      <w:r w:rsidR="00126017" w:rsidRPr="008F31DA">
        <w:rPr>
          <w:b/>
        </w:rPr>
        <w:t xml:space="preserve">. Your rights, e.g. access, rectification, erasure  </w:t>
      </w:r>
    </w:p>
    <w:p w:rsidR="00126017" w:rsidRPr="00077503" w:rsidRDefault="00126017" w:rsidP="00BD1EA2">
      <w:pPr>
        <w:spacing w:after="0" w:line="240" w:lineRule="auto"/>
      </w:pPr>
      <w:r w:rsidRPr="008F31DA">
        <w:t>The data we are collecting is your personal data, and you have considerable say over what happens to it. You have the right:</w:t>
      </w:r>
    </w:p>
    <w:p w:rsidR="00126017" w:rsidRPr="007401C0" w:rsidRDefault="00126017" w:rsidP="00BD1EA2">
      <w:pPr>
        <w:spacing w:after="0" w:line="240" w:lineRule="auto"/>
      </w:pPr>
      <w:r w:rsidRPr="007401C0">
        <w:t>a.</w:t>
      </w:r>
      <w:r w:rsidRPr="007401C0">
        <w:tab/>
        <w:t>to see what data we have about you</w:t>
      </w:r>
    </w:p>
    <w:p w:rsidR="00126017" w:rsidRPr="007401C0" w:rsidRDefault="00126017" w:rsidP="00BD1EA2">
      <w:pPr>
        <w:spacing w:after="0" w:line="240" w:lineRule="auto"/>
      </w:pPr>
      <w:r w:rsidRPr="007401C0">
        <w:t>b.</w:t>
      </w:r>
      <w:r w:rsidRPr="007401C0">
        <w:tab/>
        <w:t>to ask us to stop using your data, but keep it on record</w:t>
      </w:r>
    </w:p>
    <w:p w:rsidR="00126017" w:rsidRPr="00B11F54" w:rsidRDefault="00126017" w:rsidP="00BD1EA2">
      <w:pPr>
        <w:spacing w:after="0" w:line="240" w:lineRule="auto"/>
      </w:pPr>
      <w:r w:rsidRPr="007401C0">
        <w:t>c.</w:t>
      </w:r>
      <w:r w:rsidRPr="007401C0">
        <w:tab/>
        <w:t xml:space="preserve">to </w:t>
      </w:r>
      <w:r>
        <w:t xml:space="preserve">ask to </w:t>
      </w:r>
      <w:r w:rsidRPr="007401C0">
        <w:t xml:space="preserve">have all </w:t>
      </w:r>
      <w:r w:rsidRPr="00B11F54">
        <w:t xml:space="preserve">or some of your data deleted or corrected </w:t>
      </w:r>
    </w:p>
    <w:p w:rsidR="00126017" w:rsidRPr="007401C0" w:rsidRDefault="00126017" w:rsidP="00BD1EA2">
      <w:pPr>
        <w:spacing w:after="0" w:line="240" w:lineRule="auto"/>
      </w:pPr>
      <w:r w:rsidRPr="00077503">
        <w:t>d.</w:t>
      </w:r>
      <w:r w:rsidRPr="00077503">
        <w:tab/>
        <w:t xml:space="preserve">to lodge a complaint with the independent Information Commissioner (ICO) if you think we are not handling your data fairly or </w:t>
      </w:r>
      <w:r w:rsidRPr="007401C0">
        <w:t xml:space="preserve">in accordance with the law.  You can contact the ICO at </w:t>
      </w:r>
      <w:hyperlink r:id="rId14" w:history="1">
        <w:r w:rsidRPr="00CA2093">
          <w:rPr>
            <w:rStyle w:val="Hyperlink"/>
          </w:rPr>
          <w:t>https://ico.org.uk/</w:t>
        </w:r>
      </w:hyperlink>
      <w:r w:rsidRPr="007401C0">
        <w:t>,</w:t>
      </w:r>
      <w:r>
        <w:t xml:space="preserve"> </w:t>
      </w:r>
      <w:r w:rsidRPr="007401C0">
        <w:t>or telephone 0303 123 1113.</w:t>
      </w:r>
    </w:p>
    <w:p w:rsidR="00126017" w:rsidRPr="007401C0" w:rsidRDefault="00126017" w:rsidP="00BD1EA2">
      <w:pPr>
        <w:spacing w:after="0" w:line="240" w:lineRule="auto"/>
      </w:pPr>
    </w:p>
    <w:p w:rsidR="00126017" w:rsidRPr="00A26DF8" w:rsidRDefault="00977ED1" w:rsidP="00BD1EA2">
      <w:pPr>
        <w:spacing w:after="0" w:line="240" w:lineRule="auto"/>
        <w:rPr>
          <w:b/>
          <w:i/>
        </w:rPr>
      </w:pPr>
      <w:r>
        <w:rPr>
          <w:b/>
        </w:rPr>
        <w:t>7</w:t>
      </w:r>
      <w:r w:rsidR="00126017" w:rsidRPr="001B00E1">
        <w:rPr>
          <w:b/>
        </w:rPr>
        <w:t>.</w:t>
      </w:r>
      <w:r w:rsidR="00A07713">
        <w:rPr>
          <w:b/>
        </w:rPr>
        <w:t xml:space="preserve"> </w:t>
      </w:r>
      <w:r w:rsidRPr="00977ED1">
        <w:rPr>
          <w:b/>
        </w:rPr>
        <w:t>T</w:t>
      </w:r>
      <w:r w:rsidR="00126017" w:rsidRPr="00BD1EA2">
        <w:rPr>
          <w:b/>
        </w:rPr>
        <w:t xml:space="preserve">he Data you provide </w:t>
      </w:r>
      <w:r>
        <w:rPr>
          <w:b/>
        </w:rPr>
        <w:t xml:space="preserve">on </w:t>
      </w:r>
      <w:proofErr w:type="spellStart"/>
      <w:r w:rsidR="009C5507">
        <w:rPr>
          <w:b/>
        </w:rPr>
        <w:t>S</w:t>
      </w:r>
      <w:r>
        <w:rPr>
          <w:b/>
        </w:rPr>
        <w:t>urvey</w:t>
      </w:r>
      <w:r w:rsidR="009C5507">
        <w:rPr>
          <w:b/>
        </w:rPr>
        <w:t>M</w:t>
      </w:r>
      <w:r>
        <w:rPr>
          <w:b/>
        </w:rPr>
        <w:t>onkey</w:t>
      </w:r>
      <w:proofErr w:type="spellEnd"/>
      <w:r w:rsidR="00126017" w:rsidRPr="00BD1EA2">
        <w:rPr>
          <w:b/>
        </w:rPr>
        <w:t xml:space="preserve"> will be stored by </w:t>
      </w:r>
      <w:proofErr w:type="spellStart"/>
      <w:r w:rsidR="009C5507">
        <w:rPr>
          <w:b/>
        </w:rPr>
        <w:t>S</w:t>
      </w:r>
      <w:r w:rsidR="00126017" w:rsidRPr="00BD1EA2">
        <w:rPr>
          <w:b/>
        </w:rPr>
        <w:t>urveyMonkey</w:t>
      </w:r>
      <w:proofErr w:type="spellEnd"/>
      <w:r w:rsidR="00126017" w:rsidRPr="00BD1EA2">
        <w:rPr>
          <w:b/>
        </w:rPr>
        <w:t xml:space="preserve"> on their servers in the United States. </w:t>
      </w:r>
      <w:r w:rsidR="00A26DF8">
        <w:rPr>
          <w:b/>
        </w:rPr>
        <w:t xml:space="preserve">We will also transfer any data you provide to us by email or hard copy to </w:t>
      </w:r>
      <w:proofErr w:type="spellStart"/>
      <w:r w:rsidR="00A26DF8">
        <w:rPr>
          <w:b/>
        </w:rPr>
        <w:t>SurveyMonkey</w:t>
      </w:r>
      <w:proofErr w:type="spellEnd"/>
      <w:r w:rsidR="00A26DF8">
        <w:rPr>
          <w:b/>
        </w:rPr>
        <w:t xml:space="preserve">, so that all the data collected through the call for evidence is located in the same place and can be more </w:t>
      </w:r>
      <w:r w:rsidR="00A26DF8">
        <w:rPr>
          <w:b/>
        </w:rPr>
        <w:lastRenderedPageBreak/>
        <w:t xml:space="preserve">easily analysed. </w:t>
      </w:r>
      <w:r w:rsidR="008561D5" w:rsidRPr="00BD1EA2">
        <w:t>MHCLG has</w:t>
      </w:r>
      <w:r w:rsidR="00126017" w:rsidRPr="00BD1EA2">
        <w:t xml:space="preserve"> taken all necessary precautions to ensure that your rights in terms of data protection will not be compromised by this.</w:t>
      </w:r>
      <w:r w:rsidR="00A26DF8">
        <w:t xml:space="preserve"> </w:t>
      </w:r>
    </w:p>
    <w:p w:rsidR="00126017" w:rsidRPr="00EA3E5B" w:rsidRDefault="00126017" w:rsidP="00BD1EA2">
      <w:pPr>
        <w:spacing w:after="0" w:line="240" w:lineRule="auto"/>
      </w:pPr>
    </w:p>
    <w:p w:rsidR="00126017" w:rsidRDefault="00977ED1" w:rsidP="00BD1EA2">
      <w:pPr>
        <w:spacing w:after="0" w:line="240" w:lineRule="auto"/>
        <w:rPr>
          <w:b/>
        </w:rPr>
      </w:pPr>
      <w:r>
        <w:rPr>
          <w:b/>
        </w:rPr>
        <w:t>8</w:t>
      </w:r>
      <w:r w:rsidR="00126017" w:rsidRPr="00EA3E5B">
        <w:rPr>
          <w:b/>
        </w:rPr>
        <w:t>.</w:t>
      </w:r>
      <w:r w:rsidR="00A07713">
        <w:rPr>
          <w:b/>
        </w:rPr>
        <w:t xml:space="preserve"> </w:t>
      </w:r>
      <w:r w:rsidR="00126017" w:rsidRPr="00EA3E5B">
        <w:rPr>
          <w:b/>
        </w:rPr>
        <w:t>Your personal data will not be used for any automated decision making.</w:t>
      </w:r>
    </w:p>
    <w:p w:rsidR="00126017" w:rsidRPr="00EA3E5B" w:rsidRDefault="00126017" w:rsidP="00BD1EA2">
      <w:pPr>
        <w:spacing w:after="0" w:line="240" w:lineRule="auto"/>
        <w:rPr>
          <w:b/>
        </w:rPr>
      </w:pPr>
      <w:r w:rsidRPr="00EA3E5B">
        <w:rPr>
          <w:b/>
        </w:rPr>
        <w:t xml:space="preserve">                    </w:t>
      </w:r>
    </w:p>
    <w:p w:rsidR="00126017" w:rsidRPr="00EA3E5B" w:rsidRDefault="00977ED1" w:rsidP="00BD1EA2">
      <w:pPr>
        <w:spacing w:after="0" w:line="240" w:lineRule="auto"/>
        <w:rPr>
          <w:b/>
        </w:rPr>
      </w:pPr>
      <w:r>
        <w:rPr>
          <w:b/>
        </w:rPr>
        <w:t>9</w:t>
      </w:r>
      <w:r w:rsidR="00126017" w:rsidRPr="00EA3E5B">
        <w:rPr>
          <w:b/>
        </w:rPr>
        <w:t>.</w:t>
      </w:r>
      <w:r w:rsidR="00A07713">
        <w:rPr>
          <w:b/>
        </w:rPr>
        <w:t xml:space="preserve"> </w:t>
      </w:r>
      <w:r w:rsidR="00126017" w:rsidRPr="00EA3E5B">
        <w:rPr>
          <w:b/>
        </w:rPr>
        <w:t>Your personal data will be stored in a secure government IT system.</w:t>
      </w:r>
      <w:r w:rsidR="008561D5">
        <w:rPr>
          <w:b/>
        </w:rPr>
        <w:t xml:space="preserve"> </w:t>
      </w:r>
      <w:r w:rsidR="008561D5">
        <w:t xml:space="preserve">While the call for evidence is open some of the data may be copied over from </w:t>
      </w:r>
      <w:proofErr w:type="spellStart"/>
      <w:r w:rsidR="008561D5">
        <w:t>SurveyMonkey</w:t>
      </w:r>
      <w:proofErr w:type="spellEnd"/>
      <w:r w:rsidR="008561D5">
        <w:t xml:space="preserve"> to our internal secure government IT system. After the closure of the time period of the call for evidence, all the data may be copied over to our internal, secure, government IT system. </w:t>
      </w:r>
      <w:r w:rsidR="00126017" w:rsidRPr="00EA3E5B">
        <w:rPr>
          <w:b/>
        </w:rPr>
        <w:t xml:space="preserve"> </w:t>
      </w:r>
    </w:p>
    <w:p w:rsidR="00DB6AEE" w:rsidRPr="00056850" w:rsidRDefault="00DB6AEE" w:rsidP="00BD1EA2">
      <w:pPr>
        <w:spacing w:after="0" w:line="240" w:lineRule="auto"/>
      </w:pPr>
    </w:p>
    <w:sectPr w:rsidR="00DB6AEE" w:rsidRPr="00056850">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EBF" w:rsidRDefault="006B6EBF" w:rsidP="00056850">
      <w:pPr>
        <w:spacing w:after="0" w:line="240" w:lineRule="auto"/>
      </w:pPr>
      <w:r>
        <w:separator/>
      </w:r>
    </w:p>
  </w:endnote>
  <w:endnote w:type="continuationSeparator" w:id="0">
    <w:p w:rsidR="006B6EBF" w:rsidRDefault="006B6EBF" w:rsidP="00056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50" w:rsidRDefault="000568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50" w:rsidRDefault="000568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50" w:rsidRDefault="000568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EBF" w:rsidRDefault="006B6EBF" w:rsidP="00056850">
      <w:pPr>
        <w:spacing w:after="0" w:line="240" w:lineRule="auto"/>
      </w:pPr>
      <w:r>
        <w:separator/>
      </w:r>
    </w:p>
  </w:footnote>
  <w:footnote w:type="continuationSeparator" w:id="0">
    <w:p w:rsidR="006B6EBF" w:rsidRDefault="006B6EBF" w:rsidP="00056850">
      <w:pPr>
        <w:spacing w:after="0" w:line="240" w:lineRule="auto"/>
      </w:pPr>
      <w:r>
        <w:continuationSeparator/>
      </w:r>
    </w:p>
  </w:footnote>
  <w:footnote w:id="1">
    <w:p w:rsidR="00A14B8A" w:rsidRPr="009F16C9" w:rsidRDefault="00A14B8A">
      <w:pPr>
        <w:pStyle w:val="FootnoteText"/>
        <w:rPr>
          <w:i/>
        </w:rPr>
      </w:pPr>
      <w:r w:rsidRPr="009F16C9">
        <w:rPr>
          <w:rStyle w:val="FootnoteReference"/>
          <w:i/>
        </w:rPr>
        <w:footnoteRef/>
      </w:r>
      <w:r w:rsidRPr="009F16C9">
        <w:rPr>
          <w:i/>
        </w:rPr>
        <w:t xml:space="preserve"> </w:t>
      </w:r>
      <w:r w:rsidR="00E1487D" w:rsidRPr="00E1487D">
        <w:rPr>
          <w:i/>
          <w:sz w:val="22"/>
          <w:szCs w:val="22"/>
        </w:rPr>
        <w:t>A rule 6 party is a</w:t>
      </w:r>
      <w:r w:rsidRPr="00E1487D">
        <w:rPr>
          <w:i/>
          <w:iCs/>
          <w:sz w:val="22"/>
          <w:szCs w:val="22"/>
        </w:rPr>
        <w:t>ny person (apart from the appellant and local planning authority), who has notified the Secretary of State (Planning Inspectorate) of an intention or wish to appear at an inquiry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50" w:rsidRDefault="000568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50" w:rsidRDefault="000568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50" w:rsidRDefault="000568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C229A"/>
    <w:multiLevelType w:val="hybridMultilevel"/>
    <w:tmpl w:val="4364AD86"/>
    <w:lvl w:ilvl="0" w:tplc="B0CC0842">
      <w:start w:val="1"/>
      <w:numFmt w:val="decimal"/>
      <w:lvlText w:val="Q%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32384B86"/>
    <w:multiLevelType w:val="hybridMultilevel"/>
    <w:tmpl w:val="83803E9C"/>
    <w:lvl w:ilvl="0" w:tplc="65EC7348">
      <w:start w:val="1"/>
      <w:numFmt w:val="decimal"/>
      <w:lvlText w:val="Q%1."/>
      <w:lvlJc w:val="left"/>
      <w:pPr>
        <w:ind w:left="-938" w:hanging="360"/>
      </w:pPr>
      <w:rPr>
        <w:rFonts w:hint="default"/>
        <w:b w:val="0"/>
      </w:rPr>
    </w:lvl>
    <w:lvl w:ilvl="1" w:tplc="08090019">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2">
    <w:nsid w:val="46F03AC9"/>
    <w:multiLevelType w:val="hybridMultilevel"/>
    <w:tmpl w:val="4364AD86"/>
    <w:lvl w:ilvl="0" w:tplc="B0CC0842">
      <w:start w:val="1"/>
      <w:numFmt w:val="decimal"/>
      <w:lvlText w:val="Q%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5AE26820"/>
    <w:multiLevelType w:val="hybridMultilevel"/>
    <w:tmpl w:val="9C6C5EA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5C963EF4"/>
    <w:multiLevelType w:val="hybridMultilevel"/>
    <w:tmpl w:val="4364AD86"/>
    <w:lvl w:ilvl="0" w:tplc="B0CC0842">
      <w:start w:val="1"/>
      <w:numFmt w:val="decimal"/>
      <w:lvlText w:val="Q%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6AC01573"/>
    <w:multiLevelType w:val="hybridMultilevel"/>
    <w:tmpl w:val="4364AD86"/>
    <w:lvl w:ilvl="0" w:tplc="B0CC0842">
      <w:start w:val="1"/>
      <w:numFmt w:val="decimal"/>
      <w:lvlText w:val="Q%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3"/>
  </w:num>
  <w:num w:numId="2">
    <w:abstractNumId w:val="1"/>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4A0"/>
    <w:rsid w:val="00014F90"/>
    <w:rsid w:val="00020B8C"/>
    <w:rsid w:val="00054247"/>
    <w:rsid w:val="00056850"/>
    <w:rsid w:val="00071331"/>
    <w:rsid w:val="000A1145"/>
    <w:rsid w:val="000B1C92"/>
    <w:rsid w:val="000B435F"/>
    <w:rsid w:val="000C4746"/>
    <w:rsid w:val="000E513A"/>
    <w:rsid w:val="000F21E2"/>
    <w:rsid w:val="000F558C"/>
    <w:rsid w:val="001257CF"/>
    <w:rsid w:val="00126017"/>
    <w:rsid w:val="00153826"/>
    <w:rsid w:val="0017302A"/>
    <w:rsid w:val="001B0289"/>
    <w:rsid w:val="001B6AF6"/>
    <w:rsid w:val="001D7E66"/>
    <w:rsid w:val="001E22F4"/>
    <w:rsid w:val="00212013"/>
    <w:rsid w:val="00221953"/>
    <w:rsid w:val="00226633"/>
    <w:rsid w:val="00245305"/>
    <w:rsid w:val="00245E02"/>
    <w:rsid w:val="0026348B"/>
    <w:rsid w:val="00280557"/>
    <w:rsid w:val="002D3F7F"/>
    <w:rsid w:val="002D7C3B"/>
    <w:rsid w:val="00302119"/>
    <w:rsid w:val="00313743"/>
    <w:rsid w:val="00313DDA"/>
    <w:rsid w:val="0032164A"/>
    <w:rsid w:val="00362B01"/>
    <w:rsid w:val="003864F7"/>
    <w:rsid w:val="00390FFC"/>
    <w:rsid w:val="00396A6C"/>
    <w:rsid w:val="003B7288"/>
    <w:rsid w:val="003C1C2D"/>
    <w:rsid w:val="003D71C6"/>
    <w:rsid w:val="00405643"/>
    <w:rsid w:val="004A77C3"/>
    <w:rsid w:val="004B2E8C"/>
    <w:rsid w:val="004C598E"/>
    <w:rsid w:val="00502914"/>
    <w:rsid w:val="00512FEF"/>
    <w:rsid w:val="00515457"/>
    <w:rsid w:val="005456B7"/>
    <w:rsid w:val="00555C4D"/>
    <w:rsid w:val="00565E29"/>
    <w:rsid w:val="00580C19"/>
    <w:rsid w:val="00580C68"/>
    <w:rsid w:val="005A7607"/>
    <w:rsid w:val="00606A0C"/>
    <w:rsid w:val="00610E18"/>
    <w:rsid w:val="006244DC"/>
    <w:rsid w:val="00624D44"/>
    <w:rsid w:val="00631EA0"/>
    <w:rsid w:val="00644B0E"/>
    <w:rsid w:val="00646873"/>
    <w:rsid w:val="00661717"/>
    <w:rsid w:val="00676830"/>
    <w:rsid w:val="006770AF"/>
    <w:rsid w:val="00682A01"/>
    <w:rsid w:val="00690399"/>
    <w:rsid w:val="00694DCB"/>
    <w:rsid w:val="006968E8"/>
    <w:rsid w:val="006B6EBF"/>
    <w:rsid w:val="006D6E9A"/>
    <w:rsid w:val="006F4BA7"/>
    <w:rsid w:val="007012D2"/>
    <w:rsid w:val="00726087"/>
    <w:rsid w:val="007304A4"/>
    <w:rsid w:val="00731A26"/>
    <w:rsid w:val="007524B7"/>
    <w:rsid w:val="00755D84"/>
    <w:rsid w:val="00763E44"/>
    <w:rsid w:val="00773037"/>
    <w:rsid w:val="007C1EC4"/>
    <w:rsid w:val="00805D31"/>
    <w:rsid w:val="008064A0"/>
    <w:rsid w:val="00814669"/>
    <w:rsid w:val="00817007"/>
    <w:rsid w:val="008427F3"/>
    <w:rsid w:val="008430BA"/>
    <w:rsid w:val="008561D5"/>
    <w:rsid w:val="008613E2"/>
    <w:rsid w:val="00875ABF"/>
    <w:rsid w:val="008778DF"/>
    <w:rsid w:val="008807AB"/>
    <w:rsid w:val="0088496B"/>
    <w:rsid w:val="00914946"/>
    <w:rsid w:val="009230F3"/>
    <w:rsid w:val="00933F44"/>
    <w:rsid w:val="00942536"/>
    <w:rsid w:val="0095517F"/>
    <w:rsid w:val="009638EA"/>
    <w:rsid w:val="00965BE9"/>
    <w:rsid w:val="00967E34"/>
    <w:rsid w:val="00977ED1"/>
    <w:rsid w:val="0098526F"/>
    <w:rsid w:val="009B2959"/>
    <w:rsid w:val="009C0012"/>
    <w:rsid w:val="009C5507"/>
    <w:rsid w:val="009D2F38"/>
    <w:rsid w:val="009E4C2A"/>
    <w:rsid w:val="009E5B0E"/>
    <w:rsid w:val="009F16C9"/>
    <w:rsid w:val="009F5834"/>
    <w:rsid w:val="00A03BBA"/>
    <w:rsid w:val="00A0449D"/>
    <w:rsid w:val="00A07713"/>
    <w:rsid w:val="00A14B8A"/>
    <w:rsid w:val="00A26DF8"/>
    <w:rsid w:val="00A743E6"/>
    <w:rsid w:val="00A7716A"/>
    <w:rsid w:val="00AE5D8B"/>
    <w:rsid w:val="00AF3287"/>
    <w:rsid w:val="00B047D8"/>
    <w:rsid w:val="00B112A1"/>
    <w:rsid w:val="00B13367"/>
    <w:rsid w:val="00B22839"/>
    <w:rsid w:val="00B232B9"/>
    <w:rsid w:val="00B35B31"/>
    <w:rsid w:val="00B55FF0"/>
    <w:rsid w:val="00B65D88"/>
    <w:rsid w:val="00B71508"/>
    <w:rsid w:val="00B72DD5"/>
    <w:rsid w:val="00B77761"/>
    <w:rsid w:val="00BC582F"/>
    <w:rsid w:val="00BD0291"/>
    <w:rsid w:val="00BD14C4"/>
    <w:rsid w:val="00BD1EA2"/>
    <w:rsid w:val="00BD52C3"/>
    <w:rsid w:val="00BF0706"/>
    <w:rsid w:val="00BF191D"/>
    <w:rsid w:val="00BF69CF"/>
    <w:rsid w:val="00C12218"/>
    <w:rsid w:val="00C3318E"/>
    <w:rsid w:val="00C67666"/>
    <w:rsid w:val="00C92FE3"/>
    <w:rsid w:val="00C94AF3"/>
    <w:rsid w:val="00CB61AB"/>
    <w:rsid w:val="00CF0E95"/>
    <w:rsid w:val="00CF19C5"/>
    <w:rsid w:val="00D84A2A"/>
    <w:rsid w:val="00D85C90"/>
    <w:rsid w:val="00D85FD7"/>
    <w:rsid w:val="00DB6AEE"/>
    <w:rsid w:val="00DE121E"/>
    <w:rsid w:val="00DF0E16"/>
    <w:rsid w:val="00E135BF"/>
    <w:rsid w:val="00E1487D"/>
    <w:rsid w:val="00E5032E"/>
    <w:rsid w:val="00E548B6"/>
    <w:rsid w:val="00E73DCE"/>
    <w:rsid w:val="00E82E62"/>
    <w:rsid w:val="00EA2CE1"/>
    <w:rsid w:val="00EE7B8A"/>
    <w:rsid w:val="00F02AC3"/>
    <w:rsid w:val="00F07543"/>
    <w:rsid w:val="00F10D60"/>
    <w:rsid w:val="00F26B14"/>
    <w:rsid w:val="00F54823"/>
    <w:rsid w:val="00F55CFE"/>
    <w:rsid w:val="00F56FC4"/>
    <w:rsid w:val="00F605C4"/>
    <w:rsid w:val="00FB0C8A"/>
    <w:rsid w:val="00FC48C6"/>
    <w:rsid w:val="00FD6730"/>
    <w:rsid w:val="00FE23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8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6850"/>
  </w:style>
  <w:style w:type="paragraph" w:styleId="Footer">
    <w:name w:val="footer"/>
    <w:basedOn w:val="Normal"/>
    <w:link w:val="FooterChar"/>
    <w:uiPriority w:val="99"/>
    <w:unhideWhenUsed/>
    <w:rsid w:val="000568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6850"/>
  </w:style>
  <w:style w:type="character" w:styleId="CommentReference">
    <w:name w:val="annotation reference"/>
    <w:basedOn w:val="DefaultParagraphFont"/>
    <w:uiPriority w:val="99"/>
    <w:semiHidden/>
    <w:unhideWhenUsed/>
    <w:rsid w:val="000B1C92"/>
    <w:rPr>
      <w:sz w:val="16"/>
      <w:szCs w:val="16"/>
    </w:rPr>
  </w:style>
  <w:style w:type="paragraph" w:styleId="CommentText">
    <w:name w:val="annotation text"/>
    <w:basedOn w:val="Normal"/>
    <w:link w:val="CommentTextChar"/>
    <w:uiPriority w:val="99"/>
    <w:semiHidden/>
    <w:unhideWhenUsed/>
    <w:rsid w:val="000B1C92"/>
    <w:pPr>
      <w:spacing w:line="240" w:lineRule="auto"/>
    </w:pPr>
    <w:rPr>
      <w:sz w:val="20"/>
      <w:szCs w:val="20"/>
    </w:rPr>
  </w:style>
  <w:style w:type="character" w:customStyle="1" w:styleId="CommentTextChar">
    <w:name w:val="Comment Text Char"/>
    <w:basedOn w:val="DefaultParagraphFont"/>
    <w:link w:val="CommentText"/>
    <w:uiPriority w:val="99"/>
    <w:semiHidden/>
    <w:rsid w:val="000B1C92"/>
    <w:rPr>
      <w:sz w:val="20"/>
      <w:szCs w:val="20"/>
    </w:rPr>
  </w:style>
  <w:style w:type="paragraph" w:styleId="CommentSubject">
    <w:name w:val="annotation subject"/>
    <w:basedOn w:val="CommentText"/>
    <w:next w:val="CommentText"/>
    <w:link w:val="CommentSubjectChar"/>
    <w:uiPriority w:val="99"/>
    <w:semiHidden/>
    <w:unhideWhenUsed/>
    <w:rsid w:val="000B1C92"/>
    <w:rPr>
      <w:b/>
      <w:bCs/>
    </w:rPr>
  </w:style>
  <w:style w:type="character" w:customStyle="1" w:styleId="CommentSubjectChar">
    <w:name w:val="Comment Subject Char"/>
    <w:basedOn w:val="CommentTextChar"/>
    <w:link w:val="CommentSubject"/>
    <w:uiPriority w:val="99"/>
    <w:semiHidden/>
    <w:rsid w:val="000B1C92"/>
    <w:rPr>
      <w:b/>
      <w:bCs/>
      <w:sz w:val="20"/>
      <w:szCs w:val="20"/>
    </w:rPr>
  </w:style>
  <w:style w:type="paragraph" w:styleId="BalloonText">
    <w:name w:val="Balloon Text"/>
    <w:basedOn w:val="Normal"/>
    <w:link w:val="BalloonTextChar"/>
    <w:uiPriority w:val="99"/>
    <w:semiHidden/>
    <w:unhideWhenUsed/>
    <w:rsid w:val="000B1C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C92"/>
    <w:rPr>
      <w:rFonts w:ascii="Tahoma" w:hAnsi="Tahoma" w:cs="Tahoma"/>
      <w:sz w:val="16"/>
      <w:szCs w:val="16"/>
    </w:rPr>
  </w:style>
  <w:style w:type="table" w:styleId="TableGrid">
    <w:name w:val="Table Grid"/>
    <w:basedOn w:val="TableNormal"/>
    <w:uiPriority w:val="59"/>
    <w:rsid w:val="00F075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C1C2D"/>
    <w:pPr>
      <w:ind w:left="720"/>
      <w:contextualSpacing/>
    </w:pPr>
  </w:style>
  <w:style w:type="paragraph" w:styleId="FootnoteText">
    <w:name w:val="footnote text"/>
    <w:basedOn w:val="Normal"/>
    <w:link w:val="FootnoteTextChar"/>
    <w:uiPriority w:val="99"/>
    <w:semiHidden/>
    <w:unhideWhenUsed/>
    <w:rsid w:val="00A14B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4B8A"/>
    <w:rPr>
      <w:sz w:val="20"/>
      <w:szCs w:val="20"/>
    </w:rPr>
  </w:style>
  <w:style w:type="character" w:styleId="FootnoteReference">
    <w:name w:val="footnote reference"/>
    <w:basedOn w:val="DefaultParagraphFont"/>
    <w:uiPriority w:val="99"/>
    <w:semiHidden/>
    <w:unhideWhenUsed/>
    <w:rsid w:val="00A14B8A"/>
    <w:rPr>
      <w:vertAlign w:val="superscript"/>
    </w:rPr>
  </w:style>
  <w:style w:type="character" w:styleId="Hyperlink">
    <w:name w:val="Hyperlink"/>
    <w:uiPriority w:val="99"/>
    <w:rsid w:val="0012601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8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6850"/>
  </w:style>
  <w:style w:type="paragraph" w:styleId="Footer">
    <w:name w:val="footer"/>
    <w:basedOn w:val="Normal"/>
    <w:link w:val="FooterChar"/>
    <w:uiPriority w:val="99"/>
    <w:unhideWhenUsed/>
    <w:rsid w:val="000568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6850"/>
  </w:style>
  <w:style w:type="character" w:styleId="CommentReference">
    <w:name w:val="annotation reference"/>
    <w:basedOn w:val="DefaultParagraphFont"/>
    <w:uiPriority w:val="99"/>
    <w:semiHidden/>
    <w:unhideWhenUsed/>
    <w:rsid w:val="000B1C92"/>
    <w:rPr>
      <w:sz w:val="16"/>
      <w:szCs w:val="16"/>
    </w:rPr>
  </w:style>
  <w:style w:type="paragraph" w:styleId="CommentText">
    <w:name w:val="annotation text"/>
    <w:basedOn w:val="Normal"/>
    <w:link w:val="CommentTextChar"/>
    <w:uiPriority w:val="99"/>
    <w:semiHidden/>
    <w:unhideWhenUsed/>
    <w:rsid w:val="000B1C92"/>
    <w:pPr>
      <w:spacing w:line="240" w:lineRule="auto"/>
    </w:pPr>
    <w:rPr>
      <w:sz w:val="20"/>
      <w:szCs w:val="20"/>
    </w:rPr>
  </w:style>
  <w:style w:type="character" w:customStyle="1" w:styleId="CommentTextChar">
    <w:name w:val="Comment Text Char"/>
    <w:basedOn w:val="DefaultParagraphFont"/>
    <w:link w:val="CommentText"/>
    <w:uiPriority w:val="99"/>
    <w:semiHidden/>
    <w:rsid w:val="000B1C92"/>
    <w:rPr>
      <w:sz w:val="20"/>
      <w:szCs w:val="20"/>
    </w:rPr>
  </w:style>
  <w:style w:type="paragraph" w:styleId="CommentSubject">
    <w:name w:val="annotation subject"/>
    <w:basedOn w:val="CommentText"/>
    <w:next w:val="CommentText"/>
    <w:link w:val="CommentSubjectChar"/>
    <w:uiPriority w:val="99"/>
    <w:semiHidden/>
    <w:unhideWhenUsed/>
    <w:rsid w:val="000B1C92"/>
    <w:rPr>
      <w:b/>
      <w:bCs/>
    </w:rPr>
  </w:style>
  <w:style w:type="character" w:customStyle="1" w:styleId="CommentSubjectChar">
    <w:name w:val="Comment Subject Char"/>
    <w:basedOn w:val="CommentTextChar"/>
    <w:link w:val="CommentSubject"/>
    <w:uiPriority w:val="99"/>
    <w:semiHidden/>
    <w:rsid w:val="000B1C92"/>
    <w:rPr>
      <w:b/>
      <w:bCs/>
      <w:sz w:val="20"/>
      <w:szCs w:val="20"/>
    </w:rPr>
  </w:style>
  <w:style w:type="paragraph" w:styleId="BalloonText">
    <w:name w:val="Balloon Text"/>
    <w:basedOn w:val="Normal"/>
    <w:link w:val="BalloonTextChar"/>
    <w:uiPriority w:val="99"/>
    <w:semiHidden/>
    <w:unhideWhenUsed/>
    <w:rsid w:val="000B1C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C92"/>
    <w:rPr>
      <w:rFonts w:ascii="Tahoma" w:hAnsi="Tahoma" w:cs="Tahoma"/>
      <w:sz w:val="16"/>
      <w:szCs w:val="16"/>
    </w:rPr>
  </w:style>
  <w:style w:type="table" w:styleId="TableGrid">
    <w:name w:val="Table Grid"/>
    <w:basedOn w:val="TableNormal"/>
    <w:uiPriority w:val="59"/>
    <w:rsid w:val="00F075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C1C2D"/>
    <w:pPr>
      <w:ind w:left="720"/>
      <w:contextualSpacing/>
    </w:pPr>
  </w:style>
  <w:style w:type="paragraph" w:styleId="FootnoteText">
    <w:name w:val="footnote text"/>
    <w:basedOn w:val="Normal"/>
    <w:link w:val="FootnoteTextChar"/>
    <w:uiPriority w:val="99"/>
    <w:semiHidden/>
    <w:unhideWhenUsed/>
    <w:rsid w:val="00A14B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4B8A"/>
    <w:rPr>
      <w:sz w:val="20"/>
      <w:szCs w:val="20"/>
    </w:rPr>
  </w:style>
  <w:style w:type="character" w:styleId="FootnoteReference">
    <w:name w:val="footnote reference"/>
    <w:basedOn w:val="DefaultParagraphFont"/>
    <w:uiPriority w:val="99"/>
    <w:semiHidden/>
    <w:unhideWhenUsed/>
    <w:rsid w:val="00A14B8A"/>
    <w:rPr>
      <w:vertAlign w:val="superscript"/>
    </w:rPr>
  </w:style>
  <w:style w:type="character" w:styleId="Hyperlink">
    <w:name w:val="Hyperlink"/>
    <w:uiPriority w:val="99"/>
    <w:rsid w:val="001260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044488">
      <w:bodyDiv w:val="1"/>
      <w:marLeft w:val="0"/>
      <w:marRight w:val="0"/>
      <w:marTop w:val="0"/>
      <w:marBottom w:val="0"/>
      <w:divBdr>
        <w:top w:val="none" w:sz="0" w:space="0" w:color="auto"/>
        <w:left w:val="none" w:sz="0" w:space="0" w:color="auto"/>
        <w:bottom w:val="none" w:sz="0" w:space="0" w:color="auto"/>
        <w:right w:val="none" w:sz="0" w:space="0" w:color="auto"/>
      </w:divBdr>
    </w:div>
    <w:div w:id="1983727318">
      <w:bodyDiv w:val="1"/>
      <w:marLeft w:val="0"/>
      <w:marRight w:val="0"/>
      <w:marTop w:val="0"/>
      <w:marBottom w:val="0"/>
      <w:divBdr>
        <w:top w:val="none" w:sz="0" w:space="0" w:color="auto"/>
        <w:left w:val="none" w:sz="0" w:space="0" w:color="auto"/>
        <w:bottom w:val="none" w:sz="0" w:space="0" w:color="auto"/>
        <w:right w:val="none" w:sz="0" w:space="0" w:color="auto"/>
      </w:divBdr>
    </w:div>
    <w:div w:id="199472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ataprotection@communities.gsi.gov.uk"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gov.uk/government/organisations/department-for-communities-and-local-government/about/complaints-procedur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planning-appeals-procedural-guide" TargetMode="Externa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hyperlink" Target="https://www.surveymonkey.co.uk/r/RV5CTV8"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6F215-C597-48F6-911C-6E58BD072369}">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E014A442-F51A-4B06-A35C-0FFC89BE1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1998</Words>
  <Characters>11392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Department for Communities and Local Government</Company>
  <LinksUpToDate>false</LinksUpToDate>
  <CharactersWithSpaces>13364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 MacDonald</dc:creator>
  <cp:lastModifiedBy>bmacdona</cp:lastModifiedBy>
  <cp:revision>2</cp:revision>
  <cp:lastPrinted>2018-07-20T12:04:00Z</cp:lastPrinted>
  <dcterms:created xsi:type="dcterms:W3CDTF">2018-07-20T14:19:00Z</dcterms:created>
  <dcterms:modified xsi:type="dcterms:W3CDTF">2018-07-20T14:19:00Z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4a966f4b-859a-4aef-a39e-44750b538a17</vt:lpwstr>
  </property>
  <property fmtid="{D5CDD505-2E9C-101B-9397-08002B2CF9AE}" pid="3" name="bjSaver">
    <vt:lpwstr>bEF9WYjP9vg+vImR0iw0s1mAdx87S5gw</vt:lpwstr>
  </property>
  <property fmtid="{D5CDD505-2E9C-101B-9397-08002B2CF9AE}" pid="4" name="bjDocumentSecurityLabel">
    <vt:lpwstr>No Marking</vt:lpwstr>
  </property>
</Properties>
</file>