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C7CAB" w14:textId="26DB7CD2" w:rsidR="00FC1089" w:rsidRPr="00FC1089" w:rsidRDefault="00FC1089" w:rsidP="00AD05F3">
      <w:pPr>
        <w:pStyle w:val="Title"/>
        <w:rPr>
          <w:sz w:val="52"/>
        </w:rPr>
      </w:pPr>
      <w:r>
        <w:rPr>
          <w:noProof/>
        </w:rPr>
        <w:drawing>
          <wp:anchor distT="0" distB="0" distL="114300" distR="114300" simplePos="0" relativeHeight="251659264" behindDoc="1" locked="0" layoutInCell="1" allowOverlap="1" wp14:anchorId="2A685098" wp14:editId="4D504002">
            <wp:simplePos x="0" y="0"/>
            <wp:positionH relativeFrom="margin">
              <wp:align>right</wp:align>
            </wp:positionH>
            <wp:positionV relativeFrom="paragraph">
              <wp:posOffset>-2540</wp:posOffset>
            </wp:positionV>
            <wp:extent cx="1960880" cy="9067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MCTS_BLK_SML_AW.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0880" cy="906780"/>
                    </a:xfrm>
                    <a:prstGeom prst="rect">
                      <a:avLst/>
                    </a:prstGeom>
                  </pic:spPr>
                </pic:pic>
              </a:graphicData>
            </a:graphic>
            <wp14:sizeRelH relativeFrom="page">
              <wp14:pctWidth>0</wp14:pctWidth>
            </wp14:sizeRelH>
            <wp14:sizeRelV relativeFrom="page">
              <wp14:pctHeight>0</wp14:pctHeight>
            </wp14:sizeRelV>
          </wp:anchor>
        </w:drawing>
      </w:r>
      <w:r w:rsidRPr="00FC1089">
        <w:rPr>
          <w:sz w:val="52"/>
        </w:rPr>
        <w:t>Probate Registries</w:t>
      </w:r>
    </w:p>
    <w:p w14:paraId="18CE9574" w14:textId="1D781C03" w:rsidR="00545B6C" w:rsidRPr="00FC1089" w:rsidRDefault="00FC1089" w:rsidP="00AD05F3">
      <w:pPr>
        <w:pStyle w:val="Title"/>
        <w:rPr>
          <w:sz w:val="52"/>
        </w:rPr>
      </w:pPr>
      <w:r w:rsidRPr="00FC1089">
        <w:rPr>
          <w:sz w:val="52"/>
        </w:rPr>
        <w:t>HM Courts and Tribunals Service</w:t>
      </w:r>
    </w:p>
    <w:p w14:paraId="4848496C" w14:textId="006B4D2C" w:rsidR="00B91315" w:rsidRPr="00010D81" w:rsidRDefault="00E66A89" w:rsidP="00AD05F3">
      <w:pPr>
        <w:pStyle w:val="Subtitle"/>
        <w:rPr>
          <w:sz w:val="44"/>
        </w:rPr>
      </w:pPr>
      <w:r w:rsidRPr="00010D81">
        <w:rPr>
          <w:sz w:val="44"/>
        </w:rPr>
        <w:t>Records Retention and Disposition Schedule</w:t>
      </w:r>
    </w:p>
    <w:p w14:paraId="12959C9B" w14:textId="77777777" w:rsidR="00E66A89" w:rsidRDefault="00E66A89" w:rsidP="00E66A89">
      <w:pPr>
        <w:pStyle w:val="Heading2"/>
      </w:pPr>
      <w:bookmarkStart w:id="0" w:name="_Toc6321028"/>
      <w:r w:rsidRPr="00E66A89">
        <w:t>Introduction</w:t>
      </w:r>
    </w:p>
    <w:bookmarkEnd w:id="0"/>
    <w:p w14:paraId="036F2DAD" w14:textId="48320AAB" w:rsidR="00E66A89" w:rsidRPr="00E66A89" w:rsidRDefault="00D12245" w:rsidP="00FC1089">
      <w:pPr>
        <w:numPr>
          <w:ilvl w:val="0"/>
          <w:numId w:val="6"/>
        </w:numPr>
        <w:spacing w:after="0" w:line="240" w:lineRule="auto"/>
        <w:ind w:left="360"/>
        <w:rPr>
          <w:rFonts w:cs="Arial"/>
          <w:szCs w:val="24"/>
        </w:rPr>
      </w:pPr>
      <w:r w:rsidRPr="00D12245">
        <w:rPr>
          <w:rFonts w:cs="Arial"/>
          <w:szCs w:val="24"/>
        </w:rPr>
        <w:t xml:space="preserve">This schedule applies to the records that are created and managed by staff employed </w:t>
      </w:r>
      <w:r w:rsidR="00FC1089">
        <w:rPr>
          <w:rFonts w:cs="Arial"/>
          <w:szCs w:val="24"/>
        </w:rPr>
        <w:t xml:space="preserve">in the Probate Registries in </w:t>
      </w:r>
      <w:r w:rsidR="00FC1089" w:rsidRPr="00FC1089">
        <w:rPr>
          <w:rFonts w:cs="Arial"/>
          <w:szCs w:val="24"/>
        </w:rPr>
        <w:t>HM Courts and Tribunals Service</w:t>
      </w:r>
      <w:r w:rsidR="00FC1089">
        <w:rPr>
          <w:rFonts w:cs="Arial"/>
          <w:szCs w:val="24"/>
        </w:rPr>
        <w:t xml:space="preserve"> (HMCTS)</w:t>
      </w:r>
      <w:r w:rsidRPr="00D12245">
        <w:rPr>
          <w:rFonts w:cs="Arial"/>
          <w:szCs w:val="24"/>
        </w:rPr>
        <w:t xml:space="preserve">. It has been agreed following consultation </w:t>
      </w:r>
      <w:r w:rsidR="00C9433F">
        <w:rPr>
          <w:rFonts w:cs="Arial"/>
          <w:szCs w:val="24"/>
        </w:rPr>
        <w:t xml:space="preserve">with </w:t>
      </w:r>
      <w:r w:rsidRPr="00D12245">
        <w:rPr>
          <w:rFonts w:cs="Arial"/>
          <w:szCs w:val="24"/>
        </w:rPr>
        <w:t>the Departmental Records Officer’s (DRO) team in the Ministry o</w:t>
      </w:r>
      <w:r>
        <w:rPr>
          <w:rFonts w:cs="Arial"/>
          <w:szCs w:val="24"/>
        </w:rPr>
        <w:t>f Justice</w:t>
      </w:r>
      <w:r w:rsidR="00E66A89" w:rsidRPr="00E66A89">
        <w:rPr>
          <w:rFonts w:cs="Arial"/>
          <w:szCs w:val="24"/>
        </w:rPr>
        <w:t xml:space="preserve">. </w:t>
      </w:r>
      <w:r w:rsidR="00E66A89" w:rsidRPr="00E66A89">
        <w:rPr>
          <w:rFonts w:cs="Arial"/>
          <w:szCs w:val="24"/>
        </w:rPr>
        <w:br/>
      </w:r>
    </w:p>
    <w:p w14:paraId="776AD513" w14:textId="69DE09EC" w:rsidR="00D12245" w:rsidRDefault="00D12245" w:rsidP="00D12245">
      <w:pPr>
        <w:numPr>
          <w:ilvl w:val="0"/>
          <w:numId w:val="6"/>
        </w:numPr>
        <w:spacing w:after="0" w:line="240" w:lineRule="auto"/>
        <w:ind w:left="360"/>
        <w:rPr>
          <w:rFonts w:cs="Arial"/>
          <w:szCs w:val="24"/>
        </w:rPr>
      </w:pPr>
      <w:bookmarkStart w:id="1" w:name="_Hlk514921578"/>
      <w:r w:rsidRPr="00D12245">
        <w:rPr>
          <w:rFonts w:cs="Arial"/>
          <w:szCs w:val="24"/>
        </w:rPr>
        <w:t>As a public body, the MoJ takes its responsibilities for managing information seriously. These responsibilities include compliance with the Public Records Act 1958, General Data Protection Regulation (GDPR), the Data Protection Act 2018, Freedom of Information Act 2000 (</w:t>
      </w:r>
      <w:proofErr w:type="spellStart"/>
      <w:r w:rsidRPr="00D12245">
        <w:rPr>
          <w:rFonts w:cs="Arial"/>
          <w:szCs w:val="24"/>
        </w:rPr>
        <w:t>FoIA</w:t>
      </w:r>
      <w:proofErr w:type="spellEnd"/>
      <w:r w:rsidRPr="00D12245">
        <w:rPr>
          <w:rFonts w:cs="Arial"/>
          <w:szCs w:val="24"/>
        </w:rPr>
        <w:t>) and amending legislation. The MoJ uses Records Retention and Disposition Schedules (RRDS) to manage its compliance with statutory obligations to identify what information and records we hold, how long we keep it and what should happen to these records at the end of that time.</w:t>
      </w:r>
    </w:p>
    <w:p w14:paraId="062F9395" w14:textId="77777777" w:rsidR="00D12245" w:rsidRPr="00D12245" w:rsidRDefault="00D12245" w:rsidP="009D3BCC">
      <w:pPr>
        <w:spacing w:after="0" w:line="240" w:lineRule="auto"/>
        <w:ind w:left="360"/>
        <w:rPr>
          <w:rFonts w:cs="Arial"/>
          <w:szCs w:val="24"/>
        </w:rPr>
      </w:pPr>
    </w:p>
    <w:p w14:paraId="583D0A1A" w14:textId="7B8CF41C" w:rsidR="00D12245" w:rsidRPr="009D3BCC" w:rsidRDefault="00E66A89" w:rsidP="00F12B8B">
      <w:pPr>
        <w:numPr>
          <w:ilvl w:val="0"/>
          <w:numId w:val="6"/>
        </w:numPr>
        <w:spacing w:after="0" w:line="240" w:lineRule="auto"/>
        <w:ind w:left="360"/>
        <w:rPr>
          <w:rFonts w:cs="Arial"/>
          <w:szCs w:val="24"/>
        </w:rPr>
      </w:pPr>
      <w:r w:rsidRPr="009D3BCC">
        <w:rPr>
          <w:rFonts w:cs="Arial"/>
          <w:szCs w:val="24"/>
        </w:rPr>
        <w:t>The</w:t>
      </w:r>
      <w:r w:rsidR="009D3BCC" w:rsidRPr="009D3BCC">
        <w:rPr>
          <w:rFonts w:cs="Arial"/>
          <w:szCs w:val="24"/>
        </w:rPr>
        <w:t xml:space="preserve"> work of the Probate Registries is governed by The Non-Contentious Probate Rules 1987</w:t>
      </w:r>
      <w:r w:rsidR="009D3BCC">
        <w:rPr>
          <w:rStyle w:val="FootnoteReference"/>
          <w:rFonts w:cs="Arial"/>
        </w:rPr>
        <w:footnoteReference w:id="1"/>
      </w:r>
      <w:r w:rsidR="009D3BCC" w:rsidRPr="009D3BCC">
        <w:rPr>
          <w:rFonts w:cs="Arial"/>
          <w:szCs w:val="24"/>
        </w:rPr>
        <w:t>, the Civil Procedure rules and supporting rules.</w:t>
      </w:r>
    </w:p>
    <w:p w14:paraId="32F18F06" w14:textId="77777777" w:rsidR="00D12245" w:rsidRPr="00D12245" w:rsidRDefault="00D12245" w:rsidP="00D12245">
      <w:pPr>
        <w:pStyle w:val="Heading2"/>
        <w:rPr>
          <w:sz w:val="24"/>
          <w:szCs w:val="28"/>
        </w:rPr>
      </w:pPr>
      <w:r w:rsidRPr="00D12245">
        <w:rPr>
          <w:sz w:val="24"/>
          <w:szCs w:val="28"/>
        </w:rPr>
        <w:t>More about this schedule</w:t>
      </w:r>
    </w:p>
    <w:p w14:paraId="46F7C3A8" w14:textId="283A72C3" w:rsidR="009D3BCC" w:rsidRPr="008B4723" w:rsidRDefault="009D3BCC" w:rsidP="009D3BCC">
      <w:pPr>
        <w:numPr>
          <w:ilvl w:val="0"/>
          <w:numId w:val="6"/>
        </w:numPr>
        <w:spacing w:after="0" w:line="240" w:lineRule="auto"/>
        <w:ind w:left="360"/>
        <w:rPr>
          <w:rFonts w:cs="Arial"/>
        </w:rPr>
      </w:pPr>
      <w:r w:rsidRPr="008B4723">
        <w:rPr>
          <w:rFonts w:cs="Arial"/>
        </w:rPr>
        <w:t>Many of the records described below must be permanently retained by the appropriate Registry</w:t>
      </w:r>
      <w:r w:rsidR="00E00E09">
        <w:rPr>
          <w:rStyle w:val="FootnoteReference"/>
          <w:rFonts w:cs="Arial"/>
        </w:rPr>
        <w:footnoteReference w:id="2"/>
      </w:r>
      <w:r w:rsidRPr="008B4723">
        <w:rPr>
          <w:rFonts w:cs="Arial"/>
        </w:rPr>
        <w:t>. These records (including wills and grants) are stored in offsite storage</w:t>
      </w:r>
      <w:r>
        <w:rPr>
          <w:rFonts w:cs="Arial"/>
        </w:rPr>
        <w:t>. Sealed copies can be requested from</w:t>
      </w:r>
      <w:r w:rsidR="001E5939">
        <w:rPr>
          <w:rFonts w:cs="Arial"/>
        </w:rPr>
        <w:t xml:space="preserve"> the </w:t>
      </w:r>
      <w:r>
        <w:rPr>
          <w:rFonts w:cs="Arial"/>
        </w:rPr>
        <w:t>Registry.</w:t>
      </w:r>
    </w:p>
    <w:p w14:paraId="564BF5D5" w14:textId="445ADE66" w:rsidR="00E66A89" w:rsidRDefault="00E66A89" w:rsidP="00E66A89">
      <w:pPr>
        <w:spacing w:after="0" w:line="240" w:lineRule="auto"/>
        <w:ind w:left="360"/>
        <w:rPr>
          <w:rFonts w:cs="Arial"/>
          <w:szCs w:val="24"/>
        </w:rPr>
      </w:pPr>
    </w:p>
    <w:bookmarkEnd w:id="1"/>
    <w:p w14:paraId="444AFDB6" w14:textId="45EF54C0" w:rsidR="00E66A89" w:rsidRPr="009D3BCC" w:rsidRDefault="009D3BCC" w:rsidP="00E66A89">
      <w:pPr>
        <w:numPr>
          <w:ilvl w:val="0"/>
          <w:numId w:val="6"/>
        </w:numPr>
        <w:spacing w:after="0" w:line="240" w:lineRule="auto"/>
        <w:ind w:left="360"/>
        <w:rPr>
          <w:rFonts w:cs="Arial"/>
          <w:szCs w:val="24"/>
        </w:rPr>
      </w:pPr>
      <w:r w:rsidRPr="009D3BCC">
        <w:rPr>
          <w:rFonts w:cs="Arial"/>
        </w:rPr>
        <w:t>This schedule covers the records held in the Principal Probate Registry and District Probate Registries. Other records in the family jurisdiction are described in the County Court RRDS. This schedule is split into three sections:</w:t>
      </w:r>
    </w:p>
    <w:p w14:paraId="0BF41805" w14:textId="77777777" w:rsidR="00E66A89" w:rsidRPr="00E66A89" w:rsidRDefault="00E66A89" w:rsidP="00E66A89">
      <w:pPr>
        <w:spacing w:after="0" w:line="240" w:lineRule="auto"/>
        <w:ind w:left="360"/>
        <w:rPr>
          <w:rFonts w:cs="Arial"/>
          <w:szCs w:val="24"/>
        </w:rPr>
      </w:pPr>
    </w:p>
    <w:p w14:paraId="086F0076" w14:textId="77777777" w:rsidR="009D3BCC" w:rsidRPr="00107298" w:rsidRDefault="009D3BCC" w:rsidP="009D3BCC">
      <w:pPr>
        <w:numPr>
          <w:ilvl w:val="1"/>
          <w:numId w:val="6"/>
        </w:numPr>
        <w:spacing w:after="0" w:line="240" w:lineRule="auto"/>
        <w:rPr>
          <w:rFonts w:cs="Arial"/>
        </w:rPr>
      </w:pPr>
      <w:r w:rsidRPr="00107298">
        <w:rPr>
          <w:rFonts w:cs="Arial"/>
        </w:rPr>
        <w:t>Records unique to the Probate Registries</w:t>
      </w:r>
    </w:p>
    <w:p w14:paraId="2E4A36AF" w14:textId="4AD8479B" w:rsidR="00E66A89" w:rsidRPr="009D3BCC" w:rsidRDefault="009D3BCC" w:rsidP="00E66A89">
      <w:pPr>
        <w:numPr>
          <w:ilvl w:val="1"/>
          <w:numId w:val="6"/>
        </w:numPr>
        <w:spacing w:after="0" w:line="240" w:lineRule="auto"/>
        <w:rPr>
          <w:rFonts w:cs="Arial"/>
          <w:szCs w:val="24"/>
        </w:rPr>
      </w:pPr>
      <w:r w:rsidRPr="009D3BCC">
        <w:rPr>
          <w:rFonts w:cs="Arial"/>
        </w:rPr>
        <w:t>Records unique to HMCTS</w:t>
      </w:r>
    </w:p>
    <w:p w14:paraId="70209A42" w14:textId="77777777" w:rsidR="00E66A89" w:rsidRPr="00E66A89" w:rsidRDefault="00E66A89" w:rsidP="00E66A89">
      <w:pPr>
        <w:numPr>
          <w:ilvl w:val="1"/>
          <w:numId w:val="6"/>
        </w:numPr>
        <w:spacing w:after="0" w:line="240" w:lineRule="auto"/>
        <w:rPr>
          <w:rFonts w:cs="Arial"/>
          <w:szCs w:val="24"/>
        </w:rPr>
      </w:pPr>
      <w:r w:rsidRPr="00E66A89">
        <w:rPr>
          <w:rFonts w:cs="Arial"/>
          <w:szCs w:val="24"/>
        </w:rPr>
        <w:t>Records held by various teams within the MoJ and its associated bodies and where a common retention and disposition policy is applied.</w:t>
      </w:r>
    </w:p>
    <w:p w14:paraId="1EF5F788" w14:textId="78090038" w:rsidR="00426842" w:rsidRPr="00A54C31" w:rsidRDefault="00426842" w:rsidP="00426842">
      <w:pPr>
        <w:numPr>
          <w:ilvl w:val="0"/>
          <w:numId w:val="6"/>
        </w:numPr>
        <w:spacing w:after="0" w:line="240" w:lineRule="auto"/>
        <w:ind w:left="360"/>
        <w:rPr>
          <w:rFonts w:cs="Arial"/>
          <w:szCs w:val="24"/>
        </w:rPr>
      </w:pPr>
      <w:bookmarkStart w:id="2" w:name="_Hlk514928352"/>
      <w:bookmarkStart w:id="3" w:name="_Hlk514928334"/>
      <w:r w:rsidRPr="00A54C31">
        <w:rPr>
          <w:rFonts w:cs="Arial"/>
          <w:szCs w:val="24"/>
        </w:rPr>
        <w:lastRenderedPageBreak/>
        <w:t xml:space="preserve">If a Freedom of Information Act 2000 request or a subject access request under the General Data Protection Regulation and Data Protection Act 2018 is received, a hold must be put on the relevant records for at least </w:t>
      </w:r>
      <w:r w:rsidRPr="00A54C31">
        <w:rPr>
          <w:rFonts w:cs="Arial"/>
          <w:b/>
          <w:szCs w:val="24"/>
        </w:rPr>
        <w:t>three months</w:t>
      </w:r>
      <w:r w:rsidRPr="00A54C31">
        <w:rPr>
          <w:rFonts w:cs="Arial"/>
          <w:szCs w:val="24"/>
        </w:rPr>
        <w:t xml:space="preserve"> after the request is resolved.</w:t>
      </w:r>
    </w:p>
    <w:p w14:paraId="53821FC0" w14:textId="77777777" w:rsidR="00426842" w:rsidRDefault="00426842" w:rsidP="00426842">
      <w:pPr>
        <w:spacing w:after="0" w:line="240" w:lineRule="auto"/>
        <w:ind w:left="360"/>
        <w:rPr>
          <w:rFonts w:cs="Arial"/>
          <w:szCs w:val="24"/>
        </w:rPr>
      </w:pPr>
    </w:p>
    <w:p w14:paraId="12C9411C" w14:textId="3E1F580F" w:rsidR="00E66A89" w:rsidRPr="00E66A89" w:rsidRDefault="00E66A89" w:rsidP="00A54C31">
      <w:pPr>
        <w:numPr>
          <w:ilvl w:val="0"/>
          <w:numId w:val="6"/>
        </w:numPr>
        <w:spacing w:after="0" w:line="240" w:lineRule="auto"/>
        <w:ind w:left="360"/>
        <w:rPr>
          <w:rFonts w:cs="Arial"/>
          <w:szCs w:val="24"/>
        </w:rPr>
      </w:pPr>
      <w:r w:rsidRPr="00E66A89">
        <w:rPr>
          <w:rFonts w:cs="Arial"/>
          <w:szCs w:val="24"/>
        </w:rPr>
        <w:t xml:space="preserve">While the Independent Inquiry into Child Sexual Abuse (IICSA) </w:t>
      </w:r>
      <w:r w:rsidR="00A54C31" w:rsidRPr="00A54C31">
        <w:rPr>
          <w:rFonts w:cs="Arial"/>
          <w:szCs w:val="24"/>
        </w:rPr>
        <w:t>continues its investigations, the moratorium on the destruction of records of potential interest remains in place. All government departments and their associated bodies (in common with other public sector bodies) are required to comply with the moratorium. All business areas should apply the moratorium to any records covered by the following criteria:</w:t>
      </w:r>
    </w:p>
    <w:bookmarkEnd w:id="2"/>
    <w:p w14:paraId="4DD39A40" w14:textId="77777777" w:rsidR="00E66A89" w:rsidRPr="00E66A89" w:rsidRDefault="00E66A89" w:rsidP="00E66A89">
      <w:pPr>
        <w:spacing w:after="0" w:line="240" w:lineRule="auto"/>
        <w:ind w:left="1440"/>
        <w:rPr>
          <w:rFonts w:cs="Arial"/>
          <w:szCs w:val="24"/>
        </w:rPr>
      </w:pPr>
    </w:p>
    <w:p w14:paraId="49D1633D" w14:textId="77777777" w:rsidR="00E66A89" w:rsidRPr="00E66A89" w:rsidRDefault="00E66A89" w:rsidP="00E66A89">
      <w:pPr>
        <w:numPr>
          <w:ilvl w:val="1"/>
          <w:numId w:val="6"/>
        </w:numPr>
        <w:spacing w:after="0" w:line="240" w:lineRule="auto"/>
        <w:rPr>
          <w:rFonts w:cs="Arial"/>
          <w:szCs w:val="24"/>
        </w:rPr>
      </w:pPr>
      <w:r w:rsidRPr="00E66A89">
        <w:rPr>
          <w:rFonts w:cs="Arial"/>
          <w:szCs w:val="24"/>
        </w:rPr>
        <w:t>documents which contain or may contain content pertaining directly or indirectly to the sexual abuse</w:t>
      </w:r>
      <w:r w:rsidRPr="00E66A89">
        <w:rPr>
          <w:rFonts w:cs="Arial"/>
          <w:color w:val="000000"/>
          <w:szCs w:val="24"/>
        </w:rPr>
        <w:t xml:space="preserve"> of children or to child protection and care</w:t>
      </w:r>
    </w:p>
    <w:bookmarkEnd w:id="3"/>
    <w:p w14:paraId="00D8FAC6" w14:textId="77777777" w:rsidR="00E66A89" w:rsidRPr="00E66A89" w:rsidRDefault="00E66A89" w:rsidP="00E66A89">
      <w:pPr>
        <w:numPr>
          <w:ilvl w:val="1"/>
          <w:numId w:val="6"/>
        </w:numPr>
        <w:spacing w:after="0" w:line="240" w:lineRule="auto"/>
        <w:rPr>
          <w:rFonts w:cs="Arial"/>
          <w:szCs w:val="24"/>
        </w:rPr>
      </w:pPr>
      <w:r w:rsidRPr="00E66A89">
        <w:rPr>
          <w:rFonts w:cs="Arial"/>
          <w:szCs w:val="24"/>
        </w:rPr>
        <w:t xml:space="preserve">the document types include, but are not limited to, correspondence, notes, emails, and case files, regardless of the format in which they are stored (digital, paper, CDs, etc) </w:t>
      </w:r>
    </w:p>
    <w:p w14:paraId="1F1928B7"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for the purposes of this instruction, the word “children” relates to any person under the age of 18</w:t>
      </w:r>
    </w:p>
    <w:p w14:paraId="233BC375" w14:textId="77777777" w:rsidR="00E66A89" w:rsidRPr="00E66A89" w:rsidRDefault="00E66A89" w:rsidP="00E66A89">
      <w:pPr>
        <w:numPr>
          <w:ilvl w:val="1"/>
          <w:numId w:val="6"/>
        </w:numPr>
        <w:spacing w:after="0" w:line="240" w:lineRule="auto"/>
        <w:rPr>
          <w:rFonts w:cs="Arial"/>
          <w:szCs w:val="24"/>
        </w:rPr>
      </w:pPr>
      <w:r w:rsidRPr="00E66A89">
        <w:rPr>
          <w:rFonts w:cs="Arial"/>
          <w:color w:val="000000"/>
          <w:szCs w:val="24"/>
        </w:rPr>
        <w:t xml:space="preserve">further information about the moratorium is available on IICSA’s website at: </w:t>
      </w:r>
      <w:hyperlink r:id="rId12" w:history="1">
        <w:r w:rsidRPr="00E66A89">
          <w:rPr>
            <w:rStyle w:val="Hyperlink"/>
            <w:rFonts w:cs="Arial"/>
            <w:color w:val="0000CC"/>
            <w:szCs w:val="24"/>
          </w:rPr>
          <w:t>https://www.iicsa.org.uk/news/chair-of-the-inquiry-issues-guidance-on-destruction-of-documents</w:t>
        </w:r>
      </w:hyperlink>
      <w:r w:rsidRPr="00E66A89">
        <w:rPr>
          <w:rFonts w:cs="Arial"/>
          <w:color w:val="000000"/>
          <w:szCs w:val="24"/>
        </w:rPr>
        <w:t>.</w:t>
      </w:r>
    </w:p>
    <w:p w14:paraId="46C62FB7" w14:textId="77777777" w:rsidR="00E66A89" w:rsidRPr="00E66A89" w:rsidRDefault="00E66A89" w:rsidP="00E66A89">
      <w:pPr>
        <w:spacing w:after="0" w:line="240" w:lineRule="auto"/>
        <w:ind w:left="360"/>
        <w:rPr>
          <w:rFonts w:cs="Arial"/>
          <w:szCs w:val="24"/>
        </w:rPr>
      </w:pPr>
    </w:p>
    <w:p w14:paraId="355C37AE" w14:textId="77777777" w:rsidR="00E66A89" w:rsidRPr="00E66A89" w:rsidRDefault="00E66A89" w:rsidP="00E66A89">
      <w:pPr>
        <w:numPr>
          <w:ilvl w:val="0"/>
          <w:numId w:val="6"/>
        </w:numPr>
        <w:spacing w:after="0" w:line="240" w:lineRule="auto"/>
        <w:ind w:left="360"/>
        <w:rPr>
          <w:rFonts w:cs="Arial"/>
          <w:szCs w:val="24"/>
        </w:rPr>
      </w:pPr>
      <w:r w:rsidRPr="00E66A89">
        <w:rPr>
          <w:rFonts w:cs="Arial"/>
          <w:szCs w:val="24"/>
        </w:rPr>
        <w:t xml:space="preserve">As part of its commitment to transparency, this schedule will be published on the MoJ’s webpage: </w:t>
      </w:r>
      <w:hyperlink r:id="rId13" w:history="1">
        <w:r w:rsidRPr="00E66A89">
          <w:rPr>
            <w:rStyle w:val="Hyperlink"/>
            <w:rFonts w:cs="Arial"/>
            <w:color w:val="0000CC"/>
            <w:szCs w:val="24"/>
          </w:rPr>
          <w:t>https://www.gov.uk/government/publications/record-retention-and-disposition-schedules</w:t>
        </w:r>
      </w:hyperlink>
      <w:r w:rsidRPr="00E66A89">
        <w:rPr>
          <w:rStyle w:val="Hyperlink"/>
          <w:rFonts w:cs="Arial"/>
          <w:szCs w:val="24"/>
        </w:rPr>
        <w:t xml:space="preserve">. </w:t>
      </w:r>
      <w:r w:rsidRPr="00E66A89">
        <w:rPr>
          <w:rFonts w:cs="Arial"/>
          <w:szCs w:val="24"/>
        </w:rPr>
        <w:t xml:space="preserve"> </w:t>
      </w:r>
    </w:p>
    <w:p w14:paraId="2DD0EDE5" w14:textId="77777777" w:rsidR="00E66A89" w:rsidRPr="00E66A89" w:rsidRDefault="00E66A89" w:rsidP="00E66A89">
      <w:pPr>
        <w:spacing w:after="0" w:line="240" w:lineRule="auto"/>
        <w:ind w:left="360"/>
        <w:rPr>
          <w:rFonts w:cs="Arial"/>
          <w:szCs w:val="24"/>
        </w:rPr>
      </w:pPr>
    </w:p>
    <w:p w14:paraId="581B2B4E" w14:textId="7848405A" w:rsidR="00E66A89" w:rsidRDefault="00E66A89" w:rsidP="00E66A89">
      <w:pPr>
        <w:pStyle w:val="BodyText"/>
        <w:spacing w:after="0" w:line="240" w:lineRule="auto"/>
      </w:pPr>
    </w:p>
    <w:p w14:paraId="06D9B136" w14:textId="53600176" w:rsidR="009D3BCC" w:rsidRDefault="009D3BCC" w:rsidP="00E66A89">
      <w:pPr>
        <w:pStyle w:val="BodyText"/>
        <w:spacing w:after="0" w:line="240" w:lineRule="auto"/>
      </w:pPr>
    </w:p>
    <w:p w14:paraId="2524E0FD" w14:textId="039A4183" w:rsidR="009D3BCC" w:rsidRDefault="009D3BCC" w:rsidP="00E66A89">
      <w:pPr>
        <w:pStyle w:val="BodyText"/>
        <w:spacing w:after="0" w:line="240" w:lineRule="auto"/>
      </w:pPr>
    </w:p>
    <w:p w14:paraId="4FCFFCA1" w14:textId="21A3BD43" w:rsidR="009D3BCC" w:rsidRDefault="009D3BCC" w:rsidP="00E66A89">
      <w:pPr>
        <w:pStyle w:val="BodyText"/>
        <w:spacing w:after="0" w:line="240" w:lineRule="auto"/>
      </w:pPr>
    </w:p>
    <w:p w14:paraId="21A073B5" w14:textId="78B59B54" w:rsidR="009D3BCC" w:rsidRDefault="009D3BCC">
      <w:pPr>
        <w:spacing w:after="160" w:line="259" w:lineRule="auto"/>
      </w:pPr>
      <w:r>
        <w:br w:type="page"/>
      </w:r>
    </w:p>
    <w:p w14:paraId="583CED60" w14:textId="19A8ADBE" w:rsidR="00E66A89" w:rsidRDefault="00E66A89" w:rsidP="00E66A89">
      <w:pPr>
        <w:pStyle w:val="Heading2"/>
      </w:pPr>
      <w:r>
        <w:lastRenderedPageBreak/>
        <w:t>The schedul</w:t>
      </w:r>
      <w:r w:rsidR="00FC1089">
        <w:t>e</w:t>
      </w:r>
    </w:p>
    <w:tbl>
      <w:tblPr>
        <w:tblStyle w:val="TableGrid"/>
        <w:tblW w:w="0" w:type="auto"/>
        <w:tblLook w:val="04A0" w:firstRow="1" w:lastRow="0" w:firstColumn="1" w:lastColumn="0" w:noHBand="0" w:noVBand="1"/>
      </w:tblPr>
      <w:tblGrid>
        <w:gridCol w:w="846"/>
        <w:gridCol w:w="4536"/>
        <w:gridCol w:w="4246"/>
      </w:tblGrid>
      <w:tr w:rsidR="00E66A89" w:rsidRPr="00E66A89" w14:paraId="15D3E8C2" w14:textId="77777777" w:rsidTr="00107AB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46" w:type="dxa"/>
            <w:vAlign w:val="center"/>
          </w:tcPr>
          <w:p w14:paraId="3AC0BF52" w14:textId="09D8B41B" w:rsidR="00E66A89" w:rsidRPr="00E66A89" w:rsidRDefault="00E66A89" w:rsidP="00E66A89">
            <w:pPr>
              <w:pStyle w:val="Text"/>
              <w:spacing w:after="0"/>
              <w:jc w:val="center"/>
              <w:rPr>
                <w:sz w:val="24"/>
              </w:rPr>
            </w:pPr>
            <w:r w:rsidRPr="00E66A89">
              <w:rPr>
                <w:sz w:val="24"/>
              </w:rPr>
              <w:t>No.</w:t>
            </w:r>
          </w:p>
        </w:tc>
        <w:tc>
          <w:tcPr>
            <w:tcW w:w="4536" w:type="dxa"/>
            <w:vAlign w:val="center"/>
          </w:tcPr>
          <w:p w14:paraId="0F7887AE" w14:textId="3C0AA512"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Record type</w:t>
            </w:r>
          </w:p>
        </w:tc>
        <w:tc>
          <w:tcPr>
            <w:tcW w:w="4246" w:type="dxa"/>
            <w:vAlign w:val="center"/>
          </w:tcPr>
          <w:p w14:paraId="1DF9DE5A" w14:textId="22B59B4F" w:rsidR="00E66A89" w:rsidRPr="00E66A89" w:rsidRDefault="00E66A89" w:rsidP="00E66A89">
            <w:pPr>
              <w:pStyle w:val="Text"/>
              <w:spacing w:after="0"/>
              <w:jc w:val="center"/>
              <w:cnfStyle w:val="100000000000" w:firstRow="1" w:lastRow="0" w:firstColumn="0" w:lastColumn="0" w:oddVBand="0" w:evenVBand="0" w:oddHBand="0" w:evenHBand="0" w:firstRowFirstColumn="0" w:firstRowLastColumn="0" w:lastRowFirstColumn="0" w:lastRowLastColumn="0"/>
              <w:rPr>
                <w:sz w:val="24"/>
              </w:rPr>
            </w:pPr>
            <w:r w:rsidRPr="00E66A89">
              <w:rPr>
                <w:sz w:val="24"/>
              </w:rPr>
              <w:t>Retention and disposition</w:t>
            </w:r>
          </w:p>
        </w:tc>
      </w:tr>
      <w:tr w:rsidR="00E66A89" w:rsidRPr="00E66A89" w14:paraId="14C56001" w14:textId="77777777" w:rsidTr="001B4363">
        <w:tc>
          <w:tcPr>
            <w:cnfStyle w:val="001000000000" w:firstRow="0" w:lastRow="0" w:firstColumn="1" w:lastColumn="0" w:oddVBand="0" w:evenVBand="0" w:oddHBand="0" w:evenHBand="0" w:firstRowFirstColumn="0" w:firstRowLastColumn="0" w:lastRowFirstColumn="0" w:lastRowLastColumn="0"/>
            <w:tcW w:w="9628" w:type="dxa"/>
            <w:gridSpan w:val="3"/>
          </w:tcPr>
          <w:p w14:paraId="570458FA" w14:textId="77777777" w:rsidR="00E66A89" w:rsidRDefault="00E66A89" w:rsidP="00BD2985">
            <w:pPr>
              <w:pStyle w:val="Text"/>
              <w:spacing w:after="0"/>
              <w:jc w:val="center"/>
              <w:rPr>
                <w:sz w:val="24"/>
              </w:rPr>
            </w:pPr>
          </w:p>
          <w:p w14:paraId="57E8F45E" w14:textId="2DF834ED" w:rsidR="00E66A89" w:rsidRPr="009D3BCC" w:rsidRDefault="00E66A89" w:rsidP="00BD2985">
            <w:pPr>
              <w:pStyle w:val="Text"/>
              <w:spacing w:after="0"/>
              <w:jc w:val="center"/>
              <w:rPr>
                <w:b w:val="0"/>
                <w:sz w:val="24"/>
              </w:rPr>
            </w:pPr>
            <w:r w:rsidRPr="00E66A89">
              <w:rPr>
                <w:sz w:val="24"/>
              </w:rPr>
              <w:t xml:space="preserve">1. </w:t>
            </w:r>
            <w:r w:rsidR="009D3BCC">
              <w:rPr>
                <w:sz w:val="24"/>
              </w:rPr>
              <w:t>Unique r</w:t>
            </w:r>
            <w:r w:rsidR="009D3BCC" w:rsidRPr="00A05B79">
              <w:rPr>
                <w:sz w:val="24"/>
              </w:rPr>
              <w:t>ecords held by</w:t>
            </w:r>
            <w:r w:rsidR="009D3BCC">
              <w:rPr>
                <w:sz w:val="24"/>
              </w:rPr>
              <w:t xml:space="preserve"> the Probate Registries</w:t>
            </w:r>
          </w:p>
          <w:p w14:paraId="0AD47CD3" w14:textId="21AF29F2" w:rsidR="00E66A89" w:rsidRPr="00E66A89" w:rsidRDefault="00E66A89" w:rsidP="00BD2985">
            <w:pPr>
              <w:pStyle w:val="Text"/>
              <w:spacing w:after="0"/>
              <w:jc w:val="center"/>
              <w:rPr>
                <w:sz w:val="24"/>
              </w:rPr>
            </w:pPr>
          </w:p>
        </w:tc>
      </w:tr>
      <w:tr w:rsidR="009D3BCC" w14:paraId="277F9E6F" w14:textId="77777777" w:rsidTr="00600F2C">
        <w:tc>
          <w:tcPr>
            <w:cnfStyle w:val="001000000000" w:firstRow="0" w:lastRow="0" w:firstColumn="1" w:lastColumn="0" w:oddVBand="0" w:evenVBand="0" w:oddHBand="0" w:evenHBand="0" w:firstRowFirstColumn="0" w:firstRowLastColumn="0" w:lastRowFirstColumn="0" w:lastRowLastColumn="0"/>
            <w:tcW w:w="846" w:type="dxa"/>
            <w:vAlign w:val="center"/>
          </w:tcPr>
          <w:p w14:paraId="14D15E0A" w14:textId="77777777" w:rsidR="009D3BCC" w:rsidRDefault="009D3BCC" w:rsidP="00BD2985">
            <w:pPr>
              <w:pStyle w:val="Text"/>
              <w:numPr>
                <w:ilvl w:val="0"/>
                <w:numId w:val="11"/>
              </w:numPr>
              <w:spacing w:after="0"/>
            </w:pPr>
          </w:p>
        </w:tc>
        <w:tc>
          <w:tcPr>
            <w:tcW w:w="4536" w:type="dxa"/>
            <w:vAlign w:val="center"/>
          </w:tcPr>
          <w:p w14:paraId="4BC5D894" w14:textId="77777777" w:rsidR="009D3BCC" w:rsidRPr="00CB0D82" w:rsidRDefault="009D3BCC" w:rsidP="00BD2985">
            <w:pPr>
              <w:pStyle w:val="Text"/>
              <w:spacing w:after="0"/>
              <w:cnfStyle w:val="000000000000" w:firstRow="0" w:lastRow="0" w:firstColumn="0" w:lastColumn="0" w:oddVBand="0" w:evenVBand="0" w:oddHBand="0" w:evenHBand="0" w:firstRowFirstColumn="0" w:firstRowLastColumn="0" w:lastRowFirstColumn="0" w:lastRowLastColumn="0"/>
            </w:pPr>
          </w:p>
          <w:p w14:paraId="001291D1" w14:textId="4D614B74" w:rsidR="009D3BCC" w:rsidRPr="00CB0D82" w:rsidRDefault="009D3BCC" w:rsidP="00BD2985">
            <w:pPr>
              <w:pStyle w:val="Text"/>
              <w:spacing w:after="0"/>
              <w:cnfStyle w:val="000000000000" w:firstRow="0" w:lastRow="0" w:firstColumn="0" w:lastColumn="0" w:oddVBand="0" w:evenVBand="0" w:oddHBand="0" w:evenHBand="0" w:firstRowFirstColumn="0" w:firstRowLastColumn="0" w:lastRowFirstColumn="0" w:lastRowLastColumn="0"/>
            </w:pPr>
            <w:r w:rsidRPr="00CB0D82">
              <w:t xml:space="preserve">a) Wills and </w:t>
            </w:r>
            <w:r w:rsidR="00655497" w:rsidRPr="00CB0D82">
              <w:t xml:space="preserve">grants of representation </w:t>
            </w:r>
            <w:r w:rsidRPr="00CB0D82">
              <w:t>from 1858</w:t>
            </w:r>
            <w:r w:rsidRPr="00CB0D82">
              <w:rPr>
                <w:rStyle w:val="FootnoteReference"/>
              </w:rPr>
              <w:footnoteReference w:id="3"/>
            </w:r>
          </w:p>
          <w:p w14:paraId="3894170E" w14:textId="08AD24BD" w:rsidR="00E00E09" w:rsidRPr="00CB0D82" w:rsidRDefault="009D3BCC" w:rsidP="00BD2985">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CB0D82">
              <w:rPr>
                <w:rFonts w:cs="Arial"/>
              </w:rPr>
              <w:t xml:space="preserve">b) </w:t>
            </w:r>
            <w:r w:rsidR="00655497" w:rsidRPr="00CB0D82">
              <w:rPr>
                <w:rFonts w:cs="Arial"/>
              </w:rPr>
              <w:t>Abandoned cases</w:t>
            </w:r>
          </w:p>
          <w:p w14:paraId="6370AF8D" w14:textId="0F2B3D62" w:rsidR="009D3BCC" w:rsidRPr="00CB0D82" w:rsidRDefault="00E00E09" w:rsidP="00BD2985">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CB0D82">
              <w:rPr>
                <w:rFonts w:cs="Arial"/>
              </w:rPr>
              <w:t xml:space="preserve">c) </w:t>
            </w:r>
            <w:r w:rsidR="00655497" w:rsidRPr="00CB0D82">
              <w:rPr>
                <w:rFonts w:cs="Arial"/>
              </w:rPr>
              <w:t xml:space="preserve">Forms of </w:t>
            </w:r>
            <w:r w:rsidR="009D3BCC" w:rsidRPr="00CB0D82">
              <w:rPr>
                <w:rFonts w:cs="Arial"/>
              </w:rPr>
              <w:t>Renunciation</w:t>
            </w:r>
            <w:r w:rsidR="00655497" w:rsidRPr="00CB0D82">
              <w:rPr>
                <w:rFonts w:cs="Arial"/>
              </w:rPr>
              <w:t xml:space="preserve"> </w:t>
            </w:r>
          </w:p>
          <w:p w14:paraId="035E7344" w14:textId="31CB5C1A" w:rsidR="00E00E09" w:rsidRPr="00CB0D82" w:rsidRDefault="00E00E09" w:rsidP="00BD2985">
            <w:pPr>
              <w:pStyle w:val="Text"/>
              <w:spacing w:after="0"/>
              <w:cnfStyle w:val="000000000000" w:firstRow="0" w:lastRow="0" w:firstColumn="0" w:lastColumn="0" w:oddVBand="0" w:evenVBand="0" w:oddHBand="0" w:evenHBand="0" w:firstRowFirstColumn="0" w:firstRowLastColumn="0" w:lastRowFirstColumn="0" w:lastRowLastColumn="0"/>
            </w:pPr>
            <w:r w:rsidRPr="00CB0D82">
              <w:rPr>
                <w:rFonts w:cs="Arial"/>
              </w:rPr>
              <w:t xml:space="preserve">d) </w:t>
            </w:r>
            <w:r w:rsidRPr="00CB0D82">
              <w:t>Summons</w:t>
            </w:r>
          </w:p>
          <w:p w14:paraId="7219DEAE" w14:textId="1EB59580" w:rsidR="00E00E09" w:rsidRPr="00CB0D82" w:rsidRDefault="00E00E09" w:rsidP="00BD2985">
            <w:pPr>
              <w:pStyle w:val="Text"/>
              <w:spacing w:after="0"/>
              <w:cnfStyle w:val="000000000000" w:firstRow="0" w:lastRow="0" w:firstColumn="0" w:lastColumn="0" w:oddVBand="0" w:evenVBand="0" w:oddHBand="0" w:evenHBand="0" w:firstRowFirstColumn="0" w:firstRowLastColumn="0" w:lastRowFirstColumn="0" w:lastRowLastColumn="0"/>
            </w:pPr>
            <w:r w:rsidRPr="00CB0D82">
              <w:t>e) Citations</w:t>
            </w:r>
          </w:p>
          <w:p w14:paraId="373517F5" w14:textId="527A8EE7" w:rsidR="00E00E09" w:rsidRPr="00CB0D82" w:rsidRDefault="00E00E09" w:rsidP="00BD2985">
            <w:pPr>
              <w:pStyle w:val="Text"/>
              <w:spacing w:after="0"/>
              <w:cnfStyle w:val="000000000000" w:firstRow="0" w:lastRow="0" w:firstColumn="0" w:lastColumn="0" w:oddVBand="0" w:evenVBand="0" w:oddHBand="0" w:evenHBand="0" w:firstRowFirstColumn="0" w:firstRowLastColumn="0" w:lastRowFirstColumn="0" w:lastRowLastColumn="0"/>
            </w:pPr>
            <w:r w:rsidRPr="00CB0D82">
              <w:t>f) Probate refused</w:t>
            </w:r>
          </w:p>
          <w:p w14:paraId="33342B18" w14:textId="089FE022" w:rsidR="009D3BCC" w:rsidRPr="00CB0D82" w:rsidRDefault="00E00E09" w:rsidP="00BD2985">
            <w:pPr>
              <w:pStyle w:val="Text"/>
              <w:spacing w:after="0"/>
              <w:cnfStyle w:val="000000000000" w:firstRow="0" w:lastRow="0" w:firstColumn="0" w:lastColumn="0" w:oddVBand="0" w:evenVBand="0" w:oddHBand="0" w:evenHBand="0" w:firstRowFirstColumn="0" w:firstRowLastColumn="0" w:lastRowFirstColumn="0" w:lastRowLastColumn="0"/>
            </w:pPr>
            <w:r w:rsidRPr="00CB0D82">
              <w:rPr>
                <w:rFonts w:cs="Arial"/>
              </w:rPr>
              <w:t xml:space="preserve">g) </w:t>
            </w:r>
            <w:r w:rsidRPr="00CB0D82">
              <w:t>Subpoenas</w:t>
            </w:r>
          </w:p>
          <w:p w14:paraId="3F11507E" w14:textId="7F10665E" w:rsidR="002B0691" w:rsidRPr="00CB0D82" w:rsidRDefault="002B0691" w:rsidP="00BD2985">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7CE1BFC6" w14:textId="77777777" w:rsidR="0078092E" w:rsidRPr="00C71F52" w:rsidRDefault="0078092E" w:rsidP="0078092E">
            <w:pPr>
              <w:pStyle w:val="Text"/>
              <w:spacing w:after="0"/>
              <w:cnfStyle w:val="000000000000" w:firstRow="0" w:lastRow="0" w:firstColumn="0" w:lastColumn="0" w:oddVBand="0" w:evenVBand="0" w:oddHBand="0" w:evenHBand="0" w:firstRowFirstColumn="0" w:firstRowLastColumn="0" w:lastRowFirstColumn="0" w:lastRowLastColumn="0"/>
              <w:rPr>
                <w:sz w:val="18"/>
              </w:rPr>
            </w:pPr>
          </w:p>
          <w:p w14:paraId="587C3975" w14:textId="149D7A2C" w:rsidR="0078092E" w:rsidRPr="00CB0D82" w:rsidRDefault="0078092E" w:rsidP="0078092E">
            <w:pPr>
              <w:pStyle w:val="Text"/>
              <w:spacing w:after="0"/>
              <w:cnfStyle w:val="000000000000" w:firstRow="0" w:lastRow="0" w:firstColumn="0" w:lastColumn="0" w:oddVBand="0" w:evenVBand="0" w:oddHBand="0" w:evenHBand="0" w:firstRowFirstColumn="0" w:firstRowLastColumn="0" w:lastRowFirstColumn="0" w:lastRowLastColumn="0"/>
            </w:pPr>
            <w:r w:rsidRPr="00CB0D82">
              <w:t>Keep the following permanently</w:t>
            </w:r>
            <w:r w:rsidRPr="00CB0D82">
              <w:rPr>
                <w:rStyle w:val="FootnoteReference"/>
              </w:rPr>
              <w:footnoteReference w:id="4"/>
            </w:r>
            <w:r w:rsidRPr="00CB0D82">
              <w:t xml:space="preserve">: </w:t>
            </w:r>
          </w:p>
          <w:p w14:paraId="30B51B77" w14:textId="6DCC7A98" w:rsidR="0078092E" w:rsidRPr="00CB0D82" w:rsidRDefault="0078092E" w:rsidP="0078092E">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CB0D82">
              <w:t>Wills and grants of representation (including video recordings of witnessed signatures)</w:t>
            </w:r>
          </w:p>
          <w:p w14:paraId="3A9919B7" w14:textId="77777777" w:rsidR="00D701D6" w:rsidRDefault="0078092E" w:rsidP="00D701D6">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CB0D82">
              <w:t>S</w:t>
            </w:r>
            <w:r w:rsidR="00AE75E1" w:rsidRPr="00CB0D82">
              <w:t>tatement of Truths</w:t>
            </w:r>
          </w:p>
          <w:p w14:paraId="1228B453" w14:textId="1E7C5F25" w:rsidR="00D701D6" w:rsidRDefault="00D701D6" w:rsidP="00D701D6">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D701D6">
              <w:t>Codicil</w:t>
            </w:r>
            <w:r>
              <w:t>s</w:t>
            </w:r>
          </w:p>
          <w:p w14:paraId="7BB68539" w14:textId="059262B4" w:rsidR="0083014C" w:rsidRDefault="0083014C" w:rsidP="00D42C88">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R</w:t>
            </w:r>
            <w:r w:rsidR="00A73619">
              <w:t>enunciations</w:t>
            </w:r>
            <w:r w:rsidR="00D701D6">
              <w:t xml:space="preserve"> (revocations)</w:t>
            </w:r>
          </w:p>
          <w:p w14:paraId="48C83B76" w14:textId="77777777" w:rsidR="00D701D6" w:rsidRDefault="00D701D6" w:rsidP="00D42C88">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D701D6">
              <w:t>Probate engrossment</w:t>
            </w:r>
          </w:p>
          <w:p w14:paraId="37E1B9AD" w14:textId="5AABDAB2" w:rsidR="0083014C" w:rsidRDefault="0083014C" w:rsidP="00D42C88">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P</w:t>
            </w:r>
            <w:r w:rsidR="00A73619">
              <w:t>owers of attorney</w:t>
            </w:r>
            <w:r w:rsidR="00D701D6">
              <w:t xml:space="preserve"> (or power of consent)</w:t>
            </w:r>
          </w:p>
          <w:p w14:paraId="0DF1C578" w14:textId="4AEC6EFC" w:rsidR="00D701D6" w:rsidRDefault="00D701D6" w:rsidP="00D42C88">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Reason for delay</w:t>
            </w:r>
          </w:p>
          <w:p w14:paraId="6B6A9E79" w14:textId="18E76517" w:rsidR="00D701D6" w:rsidRDefault="00D701D6" w:rsidP="00D42C88">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Alteration of grant</w:t>
            </w:r>
          </w:p>
          <w:p w14:paraId="001DF3FC" w14:textId="26AAD2AA" w:rsidR="00D701D6" w:rsidRDefault="00D701D6" w:rsidP="00D42C88">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All birth, death and marr</w:t>
            </w:r>
            <w:r w:rsidR="00BD4B4B">
              <w:t>i</w:t>
            </w:r>
            <w:r>
              <w:t>a</w:t>
            </w:r>
            <w:r w:rsidR="00BD4B4B">
              <w:t>ge court cases</w:t>
            </w:r>
            <w:r w:rsidR="00C140AE">
              <w:t xml:space="preserve"> (divorce, adoption, etc)</w:t>
            </w:r>
          </w:p>
          <w:p w14:paraId="0C98B6BD" w14:textId="1DC68291" w:rsidR="00BD4B4B" w:rsidRDefault="00BD4B4B" w:rsidP="00D42C88">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Deed pol</w:t>
            </w:r>
            <w:r w:rsidR="00C140AE">
              <w:t>l</w:t>
            </w:r>
          </w:p>
          <w:p w14:paraId="3A457B48" w14:textId="77777777" w:rsidR="00856DF7" w:rsidRDefault="0083014C" w:rsidP="00D42C88">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A</w:t>
            </w:r>
            <w:r w:rsidR="00A73619">
              <w:t>ncillary affidavits</w:t>
            </w:r>
            <w:r w:rsidR="00856DF7">
              <w:t xml:space="preserve"> and </w:t>
            </w:r>
            <w:r w:rsidR="00A73619">
              <w:t>witness statements</w:t>
            </w:r>
          </w:p>
          <w:p w14:paraId="389B6AC4" w14:textId="77777777" w:rsidR="00BD4B4B" w:rsidRDefault="00856DF7" w:rsidP="00BD4B4B">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I</w:t>
            </w:r>
            <w:r w:rsidR="00A73619">
              <w:t xml:space="preserve">nventory </w:t>
            </w:r>
            <w:r>
              <w:t>and</w:t>
            </w:r>
            <w:r w:rsidR="00A73619">
              <w:t xml:space="preserve"> account of estates</w:t>
            </w:r>
          </w:p>
          <w:p w14:paraId="0E8095C2" w14:textId="4AA1B4A1" w:rsidR="00BD4B4B" w:rsidRDefault="00BD4B4B" w:rsidP="00BD4B4B">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rsidRPr="00D701D6">
              <w:t>Order of domicile</w:t>
            </w:r>
          </w:p>
          <w:p w14:paraId="3FC845C0" w14:textId="77777777" w:rsidR="00BD4B4B" w:rsidRDefault="00BD4B4B" w:rsidP="00D42C88">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Forged wills and related paperwork</w:t>
            </w:r>
          </w:p>
          <w:p w14:paraId="3F6E9354" w14:textId="1DE6F16B" w:rsidR="00856DF7" w:rsidRDefault="00856DF7" w:rsidP="00D42C88">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N</w:t>
            </w:r>
            <w:r w:rsidR="00A73619">
              <w:t>otarial</w:t>
            </w:r>
            <w:r>
              <w:t xml:space="preserve"> or </w:t>
            </w:r>
            <w:r w:rsidR="00A73619">
              <w:t>official copies of foreign wills</w:t>
            </w:r>
          </w:p>
          <w:p w14:paraId="049C83C5" w14:textId="77777777" w:rsidR="00DC7014" w:rsidRDefault="00856DF7" w:rsidP="00D42C88">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O</w:t>
            </w:r>
            <w:r w:rsidR="00A73619">
              <w:t>fficial copies of entrusting documents</w:t>
            </w:r>
          </w:p>
          <w:p w14:paraId="7E946349" w14:textId="171DB227" w:rsidR="00A73619" w:rsidRPr="00CB0D82" w:rsidRDefault="00DC7014" w:rsidP="00D42C88">
            <w:pPr>
              <w:pStyle w:val="Text"/>
              <w:numPr>
                <w:ilvl w:val="0"/>
                <w:numId w:val="21"/>
              </w:numPr>
              <w:spacing w:after="0"/>
              <w:cnfStyle w:val="000000000000" w:firstRow="0" w:lastRow="0" w:firstColumn="0" w:lastColumn="0" w:oddVBand="0" w:evenVBand="0" w:oddHBand="0" w:evenHBand="0" w:firstRowFirstColumn="0" w:firstRowLastColumn="0" w:lastRowFirstColumn="0" w:lastRowLastColumn="0"/>
            </w:pPr>
            <w:r>
              <w:t>N</w:t>
            </w:r>
            <w:r w:rsidR="00A73619">
              <w:t>otarial</w:t>
            </w:r>
            <w:r w:rsidR="00856DF7">
              <w:t xml:space="preserve"> or </w:t>
            </w:r>
            <w:r w:rsidR="00A73619">
              <w:t>official copies of certificates of inheritance</w:t>
            </w:r>
          </w:p>
          <w:p w14:paraId="16523DAC" w14:textId="2F01F23B" w:rsidR="00DC7014" w:rsidRDefault="00DC7014" w:rsidP="0078092E">
            <w:pPr>
              <w:pStyle w:val="Text"/>
              <w:spacing w:after="0"/>
              <w:cnfStyle w:val="000000000000" w:firstRow="0" w:lastRow="0" w:firstColumn="0" w:lastColumn="0" w:oddVBand="0" w:evenVBand="0" w:oddHBand="0" w:evenHBand="0" w:firstRowFirstColumn="0" w:firstRowLastColumn="0" w:lastRowFirstColumn="0" w:lastRowLastColumn="0"/>
            </w:pPr>
          </w:p>
          <w:p w14:paraId="42A71856" w14:textId="694850D7" w:rsidR="0078092E" w:rsidRPr="00CB0D82" w:rsidRDefault="0078092E" w:rsidP="0078092E">
            <w:pPr>
              <w:pStyle w:val="Text"/>
              <w:spacing w:after="0"/>
              <w:cnfStyle w:val="000000000000" w:firstRow="0" w:lastRow="0" w:firstColumn="0" w:lastColumn="0" w:oddVBand="0" w:evenVBand="0" w:oddHBand="0" w:evenHBand="0" w:firstRowFirstColumn="0" w:firstRowLastColumn="0" w:lastRowFirstColumn="0" w:lastRowLastColumn="0"/>
            </w:pPr>
            <w:r w:rsidRPr="00CB0D82">
              <w:t xml:space="preserve">Keep all other documents for </w:t>
            </w:r>
            <w:r w:rsidR="00740212">
              <w:rPr>
                <w:b/>
              </w:rPr>
              <w:t>5</w:t>
            </w:r>
            <w:r w:rsidRPr="00CB0D82">
              <w:rPr>
                <w:b/>
              </w:rPr>
              <w:t xml:space="preserve">0 years </w:t>
            </w:r>
            <w:r w:rsidRPr="00CB0D82">
              <w:t>and then destroy.</w:t>
            </w:r>
          </w:p>
          <w:p w14:paraId="1649C7B8" w14:textId="51E0F850" w:rsidR="00D701D6" w:rsidRPr="00C71F52" w:rsidRDefault="00D701D6" w:rsidP="0078092E">
            <w:pPr>
              <w:pStyle w:val="Text"/>
              <w:spacing w:after="0"/>
              <w:cnfStyle w:val="000000000000" w:firstRow="0" w:lastRow="0" w:firstColumn="0" w:lastColumn="0" w:oddVBand="0" w:evenVBand="0" w:oddHBand="0" w:evenHBand="0" w:firstRowFirstColumn="0" w:firstRowLastColumn="0" w:lastRowFirstColumn="0" w:lastRowLastColumn="0"/>
              <w:rPr>
                <w:sz w:val="18"/>
              </w:rPr>
            </w:pPr>
          </w:p>
        </w:tc>
      </w:tr>
      <w:tr w:rsidR="009D3BCC" w14:paraId="3E252A4B" w14:textId="77777777" w:rsidTr="00600F2C">
        <w:tc>
          <w:tcPr>
            <w:cnfStyle w:val="001000000000" w:firstRow="0" w:lastRow="0" w:firstColumn="1" w:lastColumn="0" w:oddVBand="0" w:evenVBand="0" w:oddHBand="0" w:evenHBand="0" w:firstRowFirstColumn="0" w:firstRowLastColumn="0" w:lastRowFirstColumn="0" w:lastRowLastColumn="0"/>
            <w:tcW w:w="846" w:type="dxa"/>
            <w:vAlign w:val="center"/>
          </w:tcPr>
          <w:p w14:paraId="65EDD1D4" w14:textId="77777777" w:rsidR="009D3BCC" w:rsidRDefault="009D3BCC" w:rsidP="00BD2985">
            <w:pPr>
              <w:pStyle w:val="Text"/>
              <w:numPr>
                <w:ilvl w:val="0"/>
                <w:numId w:val="11"/>
              </w:numPr>
              <w:spacing w:after="0"/>
            </w:pPr>
          </w:p>
        </w:tc>
        <w:tc>
          <w:tcPr>
            <w:tcW w:w="4536" w:type="dxa"/>
            <w:vAlign w:val="center"/>
          </w:tcPr>
          <w:p w14:paraId="61F42F69" w14:textId="77777777" w:rsidR="007C192D" w:rsidRDefault="007C192D" w:rsidP="00BD2985">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rPr>
            </w:pPr>
          </w:p>
          <w:p w14:paraId="56BD561E" w14:textId="23893648" w:rsidR="009D3BCC" w:rsidRPr="009D3BCC" w:rsidRDefault="009D3BCC" w:rsidP="00BD2985">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rPr>
            </w:pPr>
            <w:r w:rsidRPr="009D3BCC">
              <w:rPr>
                <w:rFonts w:cs="Arial"/>
                <w:sz w:val="22"/>
              </w:rPr>
              <w:t>Probate applications</w:t>
            </w:r>
          </w:p>
          <w:p w14:paraId="389DA1E7" w14:textId="77777777" w:rsidR="009D3BCC" w:rsidRPr="009D3BCC" w:rsidRDefault="009D3BCC" w:rsidP="00BD2985">
            <w:pPr>
              <w:spacing w:after="0" w:line="240" w:lineRule="auto"/>
              <w:cnfStyle w:val="000000000000" w:firstRow="0" w:lastRow="0" w:firstColumn="0" w:lastColumn="0" w:oddVBand="0" w:evenVBand="0" w:oddHBand="0" w:evenHBand="0" w:firstRowFirstColumn="0" w:firstRowLastColumn="0" w:lastRowFirstColumn="0" w:lastRowLastColumn="0"/>
              <w:rPr>
                <w:rFonts w:cs="Arial"/>
                <w:sz w:val="22"/>
              </w:rPr>
            </w:pPr>
            <w:r w:rsidRPr="009D3BCC">
              <w:rPr>
                <w:rFonts w:cs="Arial"/>
                <w:sz w:val="22"/>
              </w:rPr>
              <w:t>a) completed applications</w:t>
            </w:r>
          </w:p>
          <w:p w14:paraId="2799E85E" w14:textId="77777777" w:rsidR="009D3BCC" w:rsidRDefault="009D3BCC" w:rsidP="00BD2985">
            <w:pPr>
              <w:pStyle w:val="Text"/>
              <w:spacing w:after="0"/>
              <w:cnfStyle w:val="000000000000" w:firstRow="0" w:lastRow="0" w:firstColumn="0" w:lastColumn="0" w:oddVBand="0" w:evenVBand="0" w:oddHBand="0" w:evenHBand="0" w:firstRowFirstColumn="0" w:firstRowLastColumn="0" w:lastRowFirstColumn="0" w:lastRowLastColumn="0"/>
              <w:rPr>
                <w:rFonts w:cs="Arial"/>
              </w:rPr>
            </w:pPr>
            <w:r w:rsidRPr="009D3BCC">
              <w:rPr>
                <w:rFonts w:cs="Arial"/>
              </w:rPr>
              <w:t>b) withdrawn applications</w:t>
            </w:r>
          </w:p>
          <w:p w14:paraId="6F97931F" w14:textId="26B5CD83" w:rsidR="007C192D" w:rsidRDefault="007C192D" w:rsidP="00BD2985">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0A5FC40F" w14:textId="6C14A2BC" w:rsidR="009D3BCC" w:rsidRPr="00947BB3" w:rsidRDefault="009D3BCC" w:rsidP="00BD2985">
            <w:pPr>
              <w:pStyle w:val="Text"/>
              <w:spacing w:after="0"/>
              <w:cnfStyle w:val="000000000000" w:firstRow="0" w:lastRow="0" w:firstColumn="0" w:lastColumn="0" w:oddVBand="0" w:evenVBand="0" w:oddHBand="0" w:evenHBand="0" w:firstRowFirstColumn="0" w:firstRowLastColumn="0" w:lastRowFirstColumn="0" w:lastRowLastColumn="0"/>
              <w:rPr>
                <w:color w:val="FF0000"/>
              </w:rPr>
            </w:pPr>
            <w:r>
              <w:t xml:space="preserve">a) Keep in Registry </w:t>
            </w:r>
            <w:r w:rsidR="00AF2127">
              <w:t>until</w:t>
            </w:r>
            <w:r>
              <w:t xml:space="preserve"> then transfer</w:t>
            </w:r>
            <w:r w:rsidR="00AF2127">
              <w:t>red</w:t>
            </w:r>
            <w:r>
              <w:t xml:space="preserve"> to offsite storage for </w:t>
            </w:r>
            <w:r w:rsidRPr="00A95F28">
              <w:rPr>
                <w:b/>
              </w:rPr>
              <w:t>preservation</w:t>
            </w:r>
            <w:r>
              <w:t>.</w:t>
            </w:r>
          </w:p>
          <w:p w14:paraId="24F3F5B0" w14:textId="2F9F8144" w:rsidR="00DC7014" w:rsidRDefault="009D3BCC" w:rsidP="00C71F52">
            <w:pPr>
              <w:pStyle w:val="Text"/>
              <w:spacing w:after="0"/>
              <w:cnfStyle w:val="000000000000" w:firstRow="0" w:lastRow="0" w:firstColumn="0" w:lastColumn="0" w:oddVBand="0" w:evenVBand="0" w:oddHBand="0" w:evenHBand="0" w:firstRowFirstColumn="0" w:firstRowLastColumn="0" w:lastRowFirstColumn="0" w:lastRowLastColumn="0"/>
            </w:pPr>
            <w:r>
              <w:t xml:space="preserve">b) Keep </w:t>
            </w:r>
            <w:r w:rsidRPr="00AE171D">
              <w:t xml:space="preserve">for </w:t>
            </w:r>
            <w:r w:rsidRPr="00A95F28">
              <w:rPr>
                <w:b/>
              </w:rPr>
              <w:t>two years</w:t>
            </w:r>
            <w:r w:rsidR="00940B9D">
              <w:rPr>
                <w:b/>
              </w:rPr>
              <w:t xml:space="preserve">. </w:t>
            </w:r>
            <w:r w:rsidR="00940B9D" w:rsidRPr="00C977E1">
              <w:t xml:space="preserve">Remove original </w:t>
            </w:r>
            <w:r w:rsidR="00687428" w:rsidRPr="00C977E1">
              <w:t>will</w:t>
            </w:r>
            <w:r w:rsidR="00687428">
              <w:rPr>
                <w:b/>
              </w:rPr>
              <w:t xml:space="preserve"> </w:t>
            </w:r>
            <w:r w:rsidR="00687428">
              <w:t xml:space="preserve">(where included) </w:t>
            </w:r>
            <w:r w:rsidR="00C977E1">
              <w:t xml:space="preserve">and </w:t>
            </w:r>
            <w:r>
              <w:t>then destr</w:t>
            </w:r>
            <w:r w:rsidR="007E3703">
              <w:t>oy</w:t>
            </w:r>
          </w:p>
        </w:tc>
      </w:tr>
      <w:tr w:rsidR="00EF2A99" w14:paraId="098646FD" w14:textId="77777777" w:rsidTr="00600F2C">
        <w:tc>
          <w:tcPr>
            <w:cnfStyle w:val="001000000000" w:firstRow="0" w:lastRow="0" w:firstColumn="1" w:lastColumn="0" w:oddVBand="0" w:evenVBand="0" w:oddHBand="0" w:evenHBand="0" w:firstRowFirstColumn="0" w:firstRowLastColumn="0" w:lastRowFirstColumn="0" w:lastRowLastColumn="0"/>
            <w:tcW w:w="846" w:type="dxa"/>
            <w:vAlign w:val="center"/>
          </w:tcPr>
          <w:p w14:paraId="32D4526B" w14:textId="77777777" w:rsidR="00EF2A99" w:rsidRDefault="00EF2A99" w:rsidP="00EF2A99">
            <w:pPr>
              <w:pStyle w:val="Text"/>
              <w:numPr>
                <w:ilvl w:val="0"/>
                <w:numId w:val="11"/>
              </w:numPr>
              <w:spacing w:after="0"/>
            </w:pPr>
          </w:p>
        </w:tc>
        <w:tc>
          <w:tcPr>
            <w:tcW w:w="4536" w:type="dxa"/>
            <w:vAlign w:val="center"/>
          </w:tcPr>
          <w:p w14:paraId="3B3B919C" w14:textId="77777777"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p w14:paraId="774DD3A7" w14:textId="77777777"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t>a) Requests for Probate records</w:t>
            </w:r>
          </w:p>
          <w:p w14:paraId="7FBDA088" w14:textId="018F9A14" w:rsidR="00EF2A99" w:rsidRPr="00655497"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color w:val="0000CC"/>
              </w:rPr>
            </w:pPr>
            <w:r>
              <w:t>b) Settling applications</w:t>
            </w:r>
          </w:p>
          <w:p w14:paraId="28C46CC8" w14:textId="213D75E3"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t>c) Caveats (withdrawn, expired and removed)</w:t>
            </w:r>
          </w:p>
          <w:p w14:paraId="128DF360" w14:textId="77777777"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t>d) Standing searches</w:t>
            </w:r>
          </w:p>
          <w:p w14:paraId="6ABE5E9F" w14:textId="77777777" w:rsidR="00EF2A99" w:rsidRPr="00AE171D"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t>e) Safe Custody Will deposits</w:t>
            </w:r>
          </w:p>
          <w:p w14:paraId="166A9E2D" w14:textId="77777777"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592AA268" w14:textId="33C9A784"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00F418D0">
              <w:rPr>
                <w:b/>
              </w:rPr>
              <w:t>three</w:t>
            </w:r>
            <w:r>
              <w:rPr>
                <w:b/>
              </w:rPr>
              <w:t xml:space="preserve"> years </w:t>
            </w:r>
            <w:r>
              <w:t xml:space="preserve">from the date of issue and </w:t>
            </w:r>
            <w:r w:rsidR="00D6758E">
              <w:t xml:space="preserve">providing there are no </w:t>
            </w:r>
            <w:r w:rsidR="00C977E1">
              <w:t>ongoing</w:t>
            </w:r>
            <w:r w:rsidR="00D6758E">
              <w:t xml:space="preserve"> issues,</w:t>
            </w:r>
            <w:r>
              <w:t xml:space="preserve"> destroy</w:t>
            </w:r>
            <w:r w:rsidR="00C977E1">
              <w:t xml:space="preserve">. </w:t>
            </w:r>
          </w:p>
          <w:p w14:paraId="1342ECE2" w14:textId="2BC758DC" w:rsidR="00B54174" w:rsidRDefault="00B54174" w:rsidP="00EF2A99">
            <w:pPr>
              <w:pStyle w:val="Text"/>
              <w:spacing w:after="0"/>
              <w:cnfStyle w:val="000000000000" w:firstRow="0" w:lastRow="0" w:firstColumn="0" w:lastColumn="0" w:oddVBand="0" w:evenVBand="0" w:oddHBand="0" w:evenHBand="0" w:firstRowFirstColumn="0" w:firstRowLastColumn="0" w:lastRowFirstColumn="0" w:lastRowLastColumn="0"/>
            </w:pPr>
            <w:r>
              <w:t xml:space="preserve">Where </w:t>
            </w:r>
            <w:r w:rsidR="00C977E1">
              <w:t xml:space="preserve">there are ongoing </w:t>
            </w:r>
            <w:r>
              <w:t xml:space="preserve">issues, keep </w:t>
            </w:r>
            <w:r w:rsidR="00910472">
              <w:t xml:space="preserve">until </w:t>
            </w:r>
            <w:r>
              <w:t xml:space="preserve">one year from </w:t>
            </w:r>
            <w:r w:rsidR="00910472">
              <w:t xml:space="preserve">date of </w:t>
            </w:r>
            <w:r>
              <w:t>resolution</w:t>
            </w:r>
          </w:p>
        </w:tc>
      </w:tr>
      <w:tr w:rsidR="00EF2A99" w14:paraId="09E1B334" w14:textId="77777777" w:rsidTr="00600F2C">
        <w:tc>
          <w:tcPr>
            <w:cnfStyle w:val="001000000000" w:firstRow="0" w:lastRow="0" w:firstColumn="1" w:lastColumn="0" w:oddVBand="0" w:evenVBand="0" w:oddHBand="0" w:evenHBand="0" w:firstRowFirstColumn="0" w:firstRowLastColumn="0" w:lastRowFirstColumn="0" w:lastRowLastColumn="0"/>
            <w:tcW w:w="846" w:type="dxa"/>
            <w:vAlign w:val="center"/>
          </w:tcPr>
          <w:p w14:paraId="2961E125" w14:textId="77777777" w:rsidR="00EF2A99" w:rsidRDefault="00EF2A99" w:rsidP="00EF2A99">
            <w:pPr>
              <w:pStyle w:val="Text"/>
              <w:numPr>
                <w:ilvl w:val="0"/>
                <w:numId w:val="11"/>
              </w:numPr>
              <w:spacing w:after="0"/>
            </w:pPr>
          </w:p>
        </w:tc>
        <w:tc>
          <w:tcPr>
            <w:tcW w:w="4536" w:type="dxa"/>
            <w:vAlign w:val="center"/>
          </w:tcPr>
          <w:p w14:paraId="2D9D83F6" w14:textId="77777777"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p w14:paraId="0EDC30B0" w14:textId="0ADE17A7"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t>Probate Registry statistics</w:t>
            </w:r>
          </w:p>
          <w:p w14:paraId="2B071E50" w14:textId="77777777"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4B229CAF" w14:textId="589144DE"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007E3703">
              <w:rPr>
                <w:b/>
              </w:rPr>
              <w:t>three</w:t>
            </w:r>
            <w:r>
              <w:rPr>
                <w:b/>
              </w:rPr>
              <w:t xml:space="preserve"> years</w:t>
            </w:r>
            <w:r>
              <w:t xml:space="preserve"> from date of last action and then destroy</w:t>
            </w:r>
          </w:p>
        </w:tc>
      </w:tr>
      <w:tr w:rsidR="00EF2A99" w:rsidRPr="00E66A89" w14:paraId="2F7A7721" w14:textId="77777777" w:rsidTr="00600F2C">
        <w:tc>
          <w:tcPr>
            <w:cnfStyle w:val="001000000000" w:firstRow="0" w:lastRow="0" w:firstColumn="1" w:lastColumn="0" w:oddVBand="0" w:evenVBand="0" w:oddHBand="0" w:evenHBand="0" w:firstRowFirstColumn="0" w:firstRowLastColumn="0" w:lastRowFirstColumn="0" w:lastRowLastColumn="0"/>
            <w:tcW w:w="9628" w:type="dxa"/>
            <w:gridSpan w:val="3"/>
          </w:tcPr>
          <w:p w14:paraId="3D6B8AA5" w14:textId="77777777" w:rsidR="00EF2A99" w:rsidRDefault="00EF2A99" w:rsidP="00EF2A99">
            <w:pPr>
              <w:pStyle w:val="Text"/>
              <w:spacing w:after="0"/>
              <w:jc w:val="center"/>
              <w:rPr>
                <w:sz w:val="24"/>
              </w:rPr>
            </w:pPr>
          </w:p>
          <w:p w14:paraId="61B29E53" w14:textId="05FFDE67" w:rsidR="00EF2A99" w:rsidRPr="00FC1089" w:rsidRDefault="00EF2A99" w:rsidP="00EF2A99">
            <w:pPr>
              <w:pStyle w:val="Text"/>
              <w:spacing w:after="0"/>
              <w:jc w:val="center"/>
              <w:rPr>
                <w:color w:val="FF0000"/>
                <w:sz w:val="24"/>
              </w:rPr>
            </w:pPr>
            <w:r>
              <w:rPr>
                <w:sz w:val="24"/>
              </w:rPr>
              <w:t xml:space="preserve">2. </w:t>
            </w:r>
            <w:r w:rsidRPr="00347BCF">
              <w:rPr>
                <w:sz w:val="24"/>
              </w:rPr>
              <w:t xml:space="preserve">Records </w:t>
            </w:r>
            <w:r>
              <w:rPr>
                <w:sz w:val="24"/>
              </w:rPr>
              <w:t>unique to HMCTS</w:t>
            </w:r>
          </w:p>
          <w:p w14:paraId="1C70D3CF" w14:textId="77777777" w:rsidR="00EF2A99" w:rsidRPr="00E66A89" w:rsidRDefault="00EF2A99" w:rsidP="00EF2A99">
            <w:pPr>
              <w:pStyle w:val="Text"/>
              <w:spacing w:after="0"/>
              <w:jc w:val="center"/>
              <w:rPr>
                <w:sz w:val="24"/>
              </w:rPr>
            </w:pPr>
          </w:p>
        </w:tc>
      </w:tr>
      <w:tr w:rsidR="00EF2A99" w14:paraId="10B036AF"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7300C66D" w14:textId="77777777" w:rsidR="00EF2A99" w:rsidRDefault="00EF2A99" w:rsidP="00F31309">
            <w:pPr>
              <w:pStyle w:val="Text"/>
              <w:numPr>
                <w:ilvl w:val="0"/>
                <w:numId w:val="11"/>
              </w:numPr>
              <w:spacing w:after="0"/>
            </w:pPr>
          </w:p>
        </w:tc>
        <w:tc>
          <w:tcPr>
            <w:tcW w:w="4536" w:type="dxa"/>
            <w:vAlign w:val="center"/>
          </w:tcPr>
          <w:p w14:paraId="29D5D090" w14:textId="77777777" w:rsidR="00EF2A99" w:rsidRPr="00910472"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p w14:paraId="0AAEF504" w14:textId="77777777" w:rsidR="00EF2A99" w:rsidRPr="0054612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rsidRPr="00546129">
              <w:t>Financial and accounting records</w:t>
            </w:r>
            <w:r>
              <w:t xml:space="preserve"> of the court</w:t>
            </w:r>
          </w:p>
          <w:p w14:paraId="7FC9290C" w14:textId="77777777" w:rsidR="00EF2A99" w:rsidRPr="00910472"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6338AF76" w14:textId="74FA3F9D"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rsidRPr="00546129">
              <w:t xml:space="preserve">Keep for </w:t>
            </w:r>
            <w:r w:rsidRPr="00546129">
              <w:rPr>
                <w:b/>
              </w:rPr>
              <w:t>seven years</w:t>
            </w:r>
            <w:r w:rsidRPr="00546129">
              <w:t xml:space="preserve"> after closure and then destroy</w:t>
            </w:r>
          </w:p>
        </w:tc>
      </w:tr>
      <w:tr w:rsidR="007E3703" w14:paraId="6F9659E1"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0477637D" w14:textId="77777777" w:rsidR="007E3703" w:rsidRDefault="007E3703" w:rsidP="007E3703">
            <w:pPr>
              <w:pStyle w:val="Text"/>
              <w:numPr>
                <w:ilvl w:val="0"/>
                <w:numId w:val="11"/>
              </w:numPr>
              <w:spacing w:after="0"/>
            </w:pPr>
          </w:p>
        </w:tc>
        <w:tc>
          <w:tcPr>
            <w:tcW w:w="4536" w:type="dxa"/>
            <w:vAlign w:val="center"/>
          </w:tcPr>
          <w:p w14:paraId="73D6CC0E" w14:textId="77777777" w:rsidR="007E3703" w:rsidRDefault="007E3703" w:rsidP="007E370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p>
          <w:p w14:paraId="125F3238" w14:textId="77777777" w:rsidR="007E3703" w:rsidRPr="00F83D6B" w:rsidRDefault="007E3703" w:rsidP="007E3703">
            <w:pPr>
              <w:pStyle w:val="Text"/>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262EE7">
              <w:t>Records created as part of governance and assurance processes including</w:t>
            </w:r>
            <w:r>
              <w:t>:</w:t>
            </w:r>
          </w:p>
          <w:p w14:paraId="69164F01" w14:textId="77777777" w:rsidR="007E3703" w:rsidRDefault="007E3703" w:rsidP="007E3703">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rPr>
                <w:b/>
              </w:rPr>
            </w:pPr>
            <w:r w:rsidRPr="00262EE7">
              <w:t xml:space="preserve">Key Control Check Sheets (KCCS) </w:t>
            </w:r>
          </w:p>
          <w:p w14:paraId="17E1D034" w14:textId="77777777" w:rsidR="007E3703" w:rsidRDefault="007E3703" w:rsidP="007E3703">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rPr>
                <w:b/>
              </w:rPr>
            </w:pPr>
            <w:r w:rsidRPr="00262EE7">
              <w:t>Standard Operating Controls (SOC</w:t>
            </w:r>
            <w:r>
              <w:t>)</w:t>
            </w:r>
          </w:p>
          <w:p w14:paraId="4CFD1183" w14:textId="77777777" w:rsidR="007E3703" w:rsidRDefault="007E3703" w:rsidP="007E3703">
            <w:pPr>
              <w:pStyle w:val="Text"/>
              <w:numPr>
                <w:ilvl w:val="0"/>
                <w:numId w:val="20"/>
              </w:numPr>
              <w:spacing w:after="0"/>
              <w:cnfStyle w:val="000000000000" w:firstRow="0" w:lastRow="0" w:firstColumn="0" w:lastColumn="0" w:oddVBand="0" w:evenVBand="0" w:oddHBand="0" w:evenHBand="0" w:firstRowFirstColumn="0" w:firstRowLastColumn="0" w:lastRowFirstColumn="0" w:lastRowLastColumn="0"/>
              <w:rPr>
                <w:b/>
              </w:rPr>
            </w:pPr>
            <w:r>
              <w:t>P</w:t>
            </w:r>
            <w:r w:rsidRPr="00262EE7">
              <w:t>revious equivalents</w:t>
            </w:r>
          </w:p>
          <w:p w14:paraId="733062A9" w14:textId="77777777" w:rsidR="007E3703" w:rsidRPr="00546129" w:rsidRDefault="007E3703" w:rsidP="007E3703">
            <w:pPr>
              <w:pStyle w:val="Text"/>
              <w:spacing w:after="0"/>
              <w:cnfStyle w:val="000000000000" w:firstRow="0" w:lastRow="0" w:firstColumn="0" w:lastColumn="0" w:oddVBand="0" w:evenVBand="0" w:oddHBand="0" w:evenHBand="0" w:firstRowFirstColumn="0" w:firstRowLastColumn="0" w:lastRowFirstColumn="0" w:lastRowLastColumn="0"/>
              <w:rPr>
                <w:rFonts w:cs="Arial"/>
              </w:rPr>
            </w:pPr>
          </w:p>
        </w:tc>
        <w:tc>
          <w:tcPr>
            <w:tcW w:w="4246" w:type="dxa"/>
            <w:vAlign w:val="center"/>
          </w:tcPr>
          <w:p w14:paraId="2245ECB3" w14:textId="2395B864" w:rsidR="007E3703" w:rsidRPr="00546129" w:rsidRDefault="007E3703" w:rsidP="007E3703">
            <w:pPr>
              <w:pStyle w:val="Text"/>
              <w:spacing w:after="0"/>
              <w:cnfStyle w:val="000000000000" w:firstRow="0" w:lastRow="0" w:firstColumn="0" w:lastColumn="0" w:oddVBand="0" w:evenVBand="0" w:oddHBand="0" w:evenHBand="0" w:firstRowFirstColumn="0" w:firstRowLastColumn="0" w:lastRowFirstColumn="0" w:lastRowLastColumn="0"/>
            </w:pPr>
            <w:r w:rsidRPr="00262EE7">
              <w:t>Destroy in line with the HMCTS Governance and Assurance RRDS</w:t>
            </w:r>
          </w:p>
        </w:tc>
      </w:tr>
      <w:tr w:rsidR="00EF2A99" w14:paraId="368F9D4F"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532E91DE" w14:textId="77777777" w:rsidR="00EF2A99" w:rsidRDefault="00EF2A99" w:rsidP="00F31309">
            <w:pPr>
              <w:pStyle w:val="Text"/>
              <w:numPr>
                <w:ilvl w:val="0"/>
                <w:numId w:val="11"/>
              </w:numPr>
              <w:spacing w:after="0"/>
            </w:pPr>
          </w:p>
        </w:tc>
        <w:tc>
          <w:tcPr>
            <w:tcW w:w="4536" w:type="dxa"/>
            <w:vAlign w:val="center"/>
          </w:tcPr>
          <w:p w14:paraId="3F676DD6" w14:textId="77777777" w:rsidR="00EF2A99" w:rsidRPr="002B0691"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sz w:val="16"/>
              </w:rPr>
            </w:pPr>
          </w:p>
          <w:p w14:paraId="7DED71B2" w14:textId="77777777" w:rsidR="00EF2A99" w:rsidRPr="00A95F28"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rsidRPr="00A95F28">
              <w:t>One Performance Truth (OPT statistics)</w:t>
            </w:r>
          </w:p>
          <w:p w14:paraId="3C9ED7A0" w14:textId="77777777" w:rsidR="00EF2A99" w:rsidRPr="002B0691"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sz w:val="16"/>
              </w:rPr>
            </w:pPr>
          </w:p>
        </w:tc>
        <w:tc>
          <w:tcPr>
            <w:tcW w:w="4246" w:type="dxa"/>
            <w:vAlign w:val="center"/>
          </w:tcPr>
          <w:p w14:paraId="34C2F722" w14:textId="192FBA65"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sidRPr="00652BA3">
              <w:rPr>
                <w:b/>
              </w:rPr>
              <w:t>three months</w:t>
            </w:r>
            <w:r>
              <w:t xml:space="preserve"> and then destroy</w:t>
            </w:r>
          </w:p>
        </w:tc>
      </w:tr>
      <w:tr w:rsidR="00EF2A99" w14:paraId="53BD1079"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3E929DE4" w14:textId="77777777" w:rsidR="00EF2A99" w:rsidRDefault="00EF2A99" w:rsidP="00F31309">
            <w:pPr>
              <w:pStyle w:val="Text"/>
              <w:numPr>
                <w:ilvl w:val="0"/>
                <w:numId w:val="11"/>
              </w:numPr>
              <w:spacing w:after="0"/>
            </w:pPr>
          </w:p>
        </w:tc>
        <w:tc>
          <w:tcPr>
            <w:tcW w:w="4536" w:type="dxa"/>
            <w:vAlign w:val="center"/>
          </w:tcPr>
          <w:p w14:paraId="570E6A90" w14:textId="77777777" w:rsidR="00EF2A99" w:rsidRPr="00910472"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p w14:paraId="5F1B0727" w14:textId="77777777"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rsidRPr="00B30E0A">
              <w:t>Other correspondence (other than case related correspondence)</w:t>
            </w:r>
          </w:p>
          <w:p w14:paraId="19C00487" w14:textId="77777777" w:rsidR="00EF2A99" w:rsidRPr="00910472"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767A7A91" w14:textId="2AEE5223"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one year</w:t>
            </w:r>
            <w:r>
              <w:t xml:space="preserve"> and then destroy</w:t>
            </w:r>
          </w:p>
        </w:tc>
      </w:tr>
      <w:tr w:rsidR="00EF2A99" w14:paraId="73EF0B4D"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172DDF48" w14:textId="77777777" w:rsidR="00EF2A99" w:rsidRDefault="00EF2A99" w:rsidP="00F31309">
            <w:pPr>
              <w:pStyle w:val="Text"/>
              <w:numPr>
                <w:ilvl w:val="0"/>
                <w:numId w:val="11"/>
              </w:numPr>
              <w:spacing w:after="0"/>
            </w:pPr>
          </w:p>
        </w:tc>
        <w:tc>
          <w:tcPr>
            <w:tcW w:w="4536" w:type="dxa"/>
            <w:vAlign w:val="center"/>
          </w:tcPr>
          <w:p w14:paraId="13D1E2EE" w14:textId="77777777" w:rsidR="00EF2A99" w:rsidRPr="006C1D5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p w14:paraId="75FB929C" w14:textId="77777777"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rsidRPr="006C1D56">
              <w:t xml:space="preserve">Recordings </w:t>
            </w:r>
            <w:r>
              <w:t>or notes taken at</w:t>
            </w:r>
            <w:r w:rsidRPr="006C1D56">
              <w:t xml:space="preserve"> </w:t>
            </w:r>
            <w:r>
              <w:t>hearings</w:t>
            </w:r>
          </w:p>
          <w:p w14:paraId="55DB8128" w14:textId="77777777"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60F6B79E" w14:textId="2CFF8693"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t xml:space="preserve">Keep for </w:t>
            </w:r>
            <w:r>
              <w:rPr>
                <w:b/>
              </w:rPr>
              <w:t xml:space="preserve">six years </w:t>
            </w:r>
            <w:r>
              <w:t>from date of recording/note taken and then destroy.</w:t>
            </w:r>
          </w:p>
        </w:tc>
      </w:tr>
      <w:tr w:rsidR="00E35149" w:rsidRPr="00E35149" w14:paraId="065A905E"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07BC7B2C" w14:textId="77777777" w:rsidR="00EF2A99" w:rsidRPr="00E35149" w:rsidRDefault="00EF2A99" w:rsidP="00F31309">
            <w:pPr>
              <w:pStyle w:val="Text"/>
              <w:numPr>
                <w:ilvl w:val="0"/>
                <w:numId w:val="11"/>
              </w:numPr>
              <w:spacing w:after="0"/>
            </w:pPr>
          </w:p>
        </w:tc>
        <w:tc>
          <w:tcPr>
            <w:tcW w:w="4536" w:type="dxa"/>
            <w:vAlign w:val="center"/>
          </w:tcPr>
          <w:p w14:paraId="0A8C960E" w14:textId="77777777" w:rsidR="00E35149" w:rsidRDefault="00E35149" w:rsidP="00EF2A99">
            <w:pPr>
              <w:pStyle w:val="Text"/>
              <w:spacing w:after="0"/>
              <w:cnfStyle w:val="000000000000" w:firstRow="0" w:lastRow="0" w:firstColumn="0" w:lastColumn="0" w:oddVBand="0" w:evenVBand="0" w:oddHBand="0" w:evenHBand="0" w:firstRowFirstColumn="0" w:firstRowLastColumn="0" w:lastRowFirstColumn="0" w:lastRowLastColumn="0"/>
              <w:rPr>
                <w:b/>
              </w:rPr>
            </w:pPr>
          </w:p>
          <w:p w14:paraId="01F77CA1" w14:textId="0B425391" w:rsidR="00EF2A99" w:rsidRPr="00E3514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b/>
              </w:rPr>
            </w:pPr>
            <w:r w:rsidRPr="00E35149">
              <w:rPr>
                <w:b/>
              </w:rPr>
              <w:t>Financial</w:t>
            </w:r>
          </w:p>
          <w:p w14:paraId="33D52652" w14:textId="6D90DE3D" w:rsidR="00EF2A99" w:rsidRPr="00E35149" w:rsidRDefault="00E35149" w:rsidP="00EF2A99">
            <w:pPr>
              <w:pStyle w:val="Text"/>
              <w:spacing w:after="0"/>
              <w:cnfStyle w:val="000000000000" w:firstRow="0" w:lastRow="0" w:firstColumn="0" w:lastColumn="0" w:oddVBand="0" w:evenVBand="0" w:oddHBand="0" w:evenHBand="0" w:firstRowFirstColumn="0" w:firstRowLastColumn="0" w:lastRowFirstColumn="0" w:lastRowLastColumn="0"/>
            </w:pPr>
            <w:r w:rsidRPr="00E35149">
              <w:t>a</w:t>
            </w:r>
            <w:r w:rsidR="00EF2A99" w:rsidRPr="00E35149">
              <w:t>) Copy bank paying-in slips</w:t>
            </w:r>
          </w:p>
          <w:p w14:paraId="132BF6E0" w14:textId="087418EE" w:rsidR="00EF2A99" w:rsidRPr="00E35149" w:rsidRDefault="00E35149" w:rsidP="00EF2A99">
            <w:pPr>
              <w:pStyle w:val="Text"/>
              <w:spacing w:after="0"/>
              <w:cnfStyle w:val="000000000000" w:firstRow="0" w:lastRow="0" w:firstColumn="0" w:lastColumn="0" w:oddVBand="0" w:evenVBand="0" w:oddHBand="0" w:evenHBand="0" w:firstRowFirstColumn="0" w:firstRowLastColumn="0" w:lastRowFirstColumn="0" w:lastRowLastColumn="0"/>
            </w:pPr>
            <w:r w:rsidRPr="00E35149">
              <w:t>b)</w:t>
            </w:r>
            <w:r w:rsidR="00EF2A99" w:rsidRPr="00E35149">
              <w:t xml:space="preserve"> Monthly statements of balance and related vouchers</w:t>
            </w:r>
          </w:p>
          <w:p w14:paraId="255FA9F1" w14:textId="2B4BE06E" w:rsidR="00EF2A99" w:rsidRPr="00E35149" w:rsidRDefault="00E35149" w:rsidP="00EF2A99">
            <w:pPr>
              <w:pStyle w:val="Text"/>
              <w:spacing w:after="0"/>
              <w:cnfStyle w:val="000000000000" w:firstRow="0" w:lastRow="0" w:firstColumn="0" w:lastColumn="0" w:oddVBand="0" w:evenVBand="0" w:oddHBand="0" w:evenHBand="0" w:firstRowFirstColumn="0" w:firstRowLastColumn="0" w:lastRowFirstColumn="0" w:lastRowLastColumn="0"/>
            </w:pPr>
            <w:r w:rsidRPr="00E35149">
              <w:t>c</w:t>
            </w:r>
            <w:r w:rsidR="00EF2A99" w:rsidRPr="00E35149">
              <w:t>) Bank reconciliation records</w:t>
            </w:r>
          </w:p>
          <w:p w14:paraId="62073DF8" w14:textId="7D831551" w:rsidR="00EF2A99" w:rsidRPr="00E35149" w:rsidRDefault="00E35149" w:rsidP="00EF2A99">
            <w:pPr>
              <w:pStyle w:val="Text"/>
              <w:spacing w:after="0"/>
              <w:cnfStyle w:val="000000000000" w:firstRow="0" w:lastRow="0" w:firstColumn="0" w:lastColumn="0" w:oddVBand="0" w:evenVBand="0" w:oddHBand="0" w:evenHBand="0" w:firstRowFirstColumn="0" w:firstRowLastColumn="0" w:lastRowFirstColumn="0" w:lastRowLastColumn="0"/>
            </w:pPr>
            <w:r w:rsidRPr="00E35149">
              <w:t>d</w:t>
            </w:r>
            <w:r w:rsidR="00EF2A99" w:rsidRPr="00E35149">
              <w:t>) Fee exemption/remission register</w:t>
            </w:r>
          </w:p>
          <w:p w14:paraId="4AE12E82" w14:textId="04114F07" w:rsidR="00EF2A99" w:rsidRPr="00E35149" w:rsidRDefault="00E35149" w:rsidP="00EF2A99">
            <w:pPr>
              <w:pStyle w:val="Text"/>
              <w:spacing w:after="0"/>
              <w:cnfStyle w:val="000000000000" w:firstRow="0" w:lastRow="0" w:firstColumn="0" w:lastColumn="0" w:oddVBand="0" w:evenVBand="0" w:oddHBand="0" w:evenHBand="0" w:firstRowFirstColumn="0" w:firstRowLastColumn="0" w:lastRowFirstColumn="0" w:lastRowLastColumn="0"/>
            </w:pPr>
            <w:r w:rsidRPr="00E35149">
              <w:t>e</w:t>
            </w:r>
            <w:r w:rsidR="00EF2A99" w:rsidRPr="00E35149">
              <w:t>) Refund documentation (Refund Authorisation forms)</w:t>
            </w:r>
          </w:p>
          <w:p w14:paraId="1BE4F73C" w14:textId="76CA0814" w:rsidR="00EF2A99" w:rsidRPr="00E35149" w:rsidRDefault="00E35149" w:rsidP="00EF2A99">
            <w:pPr>
              <w:pStyle w:val="Text"/>
              <w:spacing w:after="0"/>
              <w:cnfStyle w:val="000000000000" w:firstRow="0" w:lastRow="0" w:firstColumn="0" w:lastColumn="0" w:oddVBand="0" w:evenVBand="0" w:oddHBand="0" w:evenHBand="0" w:firstRowFirstColumn="0" w:firstRowLastColumn="0" w:lastRowFirstColumn="0" w:lastRowLastColumn="0"/>
            </w:pPr>
            <w:r w:rsidRPr="00E35149">
              <w:t>f</w:t>
            </w:r>
            <w:r w:rsidR="00EF2A99" w:rsidRPr="00E35149">
              <w:t>) List of maintenance transactions</w:t>
            </w:r>
          </w:p>
          <w:p w14:paraId="39ED6887" w14:textId="05ECE68A" w:rsidR="00EF2A99" w:rsidRPr="00E35149" w:rsidRDefault="00E35149" w:rsidP="00EF2A99">
            <w:pPr>
              <w:pStyle w:val="Text"/>
              <w:spacing w:after="0"/>
              <w:cnfStyle w:val="000000000000" w:firstRow="0" w:lastRow="0" w:firstColumn="0" w:lastColumn="0" w:oddVBand="0" w:evenVBand="0" w:oddHBand="0" w:evenHBand="0" w:firstRowFirstColumn="0" w:firstRowLastColumn="0" w:lastRowFirstColumn="0" w:lastRowLastColumn="0"/>
            </w:pPr>
            <w:r w:rsidRPr="00E35149">
              <w:t>g</w:t>
            </w:r>
            <w:r w:rsidR="00EF2A99" w:rsidRPr="00E35149">
              <w:t>) Variations list and amendments list</w:t>
            </w:r>
          </w:p>
          <w:p w14:paraId="63CFD191" w14:textId="7BC588F3" w:rsidR="00EF2A99" w:rsidRPr="00E35149" w:rsidRDefault="00E35149" w:rsidP="00EF2A99">
            <w:pPr>
              <w:pStyle w:val="Text"/>
              <w:spacing w:after="0"/>
              <w:cnfStyle w:val="000000000000" w:firstRow="0" w:lastRow="0" w:firstColumn="0" w:lastColumn="0" w:oddVBand="0" w:evenVBand="0" w:oddHBand="0" w:evenHBand="0" w:firstRowFirstColumn="0" w:firstRowLastColumn="0" w:lastRowFirstColumn="0" w:lastRowLastColumn="0"/>
            </w:pPr>
            <w:r w:rsidRPr="00E35149">
              <w:t>h</w:t>
            </w:r>
            <w:r w:rsidR="00EF2A99" w:rsidRPr="00E35149">
              <w:t>) Maintenance write-off list</w:t>
            </w:r>
          </w:p>
          <w:p w14:paraId="36A78F4D" w14:textId="7AB9CA0C" w:rsidR="00EF2A99" w:rsidRPr="00E35149" w:rsidRDefault="00E35149" w:rsidP="00EF2A99">
            <w:pPr>
              <w:pStyle w:val="Text"/>
              <w:spacing w:after="0"/>
              <w:cnfStyle w:val="000000000000" w:firstRow="0" w:lastRow="0" w:firstColumn="0" w:lastColumn="0" w:oddVBand="0" w:evenVBand="0" w:oddHBand="0" w:evenHBand="0" w:firstRowFirstColumn="0" w:firstRowLastColumn="0" w:lastRowFirstColumn="0" w:lastRowLastColumn="0"/>
            </w:pPr>
            <w:proofErr w:type="spellStart"/>
            <w:r w:rsidRPr="00E35149">
              <w:t>i</w:t>
            </w:r>
            <w:proofErr w:type="spellEnd"/>
            <w:r w:rsidR="00EF2A99" w:rsidRPr="00E35149">
              <w:t>) Fee exemption/remission applications (approved)</w:t>
            </w:r>
          </w:p>
          <w:p w14:paraId="525558A6" w14:textId="77777777"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p w14:paraId="61349D69" w14:textId="77777777" w:rsidR="00910472" w:rsidRDefault="00910472" w:rsidP="00EF2A99">
            <w:pPr>
              <w:pStyle w:val="Text"/>
              <w:spacing w:after="0"/>
              <w:cnfStyle w:val="000000000000" w:firstRow="0" w:lastRow="0" w:firstColumn="0" w:lastColumn="0" w:oddVBand="0" w:evenVBand="0" w:oddHBand="0" w:evenHBand="0" w:firstRowFirstColumn="0" w:firstRowLastColumn="0" w:lastRowFirstColumn="0" w:lastRowLastColumn="0"/>
            </w:pPr>
          </w:p>
          <w:p w14:paraId="64CDF883" w14:textId="2F36B7C4" w:rsidR="00910472" w:rsidRPr="00E35149" w:rsidRDefault="00910472" w:rsidP="00EF2A9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0DF0E634" w14:textId="4D5C0267" w:rsidR="00EF2A99" w:rsidRPr="00E35149" w:rsidRDefault="00EF2A99" w:rsidP="00EF2A9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lang w:eastAsia="en-GB"/>
              </w:rPr>
            </w:pPr>
            <w:r w:rsidRPr="00E35149">
              <w:rPr>
                <w:rFonts w:ascii="Arial" w:hAnsi="Arial"/>
                <w:sz w:val="22"/>
                <w:lang w:eastAsia="en-GB"/>
              </w:rPr>
              <w:t xml:space="preserve">For items a) - </w:t>
            </w:r>
            <w:r w:rsidR="00E35149" w:rsidRPr="00E35149">
              <w:rPr>
                <w:rFonts w:ascii="Arial" w:hAnsi="Arial"/>
                <w:sz w:val="22"/>
                <w:lang w:eastAsia="en-GB"/>
              </w:rPr>
              <w:t>h</w:t>
            </w:r>
            <w:r w:rsidRPr="00E35149">
              <w:rPr>
                <w:rFonts w:ascii="Arial" w:hAnsi="Arial"/>
                <w:sz w:val="22"/>
                <w:lang w:eastAsia="en-GB"/>
              </w:rPr>
              <w:t xml:space="preserve">), keep for </w:t>
            </w:r>
            <w:r w:rsidRPr="00E35149">
              <w:rPr>
                <w:rFonts w:ascii="Arial" w:hAnsi="Arial"/>
                <w:b/>
                <w:sz w:val="22"/>
                <w:lang w:eastAsia="en-GB"/>
              </w:rPr>
              <w:t xml:space="preserve">seven years </w:t>
            </w:r>
            <w:r w:rsidRPr="00E35149">
              <w:rPr>
                <w:rFonts w:ascii="Arial" w:hAnsi="Arial"/>
                <w:sz w:val="22"/>
                <w:lang w:eastAsia="en-GB"/>
              </w:rPr>
              <w:t>from date of last entry and then destroy</w:t>
            </w:r>
          </w:p>
          <w:p w14:paraId="6DBC0193" w14:textId="77777777" w:rsidR="00EF2A99" w:rsidRPr="00E35149" w:rsidRDefault="00EF2A99" w:rsidP="00EF2A9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lang w:eastAsia="en-GB"/>
              </w:rPr>
            </w:pPr>
          </w:p>
          <w:p w14:paraId="53A835EC" w14:textId="77777777" w:rsidR="00EF2A99" w:rsidRPr="00E35149" w:rsidRDefault="00EF2A99" w:rsidP="00EF2A9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lang w:eastAsia="en-GB"/>
              </w:rPr>
            </w:pPr>
          </w:p>
          <w:p w14:paraId="0C2C31FA" w14:textId="411DA24B" w:rsidR="00EF2A99" w:rsidRDefault="00EF2A99" w:rsidP="00EF2A9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lang w:eastAsia="en-GB"/>
              </w:rPr>
            </w:pPr>
          </w:p>
          <w:p w14:paraId="28E7EA7E" w14:textId="20EF4EAF" w:rsidR="00910472" w:rsidRDefault="00910472" w:rsidP="00EF2A9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lang w:eastAsia="en-GB"/>
              </w:rPr>
            </w:pPr>
          </w:p>
          <w:p w14:paraId="17AA45AD" w14:textId="7A3FB6DD" w:rsidR="00910472" w:rsidRDefault="00910472" w:rsidP="00EF2A9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lang w:eastAsia="en-GB"/>
              </w:rPr>
            </w:pPr>
          </w:p>
          <w:p w14:paraId="79574540" w14:textId="2408A9F4" w:rsidR="00910472" w:rsidRDefault="00910472" w:rsidP="00EF2A9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lang w:eastAsia="en-GB"/>
              </w:rPr>
            </w:pPr>
          </w:p>
          <w:p w14:paraId="45CBD3F6" w14:textId="77777777" w:rsidR="00910472" w:rsidRPr="00E35149" w:rsidRDefault="00910472" w:rsidP="00EF2A9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lang w:eastAsia="en-GB"/>
              </w:rPr>
            </w:pPr>
          </w:p>
          <w:p w14:paraId="1685FC18" w14:textId="77777777" w:rsidR="00EF2A99" w:rsidRPr="00E35149" w:rsidRDefault="00EF2A99" w:rsidP="00EF2A9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lang w:eastAsia="en-GB"/>
              </w:rPr>
            </w:pPr>
          </w:p>
          <w:p w14:paraId="202925B9" w14:textId="641BB60B" w:rsidR="00EF2A99" w:rsidRDefault="00E35149" w:rsidP="00EF2A99">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sz w:val="22"/>
                <w:lang w:eastAsia="en-GB"/>
              </w:rPr>
            </w:pPr>
            <w:proofErr w:type="spellStart"/>
            <w:r w:rsidRPr="00E35149">
              <w:rPr>
                <w:rFonts w:ascii="Arial" w:hAnsi="Arial"/>
                <w:sz w:val="22"/>
                <w:lang w:eastAsia="en-GB"/>
              </w:rPr>
              <w:t>i</w:t>
            </w:r>
            <w:proofErr w:type="spellEnd"/>
            <w:r w:rsidR="00EF2A99" w:rsidRPr="00E35149">
              <w:rPr>
                <w:rFonts w:ascii="Arial" w:hAnsi="Arial"/>
                <w:sz w:val="22"/>
                <w:lang w:eastAsia="en-GB"/>
              </w:rPr>
              <w:t xml:space="preserve">) Keep for the remainder of the financial year, then for a further </w:t>
            </w:r>
            <w:r w:rsidR="00EF2A99" w:rsidRPr="00E35149">
              <w:rPr>
                <w:rFonts w:ascii="Arial" w:hAnsi="Arial"/>
                <w:b/>
                <w:sz w:val="22"/>
                <w:lang w:eastAsia="en-GB"/>
              </w:rPr>
              <w:t>two years</w:t>
            </w:r>
            <w:r w:rsidR="00EF2A99" w:rsidRPr="00E35149">
              <w:rPr>
                <w:rFonts w:ascii="Arial" w:hAnsi="Arial"/>
                <w:sz w:val="22"/>
                <w:lang w:eastAsia="en-GB"/>
              </w:rPr>
              <w:t>, and</w:t>
            </w:r>
            <w:r w:rsidR="00EF2A99" w:rsidRPr="00E35149">
              <w:rPr>
                <w:rFonts w:ascii="Arial" w:hAnsi="Arial"/>
                <w:b/>
                <w:sz w:val="22"/>
                <w:lang w:eastAsia="en-GB"/>
              </w:rPr>
              <w:t xml:space="preserve"> </w:t>
            </w:r>
            <w:r w:rsidR="00EF2A99" w:rsidRPr="00E35149">
              <w:rPr>
                <w:rFonts w:ascii="Arial" w:hAnsi="Arial"/>
                <w:sz w:val="22"/>
                <w:lang w:eastAsia="en-GB"/>
              </w:rPr>
              <w:t>then destroy</w:t>
            </w:r>
          </w:p>
          <w:p w14:paraId="4CC395E7" w14:textId="77777777" w:rsidR="00EF2A99" w:rsidRPr="00E3514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tc>
      </w:tr>
      <w:tr w:rsidR="00EF2A99" w14:paraId="14180BF1" w14:textId="77777777" w:rsidTr="00C71D5F">
        <w:tc>
          <w:tcPr>
            <w:cnfStyle w:val="001000000000" w:firstRow="0" w:lastRow="0" w:firstColumn="1" w:lastColumn="0" w:oddVBand="0" w:evenVBand="0" w:oddHBand="0" w:evenHBand="0" w:firstRowFirstColumn="0" w:firstRowLastColumn="0" w:lastRowFirstColumn="0" w:lastRowLastColumn="0"/>
            <w:tcW w:w="9628" w:type="dxa"/>
            <w:gridSpan w:val="3"/>
            <w:vAlign w:val="center"/>
          </w:tcPr>
          <w:p w14:paraId="70C5BE67" w14:textId="77777777" w:rsidR="00EF2A99" w:rsidRPr="00E66A89" w:rsidRDefault="00EF2A99" w:rsidP="00EF2A99">
            <w:pPr>
              <w:pStyle w:val="Text"/>
              <w:spacing w:after="0"/>
              <w:jc w:val="center"/>
              <w:rPr>
                <w:sz w:val="24"/>
              </w:rPr>
            </w:pPr>
          </w:p>
          <w:p w14:paraId="6D266296" w14:textId="4171065E" w:rsidR="00EF2A99" w:rsidRPr="00E66A89" w:rsidRDefault="00EF2A99" w:rsidP="00EF2A99">
            <w:pPr>
              <w:pStyle w:val="Text"/>
              <w:spacing w:after="0"/>
              <w:jc w:val="center"/>
              <w:rPr>
                <w:sz w:val="24"/>
              </w:rPr>
            </w:pPr>
            <w:r>
              <w:rPr>
                <w:sz w:val="24"/>
              </w:rPr>
              <w:t>3</w:t>
            </w:r>
            <w:r w:rsidRPr="00E66A89">
              <w:rPr>
                <w:sz w:val="24"/>
              </w:rPr>
              <w:t>. Records managed by a common retention and disposition policy</w:t>
            </w:r>
          </w:p>
          <w:p w14:paraId="4534C28A" w14:textId="77777777" w:rsidR="00EF2A99" w:rsidRDefault="00EF2A99" w:rsidP="00EF2A99">
            <w:pPr>
              <w:pStyle w:val="Text"/>
              <w:spacing w:after="0"/>
              <w:jc w:val="center"/>
            </w:pPr>
          </w:p>
        </w:tc>
      </w:tr>
      <w:tr w:rsidR="00EF2A99" w:rsidRPr="00253E19" w14:paraId="62DB8815"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1FF78AE0" w14:textId="77777777" w:rsidR="00EF2A99" w:rsidRPr="00253E19" w:rsidRDefault="00EF2A99" w:rsidP="00F31309">
            <w:pPr>
              <w:pStyle w:val="Text"/>
              <w:numPr>
                <w:ilvl w:val="0"/>
                <w:numId w:val="11"/>
              </w:numPr>
              <w:spacing w:after="0"/>
            </w:pPr>
          </w:p>
        </w:tc>
        <w:tc>
          <w:tcPr>
            <w:tcW w:w="4536" w:type="dxa"/>
            <w:vAlign w:val="center"/>
          </w:tcPr>
          <w:p w14:paraId="07226F9C" w14:textId="77777777" w:rsidR="00EF2A99" w:rsidRPr="00253E1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4F2073F6" w14:textId="77777777" w:rsidR="00EF2A99" w:rsidRPr="00253E1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253E19">
              <w:rPr>
                <w:lang w:eastAsia="en-US"/>
              </w:rPr>
              <w:t>HR information (held by line managers)</w:t>
            </w:r>
          </w:p>
          <w:p w14:paraId="769784F8" w14:textId="77777777" w:rsidR="00EF2A99" w:rsidRPr="00253E1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tc>
        <w:tc>
          <w:tcPr>
            <w:tcW w:w="4246" w:type="dxa"/>
            <w:vAlign w:val="center"/>
          </w:tcPr>
          <w:p w14:paraId="2DD516E1" w14:textId="3FE5A6B6" w:rsidR="00EF2A99" w:rsidRPr="00253E1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r w:rsidRPr="00253E19">
              <w:rPr>
                <w:lang w:eastAsia="en-US"/>
              </w:rPr>
              <w:t xml:space="preserve">Destroy in line with the </w:t>
            </w:r>
            <w:r w:rsidRPr="00253E19">
              <w:rPr>
                <w:i/>
                <w:lang w:eastAsia="en-US"/>
              </w:rPr>
              <w:t>What to keep</w:t>
            </w:r>
            <w:r w:rsidRPr="00253E19">
              <w:rPr>
                <w:rStyle w:val="FootnoteReference"/>
                <w:lang w:eastAsia="en-US"/>
              </w:rPr>
              <w:footnoteReference w:id="5"/>
            </w:r>
            <w:r w:rsidRPr="00253E19">
              <w:rPr>
                <w:i/>
                <w:lang w:eastAsia="en-US"/>
              </w:rPr>
              <w:t xml:space="preserve"> </w:t>
            </w:r>
            <w:r w:rsidRPr="00253E19">
              <w:rPr>
                <w:lang w:eastAsia="en-US"/>
              </w:rPr>
              <w:t>guidance</w:t>
            </w:r>
          </w:p>
        </w:tc>
      </w:tr>
      <w:tr w:rsidR="00EF2A99" w:rsidRPr="004A6774" w14:paraId="727CBB97"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189B5BF1" w14:textId="1244062A" w:rsidR="00EF2A99" w:rsidRPr="004A6774" w:rsidRDefault="00EF2A99" w:rsidP="00F31309">
            <w:pPr>
              <w:pStyle w:val="Text"/>
              <w:numPr>
                <w:ilvl w:val="0"/>
                <w:numId w:val="11"/>
              </w:numPr>
              <w:spacing w:after="0"/>
            </w:pPr>
            <w:r>
              <w:lastRenderedPageBreak/>
              <w:t xml:space="preserve"> </w:t>
            </w:r>
          </w:p>
        </w:tc>
        <w:tc>
          <w:tcPr>
            <w:tcW w:w="4536" w:type="dxa"/>
            <w:vAlign w:val="center"/>
          </w:tcPr>
          <w:p w14:paraId="63C93DB7" w14:textId="77777777" w:rsidR="00EF2A99" w:rsidRPr="004A6774"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p w14:paraId="786353A2" w14:textId="77777777" w:rsidR="00EF2A99"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t>Business continuity plans (</w:t>
            </w:r>
            <w:r>
              <w:rPr>
                <w:rFonts w:cs="Arial"/>
              </w:rPr>
              <w:t>held by business)</w:t>
            </w:r>
          </w:p>
          <w:p w14:paraId="1B22E978" w14:textId="77777777" w:rsidR="00EF2A99" w:rsidRPr="004A6774"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tc>
        <w:tc>
          <w:tcPr>
            <w:tcW w:w="4246" w:type="dxa"/>
            <w:vAlign w:val="center"/>
          </w:tcPr>
          <w:p w14:paraId="6652B2F8" w14:textId="77777777" w:rsidR="00EF2A99" w:rsidRPr="004A6774"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p w14:paraId="0DA8C3F7" w14:textId="77777777" w:rsidR="00EF2A99" w:rsidRPr="004A6774"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rsidRPr="004A6774">
              <w:t xml:space="preserve">Updated annually. Keep previous versions for </w:t>
            </w:r>
            <w:r w:rsidRPr="004A6774">
              <w:rPr>
                <w:b/>
              </w:rPr>
              <w:t>three years</w:t>
            </w:r>
            <w:r w:rsidRPr="004A6774">
              <w:t xml:space="preserve"> and then destroy.</w:t>
            </w:r>
          </w:p>
          <w:p w14:paraId="25636DEC" w14:textId="77777777" w:rsidR="00EF2A99" w:rsidRPr="004A6774"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tc>
      </w:tr>
      <w:tr w:rsidR="00EF2A99" w:rsidRPr="00771676" w14:paraId="48DCB365"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5E401182" w14:textId="77777777" w:rsidR="00EF2A99" w:rsidRPr="00771676" w:rsidRDefault="00EF2A99" w:rsidP="00F31309">
            <w:pPr>
              <w:pStyle w:val="Text"/>
              <w:numPr>
                <w:ilvl w:val="0"/>
                <w:numId w:val="11"/>
              </w:numPr>
              <w:spacing w:after="0"/>
            </w:pPr>
          </w:p>
        </w:tc>
        <w:tc>
          <w:tcPr>
            <w:tcW w:w="4536" w:type="dxa"/>
            <w:vAlign w:val="center"/>
          </w:tcPr>
          <w:p w14:paraId="44C8DC03" w14:textId="77777777"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p w14:paraId="68AD3E52" w14:textId="77777777"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rsidRPr="00771676">
              <w:t>Litigation cases</w:t>
            </w:r>
          </w:p>
          <w:p w14:paraId="5AEC84B0" w14:textId="77777777"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tc>
        <w:tc>
          <w:tcPr>
            <w:tcW w:w="4246" w:type="dxa"/>
            <w:vAlign w:val="center"/>
          </w:tcPr>
          <w:p w14:paraId="5D5CECC2" w14:textId="77777777"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p w14:paraId="7816D6E9" w14:textId="6557336E"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rsidRPr="00771676">
              <w:t xml:space="preserve">Keep for </w:t>
            </w:r>
            <w:r w:rsidRPr="00771676">
              <w:rPr>
                <w:b/>
              </w:rPr>
              <w:t>six years</w:t>
            </w:r>
            <w:r w:rsidRPr="00771676">
              <w:t xml:space="preserve"> from last action and then destroy</w:t>
            </w:r>
          </w:p>
          <w:p w14:paraId="3EAB3352" w14:textId="0146116B"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tc>
      </w:tr>
      <w:tr w:rsidR="00EF2A99" w:rsidRPr="00771676" w14:paraId="25865AF0"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0E118771" w14:textId="77777777" w:rsidR="00EF2A99" w:rsidRPr="00771676" w:rsidRDefault="00EF2A99" w:rsidP="00F31309">
            <w:pPr>
              <w:pStyle w:val="Text"/>
              <w:numPr>
                <w:ilvl w:val="0"/>
                <w:numId w:val="11"/>
              </w:numPr>
              <w:spacing w:after="0"/>
            </w:pPr>
          </w:p>
        </w:tc>
        <w:tc>
          <w:tcPr>
            <w:tcW w:w="4536" w:type="dxa"/>
            <w:vAlign w:val="center"/>
          </w:tcPr>
          <w:p w14:paraId="3170BDC6" w14:textId="77777777"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p w14:paraId="6B127224" w14:textId="3DCE34CD"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rsidRPr="00771676">
              <w:t>Finance and risk management information</w:t>
            </w:r>
          </w:p>
          <w:p w14:paraId="5185B039" w14:textId="4B6D0BF6"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tc>
        <w:tc>
          <w:tcPr>
            <w:tcW w:w="4246" w:type="dxa"/>
            <w:vAlign w:val="center"/>
          </w:tcPr>
          <w:p w14:paraId="4CDA5D79" w14:textId="77777777"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p w14:paraId="7040D2A8" w14:textId="77777777"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rsidRPr="00771676">
              <w:t xml:space="preserve">Keep for </w:t>
            </w:r>
            <w:r w:rsidRPr="00771676">
              <w:rPr>
                <w:b/>
              </w:rPr>
              <w:t>seven years</w:t>
            </w:r>
            <w:r w:rsidRPr="00771676">
              <w:t xml:space="preserve"> and then destroy.</w:t>
            </w:r>
          </w:p>
          <w:p w14:paraId="10C66110" w14:textId="77777777"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rPr>
                <w:lang w:eastAsia="en-US"/>
              </w:rPr>
            </w:pPr>
          </w:p>
        </w:tc>
      </w:tr>
      <w:tr w:rsidR="00EF2A99" w:rsidRPr="00771676" w14:paraId="31D367FF" w14:textId="77777777" w:rsidTr="00E66A89">
        <w:tc>
          <w:tcPr>
            <w:cnfStyle w:val="001000000000" w:firstRow="0" w:lastRow="0" w:firstColumn="1" w:lastColumn="0" w:oddVBand="0" w:evenVBand="0" w:oddHBand="0" w:evenHBand="0" w:firstRowFirstColumn="0" w:firstRowLastColumn="0" w:lastRowFirstColumn="0" w:lastRowLastColumn="0"/>
            <w:tcW w:w="846" w:type="dxa"/>
            <w:vAlign w:val="center"/>
          </w:tcPr>
          <w:p w14:paraId="5C40F1EA" w14:textId="77777777" w:rsidR="00EF2A99" w:rsidRPr="00771676" w:rsidRDefault="00EF2A99" w:rsidP="00F31309">
            <w:pPr>
              <w:pStyle w:val="Text"/>
              <w:numPr>
                <w:ilvl w:val="0"/>
                <w:numId w:val="11"/>
              </w:numPr>
              <w:spacing w:after="0"/>
            </w:pPr>
          </w:p>
        </w:tc>
        <w:tc>
          <w:tcPr>
            <w:tcW w:w="4536" w:type="dxa"/>
            <w:vAlign w:val="center"/>
          </w:tcPr>
          <w:p w14:paraId="275C7D88" w14:textId="77777777"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p w14:paraId="22489736" w14:textId="77777777"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rsidRPr="00771676">
              <w:t>All other types of record not specified above, including copies of records which are owned by other business areas</w:t>
            </w:r>
            <w:r w:rsidRPr="00771676">
              <w:rPr>
                <w:rStyle w:val="FootnoteReference"/>
              </w:rPr>
              <w:footnoteReference w:id="6"/>
            </w:r>
          </w:p>
          <w:p w14:paraId="428D8928" w14:textId="77777777"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p>
        </w:tc>
        <w:tc>
          <w:tcPr>
            <w:tcW w:w="4246" w:type="dxa"/>
            <w:vAlign w:val="center"/>
          </w:tcPr>
          <w:p w14:paraId="4AD393A1" w14:textId="34450C5D" w:rsidR="00EF2A99" w:rsidRPr="00771676" w:rsidRDefault="00EF2A99" w:rsidP="00EF2A99">
            <w:pPr>
              <w:pStyle w:val="Text"/>
              <w:spacing w:after="0"/>
              <w:cnfStyle w:val="000000000000" w:firstRow="0" w:lastRow="0" w:firstColumn="0" w:lastColumn="0" w:oddVBand="0" w:evenVBand="0" w:oddHBand="0" w:evenHBand="0" w:firstRowFirstColumn="0" w:firstRowLastColumn="0" w:lastRowFirstColumn="0" w:lastRowLastColumn="0"/>
            </w:pPr>
            <w:r w:rsidRPr="00771676">
              <w:t xml:space="preserve">Keep for </w:t>
            </w:r>
            <w:r w:rsidRPr="00771676">
              <w:rPr>
                <w:b/>
              </w:rPr>
              <w:t>three years</w:t>
            </w:r>
            <w:r w:rsidRPr="00771676">
              <w:t xml:space="preserve"> and then destroy.</w:t>
            </w:r>
          </w:p>
        </w:tc>
      </w:tr>
    </w:tbl>
    <w:p w14:paraId="0B902433" w14:textId="77777777" w:rsidR="00E66A89" w:rsidRDefault="00E66A89" w:rsidP="00526855">
      <w:pPr>
        <w:pStyle w:val="BodyText"/>
      </w:pPr>
    </w:p>
    <w:p w14:paraId="524B725E" w14:textId="77777777" w:rsidR="00E35149" w:rsidRDefault="00E35149" w:rsidP="00BD2985">
      <w:pPr>
        <w:spacing w:after="0" w:line="240" w:lineRule="auto"/>
        <w:rPr>
          <w:rFonts w:cs="Arial"/>
          <w:sz w:val="22"/>
        </w:rPr>
      </w:pPr>
    </w:p>
    <w:p w14:paraId="2BA24E1B" w14:textId="2127F1F8" w:rsidR="00E35149" w:rsidRDefault="00E843BB" w:rsidP="00BD2985">
      <w:pPr>
        <w:spacing w:after="0" w:line="240" w:lineRule="auto"/>
        <w:rPr>
          <w:rFonts w:cs="Arial"/>
          <w:sz w:val="22"/>
        </w:rPr>
      </w:pPr>
      <w:r>
        <w:rPr>
          <w:rFonts w:cs="Arial"/>
          <w:sz w:val="22"/>
        </w:rPr>
        <w:t>Rob Evans</w:t>
      </w:r>
    </w:p>
    <w:p w14:paraId="75DCF096" w14:textId="56F8D891" w:rsidR="00E66A89" w:rsidRPr="00BD2985" w:rsidRDefault="00E66A89" w:rsidP="00BD2985">
      <w:pPr>
        <w:pStyle w:val="NormalWeb"/>
        <w:spacing w:before="0" w:beforeAutospacing="0" w:after="0" w:afterAutospacing="0"/>
        <w:rPr>
          <w:rFonts w:ascii="Arial" w:hAnsi="Arial" w:cs="Arial"/>
          <w:sz w:val="22"/>
          <w:szCs w:val="22"/>
        </w:rPr>
      </w:pPr>
      <w:r w:rsidRPr="00BD2985">
        <w:rPr>
          <w:rFonts w:ascii="Arial" w:hAnsi="Arial" w:cs="Arial"/>
          <w:color w:val="000000"/>
          <w:sz w:val="22"/>
          <w:szCs w:val="22"/>
        </w:rPr>
        <w:t>Departmental Records Officer</w:t>
      </w:r>
      <w:r w:rsidRPr="00BD2985">
        <w:rPr>
          <w:rFonts w:ascii="Arial" w:hAnsi="Arial" w:cs="Arial"/>
          <w:sz w:val="22"/>
          <w:szCs w:val="22"/>
        </w:rPr>
        <w:t xml:space="preserve"> </w:t>
      </w:r>
      <w:r w:rsidRPr="00BD2985">
        <w:rPr>
          <w:rFonts w:ascii="Arial" w:hAnsi="Arial" w:cs="Arial"/>
          <w:sz w:val="22"/>
          <w:szCs w:val="22"/>
        </w:rPr>
        <w:br/>
      </w:r>
      <w:r w:rsidRPr="00BD2985">
        <w:rPr>
          <w:rFonts w:ascii="Arial" w:hAnsi="Arial" w:cs="Arial"/>
          <w:color w:val="000000"/>
          <w:sz w:val="22"/>
          <w:szCs w:val="22"/>
        </w:rPr>
        <w:t>Ministry of Justice</w:t>
      </w:r>
      <w:r w:rsidRPr="00BD2985">
        <w:rPr>
          <w:rFonts w:ascii="Arial" w:hAnsi="Arial" w:cs="Arial"/>
          <w:sz w:val="22"/>
          <w:szCs w:val="22"/>
        </w:rPr>
        <w:t xml:space="preserve"> </w:t>
      </w:r>
      <w:r w:rsidRPr="00BD2985">
        <w:rPr>
          <w:rFonts w:ascii="Arial" w:hAnsi="Arial" w:cs="Arial"/>
          <w:sz w:val="22"/>
          <w:szCs w:val="22"/>
        </w:rPr>
        <w:br/>
      </w:r>
      <w:r w:rsidRPr="00BD2985">
        <w:rPr>
          <w:rFonts w:ascii="Arial" w:hAnsi="Arial" w:cs="Arial"/>
          <w:color w:val="000000"/>
          <w:sz w:val="22"/>
          <w:szCs w:val="22"/>
        </w:rPr>
        <w:t>102 Petty France</w:t>
      </w:r>
      <w:r w:rsidRPr="00BD2985">
        <w:rPr>
          <w:rFonts w:ascii="Arial" w:hAnsi="Arial" w:cs="Arial"/>
          <w:sz w:val="22"/>
          <w:szCs w:val="22"/>
        </w:rPr>
        <w:t xml:space="preserve"> </w:t>
      </w:r>
      <w:r w:rsidRPr="00BD2985">
        <w:rPr>
          <w:rFonts w:ascii="Arial" w:hAnsi="Arial" w:cs="Arial"/>
          <w:sz w:val="22"/>
          <w:szCs w:val="22"/>
        </w:rPr>
        <w:br/>
      </w:r>
      <w:r w:rsidRPr="00BD2985">
        <w:rPr>
          <w:rFonts w:ascii="Arial" w:hAnsi="Arial" w:cs="Arial"/>
          <w:color w:val="000000"/>
          <w:sz w:val="22"/>
          <w:szCs w:val="22"/>
        </w:rPr>
        <w:t>London SW1H 9AJ</w:t>
      </w:r>
      <w:r w:rsidRPr="00BD2985">
        <w:rPr>
          <w:rFonts w:ascii="Arial" w:hAnsi="Arial" w:cs="Arial"/>
          <w:sz w:val="22"/>
          <w:szCs w:val="22"/>
        </w:rPr>
        <w:t xml:space="preserve"> </w:t>
      </w:r>
    </w:p>
    <w:p w14:paraId="0718AB9A" w14:textId="77777777" w:rsidR="00BD2985" w:rsidRPr="00BD2985" w:rsidRDefault="00BD2985" w:rsidP="00BD2985">
      <w:pPr>
        <w:pStyle w:val="NormalWeb"/>
        <w:spacing w:before="0" w:beforeAutospacing="0" w:after="0" w:afterAutospacing="0"/>
        <w:rPr>
          <w:rFonts w:ascii="Arial" w:hAnsi="Arial" w:cs="Arial"/>
          <w:sz w:val="22"/>
          <w:szCs w:val="22"/>
        </w:rPr>
      </w:pPr>
    </w:p>
    <w:p w14:paraId="3806A586" w14:textId="15650FB0" w:rsidR="00E66A89" w:rsidRPr="00BD2985" w:rsidRDefault="00E66A89" w:rsidP="00BD2985">
      <w:pPr>
        <w:pStyle w:val="NormalWeb"/>
        <w:spacing w:before="0" w:beforeAutospacing="0" w:after="0" w:afterAutospacing="0"/>
        <w:rPr>
          <w:rFonts w:ascii="Arial" w:hAnsi="Arial" w:cs="Arial"/>
          <w:b/>
          <w:sz w:val="22"/>
          <w:szCs w:val="22"/>
        </w:rPr>
      </w:pPr>
      <w:r w:rsidRPr="00BD2985">
        <w:rPr>
          <w:rFonts w:ascii="Arial" w:hAnsi="Arial" w:cs="Arial"/>
          <w:b/>
          <w:sz w:val="22"/>
          <w:szCs w:val="22"/>
        </w:rPr>
        <w:t xml:space="preserve">Signed: </w:t>
      </w:r>
      <w:r w:rsidR="00E843BB">
        <w:rPr>
          <w:rFonts w:ascii="Arial" w:hAnsi="Arial" w:cs="Arial"/>
          <w:b/>
          <w:sz w:val="22"/>
          <w:szCs w:val="22"/>
        </w:rPr>
        <w:t>1 March</w:t>
      </w:r>
      <w:r w:rsidRPr="00BD2985">
        <w:rPr>
          <w:rFonts w:ascii="Arial" w:hAnsi="Arial" w:cs="Arial"/>
          <w:b/>
          <w:sz w:val="22"/>
          <w:szCs w:val="22"/>
        </w:rPr>
        <w:t xml:space="preserve"> 20</w:t>
      </w:r>
      <w:r w:rsidR="00E843BB">
        <w:rPr>
          <w:rFonts w:ascii="Arial" w:hAnsi="Arial" w:cs="Arial"/>
          <w:b/>
          <w:sz w:val="22"/>
          <w:szCs w:val="22"/>
        </w:rPr>
        <w:t>21</w:t>
      </w:r>
      <w:bookmarkStart w:id="4" w:name="_GoBack"/>
      <w:bookmarkEnd w:id="4"/>
    </w:p>
    <w:p w14:paraId="7208E968" w14:textId="77777777" w:rsidR="00E66A89" w:rsidRPr="00BD2985" w:rsidRDefault="00E66A89" w:rsidP="00BD2985">
      <w:pPr>
        <w:pStyle w:val="Text"/>
        <w:spacing w:after="0"/>
      </w:pPr>
    </w:p>
    <w:p w14:paraId="5AEF31EA" w14:textId="77777777" w:rsidR="00E66A89" w:rsidRDefault="00E66A89" w:rsidP="00E66A89">
      <w:pPr>
        <w:spacing w:after="0"/>
        <w:rPr>
          <w:rFonts w:cs="Arial"/>
          <w:lang w:eastAsia="en-GB"/>
        </w:rPr>
      </w:pPr>
    </w:p>
    <w:p w14:paraId="09804022" w14:textId="4B1B75E5" w:rsidR="00E66A89" w:rsidRDefault="00E66A89" w:rsidP="00526855">
      <w:pPr>
        <w:pStyle w:val="BodyText"/>
      </w:pPr>
    </w:p>
    <w:p w14:paraId="7786BDEF" w14:textId="77777777" w:rsidR="00515316" w:rsidRDefault="00515316" w:rsidP="00526855">
      <w:pPr>
        <w:pStyle w:val="BodyText"/>
      </w:pPr>
    </w:p>
    <w:sectPr w:rsidR="00515316" w:rsidSect="00F507D8">
      <w:footerReference w:type="default" r:id="rId14"/>
      <w:headerReference w:type="first" r:id="rId15"/>
      <w:pgSz w:w="11906" w:h="16838" w:code="9"/>
      <w:pgMar w:top="1134" w:right="1134" w:bottom="1134"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249B" w14:textId="77777777" w:rsidR="00C16E05" w:rsidRDefault="00C16E05" w:rsidP="00B91315">
      <w:pPr>
        <w:spacing w:after="0" w:line="240" w:lineRule="auto"/>
      </w:pPr>
      <w:r>
        <w:separator/>
      </w:r>
    </w:p>
  </w:endnote>
  <w:endnote w:type="continuationSeparator" w:id="0">
    <w:p w14:paraId="4D52191D" w14:textId="77777777" w:rsidR="00C16E05" w:rsidRDefault="00C16E05" w:rsidP="00B91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9C5B2" w14:textId="619FE021" w:rsidR="009A1CE1" w:rsidRDefault="00990242">
    <w:pPr>
      <w:pStyle w:val="Footer"/>
    </w:pPr>
    <w:r>
      <w:fldChar w:fldCharType="begin"/>
    </w:r>
    <w:r>
      <w:instrText xml:space="preserve"> PAGE   \* MERGEFORMAT </w:instrText>
    </w:r>
    <w:r>
      <w:fldChar w:fldCharType="separate"/>
    </w:r>
    <w:r w:rsidR="00B9268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09317" w14:textId="77777777" w:rsidR="00C16E05" w:rsidRDefault="00C16E05" w:rsidP="00B91315">
      <w:pPr>
        <w:spacing w:after="0" w:line="240" w:lineRule="auto"/>
      </w:pPr>
      <w:r>
        <w:separator/>
      </w:r>
    </w:p>
  </w:footnote>
  <w:footnote w:type="continuationSeparator" w:id="0">
    <w:p w14:paraId="60944419" w14:textId="77777777" w:rsidR="00C16E05" w:rsidRDefault="00C16E05" w:rsidP="00B91315">
      <w:pPr>
        <w:spacing w:after="0" w:line="240" w:lineRule="auto"/>
      </w:pPr>
      <w:r>
        <w:continuationSeparator/>
      </w:r>
    </w:p>
  </w:footnote>
  <w:footnote w:id="1">
    <w:p w14:paraId="631F7675" w14:textId="77777777" w:rsidR="009D3BCC" w:rsidRPr="00E00E09" w:rsidRDefault="009D3BCC" w:rsidP="00E00E09">
      <w:pPr>
        <w:pStyle w:val="FootnoteText"/>
        <w:spacing w:after="0"/>
        <w:rPr>
          <w:sz w:val="16"/>
          <w:szCs w:val="16"/>
        </w:rPr>
      </w:pPr>
      <w:r w:rsidRPr="00E00E09">
        <w:rPr>
          <w:rStyle w:val="FootnoteReference"/>
          <w:sz w:val="16"/>
          <w:szCs w:val="16"/>
        </w:rPr>
        <w:footnoteRef/>
      </w:r>
      <w:r w:rsidRPr="00E00E09">
        <w:rPr>
          <w:sz w:val="16"/>
          <w:szCs w:val="16"/>
        </w:rPr>
        <w:t xml:space="preserve"> These rules can be found at: </w:t>
      </w:r>
      <w:hyperlink r:id="rId1" w:history="1">
        <w:r w:rsidRPr="00E00E09">
          <w:rPr>
            <w:rStyle w:val="Hyperlink"/>
            <w:color w:val="0000CC"/>
            <w:sz w:val="16"/>
            <w:szCs w:val="16"/>
          </w:rPr>
          <w:t>http://www.legislation.gov.uk/uksi/1987/2024/contents/made</w:t>
        </w:r>
      </w:hyperlink>
      <w:r w:rsidRPr="00E00E09">
        <w:rPr>
          <w:sz w:val="16"/>
          <w:szCs w:val="16"/>
        </w:rPr>
        <w:t xml:space="preserve"> </w:t>
      </w:r>
    </w:p>
  </w:footnote>
  <w:footnote w:id="2">
    <w:p w14:paraId="1275B237" w14:textId="4901CE45" w:rsidR="00E00E09" w:rsidRPr="00E00E09" w:rsidRDefault="00E00E09" w:rsidP="00E00E09">
      <w:pPr>
        <w:pStyle w:val="FootnoteText"/>
        <w:spacing w:after="0"/>
        <w:rPr>
          <w:sz w:val="16"/>
          <w:szCs w:val="16"/>
        </w:rPr>
      </w:pPr>
      <w:r w:rsidRPr="00E00E09">
        <w:rPr>
          <w:rStyle w:val="FootnoteReference"/>
          <w:sz w:val="16"/>
          <w:szCs w:val="16"/>
        </w:rPr>
        <w:footnoteRef/>
      </w:r>
      <w:r w:rsidRPr="00E00E09">
        <w:rPr>
          <w:sz w:val="16"/>
          <w:szCs w:val="16"/>
        </w:rPr>
        <w:t xml:space="preserve"> This complies with Senior Courts Act 1981 s.124 </w:t>
      </w:r>
      <w:hyperlink r:id="rId2" w:history="1">
        <w:r w:rsidRPr="00E00E09">
          <w:rPr>
            <w:rStyle w:val="Hyperlink"/>
            <w:color w:val="0000CC"/>
            <w:sz w:val="16"/>
            <w:szCs w:val="16"/>
          </w:rPr>
          <w:t>http://www.legislation.gov.uk/ukpga/1981/54/section/124</w:t>
        </w:r>
      </w:hyperlink>
      <w:r w:rsidRPr="00E00E09">
        <w:rPr>
          <w:sz w:val="16"/>
          <w:szCs w:val="16"/>
        </w:rPr>
        <w:t xml:space="preserve"> </w:t>
      </w:r>
    </w:p>
  </w:footnote>
  <w:footnote w:id="3">
    <w:p w14:paraId="365D7072" w14:textId="77777777" w:rsidR="009D3BCC" w:rsidRPr="00F659AD" w:rsidRDefault="009D3BCC" w:rsidP="009D3BCC">
      <w:pPr>
        <w:pStyle w:val="FootnoteText"/>
        <w:spacing w:after="0"/>
        <w:rPr>
          <w:sz w:val="18"/>
          <w:szCs w:val="18"/>
        </w:rPr>
      </w:pPr>
      <w:r w:rsidRPr="00F659AD">
        <w:rPr>
          <w:rStyle w:val="FootnoteReference"/>
          <w:sz w:val="18"/>
          <w:szCs w:val="18"/>
        </w:rPr>
        <w:footnoteRef/>
      </w:r>
      <w:r w:rsidRPr="00F659AD">
        <w:rPr>
          <w:sz w:val="18"/>
          <w:szCs w:val="18"/>
        </w:rPr>
        <w:t xml:space="preserve"> For wills and letters of administration before 1858, see: </w:t>
      </w:r>
      <w:hyperlink r:id="rId3" w:history="1">
        <w:r w:rsidRPr="00F659AD">
          <w:rPr>
            <w:rStyle w:val="Hyperlink"/>
            <w:color w:val="0000CC"/>
            <w:sz w:val="18"/>
            <w:szCs w:val="18"/>
          </w:rPr>
          <w:t>http://www.nationalarchives.gov.uk/help-with-your-research/research-guides/wills-or-administrations-before-1858/</w:t>
        </w:r>
      </w:hyperlink>
      <w:r w:rsidRPr="00F659AD">
        <w:rPr>
          <w:sz w:val="18"/>
          <w:szCs w:val="18"/>
        </w:rPr>
        <w:t xml:space="preserve"> </w:t>
      </w:r>
    </w:p>
  </w:footnote>
  <w:footnote w:id="4">
    <w:p w14:paraId="7864B150" w14:textId="54B5B1EB" w:rsidR="0078092E" w:rsidRPr="00F659AD" w:rsidRDefault="0078092E" w:rsidP="0078092E">
      <w:pPr>
        <w:pStyle w:val="FootnoteText"/>
        <w:spacing w:after="0"/>
        <w:rPr>
          <w:sz w:val="18"/>
          <w:szCs w:val="18"/>
        </w:rPr>
      </w:pPr>
      <w:r w:rsidRPr="00F659AD">
        <w:rPr>
          <w:rStyle w:val="FootnoteReference"/>
          <w:sz w:val="18"/>
          <w:szCs w:val="18"/>
        </w:rPr>
        <w:footnoteRef/>
      </w:r>
      <w:r w:rsidRPr="00F659AD">
        <w:rPr>
          <w:sz w:val="18"/>
          <w:szCs w:val="18"/>
        </w:rPr>
        <w:t xml:space="preserve"> Calendar books from each Registry are held in offsite storage</w:t>
      </w:r>
      <w:r>
        <w:rPr>
          <w:sz w:val="18"/>
          <w:szCs w:val="18"/>
        </w:rPr>
        <w:t xml:space="preserve"> as well</w:t>
      </w:r>
    </w:p>
  </w:footnote>
  <w:footnote w:id="5">
    <w:p w14:paraId="6839608B" w14:textId="77777777" w:rsidR="00EF2A99" w:rsidRPr="001969F8" w:rsidRDefault="00EF2A99" w:rsidP="001969F8">
      <w:pPr>
        <w:pStyle w:val="FootnoteText"/>
        <w:spacing w:after="0"/>
        <w:rPr>
          <w:sz w:val="16"/>
          <w:szCs w:val="16"/>
        </w:rPr>
      </w:pPr>
      <w:r w:rsidRPr="001969F8">
        <w:rPr>
          <w:rStyle w:val="FootnoteReference"/>
          <w:sz w:val="16"/>
          <w:szCs w:val="16"/>
        </w:rPr>
        <w:footnoteRef/>
      </w:r>
      <w:r w:rsidRPr="001969F8">
        <w:rPr>
          <w:sz w:val="16"/>
          <w:szCs w:val="16"/>
        </w:rPr>
        <w:t xml:space="preserve"> </w:t>
      </w:r>
      <w:r w:rsidRPr="001969F8">
        <w:rPr>
          <w:i/>
          <w:sz w:val="16"/>
          <w:szCs w:val="16"/>
        </w:rPr>
        <w:t>What to keep</w:t>
      </w:r>
      <w:r w:rsidRPr="001969F8">
        <w:rPr>
          <w:sz w:val="16"/>
          <w:szCs w:val="16"/>
        </w:rPr>
        <w:t xml:space="preserve"> is available at: </w:t>
      </w:r>
      <w:hyperlink r:id="rId4" w:history="1">
        <w:r w:rsidRPr="001969F8">
          <w:rPr>
            <w:rStyle w:val="Hyperlink"/>
            <w:color w:val="0000CC"/>
            <w:sz w:val="16"/>
            <w:szCs w:val="16"/>
          </w:rPr>
          <w:t>https://www.gov.uk/government/publications/record-retention-and-disposition-schedules</w:t>
        </w:r>
      </w:hyperlink>
      <w:r w:rsidRPr="001969F8">
        <w:rPr>
          <w:sz w:val="16"/>
          <w:szCs w:val="16"/>
        </w:rPr>
        <w:t xml:space="preserve"> </w:t>
      </w:r>
    </w:p>
  </w:footnote>
  <w:footnote w:id="6">
    <w:p w14:paraId="55DDAD0F" w14:textId="77777777" w:rsidR="00EF2A99" w:rsidRPr="001969F8" w:rsidRDefault="00EF2A99" w:rsidP="001969F8">
      <w:pPr>
        <w:pStyle w:val="FootnoteText"/>
        <w:spacing w:after="0"/>
        <w:rPr>
          <w:sz w:val="16"/>
          <w:szCs w:val="16"/>
        </w:rPr>
      </w:pPr>
      <w:r w:rsidRPr="001969F8">
        <w:rPr>
          <w:rStyle w:val="FootnoteReference"/>
          <w:sz w:val="16"/>
          <w:szCs w:val="16"/>
        </w:rPr>
        <w:footnoteRef/>
      </w:r>
      <w:r w:rsidRPr="001969F8">
        <w:rPr>
          <w:sz w:val="16"/>
          <w:szCs w:val="16"/>
        </w:rPr>
        <w:t xml:space="preserve"> If the business identifies record types which need a new retention period, they should contact the DRO’s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183BF" w14:textId="77777777" w:rsidR="00F507D8" w:rsidRDefault="0028397F">
    <w:pPr>
      <w:pStyle w:val="Header"/>
    </w:pPr>
    <w:r w:rsidRPr="006D258B">
      <w:rPr>
        <w:noProof/>
      </w:rPr>
      <w:drawing>
        <wp:anchor distT="0" distB="0" distL="114300" distR="114300" simplePos="0" relativeHeight="251660288" behindDoc="1" locked="0" layoutInCell="0" allowOverlap="1" wp14:anchorId="5A36B3BF" wp14:editId="7F9A8A0A">
          <wp:simplePos x="0" y="0"/>
          <wp:positionH relativeFrom="page">
            <wp:posOffset>720090</wp:posOffset>
          </wp:positionH>
          <wp:positionV relativeFrom="page">
            <wp:posOffset>720090</wp:posOffset>
          </wp:positionV>
          <wp:extent cx="1331640" cy="1033920"/>
          <wp:effectExtent l="0" t="0" r="1905" b="0"/>
          <wp:wrapNone/>
          <wp:docPr id="26" name="Picture 26" descr="Ministry of Justice logo" title="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inistry of Just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1640" cy="1033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6AE91CC" wp14:editId="521C3C2A">
          <wp:simplePos x="723900" y="361950"/>
          <wp:positionH relativeFrom="page">
            <wp:align>left</wp:align>
          </wp:positionH>
          <wp:positionV relativeFrom="page">
            <wp:align>top</wp:align>
          </wp:positionV>
          <wp:extent cx="7560360" cy="10692360"/>
          <wp:effectExtent l="0" t="0" r="2540" b="0"/>
          <wp:wrapNone/>
          <wp:docPr id="1" name="Picture 1" descr="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ogben\AppData\Local\Microsoft\Windows\INetCache\Content.Word\6.5394_MoJ_Brand refresh_covers_210319_RW-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60" cy="106923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130F6F8"/>
    <w:lvl w:ilvl="0">
      <w:start w:val="1"/>
      <w:numFmt w:val="bullet"/>
      <w:pStyle w:val="ListBullet2"/>
      <w:lvlText w:val=""/>
      <w:lvlJc w:val="left"/>
      <w:pPr>
        <w:ind w:left="717" w:hanging="360"/>
      </w:pPr>
      <w:rPr>
        <w:rFonts w:ascii="Symbol" w:hAnsi="Symbol" w:hint="default"/>
        <w:color w:val="00B1EB"/>
      </w:rPr>
    </w:lvl>
  </w:abstractNum>
  <w:abstractNum w:abstractNumId="1" w15:restartNumberingAfterBreak="0">
    <w:nsid w:val="FFFFFF88"/>
    <w:multiLevelType w:val="singleLevel"/>
    <w:tmpl w:val="4CB2C802"/>
    <w:lvl w:ilvl="0">
      <w:start w:val="1"/>
      <w:numFmt w:val="decimal"/>
      <w:pStyle w:val="ListNumber"/>
      <w:lvlText w:val="%1."/>
      <w:lvlJc w:val="left"/>
      <w:pPr>
        <w:tabs>
          <w:tab w:val="num" w:pos="360"/>
        </w:tabs>
        <w:ind w:left="360" w:hanging="360"/>
      </w:pPr>
      <w:rPr>
        <w:rFonts w:hint="default"/>
      </w:rPr>
    </w:lvl>
  </w:abstractNum>
  <w:abstractNum w:abstractNumId="2" w15:restartNumberingAfterBreak="0">
    <w:nsid w:val="FFFFFF89"/>
    <w:multiLevelType w:val="singleLevel"/>
    <w:tmpl w:val="5CCC8D44"/>
    <w:lvl w:ilvl="0">
      <w:start w:val="1"/>
      <w:numFmt w:val="bullet"/>
      <w:pStyle w:val="ListBullet"/>
      <w:lvlText w:val=""/>
      <w:lvlJc w:val="left"/>
      <w:pPr>
        <w:ind w:left="360" w:hanging="360"/>
      </w:pPr>
      <w:rPr>
        <w:rFonts w:ascii="Symbol" w:hAnsi="Symbol" w:hint="default"/>
        <w:color w:val="1D609D"/>
      </w:rPr>
    </w:lvl>
  </w:abstractNum>
  <w:abstractNum w:abstractNumId="3" w15:restartNumberingAfterBreak="0">
    <w:nsid w:val="028C5F2C"/>
    <w:multiLevelType w:val="hybridMultilevel"/>
    <w:tmpl w:val="0396C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B4623E"/>
    <w:multiLevelType w:val="hybridMultilevel"/>
    <w:tmpl w:val="6A62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B0D05"/>
    <w:multiLevelType w:val="hybridMultilevel"/>
    <w:tmpl w:val="3BFC92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D4A7E"/>
    <w:multiLevelType w:val="hybridMultilevel"/>
    <w:tmpl w:val="2C88B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0F61A5"/>
    <w:multiLevelType w:val="hybridMultilevel"/>
    <w:tmpl w:val="622A6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32ACD"/>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54FFA"/>
    <w:multiLevelType w:val="hybridMultilevel"/>
    <w:tmpl w:val="751AE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974E3"/>
    <w:multiLevelType w:val="hybridMultilevel"/>
    <w:tmpl w:val="E91EE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007B1"/>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3A0321"/>
    <w:multiLevelType w:val="hybridMultilevel"/>
    <w:tmpl w:val="918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C0892"/>
    <w:multiLevelType w:val="hybridMultilevel"/>
    <w:tmpl w:val="1936A18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8D7069"/>
    <w:multiLevelType w:val="hybridMultilevel"/>
    <w:tmpl w:val="9AB6C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5B7FDC"/>
    <w:multiLevelType w:val="hybridMultilevel"/>
    <w:tmpl w:val="0204A4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1907B61"/>
    <w:multiLevelType w:val="hybridMultilevel"/>
    <w:tmpl w:val="0DAE0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983157"/>
    <w:multiLevelType w:val="hybridMultilevel"/>
    <w:tmpl w:val="11624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823CEB"/>
    <w:multiLevelType w:val="hybridMultilevel"/>
    <w:tmpl w:val="8A66D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lvlOverride w:ilvl="0">
      <w:startOverride w:val="1"/>
    </w:lvlOverride>
  </w:num>
  <w:num w:numId="5">
    <w:abstractNumId w:val="0"/>
    <w:lvlOverride w:ilvl="0">
      <w:startOverride w:val="1"/>
    </w:lvlOverride>
  </w:num>
  <w:num w:numId="6">
    <w:abstractNumId w:val="5"/>
  </w:num>
  <w:num w:numId="7">
    <w:abstractNumId w:val="7"/>
  </w:num>
  <w:num w:numId="8">
    <w:abstractNumId w:val="6"/>
  </w:num>
  <w:num w:numId="9">
    <w:abstractNumId w:val="10"/>
  </w:num>
  <w:num w:numId="10">
    <w:abstractNumId w:val="14"/>
  </w:num>
  <w:num w:numId="11">
    <w:abstractNumId w:val="16"/>
  </w:num>
  <w:num w:numId="12">
    <w:abstractNumId w:val="13"/>
  </w:num>
  <w:num w:numId="13">
    <w:abstractNumId w:val="12"/>
  </w:num>
  <w:num w:numId="14">
    <w:abstractNumId w:val="17"/>
  </w:num>
  <w:num w:numId="15">
    <w:abstractNumId w:val="11"/>
  </w:num>
  <w:num w:numId="16">
    <w:abstractNumId w:val="8"/>
  </w:num>
  <w:num w:numId="17">
    <w:abstractNumId w:val="9"/>
  </w:num>
  <w:num w:numId="18">
    <w:abstractNumId w:val="4"/>
  </w:num>
  <w:num w:numId="19">
    <w:abstractNumId w:val="3"/>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CD"/>
    <w:rsid w:val="00010D81"/>
    <w:rsid w:val="00013734"/>
    <w:rsid w:val="00022442"/>
    <w:rsid w:val="00090E40"/>
    <w:rsid w:val="000F6E01"/>
    <w:rsid w:val="00107AB2"/>
    <w:rsid w:val="00175D09"/>
    <w:rsid w:val="001969F8"/>
    <w:rsid w:val="001A71CD"/>
    <w:rsid w:val="001C5F36"/>
    <w:rsid w:val="001D68A5"/>
    <w:rsid w:val="001D7326"/>
    <w:rsid w:val="001E2564"/>
    <w:rsid w:val="001E43D9"/>
    <w:rsid w:val="001E5939"/>
    <w:rsid w:val="00240F37"/>
    <w:rsid w:val="00253AC2"/>
    <w:rsid w:val="00253E19"/>
    <w:rsid w:val="0028397F"/>
    <w:rsid w:val="00293CEB"/>
    <w:rsid w:val="002B0691"/>
    <w:rsid w:val="002F075A"/>
    <w:rsid w:val="002F56BC"/>
    <w:rsid w:val="003118E3"/>
    <w:rsid w:val="00324017"/>
    <w:rsid w:val="003355F1"/>
    <w:rsid w:val="003D27AC"/>
    <w:rsid w:val="00426842"/>
    <w:rsid w:val="00446DDB"/>
    <w:rsid w:val="00462C42"/>
    <w:rsid w:val="0046787C"/>
    <w:rsid w:val="004A6774"/>
    <w:rsid w:val="004C14D9"/>
    <w:rsid w:val="004D6948"/>
    <w:rsid w:val="005125BA"/>
    <w:rsid w:val="00515316"/>
    <w:rsid w:val="005257FE"/>
    <w:rsid w:val="00526855"/>
    <w:rsid w:val="00534084"/>
    <w:rsid w:val="00545B6C"/>
    <w:rsid w:val="005A6116"/>
    <w:rsid w:val="005E51D0"/>
    <w:rsid w:val="005F08FD"/>
    <w:rsid w:val="0062433C"/>
    <w:rsid w:val="00655497"/>
    <w:rsid w:val="00687428"/>
    <w:rsid w:val="006B61D2"/>
    <w:rsid w:val="00740212"/>
    <w:rsid w:val="0076139D"/>
    <w:rsid w:val="00771676"/>
    <w:rsid w:val="0078092E"/>
    <w:rsid w:val="007B742A"/>
    <w:rsid w:val="007C192D"/>
    <w:rsid w:val="007E08C8"/>
    <w:rsid w:val="007E3703"/>
    <w:rsid w:val="007E5A2B"/>
    <w:rsid w:val="008078A6"/>
    <w:rsid w:val="008114F6"/>
    <w:rsid w:val="008223FF"/>
    <w:rsid w:val="0083014C"/>
    <w:rsid w:val="00856DF7"/>
    <w:rsid w:val="008B2C35"/>
    <w:rsid w:val="00910472"/>
    <w:rsid w:val="00916276"/>
    <w:rsid w:val="009179CD"/>
    <w:rsid w:val="00932F7F"/>
    <w:rsid w:val="00940B9D"/>
    <w:rsid w:val="00990242"/>
    <w:rsid w:val="009A1CE1"/>
    <w:rsid w:val="009A355C"/>
    <w:rsid w:val="009D3BCC"/>
    <w:rsid w:val="00A36452"/>
    <w:rsid w:val="00A54C31"/>
    <w:rsid w:val="00A73619"/>
    <w:rsid w:val="00AC6247"/>
    <w:rsid w:val="00AD05F3"/>
    <w:rsid w:val="00AD52C7"/>
    <w:rsid w:val="00AE4DF7"/>
    <w:rsid w:val="00AE75E1"/>
    <w:rsid w:val="00AF2127"/>
    <w:rsid w:val="00B2144F"/>
    <w:rsid w:val="00B4736D"/>
    <w:rsid w:val="00B54174"/>
    <w:rsid w:val="00B91315"/>
    <w:rsid w:val="00B92689"/>
    <w:rsid w:val="00BC4DBC"/>
    <w:rsid w:val="00BC62FC"/>
    <w:rsid w:val="00BD2985"/>
    <w:rsid w:val="00BD4B4B"/>
    <w:rsid w:val="00BF23EA"/>
    <w:rsid w:val="00C140AE"/>
    <w:rsid w:val="00C16E05"/>
    <w:rsid w:val="00C71F52"/>
    <w:rsid w:val="00C9433F"/>
    <w:rsid w:val="00C977E1"/>
    <w:rsid w:val="00CB0D82"/>
    <w:rsid w:val="00D011FB"/>
    <w:rsid w:val="00D12245"/>
    <w:rsid w:val="00D50660"/>
    <w:rsid w:val="00D53250"/>
    <w:rsid w:val="00D536DC"/>
    <w:rsid w:val="00D6758E"/>
    <w:rsid w:val="00D701D6"/>
    <w:rsid w:val="00D8141D"/>
    <w:rsid w:val="00DC7014"/>
    <w:rsid w:val="00DF24E8"/>
    <w:rsid w:val="00E00E09"/>
    <w:rsid w:val="00E22065"/>
    <w:rsid w:val="00E35149"/>
    <w:rsid w:val="00E40474"/>
    <w:rsid w:val="00E40AEF"/>
    <w:rsid w:val="00E4123E"/>
    <w:rsid w:val="00E66A89"/>
    <w:rsid w:val="00E81680"/>
    <w:rsid w:val="00E843BB"/>
    <w:rsid w:val="00EB1BFF"/>
    <w:rsid w:val="00EF2A99"/>
    <w:rsid w:val="00F12B8B"/>
    <w:rsid w:val="00F30037"/>
    <w:rsid w:val="00F31309"/>
    <w:rsid w:val="00F418D0"/>
    <w:rsid w:val="00F507D8"/>
    <w:rsid w:val="00F6533F"/>
    <w:rsid w:val="00F659AD"/>
    <w:rsid w:val="00F66F5C"/>
    <w:rsid w:val="00F750CF"/>
    <w:rsid w:val="00F75C65"/>
    <w:rsid w:val="00F86DF4"/>
    <w:rsid w:val="00FC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9D984"/>
  <w15:chartTrackingRefBased/>
  <w15:docId w15:val="{3C8F4F98-AF89-462B-BC80-6FBAFB585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iPriority="0" w:qFormat="1"/>
    <w:lsdException w:name="annotation text" w:semiHidden="1"/>
    <w:lsdException w:name="header" w:uiPriority="8"/>
    <w:lsdException w:name="footer" w:uiPriority="8"/>
    <w:lsdException w:name="index heading" w:semiHidden="1"/>
    <w:lsdException w:name="caption" w:semiHidden="1" w:qFormat="1"/>
    <w:lsdException w:name="table of figures" w:semiHidden="1"/>
    <w:lsdException w:name="envelope address" w:semiHidden="1"/>
    <w:lsdException w:name="envelope return" w:semiHidden="1"/>
    <w:lsdException w:name="annotation reference" w:semiHidden="1"/>
    <w:lsdException w:name="line number" w:semiHidden="1"/>
    <w:lsdException w:name="page number" w:semiHidden="1" w:uiPriority="8"/>
    <w:lsdException w:name="endnote reference" w:semiHidden="1" w:uiPriority="3"/>
    <w:lsdException w:name="endnote text" w:semiHidden="1" w:uiPriority="3"/>
    <w:lsdException w:name="table of authorities" w:semiHidden="1"/>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8" w:qFormat="1"/>
    <w:lsdException w:name="Closing" w:semiHidden="1"/>
    <w:lsdException w:name="Signature" w:semiHidden="1"/>
    <w:lsdException w:name="Default Paragraph Font" w:semiHidden="1" w:uiPriority="1" w:unhideWhenUsed="1"/>
    <w:lsdException w:name="Body Text" w:uiPriority="1" w:qFormat="1"/>
    <w:lsdException w:name="Body Text Indent" w:uiPriority="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8"/>
    <w:lsdException w:name="Salutation" w:semiHidden="1"/>
    <w:lsdException w:name="Date" w:semiHidden="1" w:uiPriority="8"/>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8"/>
    <w:lsdException w:name="Strong" w:semiHidden="1"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uiPriority="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8"/>
    <w:semiHidden/>
    <w:qFormat/>
    <w:rsid w:val="00F507D8"/>
    <w:pPr>
      <w:spacing w:after="240" w:line="276" w:lineRule="auto"/>
    </w:pPr>
    <w:rPr>
      <w:sz w:val="24"/>
    </w:rPr>
  </w:style>
  <w:style w:type="paragraph" w:styleId="Heading1">
    <w:name w:val="heading 1"/>
    <w:next w:val="BodyText"/>
    <w:link w:val="Heading1Char"/>
    <w:qFormat/>
    <w:rsid w:val="00F507D8"/>
    <w:pPr>
      <w:keepNext/>
      <w:keepLines/>
      <w:spacing w:before="480" w:after="480" w:line="240" w:lineRule="auto"/>
      <w:contextualSpacing/>
      <w:outlineLvl w:val="0"/>
    </w:pPr>
    <w:rPr>
      <w:rFonts w:asciiTheme="majorHAnsi" w:eastAsiaTheme="majorEastAsia" w:hAnsiTheme="majorHAnsi" w:cstheme="majorBidi"/>
      <w:b/>
      <w:color w:val="1D609D" w:themeColor="accent1"/>
      <w:sz w:val="48"/>
      <w:szCs w:val="32"/>
    </w:rPr>
  </w:style>
  <w:style w:type="paragraph" w:styleId="Heading2">
    <w:name w:val="heading 2"/>
    <w:next w:val="BodyText"/>
    <w:link w:val="Heading2Char"/>
    <w:qFormat/>
    <w:rsid w:val="00F507D8"/>
    <w:pPr>
      <w:keepNext/>
      <w:keepLines/>
      <w:spacing w:before="240" w:after="120" w:line="276" w:lineRule="auto"/>
      <w:outlineLvl w:val="1"/>
    </w:pPr>
    <w:rPr>
      <w:rFonts w:asciiTheme="majorHAnsi" w:eastAsiaTheme="majorEastAsia" w:hAnsiTheme="majorHAnsi" w:cstheme="majorBidi"/>
      <w:b/>
      <w:sz w:val="32"/>
      <w:szCs w:val="26"/>
    </w:rPr>
  </w:style>
  <w:style w:type="paragraph" w:styleId="Heading3">
    <w:name w:val="heading 3"/>
    <w:next w:val="BodyText"/>
    <w:link w:val="Heading3Char"/>
    <w:qFormat/>
    <w:rsid w:val="002F075A"/>
    <w:pPr>
      <w:keepNext/>
      <w:keepLines/>
      <w:spacing w:after="0" w:line="276" w:lineRule="auto"/>
      <w:contextualSpacing/>
      <w:outlineLvl w:val="2"/>
    </w:pPr>
    <w:rPr>
      <w:rFonts w:asciiTheme="majorHAnsi" w:eastAsiaTheme="majorEastAsia" w:hAnsiTheme="majorHAnsi" w:cstheme="majorBidi"/>
      <w:b/>
      <w:sz w:val="24"/>
      <w:szCs w:val="24"/>
    </w:rPr>
  </w:style>
  <w:style w:type="paragraph" w:styleId="Heading4">
    <w:name w:val="heading 4"/>
    <w:next w:val="BodyText"/>
    <w:link w:val="Heading4Char"/>
    <w:qFormat/>
    <w:rsid w:val="002F075A"/>
    <w:pPr>
      <w:keepNext/>
      <w:keepLines/>
      <w:spacing w:after="0" w:line="276" w:lineRule="auto"/>
      <w:contextualSpacing/>
      <w:outlineLvl w:val="3"/>
    </w:pPr>
    <w:rPr>
      <w:rFonts w:asciiTheme="majorHAnsi" w:eastAsiaTheme="majorEastAsia" w:hAnsiTheme="majorHAnsi"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BodyText"/>
    <w:link w:val="FootnoteTextChar"/>
    <w:qFormat/>
    <w:rsid w:val="00916276"/>
    <w:pPr>
      <w:spacing w:after="40" w:line="240" w:lineRule="auto"/>
      <w:ind w:left="284" w:hanging="284"/>
    </w:pPr>
    <w:rPr>
      <w:sz w:val="20"/>
      <w:szCs w:val="20"/>
    </w:rPr>
  </w:style>
  <w:style w:type="character" w:customStyle="1" w:styleId="FootnoteTextChar">
    <w:name w:val="Footnote Text Char"/>
    <w:basedOn w:val="DefaultParagraphFont"/>
    <w:link w:val="FootnoteText"/>
    <w:rsid w:val="00916276"/>
    <w:rPr>
      <w:sz w:val="20"/>
      <w:szCs w:val="20"/>
    </w:rPr>
  </w:style>
  <w:style w:type="character" w:styleId="FootnoteReference">
    <w:name w:val="footnote reference"/>
    <w:basedOn w:val="DefaultParagraphFont"/>
    <w:uiPriority w:val="99"/>
    <w:rsid w:val="00B91315"/>
    <w:rPr>
      <w:vertAlign w:val="superscript"/>
    </w:rPr>
  </w:style>
  <w:style w:type="paragraph" w:styleId="Title">
    <w:name w:val="Title"/>
    <w:next w:val="Subtitle"/>
    <w:link w:val="TitleChar"/>
    <w:uiPriority w:val="8"/>
    <w:semiHidden/>
    <w:qFormat/>
    <w:rsid w:val="00F507D8"/>
    <w:pPr>
      <w:spacing w:before="2940" w:after="0" w:line="240" w:lineRule="auto"/>
      <w:contextualSpacing/>
    </w:pPr>
    <w:rPr>
      <w:rFonts w:asciiTheme="majorHAnsi" w:eastAsiaTheme="majorEastAsia" w:hAnsiTheme="majorHAnsi" w:cstheme="majorBidi"/>
      <w:b/>
      <w:color w:val="1D609D" w:themeColor="accent1"/>
      <w:sz w:val="68"/>
      <w:szCs w:val="56"/>
    </w:rPr>
  </w:style>
  <w:style w:type="character" w:customStyle="1" w:styleId="TitleChar">
    <w:name w:val="Title Char"/>
    <w:basedOn w:val="DefaultParagraphFont"/>
    <w:link w:val="Title"/>
    <w:uiPriority w:val="8"/>
    <w:semiHidden/>
    <w:rsid w:val="00F507D8"/>
    <w:rPr>
      <w:rFonts w:asciiTheme="majorHAnsi" w:eastAsiaTheme="majorEastAsia" w:hAnsiTheme="majorHAnsi" w:cstheme="majorBidi"/>
      <w:b/>
      <w:color w:val="1D609D" w:themeColor="accent1"/>
      <w:sz w:val="68"/>
      <w:szCs w:val="56"/>
    </w:rPr>
  </w:style>
  <w:style w:type="paragraph" w:styleId="Subtitle">
    <w:name w:val="Subtitle"/>
    <w:next w:val="BodyText"/>
    <w:link w:val="SubtitleChar"/>
    <w:uiPriority w:val="8"/>
    <w:semiHidden/>
    <w:rsid w:val="00F507D8"/>
    <w:pPr>
      <w:numPr>
        <w:ilvl w:val="1"/>
      </w:numPr>
      <w:spacing w:after="0" w:line="240" w:lineRule="auto"/>
      <w:contextualSpacing/>
    </w:pPr>
    <w:rPr>
      <w:rFonts w:asciiTheme="majorHAnsi" w:eastAsiaTheme="minorEastAsia" w:hAnsiTheme="majorHAnsi"/>
      <w:b/>
      <w:color w:val="1D609D" w:themeColor="accent1"/>
      <w:sz w:val="48"/>
    </w:rPr>
  </w:style>
  <w:style w:type="character" w:customStyle="1" w:styleId="SubtitleChar">
    <w:name w:val="Subtitle Char"/>
    <w:basedOn w:val="DefaultParagraphFont"/>
    <w:link w:val="Subtitle"/>
    <w:uiPriority w:val="8"/>
    <w:semiHidden/>
    <w:rsid w:val="00F507D8"/>
    <w:rPr>
      <w:rFonts w:asciiTheme="majorHAnsi" w:eastAsiaTheme="minorEastAsia" w:hAnsiTheme="majorHAnsi"/>
      <w:b/>
      <w:color w:val="1D609D" w:themeColor="accent1"/>
      <w:sz w:val="48"/>
    </w:rPr>
  </w:style>
  <w:style w:type="character" w:styleId="FollowedHyperlink">
    <w:name w:val="FollowedHyperlink"/>
    <w:uiPriority w:val="8"/>
    <w:unhideWhenUsed/>
    <w:rsid w:val="00D50660"/>
    <w:rPr>
      <w:color w:val="00B1EB" w:themeColor="followedHyperlink"/>
      <w:u w:val="single"/>
    </w:rPr>
  </w:style>
  <w:style w:type="character" w:customStyle="1" w:styleId="Heading1Char">
    <w:name w:val="Heading 1 Char"/>
    <w:basedOn w:val="DefaultParagraphFont"/>
    <w:link w:val="Heading1"/>
    <w:rsid w:val="00F507D8"/>
    <w:rPr>
      <w:rFonts w:asciiTheme="majorHAnsi" w:eastAsiaTheme="majorEastAsia" w:hAnsiTheme="majorHAnsi" w:cstheme="majorBidi"/>
      <w:b/>
      <w:color w:val="1D609D" w:themeColor="accent1"/>
      <w:sz w:val="48"/>
      <w:szCs w:val="32"/>
    </w:rPr>
  </w:style>
  <w:style w:type="paragraph" w:styleId="TOCHeading">
    <w:name w:val="TOC Heading"/>
    <w:basedOn w:val="Heading1"/>
    <w:next w:val="BodyText"/>
    <w:uiPriority w:val="8"/>
    <w:semiHidden/>
    <w:rsid w:val="00AD05F3"/>
    <w:pPr>
      <w:outlineLvl w:val="9"/>
    </w:pPr>
  </w:style>
  <w:style w:type="character" w:customStyle="1" w:styleId="Heading2Char">
    <w:name w:val="Heading 2 Char"/>
    <w:basedOn w:val="DefaultParagraphFont"/>
    <w:link w:val="Heading2"/>
    <w:rsid w:val="00F507D8"/>
    <w:rPr>
      <w:rFonts w:asciiTheme="majorHAnsi" w:eastAsiaTheme="majorEastAsia" w:hAnsiTheme="majorHAnsi" w:cstheme="majorBidi"/>
      <w:b/>
      <w:sz w:val="32"/>
      <w:szCs w:val="26"/>
    </w:rPr>
  </w:style>
  <w:style w:type="character" w:customStyle="1" w:styleId="Heading3Char">
    <w:name w:val="Heading 3 Char"/>
    <w:basedOn w:val="DefaultParagraphFont"/>
    <w:link w:val="Heading3"/>
    <w:rsid w:val="002F075A"/>
    <w:rPr>
      <w:rFonts w:asciiTheme="majorHAnsi" w:eastAsiaTheme="majorEastAsia" w:hAnsiTheme="majorHAnsi" w:cstheme="majorBidi"/>
      <w:b/>
      <w:sz w:val="24"/>
      <w:szCs w:val="24"/>
    </w:rPr>
  </w:style>
  <w:style w:type="character" w:customStyle="1" w:styleId="Heading4Char">
    <w:name w:val="Heading 4 Char"/>
    <w:basedOn w:val="DefaultParagraphFont"/>
    <w:link w:val="Heading4"/>
    <w:rsid w:val="002F075A"/>
    <w:rPr>
      <w:rFonts w:asciiTheme="majorHAnsi" w:eastAsiaTheme="majorEastAsia" w:hAnsiTheme="majorHAnsi" w:cstheme="majorBidi"/>
      <w:i/>
      <w:iCs/>
      <w:sz w:val="24"/>
    </w:rPr>
  </w:style>
  <w:style w:type="paragraph" w:styleId="BodyText">
    <w:name w:val="Body Text"/>
    <w:link w:val="BodyTextChar"/>
    <w:uiPriority w:val="1"/>
    <w:qFormat/>
    <w:rsid w:val="002F075A"/>
    <w:pPr>
      <w:spacing w:after="240" w:line="276" w:lineRule="auto"/>
    </w:pPr>
    <w:rPr>
      <w:sz w:val="24"/>
    </w:rPr>
  </w:style>
  <w:style w:type="character" w:customStyle="1" w:styleId="BodyTextChar">
    <w:name w:val="Body Text Char"/>
    <w:basedOn w:val="DefaultParagraphFont"/>
    <w:link w:val="BodyText"/>
    <w:uiPriority w:val="1"/>
    <w:rsid w:val="002F075A"/>
    <w:rPr>
      <w:sz w:val="24"/>
    </w:rPr>
  </w:style>
  <w:style w:type="paragraph" w:styleId="BodyTextIndent">
    <w:name w:val="Body Text Indent"/>
    <w:basedOn w:val="BodyText"/>
    <w:link w:val="BodyTextIndentChar"/>
    <w:uiPriority w:val="1"/>
    <w:qFormat/>
    <w:rsid w:val="002F075A"/>
    <w:pPr>
      <w:ind w:left="357"/>
    </w:pPr>
  </w:style>
  <w:style w:type="character" w:customStyle="1" w:styleId="BodyTextIndentChar">
    <w:name w:val="Body Text Indent Char"/>
    <w:basedOn w:val="DefaultParagraphFont"/>
    <w:link w:val="BodyTextIndent"/>
    <w:uiPriority w:val="1"/>
    <w:rsid w:val="002F075A"/>
    <w:rPr>
      <w:sz w:val="24"/>
    </w:rPr>
  </w:style>
  <w:style w:type="paragraph" w:styleId="ListBullet">
    <w:name w:val="List Bullet"/>
    <w:basedOn w:val="BodyText"/>
    <w:uiPriority w:val="2"/>
    <w:qFormat/>
    <w:rsid w:val="00446DDB"/>
    <w:pPr>
      <w:numPr>
        <w:numId w:val="1"/>
      </w:numPr>
      <w:contextualSpacing/>
    </w:pPr>
  </w:style>
  <w:style w:type="paragraph" w:styleId="ListBullet2">
    <w:name w:val="List Bullet 2"/>
    <w:uiPriority w:val="2"/>
    <w:qFormat/>
    <w:rsid w:val="00446DDB"/>
    <w:pPr>
      <w:numPr>
        <w:numId w:val="2"/>
      </w:numPr>
      <w:spacing w:after="240" w:line="276" w:lineRule="auto"/>
      <w:contextualSpacing/>
    </w:pPr>
    <w:rPr>
      <w:sz w:val="24"/>
    </w:rPr>
  </w:style>
  <w:style w:type="paragraph" w:styleId="ListNumber">
    <w:name w:val="List Number"/>
    <w:basedOn w:val="BodyText"/>
    <w:uiPriority w:val="1"/>
    <w:qFormat/>
    <w:rsid w:val="002F075A"/>
    <w:pPr>
      <w:numPr>
        <w:numId w:val="3"/>
      </w:numPr>
    </w:pPr>
  </w:style>
  <w:style w:type="paragraph" w:styleId="Header">
    <w:name w:val="header"/>
    <w:basedOn w:val="BodyText"/>
    <w:link w:val="HeaderChar"/>
    <w:uiPriority w:val="8"/>
    <w:semiHidden/>
    <w:rsid w:val="009A1CE1"/>
    <w:pPr>
      <w:spacing w:after="0"/>
      <w:jc w:val="center"/>
    </w:pPr>
    <w:rPr>
      <w:sz w:val="18"/>
    </w:rPr>
  </w:style>
  <w:style w:type="character" w:customStyle="1" w:styleId="HeaderChar">
    <w:name w:val="Header Char"/>
    <w:basedOn w:val="DefaultParagraphFont"/>
    <w:link w:val="Header"/>
    <w:uiPriority w:val="8"/>
    <w:semiHidden/>
    <w:rsid w:val="00BC4DBC"/>
    <w:rPr>
      <w:sz w:val="18"/>
    </w:rPr>
  </w:style>
  <w:style w:type="paragraph" w:styleId="Footer">
    <w:name w:val="footer"/>
    <w:basedOn w:val="BodyText"/>
    <w:link w:val="FooterChar"/>
    <w:uiPriority w:val="8"/>
    <w:semiHidden/>
    <w:rsid w:val="00990242"/>
    <w:pPr>
      <w:spacing w:after="0" w:line="240" w:lineRule="auto"/>
      <w:jc w:val="center"/>
    </w:pPr>
    <w:rPr>
      <w:b/>
    </w:rPr>
  </w:style>
  <w:style w:type="character" w:customStyle="1" w:styleId="FooterChar">
    <w:name w:val="Footer Char"/>
    <w:basedOn w:val="DefaultParagraphFont"/>
    <w:link w:val="Footer"/>
    <w:uiPriority w:val="8"/>
    <w:semiHidden/>
    <w:rsid w:val="00BC4DBC"/>
    <w:rPr>
      <w:b/>
      <w:sz w:val="24"/>
    </w:rPr>
  </w:style>
  <w:style w:type="paragraph" w:styleId="TOC1">
    <w:name w:val="toc 1"/>
    <w:basedOn w:val="BodyText"/>
    <w:uiPriority w:val="39"/>
    <w:semiHidden/>
    <w:rsid w:val="003D27AC"/>
    <w:pPr>
      <w:tabs>
        <w:tab w:val="right" w:pos="9639"/>
      </w:tabs>
      <w:spacing w:before="240" w:after="120"/>
    </w:pPr>
    <w:rPr>
      <w:b/>
    </w:rPr>
  </w:style>
  <w:style w:type="paragraph" w:styleId="TOC2">
    <w:name w:val="toc 2"/>
    <w:basedOn w:val="TOC1"/>
    <w:next w:val="BodyText"/>
    <w:uiPriority w:val="39"/>
    <w:semiHidden/>
    <w:rsid w:val="003D27AC"/>
    <w:pPr>
      <w:spacing w:before="0"/>
    </w:pPr>
    <w:rPr>
      <w:b w:val="0"/>
    </w:rPr>
  </w:style>
  <w:style w:type="character" w:styleId="Hyperlink">
    <w:name w:val="Hyperlink"/>
    <w:unhideWhenUsed/>
    <w:rsid w:val="00990242"/>
    <w:rPr>
      <w:color w:val="00B1EB" w:themeColor="hyperlink"/>
      <w:u w:val="single"/>
    </w:rPr>
  </w:style>
  <w:style w:type="paragraph" w:customStyle="1" w:styleId="EmphasisHeading">
    <w:name w:val="Emphasis Heading"/>
    <w:basedOn w:val="BodyText"/>
    <w:next w:val="EmphasisText"/>
    <w:uiPriority w:val="3"/>
    <w:qFormat/>
    <w:rsid w:val="00E4123E"/>
    <w:pPr>
      <w:keepNext/>
      <w:keepLines/>
      <w:pBdr>
        <w:top w:val="single" w:sz="48" w:space="6" w:color="99E0F7"/>
        <w:left w:val="single" w:sz="48" w:space="4" w:color="99E0F7"/>
        <w:bottom w:val="single" w:sz="48" w:space="6" w:color="99E0F7"/>
        <w:right w:val="single" w:sz="48" w:space="4" w:color="99E0F7"/>
      </w:pBdr>
      <w:shd w:val="clear" w:color="auto" w:fill="99E0F7"/>
      <w:spacing w:before="240"/>
      <w:ind w:left="199"/>
    </w:pPr>
    <w:rPr>
      <w:b/>
      <w:color w:val="003057"/>
    </w:rPr>
  </w:style>
  <w:style w:type="paragraph" w:customStyle="1" w:styleId="EmphasisText">
    <w:name w:val="Emphasis Text"/>
    <w:basedOn w:val="BodyText"/>
    <w:uiPriority w:val="3"/>
    <w:qFormat/>
    <w:rsid w:val="00E4123E"/>
    <w:pPr>
      <w:keepLines/>
      <w:pBdr>
        <w:top w:val="single" w:sz="48" w:space="6" w:color="99E0F7"/>
        <w:left w:val="single" w:sz="48" w:space="4" w:color="99E0F7"/>
        <w:bottom w:val="single" w:sz="48" w:space="6" w:color="99E0F7"/>
        <w:right w:val="single" w:sz="48" w:space="4" w:color="99E0F7"/>
      </w:pBdr>
      <w:shd w:val="clear" w:color="auto" w:fill="99E0F7"/>
      <w:ind w:left="199"/>
    </w:pPr>
    <w:rPr>
      <w:color w:val="003057"/>
    </w:rPr>
  </w:style>
  <w:style w:type="table" w:styleId="TableGrid">
    <w:name w:val="Table Grid"/>
    <w:basedOn w:val="TableNormal"/>
    <w:uiPriority w:val="39"/>
    <w:rsid w:val="00E4123E"/>
    <w:pPr>
      <w:spacing w:after="0" w:line="240" w:lineRule="auto"/>
    </w:pPr>
    <w:tblPr>
      <w:tbl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blBorders>
      <w:tblCellMar>
        <w:top w:w="57" w:type="dxa"/>
        <w:left w:w="57" w:type="dxa"/>
        <w:bottom w:w="57" w:type="dxa"/>
        <w:right w:w="57" w:type="dxa"/>
      </w:tblCellMar>
    </w:tblPr>
    <w:tblStylePr w:type="firstRow">
      <w:pPr>
        <w:keepNext/>
        <w:keepLines/>
        <w:widowControl/>
        <w:wordWrap/>
      </w:pPr>
      <w:rPr>
        <w:b/>
        <w:color w:val="FFFFFF" w:themeColor="background1"/>
      </w:rPr>
      <w:tblPr/>
      <w:tcPr>
        <w:tcBorders>
          <w:top w:val="single" w:sz="4" w:space="0" w:color="1D609D" w:themeColor="accent1"/>
          <w:left w:val="single" w:sz="4" w:space="0" w:color="1D609D" w:themeColor="accent1"/>
          <w:bottom w:val="single" w:sz="4" w:space="0" w:color="1D609D" w:themeColor="accent1"/>
          <w:right w:val="single" w:sz="4" w:space="0" w:color="1D609D" w:themeColor="accent1"/>
          <w:insideH w:val="single" w:sz="4" w:space="0" w:color="1D609D" w:themeColor="accent1"/>
          <w:insideV w:val="single" w:sz="4" w:space="0" w:color="1D609D" w:themeColor="accent1"/>
          <w:tl2br w:val="nil"/>
          <w:tr2bl w:val="nil"/>
        </w:tcBorders>
        <w:shd w:val="clear" w:color="auto" w:fill="1D609D" w:themeFill="accent1"/>
      </w:tcPr>
    </w:tblStylePr>
    <w:tblStylePr w:type="firstCol">
      <w:rPr>
        <w:b/>
        <w:i w:val="0"/>
      </w:rPr>
    </w:tblStylePr>
  </w:style>
  <w:style w:type="paragraph" w:customStyle="1" w:styleId="Covertext">
    <w:name w:val="Cover text"/>
    <w:basedOn w:val="BodyText"/>
    <w:uiPriority w:val="8"/>
    <w:semiHidden/>
    <w:qFormat/>
    <w:rsid w:val="00AE4DF7"/>
    <w:pPr>
      <w:spacing w:after="0"/>
    </w:pPr>
    <w:rPr>
      <w:color w:val="FFFFFF" w:themeColor="background1"/>
    </w:rPr>
  </w:style>
  <w:style w:type="character" w:styleId="UnresolvedMention">
    <w:name w:val="Unresolved Mention"/>
    <w:basedOn w:val="DefaultParagraphFont"/>
    <w:uiPriority w:val="99"/>
    <w:semiHidden/>
    <w:rsid w:val="00AD52C7"/>
    <w:rPr>
      <w:color w:val="808080"/>
      <w:shd w:val="clear" w:color="auto" w:fill="E6E6E6"/>
    </w:rPr>
  </w:style>
  <w:style w:type="character" w:styleId="CommentReference">
    <w:name w:val="annotation reference"/>
    <w:basedOn w:val="DefaultParagraphFont"/>
    <w:uiPriority w:val="99"/>
    <w:semiHidden/>
    <w:unhideWhenUsed/>
    <w:rsid w:val="00E66A89"/>
    <w:rPr>
      <w:sz w:val="16"/>
      <w:szCs w:val="16"/>
    </w:rPr>
  </w:style>
  <w:style w:type="paragraph" w:styleId="CommentText">
    <w:name w:val="annotation text"/>
    <w:basedOn w:val="Normal"/>
    <w:link w:val="CommentTextChar"/>
    <w:uiPriority w:val="99"/>
    <w:unhideWhenUsed/>
    <w:rsid w:val="00E66A89"/>
    <w:pPr>
      <w:spacing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66A89"/>
    <w:rPr>
      <w:rFonts w:ascii="Arial" w:eastAsia="Times New Roman" w:hAnsi="Arial" w:cs="Times New Roman"/>
      <w:sz w:val="20"/>
      <w:szCs w:val="20"/>
    </w:rPr>
  </w:style>
  <w:style w:type="paragraph" w:styleId="ListParagraph">
    <w:name w:val="List Paragraph"/>
    <w:basedOn w:val="Normal"/>
    <w:uiPriority w:val="34"/>
    <w:qFormat/>
    <w:rsid w:val="00E66A89"/>
    <w:pPr>
      <w:spacing w:line="240" w:lineRule="auto"/>
      <w:ind w:left="720"/>
      <w:contextualSpacing/>
    </w:pPr>
    <w:rPr>
      <w:rFonts w:ascii="Arial" w:eastAsia="Times New Roman" w:hAnsi="Arial" w:cs="Times New Roman"/>
      <w:sz w:val="22"/>
      <w:szCs w:val="20"/>
    </w:rPr>
  </w:style>
  <w:style w:type="paragraph" w:styleId="BalloonText">
    <w:name w:val="Balloon Text"/>
    <w:basedOn w:val="Normal"/>
    <w:link w:val="BalloonTextChar"/>
    <w:uiPriority w:val="99"/>
    <w:semiHidden/>
    <w:rsid w:val="00E66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A89"/>
    <w:rPr>
      <w:rFonts w:ascii="Segoe UI" w:hAnsi="Segoe UI" w:cs="Segoe UI"/>
      <w:sz w:val="18"/>
      <w:szCs w:val="18"/>
    </w:rPr>
  </w:style>
  <w:style w:type="character" w:customStyle="1" w:styleId="TextChar">
    <w:name w:val="Text Char"/>
    <w:link w:val="Text"/>
    <w:rsid w:val="00E66A89"/>
    <w:rPr>
      <w:rFonts w:ascii="Arial" w:hAnsi="Arial"/>
      <w:lang w:eastAsia="en-GB"/>
    </w:rPr>
  </w:style>
  <w:style w:type="paragraph" w:customStyle="1" w:styleId="Text">
    <w:name w:val="Text"/>
    <w:link w:val="TextChar"/>
    <w:qFormat/>
    <w:rsid w:val="00E66A89"/>
    <w:pPr>
      <w:spacing w:after="240" w:line="240" w:lineRule="auto"/>
    </w:pPr>
    <w:rPr>
      <w:rFonts w:ascii="Arial" w:hAnsi="Arial"/>
      <w:lang w:eastAsia="en-GB"/>
    </w:rPr>
  </w:style>
  <w:style w:type="paragraph" w:styleId="NormalWeb">
    <w:name w:val="Normal (Web)"/>
    <w:basedOn w:val="Normal"/>
    <w:rsid w:val="00E66A89"/>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rsid w:val="00F12B8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2B8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20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cord-retention-and-disposition-schedu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icsa.org.uk/news/chair-of-the-inquiry-issues-guidance-on-destruction-of-docu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ationalarchives.gov.uk/help-with-your-research/research-guides/wills-or-administrations-before-1858/" TargetMode="External"/><Relationship Id="rId2" Type="http://schemas.openxmlformats.org/officeDocument/2006/relationships/hyperlink" Target="http://www.legislation.gov.uk/ukpga/1981/54/section/124" TargetMode="External"/><Relationship Id="rId1" Type="http://schemas.openxmlformats.org/officeDocument/2006/relationships/hyperlink" Target="http://www.legislation.gov.uk/uksi/1987/2024/contents/made" TargetMode="External"/><Relationship Id="rId4" Type="http://schemas.openxmlformats.org/officeDocument/2006/relationships/hyperlink" Target="https://www.gov.uk/government/publications/record-retention-and-disposition-schedu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oJ">
      <a:dk1>
        <a:sysClr val="windowText" lastClr="000000"/>
      </a:dk1>
      <a:lt1>
        <a:sysClr val="window" lastClr="FFFFFF"/>
      </a:lt1>
      <a:dk2>
        <a:srgbClr val="000000"/>
      </a:dk2>
      <a:lt2>
        <a:srgbClr val="FFFFFF"/>
      </a:lt2>
      <a:accent1>
        <a:srgbClr val="1D609D"/>
      </a:accent1>
      <a:accent2>
        <a:srgbClr val="30AA51"/>
      </a:accent2>
      <a:accent3>
        <a:srgbClr val="E9426E"/>
      </a:accent3>
      <a:accent4>
        <a:srgbClr val="565B96"/>
      </a:accent4>
      <a:accent5>
        <a:srgbClr val="00A5A1"/>
      </a:accent5>
      <a:accent6>
        <a:srgbClr val="EE7127"/>
      </a:accent6>
      <a:hlink>
        <a:srgbClr val="00B1EB"/>
      </a:hlink>
      <a:folHlink>
        <a:srgbClr val="00B1EB"/>
      </a:folHlink>
    </a:clrScheme>
    <a:fontScheme name="MoJ">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E3F6B41A1DAB4B87E6A50B1B33ACF9" ma:contentTypeVersion="15" ma:contentTypeDescription="Create a new document." ma:contentTypeScope="" ma:versionID="ce6d7a1b6a13be5c5d5ec3c18bee059c">
  <xsd:schema xmlns:xsd="http://www.w3.org/2001/XMLSchema" xmlns:xs="http://www.w3.org/2001/XMLSchema" xmlns:p="http://schemas.microsoft.com/office/2006/metadata/properties" xmlns:ns1="http://schemas.microsoft.com/sharepoint/v3" xmlns:ns3="2332c961-6f67-4d2a-9fad-b382164b977c" xmlns:ns4="d5354e63-dc31-42f4-b5be-47429dadf320" targetNamespace="http://schemas.microsoft.com/office/2006/metadata/properties" ma:root="true" ma:fieldsID="785cc32a51e478225821991a30794690" ns1:_="" ns3:_="" ns4:_="">
    <xsd:import namespace="http://schemas.microsoft.com/sharepoint/v3"/>
    <xsd:import namespace="2332c961-6f67-4d2a-9fad-b382164b977c"/>
    <xsd:import namespace="d5354e63-dc31-42f4-b5be-47429dadf3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2c961-6f67-4d2a-9fad-b382164b97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54e63-dc31-42f4-b5be-47429dadf32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64559-17EE-489F-BDA0-28518495B229}">
  <ds:schemaRefs>
    <ds:schemaRef ds:uri="http://schemas.microsoft.com/sharepoint/v3/contenttype/forms"/>
  </ds:schemaRefs>
</ds:datastoreItem>
</file>

<file path=customXml/itemProps2.xml><?xml version="1.0" encoding="utf-8"?>
<ds:datastoreItem xmlns:ds="http://schemas.openxmlformats.org/officeDocument/2006/customXml" ds:itemID="{ECEF1448-CFE7-4B48-AFF8-CCD1266CA1F6}">
  <ds:schemaRefs>
    <ds:schemaRef ds:uri="http://purl.org/dc/elements/1.1/"/>
    <ds:schemaRef ds:uri="http://schemas.microsoft.com/office/2006/metadata/properties"/>
    <ds:schemaRef ds:uri="http://schemas.openxmlformats.org/package/2006/metadata/core-properties"/>
    <ds:schemaRef ds:uri="2332c961-6f67-4d2a-9fad-b382164b977c"/>
    <ds:schemaRef ds:uri="http://schemas.microsoft.com/sharepoint/v3"/>
    <ds:schemaRef ds:uri="http://schemas.microsoft.com/office/infopath/2007/PartnerControls"/>
    <ds:schemaRef ds:uri="http://purl.org/dc/terms/"/>
    <ds:schemaRef ds:uri="http://schemas.microsoft.com/office/2006/documentManagement/types"/>
    <ds:schemaRef ds:uri="d5354e63-dc31-42f4-b5be-47429dadf320"/>
    <ds:schemaRef ds:uri="http://www.w3.org/XML/1998/namespace"/>
    <ds:schemaRef ds:uri="http://purl.org/dc/dcmitype/"/>
  </ds:schemaRefs>
</ds:datastoreItem>
</file>

<file path=customXml/itemProps3.xml><?xml version="1.0" encoding="utf-8"?>
<ds:datastoreItem xmlns:ds="http://schemas.openxmlformats.org/officeDocument/2006/customXml" ds:itemID="{72C30E9B-C483-4DD8-991B-6932358D1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32c961-6f67-4d2a-9fad-b382164b977c"/>
    <ds:schemaRef ds:uri="d5354e63-dc31-42f4-b5be-47429dadf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E42E78-F924-4C4C-8730-F9B050E50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dc:subject>
  <dc:creator>Ministry of Justice</dc:creator>
  <cp:keywords>[Key words for search engines, separated by commas]</cp:keywords>
  <dc:description/>
  <cp:lastModifiedBy>Robbins, Rachel</cp:lastModifiedBy>
  <cp:revision>3</cp:revision>
  <dcterms:created xsi:type="dcterms:W3CDTF">2021-03-02T15:39:00Z</dcterms:created>
  <dcterms:modified xsi:type="dcterms:W3CDTF">2021-03-02T15:39:00Z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0x010100A4E3F6B41A1DAB4B87E6A50B1B33ACF9</vt:lpwstr>
  </property>
</Properties>
</file>