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5F19" w14:textId="77777777" w:rsidR="00BE56ED" w:rsidRDefault="00000000">
      <w:pPr>
        <w:spacing w:after="184"/>
        <w:ind w:left="2"/>
      </w:pPr>
      <w:r>
        <w:rPr>
          <w:noProof/>
        </w:rPr>
        <w:drawing>
          <wp:inline distT="0" distB="0" distL="0" distR="0" wp14:anchorId="5605CD14" wp14:editId="37996B6E">
            <wp:extent cx="1752600" cy="116205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5"/>
                    <a:stretch>
                      <a:fillRect/>
                    </a:stretch>
                  </pic:blipFill>
                  <pic:spPr>
                    <a:xfrm>
                      <a:off x="0" y="0"/>
                      <a:ext cx="1752600" cy="1162050"/>
                    </a:xfrm>
                    <a:prstGeom prst="rect">
                      <a:avLst/>
                    </a:prstGeom>
                  </pic:spPr>
                </pic:pic>
              </a:graphicData>
            </a:graphic>
          </wp:inline>
        </w:drawing>
      </w:r>
      <w:r>
        <w:rPr>
          <w:rFonts w:ascii="Times New Roman" w:eastAsia="Times New Roman" w:hAnsi="Times New Roman" w:cs="Times New Roman"/>
          <w:sz w:val="24"/>
        </w:rPr>
        <w:t xml:space="preserve"> </w:t>
      </w:r>
    </w:p>
    <w:p w14:paraId="05961927" w14:textId="77777777" w:rsidR="00BE56ED" w:rsidRDefault="00000000">
      <w:pPr>
        <w:spacing w:after="309"/>
      </w:pPr>
      <w:r>
        <w:rPr>
          <w:rFonts w:ascii="Times New Roman" w:eastAsia="Times New Roman" w:hAnsi="Times New Roman" w:cs="Times New Roman"/>
          <w:sz w:val="24"/>
        </w:rPr>
        <w:t xml:space="preserve"> </w:t>
      </w:r>
    </w:p>
    <w:p w14:paraId="6A4FA330" w14:textId="77777777" w:rsidR="00BE56ED" w:rsidRDefault="00000000">
      <w:pPr>
        <w:spacing w:after="62" w:line="421" w:lineRule="auto"/>
        <w:ind w:left="-5" w:hanging="10"/>
      </w:pPr>
      <w:r>
        <w:rPr>
          <w:rFonts w:ascii="Arial" w:eastAsia="Arial" w:hAnsi="Arial" w:cs="Arial"/>
          <w:b/>
          <w:sz w:val="30"/>
        </w:rPr>
        <w:t xml:space="preserve">Decision of the Withdrawal Agreement Joint Committee on establishing a list of 25 persons who are willing and able to </w:t>
      </w:r>
      <w:proofErr w:type="gramStart"/>
      <w:r>
        <w:rPr>
          <w:rFonts w:ascii="Arial" w:eastAsia="Arial" w:hAnsi="Arial" w:cs="Arial"/>
          <w:b/>
          <w:sz w:val="30"/>
        </w:rPr>
        <w:t>serve  as</w:t>
      </w:r>
      <w:proofErr w:type="gramEnd"/>
      <w:r>
        <w:rPr>
          <w:rFonts w:ascii="Arial" w:eastAsia="Arial" w:hAnsi="Arial" w:cs="Arial"/>
          <w:b/>
          <w:sz w:val="30"/>
        </w:rPr>
        <w:t xml:space="preserve"> members of an arbitration panel under the Agreement </w:t>
      </w:r>
    </w:p>
    <w:p w14:paraId="0C346738" w14:textId="77777777" w:rsidR="00BE56ED" w:rsidRDefault="00000000">
      <w:pPr>
        <w:spacing w:after="292"/>
      </w:pPr>
      <w:r>
        <w:rPr>
          <w:rFonts w:ascii="Arial" w:eastAsia="Arial" w:hAnsi="Arial" w:cs="Arial"/>
          <w:b/>
          <w:sz w:val="30"/>
        </w:rPr>
        <w:t xml:space="preserve"> </w:t>
      </w:r>
    </w:p>
    <w:p w14:paraId="51688FB5" w14:textId="77777777" w:rsidR="00BE56ED" w:rsidRDefault="00000000">
      <w:pPr>
        <w:spacing w:after="220"/>
        <w:ind w:left="-5" w:hanging="10"/>
      </w:pPr>
      <w:r>
        <w:rPr>
          <w:rFonts w:ascii="Arial" w:eastAsia="Arial" w:hAnsi="Arial" w:cs="Arial"/>
          <w:b/>
          <w:sz w:val="30"/>
        </w:rPr>
        <w:t xml:space="preserve">Annex A - UK Reserve List of Arbitration Panel Members for the Withdrawal Agreement </w:t>
      </w:r>
    </w:p>
    <w:p w14:paraId="335DEDB8" w14:textId="77777777" w:rsidR="00BE56ED" w:rsidRDefault="00000000">
      <w:pPr>
        <w:spacing w:after="254"/>
      </w:pPr>
      <w:r>
        <w:rPr>
          <w:rFonts w:ascii="Arial" w:eastAsia="Arial" w:hAnsi="Arial" w:cs="Arial"/>
          <w:sz w:val="24"/>
        </w:rPr>
        <w:t xml:space="preserve"> </w:t>
      </w:r>
    </w:p>
    <w:p w14:paraId="357572F4" w14:textId="77777777" w:rsidR="00BE56ED" w:rsidRDefault="00000000">
      <w:pPr>
        <w:spacing w:after="316"/>
      </w:pPr>
      <w:r>
        <w:rPr>
          <w:rFonts w:ascii="Arial" w:eastAsia="Arial" w:hAnsi="Arial" w:cs="Arial"/>
          <w:sz w:val="24"/>
        </w:rPr>
        <w:t xml:space="preserve"> </w:t>
      </w:r>
    </w:p>
    <w:p w14:paraId="75C7BC93" w14:textId="77777777" w:rsidR="00BE56ED" w:rsidRDefault="00000000">
      <w:pPr>
        <w:pStyle w:val="Heading1"/>
        <w:ind w:left="403" w:hanging="418"/>
      </w:pPr>
      <w:r>
        <w:t xml:space="preserve">December 2020 </w:t>
      </w:r>
    </w:p>
    <w:p w14:paraId="0A9A4D9D" w14:textId="77777777" w:rsidR="00BE56ED"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7ADC3A8" w14:textId="77777777" w:rsidR="00A52A66" w:rsidRDefault="00A52A66">
      <w:pPr>
        <w:spacing w:after="0"/>
        <w:rPr>
          <w:rFonts w:ascii="Times New Roman" w:eastAsia="Times New Roman" w:hAnsi="Times New Roman" w:cs="Times New Roman"/>
          <w:b/>
          <w:sz w:val="24"/>
        </w:rPr>
      </w:pPr>
    </w:p>
    <w:p w14:paraId="607A3E5E" w14:textId="77777777" w:rsidR="00A52A66" w:rsidRDefault="00A52A66">
      <w:pPr>
        <w:spacing w:after="0"/>
        <w:rPr>
          <w:rFonts w:ascii="Times New Roman" w:eastAsia="Times New Roman" w:hAnsi="Times New Roman" w:cs="Times New Roman"/>
          <w:b/>
          <w:sz w:val="24"/>
        </w:rPr>
      </w:pPr>
    </w:p>
    <w:p w14:paraId="3A3B22C6" w14:textId="77777777" w:rsidR="00A52A66" w:rsidRDefault="00A52A66">
      <w:pPr>
        <w:spacing w:after="0"/>
        <w:rPr>
          <w:rFonts w:ascii="Times New Roman" w:eastAsia="Times New Roman" w:hAnsi="Times New Roman" w:cs="Times New Roman"/>
          <w:b/>
          <w:sz w:val="24"/>
        </w:rPr>
      </w:pPr>
    </w:p>
    <w:p w14:paraId="07B73C2F" w14:textId="77777777" w:rsidR="00A52A66" w:rsidRDefault="00A52A66">
      <w:pPr>
        <w:spacing w:after="0"/>
        <w:rPr>
          <w:rFonts w:ascii="Times New Roman" w:eastAsia="Times New Roman" w:hAnsi="Times New Roman" w:cs="Times New Roman"/>
          <w:b/>
          <w:sz w:val="24"/>
        </w:rPr>
      </w:pPr>
    </w:p>
    <w:p w14:paraId="775ECF67" w14:textId="77777777" w:rsidR="00A52A66" w:rsidRDefault="00A52A66">
      <w:pPr>
        <w:spacing w:after="0"/>
        <w:rPr>
          <w:rFonts w:ascii="Times New Roman" w:eastAsia="Times New Roman" w:hAnsi="Times New Roman" w:cs="Times New Roman"/>
          <w:b/>
          <w:sz w:val="24"/>
        </w:rPr>
      </w:pPr>
    </w:p>
    <w:p w14:paraId="5644DEC9" w14:textId="77777777" w:rsidR="00A52A66" w:rsidRDefault="00A52A66">
      <w:pPr>
        <w:spacing w:after="0"/>
        <w:rPr>
          <w:rFonts w:ascii="Times New Roman" w:eastAsia="Times New Roman" w:hAnsi="Times New Roman" w:cs="Times New Roman"/>
          <w:b/>
          <w:sz w:val="24"/>
        </w:rPr>
      </w:pPr>
    </w:p>
    <w:p w14:paraId="132A31B9" w14:textId="77777777" w:rsidR="00A52A66" w:rsidRDefault="00A52A66">
      <w:pPr>
        <w:spacing w:after="0"/>
        <w:rPr>
          <w:rFonts w:ascii="Times New Roman" w:eastAsia="Times New Roman" w:hAnsi="Times New Roman" w:cs="Times New Roman"/>
          <w:b/>
          <w:sz w:val="24"/>
        </w:rPr>
      </w:pPr>
    </w:p>
    <w:p w14:paraId="3B2B94BD" w14:textId="77777777" w:rsidR="00A52A66" w:rsidRDefault="00A52A66">
      <w:pPr>
        <w:spacing w:after="0"/>
        <w:rPr>
          <w:rFonts w:ascii="Times New Roman" w:eastAsia="Times New Roman" w:hAnsi="Times New Roman" w:cs="Times New Roman"/>
          <w:b/>
          <w:sz w:val="24"/>
        </w:rPr>
      </w:pPr>
    </w:p>
    <w:p w14:paraId="5CA03D66" w14:textId="54C2405A" w:rsidR="00BE56ED" w:rsidRDefault="00000000">
      <w:pPr>
        <w:spacing w:after="0"/>
      </w:pPr>
      <w:r>
        <w:rPr>
          <w:rFonts w:ascii="Times New Roman" w:eastAsia="Times New Roman" w:hAnsi="Times New Roman" w:cs="Times New Roman"/>
          <w:b/>
          <w:sz w:val="24"/>
        </w:rPr>
        <w:lastRenderedPageBreak/>
        <w:t xml:space="preserve">Overview </w:t>
      </w:r>
    </w:p>
    <w:p w14:paraId="0A606932" w14:textId="77777777" w:rsidR="00BE56ED" w:rsidRDefault="00000000">
      <w:pPr>
        <w:spacing w:after="0"/>
      </w:pPr>
      <w:r>
        <w:rPr>
          <w:rFonts w:ascii="Times New Roman" w:eastAsia="Times New Roman" w:hAnsi="Times New Roman" w:cs="Times New Roman"/>
          <w:b/>
          <w:sz w:val="24"/>
        </w:rPr>
        <w:t xml:space="preserve"> </w:t>
      </w:r>
    </w:p>
    <w:p w14:paraId="2FB04F4C" w14:textId="0AA7D17E" w:rsidR="00BE56ED" w:rsidRDefault="00000000">
      <w:pPr>
        <w:spacing w:after="0" w:line="249" w:lineRule="auto"/>
        <w:ind w:left="-5" w:hanging="10"/>
      </w:pPr>
      <w:r>
        <w:rPr>
          <w:rFonts w:ascii="Times New Roman" w:eastAsia="Times New Roman" w:hAnsi="Times New Roman" w:cs="Times New Roman"/>
          <w:sz w:val="24"/>
        </w:rPr>
        <w:t xml:space="preserve">The Withdrawal Agreement Joint Committee has established a list of 25 individuals willing and able to serve as members of an arbitration panel before the end of the transition period, pursuant to Article 171(1) of the Withdrawal Agreement at Decision No </w:t>
      </w:r>
      <w:r w:rsidR="00A52A66">
        <w:rPr>
          <w:rFonts w:ascii="Times New Roman" w:eastAsia="Times New Roman" w:hAnsi="Times New Roman" w:cs="Times New Roman"/>
          <w:sz w:val="24"/>
        </w:rPr>
        <w:t>7</w:t>
      </w:r>
      <w:r>
        <w:rPr>
          <w:rFonts w:ascii="Times New Roman" w:eastAsia="Times New Roman" w:hAnsi="Times New Roman" w:cs="Times New Roman"/>
          <w:sz w:val="24"/>
        </w:rPr>
        <w:t xml:space="preserve">/2020 Annex I.  </w:t>
      </w:r>
    </w:p>
    <w:p w14:paraId="19DEEFED" w14:textId="77777777" w:rsidR="00BE56ED" w:rsidRDefault="00000000">
      <w:pPr>
        <w:spacing w:after="0"/>
      </w:pPr>
      <w:r>
        <w:rPr>
          <w:rFonts w:ascii="Times New Roman" w:eastAsia="Times New Roman" w:hAnsi="Times New Roman" w:cs="Times New Roman"/>
          <w:sz w:val="24"/>
        </w:rPr>
        <w:t xml:space="preserve"> </w:t>
      </w:r>
    </w:p>
    <w:p w14:paraId="18A71E5B" w14:textId="6D0A3B7F" w:rsidR="00BE56ED" w:rsidRDefault="00000000">
      <w:pPr>
        <w:spacing w:after="0" w:line="249" w:lineRule="auto"/>
        <w:ind w:left="-5" w:hanging="10"/>
      </w:pPr>
      <w:r>
        <w:rPr>
          <w:rFonts w:ascii="Times New Roman" w:eastAsia="Times New Roman" w:hAnsi="Times New Roman" w:cs="Times New Roman"/>
          <w:sz w:val="24"/>
        </w:rPr>
        <w:t>Th</w:t>
      </w:r>
      <w:r w:rsidR="00A52A66">
        <w:rPr>
          <w:rFonts w:ascii="Times New Roman" w:eastAsia="Times New Roman" w:hAnsi="Times New Roman" w:cs="Times New Roman"/>
          <w:sz w:val="24"/>
        </w:rPr>
        <w:t>e</w:t>
      </w:r>
      <w:r>
        <w:rPr>
          <w:rFonts w:ascii="Times New Roman" w:eastAsia="Times New Roman" w:hAnsi="Times New Roman" w:cs="Times New Roman"/>
          <w:sz w:val="24"/>
        </w:rPr>
        <w:t xml:space="preserve"> list</w:t>
      </w:r>
      <w:r w:rsidR="00A52A66">
        <w:rPr>
          <w:rFonts w:ascii="Times New Roman" w:eastAsia="Times New Roman" w:hAnsi="Times New Roman" w:cs="Times New Roman"/>
          <w:sz w:val="24"/>
        </w:rPr>
        <w:t xml:space="preserve"> at Decision No 7/2020 Annex I</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comprises</w:t>
      </w:r>
      <w:proofErr w:type="gramEnd"/>
      <w:r>
        <w:rPr>
          <w:rFonts w:ascii="Times New Roman" w:eastAsia="Times New Roman" w:hAnsi="Times New Roman" w:cs="Times New Roman"/>
          <w:sz w:val="24"/>
        </w:rPr>
        <w:t xml:space="preserve"> five individuals agreed by the UK and EU to act as a chairperson, and ten individuals nominated by each Party, who may be called as panel members in the event of a dispute. A full panel will be composed of one chairperson and four arbitrators, selected from these pre</w:t>
      </w:r>
      <w:r w:rsidR="003E1E3D">
        <w:rPr>
          <w:rFonts w:ascii="Times New Roman" w:eastAsia="Times New Roman" w:hAnsi="Times New Roman" w:cs="Times New Roman"/>
          <w:sz w:val="24"/>
        </w:rPr>
        <w:t>-</w:t>
      </w:r>
      <w:r>
        <w:rPr>
          <w:rFonts w:ascii="Times New Roman" w:eastAsia="Times New Roman" w:hAnsi="Times New Roman" w:cs="Times New Roman"/>
          <w:sz w:val="24"/>
        </w:rPr>
        <w:t xml:space="preserve">agreed lists.  </w:t>
      </w:r>
    </w:p>
    <w:p w14:paraId="5E4458EE" w14:textId="77777777" w:rsidR="00BE56ED" w:rsidRDefault="00000000">
      <w:pPr>
        <w:spacing w:after="0"/>
      </w:pPr>
      <w:r>
        <w:rPr>
          <w:rFonts w:ascii="Times New Roman" w:eastAsia="Times New Roman" w:hAnsi="Times New Roman" w:cs="Times New Roman"/>
          <w:sz w:val="24"/>
        </w:rPr>
        <w:t xml:space="preserve"> </w:t>
      </w:r>
    </w:p>
    <w:p w14:paraId="7F14946C" w14:textId="77777777" w:rsidR="00BE56ED" w:rsidRDefault="00000000">
      <w:pPr>
        <w:spacing w:after="0" w:line="249" w:lineRule="auto"/>
        <w:ind w:left="-5" w:hanging="10"/>
      </w:pPr>
      <w:r>
        <w:rPr>
          <w:rFonts w:ascii="Times New Roman" w:eastAsia="Times New Roman" w:hAnsi="Times New Roman" w:cs="Times New Roman"/>
          <w:sz w:val="24"/>
        </w:rPr>
        <w:t>The UK has also comprised a list of reserve candidates at Annex A.</w:t>
      </w:r>
      <w:r>
        <w:rPr>
          <w:rFonts w:ascii="Times New Roman" w:eastAsia="Times New Roman" w:hAnsi="Times New Roman" w:cs="Times New Roman"/>
          <w:color w:val="212121"/>
          <w:sz w:val="24"/>
        </w:rPr>
        <w:t xml:space="preserve"> </w:t>
      </w:r>
    </w:p>
    <w:p w14:paraId="538EFE00" w14:textId="77777777" w:rsidR="00BE56ED" w:rsidRDefault="00000000">
      <w:pPr>
        <w:spacing w:after="0"/>
      </w:pPr>
      <w:r>
        <w:rPr>
          <w:rFonts w:ascii="Times New Roman" w:eastAsia="Times New Roman" w:hAnsi="Times New Roman" w:cs="Times New Roman"/>
          <w:b/>
          <w:sz w:val="26"/>
        </w:rPr>
        <w:t xml:space="preserve"> </w:t>
      </w:r>
    </w:p>
    <w:p w14:paraId="2FB32F20" w14:textId="77777777" w:rsidR="00BE56ED" w:rsidRDefault="00000000">
      <w:pPr>
        <w:spacing w:after="0"/>
      </w:pPr>
      <w:r>
        <w:rPr>
          <w:rFonts w:ascii="Times New Roman" w:eastAsia="Times New Roman" w:hAnsi="Times New Roman" w:cs="Times New Roman"/>
          <w:b/>
          <w:sz w:val="26"/>
        </w:rPr>
        <w:t xml:space="preserve"> </w:t>
      </w:r>
    </w:p>
    <w:p w14:paraId="0823B266" w14:textId="77777777" w:rsidR="00BE56ED" w:rsidRDefault="00000000">
      <w:pPr>
        <w:spacing w:after="0"/>
      </w:pPr>
      <w:r>
        <w:rPr>
          <w:rFonts w:ascii="Times New Roman" w:eastAsia="Times New Roman" w:hAnsi="Times New Roman" w:cs="Times New Roman"/>
          <w:b/>
          <w:sz w:val="26"/>
        </w:rPr>
        <w:t xml:space="preserve"> </w:t>
      </w:r>
    </w:p>
    <w:p w14:paraId="5C7FA960" w14:textId="77777777" w:rsidR="00BE56ED" w:rsidRDefault="00000000">
      <w:pPr>
        <w:spacing w:after="0"/>
      </w:pPr>
      <w:r>
        <w:rPr>
          <w:rFonts w:ascii="Times New Roman" w:eastAsia="Times New Roman" w:hAnsi="Times New Roman" w:cs="Times New Roman"/>
          <w:b/>
          <w:sz w:val="26"/>
        </w:rPr>
        <w:t xml:space="preserve"> </w:t>
      </w:r>
    </w:p>
    <w:p w14:paraId="2891BC2A" w14:textId="77777777" w:rsidR="00BE56ED" w:rsidRDefault="00000000">
      <w:pPr>
        <w:pStyle w:val="Heading2"/>
      </w:pPr>
      <w:r>
        <w:t xml:space="preserve">Annex A </w:t>
      </w:r>
    </w:p>
    <w:p w14:paraId="79EC6D7F" w14:textId="77777777" w:rsidR="00BE56ED" w:rsidRDefault="00000000">
      <w:pPr>
        <w:spacing w:after="0"/>
      </w:pPr>
      <w:r>
        <w:rPr>
          <w:rFonts w:ascii="Times New Roman" w:eastAsia="Times New Roman" w:hAnsi="Times New Roman" w:cs="Times New Roman"/>
          <w:b/>
          <w:sz w:val="26"/>
        </w:rPr>
        <w:t xml:space="preserve"> </w:t>
      </w:r>
    </w:p>
    <w:p w14:paraId="7E31A3F5" w14:textId="77777777" w:rsidR="00BE56ED" w:rsidRDefault="00000000">
      <w:pPr>
        <w:spacing w:after="0"/>
        <w:ind w:left="10" w:hanging="10"/>
      </w:pPr>
      <w:r>
        <w:rPr>
          <w:rFonts w:ascii="Times New Roman" w:eastAsia="Times New Roman" w:hAnsi="Times New Roman" w:cs="Times New Roman"/>
          <w:sz w:val="26"/>
        </w:rPr>
        <w:t xml:space="preserve">UK list of reserve candidates able and willing to sit as members of an arbitration </w:t>
      </w:r>
      <w:proofErr w:type="gramStart"/>
      <w:r>
        <w:rPr>
          <w:rFonts w:ascii="Times New Roman" w:eastAsia="Times New Roman" w:hAnsi="Times New Roman" w:cs="Times New Roman"/>
          <w:sz w:val="26"/>
        </w:rPr>
        <w:t>panel</w:t>
      </w:r>
      <w:proofErr w:type="gramEnd"/>
      <w:r>
        <w:rPr>
          <w:rFonts w:ascii="Times New Roman" w:eastAsia="Times New Roman" w:hAnsi="Times New Roman" w:cs="Times New Roman"/>
          <w:sz w:val="26"/>
        </w:rPr>
        <w:t xml:space="preserve"> </w:t>
      </w:r>
    </w:p>
    <w:p w14:paraId="516BF3E6" w14:textId="77777777" w:rsidR="00BE56ED" w:rsidRDefault="00000000">
      <w:pPr>
        <w:spacing w:after="0"/>
      </w:pPr>
      <w:r>
        <w:rPr>
          <w:rFonts w:ascii="Times New Roman" w:eastAsia="Times New Roman" w:hAnsi="Times New Roman" w:cs="Times New Roman"/>
          <w:sz w:val="26"/>
        </w:rPr>
        <w:t xml:space="preserve"> </w:t>
      </w:r>
    </w:p>
    <w:p w14:paraId="3578AF2C" w14:textId="77777777" w:rsidR="00BE56ED" w:rsidRDefault="00000000">
      <w:pPr>
        <w:pStyle w:val="Heading3"/>
      </w:pPr>
      <w:r>
        <w:t xml:space="preserve">Reserve </w:t>
      </w:r>
      <w:proofErr w:type="gramStart"/>
      <w:r>
        <w:t>list</w:t>
      </w:r>
      <w:proofErr w:type="gramEnd"/>
      <w:r>
        <w:rPr>
          <w:sz w:val="24"/>
          <w:u w:val="none"/>
        </w:rPr>
        <w:t xml:space="preserve"> </w:t>
      </w:r>
    </w:p>
    <w:p w14:paraId="71E5050C" w14:textId="77777777" w:rsidR="00BE56ED" w:rsidRDefault="00000000">
      <w:pPr>
        <w:numPr>
          <w:ilvl w:val="0"/>
          <w:numId w:val="1"/>
        </w:numPr>
        <w:spacing w:after="0"/>
        <w:ind w:hanging="360"/>
      </w:pPr>
      <w:r>
        <w:rPr>
          <w:rFonts w:ascii="Times New Roman" w:eastAsia="Times New Roman" w:hAnsi="Times New Roman" w:cs="Times New Roman"/>
          <w:sz w:val="26"/>
        </w:rPr>
        <w:t xml:space="preserve">Daniel Beard QC  </w:t>
      </w:r>
    </w:p>
    <w:p w14:paraId="79FF83EF" w14:textId="77777777" w:rsidR="00BE56ED" w:rsidRDefault="00000000">
      <w:pPr>
        <w:numPr>
          <w:ilvl w:val="0"/>
          <w:numId w:val="1"/>
        </w:numPr>
        <w:spacing w:after="0"/>
        <w:ind w:hanging="360"/>
      </w:pPr>
      <w:r>
        <w:rPr>
          <w:rFonts w:ascii="Times New Roman" w:eastAsia="Times New Roman" w:hAnsi="Times New Roman" w:cs="Times New Roman"/>
          <w:sz w:val="26"/>
        </w:rPr>
        <w:t xml:space="preserve">Professor George Bermann  </w:t>
      </w:r>
    </w:p>
    <w:p w14:paraId="5A755B4A" w14:textId="77777777" w:rsidR="00BE56ED" w:rsidRDefault="00000000">
      <w:pPr>
        <w:numPr>
          <w:ilvl w:val="0"/>
          <w:numId w:val="1"/>
        </w:numPr>
        <w:spacing w:after="0"/>
        <w:ind w:hanging="360"/>
      </w:pPr>
      <w:r>
        <w:rPr>
          <w:rFonts w:ascii="Times New Roman" w:eastAsia="Times New Roman" w:hAnsi="Times New Roman" w:cs="Times New Roman"/>
          <w:sz w:val="26"/>
        </w:rPr>
        <w:t xml:space="preserve">Lord Lawrence Collins  </w:t>
      </w:r>
    </w:p>
    <w:p w14:paraId="633BFC46" w14:textId="77777777" w:rsidR="00BE56ED" w:rsidRDefault="00000000">
      <w:pPr>
        <w:numPr>
          <w:ilvl w:val="0"/>
          <w:numId w:val="1"/>
        </w:numPr>
        <w:spacing w:after="0"/>
        <w:ind w:hanging="360"/>
      </w:pPr>
      <w:r>
        <w:rPr>
          <w:rFonts w:ascii="Times New Roman" w:eastAsia="Times New Roman" w:hAnsi="Times New Roman" w:cs="Times New Roman"/>
          <w:sz w:val="26"/>
        </w:rPr>
        <w:t xml:space="preserve">Lord Leonard Hoffmann  </w:t>
      </w:r>
    </w:p>
    <w:p w14:paraId="0F49F3D5" w14:textId="77777777" w:rsidR="00BE56ED" w:rsidRDefault="00000000">
      <w:pPr>
        <w:numPr>
          <w:ilvl w:val="0"/>
          <w:numId w:val="1"/>
        </w:numPr>
        <w:spacing w:after="0"/>
        <w:ind w:hanging="360"/>
      </w:pPr>
      <w:r>
        <w:rPr>
          <w:rFonts w:ascii="Times New Roman" w:eastAsia="Times New Roman" w:hAnsi="Times New Roman" w:cs="Times New Roman"/>
          <w:sz w:val="26"/>
        </w:rPr>
        <w:t xml:space="preserve">Jean Kalicki  </w:t>
      </w:r>
    </w:p>
    <w:p w14:paraId="231BE329" w14:textId="77777777" w:rsidR="00BE56ED" w:rsidRDefault="00000000">
      <w:pPr>
        <w:numPr>
          <w:ilvl w:val="0"/>
          <w:numId w:val="1"/>
        </w:numPr>
        <w:spacing w:after="0"/>
        <w:ind w:hanging="360"/>
      </w:pPr>
      <w:r>
        <w:rPr>
          <w:rFonts w:ascii="Times New Roman" w:eastAsia="Times New Roman" w:hAnsi="Times New Roman" w:cs="Times New Roman"/>
          <w:sz w:val="26"/>
        </w:rPr>
        <w:t xml:space="preserve">William Kovacic  </w:t>
      </w:r>
    </w:p>
    <w:p w14:paraId="7FE658E2" w14:textId="77777777" w:rsidR="00BE56ED" w:rsidRDefault="00000000">
      <w:pPr>
        <w:numPr>
          <w:ilvl w:val="0"/>
          <w:numId w:val="1"/>
        </w:numPr>
        <w:spacing w:after="0"/>
        <w:ind w:hanging="360"/>
      </w:pPr>
      <w:r>
        <w:rPr>
          <w:rFonts w:ascii="Times New Roman" w:eastAsia="Times New Roman" w:hAnsi="Times New Roman" w:cs="Times New Roman"/>
          <w:sz w:val="26"/>
        </w:rPr>
        <w:t xml:space="preserve">Hugh Mercer QC  </w:t>
      </w:r>
    </w:p>
    <w:p w14:paraId="42ECD0C2" w14:textId="77777777" w:rsidR="00BE56ED" w:rsidRDefault="00000000">
      <w:pPr>
        <w:numPr>
          <w:ilvl w:val="0"/>
          <w:numId w:val="1"/>
        </w:numPr>
        <w:spacing w:after="0"/>
        <w:ind w:hanging="360"/>
      </w:pPr>
      <w:r>
        <w:rPr>
          <w:rFonts w:ascii="Times New Roman" w:eastAsia="Times New Roman" w:hAnsi="Times New Roman" w:cs="Times New Roman"/>
          <w:sz w:val="26"/>
        </w:rPr>
        <w:t xml:space="preserve">Sir Bernard Rix  </w:t>
      </w:r>
    </w:p>
    <w:p w14:paraId="121189A8" w14:textId="77777777" w:rsidR="00BE56ED" w:rsidRDefault="00000000">
      <w:pPr>
        <w:numPr>
          <w:ilvl w:val="0"/>
          <w:numId w:val="1"/>
        </w:numPr>
        <w:spacing w:after="0"/>
        <w:ind w:hanging="360"/>
      </w:pPr>
      <w:r>
        <w:rPr>
          <w:rFonts w:ascii="Times New Roman" w:eastAsia="Times New Roman" w:hAnsi="Times New Roman" w:cs="Times New Roman"/>
          <w:sz w:val="26"/>
        </w:rPr>
        <w:t xml:space="preserve">Guglielmo Verdirame QC  </w:t>
      </w:r>
    </w:p>
    <w:p w14:paraId="45DAAA14" w14:textId="77777777" w:rsidR="00BE56ED" w:rsidRDefault="00000000">
      <w:pPr>
        <w:spacing w:after="180"/>
      </w:pPr>
      <w:r>
        <w:rPr>
          <w:rFonts w:ascii="Times New Roman" w:eastAsia="Times New Roman" w:hAnsi="Times New Roman" w:cs="Times New Roman"/>
          <w:sz w:val="24"/>
        </w:rPr>
        <w:t xml:space="preserve"> </w:t>
      </w:r>
    </w:p>
    <w:p w14:paraId="70BB9602" w14:textId="77777777" w:rsidR="00BE56ED" w:rsidRDefault="00000000">
      <w:pPr>
        <w:spacing w:after="232"/>
      </w:pPr>
      <w:r>
        <w:rPr>
          <w:rFonts w:ascii="Times New Roman" w:eastAsia="Times New Roman" w:hAnsi="Times New Roman" w:cs="Times New Roman"/>
          <w:sz w:val="24"/>
        </w:rPr>
        <w:t xml:space="preserve"> </w:t>
      </w:r>
    </w:p>
    <w:p w14:paraId="501523A8" w14:textId="1FCDF611" w:rsidR="00BE56ED" w:rsidRDefault="00000000" w:rsidP="00A52A66">
      <w:pPr>
        <w:spacing w:after="232"/>
      </w:pPr>
      <w:r>
        <w:rPr>
          <w:rFonts w:ascii="Times New Roman" w:eastAsia="Times New Roman" w:hAnsi="Times New Roman" w:cs="Times New Roman"/>
          <w:sz w:val="24"/>
        </w:rPr>
        <w:t xml:space="preserve"> </w:t>
      </w:r>
    </w:p>
    <w:sectPr w:rsidR="00BE56ED">
      <w:pgSz w:w="11900" w:h="16840"/>
      <w:pgMar w:top="1146" w:right="1130" w:bottom="5185" w:left="11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B23C6"/>
    <w:multiLevelType w:val="hybridMultilevel"/>
    <w:tmpl w:val="34E4850E"/>
    <w:lvl w:ilvl="0" w:tplc="072C7BBA">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6889B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3CA98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0C93A0">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4AD91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84ADD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16792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D2DEE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5CE84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4436592"/>
    <w:multiLevelType w:val="hybridMultilevel"/>
    <w:tmpl w:val="CCC8C592"/>
    <w:lvl w:ilvl="0" w:tplc="FC828F4C">
      <w:start w:val="17"/>
      <w:numFmt w:val="decimal"/>
      <w:pStyle w:val="Heading1"/>
      <w:lvlText w:val="%1"/>
      <w:lvlJc w:val="left"/>
      <w:pPr>
        <w:ind w:left="0"/>
      </w:pPr>
      <w:rPr>
        <w:rFonts w:ascii="Arial" w:eastAsia="Arial" w:hAnsi="Arial" w:cs="Arial"/>
        <w:b/>
        <w:bCs/>
        <w:i w:val="0"/>
        <w:strike w:val="0"/>
        <w:dstrike w:val="0"/>
        <w:color w:val="000000"/>
        <w:sz w:val="30"/>
        <w:szCs w:val="30"/>
        <w:u w:val="none" w:color="000000"/>
        <w:bdr w:val="none" w:sz="0" w:space="0" w:color="auto"/>
        <w:shd w:val="clear" w:color="auto" w:fill="auto"/>
        <w:vertAlign w:val="baseline"/>
      </w:rPr>
    </w:lvl>
    <w:lvl w:ilvl="1" w:tplc="F5D6D72C">
      <w:start w:val="1"/>
      <w:numFmt w:val="lowerLetter"/>
      <w:lvlText w:val="%2"/>
      <w:lvlJc w:val="left"/>
      <w:pPr>
        <w:ind w:left="1080"/>
      </w:pPr>
      <w:rPr>
        <w:rFonts w:ascii="Arial" w:eastAsia="Arial" w:hAnsi="Arial" w:cs="Arial"/>
        <w:b/>
        <w:bCs/>
        <w:i w:val="0"/>
        <w:strike w:val="0"/>
        <w:dstrike w:val="0"/>
        <w:color w:val="000000"/>
        <w:sz w:val="30"/>
        <w:szCs w:val="30"/>
        <w:u w:val="none" w:color="000000"/>
        <w:bdr w:val="none" w:sz="0" w:space="0" w:color="auto"/>
        <w:shd w:val="clear" w:color="auto" w:fill="auto"/>
        <w:vertAlign w:val="baseline"/>
      </w:rPr>
    </w:lvl>
    <w:lvl w:ilvl="2" w:tplc="690E94E6">
      <w:start w:val="1"/>
      <w:numFmt w:val="lowerRoman"/>
      <w:lvlText w:val="%3"/>
      <w:lvlJc w:val="left"/>
      <w:pPr>
        <w:ind w:left="1800"/>
      </w:pPr>
      <w:rPr>
        <w:rFonts w:ascii="Arial" w:eastAsia="Arial" w:hAnsi="Arial" w:cs="Arial"/>
        <w:b/>
        <w:bCs/>
        <w:i w:val="0"/>
        <w:strike w:val="0"/>
        <w:dstrike w:val="0"/>
        <w:color w:val="000000"/>
        <w:sz w:val="30"/>
        <w:szCs w:val="30"/>
        <w:u w:val="none" w:color="000000"/>
        <w:bdr w:val="none" w:sz="0" w:space="0" w:color="auto"/>
        <w:shd w:val="clear" w:color="auto" w:fill="auto"/>
        <w:vertAlign w:val="baseline"/>
      </w:rPr>
    </w:lvl>
    <w:lvl w:ilvl="3" w:tplc="C40A5E20">
      <w:start w:val="1"/>
      <w:numFmt w:val="decimal"/>
      <w:lvlText w:val="%4"/>
      <w:lvlJc w:val="left"/>
      <w:pPr>
        <w:ind w:left="2520"/>
      </w:pPr>
      <w:rPr>
        <w:rFonts w:ascii="Arial" w:eastAsia="Arial" w:hAnsi="Arial" w:cs="Arial"/>
        <w:b/>
        <w:bCs/>
        <w:i w:val="0"/>
        <w:strike w:val="0"/>
        <w:dstrike w:val="0"/>
        <w:color w:val="000000"/>
        <w:sz w:val="30"/>
        <w:szCs w:val="30"/>
        <w:u w:val="none" w:color="000000"/>
        <w:bdr w:val="none" w:sz="0" w:space="0" w:color="auto"/>
        <w:shd w:val="clear" w:color="auto" w:fill="auto"/>
        <w:vertAlign w:val="baseline"/>
      </w:rPr>
    </w:lvl>
    <w:lvl w:ilvl="4" w:tplc="4E00E24C">
      <w:start w:val="1"/>
      <w:numFmt w:val="lowerLetter"/>
      <w:lvlText w:val="%5"/>
      <w:lvlJc w:val="left"/>
      <w:pPr>
        <w:ind w:left="3240"/>
      </w:pPr>
      <w:rPr>
        <w:rFonts w:ascii="Arial" w:eastAsia="Arial" w:hAnsi="Arial" w:cs="Arial"/>
        <w:b/>
        <w:bCs/>
        <w:i w:val="0"/>
        <w:strike w:val="0"/>
        <w:dstrike w:val="0"/>
        <w:color w:val="000000"/>
        <w:sz w:val="30"/>
        <w:szCs w:val="30"/>
        <w:u w:val="none" w:color="000000"/>
        <w:bdr w:val="none" w:sz="0" w:space="0" w:color="auto"/>
        <w:shd w:val="clear" w:color="auto" w:fill="auto"/>
        <w:vertAlign w:val="baseline"/>
      </w:rPr>
    </w:lvl>
    <w:lvl w:ilvl="5" w:tplc="F894D4A4">
      <w:start w:val="1"/>
      <w:numFmt w:val="lowerRoman"/>
      <w:lvlText w:val="%6"/>
      <w:lvlJc w:val="left"/>
      <w:pPr>
        <w:ind w:left="3960"/>
      </w:pPr>
      <w:rPr>
        <w:rFonts w:ascii="Arial" w:eastAsia="Arial" w:hAnsi="Arial" w:cs="Arial"/>
        <w:b/>
        <w:bCs/>
        <w:i w:val="0"/>
        <w:strike w:val="0"/>
        <w:dstrike w:val="0"/>
        <w:color w:val="000000"/>
        <w:sz w:val="30"/>
        <w:szCs w:val="30"/>
        <w:u w:val="none" w:color="000000"/>
        <w:bdr w:val="none" w:sz="0" w:space="0" w:color="auto"/>
        <w:shd w:val="clear" w:color="auto" w:fill="auto"/>
        <w:vertAlign w:val="baseline"/>
      </w:rPr>
    </w:lvl>
    <w:lvl w:ilvl="6" w:tplc="47DC3C86">
      <w:start w:val="1"/>
      <w:numFmt w:val="decimal"/>
      <w:lvlText w:val="%7"/>
      <w:lvlJc w:val="left"/>
      <w:pPr>
        <w:ind w:left="4680"/>
      </w:pPr>
      <w:rPr>
        <w:rFonts w:ascii="Arial" w:eastAsia="Arial" w:hAnsi="Arial" w:cs="Arial"/>
        <w:b/>
        <w:bCs/>
        <w:i w:val="0"/>
        <w:strike w:val="0"/>
        <w:dstrike w:val="0"/>
        <w:color w:val="000000"/>
        <w:sz w:val="30"/>
        <w:szCs w:val="30"/>
        <w:u w:val="none" w:color="000000"/>
        <w:bdr w:val="none" w:sz="0" w:space="0" w:color="auto"/>
        <w:shd w:val="clear" w:color="auto" w:fill="auto"/>
        <w:vertAlign w:val="baseline"/>
      </w:rPr>
    </w:lvl>
    <w:lvl w:ilvl="7" w:tplc="2A3ED200">
      <w:start w:val="1"/>
      <w:numFmt w:val="lowerLetter"/>
      <w:lvlText w:val="%8"/>
      <w:lvlJc w:val="left"/>
      <w:pPr>
        <w:ind w:left="5400"/>
      </w:pPr>
      <w:rPr>
        <w:rFonts w:ascii="Arial" w:eastAsia="Arial" w:hAnsi="Arial" w:cs="Arial"/>
        <w:b/>
        <w:bCs/>
        <w:i w:val="0"/>
        <w:strike w:val="0"/>
        <w:dstrike w:val="0"/>
        <w:color w:val="000000"/>
        <w:sz w:val="30"/>
        <w:szCs w:val="30"/>
        <w:u w:val="none" w:color="000000"/>
        <w:bdr w:val="none" w:sz="0" w:space="0" w:color="auto"/>
        <w:shd w:val="clear" w:color="auto" w:fill="auto"/>
        <w:vertAlign w:val="baseline"/>
      </w:rPr>
    </w:lvl>
    <w:lvl w:ilvl="8" w:tplc="F7F890C2">
      <w:start w:val="1"/>
      <w:numFmt w:val="lowerRoman"/>
      <w:lvlText w:val="%9"/>
      <w:lvlJc w:val="left"/>
      <w:pPr>
        <w:ind w:left="6120"/>
      </w:pPr>
      <w:rPr>
        <w:rFonts w:ascii="Arial" w:eastAsia="Arial" w:hAnsi="Arial" w:cs="Arial"/>
        <w:b/>
        <w:bCs/>
        <w:i w:val="0"/>
        <w:strike w:val="0"/>
        <w:dstrike w:val="0"/>
        <w:color w:val="000000"/>
        <w:sz w:val="30"/>
        <w:szCs w:val="30"/>
        <w:u w:val="none" w:color="000000"/>
        <w:bdr w:val="none" w:sz="0" w:space="0" w:color="auto"/>
        <w:shd w:val="clear" w:color="auto" w:fill="auto"/>
        <w:vertAlign w:val="baseline"/>
      </w:rPr>
    </w:lvl>
  </w:abstractNum>
  <w:num w:numId="1" w16cid:durableId="1979719393">
    <w:abstractNumId w:val="0"/>
  </w:num>
  <w:num w:numId="2" w16cid:durableId="95166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ED"/>
    <w:rsid w:val="003E1E3D"/>
    <w:rsid w:val="004A192D"/>
    <w:rsid w:val="00A52A66"/>
    <w:rsid w:val="00BE5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D2A9"/>
  <w15:docId w15:val="{4989B42E-A7FE-4C84-AD71-665790B7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20"/>
      <w:ind w:left="10" w:hanging="10"/>
      <w:outlineLvl w:val="0"/>
    </w:pPr>
    <w:rPr>
      <w:rFonts w:ascii="Arial" w:eastAsia="Arial" w:hAnsi="Arial" w:cs="Arial"/>
      <w:b/>
      <w:color w:val="000000"/>
      <w:sz w:val="30"/>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0"/>
      <w:outlineLvl w:val="2"/>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color w:val="000000"/>
      <w:sz w:val="26"/>
      <w:u w:val="single" w:color="000000"/>
    </w:rPr>
  </w:style>
  <w:style w:type="character" w:customStyle="1" w:styleId="Heading1Char">
    <w:name w:val="Heading 1 Char"/>
    <w:link w:val="Heading1"/>
    <w:rPr>
      <w:rFonts w:ascii="Arial" w:eastAsia="Arial" w:hAnsi="Arial" w:cs="Arial"/>
      <w:b/>
      <w:color w:val="000000"/>
      <w:sz w:val="30"/>
    </w:rPr>
  </w:style>
  <w:style w:type="paragraph" w:styleId="Revision">
    <w:name w:val="Revision"/>
    <w:hidden/>
    <w:uiPriority w:val="99"/>
    <w:semiHidden/>
    <w:rsid w:val="00A52A6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c0bf4-4fcf-490e-a436-5b2e5bba7512}" enabled="1" method="Privileged" siteId="{d3a2d0d3-7cc8-4f52-bbf9-85bd43d9427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Decision of the Withdrawal Agreement Joint Committee on establishing a list of 25 arbitrators for the Withdrawal Agreement arbitration panels - Annex A.docx</dc:title>
  <dc:subject/>
  <dc:creator>Reece Smith</dc:creator>
  <cp:keywords/>
  <cp:lastModifiedBy>Reece Smith</cp:lastModifiedBy>
  <cp:revision>2</cp:revision>
  <dcterms:created xsi:type="dcterms:W3CDTF">2024-05-17T15:01:00Z</dcterms:created>
  <dcterms:modified xsi:type="dcterms:W3CDTF">2024-05-17T15:01:00Z</dcterms:modified>
</cp:coreProperties>
</file>