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A72F" w14:textId="2AF70B83" w:rsidR="00FC3019" w:rsidRPr="00FC3019" w:rsidRDefault="00FC3019" w:rsidP="00A824CE">
      <w:pPr>
        <w:pStyle w:val="Title"/>
        <w:rPr>
          <w:sz w:val="52"/>
        </w:rPr>
      </w:pPr>
      <w:r w:rsidRPr="00FC3019">
        <w:rPr>
          <w:noProof/>
          <w:sz w:val="52"/>
        </w:rPr>
        <w:drawing>
          <wp:anchor distT="0" distB="0" distL="114300" distR="114300" simplePos="0" relativeHeight="251658240" behindDoc="1" locked="0" layoutInCell="1" allowOverlap="1" wp14:anchorId="52791593" wp14:editId="4E942F79">
            <wp:simplePos x="0" y="0"/>
            <wp:positionH relativeFrom="margin">
              <wp:posOffset>4099560</wp:posOffset>
            </wp:positionH>
            <wp:positionV relativeFrom="paragraph">
              <wp:posOffset>0</wp:posOffset>
            </wp:positionV>
            <wp:extent cx="2164080" cy="6400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640080"/>
                    </a:xfrm>
                    <a:prstGeom prst="rect">
                      <a:avLst/>
                    </a:prstGeom>
                    <a:noFill/>
                  </pic:spPr>
                </pic:pic>
              </a:graphicData>
            </a:graphic>
          </wp:anchor>
        </w:drawing>
      </w:r>
      <w:r w:rsidRPr="00FC3019">
        <w:rPr>
          <w:sz w:val="52"/>
        </w:rPr>
        <w:t xml:space="preserve">Sentencing Council </w:t>
      </w:r>
    </w:p>
    <w:p w14:paraId="4848496C" w14:textId="0886805C" w:rsidR="00B91315" w:rsidRPr="00FC3019" w:rsidRDefault="00E66A89" w:rsidP="00FC3019">
      <w:pPr>
        <w:pStyle w:val="Title"/>
        <w:rPr>
          <w:sz w:val="40"/>
        </w:rPr>
      </w:pPr>
      <w:r w:rsidRPr="00FC3019">
        <w:rPr>
          <w:sz w:val="40"/>
        </w:rPr>
        <w:t>Records Retention and Disposition Schedule</w:t>
      </w:r>
    </w:p>
    <w:p w14:paraId="12959C9B" w14:textId="77777777" w:rsidR="00E66A89" w:rsidRDefault="00E66A89" w:rsidP="00E66A89">
      <w:pPr>
        <w:pStyle w:val="Heading2"/>
      </w:pPr>
      <w:bookmarkStart w:id="0" w:name="_Toc6321028"/>
      <w:r w:rsidRPr="00E66A89">
        <w:t>Introduction</w:t>
      </w:r>
    </w:p>
    <w:bookmarkEnd w:id="0"/>
    <w:p w14:paraId="036F2DAD" w14:textId="2CE5FF66" w:rsidR="00E66A89" w:rsidRPr="00E66A89" w:rsidRDefault="00D12245" w:rsidP="00D12245">
      <w:pPr>
        <w:numPr>
          <w:ilvl w:val="0"/>
          <w:numId w:val="6"/>
        </w:numPr>
        <w:spacing w:after="0" w:line="240" w:lineRule="auto"/>
        <w:ind w:left="360"/>
        <w:rPr>
          <w:rFonts w:cs="Arial"/>
          <w:szCs w:val="24"/>
        </w:rPr>
      </w:pPr>
      <w:r w:rsidRPr="00D12245">
        <w:rPr>
          <w:rFonts w:cs="Arial"/>
          <w:szCs w:val="24"/>
        </w:rPr>
        <w:t>This schedule applies to the records</w:t>
      </w:r>
      <w:r w:rsidR="00DE0AB5">
        <w:rPr>
          <w:rStyle w:val="FootnoteReference"/>
          <w:rFonts w:cs="Arial"/>
          <w:szCs w:val="24"/>
        </w:rPr>
        <w:footnoteReference w:id="1"/>
      </w:r>
      <w:r w:rsidRPr="00D12245">
        <w:rPr>
          <w:rFonts w:cs="Arial"/>
          <w:szCs w:val="24"/>
        </w:rPr>
        <w:t xml:space="preserve"> that are created and managed by staff employed </w:t>
      </w:r>
      <w:r w:rsidR="00021C9F">
        <w:rPr>
          <w:rFonts w:cs="Arial"/>
          <w:szCs w:val="24"/>
        </w:rPr>
        <w:t xml:space="preserve">by the </w:t>
      </w:r>
      <w:r w:rsidR="00FC3019" w:rsidRPr="003B34FE">
        <w:rPr>
          <w:rFonts w:cs="Arial"/>
          <w:szCs w:val="24"/>
        </w:rPr>
        <w:t>Sentencing Council for England and Wales</w:t>
      </w:r>
      <w:r w:rsidR="00FC3019">
        <w:rPr>
          <w:rFonts w:cs="Arial"/>
          <w:szCs w:val="24"/>
        </w:rPr>
        <w:t xml:space="preserve"> (Sentencing Council)</w:t>
      </w:r>
      <w:r w:rsidRPr="00D12245">
        <w:rPr>
          <w:rFonts w:cs="Arial"/>
          <w:szCs w:val="24"/>
        </w:rPr>
        <w:t>. It has been agreed following consultation between the</w:t>
      </w:r>
      <w:r w:rsidR="00021C9F">
        <w:rPr>
          <w:rFonts w:cs="Arial"/>
          <w:szCs w:val="24"/>
        </w:rPr>
        <w:t xml:space="preserve"> Sentencing Council</w:t>
      </w:r>
      <w:r w:rsidRPr="00D12245">
        <w:rPr>
          <w:rFonts w:cs="Arial"/>
          <w:szCs w:val="24"/>
        </w:rPr>
        <w:t xml:space="preserve"> and the Departmental Records Officer’s (DRO) team in the Ministry o</w:t>
      </w:r>
      <w:r>
        <w:rPr>
          <w:rFonts w:cs="Arial"/>
          <w:szCs w:val="24"/>
        </w:rPr>
        <w:t>f Justice</w:t>
      </w:r>
      <w:r w:rsidR="00E66A89" w:rsidRPr="00E66A89">
        <w:rPr>
          <w:rFonts w:cs="Arial"/>
          <w:szCs w:val="24"/>
        </w:rPr>
        <w:t xml:space="preserve">. </w:t>
      </w:r>
      <w:r w:rsidR="00E66A89" w:rsidRPr="00E66A89">
        <w:rPr>
          <w:rFonts w:cs="Arial"/>
          <w:szCs w:val="24"/>
        </w:rPr>
        <w:br/>
      </w:r>
    </w:p>
    <w:p w14:paraId="776AD513" w14:textId="69DE09EC" w:rsidR="00D12245" w:rsidRDefault="00D12245" w:rsidP="00D12245">
      <w:pPr>
        <w:numPr>
          <w:ilvl w:val="0"/>
          <w:numId w:val="6"/>
        </w:numPr>
        <w:spacing w:after="0" w:line="240" w:lineRule="auto"/>
        <w:ind w:left="360"/>
        <w:rPr>
          <w:rFonts w:cs="Arial"/>
          <w:szCs w:val="24"/>
        </w:rPr>
      </w:pPr>
      <w:bookmarkStart w:id="1" w:name="_Hlk514921578"/>
      <w:r w:rsidRPr="00D12245">
        <w:rPr>
          <w:rFonts w:cs="Arial"/>
          <w:szCs w:val="24"/>
        </w:rPr>
        <w:t>As a public body, the MoJ takes its responsibilities for managing information seriously. These responsibilities include compliance with the Public Records Act 1958, General Data Protection Regulation (GDPR), the Data Protection Act 2018, Freedom of Information Act 2000 (FoIA) and amending legislation. The MoJ uses Records Retention and Disposition Schedules (RRDS) to manage its compliance with statutory obligations to identify what information and records we hold, how long we keep it and what should happen to these records at the end of that time.</w:t>
      </w:r>
    </w:p>
    <w:p w14:paraId="062F9395" w14:textId="77777777" w:rsidR="00D12245" w:rsidRPr="00D12245" w:rsidRDefault="00D12245" w:rsidP="00D12245">
      <w:pPr>
        <w:spacing w:after="0" w:line="240" w:lineRule="auto"/>
        <w:ind w:left="360"/>
        <w:rPr>
          <w:rFonts w:cs="Arial"/>
          <w:szCs w:val="24"/>
        </w:rPr>
      </w:pPr>
    </w:p>
    <w:p w14:paraId="583D0A1A" w14:textId="772548DE" w:rsidR="00D12245" w:rsidRPr="00021C9F" w:rsidRDefault="00021C9F" w:rsidP="00021C9F">
      <w:pPr>
        <w:numPr>
          <w:ilvl w:val="0"/>
          <w:numId w:val="6"/>
        </w:numPr>
        <w:spacing w:after="0" w:line="240" w:lineRule="auto"/>
        <w:ind w:left="360"/>
        <w:rPr>
          <w:rFonts w:cs="Arial"/>
          <w:b/>
          <w:szCs w:val="24"/>
        </w:rPr>
      </w:pPr>
      <w:r w:rsidRPr="00021C9F">
        <w:rPr>
          <w:rFonts w:cs="Arial"/>
          <w:szCs w:val="24"/>
        </w:rPr>
        <w:t>The Sentencing Council’s work is governed by Coroners and Justice Act 2009 and amending legislation</w:t>
      </w:r>
      <w:r w:rsidR="00D12245" w:rsidRPr="00021C9F">
        <w:rPr>
          <w:rFonts w:cs="Arial"/>
          <w:szCs w:val="24"/>
        </w:rPr>
        <w:t>.</w:t>
      </w:r>
    </w:p>
    <w:p w14:paraId="32F18F06" w14:textId="77777777" w:rsidR="00D12245" w:rsidRPr="00D12245" w:rsidRDefault="00D12245" w:rsidP="00D12245">
      <w:pPr>
        <w:pStyle w:val="Heading2"/>
        <w:rPr>
          <w:sz w:val="24"/>
          <w:szCs w:val="28"/>
        </w:rPr>
      </w:pPr>
      <w:r w:rsidRPr="00D12245">
        <w:rPr>
          <w:sz w:val="24"/>
          <w:szCs w:val="28"/>
        </w:rPr>
        <w:t>More about this schedule</w:t>
      </w:r>
    </w:p>
    <w:p w14:paraId="61CED19A" w14:textId="32A47B33" w:rsidR="00E66A89" w:rsidRPr="00140C42" w:rsidRDefault="00D12245" w:rsidP="00140C42">
      <w:pPr>
        <w:numPr>
          <w:ilvl w:val="0"/>
          <w:numId w:val="6"/>
        </w:numPr>
        <w:spacing w:after="0" w:line="240" w:lineRule="auto"/>
        <w:ind w:left="360"/>
        <w:rPr>
          <w:rFonts w:cs="Arial"/>
          <w:b/>
          <w:szCs w:val="24"/>
        </w:rPr>
      </w:pPr>
      <w:r w:rsidRPr="00140C42">
        <w:rPr>
          <w:rFonts w:cs="Arial"/>
          <w:szCs w:val="24"/>
        </w:rPr>
        <w:t xml:space="preserve">Some of the records listed below </w:t>
      </w:r>
      <w:r w:rsidR="00140C42">
        <w:rPr>
          <w:rFonts w:cs="Arial"/>
          <w:szCs w:val="24"/>
        </w:rPr>
        <w:t>may be</w:t>
      </w:r>
      <w:r w:rsidRPr="00140C42">
        <w:rPr>
          <w:rFonts w:cs="Arial"/>
          <w:szCs w:val="24"/>
        </w:rPr>
        <w:t xml:space="preserve"> selected for permanent preservation under the Public Records Act</w:t>
      </w:r>
      <w:r w:rsidRPr="00BA5892">
        <w:rPr>
          <w:rFonts w:cs="Arial"/>
          <w:szCs w:val="24"/>
          <w:vertAlign w:val="superscript"/>
        </w:rPr>
        <w:footnoteReference w:id="2"/>
      </w:r>
      <w:r w:rsidRPr="00140C42">
        <w:rPr>
          <w:rFonts w:cs="Arial"/>
          <w:szCs w:val="24"/>
        </w:rPr>
        <w:t xml:space="preserve"> and are transferred to The National Archives (TNA). To help you to locate any records that have already been transferred, we have included TNA’s classification</w:t>
      </w:r>
      <w:r w:rsidRPr="00BA5892">
        <w:rPr>
          <w:rFonts w:cs="Arial"/>
          <w:szCs w:val="24"/>
          <w:vertAlign w:val="superscript"/>
        </w:rPr>
        <w:footnoteReference w:id="3"/>
      </w:r>
      <w:r w:rsidRPr="00140C42">
        <w:rPr>
          <w:rFonts w:cs="Arial"/>
          <w:szCs w:val="24"/>
        </w:rPr>
        <w:t xml:space="preserve"> of these records.</w:t>
      </w:r>
      <w:r w:rsidRPr="00BA5892">
        <w:rPr>
          <w:vertAlign w:val="superscript"/>
        </w:rPr>
        <w:footnoteReference w:id="4"/>
      </w:r>
      <w:r w:rsidR="00E66A89" w:rsidRPr="00140C42">
        <w:rPr>
          <w:rFonts w:cs="Arial"/>
          <w:szCs w:val="24"/>
        </w:rPr>
        <w:t xml:space="preserve"> </w:t>
      </w:r>
    </w:p>
    <w:p w14:paraId="564BF5D5" w14:textId="445ADE66" w:rsidR="00E66A89" w:rsidRDefault="00E66A89" w:rsidP="00E66A89">
      <w:pPr>
        <w:spacing w:after="0" w:line="240" w:lineRule="auto"/>
        <w:ind w:left="360"/>
        <w:rPr>
          <w:rFonts w:cs="Arial"/>
          <w:szCs w:val="24"/>
        </w:rPr>
      </w:pPr>
    </w:p>
    <w:p w14:paraId="5C1756BB" w14:textId="60D460DB" w:rsidR="00A54C31" w:rsidRPr="00140C42" w:rsidRDefault="00A54C31" w:rsidP="00140C42">
      <w:pPr>
        <w:numPr>
          <w:ilvl w:val="0"/>
          <w:numId w:val="6"/>
        </w:numPr>
        <w:spacing w:after="0" w:line="240" w:lineRule="auto"/>
        <w:ind w:left="360"/>
        <w:rPr>
          <w:rFonts w:cs="Arial"/>
          <w:szCs w:val="24"/>
        </w:rPr>
      </w:pPr>
      <w:bookmarkStart w:id="2" w:name="_Hlk534892179"/>
      <w:r w:rsidRPr="00140C42">
        <w:rPr>
          <w:rFonts w:cs="Arial"/>
          <w:szCs w:val="24"/>
        </w:rPr>
        <w:t>Currently the age of the records being transferred to TNA is reducing from 30 years to 20 years.</w:t>
      </w:r>
      <w:r w:rsidRPr="000E2096">
        <w:rPr>
          <w:vertAlign w:val="superscript"/>
        </w:rPr>
        <w:footnoteReference w:id="5"/>
      </w:r>
      <w:r w:rsidRPr="00140C42">
        <w:rPr>
          <w:rFonts w:cs="Arial"/>
          <w:szCs w:val="24"/>
        </w:rPr>
        <w:t xml:space="preserve">  </w:t>
      </w:r>
    </w:p>
    <w:p w14:paraId="51C9ECAC" w14:textId="22CFFD01" w:rsidR="00A54C31" w:rsidRDefault="00A54C31" w:rsidP="00A54C31">
      <w:pPr>
        <w:spacing w:after="0" w:line="240" w:lineRule="auto"/>
        <w:ind w:left="360"/>
        <w:rPr>
          <w:rFonts w:cs="Arial"/>
          <w:szCs w:val="24"/>
        </w:rPr>
      </w:pPr>
    </w:p>
    <w:p w14:paraId="2029C8C3" w14:textId="77777777" w:rsidR="00140C42" w:rsidRDefault="00140C42" w:rsidP="00A54C31">
      <w:pPr>
        <w:spacing w:after="0" w:line="240" w:lineRule="auto"/>
        <w:ind w:left="360"/>
        <w:rPr>
          <w:rFonts w:cs="Arial"/>
          <w:szCs w:val="24"/>
        </w:rPr>
      </w:pPr>
    </w:p>
    <w:p w14:paraId="4C137650" w14:textId="45EDDDD4" w:rsidR="00E66A89" w:rsidRPr="00140C42" w:rsidRDefault="00A54C31" w:rsidP="00140C42">
      <w:pPr>
        <w:numPr>
          <w:ilvl w:val="0"/>
          <w:numId w:val="6"/>
        </w:numPr>
        <w:spacing w:after="0" w:line="240" w:lineRule="auto"/>
        <w:ind w:left="360"/>
        <w:rPr>
          <w:rFonts w:cs="Arial"/>
          <w:szCs w:val="24"/>
        </w:rPr>
      </w:pPr>
      <w:r w:rsidRPr="00140C42">
        <w:rPr>
          <w:rFonts w:cs="Arial"/>
          <w:szCs w:val="24"/>
        </w:rPr>
        <w:lastRenderedPageBreak/>
        <w:t>The DRO’s team selects records for permanent preservation and transfer to TNA in line with the following process:</w:t>
      </w:r>
    </w:p>
    <w:p w14:paraId="21AEADA3" w14:textId="77777777" w:rsidR="00E66A89" w:rsidRPr="00E66A89" w:rsidRDefault="00E66A89" w:rsidP="00E66A89">
      <w:pPr>
        <w:spacing w:after="0" w:line="240" w:lineRule="auto"/>
        <w:ind w:left="360"/>
        <w:rPr>
          <w:rFonts w:cs="Arial"/>
          <w:szCs w:val="24"/>
        </w:rPr>
      </w:pPr>
    </w:p>
    <w:p w14:paraId="3EFBA7BA" w14:textId="0280FFBF" w:rsidR="00A54C31" w:rsidRPr="00A54C31" w:rsidRDefault="00A54C31" w:rsidP="00A54C31">
      <w:pPr>
        <w:pStyle w:val="ListParagraph"/>
        <w:numPr>
          <w:ilvl w:val="1"/>
          <w:numId w:val="6"/>
        </w:numPr>
        <w:rPr>
          <w:rFonts w:cs="Arial"/>
          <w:sz w:val="24"/>
          <w:szCs w:val="24"/>
        </w:rPr>
      </w:pPr>
      <w:r w:rsidRPr="00A54C31">
        <w:rPr>
          <w:rFonts w:cs="Arial"/>
          <w:sz w:val="24"/>
          <w:szCs w:val="24"/>
        </w:rPr>
        <w:t xml:space="preserve">Records are reviewed by the DRO’s team, following criteria set out in Annex A of TNA’s </w:t>
      </w:r>
      <w:r w:rsidRPr="00A54C31">
        <w:rPr>
          <w:rFonts w:cs="Arial"/>
          <w:i/>
          <w:sz w:val="24"/>
          <w:szCs w:val="24"/>
        </w:rPr>
        <w:t>Best practice guide to appraising and selecting records for The National Archives</w:t>
      </w:r>
      <w:r w:rsidRPr="00D05E38">
        <w:rPr>
          <w:rStyle w:val="FootnoteReference"/>
          <w:rFonts w:cs="Arial"/>
          <w:sz w:val="24"/>
          <w:szCs w:val="24"/>
        </w:rPr>
        <w:footnoteReference w:id="6"/>
      </w:r>
      <w:r w:rsidRPr="00A54C31">
        <w:rPr>
          <w:rFonts w:cs="Arial"/>
          <w:sz w:val="24"/>
          <w:szCs w:val="24"/>
        </w:rPr>
        <w:t>.</w:t>
      </w:r>
    </w:p>
    <w:p w14:paraId="628286CE" w14:textId="77777777" w:rsidR="00A54C31" w:rsidRPr="00A54C31" w:rsidRDefault="00A54C31" w:rsidP="00A54C31">
      <w:pPr>
        <w:pStyle w:val="ListParagraph"/>
        <w:numPr>
          <w:ilvl w:val="1"/>
          <w:numId w:val="6"/>
        </w:numPr>
        <w:spacing w:after="0"/>
        <w:rPr>
          <w:rFonts w:cs="Arial"/>
          <w:sz w:val="24"/>
          <w:szCs w:val="24"/>
        </w:rPr>
      </w:pPr>
      <w:r w:rsidRPr="00A54C31">
        <w:rPr>
          <w:rFonts w:cs="Arial"/>
          <w:sz w:val="24"/>
          <w:szCs w:val="24"/>
        </w:rPr>
        <w:t xml:space="preserve">Where records meet the criteria, they are prepared and then transferred to TNA. </w:t>
      </w:r>
    </w:p>
    <w:p w14:paraId="447A7416" w14:textId="77777777" w:rsidR="00A54C31" w:rsidRPr="00A54C31" w:rsidRDefault="00A54C31" w:rsidP="00A54C31">
      <w:pPr>
        <w:pStyle w:val="ListParagraph"/>
        <w:numPr>
          <w:ilvl w:val="1"/>
          <w:numId w:val="6"/>
        </w:numPr>
        <w:spacing w:after="0"/>
        <w:rPr>
          <w:rFonts w:cs="Arial"/>
          <w:sz w:val="24"/>
          <w:szCs w:val="24"/>
        </w:rPr>
      </w:pPr>
      <w:r w:rsidRPr="00A54C31">
        <w:rPr>
          <w:rFonts w:cs="Arial"/>
          <w:sz w:val="24"/>
          <w:szCs w:val="24"/>
        </w:rPr>
        <w:t>Where records do not meet the criteria, they are destroyed.</w:t>
      </w:r>
    </w:p>
    <w:p w14:paraId="202D5593" w14:textId="30E22DFB" w:rsidR="00E66A89" w:rsidRPr="00A54C31" w:rsidRDefault="00A54C31" w:rsidP="00E66A89">
      <w:pPr>
        <w:pStyle w:val="ListParagraph"/>
        <w:numPr>
          <w:ilvl w:val="1"/>
          <w:numId w:val="6"/>
        </w:numPr>
        <w:spacing w:after="0"/>
        <w:rPr>
          <w:rFonts w:cs="Arial"/>
          <w:sz w:val="24"/>
          <w:szCs w:val="24"/>
        </w:rPr>
      </w:pPr>
      <w:r w:rsidRPr="00A54C31">
        <w:rPr>
          <w:rFonts w:cs="Arial"/>
          <w:sz w:val="24"/>
          <w:szCs w:val="24"/>
        </w:rPr>
        <w:t>The DRO makes the final decision about what is/is not transferred to TNA</w:t>
      </w:r>
      <w:r w:rsidR="00E66A89" w:rsidRPr="00A54C31">
        <w:rPr>
          <w:rFonts w:cs="Arial"/>
          <w:sz w:val="24"/>
          <w:szCs w:val="24"/>
        </w:rPr>
        <w:t>.</w:t>
      </w:r>
    </w:p>
    <w:bookmarkEnd w:id="2"/>
    <w:p w14:paraId="063898CF" w14:textId="77777777" w:rsidR="00E66A89" w:rsidRPr="00E66A89" w:rsidRDefault="00E66A89" w:rsidP="00E66A89">
      <w:pPr>
        <w:spacing w:after="0" w:line="240" w:lineRule="auto"/>
        <w:ind w:left="360"/>
        <w:rPr>
          <w:rFonts w:cs="Arial"/>
          <w:color w:val="0000CC"/>
          <w:szCs w:val="24"/>
        </w:rPr>
      </w:pPr>
    </w:p>
    <w:bookmarkEnd w:id="1"/>
    <w:p w14:paraId="444AFDB6"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This schedule is split into </w:t>
      </w:r>
      <w:r w:rsidRPr="00EA79F8">
        <w:rPr>
          <w:rFonts w:cs="Arial"/>
          <w:szCs w:val="24"/>
        </w:rPr>
        <w:t>two</w:t>
      </w:r>
      <w:r w:rsidRPr="00E66A89">
        <w:rPr>
          <w:rFonts w:cs="Arial"/>
          <w:color w:val="FF0000"/>
          <w:szCs w:val="24"/>
        </w:rPr>
        <w:t xml:space="preserve"> </w:t>
      </w:r>
      <w:r w:rsidRPr="00E66A89">
        <w:rPr>
          <w:rFonts w:cs="Arial"/>
          <w:szCs w:val="24"/>
        </w:rPr>
        <w:t>sections:</w:t>
      </w:r>
    </w:p>
    <w:p w14:paraId="0BF41805" w14:textId="77777777" w:rsidR="00E66A89" w:rsidRPr="00E66A89" w:rsidRDefault="00E66A89" w:rsidP="00E66A89">
      <w:pPr>
        <w:spacing w:after="0" w:line="240" w:lineRule="auto"/>
        <w:ind w:left="360"/>
        <w:rPr>
          <w:rFonts w:cs="Arial"/>
          <w:szCs w:val="24"/>
        </w:rPr>
      </w:pPr>
    </w:p>
    <w:p w14:paraId="2E4A36AF" w14:textId="1B2AF01E" w:rsidR="00E66A89" w:rsidRPr="00E66A89" w:rsidRDefault="00E66A89" w:rsidP="00EA79F8">
      <w:pPr>
        <w:numPr>
          <w:ilvl w:val="1"/>
          <w:numId w:val="6"/>
        </w:numPr>
        <w:spacing w:after="0" w:line="240" w:lineRule="auto"/>
        <w:rPr>
          <w:rFonts w:cs="Arial"/>
          <w:szCs w:val="24"/>
        </w:rPr>
      </w:pPr>
      <w:r w:rsidRPr="00E66A89">
        <w:rPr>
          <w:rFonts w:cs="Arial"/>
          <w:szCs w:val="24"/>
        </w:rPr>
        <w:t>Records unique to</w:t>
      </w:r>
      <w:r w:rsidR="00EA79F8">
        <w:rPr>
          <w:rFonts w:cs="Arial"/>
          <w:szCs w:val="24"/>
        </w:rPr>
        <w:t xml:space="preserve"> the</w:t>
      </w:r>
      <w:r w:rsidR="00EA79F8" w:rsidRPr="00EA79F8">
        <w:t xml:space="preserve"> </w:t>
      </w:r>
      <w:r w:rsidR="00EA79F8" w:rsidRPr="00EA79F8">
        <w:rPr>
          <w:rFonts w:cs="Arial"/>
          <w:szCs w:val="24"/>
        </w:rPr>
        <w:t>Sentencing Council</w:t>
      </w:r>
    </w:p>
    <w:p w14:paraId="70209A42" w14:textId="77777777" w:rsidR="00E66A89" w:rsidRPr="00E66A89" w:rsidRDefault="00E66A89" w:rsidP="00E66A89">
      <w:pPr>
        <w:numPr>
          <w:ilvl w:val="1"/>
          <w:numId w:val="6"/>
        </w:numPr>
        <w:spacing w:after="0" w:line="240" w:lineRule="auto"/>
        <w:rPr>
          <w:rFonts w:cs="Arial"/>
          <w:szCs w:val="24"/>
        </w:rPr>
      </w:pPr>
      <w:r w:rsidRPr="00E66A89">
        <w:rPr>
          <w:rFonts w:cs="Arial"/>
          <w:szCs w:val="24"/>
        </w:rPr>
        <w:t>Records held by various teams within the MoJ and its associated bodies and where a common retention and disposition policy is applied.</w:t>
      </w:r>
    </w:p>
    <w:p w14:paraId="2DCAC925" w14:textId="77777777" w:rsidR="00E66A89" w:rsidRPr="00E66A89" w:rsidRDefault="00E66A89" w:rsidP="00E66A89">
      <w:pPr>
        <w:spacing w:after="0" w:line="240" w:lineRule="auto"/>
        <w:ind w:left="1080"/>
        <w:rPr>
          <w:rFonts w:cs="Arial"/>
          <w:szCs w:val="24"/>
        </w:rPr>
      </w:pPr>
    </w:p>
    <w:p w14:paraId="57934AF6" w14:textId="5AFDA6F9" w:rsidR="00E66A89" w:rsidRPr="00A54C31" w:rsidRDefault="00A54C31" w:rsidP="00A54C31">
      <w:pPr>
        <w:numPr>
          <w:ilvl w:val="0"/>
          <w:numId w:val="6"/>
        </w:numPr>
        <w:spacing w:after="0" w:line="240" w:lineRule="auto"/>
        <w:ind w:left="360"/>
        <w:rPr>
          <w:rFonts w:cs="Arial"/>
          <w:szCs w:val="24"/>
        </w:rPr>
      </w:pPr>
      <w:bookmarkStart w:id="3" w:name="_Hlk514928352"/>
      <w:bookmarkStart w:id="4" w:name="_Hlk514928334"/>
      <w:r w:rsidRPr="00A54C31">
        <w:rPr>
          <w:rFonts w:cs="Arial"/>
          <w:szCs w:val="24"/>
        </w:rPr>
        <w:t xml:space="preserve">If a Freedom of Information Act 2000 request or a subject access request under the General Data Protection Regulation and Data Protection Act 2018 is received, a hold must be put on the relevant records for at least </w:t>
      </w:r>
      <w:r w:rsidRPr="00A54C31">
        <w:rPr>
          <w:rFonts w:cs="Arial"/>
          <w:b/>
          <w:szCs w:val="24"/>
        </w:rPr>
        <w:t>three months</w:t>
      </w:r>
      <w:r w:rsidRPr="00A54C31">
        <w:rPr>
          <w:rFonts w:cs="Arial"/>
          <w:szCs w:val="24"/>
        </w:rPr>
        <w:t xml:space="preserve"> after the request is resolved.</w:t>
      </w:r>
      <w:r w:rsidRPr="00A54C31">
        <w:rPr>
          <w:vertAlign w:val="superscript"/>
        </w:rPr>
        <w:footnoteReference w:id="7"/>
      </w:r>
    </w:p>
    <w:p w14:paraId="48AF93E3" w14:textId="77777777" w:rsidR="00E66A89" w:rsidRPr="00E66A89" w:rsidRDefault="00E66A89" w:rsidP="00E66A89">
      <w:pPr>
        <w:spacing w:after="0" w:line="240" w:lineRule="auto"/>
        <w:ind w:left="360"/>
        <w:rPr>
          <w:rFonts w:cs="Arial"/>
          <w:szCs w:val="24"/>
        </w:rPr>
      </w:pPr>
    </w:p>
    <w:p w14:paraId="12C9411C" w14:textId="3BDB53E5" w:rsidR="00E66A89" w:rsidRPr="00E66A89" w:rsidRDefault="00E66A89" w:rsidP="00A54C31">
      <w:pPr>
        <w:numPr>
          <w:ilvl w:val="0"/>
          <w:numId w:val="6"/>
        </w:numPr>
        <w:spacing w:after="0" w:line="240" w:lineRule="auto"/>
        <w:ind w:left="360"/>
        <w:rPr>
          <w:rFonts w:cs="Arial"/>
          <w:szCs w:val="24"/>
        </w:rPr>
      </w:pPr>
      <w:r w:rsidRPr="00E66A89">
        <w:rPr>
          <w:rFonts w:cs="Arial"/>
          <w:szCs w:val="24"/>
        </w:rPr>
        <w:t xml:space="preserve">While the Independent Inquiry into Child Sexual Abuse (IICSA) </w:t>
      </w:r>
      <w:r w:rsidR="00A54C31" w:rsidRPr="00A54C31">
        <w:rPr>
          <w:rFonts w:cs="Arial"/>
          <w:szCs w:val="24"/>
        </w:rPr>
        <w:t>continues its investigations, the moratorium on the destruction of records of potential interest remains in place. All government departments and their associated bodies (in common with other public sector bodies) are required to comply with the moratorium. All business areas should apply the moratorium to any records covered by the following criteria:</w:t>
      </w:r>
    </w:p>
    <w:bookmarkEnd w:id="3"/>
    <w:p w14:paraId="4DD39A40" w14:textId="77777777" w:rsidR="00E66A89" w:rsidRPr="00E66A89" w:rsidRDefault="00E66A89" w:rsidP="00E66A89">
      <w:pPr>
        <w:spacing w:after="0" w:line="240" w:lineRule="auto"/>
        <w:ind w:left="1440"/>
        <w:rPr>
          <w:rFonts w:cs="Arial"/>
          <w:szCs w:val="24"/>
        </w:rPr>
      </w:pPr>
    </w:p>
    <w:p w14:paraId="49D1633D" w14:textId="77777777" w:rsidR="00E66A89" w:rsidRPr="00E66A89" w:rsidRDefault="00E66A89" w:rsidP="00E66A89">
      <w:pPr>
        <w:numPr>
          <w:ilvl w:val="1"/>
          <w:numId w:val="6"/>
        </w:numPr>
        <w:spacing w:after="0" w:line="240" w:lineRule="auto"/>
        <w:rPr>
          <w:rFonts w:cs="Arial"/>
          <w:szCs w:val="24"/>
        </w:rPr>
      </w:pPr>
      <w:r w:rsidRPr="00E66A89">
        <w:rPr>
          <w:rFonts w:cs="Arial"/>
          <w:szCs w:val="24"/>
        </w:rPr>
        <w:t>documents which contain or may contain content pertaining directly or indirectly to the sexual abuse</w:t>
      </w:r>
      <w:r w:rsidRPr="00E66A89">
        <w:rPr>
          <w:rFonts w:cs="Arial"/>
          <w:color w:val="000000"/>
          <w:szCs w:val="24"/>
        </w:rPr>
        <w:t xml:space="preserve"> of children or to child protection and care</w:t>
      </w:r>
    </w:p>
    <w:bookmarkEnd w:id="4"/>
    <w:p w14:paraId="00D8FAC6" w14:textId="77777777" w:rsidR="00E66A89" w:rsidRPr="00E66A89" w:rsidRDefault="00E66A89" w:rsidP="00E66A89">
      <w:pPr>
        <w:numPr>
          <w:ilvl w:val="1"/>
          <w:numId w:val="6"/>
        </w:numPr>
        <w:spacing w:after="0" w:line="240" w:lineRule="auto"/>
        <w:rPr>
          <w:rFonts w:cs="Arial"/>
          <w:szCs w:val="24"/>
        </w:rPr>
      </w:pPr>
      <w:r w:rsidRPr="00E66A89">
        <w:rPr>
          <w:rFonts w:cs="Arial"/>
          <w:szCs w:val="24"/>
        </w:rPr>
        <w:t xml:space="preserve">the document types include, but are not limited to, correspondence, notes, emails, and case files, regardless of the format in which they are stored (digital, paper, CDs, etc) </w:t>
      </w:r>
    </w:p>
    <w:p w14:paraId="1F1928B7"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for the purposes of this instruction, the word “children” relates to any person under the age of 18</w:t>
      </w:r>
    </w:p>
    <w:p w14:paraId="233BC375"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 xml:space="preserve">further information about the moratorium is available on IICSA’s website at: </w:t>
      </w:r>
      <w:hyperlink r:id="rId12" w:history="1">
        <w:r w:rsidRPr="00E66A89">
          <w:rPr>
            <w:rStyle w:val="Hyperlink"/>
            <w:rFonts w:cs="Arial"/>
            <w:color w:val="0000CC"/>
            <w:szCs w:val="24"/>
          </w:rPr>
          <w:t>https://www.iicsa.org.uk/news/chair-of-the-inquiry-issues-guidance-on-destruction-of-documents</w:t>
        </w:r>
      </w:hyperlink>
      <w:r w:rsidRPr="00E66A89">
        <w:rPr>
          <w:rFonts w:cs="Arial"/>
          <w:color w:val="000000"/>
          <w:szCs w:val="24"/>
        </w:rPr>
        <w:t>.</w:t>
      </w:r>
    </w:p>
    <w:p w14:paraId="46C62FB7" w14:textId="77777777" w:rsidR="00E66A89" w:rsidRPr="00E66A89" w:rsidRDefault="00E66A89" w:rsidP="00E66A89">
      <w:pPr>
        <w:spacing w:after="0" w:line="240" w:lineRule="auto"/>
        <w:ind w:left="360"/>
        <w:rPr>
          <w:rFonts w:cs="Arial"/>
          <w:szCs w:val="24"/>
        </w:rPr>
      </w:pPr>
    </w:p>
    <w:p w14:paraId="1D8DC92E" w14:textId="5479F08A" w:rsidR="00870492" w:rsidRDefault="00E66A89" w:rsidP="00E66A89">
      <w:pPr>
        <w:numPr>
          <w:ilvl w:val="0"/>
          <w:numId w:val="6"/>
        </w:numPr>
        <w:spacing w:after="0" w:line="240" w:lineRule="auto"/>
        <w:ind w:left="360"/>
      </w:pPr>
      <w:r w:rsidRPr="00E8771F">
        <w:rPr>
          <w:rFonts w:cs="Arial"/>
          <w:szCs w:val="24"/>
        </w:rPr>
        <w:t xml:space="preserve">As part of its commitment to transparency, this schedule will be published on the MoJ’s webpage: </w:t>
      </w:r>
      <w:hyperlink r:id="rId13" w:history="1">
        <w:r w:rsidRPr="00E8771F">
          <w:rPr>
            <w:rStyle w:val="Hyperlink"/>
            <w:rFonts w:cs="Arial"/>
            <w:color w:val="0000CC"/>
            <w:szCs w:val="24"/>
          </w:rPr>
          <w:t>https://www.gov.uk/government/publications/record-retention-and-disposition-schedules</w:t>
        </w:r>
      </w:hyperlink>
      <w:r w:rsidRPr="00E8771F">
        <w:rPr>
          <w:rStyle w:val="Hyperlink"/>
          <w:rFonts w:cs="Arial"/>
          <w:szCs w:val="24"/>
        </w:rPr>
        <w:t>.</w:t>
      </w:r>
    </w:p>
    <w:p w14:paraId="6FAB8EBB" w14:textId="27105A88" w:rsidR="00B36080" w:rsidRDefault="00B36080" w:rsidP="00E66A89">
      <w:pPr>
        <w:pStyle w:val="Heading2"/>
      </w:pPr>
    </w:p>
    <w:p w14:paraId="396DECDF" w14:textId="77777777" w:rsidR="00BF70F8" w:rsidRPr="00BF70F8" w:rsidRDefault="00BF70F8" w:rsidP="00BF70F8">
      <w:pPr>
        <w:pStyle w:val="BodyText"/>
      </w:pPr>
    </w:p>
    <w:p w14:paraId="1E4DEFEB" w14:textId="7EC2E5E1" w:rsidR="00E66A89" w:rsidRPr="00E66A89" w:rsidRDefault="00E66A89" w:rsidP="00E66A89">
      <w:pPr>
        <w:pStyle w:val="Heading2"/>
      </w:pPr>
      <w:r w:rsidRPr="00E66A89">
        <w:lastRenderedPageBreak/>
        <w:t xml:space="preserve">The schedule </w:t>
      </w:r>
    </w:p>
    <w:tbl>
      <w:tblPr>
        <w:tblStyle w:val="TableGrid"/>
        <w:tblW w:w="10001" w:type="dxa"/>
        <w:tblLook w:val="04A0" w:firstRow="1" w:lastRow="0" w:firstColumn="1" w:lastColumn="0" w:noHBand="0" w:noVBand="1"/>
      </w:tblPr>
      <w:tblGrid>
        <w:gridCol w:w="814"/>
        <w:gridCol w:w="3738"/>
        <w:gridCol w:w="1699"/>
        <w:gridCol w:w="3750"/>
      </w:tblGrid>
      <w:tr w:rsidR="00E66A89" w:rsidRPr="00E66A89" w14:paraId="4F4FD58D" w14:textId="77777777" w:rsidTr="00A865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4" w:type="dxa"/>
            <w:vAlign w:val="center"/>
          </w:tcPr>
          <w:p w14:paraId="4C856EB7" w14:textId="77777777" w:rsidR="00E66A89" w:rsidRPr="00E66A89" w:rsidRDefault="00E66A89" w:rsidP="00B46079">
            <w:pPr>
              <w:pStyle w:val="Text"/>
              <w:spacing w:after="0"/>
              <w:jc w:val="center"/>
            </w:pPr>
            <w:r w:rsidRPr="00E66A89">
              <w:rPr>
                <w:sz w:val="24"/>
              </w:rPr>
              <w:t>No.</w:t>
            </w:r>
          </w:p>
        </w:tc>
        <w:tc>
          <w:tcPr>
            <w:tcW w:w="3738" w:type="dxa"/>
            <w:vAlign w:val="center"/>
          </w:tcPr>
          <w:p w14:paraId="35F53AF9" w14:textId="77777777" w:rsidR="00E66A89" w:rsidRPr="00E66A89" w:rsidRDefault="00E66A89" w:rsidP="00B46079">
            <w:pPr>
              <w:pStyle w:val="Text"/>
              <w:spacing w:after="0"/>
              <w:jc w:val="center"/>
              <w:cnfStyle w:val="100000000000" w:firstRow="1" w:lastRow="0" w:firstColumn="0" w:lastColumn="0" w:oddVBand="0" w:evenVBand="0" w:oddHBand="0" w:evenHBand="0" w:firstRowFirstColumn="0" w:firstRowLastColumn="0" w:lastRowFirstColumn="0" w:lastRowLastColumn="0"/>
            </w:pPr>
            <w:r w:rsidRPr="00E66A89">
              <w:rPr>
                <w:rFonts w:cs="Arial"/>
                <w:sz w:val="24"/>
              </w:rPr>
              <w:t>Record type</w:t>
            </w:r>
          </w:p>
        </w:tc>
        <w:tc>
          <w:tcPr>
            <w:tcW w:w="1699" w:type="dxa"/>
            <w:vAlign w:val="center"/>
          </w:tcPr>
          <w:p w14:paraId="1BE429CB" w14:textId="77777777" w:rsidR="00E66A89" w:rsidRPr="00E66A89" w:rsidRDefault="00E66A89" w:rsidP="00CC0F7B">
            <w:pPr>
              <w:pStyle w:val="Text"/>
              <w:spacing w:after="0"/>
              <w:jc w:val="center"/>
              <w:cnfStyle w:val="100000000000" w:firstRow="1" w:lastRow="0" w:firstColumn="0" w:lastColumn="0" w:oddVBand="0" w:evenVBand="0" w:oddHBand="0" w:evenHBand="0" w:firstRowFirstColumn="0" w:firstRowLastColumn="0" w:lastRowFirstColumn="0" w:lastRowLastColumn="0"/>
              <w:rPr>
                <w:rFonts w:cs="Arial"/>
                <w:sz w:val="24"/>
              </w:rPr>
            </w:pPr>
            <w:r w:rsidRPr="00E66A89">
              <w:rPr>
                <w:rFonts w:cs="Arial"/>
                <w:sz w:val="24"/>
              </w:rPr>
              <w:t>TNA Classification</w:t>
            </w:r>
          </w:p>
        </w:tc>
        <w:tc>
          <w:tcPr>
            <w:tcW w:w="3750" w:type="dxa"/>
            <w:vAlign w:val="center"/>
          </w:tcPr>
          <w:p w14:paraId="1B24013A" w14:textId="77777777" w:rsidR="00E66A89" w:rsidRPr="00E66A89" w:rsidRDefault="00E66A89" w:rsidP="00B46079">
            <w:pPr>
              <w:pStyle w:val="Text"/>
              <w:spacing w:after="0"/>
              <w:jc w:val="center"/>
              <w:cnfStyle w:val="100000000000" w:firstRow="1" w:lastRow="0" w:firstColumn="0" w:lastColumn="0" w:oddVBand="0" w:evenVBand="0" w:oddHBand="0" w:evenHBand="0" w:firstRowFirstColumn="0" w:firstRowLastColumn="0" w:lastRowFirstColumn="0" w:lastRowLastColumn="0"/>
            </w:pPr>
            <w:r w:rsidRPr="00E66A89">
              <w:rPr>
                <w:rFonts w:cs="Arial"/>
                <w:sz w:val="24"/>
              </w:rPr>
              <w:t>Retention and disposition</w:t>
            </w:r>
          </w:p>
        </w:tc>
      </w:tr>
      <w:tr w:rsidR="00E66A89" w:rsidRPr="00E66A89" w14:paraId="78914583" w14:textId="77777777" w:rsidTr="00BF70F8">
        <w:tc>
          <w:tcPr>
            <w:cnfStyle w:val="001000000000" w:firstRow="0" w:lastRow="0" w:firstColumn="1" w:lastColumn="0" w:oddVBand="0" w:evenVBand="0" w:oddHBand="0" w:evenHBand="0" w:firstRowFirstColumn="0" w:firstRowLastColumn="0" w:lastRowFirstColumn="0" w:lastRowLastColumn="0"/>
            <w:tcW w:w="10001" w:type="dxa"/>
            <w:gridSpan w:val="4"/>
            <w:vAlign w:val="center"/>
          </w:tcPr>
          <w:p w14:paraId="44C06700" w14:textId="77777777" w:rsidR="00E66A89" w:rsidRPr="001C4F63" w:rsidRDefault="00E66A89" w:rsidP="00CC0F7B">
            <w:pPr>
              <w:pStyle w:val="Text"/>
              <w:spacing w:after="0"/>
              <w:jc w:val="center"/>
              <w:rPr>
                <w:rFonts w:asciiTheme="minorHAnsi" w:hAnsiTheme="minorHAnsi" w:cstheme="minorHAnsi"/>
                <w:sz w:val="24"/>
              </w:rPr>
            </w:pPr>
          </w:p>
          <w:p w14:paraId="243C509B" w14:textId="7E5B1F5F" w:rsidR="00E66A89" w:rsidRPr="001C4F63" w:rsidRDefault="00E66A89" w:rsidP="00CC0F7B">
            <w:pPr>
              <w:pStyle w:val="Text"/>
              <w:spacing w:after="0"/>
              <w:jc w:val="center"/>
              <w:rPr>
                <w:rFonts w:asciiTheme="minorHAnsi" w:hAnsiTheme="minorHAnsi" w:cstheme="minorHAnsi"/>
                <w:sz w:val="24"/>
              </w:rPr>
            </w:pPr>
            <w:r w:rsidRPr="001C4F63">
              <w:rPr>
                <w:rFonts w:asciiTheme="minorHAnsi" w:hAnsiTheme="minorHAnsi" w:cstheme="minorHAnsi"/>
                <w:sz w:val="24"/>
              </w:rPr>
              <w:t>1. Unique records held by</w:t>
            </w:r>
            <w:r w:rsidR="00CC0F7B">
              <w:t xml:space="preserve"> the </w:t>
            </w:r>
            <w:r w:rsidR="00CC0F7B" w:rsidRPr="00CC0F7B">
              <w:rPr>
                <w:rFonts w:asciiTheme="minorHAnsi" w:hAnsiTheme="minorHAnsi" w:cstheme="minorHAnsi"/>
                <w:sz w:val="24"/>
              </w:rPr>
              <w:t>Sentencing Council</w:t>
            </w:r>
          </w:p>
          <w:p w14:paraId="38ED0979" w14:textId="77777777" w:rsidR="00E66A89" w:rsidRPr="001C4F63" w:rsidRDefault="00E66A89" w:rsidP="00CC0F7B">
            <w:pPr>
              <w:pStyle w:val="Text"/>
              <w:spacing w:after="0"/>
              <w:jc w:val="center"/>
              <w:rPr>
                <w:rFonts w:asciiTheme="minorHAnsi" w:hAnsiTheme="minorHAnsi" w:cstheme="minorHAnsi"/>
              </w:rPr>
            </w:pPr>
          </w:p>
        </w:tc>
      </w:tr>
      <w:tr w:rsidR="00E66A89" w14:paraId="40CFF310" w14:textId="77777777" w:rsidTr="00A865BB">
        <w:trPr>
          <w:trHeight w:val="50"/>
        </w:trPr>
        <w:tc>
          <w:tcPr>
            <w:cnfStyle w:val="001000000000" w:firstRow="0" w:lastRow="0" w:firstColumn="1" w:lastColumn="0" w:oddVBand="0" w:evenVBand="0" w:oddHBand="0" w:evenHBand="0" w:firstRowFirstColumn="0" w:firstRowLastColumn="0" w:lastRowFirstColumn="0" w:lastRowLastColumn="0"/>
            <w:tcW w:w="814" w:type="dxa"/>
            <w:vAlign w:val="center"/>
          </w:tcPr>
          <w:p w14:paraId="7824BBA1" w14:textId="77777777" w:rsidR="00E66A89" w:rsidRPr="001C4F63" w:rsidRDefault="00E66A89" w:rsidP="001C4F63">
            <w:pPr>
              <w:pStyle w:val="Text"/>
              <w:numPr>
                <w:ilvl w:val="0"/>
                <w:numId w:val="7"/>
              </w:numPr>
              <w:spacing w:after="0"/>
              <w:rPr>
                <w:rFonts w:asciiTheme="minorHAnsi" w:hAnsiTheme="minorHAnsi" w:cstheme="minorHAnsi"/>
              </w:rPr>
            </w:pPr>
          </w:p>
        </w:tc>
        <w:tc>
          <w:tcPr>
            <w:tcW w:w="3738" w:type="dxa"/>
            <w:vAlign w:val="center"/>
          </w:tcPr>
          <w:p w14:paraId="0C96BEF3" w14:textId="77777777" w:rsidR="00E66A89" w:rsidRPr="00A865BB" w:rsidRDefault="00E66A8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58865584" w14:textId="467883F0" w:rsidR="00CC0F7B" w:rsidRDefault="00CC0F7B"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0F7B">
              <w:rPr>
                <w:rFonts w:asciiTheme="minorHAnsi" w:hAnsiTheme="minorHAnsi" w:cstheme="minorHAnsi"/>
              </w:rPr>
              <w:t>Members – papers relating to appointments of members to the Sentencing Council</w:t>
            </w:r>
          </w:p>
          <w:p w14:paraId="186A7837" w14:textId="77777777" w:rsidR="00CC0F7B" w:rsidRDefault="00CC0F7B"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A93E185" w14:textId="77777777" w:rsid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 </w:t>
            </w:r>
            <w:r w:rsidRPr="00FA5D29">
              <w:rPr>
                <w:rFonts w:cs="Arial"/>
                <w:color w:val="000000"/>
              </w:rPr>
              <w:t>Successful applicants</w:t>
            </w:r>
          </w:p>
          <w:p w14:paraId="55C1C201" w14:textId="428F015A" w:rsidR="00CC0F7B" w:rsidRPr="00CC0F7B" w:rsidRDefault="00CC0F7B" w:rsidP="001C4F63">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b) </w:t>
            </w:r>
            <w:r w:rsidRPr="00FA5D29">
              <w:rPr>
                <w:rFonts w:cs="Arial"/>
                <w:color w:val="000000"/>
              </w:rPr>
              <w:t>Unsuccessful applicants</w:t>
            </w:r>
          </w:p>
          <w:p w14:paraId="343F183C" w14:textId="3F9F2CCC" w:rsidR="00CC0F7B" w:rsidRPr="00A865BB" w:rsidRDefault="00CC0F7B"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73917C4D" w14:textId="77777777" w:rsidR="00E66A89" w:rsidRPr="001C4F63" w:rsidRDefault="00E66A89"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08864524" w14:textId="77777777" w:rsidR="00CC0F7B" w:rsidRPr="00A865B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71B564B1" w14:textId="28B6D140" w:rsidR="00CC0F7B" w:rsidRP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0F7B">
              <w:rPr>
                <w:rFonts w:asciiTheme="minorHAnsi" w:hAnsiTheme="minorHAnsi" w:cstheme="minorHAnsi"/>
              </w:rPr>
              <w:t xml:space="preserve">a) Keep for </w:t>
            </w:r>
            <w:r w:rsidRPr="00CC0F7B">
              <w:rPr>
                <w:rFonts w:asciiTheme="minorHAnsi" w:hAnsiTheme="minorHAnsi" w:cstheme="minorHAnsi"/>
                <w:b/>
              </w:rPr>
              <w:t>three years</w:t>
            </w:r>
            <w:r w:rsidRPr="00CC0F7B">
              <w:rPr>
                <w:rFonts w:asciiTheme="minorHAnsi" w:hAnsiTheme="minorHAnsi" w:cstheme="minorHAnsi"/>
              </w:rPr>
              <w:t xml:space="preserve"> after the appointment ends and then destroy</w:t>
            </w:r>
          </w:p>
          <w:p w14:paraId="56E4DC3A" w14:textId="77777777" w:rsidR="00CC0F7B" w:rsidRP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2AA1B89" w14:textId="12778377" w:rsid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0F7B">
              <w:rPr>
                <w:rFonts w:asciiTheme="minorHAnsi" w:hAnsiTheme="minorHAnsi" w:cstheme="minorHAnsi"/>
              </w:rPr>
              <w:t xml:space="preserve">b) Keep for </w:t>
            </w:r>
            <w:r w:rsidRPr="00CC0F7B">
              <w:rPr>
                <w:rFonts w:asciiTheme="minorHAnsi" w:hAnsiTheme="minorHAnsi" w:cstheme="minorHAnsi"/>
                <w:b/>
              </w:rPr>
              <w:t>two years</w:t>
            </w:r>
            <w:r w:rsidRPr="00CC0F7B">
              <w:rPr>
                <w:rFonts w:asciiTheme="minorHAnsi" w:hAnsiTheme="minorHAnsi" w:cstheme="minorHAnsi"/>
              </w:rPr>
              <w:t xml:space="preserve"> from the end date of the recruitment campaign and then destroy</w:t>
            </w:r>
            <w:r>
              <w:rPr>
                <w:rStyle w:val="FootnoteReference"/>
              </w:rPr>
              <w:footnoteReference w:id="8"/>
            </w:r>
            <w:r w:rsidRPr="00CC0F7B">
              <w:rPr>
                <w:rFonts w:asciiTheme="minorHAnsi" w:hAnsiTheme="minorHAnsi" w:cstheme="minorHAnsi"/>
              </w:rPr>
              <w:t xml:space="preserve"> </w:t>
            </w:r>
          </w:p>
          <w:p w14:paraId="2F5A9341" w14:textId="48963940" w:rsidR="00E66A89" w:rsidRPr="00A865BB" w:rsidRDefault="00E66A89"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r>
      <w:tr w:rsidR="00E66A89" w14:paraId="06E7FC9F"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04AC8D79" w14:textId="77777777" w:rsidR="00E66A89" w:rsidRPr="001C4F63" w:rsidRDefault="00E66A89" w:rsidP="001C4F63">
            <w:pPr>
              <w:pStyle w:val="Text"/>
              <w:numPr>
                <w:ilvl w:val="0"/>
                <w:numId w:val="7"/>
              </w:numPr>
              <w:spacing w:after="0"/>
              <w:rPr>
                <w:rFonts w:asciiTheme="minorHAnsi" w:hAnsiTheme="minorHAnsi" w:cstheme="minorHAnsi"/>
              </w:rPr>
            </w:pPr>
          </w:p>
        </w:tc>
        <w:tc>
          <w:tcPr>
            <w:tcW w:w="3738" w:type="dxa"/>
            <w:vAlign w:val="center"/>
          </w:tcPr>
          <w:p w14:paraId="76FB1F4B" w14:textId="77777777" w:rsidR="00E66A89" w:rsidRPr="00A865BB" w:rsidRDefault="00E66A8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725E4065" w14:textId="2AEB6925" w:rsidR="00CC0F7B" w:rsidRP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0F7B">
              <w:rPr>
                <w:rFonts w:asciiTheme="minorHAnsi" w:hAnsiTheme="minorHAnsi" w:cstheme="minorHAnsi"/>
              </w:rPr>
              <w:t>Administration of Council meetings</w:t>
            </w:r>
            <w:r w:rsidRPr="00CC0F7B">
              <w:rPr>
                <w:rStyle w:val="FootnoteReference"/>
              </w:rPr>
              <w:footnoteReference w:id="9"/>
            </w:r>
            <w:r w:rsidRPr="00CC0F7B">
              <w:rPr>
                <w:rFonts w:asciiTheme="minorHAnsi" w:hAnsiTheme="minorHAnsi" w:cstheme="minorHAnsi"/>
              </w:rPr>
              <w:t xml:space="preserve">  </w:t>
            </w:r>
          </w:p>
          <w:p w14:paraId="24D953D6" w14:textId="652B009C" w:rsidR="00CC0F7B" w:rsidRP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0F7B">
              <w:rPr>
                <w:rFonts w:asciiTheme="minorHAnsi" w:hAnsiTheme="minorHAnsi" w:cstheme="minorHAnsi"/>
              </w:rPr>
              <w:t>a) administration (background, arrangements, correspondence, agendas</w:t>
            </w:r>
            <w:r>
              <w:rPr>
                <w:rFonts w:asciiTheme="minorHAnsi" w:hAnsiTheme="minorHAnsi" w:cstheme="minorHAnsi"/>
              </w:rPr>
              <w:t>,</w:t>
            </w:r>
            <w:r w:rsidRPr="00CC0F7B">
              <w:rPr>
                <w:rFonts w:asciiTheme="minorHAnsi" w:hAnsiTheme="minorHAnsi" w:cstheme="minorHAnsi"/>
              </w:rPr>
              <w:t xml:space="preserve"> etc)</w:t>
            </w:r>
          </w:p>
          <w:p w14:paraId="4071F702" w14:textId="77777777" w:rsidR="00CC0F7B" w:rsidRP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0F7B">
              <w:rPr>
                <w:rFonts w:asciiTheme="minorHAnsi" w:hAnsiTheme="minorHAnsi" w:cstheme="minorHAnsi"/>
              </w:rPr>
              <w:t>b) copies of published minutes</w:t>
            </w:r>
          </w:p>
          <w:p w14:paraId="71FE00C3" w14:textId="77777777" w:rsid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0F7B">
              <w:rPr>
                <w:rFonts w:asciiTheme="minorHAnsi" w:hAnsiTheme="minorHAnsi" w:cstheme="minorHAnsi"/>
              </w:rPr>
              <w:t>c) documents related to the running of Sub-Groups (Governance, Analysis and Research, and Confidence and Communications)</w:t>
            </w:r>
          </w:p>
          <w:p w14:paraId="6ABC1A92" w14:textId="7D599D8C" w:rsidR="00CC0F7B" w:rsidRPr="00A865B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4D54350B" w14:textId="77777777" w:rsidR="00E66A89" w:rsidRPr="001C4F63" w:rsidRDefault="00E66A89"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3283D751" w14:textId="6101FE51" w:rsidR="00E66A89" w:rsidRPr="001C4F63" w:rsidRDefault="00CC0F7B"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Keep for </w:t>
            </w:r>
            <w:r w:rsidRPr="00CC0F7B">
              <w:rPr>
                <w:rFonts w:asciiTheme="minorHAnsi" w:hAnsiTheme="minorHAnsi" w:cstheme="minorHAnsi"/>
                <w:b/>
              </w:rPr>
              <w:t>one year</w:t>
            </w:r>
            <w:r>
              <w:rPr>
                <w:rFonts w:asciiTheme="minorHAnsi" w:hAnsiTheme="minorHAnsi" w:cstheme="minorHAnsi"/>
              </w:rPr>
              <w:t xml:space="preserve"> </w:t>
            </w:r>
            <w:r w:rsidRPr="00CC0F7B">
              <w:rPr>
                <w:rFonts w:asciiTheme="minorHAnsi" w:hAnsiTheme="minorHAnsi" w:cstheme="minorHAnsi"/>
              </w:rPr>
              <w:t>from date of meeting and then destroy</w:t>
            </w:r>
          </w:p>
        </w:tc>
      </w:tr>
      <w:tr w:rsidR="00D33F0B" w14:paraId="3C2B40CA"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4C1806AE" w14:textId="77777777" w:rsidR="00D33F0B" w:rsidRPr="001C4F63" w:rsidRDefault="00D33F0B" w:rsidP="001C4F63">
            <w:pPr>
              <w:pStyle w:val="Text"/>
              <w:numPr>
                <w:ilvl w:val="0"/>
                <w:numId w:val="7"/>
              </w:numPr>
              <w:spacing w:after="0"/>
              <w:rPr>
                <w:rFonts w:asciiTheme="minorHAnsi" w:hAnsiTheme="minorHAnsi" w:cstheme="minorHAnsi"/>
              </w:rPr>
            </w:pPr>
          </w:p>
        </w:tc>
        <w:tc>
          <w:tcPr>
            <w:tcW w:w="3738" w:type="dxa"/>
            <w:vAlign w:val="center"/>
          </w:tcPr>
          <w:p w14:paraId="656C6B62" w14:textId="77777777" w:rsidR="00D33F0B" w:rsidRPr="00832883" w:rsidRDefault="00D33F0B" w:rsidP="00D33F0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069278E6" w14:textId="53F126DA" w:rsidR="00D33F0B" w:rsidRPr="00D33F0B" w:rsidRDefault="00D33F0B" w:rsidP="00D33F0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3F0B">
              <w:rPr>
                <w:rFonts w:asciiTheme="minorHAnsi" w:hAnsiTheme="minorHAnsi" w:cstheme="minorHAnsi"/>
              </w:rPr>
              <w:t>The inception, constitution and remit of the Council:</w:t>
            </w:r>
          </w:p>
          <w:p w14:paraId="53BE13BA" w14:textId="77777777" w:rsidR="00D33F0B" w:rsidRDefault="00D33F0B" w:rsidP="00D33F0B">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D33F0B">
              <w:rPr>
                <w:rFonts w:asciiTheme="minorHAnsi" w:hAnsiTheme="minorHAnsi" w:cstheme="minorHAnsi"/>
              </w:rPr>
              <w:t>d</w:t>
            </w:r>
            <w:r w:rsidRPr="00D33F0B">
              <w:t xml:space="preserve">ocuments relating to the setting-up of the Council, and, </w:t>
            </w:r>
          </w:p>
          <w:p w14:paraId="175D05DF" w14:textId="2A5D2E18" w:rsidR="00D33F0B" w:rsidRPr="00D33F0B" w:rsidRDefault="00D33F0B" w:rsidP="00D33F0B">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D33F0B">
              <w:t>documents that outline the Council’s structure and scope, including terms of reference, governance policies or other papers outlining</w:t>
            </w:r>
            <w:r w:rsidRPr="00D33F0B">
              <w:rPr>
                <w:rFonts w:asciiTheme="minorHAnsi" w:hAnsiTheme="minorHAnsi" w:cstheme="minorHAnsi"/>
              </w:rPr>
              <w:t xml:space="preserve"> plans for the running of the Council and the Office’s business</w:t>
            </w:r>
          </w:p>
          <w:p w14:paraId="50C52EFB" w14:textId="32162A2E" w:rsidR="00D33F0B" w:rsidRPr="00832883" w:rsidRDefault="00D33F0B" w:rsidP="00D33F0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37A830FF" w14:textId="47376748" w:rsidR="00D33F0B" w:rsidRPr="001C4F63" w:rsidRDefault="00D33F0B"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TBC</w:t>
            </w:r>
          </w:p>
        </w:tc>
        <w:tc>
          <w:tcPr>
            <w:tcW w:w="3750" w:type="dxa"/>
            <w:vAlign w:val="center"/>
          </w:tcPr>
          <w:p w14:paraId="5204D739" w14:textId="77777777" w:rsidR="00DA50B9" w:rsidRDefault="00DA50B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7F673F7" w14:textId="3A7BAA9B" w:rsidR="00DA50B9" w:rsidRDefault="00D33F0B"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Keep for </w:t>
            </w:r>
            <w:r w:rsidR="00F670F5">
              <w:rPr>
                <w:rFonts w:asciiTheme="minorHAnsi" w:hAnsiTheme="minorHAnsi" w:cstheme="minorHAnsi"/>
                <w:b/>
              </w:rPr>
              <w:t>1</w:t>
            </w:r>
            <w:r>
              <w:rPr>
                <w:rFonts w:asciiTheme="minorHAnsi" w:hAnsiTheme="minorHAnsi" w:cstheme="minorHAnsi"/>
                <w:b/>
              </w:rPr>
              <w:t>0 years</w:t>
            </w:r>
            <w:r>
              <w:rPr>
                <w:rFonts w:asciiTheme="minorHAnsi" w:hAnsiTheme="minorHAnsi" w:cstheme="minorHAnsi"/>
              </w:rPr>
              <w:t xml:space="preserve"> and then </w:t>
            </w:r>
            <w:r w:rsidR="00F670F5">
              <w:rPr>
                <w:rFonts w:asciiTheme="minorHAnsi" w:hAnsiTheme="minorHAnsi" w:cstheme="minorHAnsi"/>
              </w:rPr>
              <w:t>review:</w:t>
            </w:r>
          </w:p>
          <w:p w14:paraId="7A856C0E" w14:textId="77777777" w:rsidR="00DA50B9" w:rsidRDefault="00DA50B9" w:rsidP="00F670F5">
            <w:pPr>
              <w:pStyle w:val="Text"/>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50B9">
              <w:rPr>
                <w:rFonts w:asciiTheme="minorHAnsi" w:hAnsiTheme="minorHAnsi" w:cstheme="minorHAnsi"/>
              </w:rPr>
              <w:t xml:space="preserve">Where a record may potentially be considered suitable for permanent preservation, keep until transferred to the DRO’s team. </w:t>
            </w:r>
          </w:p>
          <w:p w14:paraId="67CA95D2" w14:textId="23CFEB5F" w:rsidR="00DA50B9" w:rsidRDefault="00DA50B9" w:rsidP="00F670F5">
            <w:pPr>
              <w:pStyle w:val="Text"/>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50B9">
              <w:rPr>
                <w:rFonts w:asciiTheme="minorHAnsi" w:hAnsiTheme="minorHAnsi" w:cstheme="minorHAnsi"/>
              </w:rPr>
              <w:t>Where no longer needed, destroy immediately.</w:t>
            </w:r>
          </w:p>
          <w:p w14:paraId="4A6C69FF" w14:textId="5ACC3999" w:rsidR="00DA50B9" w:rsidRPr="00D33F0B" w:rsidRDefault="00DA50B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66A89" w14:paraId="1ADDEB7C"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0CD30A1A" w14:textId="77777777" w:rsidR="00E66A89" w:rsidRPr="001C4F63" w:rsidRDefault="00E66A89" w:rsidP="001C4F63">
            <w:pPr>
              <w:pStyle w:val="Text"/>
              <w:numPr>
                <w:ilvl w:val="0"/>
                <w:numId w:val="7"/>
              </w:numPr>
              <w:spacing w:after="0"/>
              <w:rPr>
                <w:rFonts w:asciiTheme="minorHAnsi" w:hAnsiTheme="minorHAnsi" w:cstheme="minorHAnsi"/>
              </w:rPr>
            </w:pPr>
          </w:p>
        </w:tc>
        <w:tc>
          <w:tcPr>
            <w:tcW w:w="3738" w:type="dxa"/>
            <w:vAlign w:val="center"/>
          </w:tcPr>
          <w:p w14:paraId="54BD9C69" w14:textId="77777777" w:rsidR="00D33F0B" w:rsidRDefault="00D33F0B" w:rsidP="00CC0F7B">
            <w:pPr>
              <w:pStyle w:val="Text"/>
              <w:spacing w:after="0"/>
              <w:cnfStyle w:val="000000000000" w:firstRow="0" w:lastRow="0" w:firstColumn="0" w:lastColumn="0" w:oddVBand="0" w:evenVBand="0" w:oddHBand="0" w:evenHBand="0" w:firstRowFirstColumn="0" w:firstRowLastColumn="0" w:lastRowFirstColumn="0" w:lastRowLastColumn="0"/>
            </w:pPr>
          </w:p>
          <w:p w14:paraId="079D245A" w14:textId="6813A569" w:rsidR="00CC0F7B" w:rsidRDefault="00CC0F7B" w:rsidP="00CC0F7B">
            <w:pPr>
              <w:pStyle w:val="Text"/>
              <w:spacing w:after="0"/>
              <w:cnfStyle w:val="000000000000" w:firstRow="0" w:lastRow="0" w:firstColumn="0" w:lastColumn="0" w:oddVBand="0" w:evenVBand="0" w:oddHBand="0" w:evenHBand="0" w:firstRowFirstColumn="0" w:firstRowLastColumn="0" w:lastRowFirstColumn="0" w:lastRowLastColumn="0"/>
            </w:pPr>
            <w:r>
              <w:t>Policy documents</w:t>
            </w:r>
            <w:r>
              <w:rPr>
                <w:rStyle w:val="FootnoteReference"/>
              </w:rPr>
              <w:footnoteReference w:id="10"/>
            </w:r>
            <w:r>
              <w:t xml:space="preserve"> including, but not limited to, the following:</w:t>
            </w:r>
          </w:p>
          <w:p w14:paraId="32883ACE" w14:textId="77777777" w:rsidR="00CC0F7B" w:rsidRDefault="00CC0F7B" w:rsidP="00CC0F7B">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t>Project Initiation Documents (PIDs) and supporting documentation (including business cases)</w:t>
            </w:r>
          </w:p>
          <w:p w14:paraId="2F44CDD3" w14:textId="6CCD7DD8" w:rsidR="00CC0F7B" w:rsidRDefault="00CC0F7B" w:rsidP="00CC0F7B">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t xml:space="preserve">Circulated Council/subgroup papers (papers circulated to </w:t>
            </w:r>
            <w:r>
              <w:lastRenderedPageBreak/>
              <w:t>Council members or subgroup members, where related to the development or evaluation of a guideline)</w:t>
            </w:r>
          </w:p>
          <w:p w14:paraId="24D42403" w14:textId="77777777" w:rsidR="00DE0AB5" w:rsidRDefault="00DE0AB5" w:rsidP="00DE0AB5">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3003C5">
              <w:t>Consultation responses</w:t>
            </w:r>
          </w:p>
          <w:p w14:paraId="7D98DB16" w14:textId="77777777" w:rsidR="00CC0F7B" w:rsidRDefault="00CC0F7B" w:rsidP="00CC0F7B">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t>Summaries/analysis of consultation responses</w:t>
            </w:r>
          </w:p>
          <w:p w14:paraId="6C19C71D" w14:textId="77777777" w:rsidR="00CC0F7B" w:rsidRDefault="00CC0F7B" w:rsidP="00CC0F7B">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t>Draft guidelines circulated to Council members</w:t>
            </w:r>
          </w:p>
          <w:p w14:paraId="17372C9D" w14:textId="541C2330" w:rsidR="00CC0F7B" w:rsidRPr="00870492" w:rsidRDefault="00CC0F7B" w:rsidP="001C4F63">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t>Guideline</w:t>
            </w:r>
            <w:r w:rsidR="00C404EC">
              <w:t>/other</w:t>
            </w:r>
            <w:r>
              <w:t xml:space="preserve"> decision logs.</w:t>
            </w:r>
          </w:p>
        </w:tc>
        <w:tc>
          <w:tcPr>
            <w:tcW w:w="1699" w:type="dxa"/>
            <w:vAlign w:val="center"/>
          </w:tcPr>
          <w:p w14:paraId="3AB73A1C" w14:textId="346E37A3" w:rsidR="00E66A89" w:rsidRPr="00B46079" w:rsidRDefault="00DE0AB5" w:rsidP="00DE0AB5">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TBC</w:t>
            </w:r>
          </w:p>
        </w:tc>
        <w:tc>
          <w:tcPr>
            <w:tcW w:w="3750" w:type="dxa"/>
            <w:vAlign w:val="center"/>
          </w:tcPr>
          <w:p w14:paraId="5CCA55A6" w14:textId="77777777" w:rsidR="00204C19" w:rsidRPr="00A865BB" w:rsidRDefault="00204C19" w:rsidP="00204C19">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6002D727" w14:textId="77002CF9" w:rsidR="00204C19" w:rsidRDefault="00204C19" w:rsidP="00204C19">
            <w:pPr>
              <w:pStyle w:val="Text"/>
              <w:spacing w:after="0"/>
              <w:cnfStyle w:val="000000000000" w:firstRow="0" w:lastRow="0" w:firstColumn="0" w:lastColumn="0" w:oddVBand="0" w:evenVBand="0" w:oddHBand="0" w:evenHBand="0" w:firstRowFirstColumn="0" w:firstRowLastColumn="0" w:lastRowFirstColumn="0" w:lastRowLastColumn="0"/>
            </w:pPr>
            <w:r>
              <w:t xml:space="preserve">Where the guideline is not superseded within 10 years, keep until </w:t>
            </w:r>
            <w:r w:rsidRPr="00B02570">
              <w:rPr>
                <w:b/>
              </w:rPr>
              <w:t>10 years after in-force date</w:t>
            </w:r>
            <w:r>
              <w:t xml:space="preserve"> </w:t>
            </w:r>
            <w:r w:rsidRPr="00B02570">
              <w:t>and</w:t>
            </w:r>
            <w:r>
              <w:t xml:space="preserve"> review:</w:t>
            </w:r>
          </w:p>
          <w:p w14:paraId="6804D566" w14:textId="77777777" w:rsidR="00204C19" w:rsidRDefault="00204C19" w:rsidP="00204C19">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pPr>
            <w:r>
              <w:t xml:space="preserve">Where operationally relevant, keep for another </w:t>
            </w:r>
            <w:r w:rsidRPr="00204C19">
              <w:rPr>
                <w:b/>
              </w:rPr>
              <w:t>five years</w:t>
            </w:r>
            <w:r>
              <w:t xml:space="preserve"> and repeat the process until the item is no longer needed.</w:t>
            </w:r>
          </w:p>
          <w:p w14:paraId="1C7B88EB" w14:textId="77777777" w:rsidR="00204C19" w:rsidRPr="00AD6F42" w:rsidRDefault="00204C19" w:rsidP="00204C19">
            <w:pPr>
              <w:pStyle w:val="ListParagraph"/>
              <w:numPr>
                <w:ilvl w:val="0"/>
                <w:numId w:val="20"/>
              </w:numPr>
              <w:spacing w:after="0"/>
              <w:cnfStyle w:val="000000000000" w:firstRow="0" w:lastRow="0" w:firstColumn="0" w:lastColumn="0" w:oddVBand="0" w:evenVBand="0" w:oddHBand="0" w:evenHBand="0" w:firstRowFirstColumn="0" w:firstRowLastColumn="0" w:lastRowFirstColumn="0" w:lastRowLastColumn="0"/>
            </w:pPr>
            <w:r w:rsidRPr="00AD6F42">
              <w:rPr>
                <w:rFonts w:eastAsiaTheme="minorHAnsi" w:cstheme="minorBidi"/>
                <w:szCs w:val="22"/>
                <w:lang w:eastAsia="en-GB"/>
              </w:rPr>
              <w:lastRenderedPageBreak/>
              <w:t>Where a record may potentially be considered suitable for permanent preservation</w:t>
            </w:r>
            <w:r>
              <w:rPr>
                <w:rFonts w:eastAsiaTheme="minorHAnsi" w:cstheme="minorBidi"/>
                <w:szCs w:val="22"/>
                <w:lang w:eastAsia="en-GB"/>
              </w:rPr>
              <w:t xml:space="preserve">, keep until </w:t>
            </w:r>
            <w:r w:rsidRPr="00AD6F42">
              <w:rPr>
                <w:rFonts w:eastAsiaTheme="minorHAnsi" w:cstheme="minorBidi"/>
                <w:szCs w:val="22"/>
                <w:lang w:eastAsia="en-GB"/>
              </w:rPr>
              <w:t>transfer</w:t>
            </w:r>
            <w:r>
              <w:rPr>
                <w:rFonts w:eastAsiaTheme="minorHAnsi" w:cstheme="minorBidi"/>
                <w:szCs w:val="22"/>
                <w:lang w:eastAsia="en-GB"/>
              </w:rPr>
              <w:t>red</w:t>
            </w:r>
            <w:r w:rsidRPr="00AD6F42">
              <w:rPr>
                <w:rFonts w:eastAsiaTheme="minorHAnsi" w:cstheme="minorBidi"/>
                <w:szCs w:val="22"/>
                <w:lang w:eastAsia="en-GB"/>
              </w:rPr>
              <w:t xml:space="preserve"> to the DRO’s team.</w:t>
            </w:r>
          </w:p>
          <w:p w14:paraId="4A405133" w14:textId="77777777" w:rsidR="00204C19" w:rsidRDefault="00204C19" w:rsidP="00204C19">
            <w:pPr>
              <w:pStyle w:val="ListParagraph"/>
              <w:numPr>
                <w:ilvl w:val="0"/>
                <w:numId w:val="20"/>
              </w:numPr>
              <w:spacing w:after="0"/>
              <w:cnfStyle w:val="000000000000" w:firstRow="0" w:lastRow="0" w:firstColumn="0" w:lastColumn="0" w:oddVBand="0" w:evenVBand="0" w:oddHBand="0" w:evenHBand="0" w:firstRowFirstColumn="0" w:firstRowLastColumn="0" w:lastRowFirstColumn="0" w:lastRowLastColumn="0"/>
            </w:pPr>
            <w:r>
              <w:t>Where no longer needed, destroy immediately.</w:t>
            </w:r>
          </w:p>
          <w:p w14:paraId="2077E35A" w14:textId="77777777" w:rsidR="00204C19" w:rsidRDefault="00204C19" w:rsidP="00204C19">
            <w:pPr>
              <w:pStyle w:val="ListParagraph"/>
              <w:spacing w:after="0"/>
              <w:ind w:left="360"/>
              <w:cnfStyle w:val="000000000000" w:firstRow="0" w:lastRow="0" w:firstColumn="0" w:lastColumn="0" w:oddVBand="0" w:evenVBand="0" w:oddHBand="0" w:evenHBand="0" w:firstRowFirstColumn="0" w:firstRowLastColumn="0" w:lastRowFirstColumn="0" w:lastRowLastColumn="0"/>
            </w:pPr>
          </w:p>
          <w:p w14:paraId="3259B4A9" w14:textId="77777777" w:rsidR="00204C19" w:rsidRDefault="00204C19" w:rsidP="00204C19">
            <w:pPr>
              <w:pStyle w:val="Text"/>
              <w:spacing w:after="0"/>
              <w:cnfStyle w:val="000000000000" w:firstRow="0" w:lastRow="0" w:firstColumn="0" w:lastColumn="0" w:oddVBand="0" w:evenVBand="0" w:oddHBand="0" w:evenHBand="0" w:firstRowFirstColumn="0" w:firstRowLastColumn="0" w:lastRowFirstColumn="0" w:lastRowLastColumn="0"/>
            </w:pPr>
            <w:r>
              <w:t xml:space="preserve">Where the guideline is superseded, keep </w:t>
            </w:r>
            <w:r>
              <w:rPr>
                <w:b/>
              </w:rPr>
              <w:t xml:space="preserve">for one year </w:t>
            </w:r>
            <w:r>
              <w:t>from the in-force date of the new guideline:</w:t>
            </w:r>
          </w:p>
          <w:p w14:paraId="36747D61" w14:textId="77777777" w:rsidR="00204C19" w:rsidRDefault="00204C19" w:rsidP="00204C19">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pPr>
            <w:r w:rsidRPr="0008517D">
              <w:t>Where operationally relevant</w:t>
            </w:r>
            <w:r>
              <w:t xml:space="preserve">, keep material related to superseded guideline for another </w:t>
            </w:r>
            <w:r w:rsidRPr="00204C19">
              <w:rPr>
                <w:b/>
              </w:rPr>
              <w:t>five years</w:t>
            </w:r>
            <w:r>
              <w:t xml:space="preserve"> and repeat the process until the item is no longer needed.</w:t>
            </w:r>
          </w:p>
          <w:p w14:paraId="2DFABEBE" w14:textId="77777777" w:rsidR="00204C19" w:rsidRPr="00AD6F42" w:rsidRDefault="00204C19" w:rsidP="00204C19">
            <w:pPr>
              <w:pStyle w:val="ListParagraph"/>
              <w:numPr>
                <w:ilvl w:val="0"/>
                <w:numId w:val="20"/>
              </w:numPr>
              <w:spacing w:after="0"/>
              <w:cnfStyle w:val="000000000000" w:firstRow="0" w:lastRow="0" w:firstColumn="0" w:lastColumn="0" w:oddVBand="0" w:evenVBand="0" w:oddHBand="0" w:evenHBand="0" w:firstRowFirstColumn="0" w:firstRowLastColumn="0" w:lastRowFirstColumn="0" w:lastRowLastColumn="0"/>
            </w:pPr>
            <w:r w:rsidRPr="00AD6F42">
              <w:rPr>
                <w:rFonts w:eastAsiaTheme="minorHAnsi" w:cstheme="minorBidi"/>
                <w:szCs w:val="22"/>
                <w:lang w:eastAsia="en-GB"/>
              </w:rPr>
              <w:t>Where a record may potentially be considered suitable for permanent preservation</w:t>
            </w:r>
            <w:r>
              <w:rPr>
                <w:rFonts w:eastAsiaTheme="minorHAnsi" w:cstheme="minorBidi"/>
                <w:szCs w:val="22"/>
                <w:lang w:eastAsia="en-GB"/>
              </w:rPr>
              <w:t xml:space="preserve">, keep until </w:t>
            </w:r>
            <w:r w:rsidRPr="00AD6F42">
              <w:rPr>
                <w:rFonts w:eastAsiaTheme="minorHAnsi" w:cstheme="minorBidi"/>
                <w:szCs w:val="22"/>
                <w:lang w:eastAsia="en-GB"/>
              </w:rPr>
              <w:t>transfer</w:t>
            </w:r>
            <w:r>
              <w:rPr>
                <w:rFonts w:eastAsiaTheme="minorHAnsi" w:cstheme="minorBidi"/>
                <w:szCs w:val="22"/>
                <w:lang w:eastAsia="en-GB"/>
              </w:rPr>
              <w:t>red</w:t>
            </w:r>
            <w:r w:rsidRPr="00AD6F42">
              <w:rPr>
                <w:rFonts w:eastAsiaTheme="minorHAnsi" w:cstheme="minorBidi"/>
                <w:szCs w:val="22"/>
                <w:lang w:eastAsia="en-GB"/>
              </w:rPr>
              <w:t xml:space="preserve"> to the DRO’s team.</w:t>
            </w:r>
          </w:p>
          <w:p w14:paraId="077443F6" w14:textId="77777777" w:rsidR="00204C19" w:rsidRDefault="00204C19" w:rsidP="00204C19">
            <w:pPr>
              <w:pStyle w:val="ListParagraph"/>
              <w:numPr>
                <w:ilvl w:val="0"/>
                <w:numId w:val="20"/>
              </w:numPr>
              <w:spacing w:after="0"/>
              <w:cnfStyle w:val="000000000000" w:firstRow="0" w:lastRow="0" w:firstColumn="0" w:lastColumn="0" w:oddVBand="0" w:evenVBand="0" w:oddHBand="0" w:evenHBand="0" w:firstRowFirstColumn="0" w:firstRowLastColumn="0" w:lastRowFirstColumn="0" w:lastRowLastColumn="0"/>
            </w:pPr>
            <w:r>
              <w:t>Where no longer needed, destroy immediately.</w:t>
            </w:r>
          </w:p>
          <w:p w14:paraId="125FEC0B" w14:textId="77777777" w:rsidR="00204C19" w:rsidRDefault="00204C19" w:rsidP="00204C19">
            <w:pPr>
              <w:pStyle w:val="Text"/>
              <w:spacing w:after="0"/>
              <w:cnfStyle w:val="000000000000" w:firstRow="0" w:lastRow="0" w:firstColumn="0" w:lastColumn="0" w:oddVBand="0" w:evenVBand="0" w:oddHBand="0" w:evenHBand="0" w:firstRowFirstColumn="0" w:firstRowLastColumn="0" w:lastRowFirstColumn="0" w:lastRowLastColumn="0"/>
            </w:pPr>
          </w:p>
          <w:p w14:paraId="62DB3758" w14:textId="2FEC2740" w:rsidR="00204C19" w:rsidRDefault="00204C19" w:rsidP="00204C19">
            <w:pPr>
              <w:pStyle w:val="Text"/>
              <w:spacing w:after="0"/>
              <w:cnfStyle w:val="000000000000" w:firstRow="0" w:lastRow="0" w:firstColumn="0" w:lastColumn="0" w:oddVBand="0" w:evenVBand="0" w:oddHBand="0" w:evenHBand="0" w:firstRowFirstColumn="0" w:firstRowLastColumn="0" w:lastRowFirstColumn="0" w:lastRowLastColumn="0"/>
            </w:pPr>
            <w:r>
              <w:t>Copies should be destroyed at project end, following confirmation that a record has been stored.</w:t>
            </w:r>
            <w:r>
              <w:rPr>
                <w:rStyle w:val="FootnoteReference"/>
              </w:rPr>
              <w:footnoteReference w:id="11"/>
            </w:r>
          </w:p>
          <w:p w14:paraId="223D0B0E" w14:textId="77777777" w:rsidR="00E66A89" w:rsidRPr="00A865BB" w:rsidRDefault="00E66A8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r>
      <w:tr w:rsidR="00E66A89" w14:paraId="72C79583"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5338AB1B" w14:textId="77777777" w:rsidR="00E66A89" w:rsidRPr="001C4F63" w:rsidRDefault="00E66A89" w:rsidP="001C4F63">
            <w:pPr>
              <w:pStyle w:val="Text"/>
              <w:numPr>
                <w:ilvl w:val="0"/>
                <w:numId w:val="7"/>
              </w:numPr>
              <w:spacing w:after="0"/>
              <w:rPr>
                <w:rFonts w:asciiTheme="minorHAnsi" w:hAnsiTheme="minorHAnsi" w:cstheme="minorHAnsi"/>
              </w:rPr>
            </w:pPr>
          </w:p>
        </w:tc>
        <w:tc>
          <w:tcPr>
            <w:tcW w:w="3738" w:type="dxa"/>
            <w:vAlign w:val="center"/>
          </w:tcPr>
          <w:p w14:paraId="5257711E" w14:textId="77777777" w:rsidR="00E66A89" w:rsidRDefault="00E66A8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1133CA" w14:textId="77777777" w:rsidR="00B46079" w:rsidRDefault="00B4607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Transcripts of judges’ sentencing remarks</w:t>
            </w:r>
          </w:p>
          <w:p w14:paraId="40091176" w14:textId="554AEA73" w:rsidR="00B46079" w:rsidRPr="001C4F63" w:rsidRDefault="00B4607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99" w:type="dxa"/>
            <w:vAlign w:val="center"/>
          </w:tcPr>
          <w:p w14:paraId="36EFAFDD" w14:textId="2141D5B1" w:rsidR="00E66A89" w:rsidRPr="001C4F63" w:rsidRDefault="00DE0AB5"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TBC</w:t>
            </w:r>
          </w:p>
        </w:tc>
        <w:tc>
          <w:tcPr>
            <w:tcW w:w="3750" w:type="dxa"/>
            <w:vAlign w:val="center"/>
          </w:tcPr>
          <w:p w14:paraId="5F6055FF" w14:textId="77777777" w:rsidR="00B46079" w:rsidRPr="00A865BB"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492F08BD" w14:textId="4929B061"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If transcripts relate to a specific guideline (i.e. were obtained in relation to development or evaluation of a guideline):</w:t>
            </w:r>
          </w:p>
          <w:p w14:paraId="391C0AC7" w14:textId="77777777" w:rsid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C6F1DF1" w14:textId="48567D91"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 xml:space="preserve">Where the guideline is not superseded within 10 years, keep until </w:t>
            </w:r>
            <w:r w:rsidRPr="00B46079">
              <w:rPr>
                <w:rFonts w:asciiTheme="minorHAnsi" w:hAnsiTheme="minorHAnsi" w:cstheme="minorHAnsi"/>
                <w:b/>
              </w:rPr>
              <w:t>10 years after in-force date</w:t>
            </w:r>
            <w:r w:rsidRPr="00B46079">
              <w:rPr>
                <w:rFonts w:asciiTheme="minorHAnsi" w:hAnsiTheme="minorHAnsi" w:cstheme="minorHAnsi"/>
              </w:rPr>
              <w:t xml:space="preserve"> and review:</w:t>
            </w:r>
          </w:p>
          <w:p w14:paraId="3BB858C6" w14:textId="77777777" w:rsidR="00B46079" w:rsidRDefault="00B46079" w:rsidP="00B46079">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Where operationally relevant, keep for another five years and repeat the process until the item is no longer needed.</w:t>
            </w:r>
          </w:p>
          <w:p w14:paraId="18E817BB" w14:textId="77777777" w:rsidR="00B46079" w:rsidRDefault="00B46079" w:rsidP="00B46079">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Where a record may potentially be considered suitable for permanent preservation, keep until transferred to the DRO’s team.</w:t>
            </w:r>
          </w:p>
          <w:p w14:paraId="016C1BA7" w14:textId="1180E544" w:rsidR="00B46079" w:rsidRPr="00B46079" w:rsidRDefault="00B46079" w:rsidP="00B46079">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Where no longer needed, destroy immediately.</w:t>
            </w:r>
          </w:p>
          <w:p w14:paraId="552DB495" w14:textId="77777777" w:rsid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B6D8BB1" w14:textId="43595564"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lastRenderedPageBreak/>
              <w:t xml:space="preserve">Where the guideline is superseded, keep for </w:t>
            </w:r>
            <w:r w:rsidRPr="00B46079">
              <w:rPr>
                <w:rFonts w:asciiTheme="minorHAnsi" w:hAnsiTheme="minorHAnsi" w:cstheme="minorHAnsi"/>
                <w:b/>
              </w:rPr>
              <w:t>one year</w:t>
            </w:r>
            <w:r w:rsidRPr="00B46079">
              <w:rPr>
                <w:rFonts w:asciiTheme="minorHAnsi" w:hAnsiTheme="minorHAnsi" w:cstheme="minorHAnsi"/>
              </w:rPr>
              <w:t xml:space="preserve"> from the in-force date of the new guideline:</w:t>
            </w:r>
          </w:p>
          <w:p w14:paraId="2494DDB8" w14:textId="2301662F" w:rsidR="00B46079" w:rsidRPr="00B46079" w:rsidRDefault="00B46079" w:rsidP="00B46079">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Where operationally relevant, keep material related to superseded guideline for another five years and repeat the process until the item is no longer needed.</w:t>
            </w:r>
          </w:p>
          <w:p w14:paraId="7E0AA7B5" w14:textId="75F7EA83" w:rsidR="00B46079" w:rsidRPr="00B46079" w:rsidRDefault="00B46079" w:rsidP="00B46079">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Where a record may potentially be considered suitable for permanent preservation, keep until transferred to the DRO’s team.</w:t>
            </w:r>
          </w:p>
          <w:p w14:paraId="79D0B45D" w14:textId="3A2FE86E" w:rsidR="00B46079" w:rsidRPr="00B46079" w:rsidRDefault="00B46079" w:rsidP="00B46079">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Where no longer needed, destroy immediately.</w:t>
            </w:r>
          </w:p>
          <w:p w14:paraId="56A441B4" w14:textId="77777777"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6798236" w14:textId="77777777"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Where the transcripts do not relate to a specific guideline:</w:t>
            </w:r>
          </w:p>
          <w:p w14:paraId="2E853A12" w14:textId="77777777"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 xml:space="preserve">Keep for </w:t>
            </w:r>
            <w:r w:rsidRPr="00B46079">
              <w:rPr>
                <w:rFonts w:asciiTheme="minorHAnsi" w:hAnsiTheme="minorHAnsi" w:cstheme="minorHAnsi"/>
                <w:b/>
              </w:rPr>
              <w:t>five years</w:t>
            </w:r>
            <w:r w:rsidRPr="00B46079">
              <w:rPr>
                <w:rFonts w:asciiTheme="minorHAnsi" w:hAnsiTheme="minorHAnsi" w:cstheme="minorHAnsi"/>
              </w:rPr>
              <w:t xml:space="preserve"> after project for which they were obtained has ended, then:</w:t>
            </w:r>
          </w:p>
          <w:p w14:paraId="4811801B" w14:textId="7B7615A7" w:rsidR="00B46079" w:rsidRPr="00B46079" w:rsidRDefault="00B46079" w:rsidP="00B46079">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 xml:space="preserve">Where responses still relate to </w:t>
            </w:r>
            <w:r w:rsidR="00D33F0B">
              <w:rPr>
                <w:rFonts w:asciiTheme="minorHAnsi" w:hAnsiTheme="minorHAnsi" w:cstheme="minorHAnsi"/>
              </w:rPr>
              <w:t>issues under consideration or operationally relevant</w:t>
            </w:r>
            <w:r w:rsidRPr="00B46079">
              <w:rPr>
                <w:rFonts w:asciiTheme="minorHAnsi" w:hAnsiTheme="minorHAnsi" w:cstheme="minorHAnsi"/>
              </w:rPr>
              <w:t xml:space="preserve">, keep for another </w:t>
            </w:r>
            <w:r w:rsidRPr="00B46079">
              <w:rPr>
                <w:rFonts w:asciiTheme="minorHAnsi" w:hAnsiTheme="minorHAnsi" w:cstheme="minorHAnsi"/>
                <w:b/>
              </w:rPr>
              <w:t>five years</w:t>
            </w:r>
            <w:r w:rsidRPr="00B46079">
              <w:rPr>
                <w:rFonts w:asciiTheme="minorHAnsi" w:hAnsiTheme="minorHAnsi" w:cstheme="minorHAnsi"/>
              </w:rPr>
              <w:t xml:space="preserve"> and repeat the process until the item is no longer needed.</w:t>
            </w:r>
          </w:p>
          <w:p w14:paraId="626C7528" w14:textId="7CC2061F" w:rsidR="00B46079" w:rsidRPr="00B46079" w:rsidRDefault="00B46079" w:rsidP="00B46079">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Where no longer needed, destroy immediately.</w:t>
            </w:r>
          </w:p>
          <w:p w14:paraId="75D76834" w14:textId="77777777"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3C58993" w14:textId="77777777"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In all cases, paper copies should be destroyed as soon as possible after use, and at project end if not before.</w:t>
            </w:r>
          </w:p>
          <w:p w14:paraId="2C3BC1D1" w14:textId="77777777" w:rsidR="00B46079" w:rsidRP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48F4A3E" w14:textId="77777777" w:rsidR="00E66A8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Refer to relevant data sharing agreement for further information</w:t>
            </w:r>
          </w:p>
          <w:p w14:paraId="243A7C84" w14:textId="58306B40" w:rsidR="00B46079" w:rsidRPr="00A865BB"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r>
      <w:tr w:rsidR="00771676" w14:paraId="0AFBB4A7"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789A7E5E" w14:textId="77777777" w:rsidR="00771676" w:rsidRPr="001C4F63" w:rsidRDefault="00771676" w:rsidP="001C4F63">
            <w:pPr>
              <w:pStyle w:val="Text"/>
              <w:numPr>
                <w:ilvl w:val="0"/>
                <w:numId w:val="7"/>
              </w:numPr>
              <w:spacing w:after="0"/>
              <w:rPr>
                <w:rFonts w:asciiTheme="minorHAnsi" w:hAnsiTheme="minorHAnsi" w:cstheme="minorHAnsi"/>
              </w:rPr>
            </w:pPr>
          </w:p>
        </w:tc>
        <w:tc>
          <w:tcPr>
            <w:tcW w:w="3738" w:type="dxa"/>
            <w:vAlign w:val="center"/>
          </w:tcPr>
          <w:p w14:paraId="5BDECBDA" w14:textId="77777777" w:rsidR="00B46079" w:rsidRPr="00A865BB"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68DEFB86" w14:textId="77777777" w:rsidR="00A824CE" w:rsidRDefault="00C404EC" w:rsidP="00B46079">
            <w:pPr>
              <w:pStyle w:val="Text"/>
              <w:spacing w:after="0"/>
              <w:cnfStyle w:val="000000000000" w:firstRow="0" w:lastRow="0" w:firstColumn="0" w:lastColumn="0" w:oddVBand="0" w:evenVBand="0" w:oddHBand="0" w:evenHBand="0" w:firstRowFirstColumn="0" w:firstRowLastColumn="0" w:lastRowFirstColumn="0" w:lastRowLastColumn="0"/>
            </w:pPr>
            <w:r>
              <w:t>(</w:t>
            </w:r>
            <w:r w:rsidRPr="00A824CE">
              <w:rPr>
                <w:b/>
              </w:rPr>
              <w:t>Not</w:t>
            </w:r>
            <w:r w:rsidR="004F0E08" w:rsidRPr="00A824CE">
              <w:rPr>
                <w:b/>
              </w:rPr>
              <w:t>e</w:t>
            </w:r>
            <w:r w:rsidR="004F0E08">
              <w:t xml:space="preserve">: this excludes any papers that </w:t>
            </w:r>
            <w:r>
              <w:t>are otherwise included in Item 4)</w:t>
            </w:r>
          </w:p>
          <w:p w14:paraId="4916A920" w14:textId="77777777" w:rsidR="00A824CE" w:rsidRDefault="00A824CE" w:rsidP="00B46079">
            <w:pPr>
              <w:pStyle w:val="Text"/>
              <w:spacing w:after="0"/>
              <w:cnfStyle w:val="000000000000" w:firstRow="0" w:lastRow="0" w:firstColumn="0" w:lastColumn="0" w:oddVBand="0" w:evenVBand="0" w:oddHBand="0" w:evenHBand="0" w:firstRowFirstColumn="0" w:firstRowLastColumn="0" w:lastRowFirstColumn="0" w:lastRowLastColumn="0"/>
            </w:pPr>
          </w:p>
          <w:p w14:paraId="0D3F62AF" w14:textId="0F060441" w:rsid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pPr>
            <w:r>
              <w:t>Records created prior to publishing reports etc on the Sentencing Council’s website.</w:t>
            </w:r>
            <w:r>
              <w:rPr>
                <w:rStyle w:val="FootnoteReference"/>
              </w:rPr>
              <w:footnoteReference w:id="12"/>
            </w:r>
            <w:r>
              <w:t xml:space="preserve"> This includes, but is not limited to, drafts or copies of:</w:t>
            </w:r>
          </w:p>
          <w:p w14:paraId="53B98A0C" w14:textId="77777777" w:rsidR="00B46079" w:rsidRDefault="00B46079" w:rsidP="00B46079">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pPr>
            <w:r>
              <w:t>d</w:t>
            </w:r>
            <w:r w:rsidRPr="00CD014A">
              <w:t>raft guidelines</w:t>
            </w:r>
          </w:p>
          <w:p w14:paraId="0FF1CA3A" w14:textId="77777777" w:rsidR="00B46079" w:rsidRDefault="00B46079" w:rsidP="00B46079">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pPr>
            <w:r w:rsidRPr="00CD014A">
              <w:t xml:space="preserve">consultation documents, </w:t>
            </w:r>
          </w:p>
          <w:p w14:paraId="49E7BAB5" w14:textId="77777777" w:rsidR="00B46079" w:rsidRDefault="00B46079" w:rsidP="00B46079">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pPr>
            <w:r>
              <w:t>definitive guidelines</w:t>
            </w:r>
          </w:p>
          <w:p w14:paraId="59F28EF7" w14:textId="77777777" w:rsidR="00B46079" w:rsidRDefault="00B46079" w:rsidP="00B46079">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pPr>
            <w:r w:rsidRPr="00CD014A">
              <w:t>consultation response documents</w:t>
            </w:r>
          </w:p>
          <w:p w14:paraId="49637212" w14:textId="77777777" w:rsidR="00B46079" w:rsidRPr="00C84445" w:rsidRDefault="00B46079" w:rsidP="00B46079">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pPr>
            <w:r>
              <w:rPr>
                <w:rFonts w:eastAsia="Times New Roman" w:cs="Arial"/>
                <w:szCs w:val="20"/>
                <w:lang w:val="en"/>
              </w:rPr>
              <w:lastRenderedPageBreak/>
              <w:t>statistical bulletins</w:t>
            </w:r>
          </w:p>
          <w:p w14:paraId="071BFC4D" w14:textId="77777777" w:rsidR="00B46079" w:rsidRPr="00C84445" w:rsidRDefault="00B46079" w:rsidP="00B46079">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pPr>
            <w:r>
              <w:rPr>
                <w:rFonts w:eastAsia="Times New Roman" w:cs="Arial"/>
                <w:szCs w:val="20"/>
                <w:lang w:val="en"/>
              </w:rPr>
              <w:t>resource assessments</w:t>
            </w:r>
          </w:p>
          <w:p w14:paraId="57AACEB1" w14:textId="77777777" w:rsidR="00B46079" w:rsidRPr="00C84445" w:rsidRDefault="00B46079" w:rsidP="00B46079">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pPr>
            <w:r>
              <w:rPr>
                <w:rFonts w:eastAsia="Times New Roman" w:cs="Arial"/>
                <w:szCs w:val="20"/>
                <w:lang w:val="en"/>
              </w:rPr>
              <w:t>evaluation reports</w:t>
            </w:r>
          </w:p>
          <w:p w14:paraId="4EC84965" w14:textId="77777777" w:rsidR="00B46079" w:rsidRDefault="00B46079" w:rsidP="00B46079">
            <w:pPr>
              <w:pStyle w:val="Text"/>
              <w:numPr>
                <w:ilvl w:val="0"/>
                <w:numId w:val="22"/>
              </w:numPr>
              <w:spacing w:after="0"/>
              <w:cnfStyle w:val="000000000000" w:firstRow="0" w:lastRow="0" w:firstColumn="0" w:lastColumn="0" w:oddVBand="0" w:evenVBand="0" w:oddHBand="0" w:evenHBand="0" w:firstRowFirstColumn="0" w:firstRowLastColumn="0" w:lastRowFirstColumn="0" w:lastRowLastColumn="0"/>
            </w:pPr>
            <w:r>
              <w:rPr>
                <w:rFonts w:eastAsia="Times New Roman" w:cs="Arial"/>
                <w:szCs w:val="20"/>
                <w:lang w:val="en"/>
              </w:rPr>
              <w:t>research findings</w:t>
            </w:r>
          </w:p>
          <w:p w14:paraId="74B49383" w14:textId="77777777" w:rsid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pPr>
          </w:p>
          <w:p w14:paraId="323BD78C" w14:textId="33A82CCE" w:rsidR="00B46079" w:rsidRPr="00BF70F8" w:rsidRDefault="004F0E08" w:rsidP="001C4F63">
            <w:pPr>
              <w:pStyle w:val="Text"/>
              <w:spacing w:after="0"/>
              <w:cnfStyle w:val="000000000000" w:firstRow="0" w:lastRow="0" w:firstColumn="0" w:lastColumn="0" w:oddVBand="0" w:evenVBand="0" w:oddHBand="0" w:evenHBand="0" w:firstRowFirstColumn="0" w:firstRowLastColumn="0" w:lastRowFirstColumn="0" w:lastRowLastColumn="0"/>
            </w:pPr>
            <w:r w:rsidRPr="00A824CE">
              <w:rPr>
                <w:b/>
              </w:rPr>
              <w:t>Reminder</w:t>
            </w:r>
            <w:r>
              <w:t xml:space="preserve">: </w:t>
            </w:r>
            <w:r w:rsidR="00B46079">
              <w:t>This excludes any papers set out in r</w:t>
            </w:r>
            <w:r w:rsidR="00BF70F8">
              <w:t xml:space="preserve">ow </w:t>
            </w:r>
            <w:r w:rsidR="00C404EC">
              <w:t>4</w:t>
            </w:r>
            <w:r w:rsidR="00BF70F8">
              <w:t>.</w:t>
            </w:r>
          </w:p>
          <w:p w14:paraId="59EED6F4" w14:textId="66A710C9" w:rsidR="00B46079" w:rsidRPr="00A865BB" w:rsidRDefault="00B4607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3AB943C1" w14:textId="77777777" w:rsidR="00771676" w:rsidRPr="001C4F63" w:rsidRDefault="00771676"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70691947" w14:textId="7CB293E6" w:rsidR="00B46079" w:rsidRPr="001C4F63" w:rsidRDefault="00B4607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6079">
              <w:rPr>
                <w:rFonts w:asciiTheme="minorHAnsi" w:hAnsiTheme="minorHAnsi" w:cstheme="minorHAnsi"/>
              </w:rPr>
              <w:t xml:space="preserve">Copies/drafts of publications should be destroyed </w:t>
            </w:r>
            <w:r w:rsidRPr="00B46079">
              <w:rPr>
                <w:rFonts w:asciiTheme="minorHAnsi" w:hAnsiTheme="minorHAnsi" w:cstheme="minorHAnsi"/>
                <w:b/>
              </w:rPr>
              <w:t>within a month of publication</w:t>
            </w:r>
            <w:r w:rsidRPr="00B46079">
              <w:rPr>
                <w:rFonts w:asciiTheme="minorHAnsi" w:hAnsiTheme="minorHAnsi" w:cstheme="minorHAnsi"/>
              </w:rPr>
              <w:t xml:space="preserve">, unless exceptionally there are reasons to keep them for longer </w:t>
            </w:r>
            <w:r>
              <w:rPr>
                <w:rFonts w:asciiTheme="minorHAnsi" w:hAnsiTheme="minorHAnsi" w:cstheme="minorHAnsi"/>
              </w:rPr>
              <w:t>(e.g. for contractual purposes)</w:t>
            </w:r>
          </w:p>
        </w:tc>
      </w:tr>
      <w:tr w:rsidR="00771676" w14:paraId="1B674C5A"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17565B76" w14:textId="77777777" w:rsidR="00771676" w:rsidRPr="001C4F63" w:rsidRDefault="00771676" w:rsidP="001C4F63">
            <w:pPr>
              <w:pStyle w:val="Text"/>
              <w:numPr>
                <w:ilvl w:val="0"/>
                <w:numId w:val="7"/>
              </w:numPr>
              <w:spacing w:after="0"/>
              <w:rPr>
                <w:rFonts w:asciiTheme="minorHAnsi" w:hAnsiTheme="minorHAnsi" w:cstheme="minorHAnsi"/>
              </w:rPr>
            </w:pPr>
          </w:p>
        </w:tc>
        <w:tc>
          <w:tcPr>
            <w:tcW w:w="3738" w:type="dxa"/>
            <w:vAlign w:val="center"/>
          </w:tcPr>
          <w:p w14:paraId="38107B14" w14:textId="77777777" w:rsidR="00771676" w:rsidRPr="00A865BB" w:rsidRDefault="00771676"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03856E41" w14:textId="49B8F977" w:rsid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pPr>
            <w:r>
              <w:t>Original/unpublished versions of datasets from:</w:t>
            </w:r>
          </w:p>
          <w:p w14:paraId="30E356E8" w14:textId="77777777" w:rsidR="00B46079" w:rsidRDefault="00B46079" w:rsidP="00B46079">
            <w:pPr>
              <w:pStyle w:val="Text"/>
              <w:numPr>
                <w:ilvl w:val="0"/>
                <w:numId w:val="23"/>
              </w:numPr>
              <w:spacing w:after="0"/>
              <w:cnfStyle w:val="000000000000" w:firstRow="0" w:lastRow="0" w:firstColumn="0" w:lastColumn="0" w:oddVBand="0" w:evenVBand="0" w:oddHBand="0" w:evenHBand="0" w:firstRowFirstColumn="0" w:firstRowLastColumn="0" w:lastRowFirstColumn="0" w:lastRowLastColumn="0"/>
            </w:pPr>
            <w:r w:rsidRPr="004A0B19">
              <w:t>Court Proceedings Database</w:t>
            </w:r>
          </w:p>
          <w:p w14:paraId="1C89CAF7" w14:textId="77777777" w:rsidR="00B46079" w:rsidRDefault="00B46079" w:rsidP="00B46079">
            <w:pPr>
              <w:pStyle w:val="Text"/>
              <w:numPr>
                <w:ilvl w:val="0"/>
                <w:numId w:val="23"/>
              </w:numPr>
              <w:spacing w:after="0"/>
              <w:cnfStyle w:val="000000000000" w:firstRow="0" w:lastRow="0" w:firstColumn="0" w:lastColumn="0" w:oddVBand="0" w:evenVBand="0" w:oddHBand="0" w:evenHBand="0" w:firstRowFirstColumn="0" w:firstRowLastColumn="0" w:lastRowFirstColumn="0" w:lastRowLastColumn="0"/>
            </w:pPr>
            <w:r w:rsidRPr="004A0B19">
              <w:t>Crown Court Sentencing Survey</w:t>
            </w:r>
          </w:p>
          <w:p w14:paraId="6D3C208C" w14:textId="77777777" w:rsidR="00B46079" w:rsidRDefault="00B46079" w:rsidP="00B46079">
            <w:pPr>
              <w:pStyle w:val="Text"/>
              <w:numPr>
                <w:ilvl w:val="0"/>
                <w:numId w:val="23"/>
              </w:numPr>
              <w:spacing w:after="0"/>
              <w:cnfStyle w:val="000000000000" w:firstRow="0" w:lastRow="0" w:firstColumn="0" w:lastColumn="0" w:oddVBand="0" w:evenVBand="0" w:oddHBand="0" w:evenHBand="0" w:firstRowFirstColumn="0" w:firstRowLastColumn="0" w:lastRowFirstColumn="0" w:lastRowLastColumn="0"/>
            </w:pPr>
            <w:r>
              <w:t>B</w:t>
            </w:r>
            <w:r w:rsidRPr="004A0B19">
              <w:t>espoke data collection exercises</w:t>
            </w:r>
          </w:p>
          <w:p w14:paraId="36B98B41" w14:textId="77777777" w:rsid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pPr>
          </w:p>
          <w:p w14:paraId="73E70D11" w14:textId="77777777" w:rsidR="00B46079"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pPr>
            <w:r>
              <w:t>This excludes published datasets.</w:t>
            </w:r>
          </w:p>
          <w:p w14:paraId="66FF7AEF" w14:textId="4FCFD9E5" w:rsidR="00B46079" w:rsidRPr="001C4F63" w:rsidRDefault="00B46079" w:rsidP="00B4607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99" w:type="dxa"/>
            <w:vAlign w:val="center"/>
          </w:tcPr>
          <w:p w14:paraId="721BFE16" w14:textId="77777777" w:rsidR="00771676" w:rsidRPr="001C4F63" w:rsidRDefault="00771676"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634E7DF4" w14:textId="697B960D" w:rsidR="00DE0AB5" w:rsidRPr="00A865BB" w:rsidRDefault="00DE0AB5" w:rsidP="00D81E08">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6"/>
              </w:rPr>
            </w:pPr>
          </w:p>
          <w:p w14:paraId="277B9D72" w14:textId="17D2A361" w:rsidR="00DE0AB5" w:rsidRPr="00DE0AB5" w:rsidRDefault="00DE0AB5" w:rsidP="00DE0AB5">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0AB5">
              <w:rPr>
                <w:rFonts w:asciiTheme="minorHAnsi" w:hAnsiTheme="minorHAnsi" w:cstheme="minorHAnsi"/>
              </w:rPr>
              <w:t xml:space="preserve">If the data are accessed via a data sharing agreement, then </w:t>
            </w:r>
            <w:r w:rsidRPr="00DE0AB5">
              <w:rPr>
                <w:rFonts w:asciiTheme="minorHAnsi" w:hAnsiTheme="minorHAnsi" w:cstheme="minorHAnsi"/>
                <w:b/>
              </w:rPr>
              <w:t>keep/delete in line with the relevant DSA</w:t>
            </w:r>
            <w:r w:rsidRPr="00DE0AB5">
              <w:rPr>
                <w:rFonts w:asciiTheme="minorHAnsi" w:hAnsiTheme="minorHAnsi" w:cstheme="minorHAnsi"/>
              </w:rPr>
              <w:t>.</w:t>
            </w:r>
          </w:p>
          <w:p w14:paraId="06D27A16" w14:textId="77777777" w:rsidR="00DE0AB5" w:rsidRPr="00DE0AB5" w:rsidRDefault="00DE0AB5" w:rsidP="00DE0AB5">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53D81C" w14:textId="77777777" w:rsidR="00DE0AB5" w:rsidRPr="00DE0AB5" w:rsidRDefault="00DE0AB5" w:rsidP="00DE0AB5">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0AB5">
              <w:rPr>
                <w:rFonts w:asciiTheme="minorHAnsi" w:hAnsiTheme="minorHAnsi" w:cstheme="minorHAnsi"/>
              </w:rPr>
              <w:t xml:space="preserve">Otherwise, keep for </w:t>
            </w:r>
            <w:r w:rsidRPr="00DE0AB5">
              <w:rPr>
                <w:rFonts w:asciiTheme="minorHAnsi" w:hAnsiTheme="minorHAnsi" w:cstheme="minorHAnsi"/>
                <w:b/>
              </w:rPr>
              <w:t>ten years</w:t>
            </w:r>
            <w:r w:rsidRPr="00DE0AB5">
              <w:rPr>
                <w:rFonts w:asciiTheme="minorHAnsi" w:hAnsiTheme="minorHAnsi" w:cstheme="minorHAnsi"/>
              </w:rPr>
              <w:t xml:space="preserve"> and then review:</w:t>
            </w:r>
          </w:p>
          <w:p w14:paraId="47967EC4" w14:textId="72F5E173" w:rsidR="00DE0AB5" w:rsidRPr="00DE0AB5" w:rsidRDefault="00DE0AB5" w:rsidP="00DE0AB5">
            <w:pPr>
              <w:pStyle w:val="Text"/>
              <w:numPr>
                <w:ilvl w:val="0"/>
                <w:numId w:val="2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0AB5">
              <w:rPr>
                <w:rFonts w:asciiTheme="minorHAnsi" w:hAnsiTheme="minorHAnsi" w:cstheme="minorHAnsi"/>
              </w:rPr>
              <w:t>Where operationally relevant, keep for another five years and repeat the process until the item is no longer needed.</w:t>
            </w:r>
          </w:p>
          <w:p w14:paraId="45386A8E" w14:textId="7B973AA2" w:rsidR="00DE0AB5" w:rsidRPr="00DE0AB5" w:rsidRDefault="00DE0AB5" w:rsidP="00DE0AB5">
            <w:pPr>
              <w:pStyle w:val="Text"/>
              <w:numPr>
                <w:ilvl w:val="0"/>
                <w:numId w:val="2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0AB5">
              <w:rPr>
                <w:rFonts w:asciiTheme="minorHAnsi" w:hAnsiTheme="minorHAnsi" w:cstheme="minorHAnsi"/>
              </w:rPr>
              <w:t>Where no longer needed, destroy immediately.</w:t>
            </w:r>
          </w:p>
          <w:p w14:paraId="36EF74F9" w14:textId="37CA0CA9" w:rsidR="00771676" w:rsidRPr="00A865BB" w:rsidRDefault="00771676" w:rsidP="00DE0AB5">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r>
      <w:tr w:rsidR="00710DA6" w14:paraId="5286DE09"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13516D5C" w14:textId="77777777" w:rsidR="00710DA6" w:rsidRPr="001C4F63" w:rsidRDefault="00710DA6" w:rsidP="00710DA6">
            <w:pPr>
              <w:pStyle w:val="Text"/>
              <w:numPr>
                <w:ilvl w:val="0"/>
                <w:numId w:val="7"/>
              </w:numPr>
              <w:spacing w:after="0"/>
              <w:rPr>
                <w:rFonts w:asciiTheme="minorHAnsi" w:hAnsiTheme="minorHAnsi" w:cstheme="minorHAnsi"/>
              </w:rPr>
            </w:pPr>
          </w:p>
        </w:tc>
        <w:tc>
          <w:tcPr>
            <w:tcW w:w="3738" w:type="dxa"/>
            <w:vAlign w:val="center"/>
          </w:tcPr>
          <w:p w14:paraId="560425B8"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p>
          <w:p w14:paraId="640C2110" w14:textId="3D4D355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r w:rsidRPr="00940F87">
              <w:t>Field research (e.g. with sentencers)</w:t>
            </w:r>
          </w:p>
          <w:p w14:paraId="405D54A1"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Pr="00940F87">
              <w:t>A</w:t>
            </w:r>
            <w:r>
              <w:t>udio recordings from interviews</w:t>
            </w:r>
          </w:p>
          <w:p w14:paraId="13EB7989"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r>
              <w:t>b) T</w:t>
            </w:r>
            <w:r w:rsidRPr="00940F87">
              <w:t>ranscripts/summaries of individual interviews and focus groups</w:t>
            </w:r>
          </w:p>
          <w:p w14:paraId="35DD2F60" w14:textId="556B6416" w:rsidR="00710DA6" w:rsidRPr="001C4F63"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99" w:type="dxa"/>
            <w:vAlign w:val="center"/>
          </w:tcPr>
          <w:p w14:paraId="016F3E43" w14:textId="77777777" w:rsidR="00710DA6" w:rsidRPr="001C4F63" w:rsidRDefault="00710DA6" w:rsidP="00710DA6">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0E6F5D96" w14:textId="77777777" w:rsidR="00710DA6" w:rsidRPr="00A865BB"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6165F9E3"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five years</w:t>
            </w:r>
            <w:r>
              <w:t xml:space="preserve"> from research end date and then destroy.</w:t>
            </w:r>
          </w:p>
          <w:p w14:paraId="203074B9"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p>
          <w:p w14:paraId="7DFAAF53"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r>
              <w:t>Copies should be destroyed at project end, following confirmation that a record has been stored.</w:t>
            </w:r>
          </w:p>
          <w:p w14:paraId="23B42F4A" w14:textId="77777777" w:rsidR="00710DA6" w:rsidRPr="00A865BB"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r>
      <w:tr w:rsidR="00710DA6" w14:paraId="42482A6B"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6DBFC051" w14:textId="77777777" w:rsidR="00710DA6" w:rsidRPr="001C4F63" w:rsidRDefault="00710DA6" w:rsidP="00710DA6">
            <w:pPr>
              <w:pStyle w:val="Text"/>
              <w:numPr>
                <w:ilvl w:val="0"/>
                <w:numId w:val="7"/>
              </w:numPr>
              <w:spacing w:after="0"/>
              <w:rPr>
                <w:rFonts w:asciiTheme="minorHAnsi" w:hAnsiTheme="minorHAnsi" w:cstheme="minorHAnsi"/>
              </w:rPr>
            </w:pPr>
          </w:p>
        </w:tc>
        <w:tc>
          <w:tcPr>
            <w:tcW w:w="3738" w:type="dxa"/>
            <w:vAlign w:val="center"/>
          </w:tcPr>
          <w:p w14:paraId="27E4BC33"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p>
          <w:p w14:paraId="106DD403" w14:textId="551F2BEB"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val="en"/>
              </w:rPr>
            </w:pPr>
            <w:r>
              <w:t xml:space="preserve">a) </w:t>
            </w:r>
            <w:r>
              <w:rPr>
                <w:rFonts w:eastAsia="Times New Roman" w:cs="Arial"/>
                <w:szCs w:val="20"/>
                <w:lang w:val="en"/>
              </w:rPr>
              <w:t>Summaries of findings (the write-up of research)</w:t>
            </w:r>
          </w:p>
          <w:p w14:paraId="205BB40D"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val="en"/>
              </w:rPr>
            </w:pPr>
            <w:r>
              <w:rPr>
                <w:rFonts w:eastAsia="Times New Roman" w:cs="Arial"/>
                <w:szCs w:val="20"/>
                <w:lang w:val="en"/>
              </w:rPr>
              <w:t>b) Unpublished data analysis (including draft/working analysis used to produce statistical bulletins, resource assessments and evaluation reports)</w:t>
            </w:r>
          </w:p>
          <w:p w14:paraId="7041DBD5" w14:textId="751ACDF2" w:rsidR="00710DA6" w:rsidRPr="001C4F63"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99" w:type="dxa"/>
            <w:vAlign w:val="center"/>
          </w:tcPr>
          <w:p w14:paraId="299B76B0" w14:textId="77777777" w:rsidR="00710DA6" w:rsidRPr="001C4F63" w:rsidRDefault="00710DA6" w:rsidP="00710DA6">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1525065B" w14:textId="77777777" w:rsidR="00710DA6" w:rsidRPr="00A865BB"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487186A2"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five years</w:t>
            </w:r>
            <w:r>
              <w:t xml:space="preserve"> after end of project or document finalised: </w:t>
            </w:r>
          </w:p>
          <w:p w14:paraId="4646C9D2" w14:textId="6242A88D" w:rsidR="00710DA6" w:rsidRDefault="00710DA6" w:rsidP="00710DA6">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pPr>
            <w:r>
              <w:t xml:space="preserve">Where </w:t>
            </w:r>
            <w:r w:rsidRPr="003003C5">
              <w:t xml:space="preserve">responses still relate to </w:t>
            </w:r>
            <w:r w:rsidR="00D33F0B">
              <w:t>issues under consideration or operationally relevant</w:t>
            </w:r>
            <w:r>
              <w:t xml:space="preserve">, keep for another </w:t>
            </w:r>
            <w:r w:rsidRPr="00710DA6">
              <w:rPr>
                <w:b/>
              </w:rPr>
              <w:t>five years</w:t>
            </w:r>
            <w:r>
              <w:t xml:space="preserve"> and repeat the process until the item is no longer needed.</w:t>
            </w:r>
          </w:p>
          <w:p w14:paraId="24B95661" w14:textId="77777777" w:rsidR="00710DA6" w:rsidRDefault="00710DA6" w:rsidP="00710DA6">
            <w:pPr>
              <w:pStyle w:val="ListParagraph"/>
              <w:numPr>
                <w:ilvl w:val="0"/>
                <w:numId w:val="20"/>
              </w:numPr>
              <w:spacing w:after="0"/>
              <w:cnfStyle w:val="000000000000" w:firstRow="0" w:lastRow="0" w:firstColumn="0" w:lastColumn="0" w:oddVBand="0" w:evenVBand="0" w:oddHBand="0" w:evenHBand="0" w:firstRowFirstColumn="0" w:firstRowLastColumn="0" w:lastRowFirstColumn="0" w:lastRowLastColumn="0"/>
            </w:pPr>
            <w:r>
              <w:t>Where no longer needed, destroy immediately.</w:t>
            </w:r>
          </w:p>
          <w:p w14:paraId="75339FF3"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p>
          <w:p w14:paraId="588C2FE0" w14:textId="77777777" w:rsidR="00710DA6" w:rsidRDefault="00710DA6" w:rsidP="00710DA6">
            <w:pPr>
              <w:pStyle w:val="Text"/>
              <w:spacing w:after="0"/>
              <w:cnfStyle w:val="000000000000" w:firstRow="0" w:lastRow="0" w:firstColumn="0" w:lastColumn="0" w:oddVBand="0" w:evenVBand="0" w:oddHBand="0" w:evenHBand="0" w:firstRowFirstColumn="0" w:firstRowLastColumn="0" w:lastRowFirstColumn="0" w:lastRowLastColumn="0"/>
            </w:pPr>
            <w:r>
              <w:t>Copies should be destroyed at project end, following confirmation that a record has been stored.</w:t>
            </w:r>
          </w:p>
          <w:p w14:paraId="4C24FE9A" w14:textId="2390A2CB" w:rsidR="00BF70F8" w:rsidRPr="00A865BB" w:rsidRDefault="00BF70F8" w:rsidP="00710DA6">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r>
      <w:tr w:rsidR="00D33F0B" w:rsidRPr="00E66A89" w14:paraId="334CD1CD" w14:textId="77777777" w:rsidTr="00BF70F8">
        <w:tc>
          <w:tcPr>
            <w:cnfStyle w:val="001000000000" w:firstRow="0" w:lastRow="0" w:firstColumn="1" w:lastColumn="0" w:oddVBand="0" w:evenVBand="0" w:oddHBand="0" w:evenHBand="0" w:firstRowFirstColumn="0" w:firstRowLastColumn="0" w:lastRowFirstColumn="0" w:lastRowLastColumn="0"/>
            <w:tcW w:w="10001" w:type="dxa"/>
            <w:gridSpan w:val="4"/>
            <w:vAlign w:val="center"/>
          </w:tcPr>
          <w:p w14:paraId="03DA57C2" w14:textId="77777777" w:rsidR="00D33F0B" w:rsidRDefault="00D33F0B" w:rsidP="00CC0F7B">
            <w:pPr>
              <w:pStyle w:val="Text"/>
              <w:spacing w:after="0"/>
              <w:jc w:val="center"/>
              <w:rPr>
                <w:rFonts w:asciiTheme="minorHAnsi" w:hAnsiTheme="minorHAnsi" w:cstheme="minorHAnsi"/>
                <w:sz w:val="24"/>
              </w:rPr>
            </w:pPr>
          </w:p>
          <w:p w14:paraId="482AB4A4" w14:textId="77777777" w:rsidR="00D33F0B" w:rsidRDefault="00D33F0B" w:rsidP="00CC0F7B">
            <w:pPr>
              <w:pStyle w:val="Text"/>
              <w:spacing w:after="0"/>
              <w:jc w:val="center"/>
              <w:rPr>
                <w:rFonts w:asciiTheme="minorHAnsi" w:hAnsiTheme="minorHAnsi" w:cstheme="minorHAnsi"/>
                <w:sz w:val="24"/>
              </w:rPr>
            </w:pPr>
          </w:p>
          <w:p w14:paraId="2E2C69F8" w14:textId="77777777" w:rsidR="00D33F0B" w:rsidRDefault="00D33F0B" w:rsidP="00CC0F7B">
            <w:pPr>
              <w:pStyle w:val="Text"/>
              <w:spacing w:after="0"/>
              <w:jc w:val="center"/>
              <w:rPr>
                <w:rFonts w:asciiTheme="minorHAnsi" w:hAnsiTheme="minorHAnsi" w:cstheme="minorHAnsi"/>
                <w:sz w:val="24"/>
              </w:rPr>
            </w:pPr>
          </w:p>
          <w:p w14:paraId="112CCEDE" w14:textId="77777777" w:rsidR="00D33F0B" w:rsidRDefault="00D33F0B" w:rsidP="00CC0F7B">
            <w:pPr>
              <w:pStyle w:val="Text"/>
              <w:spacing w:after="0"/>
              <w:jc w:val="center"/>
              <w:rPr>
                <w:rFonts w:asciiTheme="minorHAnsi" w:hAnsiTheme="minorHAnsi" w:cstheme="minorHAnsi"/>
                <w:sz w:val="24"/>
              </w:rPr>
            </w:pPr>
          </w:p>
          <w:p w14:paraId="595880AA" w14:textId="4BF1AAA8" w:rsidR="00D33F0B" w:rsidRPr="001C4F63" w:rsidRDefault="00D33F0B" w:rsidP="00CC0F7B">
            <w:pPr>
              <w:pStyle w:val="Text"/>
              <w:spacing w:after="0"/>
              <w:jc w:val="center"/>
              <w:rPr>
                <w:rFonts w:asciiTheme="minorHAnsi" w:hAnsiTheme="minorHAnsi" w:cstheme="minorHAnsi"/>
                <w:sz w:val="24"/>
              </w:rPr>
            </w:pPr>
          </w:p>
        </w:tc>
      </w:tr>
      <w:tr w:rsidR="00E66A89" w:rsidRPr="00E66A89" w14:paraId="43334BAC" w14:textId="77777777" w:rsidTr="00BF70F8">
        <w:tc>
          <w:tcPr>
            <w:cnfStyle w:val="001000000000" w:firstRow="0" w:lastRow="0" w:firstColumn="1" w:lastColumn="0" w:oddVBand="0" w:evenVBand="0" w:oddHBand="0" w:evenHBand="0" w:firstRowFirstColumn="0" w:firstRowLastColumn="0" w:lastRowFirstColumn="0" w:lastRowLastColumn="0"/>
            <w:tcW w:w="10001" w:type="dxa"/>
            <w:gridSpan w:val="4"/>
            <w:vAlign w:val="center"/>
          </w:tcPr>
          <w:p w14:paraId="659027DB" w14:textId="77777777" w:rsidR="00E66A89" w:rsidRPr="001C4F63" w:rsidRDefault="00E66A89" w:rsidP="00CC0F7B">
            <w:pPr>
              <w:pStyle w:val="Text"/>
              <w:spacing w:after="0"/>
              <w:jc w:val="center"/>
              <w:rPr>
                <w:rFonts w:asciiTheme="minorHAnsi" w:hAnsiTheme="minorHAnsi" w:cstheme="minorHAnsi"/>
                <w:sz w:val="24"/>
              </w:rPr>
            </w:pPr>
          </w:p>
          <w:p w14:paraId="6655E65B" w14:textId="77777777" w:rsidR="00E66A89" w:rsidRPr="001C4F63" w:rsidRDefault="00E66A89" w:rsidP="00CC0F7B">
            <w:pPr>
              <w:pStyle w:val="Text"/>
              <w:spacing w:after="0"/>
              <w:jc w:val="center"/>
              <w:rPr>
                <w:rFonts w:asciiTheme="minorHAnsi" w:hAnsiTheme="minorHAnsi" w:cstheme="minorHAnsi"/>
                <w:sz w:val="24"/>
              </w:rPr>
            </w:pPr>
            <w:r w:rsidRPr="001C4F63">
              <w:rPr>
                <w:rFonts w:asciiTheme="minorHAnsi" w:hAnsiTheme="minorHAnsi" w:cstheme="minorHAnsi"/>
                <w:sz w:val="24"/>
              </w:rPr>
              <w:t>2. Records managed by a common retention and disposition policy</w:t>
            </w:r>
          </w:p>
          <w:p w14:paraId="08731D2F" w14:textId="77777777" w:rsidR="00E66A89" w:rsidRPr="001C4F63" w:rsidRDefault="00E66A89" w:rsidP="00CC0F7B">
            <w:pPr>
              <w:pStyle w:val="Text"/>
              <w:spacing w:after="0"/>
              <w:jc w:val="center"/>
              <w:rPr>
                <w:rFonts w:asciiTheme="minorHAnsi" w:hAnsiTheme="minorHAnsi" w:cstheme="minorHAnsi"/>
              </w:rPr>
            </w:pPr>
          </w:p>
        </w:tc>
      </w:tr>
      <w:tr w:rsidR="003C18E9" w:rsidRPr="003C18E9" w14:paraId="392F1E65"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21EAD6C9" w14:textId="77777777" w:rsidR="0076139D" w:rsidRPr="003C18E9" w:rsidRDefault="0076139D" w:rsidP="001C4F63">
            <w:pPr>
              <w:pStyle w:val="Text"/>
              <w:numPr>
                <w:ilvl w:val="0"/>
                <w:numId w:val="7"/>
              </w:numPr>
              <w:spacing w:after="0"/>
              <w:rPr>
                <w:rFonts w:asciiTheme="minorHAnsi" w:hAnsiTheme="minorHAnsi" w:cstheme="minorHAnsi"/>
              </w:rPr>
            </w:pPr>
          </w:p>
        </w:tc>
        <w:tc>
          <w:tcPr>
            <w:tcW w:w="3738" w:type="dxa"/>
            <w:vAlign w:val="center"/>
          </w:tcPr>
          <w:p w14:paraId="62137573" w14:textId="77777777" w:rsidR="0076139D" w:rsidRPr="00A865BB" w:rsidRDefault="0076139D"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1F8DB796" w14:textId="77777777" w:rsidR="0076139D" w:rsidRPr="003C18E9" w:rsidRDefault="0076139D"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Paper copies of records that have been digitised</w:t>
            </w:r>
          </w:p>
          <w:p w14:paraId="493E9391" w14:textId="77777777" w:rsidR="0076139D" w:rsidRPr="00A865BB" w:rsidRDefault="0076139D"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00B00483" w14:textId="77777777" w:rsidR="0076139D" w:rsidRPr="003C18E9" w:rsidRDefault="0076139D"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7BA9B91A" w14:textId="75FDC981" w:rsidR="00A865BB" w:rsidRPr="00A865BB" w:rsidRDefault="00062E3B" w:rsidP="00A865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 xml:space="preserve">Keep for no longer than </w:t>
            </w:r>
            <w:r w:rsidRPr="003C18E9">
              <w:rPr>
                <w:rFonts w:asciiTheme="minorHAnsi" w:hAnsiTheme="minorHAnsi" w:cstheme="minorHAnsi"/>
                <w:b/>
              </w:rPr>
              <w:t>30 days</w:t>
            </w:r>
            <w:r w:rsidRPr="003C18E9">
              <w:rPr>
                <w:rFonts w:asciiTheme="minorHAnsi" w:hAnsiTheme="minorHAnsi" w:cstheme="minorHAnsi"/>
              </w:rPr>
              <w:t xml:space="preserve"> from date scanned and then destroy</w:t>
            </w:r>
            <w:r w:rsidRPr="003C18E9">
              <w:rPr>
                <w:rStyle w:val="FootnoteReference"/>
                <w:rFonts w:asciiTheme="minorHAnsi" w:hAnsiTheme="minorHAnsi" w:cstheme="minorHAnsi"/>
              </w:rPr>
              <w:footnoteReference w:id="13"/>
            </w:r>
            <w:r w:rsidRPr="003C18E9">
              <w:rPr>
                <w:rFonts w:asciiTheme="minorHAnsi" w:hAnsiTheme="minorHAnsi" w:cstheme="minorHAnsi"/>
              </w:rPr>
              <w:t>.</w:t>
            </w:r>
          </w:p>
        </w:tc>
      </w:tr>
      <w:tr w:rsidR="003C18E9" w:rsidRPr="003C18E9" w14:paraId="79683FE4"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6A67F683" w14:textId="77777777" w:rsidR="004C14D9" w:rsidRPr="003C18E9" w:rsidRDefault="004C14D9" w:rsidP="001C4F63">
            <w:pPr>
              <w:pStyle w:val="Text"/>
              <w:numPr>
                <w:ilvl w:val="0"/>
                <w:numId w:val="7"/>
              </w:numPr>
              <w:spacing w:after="0"/>
              <w:rPr>
                <w:rFonts w:asciiTheme="minorHAnsi" w:hAnsiTheme="minorHAnsi" w:cstheme="minorHAnsi"/>
              </w:rPr>
            </w:pPr>
          </w:p>
        </w:tc>
        <w:tc>
          <w:tcPr>
            <w:tcW w:w="3738" w:type="dxa"/>
            <w:vAlign w:val="center"/>
          </w:tcPr>
          <w:p w14:paraId="76DC013B" w14:textId="77777777" w:rsidR="004C14D9" w:rsidRPr="00A865BB" w:rsidRDefault="004C14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71283BE7" w14:textId="77777777" w:rsidR="004C14D9" w:rsidRPr="003C18E9" w:rsidRDefault="004C14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a) Records and information held in open internet tools (e.g. YouTube videos, podcasts)</w:t>
            </w:r>
            <w:r w:rsidRPr="003C18E9">
              <w:rPr>
                <w:rStyle w:val="FootnoteReference"/>
                <w:rFonts w:asciiTheme="minorHAnsi" w:hAnsiTheme="minorHAnsi" w:cstheme="minorHAnsi"/>
              </w:rPr>
              <w:footnoteReference w:id="14"/>
            </w:r>
            <w:r w:rsidRPr="003C18E9">
              <w:rPr>
                <w:rFonts w:asciiTheme="minorHAnsi" w:hAnsiTheme="minorHAnsi" w:cstheme="minorHAnsi"/>
              </w:rPr>
              <w:t xml:space="preserve"> </w:t>
            </w:r>
          </w:p>
          <w:p w14:paraId="2F8EF658" w14:textId="77777777" w:rsidR="004C14D9" w:rsidRPr="003C18E9" w:rsidRDefault="004C14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b) Records and information held on mobile phones (e.g. text messages, WhatsApp)</w:t>
            </w:r>
          </w:p>
          <w:p w14:paraId="1A8D5753" w14:textId="77777777" w:rsidR="004C14D9" w:rsidRPr="003C18E9" w:rsidRDefault="004C14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c) Instant Messages (Skype, Teams, etc)</w:t>
            </w:r>
          </w:p>
          <w:p w14:paraId="3168F2FB" w14:textId="77777777" w:rsidR="004C14D9" w:rsidRPr="00A865BB" w:rsidRDefault="004C14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223E5689" w14:textId="6EEDA3BD" w:rsidR="004C14D9" w:rsidRPr="003C18E9" w:rsidRDefault="004C14D9"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688059D1" w14:textId="77777777" w:rsidR="004C14D9" w:rsidRPr="003C18E9" w:rsidRDefault="004C14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1B8D0A7" w14:textId="77777777" w:rsidR="004C14D9" w:rsidRPr="003C18E9" w:rsidRDefault="004C14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 xml:space="preserve">Keep for </w:t>
            </w:r>
            <w:r w:rsidRPr="003C18E9">
              <w:rPr>
                <w:rFonts w:asciiTheme="minorHAnsi" w:hAnsiTheme="minorHAnsi" w:cstheme="minorHAnsi"/>
                <w:b/>
              </w:rPr>
              <w:t>three months</w:t>
            </w:r>
            <w:r w:rsidRPr="003C18E9">
              <w:rPr>
                <w:rFonts w:asciiTheme="minorHAnsi" w:hAnsiTheme="minorHAnsi" w:cstheme="minorHAnsi"/>
              </w:rPr>
              <w:t xml:space="preserve"> and then transfer to the corporate memory or destroy</w:t>
            </w:r>
          </w:p>
          <w:p w14:paraId="4C8A86F5" w14:textId="0C952BAA" w:rsidR="004C14D9" w:rsidRPr="003C18E9" w:rsidRDefault="004C14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8E9" w:rsidRPr="003C18E9" w14:paraId="5F35176D"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73391C94" w14:textId="77777777" w:rsidR="00253E19" w:rsidRPr="003C18E9" w:rsidRDefault="00253E19" w:rsidP="001C4F63">
            <w:pPr>
              <w:pStyle w:val="Text"/>
              <w:numPr>
                <w:ilvl w:val="0"/>
                <w:numId w:val="7"/>
              </w:numPr>
              <w:spacing w:after="0"/>
              <w:rPr>
                <w:rFonts w:asciiTheme="minorHAnsi" w:hAnsiTheme="minorHAnsi" w:cstheme="minorHAnsi"/>
              </w:rPr>
            </w:pPr>
          </w:p>
        </w:tc>
        <w:tc>
          <w:tcPr>
            <w:tcW w:w="3738" w:type="dxa"/>
            <w:vAlign w:val="center"/>
          </w:tcPr>
          <w:p w14:paraId="53CF5044" w14:textId="77777777" w:rsidR="00253E19" w:rsidRPr="00A865BB" w:rsidRDefault="00253E1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lang w:eastAsia="en-US"/>
              </w:rPr>
            </w:pPr>
          </w:p>
          <w:p w14:paraId="53471A3E" w14:textId="77777777" w:rsidR="00253E19" w:rsidRPr="003C18E9" w:rsidRDefault="00253E1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3C18E9">
              <w:rPr>
                <w:rFonts w:asciiTheme="minorHAnsi" w:hAnsiTheme="minorHAnsi" w:cstheme="minorHAnsi"/>
                <w:lang w:eastAsia="en-US"/>
              </w:rPr>
              <w:t>HR information (held by line managers)</w:t>
            </w:r>
          </w:p>
          <w:p w14:paraId="710A5FF6" w14:textId="77777777" w:rsidR="00253E19" w:rsidRPr="00A865BB" w:rsidRDefault="00253E1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3610467F" w14:textId="77777777" w:rsidR="00253E19" w:rsidRPr="003C18E9" w:rsidRDefault="00253E19"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296D3FCB" w14:textId="4A98C17B" w:rsidR="00253E19" w:rsidRPr="003C18E9" w:rsidRDefault="00253E1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lang w:eastAsia="en-US"/>
              </w:rPr>
              <w:t xml:space="preserve">Destroy in line with the </w:t>
            </w:r>
            <w:r w:rsidRPr="003C18E9">
              <w:rPr>
                <w:rFonts w:asciiTheme="minorHAnsi" w:hAnsiTheme="minorHAnsi" w:cstheme="minorHAnsi"/>
                <w:i/>
                <w:lang w:eastAsia="en-US"/>
              </w:rPr>
              <w:t>What to keep</w:t>
            </w:r>
            <w:r w:rsidRPr="003C18E9">
              <w:rPr>
                <w:rStyle w:val="FootnoteReference"/>
                <w:rFonts w:asciiTheme="minorHAnsi" w:hAnsiTheme="minorHAnsi" w:cstheme="minorHAnsi"/>
                <w:lang w:eastAsia="en-US"/>
              </w:rPr>
              <w:footnoteReference w:id="15"/>
            </w:r>
            <w:r w:rsidRPr="003C18E9">
              <w:rPr>
                <w:rFonts w:asciiTheme="minorHAnsi" w:hAnsiTheme="minorHAnsi" w:cstheme="minorHAnsi"/>
                <w:lang w:eastAsia="en-US"/>
              </w:rPr>
              <w:t xml:space="preserve"> guidance</w:t>
            </w:r>
          </w:p>
        </w:tc>
      </w:tr>
      <w:tr w:rsidR="003C18E9" w:rsidRPr="00D929D7" w14:paraId="21FA0419"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2E6036EA" w14:textId="77777777" w:rsidR="005125BA" w:rsidRPr="00D929D7" w:rsidRDefault="005125BA" w:rsidP="001C4F63">
            <w:pPr>
              <w:pStyle w:val="Text"/>
              <w:numPr>
                <w:ilvl w:val="0"/>
                <w:numId w:val="7"/>
              </w:numPr>
              <w:spacing w:after="0"/>
              <w:rPr>
                <w:rFonts w:asciiTheme="minorHAnsi" w:hAnsiTheme="minorHAnsi" w:cstheme="minorHAnsi"/>
              </w:rPr>
            </w:pPr>
          </w:p>
        </w:tc>
        <w:tc>
          <w:tcPr>
            <w:tcW w:w="3738" w:type="dxa"/>
            <w:vAlign w:val="center"/>
          </w:tcPr>
          <w:p w14:paraId="3C57B8A9" w14:textId="77777777" w:rsidR="005125BA" w:rsidRPr="00A865BB" w:rsidRDefault="005125BA"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lang w:eastAsia="en-US"/>
              </w:rPr>
            </w:pPr>
          </w:p>
          <w:p w14:paraId="0C540636" w14:textId="77777777" w:rsidR="005125BA" w:rsidRPr="00D929D7" w:rsidRDefault="005125BA"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29D7">
              <w:rPr>
                <w:rFonts w:asciiTheme="minorHAnsi" w:hAnsiTheme="minorHAnsi" w:cstheme="minorHAnsi"/>
              </w:rPr>
              <w:t>Responses to Subject Access Requests</w:t>
            </w:r>
          </w:p>
          <w:p w14:paraId="3C278A6C" w14:textId="77777777" w:rsidR="005125BA" w:rsidRPr="00A865BB" w:rsidRDefault="005125BA"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53F61BCA" w14:textId="77777777" w:rsidR="005125BA" w:rsidRPr="00D929D7" w:rsidRDefault="005125BA"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2394E3F5" w14:textId="5A231DBA" w:rsidR="005125BA" w:rsidRPr="00D929D7" w:rsidRDefault="005125BA" w:rsidP="00A865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29D7">
              <w:rPr>
                <w:rFonts w:asciiTheme="minorHAnsi" w:hAnsiTheme="minorHAnsi" w:cstheme="minorHAnsi"/>
              </w:rPr>
              <w:t xml:space="preserve">Keep for </w:t>
            </w:r>
            <w:r w:rsidRPr="00D929D7">
              <w:rPr>
                <w:rFonts w:asciiTheme="minorHAnsi" w:hAnsiTheme="minorHAnsi" w:cstheme="minorHAnsi"/>
                <w:b/>
              </w:rPr>
              <w:t>nine months</w:t>
            </w:r>
            <w:r w:rsidRPr="00D929D7">
              <w:rPr>
                <w:rFonts w:asciiTheme="minorHAnsi" w:hAnsiTheme="minorHAnsi" w:cstheme="minorHAnsi"/>
              </w:rPr>
              <w:t xml:space="preserve"> and then destroy. </w:t>
            </w:r>
          </w:p>
        </w:tc>
      </w:tr>
      <w:tr w:rsidR="00D929D7" w:rsidRPr="00D929D7" w14:paraId="275345A7"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291543EB" w14:textId="77777777" w:rsidR="008078A6" w:rsidRPr="00D929D7" w:rsidRDefault="008078A6" w:rsidP="001C4F63">
            <w:pPr>
              <w:pStyle w:val="Text"/>
              <w:numPr>
                <w:ilvl w:val="0"/>
                <w:numId w:val="7"/>
              </w:numPr>
              <w:spacing w:after="0"/>
              <w:rPr>
                <w:rFonts w:asciiTheme="minorHAnsi" w:hAnsiTheme="minorHAnsi" w:cstheme="minorHAnsi"/>
              </w:rPr>
            </w:pPr>
          </w:p>
        </w:tc>
        <w:tc>
          <w:tcPr>
            <w:tcW w:w="3738" w:type="dxa"/>
            <w:vAlign w:val="center"/>
          </w:tcPr>
          <w:p w14:paraId="5D555ED1" w14:textId="77777777" w:rsidR="008078A6" w:rsidRPr="00A865BB" w:rsidRDefault="008078A6"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5BC1831A" w14:textId="696DAECB" w:rsidR="008078A6" w:rsidRPr="00D929D7" w:rsidRDefault="008078A6" w:rsidP="00D929D7">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29D7">
              <w:rPr>
                <w:rFonts w:asciiTheme="minorHAnsi" w:hAnsiTheme="minorHAnsi" w:cstheme="minorHAnsi"/>
              </w:rPr>
              <w:t>Background information (held by business) for responses to</w:t>
            </w:r>
            <w:r w:rsidR="00D929D7">
              <w:rPr>
                <w:rFonts w:asciiTheme="minorHAnsi" w:hAnsiTheme="minorHAnsi" w:cstheme="minorHAnsi"/>
              </w:rPr>
              <w:t xml:space="preserve"> </w:t>
            </w:r>
            <w:r w:rsidRPr="00D929D7">
              <w:rPr>
                <w:rFonts w:asciiTheme="minorHAnsi" w:hAnsiTheme="minorHAnsi" w:cstheme="minorHAnsi"/>
              </w:rPr>
              <w:t xml:space="preserve">Information requests made under: </w:t>
            </w:r>
          </w:p>
          <w:p w14:paraId="29CF5E27" w14:textId="31D5A1B4" w:rsidR="008078A6" w:rsidRPr="00D929D7" w:rsidRDefault="008078A6" w:rsidP="001C4F63">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29D7">
              <w:rPr>
                <w:rFonts w:asciiTheme="minorHAnsi" w:hAnsiTheme="minorHAnsi" w:cstheme="minorHAnsi"/>
              </w:rPr>
              <w:t>Freedom of Information Act</w:t>
            </w:r>
          </w:p>
          <w:p w14:paraId="44AB9FB6" w14:textId="55C42065" w:rsidR="008078A6" w:rsidRPr="00D929D7" w:rsidRDefault="008078A6" w:rsidP="001C4F63">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29D7">
              <w:rPr>
                <w:rFonts w:asciiTheme="minorHAnsi" w:hAnsiTheme="minorHAnsi" w:cstheme="minorHAnsi"/>
              </w:rPr>
              <w:t>Environmental Information Regulations</w:t>
            </w:r>
          </w:p>
          <w:p w14:paraId="2FDB62AB" w14:textId="36AA6AB5" w:rsidR="008078A6" w:rsidRPr="00A865BB" w:rsidRDefault="008078A6"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0E64FADD" w14:textId="77777777" w:rsidR="008078A6" w:rsidRPr="00D929D7" w:rsidRDefault="008078A6"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52F8A15D" w14:textId="67582633" w:rsidR="008078A6" w:rsidRPr="00DE0AB5" w:rsidRDefault="00DE0AB5" w:rsidP="00DE0AB5">
            <w:pPr>
              <w:pStyle w:val="Text"/>
              <w:spacing w:after="0"/>
              <w:cnfStyle w:val="000000000000" w:firstRow="0" w:lastRow="0" w:firstColumn="0" w:lastColumn="0" w:oddVBand="0" w:evenVBand="0" w:oddHBand="0" w:evenHBand="0" w:firstRowFirstColumn="0" w:firstRowLastColumn="0" w:lastRowFirstColumn="0" w:lastRowLastColumn="0"/>
            </w:pPr>
            <w:r>
              <w:t>K</w:t>
            </w:r>
            <w:r w:rsidRPr="009D45E3">
              <w:t xml:space="preserve">eep for </w:t>
            </w:r>
            <w:r w:rsidRPr="009D45E3">
              <w:rPr>
                <w:b/>
              </w:rPr>
              <w:t>two years</w:t>
            </w:r>
            <w:r w:rsidRPr="009D45E3">
              <w:t xml:space="preserve"> from date closed (whether routine or ICO)</w:t>
            </w:r>
            <w:r>
              <w:t xml:space="preserve"> and then destroy</w:t>
            </w:r>
            <w:r w:rsidRPr="009D45E3">
              <w:t>.</w:t>
            </w:r>
          </w:p>
        </w:tc>
      </w:tr>
      <w:tr w:rsidR="003C18E9" w:rsidRPr="003C18E9" w14:paraId="358FD107"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5A4DEEA0" w14:textId="77777777" w:rsidR="003C18E9" w:rsidRPr="003C18E9" w:rsidRDefault="003C18E9" w:rsidP="003C18E9">
            <w:pPr>
              <w:pStyle w:val="Text"/>
              <w:numPr>
                <w:ilvl w:val="0"/>
                <w:numId w:val="7"/>
              </w:numPr>
              <w:spacing w:after="0"/>
              <w:rPr>
                <w:rFonts w:asciiTheme="minorHAnsi" w:hAnsiTheme="minorHAnsi" w:cstheme="minorHAnsi"/>
              </w:rPr>
            </w:pPr>
          </w:p>
        </w:tc>
        <w:tc>
          <w:tcPr>
            <w:tcW w:w="3738" w:type="dxa"/>
            <w:vAlign w:val="center"/>
          </w:tcPr>
          <w:p w14:paraId="7AC856D9" w14:textId="77777777" w:rsidR="003C18E9" w:rsidRPr="00A865BB" w:rsidRDefault="003C18E9" w:rsidP="00821084">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72B8C428" w14:textId="77777777" w:rsidR="003C18E9" w:rsidRDefault="003C18E9" w:rsidP="00821084">
            <w:pPr>
              <w:pStyle w:val="Text"/>
              <w:spacing w:after="0"/>
              <w:cnfStyle w:val="000000000000" w:firstRow="0" w:lastRow="0" w:firstColumn="0" w:lastColumn="0" w:oddVBand="0" w:evenVBand="0" w:oddHBand="0" w:evenHBand="0" w:firstRowFirstColumn="0" w:firstRowLastColumn="0" w:lastRowFirstColumn="0" w:lastRowLastColumn="0"/>
            </w:pPr>
            <w:r>
              <w:t>Routine correspondence including ‘Treat Official’</w:t>
            </w:r>
          </w:p>
          <w:p w14:paraId="354A2027" w14:textId="77777777" w:rsidR="003C18E9" w:rsidRPr="00A865BB" w:rsidRDefault="003C18E9" w:rsidP="00821084">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77C0481D" w14:textId="77777777" w:rsidR="003C18E9" w:rsidRPr="003C18E9" w:rsidRDefault="003C18E9" w:rsidP="00821084">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269B7979" w14:textId="1397A66B" w:rsidR="003C18E9" w:rsidRPr="003C18E9" w:rsidRDefault="003C18E9" w:rsidP="00821084">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C404EC">
              <w:rPr>
                <w:b/>
              </w:rPr>
              <w:t>five</w:t>
            </w:r>
            <w:r>
              <w:rPr>
                <w:b/>
              </w:rPr>
              <w:t xml:space="preserve"> years</w:t>
            </w:r>
            <w:r>
              <w:t xml:space="preserve"> from date of last correspondence and then destroy</w:t>
            </w:r>
          </w:p>
        </w:tc>
      </w:tr>
      <w:tr w:rsidR="003C18E9" w:rsidRPr="003C18E9" w14:paraId="352EDA1F"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76DBE2D4" w14:textId="77777777" w:rsidR="001E43D9" w:rsidRPr="003C18E9" w:rsidRDefault="001E43D9" w:rsidP="003C18E9">
            <w:pPr>
              <w:pStyle w:val="Text"/>
              <w:numPr>
                <w:ilvl w:val="0"/>
                <w:numId w:val="7"/>
              </w:numPr>
              <w:spacing w:after="0"/>
              <w:rPr>
                <w:rFonts w:asciiTheme="minorHAnsi" w:hAnsiTheme="minorHAnsi" w:cstheme="minorHAnsi"/>
              </w:rPr>
            </w:pPr>
          </w:p>
        </w:tc>
        <w:tc>
          <w:tcPr>
            <w:tcW w:w="3738" w:type="dxa"/>
            <w:vAlign w:val="center"/>
          </w:tcPr>
          <w:p w14:paraId="14A6C138" w14:textId="77777777" w:rsidR="001E43D9" w:rsidRPr="00A865BB" w:rsidRDefault="001E43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5C4F3258" w14:textId="77777777" w:rsidR="001E43D9" w:rsidRPr="003C18E9" w:rsidRDefault="001E43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GDPR and Data Protection Act registration, notification, records (paper and electronic)</w:t>
            </w:r>
          </w:p>
          <w:p w14:paraId="6C99D0AE" w14:textId="77777777" w:rsidR="001E43D9" w:rsidRPr="00A865BB" w:rsidRDefault="001E43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63E7922E" w14:textId="77777777" w:rsidR="001E43D9" w:rsidRPr="003C18E9" w:rsidRDefault="001E43D9" w:rsidP="00CC0F7B">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45DFC900" w14:textId="654B523A" w:rsidR="001E43D9" w:rsidRPr="003C18E9" w:rsidRDefault="001E43D9" w:rsidP="001C4F6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 xml:space="preserve">Keep for </w:t>
            </w:r>
            <w:r w:rsidRPr="003C18E9">
              <w:rPr>
                <w:rFonts w:asciiTheme="minorHAnsi" w:hAnsiTheme="minorHAnsi" w:cstheme="minorHAnsi"/>
                <w:b/>
              </w:rPr>
              <w:t>two years</w:t>
            </w:r>
            <w:r w:rsidRPr="003C18E9">
              <w:rPr>
                <w:rFonts w:asciiTheme="minorHAnsi" w:hAnsiTheme="minorHAnsi" w:cstheme="minorHAnsi"/>
              </w:rPr>
              <w:t xml:space="preserve"> and then destroy</w:t>
            </w:r>
          </w:p>
        </w:tc>
      </w:tr>
      <w:tr w:rsidR="003C18E9" w:rsidRPr="003C18E9" w14:paraId="484E092E"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11E0B6FC" w14:textId="77777777" w:rsidR="003C18E9" w:rsidRPr="003C18E9" w:rsidRDefault="003C18E9" w:rsidP="003C18E9">
            <w:pPr>
              <w:pStyle w:val="Text"/>
              <w:numPr>
                <w:ilvl w:val="0"/>
                <w:numId w:val="7"/>
              </w:numPr>
              <w:spacing w:after="0"/>
              <w:rPr>
                <w:rFonts w:asciiTheme="minorHAnsi" w:hAnsiTheme="minorHAnsi" w:cstheme="minorHAnsi"/>
              </w:rPr>
            </w:pPr>
          </w:p>
        </w:tc>
        <w:tc>
          <w:tcPr>
            <w:tcW w:w="3738" w:type="dxa"/>
            <w:vAlign w:val="center"/>
          </w:tcPr>
          <w:p w14:paraId="33EDC0C1" w14:textId="77777777"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43086941" w14:textId="77777777" w:rsidR="003C18E9" w:rsidRP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Data loss incident records (held by business)</w:t>
            </w:r>
          </w:p>
          <w:p w14:paraId="74D8A880" w14:textId="77777777"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36C5373A" w14:textId="77777777" w:rsidR="003C18E9" w:rsidRPr="003C18E9" w:rsidRDefault="003C18E9" w:rsidP="003C18E9">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46E4884F" w14:textId="36238CAC" w:rsidR="003C18E9" w:rsidRPr="003C18E9" w:rsidRDefault="003C18E9" w:rsidP="00A865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 xml:space="preserve">Keep for </w:t>
            </w:r>
            <w:r w:rsidRPr="003C18E9">
              <w:rPr>
                <w:rFonts w:asciiTheme="minorHAnsi" w:hAnsiTheme="minorHAnsi" w:cstheme="minorHAnsi"/>
                <w:b/>
              </w:rPr>
              <w:t>three years</w:t>
            </w:r>
            <w:r w:rsidRPr="003C18E9">
              <w:rPr>
                <w:rFonts w:asciiTheme="minorHAnsi" w:hAnsiTheme="minorHAnsi" w:cstheme="minorHAnsi"/>
              </w:rPr>
              <w:t xml:space="preserve"> from incident closure and then destroy</w:t>
            </w:r>
          </w:p>
        </w:tc>
      </w:tr>
      <w:tr w:rsidR="003C18E9" w:rsidRPr="003C18E9" w14:paraId="0EB375EE"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160A4518" w14:textId="77777777" w:rsidR="003C18E9" w:rsidRPr="003C18E9" w:rsidRDefault="003C18E9" w:rsidP="003C18E9">
            <w:pPr>
              <w:pStyle w:val="Text"/>
              <w:numPr>
                <w:ilvl w:val="0"/>
                <w:numId w:val="7"/>
              </w:numPr>
              <w:spacing w:after="0"/>
              <w:rPr>
                <w:rFonts w:asciiTheme="minorHAnsi" w:hAnsiTheme="minorHAnsi" w:cstheme="minorHAnsi"/>
              </w:rPr>
            </w:pPr>
          </w:p>
        </w:tc>
        <w:tc>
          <w:tcPr>
            <w:tcW w:w="3738" w:type="dxa"/>
            <w:vAlign w:val="center"/>
          </w:tcPr>
          <w:p w14:paraId="1CD19114" w14:textId="77777777" w:rsidR="003C18E9" w:rsidRP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B77087" w14:textId="77777777" w:rsidR="003C18E9" w:rsidRP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Business continuity plans (held by business)</w:t>
            </w:r>
          </w:p>
          <w:p w14:paraId="23096C1B" w14:textId="77777777" w:rsidR="003C18E9" w:rsidRP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1699" w:type="dxa"/>
            <w:vAlign w:val="center"/>
          </w:tcPr>
          <w:p w14:paraId="3B851F1A" w14:textId="77777777" w:rsidR="003C18E9" w:rsidRPr="003C18E9" w:rsidRDefault="003C18E9" w:rsidP="003C18E9">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3750" w:type="dxa"/>
            <w:vAlign w:val="center"/>
          </w:tcPr>
          <w:p w14:paraId="4E64B0BA" w14:textId="77777777" w:rsidR="003C18E9" w:rsidRPr="00BF70F8"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07DCA691" w14:textId="77777777" w:rsidR="003C18E9" w:rsidRP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 xml:space="preserve">Updated annually. Keep previous versions for </w:t>
            </w:r>
            <w:r w:rsidRPr="003C18E9">
              <w:rPr>
                <w:rFonts w:asciiTheme="minorHAnsi" w:hAnsiTheme="minorHAnsi" w:cstheme="minorHAnsi"/>
                <w:b/>
              </w:rPr>
              <w:t>three years</w:t>
            </w:r>
            <w:r w:rsidRPr="003C18E9">
              <w:rPr>
                <w:rFonts w:asciiTheme="minorHAnsi" w:hAnsiTheme="minorHAnsi" w:cstheme="minorHAnsi"/>
              </w:rPr>
              <w:t xml:space="preserve"> and then destroy.</w:t>
            </w:r>
          </w:p>
          <w:p w14:paraId="7D06F35F" w14:textId="77777777" w:rsidR="003C18E9" w:rsidRPr="00BF70F8"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lang w:eastAsia="en-US"/>
              </w:rPr>
            </w:pPr>
          </w:p>
        </w:tc>
      </w:tr>
      <w:tr w:rsidR="003C18E9" w:rsidRPr="00C90DC4" w14:paraId="4C99632C"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2B3E9E4F" w14:textId="77777777" w:rsidR="003C18E9" w:rsidRPr="00C90DC4" w:rsidRDefault="003C18E9" w:rsidP="003C18E9">
            <w:pPr>
              <w:pStyle w:val="Text"/>
              <w:numPr>
                <w:ilvl w:val="0"/>
                <w:numId w:val="7"/>
              </w:numPr>
              <w:spacing w:after="0"/>
              <w:rPr>
                <w:rFonts w:asciiTheme="minorHAnsi" w:hAnsiTheme="minorHAnsi" w:cstheme="minorHAnsi"/>
              </w:rPr>
            </w:pPr>
          </w:p>
        </w:tc>
        <w:tc>
          <w:tcPr>
            <w:tcW w:w="3738" w:type="dxa"/>
            <w:vAlign w:val="center"/>
          </w:tcPr>
          <w:p w14:paraId="0C6E48AA" w14:textId="77777777"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lang w:eastAsia="en-US"/>
              </w:rPr>
            </w:pPr>
          </w:p>
          <w:p w14:paraId="21C05DD7" w14:textId="5928732C" w:rsid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Pr>
                <w:rFonts w:asciiTheme="minorHAnsi" w:hAnsiTheme="minorHAnsi" w:cstheme="minorHAnsi"/>
                <w:lang w:eastAsia="en-US"/>
              </w:rPr>
              <w:t>Contracts</w:t>
            </w:r>
            <w:r w:rsidRPr="00C90DC4">
              <w:rPr>
                <w:rFonts w:asciiTheme="minorHAnsi" w:hAnsiTheme="minorHAnsi" w:cstheme="minorHAnsi"/>
                <w:lang w:eastAsia="en-US"/>
              </w:rPr>
              <w:t>: including but not limited to</w:t>
            </w:r>
            <w:r>
              <w:rPr>
                <w:rFonts w:asciiTheme="minorHAnsi" w:hAnsiTheme="minorHAnsi" w:cstheme="minorHAnsi"/>
                <w:lang w:eastAsia="en-US"/>
              </w:rPr>
              <w:t>,</w:t>
            </w:r>
            <w:r w:rsidRPr="00C90DC4">
              <w:rPr>
                <w:rFonts w:asciiTheme="minorHAnsi" w:hAnsiTheme="minorHAnsi" w:cstheme="minorHAnsi"/>
                <w:lang w:eastAsia="en-US"/>
              </w:rPr>
              <w:t xml:space="preserve"> signed contracts, records of performance, meetings, complaints, changes to requirements, variations and extensions</w:t>
            </w:r>
          </w:p>
          <w:p w14:paraId="1C4C132B" w14:textId="4D71CC88"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lang w:eastAsia="en-US"/>
              </w:rPr>
            </w:pPr>
          </w:p>
        </w:tc>
        <w:tc>
          <w:tcPr>
            <w:tcW w:w="1699" w:type="dxa"/>
            <w:vAlign w:val="center"/>
          </w:tcPr>
          <w:p w14:paraId="2D8823A0" w14:textId="77777777" w:rsidR="003C18E9" w:rsidRPr="00C90DC4" w:rsidRDefault="003C18E9" w:rsidP="003C18E9">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c>
          <w:tcPr>
            <w:tcW w:w="3750" w:type="dxa"/>
            <w:vAlign w:val="center"/>
          </w:tcPr>
          <w:p w14:paraId="2DD62444" w14:textId="77777777" w:rsidR="003C18E9" w:rsidRPr="00C90DC4"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p w14:paraId="03CEF95D" w14:textId="781A8E68" w:rsidR="003C18E9" w:rsidRPr="00C90DC4"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C90DC4">
              <w:rPr>
                <w:rFonts w:asciiTheme="minorHAnsi" w:hAnsiTheme="minorHAnsi" w:cstheme="minorHAnsi"/>
                <w:lang w:eastAsia="en-US"/>
              </w:rPr>
              <w:t xml:space="preserve">Keep for </w:t>
            </w:r>
            <w:r w:rsidRPr="00C90DC4">
              <w:rPr>
                <w:rFonts w:asciiTheme="minorHAnsi" w:hAnsiTheme="minorHAnsi" w:cstheme="minorHAnsi"/>
                <w:b/>
                <w:lang w:eastAsia="en-US"/>
              </w:rPr>
              <w:t>six years</w:t>
            </w:r>
            <w:r w:rsidRPr="00C90DC4">
              <w:rPr>
                <w:rFonts w:asciiTheme="minorHAnsi" w:hAnsiTheme="minorHAnsi" w:cstheme="minorHAnsi"/>
                <w:lang w:eastAsia="en-US"/>
              </w:rPr>
              <w:t xml:space="preserve"> after contract ends and then destroy.</w:t>
            </w:r>
            <w:r w:rsidRPr="00C90DC4">
              <w:rPr>
                <w:rStyle w:val="FootnoteReference"/>
                <w:rFonts w:asciiTheme="minorHAnsi" w:hAnsiTheme="minorHAnsi" w:cstheme="minorHAnsi"/>
                <w:lang w:eastAsia="en-US"/>
              </w:rPr>
              <w:footnoteReference w:id="16"/>
            </w:r>
          </w:p>
          <w:p w14:paraId="5ACB8425" w14:textId="77777777" w:rsidR="003C18E9" w:rsidRPr="00C90DC4"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p>
        </w:tc>
      </w:tr>
      <w:tr w:rsidR="003C18E9" w:rsidRPr="003C18E9" w14:paraId="7BFE1CEC"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07498CAE" w14:textId="77777777" w:rsidR="003C18E9" w:rsidRPr="003C18E9" w:rsidRDefault="003C18E9" w:rsidP="003C18E9">
            <w:pPr>
              <w:pStyle w:val="Text"/>
              <w:numPr>
                <w:ilvl w:val="0"/>
                <w:numId w:val="7"/>
              </w:numPr>
              <w:spacing w:after="0"/>
              <w:rPr>
                <w:rFonts w:asciiTheme="minorHAnsi" w:hAnsiTheme="minorHAnsi" w:cstheme="minorHAnsi"/>
              </w:rPr>
            </w:pPr>
          </w:p>
        </w:tc>
        <w:tc>
          <w:tcPr>
            <w:tcW w:w="3738" w:type="dxa"/>
            <w:vAlign w:val="center"/>
          </w:tcPr>
          <w:p w14:paraId="3DE483F0" w14:textId="77777777"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5318CC2A" w14:textId="77777777" w:rsidR="003C18E9" w:rsidRPr="005A2A92"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pPr>
            <w:r w:rsidRPr="003C18E9">
              <w:rPr>
                <w:rFonts w:asciiTheme="minorHAnsi" w:hAnsiTheme="minorHAnsi" w:cstheme="minorHAnsi"/>
              </w:rPr>
              <w:t xml:space="preserve">Finance and </w:t>
            </w:r>
            <w:r w:rsidRPr="005A2A92">
              <w:t>risk management</w:t>
            </w:r>
          </w:p>
          <w:p w14:paraId="67992E20" w14:textId="70CFF847" w:rsidR="003C18E9" w:rsidRP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information</w:t>
            </w:r>
          </w:p>
          <w:p w14:paraId="2BA6B51F" w14:textId="0B8180C1"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357F2BCC" w14:textId="77777777" w:rsidR="003C18E9" w:rsidRPr="003C18E9" w:rsidRDefault="003C18E9" w:rsidP="003C18E9">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5B62E528" w14:textId="71C9071B" w:rsidR="003C18E9" w:rsidRPr="003C18E9" w:rsidRDefault="003C18E9" w:rsidP="00A865BB">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 xml:space="preserve">Keep for </w:t>
            </w:r>
            <w:r w:rsidRPr="003C18E9">
              <w:rPr>
                <w:rFonts w:asciiTheme="minorHAnsi" w:hAnsiTheme="minorHAnsi" w:cstheme="minorHAnsi"/>
                <w:b/>
              </w:rPr>
              <w:t>seven years</w:t>
            </w:r>
            <w:r w:rsidRPr="003C18E9">
              <w:rPr>
                <w:rFonts w:asciiTheme="minorHAnsi" w:hAnsiTheme="minorHAnsi" w:cstheme="minorHAnsi"/>
              </w:rPr>
              <w:t xml:space="preserve"> and then destroy.</w:t>
            </w:r>
          </w:p>
        </w:tc>
      </w:tr>
      <w:tr w:rsidR="003C18E9" w:rsidRPr="00D929D7" w14:paraId="7E357510"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5EA8916E" w14:textId="77777777" w:rsidR="003C18E9" w:rsidRPr="00D929D7" w:rsidRDefault="003C18E9" w:rsidP="003C18E9">
            <w:pPr>
              <w:pStyle w:val="Text"/>
              <w:numPr>
                <w:ilvl w:val="0"/>
                <w:numId w:val="7"/>
              </w:numPr>
              <w:spacing w:after="0"/>
              <w:rPr>
                <w:rFonts w:asciiTheme="minorHAnsi" w:hAnsiTheme="minorHAnsi" w:cstheme="minorHAnsi"/>
              </w:rPr>
            </w:pPr>
          </w:p>
        </w:tc>
        <w:tc>
          <w:tcPr>
            <w:tcW w:w="3738" w:type="dxa"/>
            <w:vAlign w:val="center"/>
          </w:tcPr>
          <w:p w14:paraId="22F163FD" w14:textId="77777777" w:rsidR="00A865BB" w:rsidRPr="00A865BB" w:rsidRDefault="00A865BB" w:rsidP="003C18E9">
            <w:pPr>
              <w:pStyle w:val="Text"/>
              <w:spacing w:after="0"/>
              <w:cnfStyle w:val="000000000000" w:firstRow="0" w:lastRow="0" w:firstColumn="0" w:lastColumn="0" w:oddVBand="0" w:evenVBand="0" w:oddHBand="0" w:evenHBand="0" w:firstRowFirstColumn="0" w:firstRowLastColumn="0" w:lastRowFirstColumn="0" w:lastRowLastColumn="0"/>
              <w:rPr>
                <w:rFonts w:cs="Arial"/>
                <w:sz w:val="16"/>
              </w:rPr>
            </w:pPr>
          </w:p>
          <w:p w14:paraId="68C16A25" w14:textId="77777777" w:rsid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D929D7">
              <w:rPr>
                <w:rFonts w:cs="Arial"/>
              </w:rPr>
              <w:t>Submissions, policy briefings (including for Justice Select Committee), briefings for ministers and other correspondence with Private Office, Chief Executives’ Offices, etc</w:t>
            </w:r>
          </w:p>
          <w:p w14:paraId="04212B75" w14:textId="7B7C4073" w:rsidR="00A865BB" w:rsidRPr="00A865BB" w:rsidRDefault="00A865BB"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078CECBE" w14:textId="77777777" w:rsidR="003C18E9" w:rsidRPr="00D929D7" w:rsidRDefault="003C18E9" w:rsidP="003C18E9">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729EBC28" w14:textId="77777777" w:rsidR="00A865BB" w:rsidRPr="00A865BB" w:rsidRDefault="00A865BB"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3D367EDC" w14:textId="4FE08016" w:rsidR="003C18E9" w:rsidRPr="00D929D7"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29D7">
              <w:rPr>
                <w:rFonts w:asciiTheme="minorHAnsi" w:hAnsiTheme="minorHAnsi" w:cstheme="minorHAnsi"/>
              </w:rPr>
              <w:t xml:space="preserve">Keep for </w:t>
            </w:r>
            <w:r w:rsidRPr="00D929D7">
              <w:rPr>
                <w:rFonts w:asciiTheme="minorHAnsi" w:hAnsiTheme="minorHAnsi" w:cstheme="minorHAnsi"/>
                <w:b/>
              </w:rPr>
              <w:t>seven years</w:t>
            </w:r>
            <w:r w:rsidRPr="00D929D7">
              <w:rPr>
                <w:rFonts w:asciiTheme="minorHAnsi" w:hAnsiTheme="minorHAnsi" w:cstheme="minorHAnsi"/>
              </w:rPr>
              <w:t xml:space="preserve"> from date of last action and then review: </w:t>
            </w:r>
          </w:p>
          <w:p w14:paraId="6EADA1B9" w14:textId="77777777" w:rsidR="003C18E9" w:rsidRPr="00D929D7" w:rsidRDefault="003C18E9" w:rsidP="003C18E9">
            <w:pPr>
              <w:pStyle w:val="Text"/>
              <w:numPr>
                <w:ilvl w:val="0"/>
                <w:numId w:val="9"/>
              </w:numPr>
              <w:spacing w:after="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29D7">
              <w:rPr>
                <w:rFonts w:asciiTheme="minorHAnsi" w:hAnsiTheme="minorHAnsi" w:cstheme="minorHAnsi"/>
              </w:rPr>
              <w:t xml:space="preserve">Where operationally relevant, keep until </w:t>
            </w:r>
            <w:r w:rsidRPr="00D929D7">
              <w:rPr>
                <w:rFonts w:asciiTheme="minorHAnsi" w:hAnsiTheme="minorHAnsi" w:cstheme="minorHAnsi"/>
                <w:b/>
              </w:rPr>
              <w:t>20 years</w:t>
            </w:r>
            <w:r w:rsidRPr="00D929D7">
              <w:rPr>
                <w:rFonts w:asciiTheme="minorHAnsi" w:hAnsiTheme="minorHAnsi" w:cstheme="minorHAnsi"/>
              </w:rPr>
              <w:t xml:space="preserve"> from last action and then transfer to the DRO’s team to consider for permanent preservation.</w:t>
            </w:r>
          </w:p>
          <w:p w14:paraId="16223450" w14:textId="77777777" w:rsidR="003C18E9" w:rsidRPr="00D929D7" w:rsidRDefault="003C18E9" w:rsidP="003C18E9">
            <w:pPr>
              <w:pStyle w:val="Text"/>
              <w:numPr>
                <w:ilvl w:val="0"/>
                <w:numId w:val="9"/>
              </w:numPr>
              <w:spacing w:after="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29D7">
              <w:rPr>
                <w:rFonts w:asciiTheme="minorHAnsi" w:hAnsiTheme="minorHAnsi" w:cstheme="minorHAnsi"/>
              </w:rPr>
              <w:t>Where no longer needed, destroy immediately.</w:t>
            </w:r>
          </w:p>
          <w:p w14:paraId="5588DA8F" w14:textId="099BC304"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r>
      <w:tr w:rsidR="003C18E9" w:rsidRPr="003C18E9" w14:paraId="08810475" w14:textId="77777777" w:rsidTr="00A865BB">
        <w:tc>
          <w:tcPr>
            <w:cnfStyle w:val="001000000000" w:firstRow="0" w:lastRow="0" w:firstColumn="1" w:lastColumn="0" w:oddVBand="0" w:evenVBand="0" w:oddHBand="0" w:evenHBand="0" w:firstRowFirstColumn="0" w:firstRowLastColumn="0" w:lastRowFirstColumn="0" w:lastRowLastColumn="0"/>
            <w:tcW w:w="814" w:type="dxa"/>
            <w:vAlign w:val="center"/>
          </w:tcPr>
          <w:p w14:paraId="0E839117" w14:textId="77777777" w:rsidR="003C18E9" w:rsidRPr="003C18E9" w:rsidRDefault="003C18E9" w:rsidP="003C18E9">
            <w:pPr>
              <w:pStyle w:val="Text"/>
              <w:numPr>
                <w:ilvl w:val="0"/>
                <w:numId w:val="7"/>
              </w:numPr>
              <w:spacing w:after="0"/>
              <w:rPr>
                <w:rFonts w:asciiTheme="minorHAnsi" w:hAnsiTheme="minorHAnsi" w:cstheme="minorHAnsi"/>
              </w:rPr>
            </w:pPr>
          </w:p>
        </w:tc>
        <w:tc>
          <w:tcPr>
            <w:tcW w:w="3738" w:type="dxa"/>
            <w:vAlign w:val="center"/>
          </w:tcPr>
          <w:p w14:paraId="6861D5D4" w14:textId="77777777"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p w14:paraId="0C5501E2" w14:textId="77777777" w:rsidR="003C18E9" w:rsidRP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All other types of record not specified above, including copies of records which are owned by other business areas</w:t>
            </w:r>
            <w:r w:rsidRPr="003C18E9">
              <w:rPr>
                <w:rStyle w:val="FootnoteReference"/>
                <w:rFonts w:asciiTheme="minorHAnsi" w:hAnsiTheme="minorHAnsi" w:cstheme="minorHAnsi"/>
              </w:rPr>
              <w:footnoteReference w:id="17"/>
            </w:r>
          </w:p>
          <w:p w14:paraId="3435E2BD" w14:textId="77777777" w:rsidR="003C18E9" w:rsidRPr="00A865BB"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p>
        </w:tc>
        <w:tc>
          <w:tcPr>
            <w:tcW w:w="1699" w:type="dxa"/>
            <w:vAlign w:val="center"/>
          </w:tcPr>
          <w:p w14:paraId="124849E0" w14:textId="77777777" w:rsidR="003C18E9" w:rsidRPr="003C18E9" w:rsidRDefault="003C18E9" w:rsidP="003C18E9">
            <w:pPr>
              <w:pStyle w:val="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50" w:type="dxa"/>
            <w:vAlign w:val="center"/>
          </w:tcPr>
          <w:p w14:paraId="7A46C859" w14:textId="77777777" w:rsidR="003C18E9" w:rsidRPr="003C18E9" w:rsidRDefault="003C18E9" w:rsidP="003C18E9">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18E9">
              <w:rPr>
                <w:rFonts w:asciiTheme="minorHAnsi" w:hAnsiTheme="minorHAnsi" w:cstheme="minorHAnsi"/>
              </w:rPr>
              <w:t xml:space="preserve">Keep for </w:t>
            </w:r>
            <w:r w:rsidRPr="003C18E9">
              <w:rPr>
                <w:rFonts w:asciiTheme="minorHAnsi" w:hAnsiTheme="minorHAnsi" w:cstheme="minorHAnsi"/>
                <w:b/>
              </w:rPr>
              <w:t>three years</w:t>
            </w:r>
            <w:r w:rsidRPr="003C18E9">
              <w:rPr>
                <w:rFonts w:asciiTheme="minorHAnsi" w:hAnsiTheme="minorHAnsi" w:cstheme="minorHAnsi"/>
              </w:rPr>
              <w:t xml:space="preserve"> and then destroy.</w:t>
            </w:r>
          </w:p>
        </w:tc>
      </w:tr>
    </w:tbl>
    <w:p w14:paraId="73599451" w14:textId="24E05BD3" w:rsidR="00E66A89" w:rsidRDefault="00E66A89" w:rsidP="00526855">
      <w:pPr>
        <w:pStyle w:val="BodyText"/>
      </w:pPr>
    </w:p>
    <w:p w14:paraId="36DE0240" w14:textId="48FF91A7" w:rsidR="004F0E08" w:rsidRDefault="00C404EC" w:rsidP="00CD58B9">
      <w:pPr>
        <w:pStyle w:val="BodyText"/>
        <w:spacing w:after="0" w:line="240" w:lineRule="auto"/>
      </w:pPr>
      <w:r>
        <w:t>Steve</w:t>
      </w:r>
      <w:r w:rsidR="004F0E08">
        <w:t xml:space="preserve"> Wade</w:t>
      </w:r>
      <w:r w:rsidR="004F0E08">
        <w:br/>
        <w:t>Head of the Office of the Sentencing Council</w:t>
      </w:r>
      <w:r w:rsidR="004F0E08">
        <w:br/>
        <w:t>EB16 East Block</w:t>
      </w:r>
      <w:r w:rsidR="004F0E08">
        <w:br/>
        <w:t>Royal Courts of Justice</w:t>
      </w:r>
      <w:r w:rsidR="004F0E08">
        <w:br/>
        <w:t>The Strand</w:t>
      </w:r>
      <w:r w:rsidR="004F0E08">
        <w:br/>
        <w:t>London</w:t>
      </w:r>
      <w:r w:rsidR="00CD58B9">
        <w:t xml:space="preserve"> </w:t>
      </w:r>
      <w:r w:rsidR="004F0E08">
        <w:t>WC2A 2LL</w:t>
      </w:r>
      <w:r w:rsidR="004F0E08">
        <w:br/>
      </w:r>
      <w:r w:rsidR="004F0E08" w:rsidRPr="004F0E08">
        <w:rPr>
          <w:b/>
        </w:rPr>
        <w:t>Signed 06 August 2020</w:t>
      </w:r>
    </w:p>
    <w:p w14:paraId="0B902433" w14:textId="653E6068" w:rsidR="00E66A89" w:rsidRDefault="00E66A89" w:rsidP="00526855">
      <w:pPr>
        <w:pStyle w:val="BodyText"/>
      </w:pPr>
    </w:p>
    <w:p w14:paraId="4A172B17" w14:textId="539EB938" w:rsidR="00E66A89" w:rsidRPr="004F0E08" w:rsidRDefault="00E66A89" w:rsidP="00E66A89">
      <w:pPr>
        <w:spacing w:after="0"/>
        <w:rPr>
          <w:rFonts w:cs="Arial"/>
          <w:szCs w:val="24"/>
        </w:rPr>
      </w:pPr>
      <w:r w:rsidRPr="004F0E08">
        <w:rPr>
          <w:rFonts w:cs="Arial"/>
          <w:szCs w:val="24"/>
        </w:rPr>
        <w:t>Phil</w:t>
      </w:r>
      <w:r w:rsidR="00F750CF" w:rsidRPr="004F0E08">
        <w:rPr>
          <w:rFonts w:cs="Arial"/>
          <w:szCs w:val="24"/>
        </w:rPr>
        <w:t>l</w:t>
      </w:r>
      <w:r w:rsidRPr="004F0E08">
        <w:rPr>
          <w:rFonts w:cs="Arial"/>
          <w:szCs w:val="24"/>
        </w:rPr>
        <w:t xml:space="preserve">ip </w:t>
      </w:r>
      <w:r w:rsidR="00F750CF" w:rsidRPr="004F0E08">
        <w:rPr>
          <w:rFonts w:cs="Arial"/>
          <w:szCs w:val="24"/>
        </w:rPr>
        <w:t>Crowcroft</w:t>
      </w:r>
    </w:p>
    <w:p w14:paraId="75DCF096" w14:textId="7EAB1172" w:rsidR="00E66A89" w:rsidRDefault="00F750CF" w:rsidP="00E66A89">
      <w:pPr>
        <w:pStyle w:val="NormalWeb"/>
        <w:spacing w:before="0" w:beforeAutospacing="0" w:after="0" w:afterAutospacing="0"/>
        <w:rPr>
          <w:rFonts w:ascii="Arial" w:hAnsi="Arial" w:cs="Arial"/>
        </w:rPr>
      </w:pPr>
      <w:r w:rsidRPr="004F0E08">
        <w:rPr>
          <w:rFonts w:ascii="Arial" w:hAnsi="Arial" w:cs="Arial"/>
          <w:color w:val="000000"/>
        </w:rPr>
        <w:t xml:space="preserve">Deputy </w:t>
      </w:r>
      <w:r w:rsidR="00E66A89" w:rsidRPr="004F0E08">
        <w:rPr>
          <w:rFonts w:ascii="Arial" w:hAnsi="Arial" w:cs="Arial"/>
          <w:color w:val="000000"/>
        </w:rPr>
        <w:t>Departmental Records Officer</w:t>
      </w:r>
      <w:r w:rsidR="00E66A89" w:rsidRPr="004F0E08">
        <w:rPr>
          <w:rFonts w:ascii="Arial" w:hAnsi="Arial" w:cs="Arial"/>
        </w:rPr>
        <w:t xml:space="preserve"> </w:t>
      </w:r>
      <w:r w:rsidR="00E66A89" w:rsidRPr="004F0E08">
        <w:rPr>
          <w:rFonts w:ascii="Arial" w:hAnsi="Arial" w:cs="Arial"/>
        </w:rPr>
        <w:br/>
      </w:r>
      <w:r w:rsidR="00E66A89" w:rsidRPr="004F0E08">
        <w:rPr>
          <w:rFonts w:ascii="Arial" w:hAnsi="Arial" w:cs="Arial"/>
          <w:color w:val="000000"/>
        </w:rPr>
        <w:t>Ministry of Justice</w:t>
      </w:r>
      <w:r w:rsidR="00E66A89" w:rsidRPr="004F0E08">
        <w:rPr>
          <w:rFonts w:ascii="Arial" w:hAnsi="Arial" w:cs="Arial"/>
        </w:rPr>
        <w:t xml:space="preserve"> </w:t>
      </w:r>
      <w:r w:rsidR="00E66A89" w:rsidRPr="004F0E08">
        <w:rPr>
          <w:rFonts w:ascii="Arial" w:hAnsi="Arial" w:cs="Arial"/>
        </w:rPr>
        <w:br/>
      </w:r>
      <w:r w:rsidR="00E66A89" w:rsidRPr="004F0E08">
        <w:rPr>
          <w:rFonts w:ascii="Arial" w:hAnsi="Arial" w:cs="Arial"/>
          <w:color w:val="000000"/>
        </w:rPr>
        <w:t>102 Petty France</w:t>
      </w:r>
      <w:r w:rsidR="00E66A89" w:rsidRPr="004F0E08">
        <w:rPr>
          <w:rFonts w:ascii="Arial" w:hAnsi="Arial" w:cs="Arial"/>
        </w:rPr>
        <w:t xml:space="preserve"> </w:t>
      </w:r>
      <w:r w:rsidR="00E66A89" w:rsidRPr="004F0E08">
        <w:rPr>
          <w:rFonts w:ascii="Arial" w:hAnsi="Arial" w:cs="Arial"/>
        </w:rPr>
        <w:br/>
      </w:r>
      <w:r w:rsidR="00E66A89" w:rsidRPr="004F0E08">
        <w:rPr>
          <w:rFonts w:ascii="Arial" w:hAnsi="Arial" w:cs="Arial"/>
          <w:color w:val="000000"/>
        </w:rPr>
        <w:t>London SW1H 9AJ</w:t>
      </w:r>
      <w:r w:rsidR="00E66A89" w:rsidRPr="004F0E08">
        <w:rPr>
          <w:rFonts w:ascii="Arial" w:hAnsi="Arial" w:cs="Arial"/>
        </w:rPr>
        <w:t xml:space="preserve"> </w:t>
      </w:r>
    </w:p>
    <w:p w14:paraId="03C932BC" w14:textId="77777777" w:rsidR="00A824CE" w:rsidRPr="004F0E08" w:rsidRDefault="00A824CE" w:rsidP="00E66A89">
      <w:pPr>
        <w:pStyle w:val="NormalWeb"/>
        <w:spacing w:before="0" w:beforeAutospacing="0" w:after="0" w:afterAutospacing="0"/>
        <w:rPr>
          <w:rFonts w:ascii="Arial" w:hAnsi="Arial" w:cs="Arial"/>
        </w:rPr>
      </w:pPr>
    </w:p>
    <w:p w14:paraId="3806A586" w14:textId="2C105740" w:rsidR="00E66A89" w:rsidRPr="004F0E08" w:rsidRDefault="00E66A89" w:rsidP="00E66A89">
      <w:pPr>
        <w:pStyle w:val="NormalWeb"/>
        <w:spacing w:before="0" w:beforeAutospacing="0" w:after="0" w:afterAutospacing="0"/>
        <w:rPr>
          <w:rFonts w:ascii="Arial" w:hAnsi="Arial" w:cs="Arial"/>
          <w:b/>
        </w:rPr>
      </w:pPr>
      <w:r w:rsidRPr="004F0E08">
        <w:rPr>
          <w:rFonts w:ascii="Arial" w:hAnsi="Arial" w:cs="Arial"/>
          <w:b/>
        </w:rPr>
        <w:t xml:space="preserve">Signed: </w:t>
      </w:r>
      <w:r w:rsidR="00CD58B9">
        <w:rPr>
          <w:rFonts w:ascii="Arial" w:hAnsi="Arial" w:cs="Arial"/>
          <w:b/>
        </w:rPr>
        <w:t>19 August 2020</w:t>
      </w:r>
    </w:p>
    <w:p w14:paraId="7208E968" w14:textId="77777777" w:rsidR="00E66A89" w:rsidRDefault="00E66A89" w:rsidP="00E66A89">
      <w:pPr>
        <w:pStyle w:val="Text"/>
        <w:spacing w:after="0"/>
      </w:pPr>
    </w:p>
    <w:p w14:paraId="255AD705" w14:textId="1DF55AA5" w:rsidR="00E66A89" w:rsidRDefault="00E66A89" w:rsidP="00E66A89">
      <w:pPr>
        <w:spacing w:after="0"/>
        <w:rPr>
          <w:rFonts w:cs="Arial"/>
        </w:rPr>
      </w:pPr>
      <w:r>
        <w:rPr>
          <w:rFonts w:cs="Arial"/>
        </w:rPr>
        <w:t xml:space="preserve">Date of Original Issue of RRDS: </w:t>
      </w:r>
      <w:r>
        <w:rPr>
          <w:rFonts w:cs="Arial"/>
        </w:rPr>
        <w:tab/>
      </w:r>
      <w:r w:rsidR="008C66D0">
        <w:rPr>
          <w:rFonts w:cs="Arial"/>
        </w:rPr>
        <w:t>May 2010</w:t>
      </w:r>
    </w:p>
    <w:p w14:paraId="7786BDEF" w14:textId="3E0D6AEE" w:rsidR="00515316" w:rsidRDefault="00A824CE" w:rsidP="00CD58B9">
      <w:pPr>
        <w:spacing w:after="0"/>
      </w:pPr>
      <w:r>
        <w:rPr>
          <w:rFonts w:cs="Arial"/>
        </w:rPr>
        <w:t xml:space="preserve">Previous </w:t>
      </w:r>
      <w:r w:rsidR="008C66D0">
        <w:rPr>
          <w:rFonts w:cs="Arial"/>
        </w:rPr>
        <w:t>update</w:t>
      </w:r>
      <w:r w:rsidR="00E66A89">
        <w:rPr>
          <w:rFonts w:cs="Arial"/>
        </w:rPr>
        <w:t>:</w:t>
      </w:r>
      <w:r w:rsidR="008C66D0">
        <w:rPr>
          <w:rFonts w:cs="Arial"/>
        </w:rPr>
        <w:tab/>
      </w:r>
      <w:r w:rsidR="008C66D0">
        <w:rPr>
          <w:rFonts w:cs="Arial"/>
        </w:rPr>
        <w:tab/>
      </w:r>
      <w:r>
        <w:rPr>
          <w:rFonts w:cs="Arial"/>
        </w:rPr>
        <w:tab/>
      </w:r>
      <w:r w:rsidR="008C66D0">
        <w:rPr>
          <w:rFonts w:cs="Arial"/>
        </w:rPr>
        <w:t>July 2015</w:t>
      </w:r>
      <w:r w:rsidR="00CD58B9">
        <w:rPr>
          <w:rFonts w:cs="Arial"/>
        </w:rPr>
        <w:t xml:space="preserve"> </w:t>
      </w:r>
      <w:r w:rsidR="00CD58B9">
        <w:rPr>
          <w:rFonts w:cs="Arial"/>
        </w:rPr>
        <w:tab/>
      </w:r>
      <w:bookmarkStart w:id="5" w:name="_GoBack"/>
      <w:bookmarkEnd w:id="5"/>
    </w:p>
    <w:sectPr w:rsidR="00515316" w:rsidSect="00F507D8">
      <w:footerReference w:type="default" r:id="rId14"/>
      <w:headerReference w:type="first" r:id="rId15"/>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7D2D" w14:textId="77777777" w:rsidR="00B46079" w:rsidRDefault="00B46079" w:rsidP="00B91315">
      <w:pPr>
        <w:spacing w:after="0" w:line="240" w:lineRule="auto"/>
      </w:pPr>
      <w:r>
        <w:separator/>
      </w:r>
    </w:p>
  </w:endnote>
  <w:endnote w:type="continuationSeparator" w:id="0">
    <w:p w14:paraId="242277F7" w14:textId="77777777" w:rsidR="00B46079" w:rsidRDefault="00B46079"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5B2" w14:textId="7858BDDA" w:rsidR="00B46079" w:rsidRDefault="00B46079">
    <w:pPr>
      <w:pStyle w:val="Footer"/>
    </w:pPr>
    <w:r>
      <w:fldChar w:fldCharType="begin"/>
    </w:r>
    <w:r>
      <w:instrText xml:space="preserve"> PAGE   \* MERGEFORMAT </w:instrText>
    </w:r>
    <w:r>
      <w:fldChar w:fldCharType="separate"/>
    </w:r>
    <w:r w:rsidR="00CD58B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AB2D" w14:textId="77777777" w:rsidR="00B46079" w:rsidRDefault="00B46079" w:rsidP="00B91315">
      <w:pPr>
        <w:spacing w:after="0" w:line="240" w:lineRule="auto"/>
      </w:pPr>
      <w:r>
        <w:separator/>
      </w:r>
    </w:p>
  </w:footnote>
  <w:footnote w:type="continuationSeparator" w:id="0">
    <w:p w14:paraId="5698187E" w14:textId="77777777" w:rsidR="00B46079" w:rsidRDefault="00B46079" w:rsidP="00B91315">
      <w:pPr>
        <w:spacing w:after="0" w:line="240" w:lineRule="auto"/>
      </w:pPr>
      <w:r>
        <w:continuationSeparator/>
      </w:r>
    </w:p>
  </w:footnote>
  <w:footnote w:id="1">
    <w:p w14:paraId="0E83C48C" w14:textId="2F907C3E" w:rsidR="00DE0AB5" w:rsidRPr="00DE0AB5" w:rsidRDefault="00DE0AB5" w:rsidP="00DE0AB5">
      <w:pPr>
        <w:pStyle w:val="FootnoteText"/>
        <w:spacing w:after="0"/>
        <w:rPr>
          <w:sz w:val="18"/>
        </w:rPr>
      </w:pPr>
      <w:r w:rsidRPr="00DE0AB5">
        <w:rPr>
          <w:rStyle w:val="FootnoteReference"/>
          <w:sz w:val="18"/>
        </w:rPr>
        <w:footnoteRef/>
      </w:r>
      <w:r w:rsidRPr="00DE0AB5">
        <w:rPr>
          <w:sz w:val="18"/>
        </w:rPr>
        <w:t xml:space="preserve"> Records include, but are not limited to, emails, documents, spreadsheets, images and recordings</w:t>
      </w:r>
    </w:p>
  </w:footnote>
  <w:footnote w:id="2">
    <w:p w14:paraId="5840EE99" w14:textId="77777777" w:rsidR="00B46079" w:rsidRPr="00DE0AB5" w:rsidRDefault="00B46079" w:rsidP="00DE0AB5">
      <w:pPr>
        <w:pStyle w:val="FootnoteText"/>
        <w:spacing w:after="0"/>
        <w:rPr>
          <w:sz w:val="18"/>
          <w:szCs w:val="18"/>
        </w:rPr>
      </w:pPr>
      <w:r w:rsidRPr="00DE0AB5">
        <w:rPr>
          <w:rStyle w:val="FootnoteReference"/>
          <w:sz w:val="18"/>
          <w:szCs w:val="18"/>
        </w:rPr>
        <w:footnoteRef/>
      </w:r>
      <w:r w:rsidRPr="00DE0AB5">
        <w:rPr>
          <w:sz w:val="18"/>
          <w:szCs w:val="18"/>
        </w:rPr>
        <w:t xml:space="preserve"> Public Records Act 1958 s.3(6)</w:t>
      </w:r>
    </w:p>
  </w:footnote>
  <w:footnote w:id="3">
    <w:p w14:paraId="3C315F64" w14:textId="77777777" w:rsidR="00B46079" w:rsidRPr="00DE0AB5" w:rsidRDefault="00B46079" w:rsidP="00DE0AB5">
      <w:pPr>
        <w:pStyle w:val="FootnoteText"/>
        <w:spacing w:after="0"/>
        <w:rPr>
          <w:sz w:val="18"/>
          <w:szCs w:val="18"/>
        </w:rPr>
      </w:pPr>
      <w:r w:rsidRPr="00DE0AB5">
        <w:rPr>
          <w:rStyle w:val="FootnoteReference"/>
          <w:sz w:val="18"/>
          <w:szCs w:val="18"/>
        </w:rPr>
        <w:footnoteRef/>
      </w:r>
      <w:r w:rsidRPr="00DE0AB5">
        <w:rPr>
          <w:sz w:val="18"/>
          <w:szCs w:val="18"/>
        </w:rPr>
        <w:t xml:space="preserve"> To search TNA’s catalogue (Discovery), go to: </w:t>
      </w:r>
      <w:hyperlink r:id="rId1" w:history="1">
        <w:r w:rsidRPr="00DE0AB5">
          <w:rPr>
            <w:rStyle w:val="Hyperlink"/>
            <w:color w:val="0000CC"/>
            <w:sz w:val="18"/>
            <w:szCs w:val="18"/>
          </w:rPr>
          <w:t>http://discovery.nationalarchives.gov.uk/</w:t>
        </w:r>
      </w:hyperlink>
      <w:r w:rsidRPr="00DE0AB5">
        <w:rPr>
          <w:sz w:val="18"/>
          <w:szCs w:val="18"/>
        </w:rPr>
        <w:t xml:space="preserve"> and put quotation marks - “” around the classification number. To browse Discovery, go to:  </w:t>
      </w:r>
      <w:hyperlink r:id="rId2" w:history="1">
        <w:r w:rsidRPr="00DE0AB5">
          <w:rPr>
            <w:rStyle w:val="Hyperlink"/>
            <w:color w:val="0000CC"/>
            <w:sz w:val="18"/>
            <w:szCs w:val="18"/>
          </w:rPr>
          <w:t>http://discovery.nationalarchives.gov.uk/browse</w:t>
        </w:r>
      </w:hyperlink>
      <w:r w:rsidRPr="00DE0AB5">
        <w:rPr>
          <w:sz w:val="18"/>
          <w:szCs w:val="18"/>
        </w:rPr>
        <w:t xml:space="preserve"> and click on the first letter of the classification scheme.</w:t>
      </w:r>
    </w:p>
  </w:footnote>
  <w:footnote w:id="4">
    <w:p w14:paraId="50599D0D" w14:textId="609E29CE" w:rsidR="00B46079" w:rsidRPr="00DE0AB5" w:rsidRDefault="00B46079" w:rsidP="00DE0AB5">
      <w:pPr>
        <w:pStyle w:val="FootnoteText"/>
        <w:spacing w:after="0"/>
        <w:rPr>
          <w:sz w:val="18"/>
          <w:szCs w:val="18"/>
        </w:rPr>
      </w:pPr>
      <w:r w:rsidRPr="00DE0AB5">
        <w:rPr>
          <w:rStyle w:val="FootnoteReference"/>
          <w:sz w:val="18"/>
          <w:szCs w:val="18"/>
        </w:rPr>
        <w:footnoteRef/>
      </w:r>
      <w:r w:rsidRPr="00DE0AB5">
        <w:rPr>
          <w:sz w:val="18"/>
          <w:szCs w:val="18"/>
        </w:rPr>
        <w:t xml:space="preserve"> Sentencing Council staff should contact the Departmental Records Officer’s team to discuss arrangements for accessing historic records.</w:t>
      </w:r>
    </w:p>
  </w:footnote>
  <w:footnote w:id="5">
    <w:p w14:paraId="29E01F78" w14:textId="77777777" w:rsidR="00B46079" w:rsidRPr="00DE0AB5" w:rsidRDefault="00B46079" w:rsidP="00DE0AB5">
      <w:pPr>
        <w:pStyle w:val="FootnoteText"/>
        <w:spacing w:after="0"/>
        <w:rPr>
          <w:sz w:val="18"/>
          <w:szCs w:val="18"/>
        </w:rPr>
      </w:pPr>
      <w:r w:rsidRPr="00DE0AB5">
        <w:rPr>
          <w:rStyle w:val="FootnoteReference"/>
          <w:sz w:val="18"/>
          <w:szCs w:val="18"/>
        </w:rPr>
        <w:footnoteRef/>
      </w:r>
      <w:r w:rsidRPr="00DE0AB5">
        <w:rPr>
          <w:sz w:val="18"/>
          <w:szCs w:val="18"/>
        </w:rPr>
        <w:t xml:space="preserve"> The timetable governing the transition to the 20-year rule is set out in The Public Records (Transfer to the Public Record Office) (Transitional and Saving Provisions) Order 2012: </w:t>
      </w:r>
      <w:hyperlink r:id="rId3" w:history="1">
        <w:r w:rsidRPr="00DE0AB5">
          <w:rPr>
            <w:rStyle w:val="Hyperlink"/>
            <w:color w:val="0000CC"/>
            <w:sz w:val="18"/>
            <w:szCs w:val="18"/>
          </w:rPr>
          <w:t>http://www.legislation.gov.uk/uksi/2012/3028/contents/made</w:t>
        </w:r>
      </w:hyperlink>
    </w:p>
  </w:footnote>
  <w:footnote w:id="6">
    <w:p w14:paraId="62F4A317" w14:textId="77777777" w:rsidR="00B46079" w:rsidRPr="001474E3" w:rsidRDefault="00B46079" w:rsidP="001474E3">
      <w:pPr>
        <w:pStyle w:val="FootnoteText"/>
        <w:spacing w:after="0"/>
        <w:rPr>
          <w:sz w:val="18"/>
          <w:szCs w:val="18"/>
        </w:rPr>
      </w:pPr>
      <w:r w:rsidRPr="001474E3">
        <w:rPr>
          <w:rStyle w:val="FootnoteReference"/>
          <w:sz w:val="18"/>
          <w:szCs w:val="18"/>
        </w:rPr>
        <w:footnoteRef/>
      </w:r>
      <w:r w:rsidRPr="001474E3">
        <w:rPr>
          <w:sz w:val="18"/>
          <w:szCs w:val="18"/>
        </w:rPr>
        <w:t xml:space="preserve"> This can be found at:</w:t>
      </w:r>
      <w:r w:rsidRPr="001474E3">
        <w:rPr>
          <w:color w:val="0000CC"/>
          <w:sz w:val="18"/>
          <w:szCs w:val="18"/>
        </w:rPr>
        <w:t xml:space="preserve"> </w:t>
      </w:r>
      <w:hyperlink r:id="rId4" w:history="1">
        <w:r w:rsidRPr="001474E3">
          <w:rPr>
            <w:rStyle w:val="Hyperlink"/>
            <w:color w:val="0000CC"/>
            <w:sz w:val="18"/>
            <w:szCs w:val="18"/>
          </w:rPr>
          <w:t>https://www.nationalarchives.gov.uk/documents/information-management/best-practice-guide-appraising-and-selecting.pdf</w:t>
        </w:r>
      </w:hyperlink>
    </w:p>
  </w:footnote>
  <w:footnote w:id="7">
    <w:p w14:paraId="13B09D7C" w14:textId="47315AB4" w:rsidR="00B46079" w:rsidRPr="001474E3" w:rsidRDefault="00B46079" w:rsidP="001474E3">
      <w:pPr>
        <w:pStyle w:val="FootnoteText"/>
        <w:spacing w:after="0"/>
        <w:rPr>
          <w:sz w:val="18"/>
          <w:szCs w:val="18"/>
        </w:rPr>
      </w:pPr>
      <w:r w:rsidRPr="001474E3">
        <w:rPr>
          <w:rStyle w:val="FootnoteReference"/>
          <w:sz w:val="18"/>
          <w:szCs w:val="18"/>
        </w:rPr>
        <w:footnoteRef/>
      </w:r>
      <w:r w:rsidRPr="001474E3">
        <w:rPr>
          <w:sz w:val="18"/>
          <w:szCs w:val="18"/>
        </w:rPr>
        <w:t xml:space="preserve"> See </w:t>
      </w:r>
      <w:r w:rsidRPr="00A865BB">
        <w:rPr>
          <w:sz w:val="18"/>
          <w:szCs w:val="18"/>
        </w:rPr>
        <w:t xml:space="preserve">rows </w:t>
      </w:r>
      <w:r w:rsidR="00BF70F8" w:rsidRPr="00A865BB">
        <w:rPr>
          <w:sz w:val="18"/>
          <w:szCs w:val="18"/>
        </w:rPr>
        <w:t>1</w:t>
      </w:r>
      <w:r w:rsidR="00A865BB" w:rsidRPr="00A865BB">
        <w:rPr>
          <w:sz w:val="18"/>
          <w:szCs w:val="18"/>
        </w:rPr>
        <w:t>2</w:t>
      </w:r>
      <w:r w:rsidR="00BF70F8" w:rsidRPr="00A865BB">
        <w:rPr>
          <w:sz w:val="18"/>
          <w:szCs w:val="18"/>
        </w:rPr>
        <w:t xml:space="preserve"> and 1</w:t>
      </w:r>
      <w:r w:rsidR="00A865BB" w:rsidRPr="00A865BB">
        <w:rPr>
          <w:sz w:val="18"/>
          <w:szCs w:val="18"/>
        </w:rPr>
        <w:t>3</w:t>
      </w:r>
      <w:r w:rsidRPr="00A865BB">
        <w:rPr>
          <w:sz w:val="18"/>
          <w:szCs w:val="18"/>
        </w:rPr>
        <w:t xml:space="preserve"> </w:t>
      </w:r>
      <w:r w:rsidRPr="001474E3">
        <w:rPr>
          <w:sz w:val="18"/>
          <w:szCs w:val="18"/>
        </w:rPr>
        <w:t>for maximum retention period</w:t>
      </w:r>
    </w:p>
  </w:footnote>
  <w:footnote w:id="8">
    <w:p w14:paraId="5E90468B" w14:textId="77777777" w:rsidR="00B46079" w:rsidRPr="00CC0F7B" w:rsidRDefault="00B46079" w:rsidP="004A442F">
      <w:pPr>
        <w:pStyle w:val="FootnoteText"/>
        <w:spacing w:after="0"/>
        <w:rPr>
          <w:sz w:val="18"/>
          <w:szCs w:val="18"/>
        </w:rPr>
      </w:pPr>
      <w:r w:rsidRPr="00CC0F7B">
        <w:rPr>
          <w:rStyle w:val="FootnoteReference"/>
          <w:sz w:val="18"/>
          <w:szCs w:val="18"/>
        </w:rPr>
        <w:footnoteRef/>
      </w:r>
      <w:r w:rsidRPr="00CC0F7B">
        <w:rPr>
          <w:sz w:val="18"/>
          <w:szCs w:val="18"/>
        </w:rPr>
        <w:t xml:space="preserve"> This enables the Sentencing Council to comply with any requests from the Commissioner for Public Appointments who may investigate a complaint about a specific campaign which ended in the previous 12 months.</w:t>
      </w:r>
    </w:p>
  </w:footnote>
  <w:footnote w:id="9">
    <w:p w14:paraId="7F2D9FB5" w14:textId="77777777" w:rsidR="00B46079" w:rsidRPr="00A72C46" w:rsidRDefault="00B46079" w:rsidP="004A442F">
      <w:pPr>
        <w:pStyle w:val="FootnoteText"/>
        <w:spacing w:after="0"/>
        <w:rPr>
          <w:sz w:val="18"/>
        </w:rPr>
      </w:pPr>
      <w:r w:rsidRPr="00A72C46">
        <w:rPr>
          <w:rStyle w:val="FootnoteReference"/>
          <w:sz w:val="18"/>
        </w:rPr>
        <w:footnoteRef/>
      </w:r>
      <w:r w:rsidRPr="00A72C46">
        <w:rPr>
          <w:sz w:val="18"/>
        </w:rPr>
        <w:t xml:space="preserve"> Minutes are published on the Sentencing Council’s website at: </w:t>
      </w:r>
      <w:r>
        <w:rPr>
          <w:sz w:val="18"/>
        </w:rPr>
        <w:t xml:space="preserve"> </w:t>
      </w:r>
      <w:hyperlink r:id="rId5" w:history="1">
        <w:r w:rsidRPr="00A72C46">
          <w:rPr>
            <w:rStyle w:val="Hyperlink"/>
            <w:color w:val="0000CC"/>
            <w:sz w:val="18"/>
          </w:rPr>
          <w:t>https://www.sentencingcouncil.org.uk/publications?s&amp;cat=minutes</w:t>
        </w:r>
      </w:hyperlink>
    </w:p>
  </w:footnote>
  <w:footnote w:id="10">
    <w:p w14:paraId="2288E700" w14:textId="77777777" w:rsidR="00B46079" w:rsidRDefault="00B46079" w:rsidP="004A442F">
      <w:pPr>
        <w:pStyle w:val="FootnoteText"/>
        <w:spacing w:after="0"/>
      </w:pPr>
      <w:r>
        <w:rPr>
          <w:rStyle w:val="FootnoteReference"/>
        </w:rPr>
        <w:footnoteRef/>
      </w:r>
      <w:r>
        <w:t xml:space="preserve"> </w:t>
      </w:r>
      <w:r w:rsidRPr="005A3D7D">
        <w:rPr>
          <w:sz w:val="18"/>
          <w:szCs w:val="18"/>
        </w:rPr>
        <w:t xml:space="preserve">Superseded versions of publications can be found on the archive of the Sentencing Council’s website at: </w:t>
      </w:r>
      <w:hyperlink r:id="rId6" w:history="1">
        <w:r w:rsidRPr="005A3D7D">
          <w:rPr>
            <w:rStyle w:val="Hyperlink"/>
            <w:color w:val="0000CC"/>
            <w:sz w:val="18"/>
            <w:szCs w:val="18"/>
          </w:rPr>
          <w:t>https://webarchive.nationalarchives.gov.uk/*/http://sentencingcouncil.judiciary.gov.uk/</w:t>
        </w:r>
      </w:hyperlink>
      <w:r>
        <w:rPr>
          <w:sz w:val="18"/>
          <w:szCs w:val="18"/>
        </w:rPr>
        <w:t xml:space="preserve"> and </w:t>
      </w:r>
      <w:hyperlink r:id="rId7" w:history="1">
        <w:r w:rsidRPr="005A3D7D">
          <w:rPr>
            <w:rStyle w:val="Hyperlink"/>
            <w:color w:val="0000CC"/>
            <w:sz w:val="18"/>
            <w:szCs w:val="18"/>
          </w:rPr>
          <w:t>https://webarchive.nationalarchives.gov.uk/*/http://www.sentencing-guidelines.gov.uk/</w:t>
        </w:r>
      </w:hyperlink>
    </w:p>
  </w:footnote>
  <w:footnote w:id="11">
    <w:p w14:paraId="11AA908E" w14:textId="3FAD1870" w:rsidR="00B46079" w:rsidRPr="00204C19" w:rsidRDefault="00B46079" w:rsidP="00204C19">
      <w:pPr>
        <w:pStyle w:val="FootnoteText"/>
        <w:spacing w:after="0"/>
        <w:rPr>
          <w:sz w:val="18"/>
        </w:rPr>
      </w:pPr>
      <w:r w:rsidRPr="00204C19">
        <w:rPr>
          <w:rStyle w:val="FootnoteReference"/>
          <w:sz w:val="18"/>
        </w:rPr>
        <w:footnoteRef/>
      </w:r>
      <w:r w:rsidRPr="00204C19">
        <w:rPr>
          <w:sz w:val="18"/>
        </w:rPr>
        <w:t xml:space="preserve"> This includes paper copies and those stored in personal email accounts, etc</w:t>
      </w:r>
    </w:p>
  </w:footnote>
  <w:footnote w:id="12">
    <w:p w14:paraId="69AAEE90" w14:textId="77777777" w:rsidR="00B46079" w:rsidRPr="00B46079" w:rsidRDefault="00B46079" w:rsidP="00B46079">
      <w:pPr>
        <w:pStyle w:val="FootnoteText"/>
        <w:spacing w:after="0"/>
        <w:rPr>
          <w:sz w:val="18"/>
          <w:szCs w:val="18"/>
        </w:rPr>
      </w:pPr>
      <w:r w:rsidRPr="00B46079">
        <w:rPr>
          <w:rStyle w:val="FootnoteReference"/>
          <w:sz w:val="18"/>
          <w:szCs w:val="18"/>
        </w:rPr>
        <w:footnoteRef/>
      </w:r>
      <w:r w:rsidRPr="00B46079">
        <w:rPr>
          <w:sz w:val="18"/>
          <w:szCs w:val="18"/>
        </w:rPr>
        <w:t xml:space="preserve"> Published on the Sentencing Council’s website at: </w:t>
      </w:r>
      <w:hyperlink r:id="rId8" w:history="1">
        <w:r w:rsidRPr="00B46079">
          <w:rPr>
            <w:rStyle w:val="Hyperlink"/>
            <w:color w:val="0000CC"/>
            <w:sz w:val="18"/>
            <w:szCs w:val="18"/>
          </w:rPr>
          <w:t>https://www.sentencingcouncil.org.uk/publications/</w:t>
        </w:r>
      </w:hyperlink>
    </w:p>
  </w:footnote>
  <w:footnote w:id="13">
    <w:p w14:paraId="6D062572" w14:textId="77777777" w:rsidR="00B46079" w:rsidRPr="00AD35BF" w:rsidRDefault="00B46079" w:rsidP="00062E3B">
      <w:pPr>
        <w:pStyle w:val="FootnoteText"/>
        <w:spacing w:after="0"/>
        <w:rPr>
          <w:sz w:val="18"/>
          <w:szCs w:val="18"/>
        </w:rPr>
      </w:pPr>
      <w:r w:rsidRPr="00AD35BF">
        <w:rPr>
          <w:rStyle w:val="FootnoteReference"/>
          <w:sz w:val="18"/>
          <w:szCs w:val="18"/>
        </w:rPr>
        <w:footnoteRef/>
      </w:r>
      <w:r w:rsidRPr="00AD35BF">
        <w:rPr>
          <w:sz w:val="18"/>
          <w:szCs w:val="18"/>
        </w:rPr>
        <w:t xml:space="preserve"> This allows for time to check that digital copies are usable before destruction</w:t>
      </w:r>
    </w:p>
  </w:footnote>
  <w:footnote w:id="14">
    <w:p w14:paraId="3B5BDE53" w14:textId="77777777" w:rsidR="00B46079" w:rsidRPr="001474E3" w:rsidRDefault="00B46079" w:rsidP="00107AB2">
      <w:pPr>
        <w:pStyle w:val="FootnoteText"/>
        <w:spacing w:after="0"/>
        <w:rPr>
          <w:sz w:val="18"/>
          <w:szCs w:val="18"/>
        </w:rPr>
      </w:pPr>
      <w:r w:rsidRPr="001474E3">
        <w:rPr>
          <w:rStyle w:val="FootnoteReference"/>
          <w:sz w:val="18"/>
          <w:szCs w:val="18"/>
        </w:rPr>
        <w:footnoteRef/>
      </w:r>
      <w:r w:rsidRPr="001474E3">
        <w:rPr>
          <w:sz w:val="18"/>
          <w:szCs w:val="18"/>
        </w:rPr>
        <w:t xml:space="preserve"> Staff should check the intranet for more detailed guidance: </w:t>
      </w:r>
      <w:r w:rsidRPr="001474E3">
        <w:rPr>
          <w:i/>
          <w:sz w:val="18"/>
          <w:szCs w:val="18"/>
        </w:rPr>
        <w:t>Guidance for using Open Internet Tools</w:t>
      </w:r>
    </w:p>
  </w:footnote>
  <w:footnote w:id="15">
    <w:p w14:paraId="3522F9E4" w14:textId="77777777" w:rsidR="00B46079" w:rsidRPr="001474E3" w:rsidRDefault="00B46079" w:rsidP="00107AB2">
      <w:pPr>
        <w:pStyle w:val="FootnoteText"/>
        <w:spacing w:after="0"/>
        <w:rPr>
          <w:sz w:val="18"/>
          <w:szCs w:val="18"/>
        </w:rPr>
      </w:pPr>
      <w:r w:rsidRPr="001474E3">
        <w:rPr>
          <w:rStyle w:val="FootnoteReference"/>
          <w:sz w:val="18"/>
          <w:szCs w:val="18"/>
        </w:rPr>
        <w:footnoteRef/>
      </w:r>
      <w:r w:rsidRPr="001474E3">
        <w:rPr>
          <w:sz w:val="18"/>
          <w:szCs w:val="18"/>
        </w:rPr>
        <w:t xml:space="preserve"> </w:t>
      </w:r>
      <w:r w:rsidRPr="001474E3">
        <w:rPr>
          <w:i/>
          <w:sz w:val="18"/>
          <w:szCs w:val="18"/>
        </w:rPr>
        <w:t>What to keep</w:t>
      </w:r>
      <w:r w:rsidRPr="001474E3">
        <w:rPr>
          <w:sz w:val="18"/>
          <w:szCs w:val="18"/>
        </w:rPr>
        <w:t xml:space="preserve"> is available at: </w:t>
      </w:r>
      <w:hyperlink r:id="rId9" w:history="1">
        <w:r w:rsidRPr="001474E3">
          <w:rPr>
            <w:rStyle w:val="Hyperlink"/>
            <w:color w:val="0000CC"/>
            <w:sz w:val="18"/>
            <w:szCs w:val="18"/>
          </w:rPr>
          <w:t>https://www.gov.uk/government/publications/record-retention-and-disposition-schedules</w:t>
        </w:r>
      </w:hyperlink>
      <w:r w:rsidRPr="001474E3">
        <w:rPr>
          <w:sz w:val="18"/>
          <w:szCs w:val="18"/>
        </w:rPr>
        <w:t xml:space="preserve"> </w:t>
      </w:r>
    </w:p>
  </w:footnote>
  <w:footnote w:id="16">
    <w:p w14:paraId="364106CE" w14:textId="77777777" w:rsidR="003C18E9" w:rsidRPr="00E66A89" w:rsidRDefault="003C18E9" w:rsidP="00C90DC4">
      <w:pPr>
        <w:pStyle w:val="FootnoteText"/>
        <w:spacing w:after="0"/>
        <w:rPr>
          <w:sz w:val="18"/>
          <w:szCs w:val="18"/>
        </w:rPr>
      </w:pPr>
      <w:r w:rsidRPr="00E66A89">
        <w:rPr>
          <w:rStyle w:val="FootnoteReference"/>
          <w:sz w:val="18"/>
          <w:szCs w:val="18"/>
        </w:rPr>
        <w:footnoteRef/>
      </w:r>
      <w:r w:rsidRPr="00E66A89">
        <w:rPr>
          <w:sz w:val="18"/>
          <w:szCs w:val="18"/>
        </w:rPr>
        <w:t xml:space="preserve"> Limitation Act 1980 s.5 sets the time limit for actions founded on simple contracts (signed under hand) at six years</w:t>
      </w:r>
    </w:p>
  </w:footnote>
  <w:footnote w:id="17">
    <w:p w14:paraId="77E85219" w14:textId="77777777" w:rsidR="003C18E9" w:rsidRPr="00734BCB" w:rsidRDefault="003C18E9" w:rsidP="001474E3">
      <w:pPr>
        <w:pStyle w:val="FootnoteText"/>
        <w:spacing w:after="0"/>
        <w:rPr>
          <w:sz w:val="18"/>
        </w:rPr>
      </w:pPr>
      <w:r w:rsidRPr="00734BCB">
        <w:rPr>
          <w:rStyle w:val="FootnoteReference"/>
          <w:sz w:val="18"/>
        </w:rPr>
        <w:footnoteRef/>
      </w:r>
      <w:r w:rsidRPr="00734BCB">
        <w:rPr>
          <w:sz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3BF" w14:textId="77777777" w:rsidR="00B46079" w:rsidRDefault="00B46079">
    <w:pPr>
      <w:pStyle w:val="Header"/>
    </w:pPr>
    <w:r w:rsidRPr="006D258B">
      <w:rPr>
        <w:noProof/>
      </w:rPr>
      <w:drawing>
        <wp:anchor distT="0" distB="0" distL="114300" distR="114300" simplePos="0" relativeHeight="251660288" behindDoc="1" locked="0" layoutInCell="0" allowOverlap="1" wp14:anchorId="5A36B3BF" wp14:editId="7F9A8A0A">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AE91CC" wp14:editId="521C3C2A">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C2B0D05"/>
    <w:multiLevelType w:val="hybridMultilevel"/>
    <w:tmpl w:val="D438004E"/>
    <w:lvl w:ilvl="0" w:tplc="25F822F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B57B8"/>
    <w:multiLevelType w:val="hybridMultilevel"/>
    <w:tmpl w:val="41C81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F61A5"/>
    <w:multiLevelType w:val="hybridMultilevel"/>
    <w:tmpl w:val="6A3E3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32ACD"/>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54FFA"/>
    <w:multiLevelType w:val="hybridMultilevel"/>
    <w:tmpl w:val="751AE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17114"/>
    <w:multiLevelType w:val="hybridMultilevel"/>
    <w:tmpl w:val="D3005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5007B1"/>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A0321"/>
    <w:multiLevelType w:val="hybridMultilevel"/>
    <w:tmpl w:val="918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C0892"/>
    <w:multiLevelType w:val="hybridMultilevel"/>
    <w:tmpl w:val="1936A1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15A47"/>
    <w:multiLevelType w:val="hybridMultilevel"/>
    <w:tmpl w:val="1FF4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230ABB"/>
    <w:multiLevelType w:val="hybridMultilevel"/>
    <w:tmpl w:val="D4FC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163388"/>
    <w:multiLevelType w:val="hybridMultilevel"/>
    <w:tmpl w:val="4B72B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5E5DD4"/>
    <w:multiLevelType w:val="hybridMultilevel"/>
    <w:tmpl w:val="CD14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62118"/>
    <w:multiLevelType w:val="hybridMultilevel"/>
    <w:tmpl w:val="C36A3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512833"/>
    <w:multiLevelType w:val="hybridMultilevel"/>
    <w:tmpl w:val="622A6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907B61"/>
    <w:multiLevelType w:val="hybridMultilevel"/>
    <w:tmpl w:val="0396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83157"/>
    <w:multiLevelType w:val="hybridMultilevel"/>
    <w:tmpl w:val="116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823CEB"/>
    <w:multiLevelType w:val="hybridMultilevel"/>
    <w:tmpl w:val="8A66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220D75"/>
    <w:multiLevelType w:val="hybridMultilevel"/>
    <w:tmpl w:val="F5B25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3"/>
  </w:num>
  <w:num w:numId="7">
    <w:abstractNumId w:val="6"/>
  </w:num>
  <w:num w:numId="8">
    <w:abstractNumId w:val="4"/>
  </w:num>
  <w:num w:numId="9">
    <w:abstractNumId w:val="9"/>
  </w:num>
  <w:num w:numId="10">
    <w:abstractNumId w:val="14"/>
  </w:num>
  <w:num w:numId="11">
    <w:abstractNumId w:val="21"/>
  </w:num>
  <w:num w:numId="12">
    <w:abstractNumId w:val="13"/>
  </w:num>
  <w:num w:numId="13">
    <w:abstractNumId w:val="12"/>
  </w:num>
  <w:num w:numId="14">
    <w:abstractNumId w:val="22"/>
  </w:num>
  <w:num w:numId="15">
    <w:abstractNumId w:val="11"/>
  </w:num>
  <w:num w:numId="16">
    <w:abstractNumId w:val="7"/>
  </w:num>
  <w:num w:numId="17">
    <w:abstractNumId w:val="8"/>
  </w:num>
  <w:num w:numId="18">
    <w:abstractNumId w:val="23"/>
  </w:num>
  <w:num w:numId="19">
    <w:abstractNumId w:val="19"/>
  </w:num>
  <w:num w:numId="20">
    <w:abstractNumId w:val="10"/>
  </w:num>
  <w:num w:numId="21">
    <w:abstractNumId w:val="15"/>
  </w:num>
  <w:num w:numId="22">
    <w:abstractNumId w:val="18"/>
  </w:num>
  <w:num w:numId="23">
    <w:abstractNumId w:val="16"/>
  </w:num>
  <w:num w:numId="24">
    <w:abstractNumId w:val="5"/>
  </w:num>
  <w:num w:numId="25">
    <w:abstractNumId w:val="20"/>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10D81"/>
    <w:rsid w:val="00021C9F"/>
    <w:rsid w:val="00022442"/>
    <w:rsid w:val="00062E3B"/>
    <w:rsid w:val="00090E40"/>
    <w:rsid w:val="00107AB2"/>
    <w:rsid w:val="00115E54"/>
    <w:rsid w:val="00140C42"/>
    <w:rsid w:val="001474E3"/>
    <w:rsid w:val="00170379"/>
    <w:rsid w:val="00175D09"/>
    <w:rsid w:val="001A71CD"/>
    <w:rsid w:val="001C4F63"/>
    <w:rsid w:val="001E43D9"/>
    <w:rsid w:val="00204C19"/>
    <w:rsid w:val="00207513"/>
    <w:rsid w:val="00214CB4"/>
    <w:rsid w:val="00240F37"/>
    <w:rsid w:val="00253E19"/>
    <w:rsid w:val="0028397F"/>
    <w:rsid w:val="00293CEB"/>
    <w:rsid w:val="002F075A"/>
    <w:rsid w:val="003355F1"/>
    <w:rsid w:val="003B31DF"/>
    <w:rsid w:val="003C18E9"/>
    <w:rsid w:val="003D27AC"/>
    <w:rsid w:val="00446DDB"/>
    <w:rsid w:val="0046787C"/>
    <w:rsid w:val="00487A1B"/>
    <w:rsid w:val="004A442F"/>
    <w:rsid w:val="004A6774"/>
    <w:rsid w:val="004C14D9"/>
    <w:rsid w:val="004F0E08"/>
    <w:rsid w:val="005125BA"/>
    <w:rsid w:val="00515316"/>
    <w:rsid w:val="005257FE"/>
    <w:rsid w:val="00526855"/>
    <w:rsid w:val="00545B6C"/>
    <w:rsid w:val="00573A5E"/>
    <w:rsid w:val="005E51D0"/>
    <w:rsid w:val="006020B4"/>
    <w:rsid w:val="0062433C"/>
    <w:rsid w:val="006A381F"/>
    <w:rsid w:val="006B1A47"/>
    <w:rsid w:val="006B61D2"/>
    <w:rsid w:val="007044A5"/>
    <w:rsid w:val="00710DA6"/>
    <w:rsid w:val="00736A4E"/>
    <w:rsid w:val="0076139D"/>
    <w:rsid w:val="00771676"/>
    <w:rsid w:val="007E08C8"/>
    <w:rsid w:val="008078A6"/>
    <w:rsid w:val="008114F6"/>
    <w:rsid w:val="0082754A"/>
    <w:rsid w:val="00832883"/>
    <w:rsid w:val="00840F58"/>
    <w:rsid w:val="00870492"/>
    <w:rsid w:val="008B2C35"/>
    <w:rsid w:val="008B5C77"/>
    <w:rsid w:val="008C66D0"/>
    <w:rsid w:val="008E57C2"/>
    <w:rsid w:val="00916276"/>
    <w:rsid w:val="009179CD"/>
    <w:rsid w:val="00932C6A"/>
    <w:rsid w:val="00932F7F"/>
    <w:rsid w:val="00990242"/>
    <w:rsid w:val="009A1CE1"/>
    <w:rsid w:val="00A05002"/>
    <w:rsid w:val="00A400C3"/>
    <w:rsid w:val="00A54C31"/>
    <w:rsid w:val="00A61CA9"/>
    <w:rsid w:val="00A824CE"/>
    <w:rsid w:val="00A865BB"/>
    <w:rsid w:val="00AB3EF7"/>
    <w:rsid w:val="00AC6247"/>
    <w:rsid w:val="00AD05F3"/>
    <w:rsid w:val="00AD52C7"/>
    <w:rsid w:val="00AE4DF7"/>
    <w:rsid w:val="00B36080"/>
    <w:rsid w:val="00B46079"/>
    <w:rsid w:val="00B4736D"/>
    <w:rsid w:val="00B91315"/>
    <w:rsid w:val="00BC4DBC"/>
    <w:rsid w:val="00BF23EA"/>
    <w:rsid w:val="00BF70F8"/>
    <w:rsid w:val="00C2757C"/>
    <w:rsid w:val="00C404EC"/>
    <w:rsid w:val="00C90DC4"/>
    <w:rsid w:val="00CC0F7B"/>
    <w:rsid w:val="00CD58B9"/>
    <w:rsid w:val="00D011FB"/>
    <w:rsid w:val="00D12245"/>
    <w:rsid w:val="00D33F0B"/>
    <w:rsid w:val="00D50660"/>
    <w:rsid w:val="00D53250"/>
    <w:rsid w:val="00D81E08"/>
    <w:rsid w:val="00D929D7"/>
    <w:rsid w:val="00DA50B9"/>
    <w:rsid w:val="00DC7ABE"/>
    <w:rsid w:val="00DE0AB5"/>
    <w:rsid w:val="00E40474"/>
    <w:rsid w:val="00E40AEF"/>
    <w:rsid w:val="00E4123E"/>
    <w:rsid w:val="00E66A89"/>
    <w:rsid w:val="00E8771F"/>
    <w:rsid w:val="00EA79F8"/>
    <w:rsid w:val="00F12B8B"/>
    <w:rsid w:val="00F37F54"/>
    <w:rsid w:val="00F417CF"/>
    <w:rsid w:val="00F507D8"/>
    <w:rsid w:val="00F64B32"/>
    <w:rsid w:val="00F6533F"/>
    <w:rsid w:val="00F66F5C"/>
    <w:rsid w:val="00F670F5"/>
    <w:rsid w:val="00F750CF"/>
    <w:rsid w:val="00F75C65"/>
    <w:rsid w:val="00F8317E"/>
    <w:rsid w:val="00FC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279D984"/>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uiPriority w:val="99"/>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uiPriority w:val="99"/>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F12B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2B8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4240">
      <w:bodyDiv w:val="1"/>
      <w:marLeft w:val="0"/>
      <w:marRight w:val="0"/>
      <w:marTop w:val="0"/>
      <w:marBottom w:val="0"/>
      <w:divBdr>
        <w:top w:val="none" w:sz="0" w:space="0" w:color="auto"/>
        <w:left w:val="none" w:sz="0" w:space="0" w:color="auto"/>
        <w:bottom w:val="none" w:sz="0" w:space="0" w:color="auto"/>
        <w:right w:val="none" w:sz="0" w:space="0" w:color="auto"/>
      </w:divBdr>
    </w:div>
    <w:div w:id="20381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retention-and-disposition-sche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entencingcouncil.org.uk/publications/" TargetMode="External"/><Relationship Id="rId3" Type="http://schemas.openxmlformats.org/officeDocument/2006/relationships/hyperlink" Target="http://www.legislation.gov.uk/uksi/2012/3028/contents/made" TargetMode="External"/><Relationship Id="rId7" Type="http://schemas.openxmlformats.org/officeDocument/2006/relationships/hyperlink" Target="https://webarchive.nationalarchives.gov.uk/*/http:/www.sentencing-guidelines.gov.uk/" TargetMode="External"/><Relationship Id="rId2" Type="http://schemas.openxmlformats.org/officeDocument/2006/relationships/hyperlink" Target="http://discovery.nationalarchives.gov.uk/browse" TargetMode="External"/><Relationship Id="rId1" Type="http://schemas.openxmlformats.org/officeDocument/2006/relationships/hyperlink" Target="http://discovery.nationalarchives.gov.uk/" TargetMode="External"/><Relationship Id="rId6" Type="http://schemas.openxmlformats.org/officeDocument/2006/relationships/hyperlink" Target="https://webarchive.nationalarchives.gov.uk/*/http://sentencingcouncil.judiciary.gov.uk/" TargetMode="External"/><Relationship Id="rId5" Type="http://schemas.openxmlformats.org/officeDocument/2006/relationships/hyperlink" Target="https://www.sentencingcouncil.org.uk/publications?s&amp;cat=minutes" TargetMode="External"/><Relationship Id="rId4" Type="http://schemas.openxmlformats.org/officeDocument/2006/relationships/hyperlink" Target="https://www.nationalarchives.gov.uk/documents/information-management/best-practice-guide-appraising-and-selecting.pdf" TargetMode="External"/><Relationship Id="rId9" Type="http://schemas.openxmlformats.org/officeDocument/2006/relationships/hyperlink" Target="https://www.gov.uk/government/publications/record-retention-and-disposition-schedu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5" ma:contentTypeDescription="Create a new document." ma:contentTypeScope="" ma:versionID="ce6d7a1b6a13be5c5d5ec3c18bee059c">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785cc32a51e478225821991a30794690"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1448-CFE7-4B48-AFF8-CCD1266CA1F6}">
  <ds:schemaRefs>
    <ds:schemaRef ds:uri="http://purl.org/dc/terms/"/>
    <ds:schemaRef ds:uri="d5354e63-dc31-42f4-b5be-47429dadf320"/>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332c961-6f67-4d2a-9fad-b382164b977c"/>
    <ds:schemaRef ds:uri="http://www.w3.org/XML/1998/namespace"/>
  </ds:schemaRefs>
</ds:datastoreItem>
</file>

<file path=customXml/itemProps2.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3.xml><?xml version="1.0" encoding="utf-8"?>
<ds:datastoreItem xmlns:ds="http://schemas.openxmlformats.org/officeDocument/2006/customXml" ds:itemID="{F282544E-CEF0-4AE3-AB1E-9032BC20B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A99F1-1D9E-42D4-8BFD-91AD7A68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3</cp:revision>
  <dcterms:created xsi:type="dcterms:W3CDTF">2020-08-13T09:36:00Z</dcterms:created>
  <dcterms:modified xsi:type="dcterms:W3CDTF">2020-08-20T08:09:00Z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