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AF957" w14:textId="77777777" w:rsidR="00545B6C" w:rsidRPr="00D76BD6" w:rsidRDefault="003E2E79" w:rsidP="00AD05F3">
      <w:pPr>
        <w:pStyle w:val="Title"/>
        <w:rPr>
          <w:sz w:val="56"/>
        </w:rPr>
      </w:pPr>
      <w:r w:rsidRPr="00D76BD6">
        <w:rPr>
          <w:noProof/>
          <w:sz w:val="56"/>
        </w:rPr>
        <w:drawing>
          <wp:anchor distT="0" distB="0" distL="114300" distR="114300" simplePos="0" relativeHeight="251658240" behindDoc="1" locked="0" layoutInCell="1" allowOverlap="1" wp14:anchorId="39EED1DA" wp14:editId="19F56AB2">
            <wp:simplePos x="0" y="0"/>
            <wp:positionH relativeFrom="column">
              <wp:posOffset>4112260</wp:posOffset>
            </wp:positionH>
            <wp:positionV relativeFrom="paragraph">
              <wp:posOffset>-8890</wp:posOffset>
            </wp:positionV>
            <wp:extent cx="1960880" cy="906780"/>
            <wp:effectExtent l="0" t="0" r="1270" b="762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880" cy="906780"/>
                    </a:xfrm>
                    <a:prstGeom prst="rect">
                      <a:avLst/>
                    </a:prstGeom>
                  </pic:spPr>
                </pic:pic>
              </a:graphicData>
            </a:graphic>
            <wp14:sizeRelH relativeFrom="page">
              <wp14:pctWidth>0</wp14:pctWidth>
            </wp14:sizeRelH>
            <wp14:sizeRelV relativeFrom="page">
              <wp14:pctHeight>0</wp14:pctHeight>
            </wp14:sizeRelV>
          </wp:anchor>
        </w:drawing>
      </w:r>
      <w:r w:rsidR="002A6EE9" w:rsidRPr="00D76BD6">
        <w:rPr>
          <w:sz w:val="56"/>
        </w:rPr>
        <w:t xml:space="preserve">The </w:t>
      </w:r>
      <w:r w:rsidR="00D907A8" w:rsidRPr="00D76BD6">
        <w:rPr>
          <w:sz w:val="56"/>
        </w:rPr>
        <w:t>Crown Court</w:t>
      </w:r>
    </w:p>
    <w:p w14:paraId="7B3C37C6" w14:textId="77777777" w:rsidR="00B91315" w:rsidRPr="00D76BD6" w:rsidRDefault="00E66A89" w:rsidP="00AD05F3">
      <w:pPr>
        <w:pStyle w:val="Subtitle"/>
        <w:rPr>
          <w:sz w:val="44"/>
        </w:rPr>
      </w:pPr>
      <w:r w:rsidRPr="00D76BD6">
        <w:rPr>
          <w:sz w:val="44"/>
        </w:rPr>
        <w:t>Records Retention and Disposition Schedule</w:t>
      </w:r>
    </w:p>
    <w:p w14:paraId="50349779" w14:textId="77777777" w:rsidR="00E66A89" w:rsidRDefault="00E66A89" w:rsidP="00E66A89">
      <w:pPr>
        <w:pStyle w:val="Heading2"/>
      </w:pPr>
      <w:bookmarkStart w:id="0" w:name="_Toc6321028"/>
      <w:r w:rsidRPr="00E66A89">
        <w:t>Introduction</w:t>
      </w:r>
    </w:p>
    <w:bookmarkEnd w:id="0"/>
    <w:p w14:paraId="0CA3D035"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This schedule </w:t>
      </w:r>
      <w:r w:rsidR="003F530C">
        <w:rPr>
          <w:rFonts w:cs="Arial"/>
          <w:szCs w:val="24"/>
        </w:rPr>
        <w:t xml:space="preserve">applies to the records that are created and managed by staff working in the Crown Court. It </w:t>
      </w:r>
      <w:r w:rsidRPr="00E66A89">
        <w:rPr>
          <w:rFonts w:cs="Arial"/>
          <w:szCs w:val="24"/>
        </w:rPr>
        <w:t xml:space="preserve">has been drawn up following consultation between </w:t>
      </w:r>
      <w:r w:rsidR="00D76BD6">
        <w:rPr>
          <w:rFonts w:cs="Arial"/>
        </w:rPr>
        <w:t>HM Courts and Tribunals Service (HMCTS)</w:t>
      </w:r>
      <w:r w:rsidRPr="00E66A89">
        <w:rPr>
          <w:rFonts w:cs="Arial"/>
          <w:color w:val="FF0000"/>
          <w:szCs w:val="24"/>
        </w:rPr>
        <w:t xml:space="preserve"> </w:t>
      </w:r>
      <w:r w:rsidRPr="00E66A89">
        <w:rPr>
          <w:rFonts w:cs="Arial"/>
          <w:szCs w:val="24"/>
        </w:rPr>
        <w:t xml:space="preserve">and staff working for the Departmental Records Officer (DRO) in the Ministry of Justice. </w:t>
      </w:r>
      <w:r w:rsidRPr="00E66A89">
        <w:rPr>
          <w:rFonts w:cs="Arial"/>
          <w:szCs w:val="24"/>
        </w:rPr>
        <w:br/>
      </w:r>
    </w:p>
    <w:p w14:paraId="03772D2A" w14:textId="77777777" w:rsidR="003F530C" w:rsidRDefault="003F530C" w:rsidP="003F530C">
      <w:pPr>
        <w:numPr>
          <w:ilvl w:val="0"/>
          <w:numId w:val="6"/>
        </w:numPr>
        <w:spacing w:after="0" w:line="240" w:lineRule="auto"/>
        <w:ind w:left="360"/>
        <w:rPr>
          <w:rFonts w:cs="Arial"/>
          <w:szCs w:val="24"/>
        </w:rPr>
      </w:pPr>
      <w:bookmarkStart w:id="1" w:name="_Hlk514921578"/>
      <w:r w:rsidRPr="00D12245">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w:t>
      </w:r>
      <w:proofErr w:type="spellStart"/>
      <w:r w:rsidRPr="00D12245">
        <w:rPr>
          <w:rFonts w:cs="Arial"/>
          <w:szCs w:val="24"/>
        </w:rPr>
        <w:t>FoIA</w:t>
      </w:r>
      <w:proofErr w:type="spellEnd"/>
      <w:r w:rsidRPr="00D12245">
        <w:rPr>
          <w:rFonts w:cs="Arial"/>
          <w:szCs w:val="24"/>
        </w:rPr>
        <w:t>) and amending legislation. The MoJ uses Records Retention and Disposition Schedules (RRDS) to manage its compliance with statutory obligations to identify what information and records we hold, how long we keep it and what should happen to these records at the end of that time.</w:t>
      </w:r>
    </w:p>
    <w:p w14:paraId="0E0C68AC" w14:textId="77777777" w:rsidR="00E66A89" w:rsidRPr="00E66A89" w:rsidRDefault="00E66A89" w:rsidP="00E66A89">
      <w:pPr>
        <w:spacing w:after="0" w:line="240" w:lineRule="auto"/>
        <w:ind w:left="360"/>
        <w:rPr>
          <w:rFonts w:cs="Arial"/>
          <w:szCs w:val="24"/>
        </w:rPr>
      </w:pPr>
    </w:p>
    <w:p w14:paraId="0D183BBF" w14:textId="77777777" w:rsidR="00E66A89" w:rsidRPr="00DF4F3B" w:rsidRDefault="00E66A89" w:rsidP="00DF4F3B">
      <w:pPr>
        <w:numPr>
          <w:ilvl w:val="0"/>
          <w:numId w:val="6"/>
        </w:numPr>
        <w:spacing w:after="0" w:line="240" w:lineRule="auto"/>
        <w:ind w:left="360"/>
        <w:rPr>
          <w:rFonts w:cs="Arial"/>
        </w:rPr>
      </w:pPr>
      <w:r w:rsidRPr="00DF4F3B">
        <w:rPr>
          <w:rFonts w:cs="Arial"/>
        </w:rPr>
        <w:t>The</w:t>
      </w:r>
      <w:r w:rsidR="00D76BD6" w:rsidRPr="00DF4F3B">
        <w:rPr>
          <w:rFonts w:cs="Arial"/>
        </w:rPr>
        <w:t xml:space="preserve"> Crown Court’s</w:t>
      </w:r>
      <w:r w:rsidRPr="00DF4F3B">
        <w:rPr>
          <w:rFonts w:cs="Arial"/>
        </w:rPr>
        <w:t xml:space="preserve"> work is governed by</w:t>
      </w:r>
      <w:r w:rsidR="00D76BD6" w:rsidRPr="00DF4F3B">
        <w:rPr>
          <w:rFonts w:cs="Arial"/>
        </w:rPr>
        <w:t xml:space="preserve"> the Criminal Procedure Rules </w:t>
      </w:r>
      <w:r w:rsidRPr="00DF4F3B">
        <w:rPr>
          <w:rFonts w:cs="Arial"/>
        </w:rPr>
        <w:t>and supporting rules</w:t>
      </w:r>
      <w:r w:rsidR="00D76BD6" w:rsidRPr="00DF4F3B">
        <w:rPr>
          <w:rFonts w:cs="Arial"/>
        </w:rPr>
        <w:t>.</w:t>
      </w:r>
      <w:r w:rsidR="0046647C" w:rsidRPr="00DF4F3B">
        <w:rPr>
          <w:rFonts w:cs="Arial"/>
        </w:rPr>
        <w:t xml:space="preserve"> </w:t>
      </w:r>
      <w:r w:rsidR="0046647C">
        <w:rPr>
          <w:rFonts w:cs="Arial"/>
        </w:rPr>
        <w:t>The work of the Jury Central Summoning Bureau (JCSB) is governed by the</w:t>
      </w:r>
      <w:r w:rsidR="00DF4F3B">
        <w:rPr>
          <w:rFonts w:cs="Arial"/>
        </w:rPr>
        <w:t xml:space="preserve"> Juries Act 1974 and supporting rules.</w:t>
      </w:r>
    </w:p>
    <w:p w14:paraId="75B8B6C5" w14:textId="77777777" w:rsidR="00D76BD6" w:rsidRPr="00D76BD6" w:rsidRDefault="003F530C" w:rsidP="008E59AE">
      <w:pPr>
        <w:pStyle w:val="Heading2"/>
        <w:rPr>
          <w:rFonts w:cs="Arial"/>
          <w:szCs w:val="24"/>
        </w:rPr>
      </w:pPr>
      <w:r w:rsidRPr="00D12245">
        <w:rPr>
          <w:sz w:val="24"/>
          <w:szCs w:val="28"/>
        </w:rPr>
        <w:t>More about this schedule</w:t>
      </w:r>
    </w:p>
    <w:p w14:paraId="4A48A019" w14:textId="77777777" w:rsidR="00421B52" w:rsidRDefault="008E59AE" w:rsidP="00421B52">
      <w:pPr>
        <w:numPr>
          <w:ilvl w:val="0"/>
          <w:numId w:val="6"/>
        </w:numPr>
        <w:spacing w:after="0" w:line="240" w:lineRule="auto"/>
        <w:ind w:left="360"/>
        <w:rPr>
          <w:rFonts w:cs="Arial"/>
          <w:szCs w:val="24"/>
        </w:rPr>
      </w:pPr>
      <w:r w:rsidRPr="00D12245">
        <w:rPr>
          <w:rFonts w:cs="Arial"/>
          <w:szCs w:val="24"/>
        </w:rPr>
        <w:t>Some of the records listed below are selected for permanent preservation under the Public Records Act</w:t>
      </w:r>
      <w:r w:rsidR="00F43BB2">
        <w:rPr>
          <w:rFonts w:cs="Arial"/>
          <w:szCs w:val="24"/>
        </w:rPr>
        <w:t xml:space="preserve"> 1958 s3.6(6)</w:t>
      </w:r>
      <w:r w:rsidR="00214514" w:rsidRPr="00D12245">
        <w:rPr>
          <w:rFonts w:cs="Arial"/>
          <w:szCs w:val="24"/>
        </w:rPr>
        <w:t xml:space="preserve"> </w:t>
      </w:r>
      <w:r w:rsidRPr="00D12245">
        <w:rPr>
          <w:rFonts w:cs="Arial"/>
          <w:szCs w:val="24"/>
        </w:rPr>
        <w:t>and are transferred to The National Archives (TNA). To help you to locate any records that have already been transferred, we have included TNA’s cl</w:t>
      </w:r>
      <w:r>
        <w:rPr>
          <w:rFonts w:cs="Arial"/>
          <w:szCs w:val="24"/>
        </w:rPr>
        <w:t>assification</w:t>
      </w:r>
      <w:r w:rsidRPr="00BA5892">
        <w:rPr>
          <w:rFonts w:cs="Arial"/>
          <w:szCs w:val="24"/>
          <w:vertAlign w:val="superscript"/>
        </w:rPr>
        <w:footnoteReference w:id="2"/>
      </w:r>
      <w:r>
        <w:rPr>
          <w:rFonts w:cs="Arial"/>
          <w:szCs w:val="24"/>
        </w:rPr>
        <w:t xml:space="preserve"> of these records.</w:t>
      </w:r>
    </w:p>
    <w:p w14:paraId="5F32B4B9" w14:textId="77777777" w:rsidR="00D76BD6" w:rsidRDefault="00421B52" w:rsidP="00421B52">
      <w:pPr>
        <w:spacing w:after="0" w:line="240" w:lineRule="auto"/>
        <w:ind w:left="360"/>
        <w:rPr>
          <w:rFonts w:cs="Arial"/>
          <w:szCs w:val="24"/>
        </w:rPr>
      </w:pPr>
      <w:r>
        <w:rPr>
          <w:rFonts w:cs="Arial"/>
          <w:szCs w:val="24"/>
        </w:rPr>
        <w:t xml:space="preserve"> </w:t>
      </w:r>
    </w:p>
    <w:p w14:paraId="374C0EA6" w14:textId="77777777" w:rsidR="00D76BD6" w:rsidRPr="008E59AE" w:rsidRDefault="00D76BD6" w:rsidP="00A97636">
      <w:pPr>
        <w:numPr>
          <w:ilvl w:val="0"/>
          <w:numId w:val="6"/>
        </w:numPr>
        <w:spacing w:after="0" w:line="240" w:lineRule="auto"/>
        <w:ind w:left="360"/>
        <w:rPr>
          <w:rFonts w:cs="Arial"/>
          <w:szCs w:val="24"/>
        </w:rPr>
      </w:pPr>
      <w:r w:rsidRPr="00D76BD6">
        <w:rPr>
          <w:rFonts w:cs="Arial"/>
          <w:szCs w:val="24"/>
        </w:rPr>
        <w:t>MoJ has agreed the criteria for selecting records for permanent preservation with The National Archives (TNA). These criteria are set out in TNA’s Operational Selection Policy 40 (OSP 40): Records of the Crown Court and Court of Appeal (Criminal Division):</w:t>
      </w:r>
      <w:r w:rsidR="00A97636">
        <w:rPr>
          <w:rFonts w:cs="Arial"/>
          <w:szCs w:val="24"/>
        </w:rPr>
        <w:t xml:space="preserve"> </w:t>
      </w:r>
      <w:hyperlink r:id="rId12" w:history="1">
        <w:r w:rsidR="00A97636" w:rsidRPr="00A97636">
          <w:rPr>
            <w:color w:val="0000CC"/>
            <w:u w:val="single"/>
          </w:rPr>
          <w:t>https://www.nationalarchives.gov.uk/information-management/manage-information/selection-and-transfer/selecting-records/osp-number/</w:t>
        </w:r>
      </w:hyperlink>
    </w:p>
    <w:p w14:paraId="7BDAD04A" w14:textId="77777777" w:rsidR="00D76BD6" w:rsidRDefault="00D76BD6" w:rsidP="00E66A89">
      <w:pPr>
        <w:spacing w:after="0" w:line="240" w:lineRule="auto"/>
        <w:ind w:left="360"/>
        <w:rPr>
          <w:rFonts w:cs="Arial"/>
          <w:szCs w:val="24"/>
        </w:rPr>
      </w:pPr>
    </w:p>
    <w:p w14:paraId="1475ACDC" w14:textId="77777777" w:rsidR="008E59AE" w:rsidRPr="00510289" w:rsidRDefault="008E59AE" w:rsidP="00AD7187">
      <w:pPr>
        <w:numPr>
          <w:ilvl w:val="0"/>
          <w:numId w:val="6"/>
        </w:numPr>
        <w:spacing w:after="0" w:line="240" w:lineRule="auto"/>
        <w:ind w:left="360"/>
        <w:rPr>
          <w:rFonts w:cs="Arial"/>
          <w:szCs w:val="24"/>
        </w:rPr>
      </w:pPr>
      <w:r w:rsidRPr="00510289">
        <w:rPr>
          <w:rFonts w:cs="Arial"/>
          <w:szCs w:val="24"/>
        </w:rPr>
        <w:t>Currently</w:t>
      </w:r>
      <w:r w:rsidR="00214514" w:rsidRPr="00510289">
        <w:rPr>
          <w:rFonts w:cs="Arial"/>
          <w:szCs w:val="24"/>
        </w:rPr>
        <w:t>,</w:t>
      </w:r>
      <w:r w:rsidRPr="00510289">
        <w:rPr>
          <w:rFonts w:cs="Arial"/>
          <w:szCs w:val="24"/>
        </w:rPr>
        <w:t xml:space="preserve"> the age of the records being transferred to TNA is </w:t>
      </w:r>
      <w:r w:rsidR="00510289" w:rsidRPr="00510289">
        <w:rPr>
          <w:rFonts w:cs="Arial"/>
          <w:szCs w:val="24"/>
        </w:rPr>
        <w:t>reducing from 30 to 20 years.</w:t>
      </w:r>
    </w:p>
    <w:p w14:paraId="01751EB6" w14:textId="77777777" w:rsidR="008E59AE" w:rsidRDefault="008E59AE" w:rsidP="008E59AE">
      <w:pPr>
        <w:spacing w:after="0" w:line="240" w:lineRule="auto"/>
        <w:ind w:left="360"/>
        <w:rPr>
          <w:rFonts w:cs="Arial"/>
          <w:szCs w:val="24"/>
        </w:rPr>
      </w:pPr>
    </w:p>
    <w:p w14:paraId="0527D4BB" w14:textId="77777777" w:rsidR="00E66A89" w:rsidRPr="003E2E79" w:rsidRDefault="00E66A89" w:rsidP="003E2E79">
      <w:pPr>
        <w:numPr>
          <w:ilvl w:val="0"/>
          <w:numId w:val="6"/>
        </w:numPr>
        <w:spacing w:after="0" w:line="240" w:lineRule="auto"/>
        <w:ind w:left="360"/>
        <w:rPr>
          <w:rFonts w:cs="Arial"/>
          <w:szCs w:val="24"/>
        </w:rPr>
      </w:pPr>
      <w:r w:rsidRPr="003E2E79">
        <w:rPr>
          <w:rFonts w:cs="Arial"/>
          <w:szCs w:val="24"/>
        </w:rPr>
        <w:t>The records selected for permanent preservation are transferred to TNA by the DRO’s team. To avoid confusion, this process includes:</w:t>
      </w:r>
    </w:p>
    <w:p w14:paraId="6418CEA4" w14:textId="77777777" w:rsidR="00E66A89" w:rsidRPr="00E66A89" w:rsidRDefault="00E66A89" w:rsidP="00E66A89">
      <w:pPr>
        <w:spacing w:after="0" w:line="240" w:lineRule="auto"/>
        <w:ind w:left="360"/>
        <w:rPr>
          <w:rFonts w:cs="Arial"/>
          <w:szCs w:val="24"/>
        </w:rPr>
      </w:pPr>
    </w:p>
    <w:p w14:paraId="26BC6492" w14:textId="77777777" w:rsidR="00E66A89" w:rsidRPr="00E66A89" w:rsidRDefault="00E66A89" w:rsidP="00E66A89">
      <w:pPr>
        <w:pStyle w:val="ListParagraph"/>
        <w:numPr>
          <w:ilvl w:val="1"/>
          <w:numId w:val="6"/>
        </w:numPr>
        <w:spacing w:after="0"/>
        <w:rPr>
          <w:rFonts w:cs="Arial"/>
          <w:sz w:val="24"/>
          <w:szCs w:val="24"/>
        </w:rPr>
      </w:pPr>
      <w:r w:rsidRPr="00E66A89">
        <w:rPr>
          <w:rFonts w:cs="Arial"/>
          <w:sz w:val="24"/>
          <w:szCs w:val="24"/>
        </w:rPr>
        <w:t>Records are reviewed by the DRO’s staff prior to transfer to TNA, following criteria agreed between the two organisations.</w:t>
      </w:r>
    </w:p>
    <w:p w14:paraId="246AFA5A" w14:textId="77777777" w:rsidR="008E59AE" w:rsidRPr="00A54C31" w:rsidRDefault="008E59AE" w:rsidP="008E59AE">
      <w:pPr>
        <w:pStyle w:val="ListParagraph"/>
        <w:numPr>
          <w:ilvl w:val="1"/>
          <w:numId w:val="6"/>
        </w:numPr>
        <w:spacing w:after="0"/>
        <w:rPr>
          <w:rFonts w:cs="Arial"/>
          <w:sz w:val="24"/>
          <w:szCs w:val="24"/>
        </w:rPr>
      </w:pPr>
      <w:r w:rsidRPr="00A54C31">
        <w:rPr>
          <w:rFonts w:cs="Arial"/>
          <w:sz w:val="24"/>
          <w:szCs w:val="24"/>
        </w:rPr>
        <w:t xml:space="preserve">Where records meet the criteria, they are prepared and then transferred to TNA. </w:t>
      </w:r>
    </w:p>
    <w:p w14:paraId="371302D9" w14:textId="77777777" w:rsidR="008E59AE" w:rsidRPr="00A54C31" w:rsidRDefault="008E59AE" w:rsidP="008E59AE">
      <w:pPr>
        <w:pStyle w:val="ListParagraph"/>
        <w:numPr>
          <w:ilvl w:val="1"/>
          <w:numId w:val="6"/>
        </w:numPr>
        <w:spacing w:after="0"/>
        <w:rPr>
          <w:rFonts w:cs="Arial"/>
          <w:sz w:val="24"/>
          <w:szCs w:val="24"/>
        </w:rPr>
      </w:pPr>
      <w:r w:rsidRPr="00A54C31">
        <w:rPr>
          <w:rFonts w:cs="Arial"/>
          <w:sz w:val="24"/>
          <w:szCs w:val="24"/>
        </w:rPr>
        <w:t>Where records do not meet the criteria, they are destroyed.</w:t>
      </w:r>
    </w:p>
    <w:p w14:paraId="6F61027D" w14:textId="77777777" w:rsidR="00E66A89" w:rsidRPr="008E59AE" w:rsidRDefault="008E59AE" w:rsidP="00864599">
      <w:pPr>
        <w:pStyle w:val="ListParagraph"/>
        <w:numPr>
          <w:ilvl w:val="1"/>
          <w:numId w:val="6"/>
        </w:numPr>
        <w:spacing w:after="0"/>
        <w:rPr>
          <w:rFonts w:cs="Arial"/>
          <w:sz w:val="24"/>
          <w:szCs w:val="24"/>
        </w:rPr>
      </w:pPr>
      <w:r w:rsidRPr="008E59AE">
        <w:rPr>
          <w:rFonts w:cs="Arial"/>
          <w:sz w:val="24"/>
          <w:szCs w:val="24"/>
        </w:rPr>
        <w:t>The DRO makes the final decision about what is/is not transferred to TNA</w:t>
      </w:r>
      <w:r w:rsidR="00E66A89" w:rsidRPr="008E59AE">
        <w:rPr>
          <w:rFonts w:cs="Arial"/>
          <w:sz w:val="24"/>
          <w:szCs w:val="24"/>
        </w:rPr>
        <w:t>.</w:t>
      </w:r>
    </w:p>
    <w:p w14:paraId="77A9766F" w14:textId="77777777" w:rsidR="00E66A89" w:rsidRPr="00E66A89" w:rsidRDefault="00E66A89" w:rsidP="00E66A89">
      <w:pPr>
        <w:spacing w:after="0" w:line="240" w:lineRule="auto"/>
        <w:ind w:left="360"/>
        <w:rPr>
          <w:rFonts w:cs="Arial"/>
          <w:color w:val="0000CC"/>
          <w:szCs w:val="24"/>
        </w:rPr>
      </w:pPr>
    </w:p>
    <w:bookmarkEnd w:id="1"/>
    <w:p w14:paraId="3B31786F"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This schedule is split into</w:t>
      </w:r>
      <w:r w:rsidR="003E2E79">
        <w:rPr>
          <w:rFonts w:cs="Arial"/>
          <w:szCs w:val="24"/>
        </w:rPr>
        <w:t xml:space="preserve"> four s</w:t>
      </w:r>
      <w:r w:rsidRPr="00E66A89">
        <w:rPr>
          <w:rFonts w:cs="Arial"/>
          <w:szCs w:val="24"/>
        </w:rPr>
        <w:t>ections:</w:t>
      </w:r>
    </w:p>
    <w:p w14:paraId="73E61AC1" w14:textId="77777777" w:rsidR="00E66A89" w:rsidRPr="00E66A89" w:rsidRDefault="00E66A89" w:rsidP="00E66A89">
      <w:pPr>
        <w:spacing w:after="0" w:line="240" w:lineRule="auto"/>
        <w:ind w:left="360"/>
        <w:rPr>
          <w:rFonts w:cs="Arial"/>
          <w:szCs w:val="24"/>
        </w:rPr>
      </w:pPr>
    </w:p>
    <w:p w14:paraId="5D9D558C" w14:textId="77777777" w:rsidR="00E66A89" w:rsidRDefault="00E66A89" w:rsidP="00E66A89">
      <w:pPr>
        <w:numPr>
          <w:ilvl w:val="1"/>
          <w:numId w:val="6"/>
        </w:numPr>
        <w:spacing w:after="0" w:line="240" w:lineRule="auto"/>
        <w:rPr>
          <w:rFonts w:cs="Arial"/>
          <w:szCs w:val="24"/>
        </w:rPr>
      </w:pPr>
      <w:r w:rsidRPr="00E66A89">
        <w:rPr>
          <w:rFonts w:cs="Arial"/>
          <w:szCs w:val="24"/>
        </w:rPr>
        <w:t>Records unique to</w:t>
      </w:r>
      <w:r w:rsidR="003E2E79">
        <w:rPr>
          <w:rFonts w:cs="Arial"/>
          <w:szCs w:val="24"/>
        </w:rPr>
        <w:t xml:space="preserve"> Crown Court</w:t>
      </w:r>
    </w:p>
    <w:p w14:paraId="77E7CA60" w14:textId="77777777" w:rsidR="003E2E79" w:rsidRDefault="003E2E79" w:rsidP="00E66A89">
      <w:pPr>
        <w:numPr>
          <w:ilvl w:val="1"/>
          <w:numId w:val="6"/>
        </w:numPr>
        <w:spacing w:after="0" w:line="240" w:lineRule="auto"/>
        <w:rPr>
          <w:rFonts w:cs="Arial"/>
          <w:szCs w:val="24"/>
        </w:rPr>
      </w:pPr>
      <w:r>
        <w:rPr>
          <w:rFonts w:cs="Arial"/>
          <w:szCs w:val="24"/>
        </w:rPr>
        <w:t>Records unique to the Jury Central Summoning Bureau</w:t>
      </w:r>
    </w:p>
    <w:p w14:paraId="124BC202" w14:textId="77777777" w:rsidR="001267EE" w:rsidRDefault="001267EE" w:rsidP="001267EE">
      <w:pPr>
        <w:numPr>
          <w:ilvl w:val="1"/>
          <w:numId w:val="6"/>
        </w:numPr>
        <w:spacing w:after="0" w:line="240" w:lineRule="auto"/>
        <w:rPr>
          <w:rFonts w:cs="Arial"/>
          <w:sz w:val="22"/>
        </w:rPr>
      </w:pPr>
      <w:r>
        <w:rPr>
          <w:rFonts w:cs="Arial"/>
        </w:rPr>
        <w:t>Records unique to HMCTS</w:t>
      </w:r>
    </w:p>
    <w:p w14:paraId="7F5E8763" w14:textId="77777777" w:rsidR="00E66A89" w:rsidRPr="00E66A89" w:rsidRDefault="00E66A89" w:rsidP="00E66A89">
      <w:pPr>
        <w:numPr>
          <w:ilvl w:val="1"/>
          <w:numId w:val="6"/>
        </w:numPr>
        <w:spacing w:after="0" w:line="240" w:lineRule="auto"/>
        <w:rPr>
          <w:rFonts w:cs="Arial"/>
          <w:szCs w:val="24"/>
        </w:rPr>
      </w:pPr>
      <w:r w:rsidRPr="00E66A89">
        <w:rPr>
          <w:rFonts w:cs="Arial"/>
          <w:szCs w:val="24"/>
        </w:rPr>
        <w:t>Records held by various teams within the MoJ and its associated bodies and where a common retention and disposition policy is applied.</w:t>
      </w:r>
    </w:p>
    <w:p w14:paraId="687CD7CD" w14:textId="77777777" w:rsidR="00E66A89" w:rsidRPr="00E66A89" w:rsidRDefault="00E66A89" w:rsidP="00E66A89">
      <w:pPr>
        <w:spacing w:after="0" w:line="240" w:lineRule="auto"/>
        <w:ind w:left="1080"/>
        <w:rPr>
          <w:rFonts w:cs="Arial"/>
          <w:szCs w:val="24"/>
        </w:rPr>
      </w:pPr>
    </w:p>
    <w:p w14:paraId="186FB09C" w14:textId="77777777" w:rsidR="00E66A89" w:rsidRPr="003272AF" w:rsidRDefault="003272AF" w:rsidP="003272AF">
      <w:pPr>
        <w:numPr>
          <w:ilvl w:val="0"/>
          <w:numId w:val="6"/>
        </w:numPr>
        <w:spacing w:after="0" w:line="240" w:lineRule="auto"/>
        <w:ind w:left="360"/>
        <w:rPr>
          <w:rFonts w:cs="Arial"/>
          <w:szCs w:val="24"/>
        </w:rPr>
      </w:pPr>
      <w:bookmarkStart w:id="2" w:name="_Hlk514928352"/>
      <w:bookmarkStart w:id="3" w:name="_Hlk514928334"/>
      <w:r w:rsidRPr="00A54C31">
        <w:rPr>
          <w:rFonts w:cs="Arial"/>
          <w:szCs w:val="24"/>
        </w:rPr>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p>
    <w:p w14:paraId="0FD7220C" w14:textId="77777777" w:rsidR="00E66A89" w:rsidRPr="00E66A89" w:rsidRDefault="00E66A89" w:rsidP="00E66A89">
      <w:pPr>
        <w:spacing w:after="0" w:line="240" w:lineRule="auto"/>
        <w:ind w:left="360"/>
        <w:rPr>
          <w:rFonts w:cs="Arial"/>
          <w:szCs w:val="24"/>
        </w:rPr>
      </w:pPr>
    </w:p>
    <w:p w14:paraId="4B41E3E0"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continues its investigations, the moratorium on the destruction of records of potential interest to IICSA remains in place. All government departments and their associated bodies (in common with other </w:t>
      </w:r>
      <w:r w:rsidR="00C906CF" w:rsidRPr="00E66A89">
        <w:rPr>
          <w:rFonts w:cs="Arial"/>
          <w:szCs w:val="24"/>
        </w:rPr>
        <w:t>public-sector</w:t>
      </w:r>
      <w:r w:rsidRPr="00E66A89">
        <w:rPr>
          <w:rFonts w:cs="Arial"/>
          <w:szCs w:val="24"/>
        </w:rPr>
        <w:t xml:space="preserve"> bodies) are required to comply with the moratorium</w:t>
      </w:r>
      <w:r w:rsidRPr="00E66A89">
        <w:rPr>
          <w:rFonts w:cs="Arial"/>
          <w:color w:val="000000"/>
          <w:szCs w:val="24"/>
        </w:rPr>
        <w:t>. All business areas should apply the moratorium to any records covered by the following criteria:</w:t>
      </w:r>
    </w:p>
    <w:bookmarkEnd w:id="2"/>
    <w:p w14:paraId="39CFE716" w14:textId="77777777" w:rsidR="00E66A89" w:rsidRPr="00E66A89" w:rsidRDefault="00E66A89" w:rsidP="00E66A89">
      <w:pPr>
        <w:spacing w:after="0" w:line="240" w:lineRule="auto"/>
        <w:ind w:left="1440"/>
        <w:rPr>
          <w:rFonts w:cs="Arial"/>
          <w:szCs w:val="24"/>
        </w:rPr>
      </w:pPr>
    </w:p>
    <w:p w14:paraId="77E1013E"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3"/>
    <w:p w14:paraId="0DF9A7F4"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3DACFC01"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304C8D54"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3"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03D696A0" w14:textId="77777777" w:rsidR="00E66A89" w:rsidRPr="00E66A89" w:rsidRDefault="00E66A89" w:rsidP="00E66A89">
      <w:pPr>
        <w:spacing w:after="0" w:line="240" w:lineRule="auto"/>
        <w:ind w:left="360"/>
        <w:rPr>
          <w:rFonts w:cs="Arial"/>
          <w:szCs w:val="24"/>
        </w:rPr>
      </w:pPr>
    </w:p>
    <w:p w14:paraId="5A5D3A10" w14:textId="77777777" w:rsidR="00C906CF" w:rsidRDefault="00E66A89" w:rsidP="00E66A89">
      <w:pPr>
        <w:numPr>
          <w:ilvl w:val="0"/>
          <w:numId w:val="6"/>
        </w:numPr>
        <w:spacing w:after="0" w:line="240" w:lineRule="auto"/>
        <w:ind w:left="360"/>
        <w:rPr>
          <w:rFonts w:cs="Arial"/>
          <w:szCs w:val="24"/>
        </w:rPr>
      </w:pPr>
      <w:r w:rsidRPr="00E66A89">
        <w:rPr>
          <w:rFonts w:cs="Arial"/>
          <w:szCs w:val="24"/>
        </w:rPr>
        <w:t xml:space="preserve">As part of its commitment to transparency, this schedule will be published on the MoJ’s webpage: </w:t>
      </w:r>
    </w:p>
    <w:p w14:paraId="45894BA8" w14:textId="77777777" w:rsidR="00E66A89" w:rsidRDefault="00014C99" w:rsidP="00C906CF">
      <w:pPr>
        <w:spacing w:after="0" w:line="240" w:lineRule="auto"/>
        <w:ind w:left="360"/>
        <w:rPr>
          <w:rFonts w:cs="Arial"/>
          <w:szCs w:val="24"/>
        </w:rPr>
      </w:pPr>
      <w:hyperlink r:id="rId14" w:history="1">
        <w:r w:rsidR="001267EE" w:rsidRPr="001267EE">
          <w:rPr>
            <w:rStyle w:val="Hyperlink"/>
            <w:rFonts w:cs="Arial"/>
            <w:color w:val="0000CC"/>
            <w:szCs w:val="24"/>
          </w:rPr>
          <w:t>https://www.gov.uk/government/publications/record-retention-and-disposition-schedules</w:t>
        </w:r>
      </w:hyperlink>
      <w:r w:rsidR="00E66A89" w:rsidRPr="00E66A89">
        <w:rPr>
          <w:rStyle w:val="Hyperlink"/>
          <w:rFonts w:cs="Arial"/>
          <w:szCs w:val="24"/>
        </w:rPr>
        <w:t xml:space="preserve">. </w:t>
      </w:r>
      <w:r w:rsidR="00E66A89" w:rsidRPr="00E66A89">
        <w:rPr>
          <w:rFonts w:cs="Arial"/>
          <w:szCs w:val="24"/>
        </w:rPr>
        <w:t xml:space="preserve"> </w:t>
      </w:r>
    </w:p>
    <w:p w14:paraId="3F284FB0" w14:textId="77777777" w:rsidR="00952DF7" w:rsidRDefault="00952DF7" w:rsidP="00C906CF">
      <w:pPr>
        <w:spacing w:after="0" w:line="240" w:lineRule="auto"/>
        <w:ind w:left="360"/>
        <w:rPr>
          <w:rFonts w:cs="Arial"/>
          <w:szCs w:val="24"/>
        </w:rPr>
      </w:pPr>
    </w:p>
    <w:p w14:paraId="0885DCBF" w14:textId="77777777" w:rsidR="00952DF7" w:rsidRDefault="00952DF7" w:rsidP="00C906CF">
      <w:pPr>
        <w:spacing w:after="0" w:line="240" w:lineRule="auto"/>
        <w:ind w:left="360"/>
        <w:rPr>
          <w:rFonts w:cs="Arial"/>
          <w:szCs w:val="24"/>
        </w:rPr>
      </w:pPr>
    </w:p>
    <w:p w14:paraId="12723BA5" w14:textId="77777777" w:rsidR="00F31943" w:rsidRDefault="00F31943" w:rsidP="00C906CF">
      <w:pPr>
        <w:spacing w:after="0" w:line="240" w:lineRule="auto"/>
        <w:ind w:left="360"/>
        <w:rPr>
          <w:rFonts w:cs="Arial"/>
          <w:szCs w:val="24"/>
        </w:rPr>
      </w:pPr>
    </w:p>
    <w:p w14:paraId="4366DB85" w14:textId="77777777" w:rsidR="00F31943" w:rsidRDefault="00F31943" w:rsidP="00C906CF">
      <w:pPr>
        <w:spacing w:after="0" w:line="240" w:lineRule="auto"/>
        <w:ind w:left="360"/>
        <w:rPr>
          <w:rFonts w:cs="Arial"/>
          <w:szCs w:val="24"/>
        </w:rPr>
      </w:pPr>
    </w:p>
    <w:p w14:paraId="5C004818" w14:textId="77777777" w:rsidR="00952DF7" w:rsidRPr="00E66A89" w:rsidRDefault="00952DF7" w:rsidP="00C906CF">
      <w:pPr>
        <w:spacing w:after="0" w:line="240" w:lineRule="auto"/>
        <w:ind w:left="360"/>
        <w:rPr>
          <w:rFonts w:cs="Arial"/>
          <w:szCs w:val="24"/>
        </w:rPr>
      </w:pPr>
    </w:p>
    <w:p w14:paraId="11DAA533" w14:textId="77777777" w:rsidR="00E66A89" w:rsidRDefault="00E66A89" w:rsidP="00CD2C90">
      <w:pPr>
        <w:pStyle w:val="Heading2"/>
        <w:spacing w:before="0" w:after="0"/>
      </w:pPr>
      <w:r w:rsidRPr="00E66A89">
        <w:lastRenderedPageBreak/>
        <w:t xml:space="preserve">The schedule </w:t>
      </w:r>
    </w:p>
    <w:tbl>
      <w:tblPr>
        <w:tblStyle w:val="TableGrid"/>
        <w:tblW w:w="10065" w:type="dxa"/>
        <w:tblInd w:w="-289" w:type="dxa"/>
        <w:tblLayout w:type="fixed"/>
        <w:tblLook w:val="04A0" w:firstRow="1" w:lastRow="0" w:firstColumn="1" w:lastColumn="0" w:noHBand="0" w:noVBand="1"/>
      </w:tblPr>
      <w:tblGrid>
        <w:gridCol w:w="710"/>
        <w:gridCol w:w="3685"/>
        <w:gridCol w:w="1701"/>
        <w:gridCol w:w="3969"/>
      </w:tblGrid>
      <w:tr w:rsidR="008B477B" w:rsidRPr="00E66A89" w14:paraId="0D8DE626" w14:textId="77777777" w:rsidTr="00CD2C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0" w:type="dxa"/>
            <w:vAlign w:val="center"/>
          </w:tcPr>
          <w:p w14:paraId="055336A1" w14:textId="77777777" w:rsidR="00E66A89" w:rsidRPr="00E66A89" w:rsidRDefault="00E66A89" w:rsidP="00CD2C90">
            <w:pPr>
              <w:pStyle w:val="Text"/>
              <w:spacing w:after="0"/>
              <w:jc w:val="center"/>
            </w:pPr>
            <w:r w:rsidRPr="00E66A89">
              <w:rPr>
                <w:sz w:val="24"/>
              </w:rPr>
              <w:t>No.</w:t>
            </w:r>
          </w:p>
        </w:tc>
        <w:tc>
          <w:tcPr>
            <w:tcW w:w="3685" w:type="dxa"/>
            <w:vAlign w:val="center"/>
          </w:tcPr>
          <w:p w14:paraId="6463752F" w14:textId="77777777" w:rsidR="00E66A89" w:rsidRPr="00E66A89" w:rsidRDefault="00E66A89" w:rsidP="00CD2C90">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Record type</w:t>
            </w:r>
          </w:p>
        </w:tc>
        <w:tc>
          <w:tcPr>
            <w:tcW w:w="1701" w:type="dxa"/>
            <w:vAlign w:val="center"/>
          </w:tcPr>
          <w:p w14:paraId="56937CD7" w14:textId="77777777" w:rsidR="00E66A89" w:rsidRPr="00E66A89" w:rsidRDefault="00E66A89" w:rsidP="00CD2C90">
            <w:pPr>
              <w:pStyle w:val="Text"/>
              <w:spacing w:after="0"/>
              <w:jc w:val="center"/>
              <w:cnfStyle w:val="100000000000" w:firstRow="1" w:lastRow="0" w:firstColumn="0" w:lastColumn="0" w:oddVBand="0" w:evenVBand="0" w:oddHBand="0" w:evenHBand="0" w:firstRowFirstColumn="0" w:firstRowLastColumn="0" w:lastRowFirstColumn="0" w:lastRowLastColumn="0"/>
              <w:rPr>
                <w:rFonts w:cs="Arial"/>
                <w:sz w:val="24"/>
              </w:rPr>
            </w:pPr>
            <w:r w:rsidRPr="00E66A89">
              <w:rPr>
                <w:rFonts w:cs="Arial"/>
                <w:sz w:val="24"/>
              </w:rPr>
              <w:t>TNA Classification</w:t>
            </w:r>
          </w:p>
        </w:tc>
        <w:tc>
          <w:tcPr>
            <w:tcW w:w="3969" w:type="dxa"/>
            <w:vAlign w:val="center"/>
          </w:tcPr>
          <w:p w14:paraId="73292C1A" w14:textId="77777777" w:rsidR="00E66A89" w:rsidRPr="00E66A89" w:rsidRDefault="00E66A89" w:rsidP="00CD2C90">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Retention and disposition</w:t>
            </w:r>
          </w:p>
        </w:tc>
      </w:tr>
      <w:tr w:rsidR="00E66A89" w:rsidRPr="00E66A89" w14:paraId="6FB21B90"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vAlign w:val="center"/>
          </w:tcPr>
          <w:p w14:paraId="17C2E74B" w14:textId="77777777" w:rsidR="00E66A89" w:rsidRPr="0085679E" w:rsidRDefault="00E66A89" w:rsidP="00CD2C90">
            <w:pPr>
              <w:pStyle w:val="Text"/>
              <w:spacing w:after="0"/>
              <w:jc w:val="center"/>
              <w:rPr>
                <w:sz w:val="18"/>
              </w:rPr>
            </w:pPr>
          </w:p>
          <w:p w14:paraId="2B2FF786" w14:textId="77777777" w:rsidR="00CC0D56" w:rsidRDefault="00E66A89" w:rsidP="00CD2C90">
            <w:pPr>
              <w:pStyle w:val="Text"/>
              <w:numPr>
                <w:ilvl w:val="0"/>
                <w:numId w:val="19"/>
              </w:numPr>
              <w:spacing w:after="0"/>
              <w:jc w:val="center"/>
              <w:rPr>
                <w:sz w:val="24"/>
              </w:rPr>
            </w:pPr>
            <w:r w:rsidRPr="00E66A89">
              <w:rPr>
                <w:sz w:val="24"/>
              </w:rPr>
              <w:t>Unique records held by</w:t>
            </w:r>
            <w:r w:rsidR="000561DF">
              <w:rPr>
                <w:sz w:val="24"/>
              </w:rPr>
              <w:t xml:space="preserve"> the Crown Court</w:t>
            </w:r>
          </w:p>
          <w:p w14:paraId="6A3789E6" w14:textId="77777777" w:rsidR="00E66A89" w:rsidRPr="0085679E" w:rsidRDefault="00E66A89" w:rsidP="00CD2C90">
            <w:pPr>
              <w:pStyle w:val="Text"/>
              <w:spacing w:after="0"/>
              <w:jc w:val="center"/>
              <w:rPr>
                <w:sz w:val="18"/>
              </w:rPr>
            </w:pPr>
          </w:p>
        </w:tc>
      </w:tr>
      <w:tr w:rsidR="00D764EE" w14:paraId="6A863DB4" w14:textId="77777777" w:rsidTr="00CD2C90">
        <w:trPr>
          <w:trHeight w:val="50"/>
        </w:trPr>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D9D9D9" w:themeFill="background1" w:themeFillShade="D9"/>
            <w:vAlign w:val="center"/>
          </w:tcPr>
          <w:p w14:paraId="1ED84971" w14:textId="77777777" w:rsidR="00D764EE" w:rsidRPr="00D764EE" w:rsidRDefault="00D764EE" w:rsidP="00CD2C90">
            <w:pPr>
              <w:pStyle w:val="Text"/>
              <w:spacing w:after="0"/>
              <w:jc w:val="center"/>
              <w:rPr>
                <w:rFonts w:cs="Arial"/>
              </w:rPr>
            </w:pPr>
            <w:r w:rsidRPr="00D764EE">
              <w:rPr>
                <w:rFonts w:cs="Arial"/>
              </w:rPr>
              <w:t>Trials on indictment</w:t>
            </w:r>
          </w:p>
        </w:tc>
      </w:tr>
      <w:tr w:rsidR="008B477B" w14:paraId="148EFD6C" w14:textId="77777777" w:rsidTr="00CD2C90">
        <w:trPr>
          <w:trHeight w:val="5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3AFA116F" w14:textId="77777777" w:rsidR="00214514" w:rsidRDefault="00AE0506" w:rsidP="00CD2C90">
            <w:pPr>
              <w:pStyle w:val="Text"/>
              <w:spacing w:after="0"/>
              <w:jc w:val="center"/>
            </w:pPr>
            <w:r>
              <w:t>1</w:t>
            </w:r>
          </w:p>
        </w:tc>
        <w:tc>
          <w:tcPr>
            <w:tcW w:w="3685" w:type="dxa"/>
            <w:vAlign w:val="center"/>
          </w:tcPr>
          <w:p w14:paraId="267BB082" w14:textId="77777777" w:rsidR="00214514" w:rsidRPr="0085679E" w:rsidRDefault="00214514" w:rsidP="00CD2C9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722F3541" w14:textId="77777777" w:rsidR="00214514" w:rsidRPr="00B5768B" w:rsidRDefault="00AE0506"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I</w:t>
            </w:r>
            <w:r w:rsidR="00214514" w:rsidRPr="00B5768B">
              <w:rPr>
                <w:rFonts w:cs="Arial"/>
                <w:szCs w:val="22"/>
              </w:rPr>
              <w:t xml:space="preserve">ndictment </w:t>
            </w:r>
          </w:p>
          <w:p w14:paraId="181AEA23" w14:textId="77777777" w:rsidR="00214514" w:rsidRPr="00B5768B" w:rsidRDefault="00AE0506"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w:t>
            </w:r>
            <w:r w:rsidR="00214514" w:rsidRPr="00B5768B">
              <w:rPr>
                <w:rFonts w:cs="Arial"/>
                <w:szCs w:val="22"/>
              </w:rPr>
              <w:t>ecord sheet</w:t>
            </w:r>
          </w:p>
          <w:p w14:paraId="5B950D5D" w14:textId="77777777" w:rsidR="00214514" w:rsidRDefault="00EF522D"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w:t>
            </w:r>
            <w:r w:rsidR="00A9041D">
              <w:rPr>
                <w:rFonts w:cs="Arial"/>
                <w:szCs w:val="22"/>
              </w:rPr>
              <w:t>esult of</w:t>
            </w:r>
            <w:r w:rsidR="00214514" w:rsidRPr="00B5768B">
              <w:rPr>
                <w:rFonts w:cs="Arial"/>
                <w:szCs w:val="22"/>
              </w:rPr>
              <w:t xml:space="preserve"> appeal to the Court of Appeal</w:t>
            </w:r>
          </w:p>
          <w:p w14:paraId="002EA206" w14:textId="77777777" w:rsidR="00CB57F9" w:rsidRPr="00B5768B" w:rsidRDefault="00CB57F9" w:rsidP="00CD2C90">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cs="Arial"/>
                <w:szCs w:val="22"/>
              </w:rPr>
            </w:pPr>
          </w:p>
          <w:p w14:paraId="180A6F9D" w14:textId="77777777" w:rsidR="00214514" w:rsidRPr="00B5768B" w:rsidRDefault="00AE0506"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C</w:t>
            </w:r>
            <w:r w:rsidR="00214514" w:rsidRPr="00B5768B">
              <w:rPr>
                <w:rFonts w:cs="Arial"/>
                <w:szCs w:val="22"/>
              </w:rPr>
              <w:t>ertificate under the Sex Offenders Act 1997 (if separate)</w:t>
            </w:r>
          </w:p>
          <w:p w14:paraId="63688CB0" w14:textId="77777777" w:rsidR="00214514" w:rsidRDefault="00AE0506"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C</w:t>
            </w:r>
            <w:r w:rsidR="00214514" w:rsidRPr="00B5768B">
              <w:rPr>
                <w:rFonts w:cs="Arial"/>
                <w:szCs w:val="22"/>
              </w:rPr>
              <w:t>ertificate under the Sexual Offenders Act 2003 (if separate)</w:t>
            </w:r>
          </w:p>
          <w:p w14:paraId="3CEA1C0D" w14:textId="77777777" w:rsidR="00214514" w:rsidRPr="00A21585" w:rsidRDefault="00214514" w:rsidP="00CD2C90">
            <w:pPr>
              <w:pStyle w:val="ListParagraph"/>
              <w:spacing w:after="0"/>
              <w:ind w:left="360"/>
              <w:cnfStyle w:val="000000000000" w:firstRow="0" w:lastRow="0" w:firstColumn="0" w:lastColumn="0" w:oddVBand="0" w:evenVBand="0" w:oddHBand="0" w:evenHBand="0" w:firstRowFirstColumn="0" w:firstRowLastColumn="0" w:lastRowFirstColumn="0" w:lastRowLastColumn="0"/>
              <w:rPr>
                <w:sz w:val="16"/>
              </w:rPr>
            </w:pPr>
          </w:p>
        </w:tc>
        <w:tc>
          <w:tcPr>
            <w:tcW w:w="1701" w:type="dxa"/>
            <w:vAlign w:val="center"/>
          </w:tcPr>
          <w:p w14:paraId="7C430226" w14:textId="77777777" w:rsidR="00AE0506" w:rsidRDefault="00214514" w:rsidP="00CD2C9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B5768B">
              <w:rPr>
                <w:sz w:val="22"/>
              </w:rPr>
              <w:t xml:space="preserve">Various </w:t>
            </w:r>
          </w:p>
          <w:p w14:paraId="31B66D6F" w14:textId="77777777" w:rsidR="00AE0506" w:rsidRDefault="00214514" w:rsidP="00CD2C9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B5768B">
              <w:rPr>
                <w:sz w:val="22"/>
              </w:rPr>
              <w:t xml:space="preserve">J </w:t>
            </w:r>
          </w:p>
          <w:p w14:paraId="3E90F817" w14:textId="77777777" w:rsidR="00214514" w:rsidRPr="00B5768B" w:rsidRDefault="00214514" w:rsidP="00CD2C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eastAsia="en-GB"/>
              </w:rPr>
            </w:pPr>
            <w:r w:rsidRPr="00B5768B">
              <w:rPr>
                <w:sz w:val="22"/>
              </w:rPr>
              <w:t>classes</w:t>
            </w:r>
            <w:r w:rsidRPr="00B5768B">
              <w:rPr>
                <w:rStyle w:val="FootnoteReference"/>
                <w:sz w:val="22"/>
              </w:rPr>
              <w:footnoteReference w:id="3"/>
            </w:r>
            <w:r>
              <w:rPr>
                <w:sz w:val="22"/>
              </w:rPr>
              <w:t xml:space="preserve"> </w:t>
            </w:r>
          </w:p>
        </w:tc>
        <w:tc>
          <w:tcPr>
            <w:tcW w:w="3969" w:type="dxa"/>
            <w:vAlign w:val="center"/>
          </w:tcPr>
          <w:p w14:paraId="5A8A701B"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strike/>
              </w:rPr>
            </w:pPr>
          </w:p>
          <w:p w14:paraId="0BFBAF47" w14:textId="77777777" w:rsidR="00214514" w:rsidRPr="00B5768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CD2C90">
              <w:rPr>
                <w:rFonts w:cs="Arial"/>
                <w:b/>
              </w:rPr>
              <w:t>Permanent</w:t>
            </w:r>
            <w:r w:rsidRPr="00B5768B">
              <w:rPr>
                <w:rFonts w:cs="Arial"/>
              </w:rPr>
              <w:t xml:space="preserve"> preservation.</w:t>
            </w:r>
          </w:p>
          <w:p w14:paraId="517FE6BF" w14:textId="77777777" w:rsidR="00214514" w:rsidRPr="00B5768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32C410D1" w14:textId="77777777" w:rsidR="001970A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B5768B">
              <w:rPr>
                <w:rFonts w:cs="Arial"/>
              </w:rPr>
              <w:t xml:space="preserve">Keep for </w:t>
            </w:r>
            <w:r w:rsidRPr="00B5768B">
              <w:rPr>
                <w:rFonts w:cs="Arial"/>
                <w:b/>
              </w:rPr>
              <w:t>10 years</w:t>
            </w:r>
            <w:r>
              <w:rPr>
                <w:rFonts w:cs="Arial"/>
                <w:b/>
              </w:rPr>
              <w:t xml:space="preserve"> </w:t>
            </w:r>
            <w:r>
              <w:rPr>
                <w:rFonts w:cs="Arial"/>
              </w:rPr>
              <w:t xml:space="preserve">from the date of disposal then </w:t>
            </w:r>
            <w:r w:rsidRPr="00B5768B">
              <w:rPr>
                <w:rFonts w:cs="Arial"/>
              </w:rPr>
              <w:t>transfer to offsite storage</w:t>
            </w:r>
          </w:p>
          <w:p w14:paraId="26C5FD31" w14:textId="77777777" w:rsidR="00214514" w:rsidRPr="00B5768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214514">
              <w:t xml:space="preserve"> </w:t>
            </w:r>
          </w:p>
        </w:tc>
      </w:tr>
      <w:tr w:rsidR="00AE0506" w14:paraId="5EB164DA" w14:textId="77777777" w:rsidTr="00CD2C90">
        <w:trPr>
          <w:trHeight w:val="5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4C9CC9B0" w14:textId="77777777" w:rsidR="00AE0506" w:rsidRDefault="00AE0506" w:rsidP="00CD2C90">
            <w:pPr>
              <w:pStyle w:val="Text"/>
              <w:spacing w:after="0"/>
              <w:ind w:left="567" w:hanging="342"/>
            </w:pPr>
            <w:r>
              <w:t>2</w:t>
            </w:r>
          </w:p>
        </w:tc>
        <w:tc>
          <w:tcPr>
            <w:tcW w:w="3685" w:type="dxa"/>
            <w:vAlign w:val="center"/>
          </w:tcPr>
          <w:p w14:paraId="35F23A48" w14:textId="77777777" w:rsidR="00AE0506"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28B2B1BA" w14:textId="77777777" w:rsidR="00AE0506" w:rsidRPr="00F31943"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A58F0AE" w14:textId="77777777" w:rsidR="0027509C" w:rsidRPr="00F31943" w:rsidRDefault="00AE0506" w:rsidP="00F31943">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sidRPr="00F31943">
              <w:rPr>
                <w:szCs w:val="22"/>
              </w:rPr>
              <w:t xml:space="preserve">Case </w:t>
            </w:r>
            <w:r w:rsidR="005A27AB" w:rsidRPr="00F31943">
              <w:rPr>
                <w:szCs w:val="22"/>
              </w:rPr>
              <w:t>documents, evidence &amp; data (formerly the case file)</w:t>
            </w:r>
          </w:p>
          <w:p w14:paraId="71162151" w14:textId="77777777" w:rsidR="00E323DF" w:rsidRPr="00F31943" w:rsidRDefault="00E323DF" w:rsidP="00CD2C90">
            <w:pPr>
              <w:spacing w:after="0"/>
              <w:cnfStyle w:val="000000000000" w:firstRow="0" w:lastRow="0" w:firstColumn="0" w:lastColumn="0" w:oddVBand="0" w:evenVBand="0" w:oddHBand="0" w:evenHBand="0" w:firstRowFirstColumn="0" w:firstRowLastColumn="0" w:lastRowFirstColumn="0" w:lastRowLastColumn="0"/>
              <w:rPr>
                <w:rFonts w:cs="Arial"/>
              </w:rPr>
            </w:pPr>
          </w:p>
          <w:p w14:paraId="79092605" w14:textId="77777777" w:rsidR="00AE0506" w:rsidRPr="00F31943"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F0488EC" w14:textId="77777777" w:rsidR="00AE0506" w:rsidRPr="00A21585"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c>
          <w:tcPr>
            <w:tcW w:w="1701" w:type="dxa"/>
            <w:vAlign w:val="center"/>
          </w:tcPr>
          <w:p w14:paraId="1C05B05C" w14:textId="77777777" w:rsidR="00EF522D" w:rsidRDefault="00EF522D" w:rsidP="00CD2C9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B5768B">
              <w:rPr>
                <w:sz w:val="22"/>
              </w:rPr>
              <w:t xml:space="preserve">Various </w:t>
            </w:r>
          </w:p>
          <w:p w14:paraId="214B7F2F" w14:textId="77777777" w:rsidR="00EF522D" w:rsidRDefault="00EF522D" w:rsidP="00CD2C9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B5768B">
              <w:rPr>
                <w:sz w:val="22"/>
              </w:rPr>
              <w:t xml:space="preserve">J </w:t>
            </w:r>
          </w:p>
          <w:p w14:paraId="685AE5AB" w14:textId="77777777" w:rsidR="00AE0506" w:rsidRPr="00541686" w:rsidRDefault="00EF522D" w:rsidP="00CD2C9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B5768B">
              <w:rPr>
                <w:sz w:val="22"/>
              </w:rPr>
              <w:t>classes</w:t>
            </w:r>
          </w:p>
        </w:tc>
        <w:tc>
          <w:tcPr>
            <w:tcW w:w="3969" w:type="dxa"/>
            <w:vAlign w:val="center"/>
          </w:tcPr>
          <w:p w14:paraId="0229C8C9" w14:textId="77777777" w:rsidR="00AE0506" w:rsidRPr="00A269A2"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18087D92" w14:textId="77777777" w:rsidR="00AE0506" w:rsidRPr="00214514"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pPr>
            <w:r w:rsidRPr="00214514">
              <w:t xml:space="preserve">Keep </w:t>
            </w:r>
            <w:r>
              <w:t xml:space="preserve">for </w:t>
            </w:r>
            <w:r>
              <w:rPr>
                <w:b/>
              </w:rPr>
              <w:t>7</w:t>
            </w:r>
            <w:r w:rsidRPr="00214514">
              <w:rPr>
                <w:b/>
              </w:rPr>
              <w:t xml:space="preserve"> years</w:t>
            </w:r>
            <w:r>
              <w:rPr>
                <w:b/>
              </w:rPr>
              <w:t xml:space="preserve"> </w:t>
            </w:r>
            <w:r w:rsidRPr="00214514">
              <w:t>from the date of disposal and review:</w:t>
            </w:r>
            <w:r>
              <w:rPr>
                <w:b/>
              </w:rPr>
              <w:t xml:space="preserve"> </w:t>
            </w:r>
            <w:r w:rsidRPr="00214514">
              <w:rPr>
                <w:strike/>
              </w:rPr>
              <w:t xml:space="preserve"> </w:t>
            </w:r>
            <w:r w:rsidRPr="00214514">
              <w:t xml:space="preserve"> </w:t>
            </w:r>
          </w:p>
          <w:p w14:paraId="18C60683" w14:textId="77777777" w:rsidR="00AE0506"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p w14:paraId="7FF48A1B" w14:textId="69444A0A" w:rsidR="00AE0506" w:rsidRDefault="00364D69" w:rsidP="00CD2C90">
            <w:pPr>
              <w:pStyle w:val="Text"/>
              <w:numPr>
                <w:ilvl w:val="0"/>
                <w:numId w:val="18"/>
              </w:numPr>
              <w:spacing w:after="0"/>
              <w:ind w:left="341" w:hanging="284"/>
              <w:cnfStyle w:val="000000000000" w:firstRow="0" w:lastRow="0" w:firstColumn="0" w:lastColumn="0" w:oddVBand="0" w:evenVBand="0" w:oddHBand="0" w:evenHBand="0" w:firstRowFirstColumn="0" w:firstRowLastColumn="0" w:lastRowFirstColumn="0" w:lastRowLastColumn="0"/>
            </w:pPr>
            <w:r>
              <w:t xml:space="preserve">All case types listed </w:t>
            </w:r>
            <w:r w:rsidRPr="00F31943">
              <w:t>at a</w:t>
            </w:r>
            <w:r w:rsidR="00744B2E" w:rsidRPr="00F31943">
              <w:t>-</w:t>
            </w:r>
            <w:r w:rsidR="00A26CD9">
              <w:t>j</w:t>
            </w:r>
            <w:r w:rsidR="00AE0506" w:rsidRPr="00F31943">
              <w:t xml:space="preserve"> </w:t>
            </w:r>
            <w:r w:rsidR="00AE0506" w:rsidRPr="008B477B">
              <w:t>below</w:t>
            </w:r>
            <w:r w:rsidR="00F31943">
              <w:t>:</w:t>
            </w:r>
          </w:p>
          <w:p w14:paraId="636328B0" w14:textId="77777777" w:rsidR="00AE0506" w:rsidRPr="001970AB" w:rsidRDefault="00AE0506" w:rsidP="00CD2C90">
            <w:pPr>
              <w:pStyle w:val="Text"/>
              <w:spacing w:after="0"/>
              <w:ind w:left="341"/>
              <w:cnfStyle w:val="000000000000" w:firstRow="0" w:lastRow="0" w:firstColumn="0" w:lastColumn="0" w:oddVBand="0" w:evenVBand="0" w:oddHBand="0" w:evenHBand="0" w:firstRowFirstColumn="0" w:firstRowLastColumn="0" w:lastRowFirstColumn="0" w:lastRowLastColumn="0"/>
            </w:pPr>
            <w:r w:rsidRPr="008B477B">
              <w:rPr>
                <w:b/>
              </w:rPr>
              <w:t>Permanent</w:t>
            </w:r>
            <w:r w:rsidRPr="008B477B">
              <w:t xml:space="preserve"> preservation </w:t>
            </w:r>
            <w:r w:rsidRPr="001970AB">
              <w:t xml:space="preserve">- transfer to long term storage </w:t>
            </w:r>
          </w:p>
          <w:p w14:paraId="6E1CE3F1" w14:textId="77777777" w:rsidR="00AE0506" w:rsidRPr="00952DF7" w:rsidRDefault="00AE0506" w:rsidP="00CD2C90">
            <w:pPr>
              <w:pStyle w:val="Text"/>
              <w:numPr>
                <w:ilvl w:val="0"/>
                <w:numId w:val="18"/>
              </w:numPr>
              <w:spacing w:after="0"/>
              <w:ind w:left="341" w:hanging="284"/>
              <w:cnfStyle w:val="000000000000" w:firstRow="0" w:lastRow="0" w:firstColumn="0" w:lastColumn="0" w:oddVBand="0" w:evenVBand="0" w:oddHBand="0" w:evenHBand="0" w:firstRowFirstColumn="0" w:firstRowLastColumn="0" w:lastRowFirstColumn="0" w:lastRowLastColumn="0"/>
              <w:rPr>
                <w:b/>
              </w:rPr>
            </w:pPr>
            <w:r w:rsidRPr="008B477B">
              <w:t xml:space="preserve">All </w:t>
            </w:r>
            <w:r w:rsidR="00E323DF">
              <w:t>case</w:t>
            </w:r>
            <w:r w:rsidRPr="008B477B">
              <w:t xml:space="preserve"> types not listed </w:t>
            </w:r>
            <w:r>
              <w:t xml:space="preserve">below </w:t>
            </w:r>
            <w:r w:rsidRPr="008B477B">
              <w:t>should be destroyed.</w:t>
            </w:r>
          </w:p>
          <w:p w14:paraId="656185FE" w14:textId="77777777" w:rsidR="00AE0506" w:rsidRPr="00B5768B" w:rsidRDefault="00AE0506"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95E3B69" w14:textId="77777777" w:rsidR="00364D69" w:rsidRPr="0034083A" w:rsidRDefault="00364D69" w:rsidP="00CD2C90">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rsidRPr="0034083A">
              <w:t>Official Secrets Act</w:t>
            </w:r>
          </w:p>
          <w:p w14:paraId="5F1A18B0" w14:textId="77777777" w:rsidR="00364D69" w:rsidRPr="0034083A" w:rsidRDefault="00364D69" w:rsidP="00CD2C90">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rsidRPr="0034083A">
              <w:t>Terrorism</w:t>
            </w:r>
          </w:p>
          <w:p w14:paraId="07320736" w14:textId="77777777" w:rsidR="00F31943" w:rsidRDefault="00AF683F" w:rsidP="009C663B">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bookmarkStart w:id="4" w:name="_Hlk43458248"/>
            <w:r w:rsidRPr="0034083A">
              <w:t>M</w:t>
            </w:r>
            <w:r w:rsidR="00AE0506" w:rsidRPr="0034083A">
              <w:t>urder</w:t>
            </w:r>
            <w:r w:rsidR="00364D69" w:rsidRPr="0034083A">
              <w:t xml:space="preserve">, </w:t>
            </w:r>
            <w:r w:rsidRPr="0034083A">
              <w:t>Manslaughter</w:t>
            </w:r>
            <w:r w:rsidR="00364D69" w:rsidRPr="0034083A">
              <w:t xml:space="preserve">, </w:t>
            </w:r>
            <w:r w:rsidRPr="0034083A">
              <w:t>I</w:t>
            </w:r>
            <w:r w:rsidR="00AE0506" w:rsidRPr="0034083A">
              <w:t>nfanticide</w:t>
            </w:r>
            <w:bookmarkEnd w:id="4"/>
          </w:p>
          <w:p w14:paraId="254B4BFB" w14:textId="77777777" w:rsidR="008E2B90" w:rsidRPr="0034083A" w:rsidRDefault="008E2B90" w:rsidP="009C663B">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Case where a Life Sentence is imposed</w:t>
            </w:r>
          </w:p>
          <w:p w14:paraId="54AE99D9" w14:textId="77777777" w:rsidR="00B548DD" w:rsidRDefault="008E2B90" w:rsidP="009C663B">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 xml:space="preserve">Cases referred to in any </w:t>
            </w:r>
            <w:r w:rsidR="00364D69" w:rsidRPr="0034083A">
              <w:t>Sex</w:t>
            </w:r>
            <w:r>
              <w:t xml:space="preserve"> Offenders Acts or any Sex Offences Acts</w:t>
            </w:r>
          </w:p>
          <w:p w14:paraId="4951067A" w14:textId="77777777" w:rsidR="008E2B90" w:rsidRPr="0034083A" w:rsidRDefault="008E2B90" w:rsidP="009C663B">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Cases where the sentence is longer than 7 years</w:t>
            </w:r>
          </w:p>
          <w:p w14:paraId="44725EB2" w14:textId="77777777" w:rsidR="00AE0506" w:rsidRPr="0034083A" w:rsidRDefault="00BC26CE" w:rsidP="00CD2C90">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rsidRPr="0034083A">
              <w:t xml:space="preserve">Cases where the </w:t>
            </w:r>
            <w:r w:rsidR="00364D69" w:rsidRPr="0034083A">
              <w:t>defendant has been sentenced to a hospital order without time limit</w:t>
            </w:r>
          </w:p>
          <w:p w14:paraId="72A7AD79" w14:textId="77777777" w:rsidR="00BC26CE" w:rsidRPr="00F31943" w:rsidRDefault="00BC26CE" w:rsidP="00BC26CE">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rsidRPr="00F31943">
              <w:t>Cases where the defendant is to be detained at Her Majesty's pleasure</w:t>
            </w:r>
          </w:p>
          <w:p w14:paraId="682F7FB2" w14:textId="77777777" w:rsidR="000D38C7" w:rsidRDefault="00364D69" w:rsidP="000D38C7">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rsidRPr="00F31943">
              <w:t>Case</w:t>
            </w:r>
            <w:r w:rsidR="00BC26CE" w:rsidRPr="00F31943">
              <w:t>s</w:t>
            </w:r>
            <w:r w:rsidRPr="00F31943">
              <w:t xml:space="preserve"> of </w:t>
            </w:r>
            <w:r w:rsidR="00200416" w:rsidRPr="00F31943">
              <w:t>media/</w:t>
            </w:r>
            <w:r w:rsidR="00AE0506" w:rsidRPr="00F31943">
              <w:t>public</w:t>
            </w:r>
            <w:r w:rsidRPr="00F31943">
              <w:t>/social</w:t>
            </w:r>
            <w:r w:rsidR="00200416" w:rsidRPr="00F31943">
              <w:t>/legal</w:t>
            </w:r>
            <w:r w:rsidRPr="00F31943">
              <w:t xml:space="preserve"> </w:t>
            </w:r>
            <w:r>
              <w:t>interest</w:t>
            </w:r>
            <w:r w:rsidR="00200416">
              <w:t>:</w:t>
            </w:r>
            <w:r w:rsidR="00AE0506" w:rsidRPr="00B5768B">
              <w:t xml:space="preserve"> </w:t>
            </w:r>
            <w:r w:rsidR="00AE0506">
              <w:t>including those concerning well-known individuals</w:t>
            </w:r>
            <w:r w:rsidR="00BC26CE">
              <w:t xml:space="preserve"> or setting </w:t>
            </w:r>
            <w:r w:rsidR="00BC26CE" w:rsidRPr="00F31943">
              <w:t>legal precedent</w:t>
            </w:r>
            <w:r w:rsidR="008E2B90">
              <w:t>.</w:t>
            </w:r>
          </w:p>
          <w:p w14:paraId="776E54A0" w14:textId="0F486AA2" w:rsidR="00F31943" w:rsidRPr="000D38C7" w:rsidRDefault="008E2B90" w:rsidP="000D38C7">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 xml:space="preserve">Case related to any case which has been appealed at the Court of Appeal </w:t>
            </w:r>
            <w:r w:rsidRPr="000D38C7">
              <w:rPr>
                <w:b/>
              </w:rPr>
              <w:t>and</w:t>
            </w:r>
            <w:r w:rsidR="0085679E" w:rsidRPr="000D38C7">
              <w:rPr>
                <w:b/>
              </w:rPr>
              <w:t>/or</w:t>
            </w:r>
            <w:r w:rsidRPr="000D38C7">
              <w:rPr>
                <w:b/>
              </w:rPr>
              <w:t xml:space="preserve"> </w:t>
            </w:r>
            <w:r w:rsidRPr="00F31943">
              <w:t xml:space="preserve">which falls into one </w:t>
            </w:r>
            <w:r>
              <w:t>or more of the categories above</w:t>
            </w:r>
          </w:p>
        </w:tc>
      </w:tr>
      <w:tr w:rsidR="00D764EE" w14:paraId="289EFDE0"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D9D9D9" w:themeFill="background1" w:themeFillShade="D9"/>
            <w:vAlign w:val="center"/>
          </w:tcPr>
          <w:p w14:paraId="5676DA3B" w14:textId="77777777" w:rsidR="00D764EE" w:rsidRPr="00B5768B" w:rsidRDefault="00D764EE" w:rsidP="00CD2C90">
            <w:pPr>
              <w:pStyle w:val="Text"/>
              <w:spacing w:after="0"/>
              <w:jc w:val="center"/>
            </w:pPr>
            <w:r>
              <w:lastRenderedPageBreak/>
              <w:t>Committals for Sentence</w:t>
            </w:r>
          </w:p>
        </w:tc>
      </w:tr>
      <w:tr w:rsidR="008B477B" w14:paraId="7D6A713A"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767E3830" w14:textId="77777777" w:rsidR="00214514" w:rsidRDefault="00E10601" w:rsidP="00CD2C90">
            <w:pPr>
              <w:pStyle w:val="Text"/>
              <w:spacing w:after="0"/>
              <w:ind w:left="225" w:hanging="142"/>
              <w:jc w:val="center"/>
            </w:pPr>
            <w:r>
              <w:t>3</w:t>
            </w:r>
          </w:p>
        </w:tc>
        <w:tc>
          <w:tcPr>
            <w:tcW w:w="3685" w:type="dxa"/>
            <w:vAlign w:val="center"/>
          </w:tcPr>
          <w:p w14:paraId="633E8405" w14:textId="77777777" w:rsidR="00214514" w:rsidRPr="00A21585"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b/>
                <w:sz w:val="16"/>
              </w:rPr>
            </w:pPr>
          </w:p>
          <w:p w14:paraId="705B93F2" w14:textId="77777777" w:rsidR="00EF522D" w:rsidRPr="00B5768B" w:rsidRDefault="00EF522D"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w:t>
            </w:r>
            <w:r w:rsidRPr="00B5768B">
              <w:rPr>
                <w:rFonts w:cs="Arial"/>
                <w:szCs w:val="22"/>
              </w:rPr>
              <w:t>ecord sheet</w:t>
            </w:r>
          </w:p>
          <w:p w14:paraId="0447ACD8" w14:textId="77777777" w:rsidR="00EF522D" w:rsidRPr="00CB57F9" w:rsidRDefault="00EF522D"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szCs w:val="22"/>
              </w:rPr>
              <w:t>M</w:t>
            </w:r>
            <w:r w:rsidR="00214514" w:rsidRPr="00B5768B">
              <w:rPr>
                <w:rFonts w:cs="Arial"/>
                <w:szCs w:val="22"/>
              </w:rPr>
              <w:t xml:space="preserve">emorandum of </w:t>
            </w:r>
            <w:r w:rsidR="00E323DF">
              <w:rPr>
                <w:rFonts w:cs="Arial"/>
                <w:szCs w:val="22"/>
              </w:rPr>
              <w:t>conviction/</w:t>
            </w:r>
            <w:r w:rsidR="00214514" w:rsidRPr="00B5768B">
              <w:rPr>
                <w:rFonts w:cs="Arial"/>
                <w:szCs w:val="22"/>
              </w:rPr>
              <w:t xml:space="preserve"> Magistrates’ Sending sheet </w:t>
            </w:r>
          </w:p>
          <w:p w14:paraId="4CBE8CBF" w14:textId="77777777" w:rsidR="00214514" w:rsidRPr="00CB57F9" w:rsidRDefault="00EF522D"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Pr>
                <w:rFonts w:cs="Arial"/>
                <w:szCs w:val="22"/>
              </w:rPr>
              <w:t>R</w:t>
            </w:r>
            <w:r w:rsidR="00214514" w:rsidRPr="00B5768B">
              <w:rPr>
                <w:rFonts w:cs="Arial"/>
                <w:szCs w:val="22"/>
              </w:rPr>
              <w:t>esult of appeal to the Court of Appeal</w:t>
            </w:r>
          </w:p>
          <w:p w14:paraId="452A50A8" w14:textId="77777777" w:rsidR="00CB57F9" w:rsidRPr="00B5768B" w:rsidRDefault="00CB57F9" w:rsidP="00CD2C90">
            <w:pPr>
              <w:pStyle w:val="ListParagraph"/>
              <w:spacing w:after="0"/>
              <w:ind w:left="360"/>
              <w:cnfStyle w:val="000000000000" w:firstRow="0" w:lastRow="0" w:firstColumn="0" w:lastColumn="0" w:oddVBand="0" w:evenVBand="0" w:oddHBand="0" w:evenHBand="0" w:firstRowFirstColumn="0" w:firstRowLastColumn="0" w:lastRowFirstColumn="0" w:lastRowLastColumn="0"/>
              <w:rPr>
                <w:szCs w:val="22"/>
              </w:rPr>
            </w:pPr>
          </w:p>
          <w:p w14:paraId="03650BA3" w14:textId="77777777" w:rsidR="00214514" w:rsidRPr="00B5768B" w:rsidRDefault="00EF522D"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C</w:t>
            </w:r>
            <w:r w:rsidR="00214514" w:rsidRPr="00B5768B">
              <w:rPr>
                <w:rFonts w:cs="Arial"/>
                <w:szCs w:val="22"/>
              </w:rPr>
              <w:t>ertificate under the Sex Offenders Act 1977 (if separate)</w:t>
            </w:r>
          </w:p>
          <w:p w14:paraId="567C0E15" w14:textId="77777777" w:rsidR="00214514" w:rsidRPr="00B5768B" w:rsidRDefault="00EF522D"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Pr>
                <w:rFonts w:cs="Arial"/>
                <w:szCs w:val="22"/>
              </w:rPr>
              <w:t>C</w:t>
            </w:r>
            <w:r w:rsidR="00214514" w:rsidRPr="00B5768B">
              <w:rPr>
                <w:rFonts w:cs="Arial"/>
                <w:szCs w:val="22"/>
              </w:rPr>
              <w:t>ertificate under the Sexual Offenders Act 2003</w:t>
            </w:r>
            <w:r w:rsidR="00214514" w:rsidRPr="00B5768B">
              <w:rPr>
                <w:szCs w:val="22"/>
              </w:rPr>
              <w:t xml:space="preserve"> (if separate)</w:t>
            </w:r>
          </w:p>
          <w:p w14:paraId="7035195D" w14:textId="77777777" w:rsidR="00214514" w:rsidRPr="00A21585" w:rsidRDefault="00214514" w:rsidP="00CD2C90">
            <w:pPr>
              <w:spacing w:after="0" w:line="240" w:lineRule="auto"/>
              <w:cnfStyle w:val="000000000000" w:firstRow="0" w:lastRow="0" w:firstColumn="0" w:lastColumn="0" w:oddVBand="0" w:evenVBand="0" w:oddHBand="0" w:evenHBand="0" w:firstRowFirstColumn="0" w:firstRowLastColumn="0" w:lastRowFirstColumn="0" w:lastRowLastColumn="0"/>
              <w:rPr>
                <w:sz w:val="16"/>
              </w:rPr>
            </w:pPr>
          </w:p>
        </w:tc>
        <w:tc>
          <w:tcPr>
            <w:tcW w:w="1701" w:type="dxa"/>
            <w:vAlign w:val="center"/>
          </w:tcPr>
          <w:p w14:paraId="401AE78A" w14:textId="77777777" w:rsidR="00214514" w:rsidRPr="00B5768B" w:rsidRDefault="00214514" w:rsidP="00CD2C90">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6331828E" w14:textId="77777777" w:rsidR="00214514" w:rsidRPr="00B5768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 xml:space="preserve">Keep for </w:t>
            </w:r>
            <w:r w:rsidRPr="00B5768B">
              <w:rPr>
                <w:b/>
              </w:rPr>
              <w:t>20 years</w:t>
            </w:r>
            <w:r>
              <w:rPr>
                <w:b/>
              </w:rPr>
              <w:t xml:space="preserve"> </w:t>
            </w:r>
            <w:r w:rsidRPr="00214514">
              <w:t>from the date of disposal</w:t>
            </w:r>
            <w:r w:rsidRPr="00B5768B">
              <w:t xml:space="preserve"> and then destroy.</w:t>
            </w:r>
          </w:p>
        </w:tc>
      </w:tr>
      <w:tr w:rsidR="00D764EE" w14:paraId="5EC28C52"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7786B0A2" w14:textId="77777777" w:rsidR="00D764EE" w:rsidRDefault="00E10601" w:rsidP="00CD2C90">
            <w:pPr>
              <w:pStyle w:val="Text"/>
              <w:spacing w:after="0"/>
              <w:ind w:left="567" w:hanging="342"/>
            </w:pPr>
            <w:r>
              <w:t>4</w:t>
            </w:r>
          </w:p>
        </w:tc>
        <w:tc>
          <w:tcPr>
            <w:tcW w:w="3685" w:type="dxa"/>
            <w:vAlign w:val="center"/>
          </w:tcPr>
          <w:p w14:paraId="05332CB8" w14:textId="77777777" w:rsidR="00541686" w:rsidRPr="00B5768B" w:rsidRDefault="00541686"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174737AF" w14:textId="77777777" w:rsidR="005A27AB" w:rsidRPr="008A2972" w:rsidRDefault="005A27AB"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Case documents, evidence &amp; data </w:t>
            </w:r>
            <w:r w:rsidRPr="008A2972">
              <w:rPr>
                <w:rFonts w:cs="Arial"/>
                <w:szCs w:val="22"/>
              </w:rPr>
              <w:t>(formerly the case file)</w:t>
            </w:r>
          </w:p>
          <w:p w14:paraId="222FE7D4" w14:textId="77777777" w:rsidR="00D764EE" w:rsidRPr="00A21585"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rPr>
                <w:b/>
                <w:sz w:val="16"/>
              </w:rPr>
            </w:pPr>
          </w:p>
        </w:tc>
        <w:tc>
          <w:tcPr>
            <w:tcW w:w="1701" w:type="dxa"/>
            <w:vAlign w:val="center"/>
          </w:tcPr>
          <w:p w14:paraId="22DD6CC9" w14:textId="77777777" w:rsidR="00D764EE" w:rsidRPr="00B5768B" w:rsidRDefault="00D764EE" w:rsidP="00CD2C90">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23A31A69" w14:textId="77777777" w:rsidR="00D764EE"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4338FB3F" w14:textId="5A7AC0D3" w:rsidR="00D764EE"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r w:rsidRPr="00CD0135">
              <w:t xml:space="preserve">If not covered by the cases listed in row </w:t>
            </w:r>
            <w:r w:rsidR="00A9041D" w:rsidRPr="00CD0135">
              <w:t>2</w:t>
            </w:r>
            <w:r w:rsidR="00815CF9">
              <w:t xml:space="preserve"> (a-</w:t>
            </w:r>
            <w:r w:rsidR="00A26CD9">
              <w:t>j</w:t>
            </w:r>
            <w:r w:rsidR="00815CF9">
              <w:t>)</w:t>
            </w:r>
            <w:r w:rsidRPr="00CD0135">
              <w:t xml:space="preserve"> above, </w:t>
            </w:r>
            <w:r w:rsidRPr="00B5768B">
              <w:t xml:space="preserve">keep for </w:t>
            </w:r>
            <w:r>
              <w:rPr>
                <w:b/>
              </w:rPr>
              <w:t>5</w:t>
            </w:r>
            <w:r w:rsidRPr="00B5768B">
              <w:rPr>
                <w:b/>
              </w:rPr>
              <w:t xml:space="preserve"> years</w:t>
            </w:r>
            <w:r w:rsidRPr="00B5768B">
              <w:t xml:space="preserve"> and then destroy</w:t>
            </w:r>
            <w:r>
              <w:t>.</w:t>
            </w:r>
          </w:p>
          <w:p w14:paraId="7C0B7633" w14:textId="77777777" w:rsidR="00D764EE" w:rsidRPr="00B5768B"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p>
        </w:tc>
      </w:tr>
      <w:tr w:rsidR="00D764EE" w14:paraId="2ACE1293"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D9D9D9" w:themeFill="background1" w:themeFillShade="D9"/>
            <w:vAlign w:val="center"/>
          </w:tcPr>
          <w:p w14:paraId="688E0120" w14:textId="77777777" w:rsidR="00D764EE" w:rsidRDefault="00D764EE" w:rsidP="00CD2C90">
            <w:pPr>
              <w:pStyle w:val="Text"/>
              <w:spacing w:after="0"/>
              <w:jc w:val="center"/>
            </w:pPr>
            <w:r>
              <w:t>Appeals</w:t>
            </w:r>
            <w:r w:rsidR="00EF522D">
              <w:t xml:space="preserve"> from the Magistrates’ Court</w:t>
            </w:r>
          </w:p>
        </w:tc>
      </w:tr>
      <w:tr w:rsidR="008B477B" w14:paraId="3B89ADAE"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3EAB6519" w14:textId="77777777" w:rsidR="00214514" w:rsidRDefault="00E10601" w:rsidP="00CD2C90">
            <w:pPr>
              <w:pStyle w:val="Text"/>
              <w:spacing w:after="0"/>
              <w:ind w:left="567" w:hanging="342"/>
            </w:pPr>
            <w:r>
              <w:t>5</w:t>
            </w:r>
          </w:p>
        </w:tc>
        <w:tc>
          <w:tcPr>
            <w:tcW w:w="3685" w:type="dxa"/>
            <w:vAlign w:val="center"/>
          </w:tcPr>
          <w:p w14:paraId="505245CD"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7F4C9B84" w14:textId="77777777" w:rsidR="00214514" w:rsidRPr="00B5768B" w:rsidRDefault="00214514"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sidRPr="00B5768B">
              <w:rPr>
                <w:szCs w:val="22"/>
              </w:rPr>
              <w:t>Record Sheet</w:t>
            </w:r>
          </w:p>
          <w:p w14:paraId="38F7132F" w14:textId="77777777" w:rsidR="00C906CF" w:rsidRDefault="00214514"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sidRPr="00B5768B">
              <w:rPr>
                <w:szCs w:val="22"/>
              </w:rPr>
              <w:t>Court Register/</w:t>
            </w:r>
          </w:p>
          <w:p w14:paraId="79A7D234" w14:textId="77777777" w:rsidR="00214514" w:rsidRPr="00B5768B" w:rsidRDefault="00214514" w:rsidP="00CD2C90">
            <w:pPr>
              <w:pStyle w:val="ListParagraph"/>
              <w:spacing w:after="0"/>
              <w:ind w:left="360"/>
              <w:cnfStyle w:val="000000000000" w:firstRow="0" w:lastRow="0" w:firstColumn="0" w:lastColumn="0" w:oddVBand="0" w:evenVBand="0" w:oddHBand="0" w:evenHBand="0" w:firstRowFirstColumn="0" w:firstRowLastColumn="0" w:lastRowFirstColumn="0" w:lastRowLastColumn="0"/>
              <w:rPr>
                <w:szCs w:val="22"/>
              </w:rPr>
            </w:pPr>
            <w:r w:rsidRPr="00B5768B">
              <w:rPr>
                <w:szCs w:val="22"/>
              </w:rPr>
              <w:t>Memorandum of Conviction</w:t>
            </w:r>
          </w:p>
          <w:p w14:paraId="363816D1" w14:textId="77777777" w:rsidR="00214514" w:rsidRPr="00B5768B" w:rsidRDefault="00214514"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sidRPr="00B5768B">
              <w:rPr>
                <w:szCs w:val="22"/>
              </w:rPr>
              <w:t>Notice of Appeal</w:t>
            </w:r>
          </w:p>
          <w:p w14:paraId="20D02891" w14:textId="77777777" w:rsidR="00214514" w:rsidRPr="00214514" w:rsidRDefault="00214514"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szCs w:val="22"/>
              </w:rPr>
            </w:pPr>
            <w:r w:rsidRPr="00B5768B">
              <w:rPr>
                <w:szCs w:val="22"/>
              </w:rPr>
              <w:t xml:space="preserve">Result of Appeal </w:t>
            </w:r>
          </w:p>
          <w:p w14:paraId="6CB117F1" w14:textId="77777777" w:rsidR="00214514" w:rsidRPr="00A813BE" w:rsidRDefault="00214514" w:rsidP="00CD2C90">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1701" w:type="dxa"/>
            <w:vAlign w:val="center"/>
          </w:tcPr>
          <w:p w14:paraId="60F06D83" w14:textId="77777777" w:rsidR="00214514" w:rsidRPr="00B5768B" w:rsidRDefault="00214514" w:rsidP="00CD2C90">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02A62943" w14:textId="77777777" w:rsidR="00214514" w:rsidRPr="00B5768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 xml:space="preserve">Keep for </w:t>
            </w:r>
            <w:r w:rsidRPr="00B5768B">
              <w:rPr>
                <w:b/>
              </w:rPr>
              <w:t>10 years</w:t>
            </w:r>
            <w:r>
              <w:rPr>
                <w:b/>
              </w:rPr>
              <w:t xml:space="preserve"> </w:t>
            </w:r>
            <w:r>
              <w:t>from the date of disposal</w:t>
            </w:r>
            <w:r w:rsidRPr="00B5768B">
              <w:t xml:space="preserve"> and then destroy</w:t>
            </w:r>
          </w:p>
        </w:tc>
      </w:tr>
      <w:tr w:rsidR="00D764EE" w14:paraId="779DBD88"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2BD8CAD9" w14:textId="77777777" w:rsidR="00D764EE" w:rsidRDefault="00E10601" w:rsidP="00CD2C90">
            <w:pPr>
              <w:pStyle w:val="Text"/>
              <w:spacing w:after="0"/>
              <w:ind w:left="567" w:hanging="342"/>
            </w:pPr>
            <w:r>
              <w:t>6</w:t>
            </w:r>
          </w:p>
        </w:tc>
        <w:tc>
          <w:tcPr>
            <w:tcW w:w="3685" w:type="dxa"/>
            <w:vAlign w:val="center"/>
          </w:tcPr>
          <w:p w14:paraId="36EAC11F" w14:textId="77777777" w:rsidR="00541686" w:rsidRPr="00B5768B" w:rsidRDefault="00541686"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6FF9761" w14:textId="77777777" w:rsidR="005A27AB" w:rsidRPr="008A2972" w:rsidRDefault="005A27AB" w:rsidP="00CD2C9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Case documents, evidence &amp; data </w:t>
            </w:r>
            <w:r w:rsidRPr="008A2972">
              <w:rPr>
                <w:rFonts w:cs="Arial"/>
                <w:szCs w:val="22"/>
              </w:rPr>
              <w:t>(formerly the case file)</w:t>
            </w:r>
          </w:p>
          <w:p w14:paraId="765F4B43" w14:textId="77777777" w:rsidR="00D764EE"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40D7402D" w14:textId="77777777" w:rsidR="00D764EE" w:rsidRPr="00B5768B" w:rsidRDefault="00D764EE" w:rsidP="00CD2C90">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1CC5DB7C" w14:textId="77777777" w:rsidR="00D764EE"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D81F56B" w14:textId="2974A53F" w:rsidR="00D764EE"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r w:rsidRPr="00CD0135">
              <w:t xml:space="preserve">If not covered by the cases listed in row </w:t>
            </w:r>
            <w:r w:rsidR="00A9041D" w:rsidRPr="00CD0135">
              <w:t>2</w:t>
            </w:r>
            <w:r w:rsidR="00815CF9">
              <w:t xml:space="preserve"> (a-</w:t>
            </w:r>
            <w:r w:rsidR="00A26CD9">
              <w:t>j</w:t>
            </w:r>
            <w:r w:rsidR="00815CF9">
              <w:t>)</w:t>
            </w:r>
            <w:r w:rsidRPr="00CD0135">
              <w:t xml:space="preserve"> above, </w:t>
            </w:r>
            <w:r w:rsidRPr="00B5768B">
              <w:t xml:space="preserve">keep for </w:t>
            </w:r>
            <w:r>
              <w:rPr>
                <w:b/>
              </w:rPr>
              <w:t>3</w:t>
            </w:r>
            <w:r w:rsidRPr="00B5768B">
              <w:rPr>
                <w:b/>
              </w:rPr>
              <w:t xml:space="preserve"> years</w:t>
            </w:r>
            <w:r w:rsidRPr="00B5768B">
              <w:t xml:space="preserve"> and then destroy</w:t>
            </w:r>
            <w:r>
              <w:t>.</w:t>
            </w:r>
          </w:p>
          <w:p w14:paraId="2DB0EDC1" w14:textId="77777777" w:rsidR="00D764EE" w:rsidRPr="00B5768B" w:rsidRDefault="00D764EE" w:rsidP="00CD2C90">
            <w:pPr>
              <w:pStyle w:val="Text"/>
              <w:spacing w:after="0"/>
              <w:cnfStyle w:val="000000000000" w:firstRow="0" w:lastRow="0" w:firstColumn="0" w:lastColumn="0" w:oddVBand="0" w:evenVBand="0" w:oddHBand="0" w:evenHBand="0" w:firstRowFirstColumn="0" w:firstRowLastColumn="0" w:lastRowFirstColumn="0" w:lastRowLastColumn="0"/>
            </w:pPr>
          </w:p>
        </w:tc>
      </w:tr>
      <w:tr w:rsidR="00541686" w14:paraId="4BC24337"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D9D9D9" w:themeFill="background1" w:themeFillShade="D9"/>
            <w:vAlign w:val="center"/>
          </w:tcPr>
          <w:p w14:paraId="797D01FD" w14:textId="77777777" w:rsidR="00541686" w:rsidRPr="00A21585" w:rsidRDefault="00541686" w:rsidP="00CD2C90">
            <w:pPr>
              <w:pStyle w:val="Text"/>
              <w:spacing w:after="0"/>
              <w:rPr>
                <w:sz w:val="16"/>
              </w:rPr>
            </w:pPr>
          </w:p>
        </w:tc>
      </w:tr>
      <w:tr w:rsidR="00CD0135" w14:paraId="74130688"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76997C01" w14:textId="77777777" w:rsidR="00CD0135" w:rsidRDefault="00CD0135" w:rsidP="00CD2C90">
            <w:pPr>
              <w:pStyle w:val="Text"/>
              <w:spacing w:after="0"/>
              <w:ind w:left="567" w:hanging="342"/>
            </w:pPr>
            <w:r>
              <w:t>7</w:t>
            </w:r>
          </w:p>
        </w:tc>
        <w:tc>
          <w:tcPr>
            <w:tcW w:w="3685" w:type="dxa"/>
            <w:vAlign w:val="center"/>
          </w:tcPr>
          <w:p w14:paraId="79372932" w14:textId="77777777" w:rsidR="00CD0135" w:rsidRPr="00B5768B"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B5768B">
              <w:t>Pardons</w:t>
            </w:r>
          </w:p>
        </w:tc>
        <w:tc>
          <w:tcPr>
            <w:tcW w:w="1701" w:type="dxa"/>
            <w:vAlign w:val="center"/>
          </w:tcPr>
          <w:p w14:paraId="543466AA" w14:textId="77777777" w:rsidR="00CD0135" w:rsidRPr="00B5768B" w:rsidRDefault="00CD0135" w:rsidP="00CD2C90">
            <w:pPr>
              <w:pStyle w:val="Text"/>
              <w:spacing w:after="0"/>
              <w:jc w:val="center"/>
              <w:cnfStyle w:val="000000000000" w:firstRow="0" w:lastRow="0" w:firstColumn="0" w:lastColumn="0" w:oddVBand="0" w:evenVBand="0" w:oddHBand="0" w:evenHBand="0" w:firstRowFirstColumn="0" w:firstRowLastColumn="0" w:lastRowFirstColumn="0" w:lastRowLastColumn="0"/>
            </w:pPr>
            <w:r w:rsidRPr="00B5768B">
              <w:t>HO 188</w:t>
            </w:r>
          </w:p>
        </w:tc>
        <w:tc>
          <w:tcPr>
            <w:tcW w:w="3969" w:type="dxa"/>
            <w:vAlign w:val="center"/>
          </w:tcPr>
          <w:p w14:paraId="79535934" w14:textId="77777777" w:rsidR="00CD0135" w:rsidRPr="00A21585"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0D920ABE" w14:textId="77777777" w:rsidR="00CD0135"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r w:rsidRPr="003E5543">
              <w:rPr>
                <w:b/>
              </w:rPr>
              <w:t>Pe</w:t>
            </w:r>
            <w:r>
              <w:rPr>
                <w:b/>
              </w:rPr>
              <w:t>rmanent</w:t>
            </w:r>
            <w:r>
              <w:t xml:space="preserve"> preservation</w:t>
            </w:r>
            <w:r w:rsidRPr="00B5768B">
              <w:t>.</w:t>
            </w:r>
          </w:p>
          <w:p w14:paraId="36B2CF66"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04CB54A0" w14:textId="77777777" w:rsidR="00F7683E" w:rsidRDefault="00F7683E" w:rsidP="00F7683E">
            <w:pPr>
              <w:pStyle w:val="Text"/>
              <w:spacing w:after="0"/>
              <w:cnfStyle w:val="000000000000" w:firstRow="0" w:lastRow="0" w:firstColumn="0" w:lastColumn="0" w:oddVBand="0" w:evenVBand="0" w:oddHBand="0" w:evenHBand="0" w:firstRowFirstColumn="0" w:firstRowLastColumn="0" w:lastRowFirstColumn="0" w:lastRowLastColumn="0"/>
              <w:rPr>
                <w:rStyle w:val="CommentReference"/>
                <w:rFonts w:eastAsia="Times New Roman" w:cs="Times New Roman"/>
                <w:lang w:eastAsia="en-US"/>
              </w:rPr>
            </w:pPr>
            <w:r>
              <w:t xml:space="preserve">Keep for </w:t>
            </w:r>
            <w:r w:rsidRPr="00C1590C">
              <w:rPr>
                <w:b/>
              </w:rPr>
              <w:t xml:space="preserve">20 years </w:t>
            </w:r>
            <w:r>
              <w:t>and then transfer to the Departmental Records Officer’s team w</w:t>
            </w:r>
            <w:r w:rsidRPr="00B5768B">
              <w:t>ho will arrange the</w:t>
            </w:r>
            <w:r>
              <w:t xml:space="preserve"> transfer </w:t>
            </w:r>
            <w:r w:rsidRPr="00B5768B">
              <w:t>to</w:t>
            </w:r>
            <w:r>
              <w:t xml:space="preserve"> the</w:t>
            </w:r>
            <w:r w:rsidRPr="00B5768B">
              <w:t xml:space="preserve"> TNA.</w:t>
            </w:r>
          </w:p>
          <w:p w14:paraId="077A2611" w14:textId="77777777" w:rsidR="00CD0135" w:rsidRPr="00A21585"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r>
      <w:tr w:rsidR="00CD0135" w14:paraId="40CBEC51"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18EE7DA1" w14:textId="77777777" w:rsidR="00CD0135" w:rsidRDefault="00CD0135" w:rsidP="00CD2C90">
            <w:pPr>
              <w:pStyle w:val="Text"/>
              <w:spacing w:after="0"/>
              <w:ind w:left="567" w:hanging="342"/>
            </w:pPr>
            <w:r>
              <w:t>8</w:t>
            </w:r>
          </w:p>
        </w:tc>
        <w:tc>
          <w:tcPr>
            <w:tcW w:w="3685" w:type="dxa"/>
            <w:vAlign w:val="center"/>
          </w:tcPr>
          <w:p w14:paraId="10564476"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588D1478" w14:textId="77777777" w:rsidR="00CD0135"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B5768B">
              <w:t xml:space="preserve">Files where a supplementary </w:t>
            </w:r>
            <w:r>
              <w:t>or</w:t>
            </w:r>
            <w:r w:rsidRPr="00B5768B">
              <w:t xml:space="preserve"> ancillary order has effect for more than seve</w:t>
            </w:r>
            <w:r>
              <w:t>n years</w:t>
            </w:r>
          </w:p>
          <w:p w14:paraId="375722E0"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24E1B8B4"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02779641"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Retain until the order has expired, including indefinite orders</w:t>
            </w:r>
            <w:r>
              <w:t>.</w:t>
            </w:r>
          </w:p>
        </w:tc>
      </w:tr>
      <w:tr w:rsidR="00CD0135" w14:paraId="4D51217D" w14:textId="77777777" w:rsidTr="00CD2C90">
        <w:trPr>
          <w:trHeight w:val="5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6A35BBD0" w14:textId="77777777" w:rsidR="00CD0135" w:rsidRDefault="00CD0135" w:rsidP="00CD2C90">
            <w:pPr>
              <w:pStyle w:val="Text"/>
              <w:spacing w:after="0"/>
              <w:ind w:left="567" w:hanging="342"/>
            </w:pPr>
            <w:r>
              <w:t>9</w:t>
            </w:r>
          </w:p>
        </w:tc>
        <w:tc>
          <w:tcPr>
            <w:tcW w:w="3685" w:type="dxa"/>
            <w:vAlign w:val="center"/>
          </w:tcPr>
          <w:p w14:paraId="2A7309FC" w14:textId="77777777" w:rsidR="00CD0135" w:rsidRPr="00B5768B"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Outstanding Bench Warrant</w:t>
            </w:r>
          </w:p>
        </w:tc>
        <w:tc>
          <w:tcPr>
            <w:tcW w:w="1701" w:type="dxa"/>
            <w:vAlign w:val="center"/>
          </w:tcPr>
          <w:p w14:paraId="1A52BFD9"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73969D41" w14:textId="77777777" w:rsidR="00CD0135" w:rsidRPr="00CD2C90"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741BB401" w14:textId="77777777" w:rsidR="00CD0135"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Keep until a decision is made about the case and then add to case record</w:t>
            </w:r>
          </w:p>
          <w:p w14:paraId="65D5920E" w14:textId="77777777" w:rsidR="00CD0135" w:rsidRPr="00CD2C90"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r>
      <w:tr w:rsidR="00F31943" w14:paraId="0419B2D6" w14:textId="77777777" w:rsidTr="00CD2C90">
        <w:trPr>
          <w:trHeight w:val="50"/>
        </w:trPr>
        <w:tc>
          <w:tcPr>
            <w:cnfStyle w:val="001000000000" w:firstRow="0" w:lastRow="0" w:firstColumn="1" w:lastColumn="0" w:oddVBand="0" w:evenVBand="0" w:oddHBand="0" w:evenHBand="0" w:firstRowFirstColumn="0" w:firstRowLastColumn="0" w:lastRowFirstColumn="0" w:lastRowLastColumn="0"/>
            <w:tcW w:w="710" w:type="dxa"/>
            <w:vAlign w:val="center"/>
          </w:tcPr>
          <w:p w14:paraId="3C7EA2A9" w14:textId="77777777" w:rsidR="00F31943" w:rsidRDefault="00F31943" w:rsidP="00CD2C90">
            <w:pPr>
              <w:pStyle w:val="Text"/>
              <w:spacing w:after="0"/>
              <w:ind w:left="567" w:hanging="342"/>
            </w:pPr>
          </w:p>
        </w:tc>
        <w:tc>
          <w:tcPr>
            <w:tcW w:w="3685" w:type="dxa"/>
            <w:vAlign w:val="center"/>
          </w:tcPr>
          <w:p w14:paraId="6132F699" w14:textId="77777777" w:rsidR="00F31943" w:rsidRDefault="00F31943" w:rsidP="00F31943">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7B2B372D" w14:textId="77777777" w:rsidR="00F31943" w:rsidRPr="00B5768B" w:rsidRDefault="00F31943"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43F0B342" w14:textId="77777777" w:rsidR="00F31943" w:rsidRPr="00CD2C90" w:rsidRDefault="00F31943"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r>
      <w:tr w:rsidR="00CD0135" w14:paraId="727D8CD8"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68EE76A2" w14:textId="77777777" w:rsidR="00CD0135" w:rsidRDefault="00CD0135" w:rsidP="00CD2C90">
            <w:pPr>
              <w:pStyle w:val="Text"/>
              <w:spacing w:after="0"/>
              <w:ind w:left="567" w:hanging="342"/>
            </w:pPr>
            <w:bookmarkStart w:id="5" w:name="_Hlk31031666"/>
            <w:r>
              <w:lastRenderedPageBreak/>
              <w:t>10</w:t>
            </w:r>
          </w:p>
        </w:tc>
        <w:tc>
          <w:tcPr>
            <w:tcW w:w="3685" w:type="dxa"/>
            <w:vAlign w:val="center"/>
          </w:tcPr>
          <w:p w14:paraId="1F4A1C37"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79292B04" w14:textId="77777777" w:rsidR="00CD0135"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bookmarkStart w:id="6" w:name="_Hlk31031653"/>
            <w:r w:rsidRPr="00B5768B">
              <w:t>Orders for disclosure under POCA (Proceeds of Crime Act)</w:t>
            </w:r>
          </w:p>
          <w:p w14:paraId="3B642BC5" w14:textId="77777777" w:rsidR="00CD0135"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B5768B">
              <w:t>Applications for warrants under Police and Criminal Evidence Act (PACE)</w:t>
            </w:r>
          </w:p>
          <w:p w14:paraId="0CEFED07"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B64CB74" w14:textId="77777777" w:rsidR="00CD0135"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B5768B">
              <w:t>Production orders</w:t>
            </w:r>
          </w:p>
          <w:p w14:paraId="14DE1DE6" w14:textId="77777777" w:rsidR="00CD0135" w:rsidRPr="00B5768B" w:rsidRDefault="00CD0135" w:rsidP="00CD2C90">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Restraint Orders</w:t>
            </w:r>
          </w:p>
          <w:bookmarkEnd w:id="6"/>
          <w:p w14:paraId="282DC4AB"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7EDE8BDD"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3AA8A2E2"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 xml:space="preserve">Keep for </w:t>
            </w:r>
            <w:r>
              <w:rPr>
                <w:b/>
              </w:rPr>
              <w:t>3</w:t>
            </w:r>
            <w:r w:rsidRPr="00B5768B">
              <w:rPr>
                <w:b/>
              </w:rPr>
              <w:t xml:space="preserve"> years</w:t>
            </w:r>
            <w:r w:rsidRPr="00B5768B">
              <w:t xml:space="preserve"> and then destroy</w:t>
            </w:r>
          </w:p>
        </w:tc>
      </w:tr>
      <w:bookmarkEnd w:id="5"/>
      <w:tr w:rsidR="00CD0135" w14:paraId="30691C38"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55912504" w14:textId="77777777" w:rsidR="00CD0135" w:rsidRDefault="00CD0135" w:rsidP="00CD2C90">
            <w:pPr>
              <w:pStyle w:val="Text"/>
              <w:spacing w:after="0"/>
              <w:ind w:left="567" w:hanging="342"/>
            </w:pPr>
            <w:r>
              <w:t>11</w:t>
            </w:r>
          </w:p>
        </w:tc>
        <w:tc>
          <w:tcPr>
            <w:tcW w:w="3685" w:type="dxa"/>
            <w:vAlign w:val="center"/>
          </w:tcPr>
          <w:p w14:paraId="3C45EFAF"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6208CF42" w14:textId="77777777" w:rsidR="00CD0135" w:rsidRPr="00B5768B" w:rsidRDefault="00CD0135" w:rsidP="00F16AA7">
            <w:pPr>
              <w:pStyle w:val="Text"/>
              <w:numPr>
                <w:ilvl w:val="0"/>
                <w:numId w:val="20"/>
              </w:numPr>
              <w:spacing w:after="0"/>
              <w:ind w:left="372" w:hanging="372"/>
              <w:cnfStyle w:val="000000000000" w:firstRow="0" w:lastRow="0" w:firstColumn="0" w:lastColumn="0" w:oddVBand="0" w:evenVBand="0" w:oddHBand="0" w:evenHBand="0" w:firstRowFirstColumn="0" w:firstRowLastColumn="0" w:lastRowFirstColumn="0" w:lastRowLastColumn="0"/>
            </w:pPr>
            <w:r w:rsidRPr="00B5768B">
              <w:t>Financial and accounting records</w:t>
            </w:r>
            <w:r>
              <w:t>:</w:t>
            </w:r>
            <w:r w:rsidRPr="00B5768B">
              <w:t xml:space="preserve"> e.g. witnesses and jurors</w:t>
            </w:r>
            <w:r>
              <w:t xml:space="preserve"> expense claims, cashbooks etc.</w:t>
            </w:r>
          </w:p>
          <w:p w14:paraId="07040A25"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4105E7E3"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1A9DBD05"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 xml:space="preserve">Keep for </w:t>
            </w:r>
            <w:r>
              <w:rPr>
                <w:b/>
              </w:rPr>
              <w:t>7</w:t>
            </w:r>
            <w:r w:rsidRPr="00B5768B">
              <w:rPr>
                <w:b/>
              </w:rPr>
              <w:t xml:space="preserve"> years</w:t>
            </w:r>
            <w:r w:rsidRPr="00B5768B">
              <w:t xml:space="preserve"> and then destroy.</w:t>
            </w:r>
          </w:p>
        </w:tc>
      </w:tr>
      <w:tr w:rsidR="00CD0135" w14:paraId="6B4939DF"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4B6C5B0C" w14:textId="77777777" w:rsidR="00CD0135" w:rsidRDefault="00CD0135" w:rsidP="00CD2C90">
            <w:pPr>
              <w:pStyle w:val="Text"/>
              <w:spacing w:after="0"/>
              <w:ind w:left="567" w:hanging="342"/>
            </w:pPr>
            <w:r>
              <w:t>12</w:t>
            </w:r>
          </w:p>
        </w:tc>
        <w:tc>
          <w:tcPr>
            <w:tcW w:w="3685" w:type="dxa"/>
            <w:vAlign w:val="center"/>
          </w:tcPr>
          <w:p w14:paraId="16EDB8DF"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38DA10DD" w14:textId="77777777" w:rsidR="00CD0135" w:rsidRPr="00B5768B" w:rsidRDefault="00CD0135" w:rsidP="00CD2C90">
            <w:pPr>
              <w:pStyle w:val="Text"/>
              <w:numPr>
                <w:ilvl w:val="0"/>
                <w:numId w:val="21"/>
              </w:numPr>
              <w:spacing w:after="0"/>
              <w:ind w:left="372" w:hanging="372"/>
              <w:cnfStyle w:val="000000000000" w:firstRow="0" w:lastRow="0" w:firstColumn="0" w:lastColumn="0" w:oddVBand="0" w:evenVBand="0" w:oddHBand="0" w:evenHBand="0" w:firstRowFirstColumn="0" w:firstRowLastColumn="0" w:lastRowFirstColumn="0" w:lastRowLastColumn="0"/>
            </w:pPr>
            <w:r w:rsidRPr="00B5768B">
              <w:t xml:space="preserve">Public Interest Immunity </w:t>
            </w:r>
            <w:r>
              <w:t xml:space="preserve">(PII) </w:t>
            </w:r>
            <w:r w:rsidRPr="00B5768B">
              <w:t>case materials (tape recordings, papers etc)</w:t>
            </w:r>
          </w:p>
          <w:p w14:paraId="20C5BD90"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5D05F788"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48F5FB6A" w14:textId="77777777" w:rsidR="00CD0135"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1FBAF7A3" w14:textId="77777777" w:rsidR="00CD0135" w:rsidRPr="008B477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8B477B">
              <w:rPr>
                <w:rFonts w:cs="Arial"/>
              </w:rPr>
              <w:t>PII case materials (tape recordings, papers etc) to be returned to party who lodged them, at end of trial Recordings of P</w:t>
            </w:r>
            <w:r w:rsidR="00CD2C90">
              <w:rPr>
                <w:rFonts w:cs="Arial"/>
              </w:rPr>
              <w:t xml:space="preserve">II hearings held on any medium, </w:t>
            </w:r>
            <w:r w:rsidRPr="008B477B">
              <w:rPr>
                <w:rFonts w:cs="Arial"/>
              </w:rPr>
              <w:t>[tape/digital/dis</w:t>
            </w:r>
            <w:r w:rsidR="00CD2C90">
              <w:rPr>
                <w:rFonts w:cs="Arial"/>
              </w:rPr>
              <w:t>k</w:t>
            </w:r>
            <w:r w:rsidRPr="008B477B">
              <w:rPr>
                <w:rFonts w:cs="Arial"/>
              </w:rPr>
              <w:t>/card etc] to be securely destroyed as part of the trial file selection process.</w:t>
            </w:r>
          </w:p>
          <w:p w14:paraId="62BAF1CB" w14:textId="77777777" w:rsidR="00CD0135" w:rsidRPr="008B477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38DAE0D2" w14:textId="77777777" w:rsidR="00CD0135" w:rsidRDefault="00CD0135" w:rsidP="00F31943">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B477B">
              <w:rPr>
                <w:rFonts w:ascii="Arial" w:hAnsi="Arial" w:cs="Arial"/>
                <w:sz w:val="22"/>
              </w:rPr>
              <w:t xml:space="preserve">Retain trial file for </w:t>
            </w:r>
            <w:r>
              <w:rPr>
                <w:rFonts w:ascii="Arial" w:hAnsi="Arial" w:cs="Arial"/>
                <w:b/>
                <w:sz w:val="22"/>
              </w:rPr>
              <w:t>7</w:t>
            </w:r>
            <w:r w:rsidRPr="008B477B">
              <w:rPr>
                <w:rFonts w:ascii="Arial" w:hAnsi="Arial" w:cs="Arial"/>
                <w:sz w:val="22"/>
              </w:rPr>
              <w:t xml:space="preserve"> </w:t>
            </w:r>
            <w:r w:rsidRPr="008B477B">
              <w:rPr>
                <w:rFonts w:ascii="Arial" w:hAnsi="Arial" w:cs="Arial"/>
                <w:b/>
                <w:sz w:val="22"/>
              </w:rPr>
              <w:t>years</w:t>
            </w:r>
            <w:r w:rsidRPr="008B477B">
              <w:rPr>
                <w:rFonts w:ascii="Arial" w:hAnsi="Arial" w:cs="Arial"/>
                <w:sz w:val="22"/>
              </w:rPr>
              <w:t xml:space="preserve"> and revi</w:t>
            </w:r>
            <w:r w:rsidR="00815CF9">
              <w:rPr>
                <w:rFonts w:ascii="Arial" w:hAnsi="Arial" w:cs="Arial"/>
                <w:sz w:val="22"/>
              </w:rPr>
              <w:t>ew (in accordance with section 2</w:t>
            </w:r>
            <w:r w:rsidRPr="008B477B">
              <w:rPr>
                <w:rFonts w:ascii="Arial" w:hAnsi="Arial" w:cs="Arial"/>
                <w:sz w:val="22"/>
              </w:rPr>
              <w:t xml:space="preserve"> above).</w:t>
            </w:r>
          </w:p>
          <w:p w14:paraId="3FEFBD98" w14:textId="77777777" w:rsidR="00F31943" w:rsidRPr="008B477B" w:rsidRDefault="00F31943" w:rsidP="00F31943">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0135" w14:paraId="7584F975"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733E0F0D" w14:textId="77777777" w:rsidR="00CD0135" w:rsidRDefault="00CD0135" w:rsidP="00CD2C90">
            <w:pPr>
              <w:pStyle w:val="Text"/>
              <w:spacing w:after="0"/>
              <w:ind w:left="567" w:hanging="342"/>
            </w:pPr>
            <w:r>
              <w:t>13</w:t>
            </w:r>
          </w:p>
        </w:tc>
        <w:tc>
          <w:tcPr>
            <w:tcW w:w="3685" w:type="dxa"/>
            <w:vAlign w:val="center"/>
          </w:tcPr>
          <w:p w14:paraId="2ED46D6B"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267679EA" w14:textId="77777777" w:rsidR="00CD0135" w:rsidRPr="00B5768B" w:rsidRDefault="00CD0135" w:rsidP="00CD2C90">
            <w:pPr>
              <w:pStyle w:val="Text"/>
              <w:numPr>
                <w:ilvl w:val="0"/>
                <w:numId w:val="21"/>
              </w:numPr>
              <w:spacing w:after="0"/>
              <w:ind w:left="372" w:hanging="372"/>
              <w:cnfStyle w:val="000000000000" w:firstRow="0" w:lastRow="0" w:firstColumn="0" w:lastColumn="0" w:oddVBand="0" w:evenVBand="0" w:oddHBand="0" w:evenHBand="0" w:firstRowFirstColumn="0" w:firstRowLastColumn="0" w:lastRowFirstColumn="0" w:lastRowLastColumn="0"/>
            </w:pPr>
            <w:r w:rsidRPr="00B5768B">
              <w:t>Recordings of trials</w:t>
            </w:r>
          </w:p>
          <w:p w14:paraId="2A2FC9E5"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06611F66"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56FE514A" w14:textId="77777777" w:rsidR="00916722" w:rsidRDefault="00916722"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7581576D" w14:textId="77777777" w:rsidR="00815CF9"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r w:rsidRPr="00B5768B">
              <w:t xml:space="preserve">Keep for </w:t>
            </w:r>
            <w:r>
              <w:rPr>
                <w:b/>
              </w:rPr>
              <w:t>7</w:t>
            </w:r>
            <w:r w:rsidRPr="00B5768B">
              <w:rPr>
                <w:b/>
              </w:rPr>
              <w:t xml:space="preserve"> </w:t>
            </w:r>
            <w:r w:rsidRPr="008B477B">
              <w:rPr>
                <w:b/>
              </w:rPr>
              <w:t>years</w:t>
            </w:r>
            <w:r w:rsidRPr="00B5768B">
              <w:t xml:space="preserve"> and then destroy</w:t>
            </w:r>
          </w:p>
          <w:p w14:paraId="7E03DEBD" w14:textId="77777777" w:rsidR="00CD0135" w:rsidRPr="00B5768B" w:rsidRDefault="00CD0135" w:rsidP="00CD2C90">
            <w:pPr>
              <w:pStyle w:val="Text"/>
              <w:spacing w:after="0"/>
              <w:cnfStyle w:val="000000000000" w:firstRow="0" w:lastRow="0" w:firstColumn="0" w:lastColumn="0" w:oddVBand="0" w:evenVBand="0" w:oddHBand="0" w:evenHBand="0" w:firstRowFirstColumn="0" w:firstRowLastColumn="0" w:lastRowFirstColumn="0" w:lastRowLastColumn="0"/>
            </w:pPr>
          </w:p>
        </w:tc>
      </w:tr>
      <w:tr w:rsidR="00214514" w:rsidRPr="00E66A89" w14:paraId="7ABDDB2A"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vAlign w:val="center"/>
          </w:tcPr>
          <w:p w14:paraId="09630700" w14:textId="77777777" w:rsidR="00214514" w:rsidRPr="00E66A89" w:rsidRDefault="00214514" w:rsidP="00CD2C90">
            <w:pPr>
              <w:pStyle w:val="Text"/>
              <w:spacing w:after="0"/>
              <w:rPr>
                <w:sz w:val="24"/>
              </w:rPr>
            </w:pPr>
          </w:p>
          <w:p w14:paraId="37104A77" w14:textId="77777777" w:rsidR="00214514" w:rsidRPr="00E66A89" w:rsidRDefault="00214514" w:rsidP="00CD2C90">
            <w:pPr>
              <w:pStyle w:val="Text"/>
              <w:spacing w:after="0"/>
              <w:jc w:val="center"/>
              <w:rPr>
                <w:sz w:val="24"/>
              </w:rPr>
            </w:pPr>
            <w:r>
              <w:rPr>
                <w:sz w:val="24"/>
              </w:rPr>
              <w:t>2</w:t>
            </w:r>
            <w:r w:rsidRPr="00E66A89">
              <w:rPr>
                <w:sz w:val="24"/>
              </w:rPr>
              <w:t xml:space="preserve">. </w:t>
            </w:r>
            <w:r>
              <w:rPr>
                <w:sz w:val="24"/>
              </w:rPr>
              <w:t>Jury Central Summoning Bureau</w:t>
            </w:r>
          </w:p>
          <w:p w14:paraId="07058B4E" w14:textId="77777777" w:rsidR="00214514" w:rsidRPr="00E66A89" w:rsidRDefault="00214514" w:rsidP="00CD2C90">
            <w:pPr>
              <w:pStyle w:val="Text"/>
              <w:spacing w:after="0"/>
            </w:pPr>
          </w:p>
        </w:tc>
      </w:tr>
      <w:tr w:rsidR="008B477B" w:rsidRPr="00D67CC7" w14:paraId="1863CBE6"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608DE46D" w14:textId="77777777" w:rsidR="00214514" w:rsidRPr="00D67CC7" w:rsidRDefault="00214514" w:rsidP="00A26CD9">
            <w:pPr>
              <w:pStyle w:val="Text"/>
              <w:numPr>
                <w:ilvl w:val="0"/>
                <w:numId w:val="22"/>
              </w:numPr>
              <w:spacing w:after="0"/>
              <w:jc w:val="center"/>
            </w:pPr>
            <w:bookmarkStart w:id="7" w:name="_Hlk43466341"/>
          </w:p>
        </w:tc>
        <w:tc>
          <w:tcPr>
            <w:tcW w:w="3685" w:type="dxa"/>
            <w:vAlign w:val="center"/>
          </w:tcPr>
          <w:p w14:paraId="3E810157" w14:textId="77777777" w:rsidR="008D2C7A" w:rsidRDefault="008D2C7A" w:rsidP="00FD5041">
            <w:pPr>
              <w:tabs>
                <w:tab w:val="left" w:pos="1080"/>
                <w:tab w:val="left" w:pos="558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761D34FA" w14:textId="77777777" w:rsidR="00214514" w:rsidRDefault="00214514" w:rsidP="00FD5041">
            <w:pPr>
              <w:tabs>
                <w:tab w:val="left" w:pos="1080"/>
                <w:tab w:val="left" w:pos="558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67CC7">
              <w:rPr>
                <w:rFonts w:ascii="Arial" w:hAnsi="Arial" w:cs="Arial"/>
                <w:sz w:val="22"/>
              </w:rPr>
              <w:t>Returned Jury Summons</w:t>
            </w:r>
            <w:r w:rsidR="00FD5041">
              <w:rPr>
                <w:rFonts w:ascii="Arial" w:hAnsi="Arial" w:cs="Arial"/>
                <w:sz w:val="22"/>
              </w:rPr>
              <w:t>:</w:t>
            </w:r>
          </w:p>
          <w:p w14:paraId="59865ADF" w14:textId="77777777" w:rsidR="00FD5041" w:rsidRDefault="00FD5041" w:rsidP="00FD504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t>Responded</w:t>
            </w:r>
          </w:p>
          <w:p w14:paraId="12590730" w14:textId="77777777" w:rsidR="00FD5041" w:rsidRDefault="00FD5041" w:rsidP="00FD504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t>Excusal</w:t>
            </w:r>
          </w:p>
          <w:p w14:paraId="7C757EAC" w14:textId="77777777" w:rsidR="00FD5041" w:rsidRDefault="00FD5041" w:rsidP="00FD504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t>Deferral</w:t>
            </w:r>
          </w:p>
          <w:p w14:paraId="42897C34" w14:textId="77777777" w:rsidR="008D2C7A" w:rsidRPr="00D67CC7" w:rsidRDefault="008D2C7A" w:rsidP="008D2C7A">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2F6EAA23"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4381D2FC"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6687F851"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 xml:space="preserve">Keep for </w:t>
            </w:r>
            <w:r w:rsidR="00624FDD">
              <w:rPr>
                <w:b/>
                <w:lang w:eastAsia="en-US"/>
              </w:rPr>
              <w:t>1</w:t>
            </w:r>
            <w:r w:rsidRPr="00D67CC7">
              <w:rPr>
                <w:b/>
                <w:lang w:eastAsia="en-US"/>
              </w:rPr>
              <w:t xml:space="preserve"> year</w:t>
            </w:r>
            <w:r w:rsidRPr="00D67CC7">
              <w:rPr>
                <w:lang w:eastAsia="en-US"/>
              </w:rPr>
              <w:t xml:space="preserve"> from date of summons and then destroy</w:t>
            </w:r>
          </w:p>
          <w:p w14:paraId="094E356A"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r>
      <w:bookmarkEnd w:id="7"/>
      <w:tr w:rsidR="008B477B" w:rsidRPr="00D67CC7" w14:paraId="2E20BED5"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4791E65C" w14:textId="77777777" w:rsidR="00214514" w:rsidRPr="00D67CC7" w:rsidRDefault="00214514" w:rsidP="00A26CD9">
            <w:pPr>
              <w:pStyle w:val="Text"/>
              <w:numPr>
                <w:ilvl w:val="0"/>
                <w:numId w:val="22"/>
              </w:numPr>
              <w:spacing w:after="0"/>
              <w:jc w:val="center"/>
            </w:pPr>
          </w:p>
        </w:tc>
        <w:tc>
          <w:tcPr>
            <w:tcW w:w="3685" w:type="dxa"/>
            <w:vAlign w:val="center"/>
          </w:tcPr>
          <w:p w14:paraId="433F2CEA"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69AAF083"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 xml:space="preserve">a) </w:t>
            </w:r>
            <w:r>
              <w:rPr>
                <w:lang w:eastAsia="en-US"/>
              </w:rPr>
              <w:t xml:space="preserve">Yield Reports </w:t>
            </w:r>
            <w:r w:rsidRPr="00D67CC7">
              <w:rPr>
                <w:lang w:eastAsia="en-US"/>
              </w:rPr>
              <w:t>(performance against JCSB targets)</w:t>
            </w:r>
          </w:p>
          <w:p w14:paraId="5DD9B3D2"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 xml:space="preserve">b) </w:t>
            </w:r>
            <w:r w:rsidRPr="00D67CC7">
              <w:rPr>
                <w:rFonts w:cs="Arial"/>
                <w:lang w:eastAsia="en-US"/>
              </w:rPr>
              <w:t>Summoning Monitor Reports</w:t>
            </w:r>
          </w:p>
          <w:p w14:paraId="03D45E27"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052CB000"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1E689B76"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D67CC7">
              <w:rPr>
                <w:lang w:eastAsia="en-US"/>
              </w:rPr>
              <w:t xml:space="preserve">Keep for </w:t>
            </w:r>
            <w:r w:rsidR="00624FDD">
              <w:rPr>
                <w:b/>
                <w:lang w:eastAsia="en-US"/>
              </w:rPr>
              <w:t>7</w:t>
            </w:r>
            <w:r w:rsidRPr="00D67CC7">
              <w:rPr>
                <w:b/>
                <w:lang w:eastAsia="en-US"/>
              </w:rPr>
              <w:t xml:space="preserve"> years</w:t>
            </w:r>
            <w:r w:rsidRPr="00D67CC7">
              <w:rPr>
                <w:lang w:eastAsia="en-US"/>
              </w:rPr>
              <w:t xml:space="preserve"> and then destroy</w:t>
            </w:r>
          </w:p>
        </w:tc>
      </w:tr>
      <w:tr w:rsidR="008B477B" w:rsidRPr="00D67CC7" w14:paraId="0CB4F239"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3945B75D" w14:textId="77777777" w:rsidR="00214514" w:rsidRPr="00D67CC7" w:rsidRDefault="00214514" w:rsidP="00A26CD9">
            <w:pPr>
              <w:pStyle w:val="Text"/>
              <w:numPr>
                <w:ilvl w:val="0"/>
                <w:numId w:val="22"/>
              </w:numPr>
              <w:spacing w:after="0"/>
              <w:jc w:val="center"/>
            </w:pPr>
          </w:p>
        </w:tc>
        <w:tc>
          <w:tcPr>
            <w:tcW w:w="3685" w:type="dxa"/>
            <w:vAlign w:val="center"/>
          </w:tcPr>
          <w:p w14:paraId="4298374A"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648DD6D1"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a) Court Catchment List</w:t>
            </w:r>
          </w:p>
          <w:p w14:paraId="3076EDF6"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b) Court Catchment Dispute cases</w:t>
            </w:r>
          </w:p>
          <w:p w14:paraId="5D93CEA2"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0A6AF5A5"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445E77C9"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 xml:space="preserve">a) Updated annually. Keep </w:t>
            </w:r>
            <w:r w:rsidRPr="00D67CC7">
              <w:rPr>
                <w:b/>
                <w:lang w:eastAsia="en-US"/>
              </w:rPr>
              <w:t>until superseded</w:t>
            </w:r>
            <w:r w:rsidRPr="00D67CC7">
              <w:rPr>
                <w:lang w:eastAsia="en-US"/>
              </w:rPr>
              <w:t xml:space="preserve"> and then destroy</w:t>
            </w:r>
          </w:p>
          <w:p w14:paraId="77262060"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D67CC7">
              <w:rPr>
                <w:lang w:eastAsia="en-US"/>
              </w:rPr>
              <w:t xml:space="preserve">b) Keep for </w:t>
            </w:r>
            <w:r w:rsidR="00624FDD">
              <w:rPr>
                <w:b/>
                <w:lang w:eastAsia="en-US"/>
              </w:rPr>
              <w:t>3</w:t>
            </w:r>
            <w:r w:rsidRPr="00D67CC7">
              <w:rPr>
                <w:b/>
                <w:lang w:eastAsia="en-US"/>
              </w:rPr>
              <w:t xml:space="preserve"> years</w:t>
            </w:r>
            <w:r w:rsidRPr="00D67CC7">
              <w:rPr>
                <w:lang w:eastAsia="en-US"/>
              </w:rPr>
              <w:t xml:space="preserve"> and then destroy</w:t>
            </w:r>
          </w:p>
        </w:tc>
      </w:tr>
      <w:tr w:rsidR="008B477B" w:rsidRPr="00D67CC7" w14:paraId="7C1F1EA7"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14BD2530" w14:textId="77777777" w:rsidR="00214514" w:rsidRPr="00D67CC7" w:rsidRDefault="00214514" w:rsidP="00A26CD9">
            <w:pPr>
              <w:pStyle w:val="Text"/>
              <w:numPr>
                <w:ilvl w:val="0"/>
                <w:numId w:val="22"/>
              </w:numPr>
              <w:spacing w:after="0"/>
              <w:jc w:val="center"/>
            </w:pPr>
          </w:p>
        </w:tc>
        <w:tc>
          <w:tcPr>
            <w:tcW w:w="3685" w:type="dxa"/>
            <w:vAlign w:val="center"/>
          </w:tcPr>
          <w:p w14:paraId="374869EC"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b/>
                <w:lang w:eastAsia="en-US"/>
              </w:rPr>
            </w:pPr>
          </w:p>
          <w:p w14:paraId="70144126"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rFonts w:cs="Arial"/>
                <w:lang w:eastAsia="en-US"/>
              </w:rPr>
            </w:pPr>
            <w:r w:rsidRPr="00D67CC7">
              <w:rPr>
                <w:rFonts w:cs="Arial"/>
                <w:lang w:eastAsia="en-US"/>
              </w:rPr>
              <w:t>Recorded telephone calls</w:t>
            </w:r>
          </w:p>
          <w:p w14:paraId="54143468"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262B5F50"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68F43842"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D67CC7">
              <w:rPr>
                <w:lang w:eastAsia="en-US"/>
              </w:rPr>
              <w:t xml:space="preserve">Keep for </w:t>
            </w:r>
            <w:r w:rsidR="00624FDD">
              <w:rPr>
                <w:b/>
                <w:lang w:eastAsia="en-US"/>
              </w:rPr>
              <w:t>3</w:t>
            </w:r>
            <w:r w:rsidR="00165785">
              <w:rPr>
                <w:b/>
                <w:lang w:eastAsia="en-US"/>
              </w:rPr>
              <w:t>0 months</w:t>
            </w:r>
            <w:r w:rsidRPr="00D67CC7">
              <w:rPr>
                <w:lang w:eastAsia="en-US"/>
              </w:rPr>
              <w:t xml:space="preserve"> and then de</w:t>
            </w:r>
            <w:r>
              <w:rPr>
                <w:lang w:eastAsia="en-US"/>
              </w:rPr>
              <w:t>stroy</w:t>
            </w:r>
          </w:p>
        </w:tc>
      </w:tr>
      <w:tr w:rsidR="008B477B" w:rsidRPr="00D67CC7" w14:paraId="218ACBE2"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50E7F556" w14:textId="77777777" w:rsidR="00214514" w:rsidRPr="00D67CC7" w:rsidRDefault="00214514" w:rsidP="00A26CD9">
            <w:pPr>
              <w:pStyle w:val="Text"/>
              <w:numPr>
                <w:ilvl w:val="0"/>
                <w:numId w:val="22"/>
              </w:numPr>
              <w:spacing w:after="0"/>
              <w:jc w:val="center"/>
            </w:pPr>
          </w:p>
        </w:tc>
        <w:tc>
          <w:tcPr>
            <w:tcW w:w="3685" w:type="dxa"/>
            <w:vAlign w:val="center"/>
          </w:tcPr>
          <w:p w14:paraId="6DBBCA11"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5843E89C"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D67CC7">
              <w:rPr>
                <w:lang w:eastAsia="en-US"/>
              </w:rPr>
              <w:t>Copies of electoral registers supplied by local authorities</w:t>
            </w:r>
          </w:p>
          <w:p w14:paraId="403F7B05"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5E5F3A31"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06485FAB" w14:textId="77777777" w:rsidR="00214514" w:rsidRPr="00D67CC7"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D67CC7">
              <w:rPr>
                <w:rFonts w:cs="Arial"/>
                <w:lang w:eastAsia="en-US"/>
              </w:rPr>
              <w:t xml:space="preserve">Keep </w:t>
            </w:r>
            <w:r w:rsidRPr="00D67CC7">
              <w:rPr>
                <w:rFonts w:cs="Arial"/>
                <w:b/>
                <w:lang w:eastAsia="en-US"/>
              </w:rPr>
              <w:t>until superseded</w:t>
            </w:r>
            <w:r w:rsidRPr="00D67CC7">
              <w:rPr>
                <w:rFonts w:cs="Arial"/>
                <w:lang w:eastAsia="en-US"/>
              </w:rPr>
              <w:t xml:space="preserve"> and then destroy</w:t>
            </w:r>
          </w:p>
        </w:tc>
      </w:tr>
      <w:tr w:rsidR="008D2C7A" w:rsidRPr="00D67CC7" w14:paraId="524B66F4"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64BC6FBF" w14:textId="77777777" w:rsidR="008D2C7A" w:rsidRPr="00D67CC7" w:rsidRDefault="008D2C7A" w:rsidP="00A26CD9">
            <w:pPr>
              <w:pStyle w:val="Text"/>
              <w:numPr>
                <w:ilvl w:val="0"/>
                <w:numId w:val="22"/>
              </w:numPr>
              <w:spacing w:after="0"/>
              <w:jc w:val="center"/>
            </w:pPr>
          </w:p>
        </w:tc>
        <w:tc>
          <w:tcPr>
            <w:tcW w:w="3685" w:type="dxa"/>
            <w:vAlign w:val="center"/>
          </w:tcPr>
          <w:p w14:paraId="2C17D9A4" w14:textId="77777777" w:rsidR="008D2C7A" w:rsidRPr="002406EB" w:rsidRDefault="008D2C7A" w:rsidP="008D2C7A">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2A052798" w14:textId="77777777" w:rsidR="008D2C7A" w:rsidRDefault="008D2C7A" w:rsidP="008D2C7A">
            <w:pPr>
              <w:pStyle w:val="Text"/>
              <w:spacing w:after="0"/>
              <w:cnfStyle w:val="000000000000" w:firstRow="0" w:lastRow="0" w:firstColumn="0" w:lastColumn="0" w:oddVBand="0" w:evenVBand="0" w:oddHBand="0" w:evenHBand="0" w:firstRowFirstColumn="0" w:firstRowLastColumn="0" w:lastRowFirstColumn="0" w:lastRowLastColumn="0"/>
            </w:pPr>
            <w:r>
              <w:t>Correspondence</w:t>
            </w:r>
          </w:p>
          <w:p w14:paraId="22CCC2D8" w14:textId="77777777" w:rsidR="008D2C7A" w:rsidRPr="00D67CC7" w:rsidRDefault="008D2C7A" w:rsidP="008D2C7A">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1701" w:type="dxa"/>
            <w:vAlign w:val="center"/>
          </w:tcPr>
          <w:p w14:paraId="245B9D08" w14:textId="77777777" w:rsidR="008D2C7A" w:rsidRPr="00D67CC7" w:rsidRDefault="008D2C7A" w:rsidP="008D2C7A">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69A3F719" w14:textId="77777777" w:rsidR="008D2C7A" w:rsidRPr="00D67CC7" w:rsidRDefault="008D2C7A" w:rsidP="008D2C7A">
            <w:pPr>
              <w:pStyle w:val="Text"/>
              <w:spacing w:after="0"/>
              <w:cnfStyle w:val="000000000000" w:firstRow="0" w:lastRow="0" w:firstColumn="0" w:lastColumn="0" w:oddVBand="0" w:evenVBand="0" w:oddHBand="0" w:evenHBand="0" w:firstRowFirstColumn="0" w:firstRowLastColumn="0" w:lastRowFirstColumn="0" w:lastRowLastColumn="0"/>
              <w:rPr>
                <w:rFonts w:cs="Arial"/>
                <w:lang w:eastAsia="en-US"/>
              </w:rPr>
            </w:pPr>
            <w:r>
              <w:t xml:space="preserve">Keep for </w:t>
            </w:r>
            <w:r>
              <w:rPr>
                <w:b/>
              </w:rPr>
              <w:t xml:space="preserve">1 </w:t>
            </w:r>
            <w:r w:rsidRPr="00624FDD">
              <w:rPr>
                <w:b/>
              </w:rPr>
              <w:t>year</w:t>
            </w:r>
            <w:r>
              <w:t xml:space="preserve"> and then destroy</w:t>
            </w:r>
          </w:p>
        </w:tc>
      </w:tr>
      <w:tr w:rsidR="00214514" w:rsidRPr="00E66A89" w14:paraId="45AD7618"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vAlign w:val="center"/>
          </w:tcPr>
          <w:p w14:paraId="31B9758F" w14:textId="77777777" w:rsidR="00214514" w:rsidRPr="00E66A89" w:rsidRDefault="00214514" w:rsidP="00CD2C90">
            <w:pPr>
              <w:pStyle w:val="Text"/>
              <w:spacing w:after="0"/>
              <w:rPr>
                <w:sz w:val="24"/>
              </w:rPr>
            </w:pPr>
          </w:p>
          <w:p w14:paraId="32DFBD66" w14:textId="77777777" w:rsidR="00214514" w:rsidRPr="00E66A89" w:rsidRDefault="00214514" w:rsidP="00CD2C90">
            <w:pPr>
              <w:pStyle w:val="Text"/>
              <w:spacing w:after="0"/>
              <w:jc w:val="center"/>
              <w:rPr>
                <w:sz w:val="24"/>
              </w:rPr>
            </w:pPr>
            <w:r>
              <w:rPr>
                <w:sz w:val="24"/>
              </w:rPr>
              <w:t xml:space="preserve">3. </w:t>
            </w:r>
            <w:r>
              <w:rPr>
                <w:rFonts w:cs="Arial"/>
                <w:szCs w:val="24"/>
              </w:rPr>
              <w:t>Records managed by a common retention and disposition policy across HMCTS</w:t>
            </w:r>
          </w:p>
          <w:p w14:paraId="4C71D2B6" w14:textId="77777777" w:rsidR="00214514" w:rsidRPr="00E66A89" w:rsidRDefault="00214514" w:rsidP="00CD2C90">
            <w:pPr>
              <w:pStyle w:val="Text"/>
              <w:spacing w:after="0"/>
            </w:pPr>
          </w:p>
        </w:tc>
      </w:tr>
      <w:tr w:rsidR="008B477B" w14:paraId="6E12EE52"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2A9858BA" w14:textId="77777777" w:rsidR="00214514" w:rsidRDefault="00214514" w:rsidP="00A26CD9">
            <w:pPr>
              <w:pStyle w:val="Text"/>
              <w:numPr>
                <w:ilvl w:val="0"/>
                <w:numId w:val="22"/>
              </w:numPr>
              <w:spacing w:after="0"/>
              <w:jc w:val="center"/>
            </w:pPr>
          </w:p>
        </w:tc>
        <w:tc>
          <w:tcPr>
            <w:tcW w:w="3685" w:type="dxa"/>
            <w:vAlign w:val="center"/>
          </w:tcPr>
          <w:p w14:paraId="3190A187"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Bundles</w:t>
            </w:r>
          </w:p>
        </w:tc>
        <w:tc>
          <w:tcPr>
            <w:tcW w:w="1701" w:type="dxa"/>
            <w:vAlign w:val="center"/>
          </w:tcPr>
          <w:p w14:paraId="1491763D"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2B71AC7F" w14:textId="77777777" w:rsidR="00214514" w:rsidRPr="002406E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42F34FAA"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2C6834">
              <w:t>Court staff are required to retain and dispose</w:t>
            </w:r>
            <w:r w:rsidR="008B477B">
              <w:t xml:space="preserve"> of</w:t>
            </w:r>
            <w:r w:rsidRPr="002C6834">
              <w:t xml:space="preserve"> those bundles that have been lodged at court for the spec</w:t>
            </w:r>
            <w:r w:rsidR="004C562C">
              <w:t>ific use of the judge/court.</w:t>
            </w:r>
          </w:p>
          <w:p w14:paraId="0B440A32" w14:textId="77777777" w:rsidR="004C562C" w:rsidRDefault="004C562C"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4C47E70C" w14:textId="77777777" w:rsidR="004C562C" w:rsidRPr="004C562C" w:rsidRDefault="004C562C" w:rsidP="00CD2C90">
            <w:pPr>
              <w:pStyle w:val="Text"/>
              <w:spacing w:after="0"/>
              <w:cnfStyle w:val="000000000000" w:firstRow="0" w:lastRow="0" w:firstColumn="0" w:lastColumn="0" w:oddVBand="0" w:evenVBand="0" w:oddHBand="0" w:evenHBand="0" w:firstRowFirstColumn="0" w:firstRowLastColumn="0" w:lastRowFirstColumn="0" w:lastRowLastColumn="0"/>
            </w:pPr>
            <w:r w:rsidRPr="004C562C">
              <w:t>It has been agreed between HMCTS, Bar Council and the Law Society that barristers/solicitors are responsible for removing their own bundles, (including witness bundles), as they are the Data Controllers of that information</w:t>
            </w:r>
            <w:r>
              <w:t>.</w:t>
            </w:r>
          </w:p>
          <w:p w14:paraId="7D778AC0" w14:textId="77777777" w:rsidR="004C562C" w:rsidRDefault="004C562C" w:rsidP="00CD2C90">
            <w:pPr>
              <w:pStyle w:val="Text"/>
              <w:spacing w:after="0"/>
              <w:cnfStyle w:val="000000000000" w:firstRow="0" w:lastRow="0" w:firstColumn="0" w:lastColumn="0" w:oddVBand="0" w:evenVBand="0" w:oddHBand="0" w:evenHBand="0" w:firstRowFirstColumn="0" w:firstRowLastColumn="0" w:lastRowFirstColumn="0" w:lastRowLastColumn="0"/>
            </w:pPr>
          </w:p>
        </w:tc>
      </w:tr>
      <w:tr w:rsidR="008B477B" w14:paraId="67F297AE"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674DA251" w14:textId="77777777" w:rsidR="00214514" w:rsidRDefault="00214514" w:rsidP="00A26CD9">
            <w:pPr>
              <w:pStyle w:val="Text"/>
              <w:numPr>
                <w:ilvl w:val="0"/>
                <w:numId w:val="22"/>
              </w:numPr>
              <w:spacing w:after="0"/>
              <w:jc w:val="center"/>
            </w:pPr>
          </w:p>
        </w:tc>
        <w:tc>
          <w:tcPr>
            <w:tcW w:w="3685" w:type="dxa"/>
            <w:vAlign w:val="center"/>
          </w:tcPr>
          <w:p w14:paraId="2858F83C" w14:textId="77777777" w:rsidR="00214514" w:rsidRPr="00A26CD9"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7837E478"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Correspondence (other than case related correspondence)</w:t>
            </w:r>
          </w:p>
          <w:p w14:paraId="1344C529" w14:textId="77777777" w:rsidR="00214514" w:rsidRPr="00A26CD9"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504C6938"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1E6D7372"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624FDD">
              <w:rPr>
                <w:b/>
              </w:rPr>
              <w:t>1</w:t>
            </w:r>
            <w:r>
              <w:rPr>
                <w:b/>
              </w:rPr>
              <w:t xml:space="preserve"> </w:t>
            </w:r>
            <w:r w:rsidRPr="00624FDD">
              <w:rPr>
                <w:b/>
              </w:rPr>
              <w:t>year</w:t>
            </w:r>
            <w:r>
              <w:t xml:space="preserve"> and then destroy</w:t>
            </w:r>
          </w:p>
        </w:tc>
      </w:tr>
      <w:tr w:rsidR="008B477B" w14:paraId="5E5826E6"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60B1E20C" w14:textId="77777777" w:rsidR="00214514" w:rsidRDefault="00214514" w:rsidP="00A26CD9">
            <w:pPr>
              <w:pStyle w:val="Text"/>
              <w:numPr>
                <w:ilvl w:val="0"/>
                <w:numId w:val="22"/>
              </w:numPr>
              <w:spacing w:after="0"/>
              <w:jc w:val="center"/>
            </w:pPr>
          </w:p>
        </w:tc>
        <w:tc>
          <w:tcPr>
            <w:tcW w:w="3685" w:type="dxa"/>
            <w:vAlign w:val="center"/>
          </w:tcPr>
          <w:p w14:paraId="2339DF85" w14:textId="77777777" w:rsidR="00214514" w:rsidRPr="00A26CD9"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7E40C023"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b/>
              </w:rPr>
            </w:pPr>
            <w:r w:rsidRPr="00262EE7">
              <w:t>Records created as part of governance and assurance processes including</w:t>
            </w:r>
            <w:r>
              <w:t>:</w:t>
            </w:r>
          </w:p>
          <w:p w14:paraId="15180238" w14:textId="77777777" w:rsidR="00214514" w:rsidRDefault="00214514" w:rsidP="00CD2C90">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rPr>
                <w:b/>
              </w:rPr>
            </w:pPr>
            <w:r w:rsidRPr="00262EE7">
              <w:t xml:space="preserve">Key Control Check Sheets (KCCS) </w:t>
            </w:r>
          </w:p>
          <w:p w14:paraId="5519C96D" w14:textId="77777777" w:rsidR="00214514" w:rsidRDefault="00214514" w:rsidP="00CD2C90">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rPr>
                <w:b/>
              </w:rPr>
            </w:pPr>
            <w:r w:rsidRPr="00262EE7">
              <w:t>Standard Operating Controls (SOC</w:t>
            </w:r>
            <w:r>
              <w:t>)</w:t>
            </w:r>
          </w:p>
          <w:p w14:paraId="59514572" w14:textId="77777777" w:rsidR="00214514" w:rsidRDefault="00214514" w:rsidP="00CD2C90">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rPr>
                <w:b/>
              </w:rPr>
            </w:pPr>
            <w:r>
              <w:t>P</w:t>
            </w:r>
            <w:r w:rsidRPr="00262EE7">
              <w:t>revious equivalents</w:t>
            </w:r>
          </w:p>
          <w:p w14:paraId="1DE20101" w14:textId="77777777" w:rsidR="00214514" w:rsidRPr="00A26CD9"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024D4DFF"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6AB5DFD0"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sidRPr="00262EE7">
              <w:t>Destroy in line with the HMCTS Governance and Assurance RRDS</w:t>
            </w:r>
          </w:p>
        </w:tc>
      </w:tr>
      <w:tr w:rsidR="00214514" w:rsidRPr="00E66A89" w14:paraId="78321116" w14:textId="77777777" w:rsidTr="00CD2C90">
        <w:tc>
          <w:tcPr>
            <w:cnfStyle w:val="001000000000" w:firstRow="0" w:lastRow="0" w:firstColumn="1" w:lastColumn="0" w:oddVBand="0" w:evenVBand="0" w:oddHBand="0" w:evenHBand="0" w:firstRowFirstColumn="0" w:firstRowLastColumn="0" w:lastRowFirstColumn="0" w:lastRowLastColumn="0"/>
            <w:tcW w:w="10065" w:type="dxa"/>
            <w:gridSpan w:val="4"/>
            <w:vAlign w:val="center"/>
          </w:tcPr>
          <w:p w14:paraId="76D92B74" w14:textId="77777777" w:rsidR="00214514" w:rsidRPr="00E66A89" w:rsidRDefault="00214514" w:rsidP="00CD2C90">
            <w:pPr>
              <w:pStyle w:val="Text"/>
              <w:spacing w:after="0"/>
              <w:rPr>
                <w:sz w:val="24"/>
              </w:rPr>
            </w:pPr>
          </w:p>
          <w:p w14:paraId="0465028C" w14:textId="77777777" w:rsidR="00214514" w:rsidRPr="00E66A89" w:rsidRDefault="00214514" w:rsidP="00CD2C90">
            <w:pPr>
              <w:pStyle w:val="Text"/>
              <w:spacing w:after="0"/>
              <w:jc w:val="center"/>
              <w:rPr>
                <w:sz w:val="24"/>
              </w:rPr>
            </w:pPr>
            <w:r>
              <w:rPr>
                <w:sz w:val="24"/>
              </w:rPr>
              <w:t>4</w:t>
            </w:r>
            <w:r w:rsidRPr="00E66A89">
              <w:rPr>
                <w:sz w:val="24"/>
              </w:rPr>
              <w:t>. Records managed by a common retention and disposition policy</w:t>
            </w:r>
          </w:p>
          <w:p w14:paraId="321F5CA6" w14:textId="77777777" w:rsidR="00214514" w:rsidRPr="00E66A89" w:rsidRDefault="00214514" w:rsidP="00CD2C90">
            <w:pPr>
              <w:pStyle w:val="Text"/>
              <w:spacing w:after="0"/>
            </w:pPr>
          </w:p>
        </w:tc>
      </w:tr>
      <w:tr w:rsidR="008B477B" w14:paraId="13842CF5"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33C66F74" w14:textId="77777777" w:rsidR="00214514" w:rsidRDefault="00214514" w:rsidP="00A26CD9">
            <w:pPr>
              <w:pStyle w:val="Text"/>
              <w:numPr>
                <w:ilvl w:val="0"/>
                <w:numId w:val="22"/>
              </w:numPr>
              <w:spacing w:after="0"/>
              <w:jc w:val="center"/>
            </w:pPr>
          </w:p>
        </w:tc>
        <w:tc>
          <w:tcPr>
            <w:tcW w:w="3685" w:type="dxa"/>
            <w:vAlign w:val="center"/>
          </w:tcPr>
          <w:p w14:paraId="5EAE95B9" w14:textId="77777777" w:rsidR="00214514" w:rsidRPr="00A26CD9"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6AB2B937"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HR information (held by line managers)</w:t>
            </w:r>
          </w:p>
          <w:p w14:paraId="6578591B" w14:textId="77777777" w:rsidR="00214514" w:rsidRPr="00A26CD9"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54FF50C0"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61C9BDD3" w14:textId="77777777" w:rsidR="004C562C" w:rsidRPr="008B477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Destroy in line with the </w:t>
            </w:r>
            <w:r w:rsidRPr="00CD2C90">
              <w:rPr>
                <w:i/>
                <w:lang w:eastAsia="en-US"/>
              </w:rPr>
              <w:t>What to keep</w:t>
            </w:r>
            <w:r w:rsidR="00267A1B">
              <w:rPr>
                <w:rStyle w:val="FootnoteReference"/>
                <w:lang w:eastAsia="en-US"/>
              </w:rPr>
              <w:footnoteReference w:id="4"/>
            </w:r>
            <w:r>
              <w:rPr>
                <w:i/>
                <w:lang w:eastAsia="en-US"/>
              </w:rPr>
              <w:t xml:space="preserve"> </w:t>
            </w:r>
            <w:r w:rsidR="00CD2C90">
              <w:rPr>
                <w:lang w:eastAsia="en-US"/>
              </w:rPr>
              <w:t>guidance</w:t>
            </w:r>
          </w:p>
        </w:tc>
      </w:tr>
      <w:tr w:rsidR="008B477B" w14:paraId="71B7BE9F"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4CCD8542" w14:textId="77777777" w:rsidR="00214514" w:rsidRDefault="00214514" w:rsidP="00A26CD9">
            <w:pPr>
              <w:pStyle w:val="Text"/>
              <w:numPr>
                <w:ilvl w:val="0"/>
                <w:numId w:val="22"/>
              </w:numPr>
              <w:spacing w:after="0"/>
              <w:jc w:val="center"/>
            </w:pPr>
          </w:p>
        </w:tc>
        <w:tc>
          <w:tcPr>
            <w:tcW w:w="3685" w:type="dxa"/>
            <w:vAlign w:val="center"/>
          </w:tcPr>
          <w:p w14:paraId="037E07ED" w14:textId="77777777" w:rsidR="00214514" w:rsidRPr="002406E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1502C580"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Finance and risk management information</w:t>
            </w:r>
          </w:p>
          <w:p w14:paraId="265F6E08" w14:textId="77777777" w:rsidR="00214514" w:rsidRPr="002406E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c>
          <w:tcPr>
            <w:tcW w:w="1701" w:type="dxa"/>
            <w:vAlign w:val="center"/>
          </w:tcPr>
          <w:p w14:paraId="360CFB07"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2B071861"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4A3F1D1A"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8F0747">
              <w:rPr>
                <w:b/>
              </w:rPr>
              <w:t>7</w:t>
            </w:r>
            <w:r w:rsidRPr="00905C57">
              <w:rPr>
                <w:b/>
              </w:rPr>
              <w:t xml:space="preserve"> </w:t>
            </w:r>
            <w:r w:rsidRPr="008B477B">
              <w:rPr>
                <w:b/>
              </w:rPr>
              <w:t>years</w:t>
            </w:r>
            <w:r>
              <w:t xml:space="preserve"> and then destroy.</w:t>
            </w:r>
          </w:p>
          <w:p w14:paraId="724C3C71"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r>
      <w:tr w:rsidR="008B477B" w14:paraId="6473412F"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3118D877" w14:textId="77777777" w:rsidR="00214514" w:rsidRDefault="00214514" w:rsidP="00A26CD9">
            <w:pPr>
              <w:pStyle w:val="Text"/>
              <w:numPr>
                <w:ilvl w:val="0"/>
                <w:numId w:val="22"/>
              </w:numPr>
              <w:spacing w:after="0"/>
              <w:jc w:val="center"/>
            </w:pPr>
          </w:p>
        </w:tc>
        <w:tc>
          <w:tcPr>
            <w:tcW w:w="3685" w:type="dxa"/>
            <w:vAlign w:val="center"/>
          </w:tcPr>
          <w:p w14:paraId="21352D11" w14:textId="77777777" w:rsidR="00214514" w:rsidRPr="002406E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100EA4DE" w14:textId="77777777" w:rsidR="00214514" w:rsidRDefault="008B477B" w:rsidP="00CD2C90">
            <w:pPr>
              <w:pStyle w:val="Text"/>
              <w:spacing w:after="0"/>
              <w:cnfStyle w:val="000000000000" w:firstRow="0" w:lastRow="0" w:firstColumn="0" w:lastColumn="0" w:oddVBand="0" w:evenVBand="0" w:oddHBand="0" w:evenHBand="0" w:firstRowFirstColumn="0" w:firstRowLastColumn="0" w:lastRowFirstColumn="0" w:lastRowLastColumn="0"/>
            </w:pPr>
            <w:r>
              <w:t>Business Continuity P</w:t>
            </w:r>
            <w:r w:rsidR="00214514">
              <w:t>lans</w:t>
            </w:r>
          </w:p>
          <w:p w14:paraId="1CD79B43" w14:textId="77777777" w:rsidR="00214514" w:rsidRPr="002406E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c>
          <w:tcPr>
            <w:tcW w:w="1701" w:type="dxa"/>
            <w:vAlign w:val="center"/>
          </w:tcPr>
          <w:p w14:paraId="166C1F2D"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4CF4BFEA"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 xml:space="preserve">Keep previous versions for </w:t>
            </w:r>
            <w:r w:rsidR="00624FDD">
              <w:rPr>
                <w:b/>
              </w:rPr>
              <w:t>3</w:t>
            </w:r>
            <w:r w:rsidRPr="00905C57">
              <w:rPr>
                <w:b/>
              </w:rPr>
              <w:t xml:space="preserve"> years</w:t>
            </w:r>
            <w:r>
              <w:t xml:space="preserve"> and then destroy.</w:t>
            </w:r>
          </w:p>
        </w:tc>
      </w:tr>
      <w:tr w:rsidR="008B477B" w:rsidRPr="00905C57" w14:paraId="265B1E11"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3498855C" w14:textId="77777777" w:rsidR="00214514" w:rsidRDefault="00214514" w:rsidP="00A26CD9">
            <w:pPr>
              <w:pStyle w:val="Text"/>
              <w:numPr>
                <w:ilvl w:val="0"/>
                <w:numId w:val="22"/>
              </w:numPr>
              <w:spacing w:after="0"/>
              <w:jc w:val="center"/>
            </w:pPr>
          </w:p>
        </w:tc>
        <w:tc>
          <w:tcPr>
            <w:tcW w:w="3685" w:type="dxa"/>
            <w:vAlign w:val="center"/>
          </w:tcPr>
          <w:p w14:paraId="5A40F9BB"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p w14:paraId="09B95693"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r>
              <w:t>Paper copies of records that have been digitised</w:t>
            </w:r>
          </w:p>
          <w:p w14:paraId="263AFE80"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404237B6" w14:textId="77777777" w:rsidR="00214514"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47601855" w14:textId="77777777" w:rsidR="00214514" w:rsidRPr="002406EB" w:rsidRDefault="00214514"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4C925F34" w14:textId="77777777" w:rsidR="00214514" w:rsidRPr="002406EB" w:rsidRDefault="00F7683E"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r w:rsidRPr="00236CF5">
              <w:t>Destroy once scan has been verified</w:t>
            </w:r>
          </w:p>
        </w:tc>
      </w:tr>
      <w:tr w:rsidR="00CD2C90" w:rsidRPr="00905C57" w14:paraId="219351DF" w14:textId="77777777" w:rsidTr="00CD2C90">
        <w:tc>
          <w:tcPr>
            <w:cnfStyle w:val="001000000000" w:firstRow="0" w:lastRow="0" w:firstColumn="1" w:lastColumn="0" w:oddVBand="0" w:evenVBand="0" w:oddHBand="0" w:evenHBand="0" w:firstRowFirstColumn="0" w:firstRowLastColumn="0" w:lastRowFirstColumn="0" w:lastRowLastColumn="0"/>
            <w:tcW w:w="710" w:type="dxa"/>
            <w:vAlign w:val="center"/>
          </w:tcPr>
          <w:p w14:paraId="109D334B" w14:textId="77777777" w:rsidR="00CD2C90" w:rsidRDefault="00CD2C90" w:rsidP="00A26CD9">
            <w:pPr>
              <w:pStyle w:val="Text"/>
              <w:numPr>
                <w:ilvl w:val="0"/>
                <w:numId w:val="22"/>
              </w:numPr>
              <w:spacing w:after="0"/>
              <w:jc w:val="center"/>
            </w:pPr>
          </w:p>
        </w:tc>
        <w:tc>
          <w:tcPr>
            <w:tcW w:w="3685" w:type="dxa"/>
            <w:vAlign w:val="center"/>
          </w:tcPr>
          <w:p w14:paraId="79C571CD" w14:textId="77777777" w:rsidR="00CD2C90" w:rsidRPr="002406EB" w:rsidRDefault="00CD2C90"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26ABB019" w14:textId="77777777" w:rsidR="00CD2C90" w:rsidRDefault="00CD2C90" w:rsidP="00CD2C90">
            <w:pPr>
              <w:pStyle w:val="Text"/>
              <w:spacing w:after="0"/>
              <w:cnfStyle w:val="000000000000" w:firstRow="0" w:lastRow="0" w:firstColumn="0" w:lastColumn="0" w:oddVBand="0" w:evenVBand="0" w:oddHBand="0" w:evenHBand="0" w:firstRowFirstColumn="0" w:firstRowLastColumn="0" w:lastRowFirstColumn="0" w:lastRowLastColumn="0"/>
            </w:pPr>
            <w:r>
              <w:t>All other types of record not specified above, including copies of records which are owned by other business areas</w:t>
            </w:r>
            <w:r>
              <w:rPr>
                <w:rStyle w:val="FootnoteReference"/>
              </w:rPr>
              <w:footnoteReference w:id="5"/>
            </w:r>
          </w:p>
          <w:p w14:paraId="238F74D8" w14:textId="77777777" w:rsidR="00CD2C90" w:rsidRDefault="00CD2C90"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51823A11" w14:textId="77777777" w:rsidR="00CD2C90" w:rsidRDefault="00CD2C90" w:rsidP="00CD2C90">
            <w:pPr>
              <w:pStyle w:val="Text"/>
              <w:spacing w:after="0"/>
              <w:cnfStyle w:val="000000000000" w:firstRow="0" w:lastRow="0" w:firstColumn="0" w:lastColumn="0" w:oddVBand="0" w:evenVBand="0" w:oddHBand="0" w:evenHBand="0" w:firstRowFirstColumn="0" w:firstRowLastColumn="0" w:lastRowFirstColumn="0" w:lastRowLastColumn="0"/>
            </w:pPr>
          </w:p>
        </w:tc>
        <w:tc>
          <w:tcPr>
            <w:tcW w:w="3969" w:type="dxa"/>
            <w:vAlign w:val="center"/>
          </w:tcPr>
          <w:p w14:paraId="0BFA6F7A" w14:textId="77777777" w:rsidR="00CD2C90" w:rsidRPr="002406EB" w:rsidRDefault="00CD2C90" w:rsidP="00CD2C90">
            <w:pPr>
              <w:pStyle w:val="Text"/>
              <w:spacing w:after="0"/>
              <w:cnfStyle w:val="000000000000" w:firstRow="0" w:lastRow="0" w:firstColumn="0" w:lastColumn="0" w:oddVBand="0" w:evenVBand="0" w:oddHBand="0" w:evenHBand="0" w:firstRowFirstColumn="0" w:firstRowLastColumn="0" w:lastRowFirstColumn="0" w:lastRowLastColumn="0"/>
              <w:rPr>
                <w:sz w:val="16"/>
              </w:rPr>
            </w:pPr>
            <w:r>
              <w:t xml:space="preserve">Keep for </w:t>
            </w:r>
            <w:r w:rsidRPr="00905C57">
              <w:rPr>
                <w:b/>
              </w:rPr>
              <w:t>three years</w:t>
            </w:r>
            <w:r>
              <w:t xml:space="preserve"> and then destroy.</w:t>
            </w:r>
          </w:p>
        </w:tc>
      </w:tr>
    </w:tbl>
    <w:p w14:paraId="2BB8947B" w14:textId="77777777" w:rsidR="00E66A89" w:rsidRDefault="00E66A89" w:rsidP="00526855">
      <w:pPr>
        <w:pStyle w:val="BodyText"/>
      </w:pPr>
    </w:p>
    <w:p w14:paraId="6324FC90" w14:textId="77777777" w:rsidR="00D8657A" w:rsidRDefault="00D8657A" w:rsidP="00D8657A">
      <w:pPr>
        <w:pStyle w:val="FootnoteText"/>
        <w:rPr>
          <w:b/>
          <w:sz w:val="22"/>
          <w:szCs w:val="22"/>
        </w:rPr>
      </w:pPr>
      <w:bookmarkStart w:id="8" w:name="_Hlk34658704"/>
      <w:r w:rsidRPr="00D8657A">
        <w:rPr>
          <w:b/>
          <w:sz w:val="22"/>
          <w:szCs w:val="22"/>
        </w:rPr>
        <w:t>If the business identifies record types which need a new retention period, they should</w:t>
      </w:r>
    </w:p>
    <w:p w14:paraId="1CF9FDE7" w14:textId="77777777" w:rsidR="00D8657A" w:rsidRPr="00D8657A" w:rsidRDefault="00D8657A" w:rsidP="00D8657A">
      <w:pPr>
        <w:pStyle w:val="FootnoteText"/>
        <w:rPr>
          <w:b/>
          <w:sz w:val="22"/>
          <w:szCs w:val="22"/>
        </w:rPr>
      </w:pPr>
      <w:r>
        <w:rPr>
          <w:b/>
          <w:sz w:val="22"/>
          <w:szCs w:val="22"/>
        </w:rPr>
        <w:t>contact the MoJ Departmental Records Officer.</w:t>
      </w:r>
    </w:p>
    <w:bookmarkEnd w:id="8"/>
    <w:p w14:paraId="3D8E3560" w14:textId="77777777" w:rsidR="00D8657A" w:rsidRDefault="00D8657A" w:rsidP="00526855">
      <w:pPr>
        <w:pStyle w:val="BodyText"/>
      </w:pPr>
    </w:p>
    <w:p w14:paraId="13A26F08" w14:textId="77777777" w:rsidR="003272AF" w:rsidRPr="00C41C39" w:rsidRDefault="003272AF" w:rsidP="003272AF">
      <w:pPr>
        <w:spacing w:after="0" w:line="240" w:lineRule="auto"/>
        <w:rPr>
          <w:rFonts w:cs="Arial"/>
          <w:sz w:val="22"/>
        </w:rPr>
      </w:pPr>
      <w:r w:rsidRPr="00C41C39">
        <w:rPr>
          <w:rFonts w:cs="Arial"/>
          <w:sz w:val="22"/>
        </w:rPr>
        <w:t>Phi</w:t>
      </w:r>
      <w:r>
        <w:rPr>
          <w:rFonts w:cs="Arial"/>
          <w:sz w:val="22"/>
        </w:rPr>
        <w:t>l</w:t>
      </w:r>
      <w:r w:rsidRPr="00C41C39">
        <w:rPr>
          <w:rFonts w:cs="Arial"/>
          <w:sz w:val="22"/>
        </w:rPr>
        <w:t xml:space="preserve">lip </w:t>
      </w:r>
      <w:r>
        <w:rPr>
          <w:rFonts w:cs="Arial"/>
          <w:sz w:val="22"/>
        </w:rPr>
        <w:t>Crowcroft</w:t>
      </w:r>
    </w:p>
    <w:p w14:paraId="598A4080" w14:textId="77777777" w:rsidR="003272AF" w:rsidRPr="00C41C39" w:rsidRDefault="003272AF" w:rsidP="003272AF">
      <w:pPr>
        <w:pStyle w:val="NormalWeb"/>
        <w:spacing w:before="0" w:beforeAutospacing="0" w:after="0" w:afterAutospacing="0"/>
        <w:rPr>
          <w:rFonts w:ascii="Arial" w:hAnsi="Arial" w:cs="Arial"/>
          <w:sz w:val="22"/>
          <w:szCs w:val="22"/>
        </w:rPr>
      </w:pPr>
      <w:r>
        <w:rPr>
          <w:rFonts w:ascii="Arial" w:hAnsi="Arial" w:cs="Arial"/>
          <w:color w:val="000000"/>
          <w:sz w:val="22"/>
          <w:szCs w:val="22"/>
        </w:rPr>
        <w:t xml:space="preserve">Deputy </w:t>
      </w:r>
      <w:r w:rsidRPr="00C41C39">
        <w:rPr>
          <w:rFonts w:ascii="Arial" w:hAnsi="Arial" w:cs="Arial"/>
          <w:color w:val="000000"/>
          <w:sz w:val="22"/>
          <w:szCs w:val="22"/>
        </w:rPr>
        <w:t>Departmental Records Officer</w:t>
      </w:r>
      <w:r w:rsidRPr="00C41C39">
        <w:rPr>
          <w:rFonts w:ascii="Arial" w:hAnsi="Arial" w:cs="Arial"/>
          <w:sz w:val="22"/>
          <w:szCs w:val="22"/>
        </w:rPr>
        <w:t xml:space="preserve"> </w:t>
      </w:r>
      <w:r w:rsidRPr="00C41C39">
        <w:rPr>
          <w:rFonts w:ascii="Arial" w:hAnsi="Arial" w:cs="Arial"/>
          <w:sz w:val="22"/>
          <w:szCs w:val="22"/>
        </w:rPr>
        <w:br/>
      </w:r>
      <w:r w:rsidRPr="00C41C39">
        <w:rPr>
          <w:rFonts w:ascii="Arial" w:hAnsi="Arial" w:cs="Arial"/>
          <w:color w:val="000000"/>
          <w:sz w:val="22"/>
          <w:szCs w:val="22"/>
        </w:rPr>
        <w:t>Ministry of Justice</w:t>
      </w:r>
      <w:r w:rsidRPr="00C41C39">
        <w:rPr>
          <w:rFonts w:ascii="Arial" w:hAnsi="Arial" w:cs="Arial"/>
          <w:sz w:val="22"/>
          <w:szCs w:val="22"/>
        </w:rPr>
        <w:t xml:space="preserve"> </w:t>
      </w:r>
      <w:r w:rsidRPr="00C41C39">
        <w:rPr>
          <w:rFonts w:ascii="Arial" w:hAnsi="Arial" w:cs="Arial"/>
          <w:sz w:val="22"/>
          <w:szCs w:val="22"/>
        </w:rPr>
        <w:br/>
      </w:r>
      <w:r w:rsidRPr="00C41C39">
        <w:rPr>
          <w:rFonts w:ascii="Arial" w:hAnsi="Arial" w:cs="Arial"/>
          <w:color w:val="000000"/>
          <w:sz w:val="22"/>
          <w:szCs w:val="22"/>
        </w:rPr>
        <w:t>102 Petty France</w:t>
      </w:r>
      <w:r w:rsidRPr="00C41C39">
        <w:rPr>
          <w:rFonts w:ascii="Arial" w:hAnsi="Arial" w:cs="Arial"/>
          <w:sz w:val="22"/>
          <w:szCs w:val="22"/>
        </w:rPr>
        <w:t xml:space="preserve"> </w:t>
      </w:r>
      <w:r w:rsidRPr="00C41C39">
        <w:rPr>
          <w:rFonts w:ascii="Arial" w:hAnsi="Arial" w:cs="Arial"/>
          <w:sz w:val="22"/>
          <w:szCs w:val="22"/>
        </w:rPr>
        <w:br/>
      </w:r>
      <w:r w:rsidRPr="00C41C39">
        <w:rPr>
          <w:rFonts w:ascii="Arial" w:hAnsi="Arial" w:cs="Arial"/>
          <w:color w:val="000000"/>
          <w:sz w:val="22"/>
          <w:szCs w:val="22"/>
        </w:rPr>
        <w:t>London SW1H 9AJ</w:t>
      </w:r>
      <w:r w:rsidRPr="00C41C39">
        <w:rPr>
          <w:rFonts w:ascii="Arial" w:hAnsi="Arial" w:cs="Arial"/>
          <w:sz w:val="22"/>
          <w:szCs w:val="22"/>
        </w:rPr>
        <w:t xml:space="preserve"> </w:t>
      </w:r>
    </w:p>
    <w:p w14:paraId="27D949FD" w14:textId="77777777" w:rsidR="003272AF" w:rsidRDefault="003272AF" w:rsidP="003272AF">
      <w:pPr>
        <w:pStyle w:val="NormalWeb"/>
        <w:spacing w:before="0" w:beforeAutospacing="0" w:after="0" w:afterAutospacing="0"/>
        <w:rPr>
          <w:rFonts w:ascii="Arial" w:hAnsi="Arial" w:cs="Arial"/>
          <w:b/>
          <w:sz w:val="22"/>
          <w:szCs w:val="22"/>
        </w:rPr>
      </w:pPr>
    </w:p>
    <w:p w14:paraId="55F8406E" w14:textId="7AD0118F" w:rsidR="003272AF" w:rsidRPr="00C41C39" w:rsidRDefault="00014C99" w:rsidP="003272AF">
      <w:pPr>
        <w:pStyle w:val="NormalWeb"/>
        <w:spacing w:before="0" w:beforeAutospacing="0" w:after="0" w:afterAutospacing="0"/>
        <w:rPr>
          <w:rFonts w:ascii="Arial" w:hAnsi="Arial" w:cs="Arial"/>
          <w:b/>
          <w:sz w:val="22"/>
          <w:szCs w:val="22"/>
        </w:rPr>
      </w:pPr>
      <w:r>
        <w:rPr>
          <w:rFonts w:ascii="Arial" w:hAnsi="Arial" w:cs="Arial"/>
          <w:b/>
          <w:sz w:val="22"/>
          <w:szCs w:val="22"/>
        </w:rPr>
        <w:t>Signed: 19</w:t>
      </w:r>
      <w:r w:rsidR="003272AF" w:rsidRPr="00C41C39">
        <w:rPr>
          <w:rFonts w:ascii="Arial" w:hAnsi="Arial" w:cs="Arial"/>
          <w:b/>
          <w:sz w:val="22"/>
          <w:szCs w:val="22"/>
        </w:rPr>
        <w:t xml:space="preserve"> </w:t>
      </w:r>
      <w:r>
        <w:rPr>
          <w:rFonts w:ascii="Arial" w:hAnsi="Arial" w:cs="Arial"/>
          <w:b/>
          <w:sz w:val="22"/>
          <w:szCs w:val="22"/>
        </w:rPr>
        <w:t>August</w:t>
      </w:r>
      <w:r w:rsidR="003272AF" w:rsidRPr="00C41C39">
        <w:rPr>
          <w:rFonts w:ascii="Arial" w:hAnsi="Arial" w:cs="Arial"/>
          <w:b/>
          <w:sz w:val="22"/>
          <w:szCs w:val="22"/>
        </w:rPr>
        <w:t xml:space="preserve"> 20</w:t>
      </w:r>
      <w:r>
        <w:rPr>
          <w:rFonts w:ascii="Arial" w:hAnsi="Arial" w:cs="Arial"/>
          <w:b/>
          <w:sz w:val="22"/>
          <w:szCs w:val="22"/>
        </w:rPr>
        <w:t>20</w:t>
      </w:r>
      <w:bookmarkStart w:id="9" w:name="_GoBack"/>
      <w:bookmarkEnd w:id="9"/>
    </w:p>
    <w:p w14:paraId="2FCCADC7" w14:textId="77777777" w:rsidR="003272AF" w:rsidRPr="00C41C39" w:rsidRDefault="003272AF" w:rsidP="003272AF">
      <w:pPr>
        <w:spacing w:after="0" w:line="240" w:lineRule="auto"/>
        <w:rPr>
          <w:rFonts w:cs="Arial"/>
          <w:sz w:val="22"/>
          <w:lang w:eastAsia="en-GB"/>
        </w:rPr>
      </w:pPr>
    </w:p>
    <w:p w14:paraId="5A3381C2" w14:textId="77777777" w:rsidR="003272AF" w:rsidRPr="00C41C39" w:rsidRDefault="003272AF" w:rsidP="003272AF">
      <w:pPr>
        <w:spacing w:after="0" w:line="240" w:lineRule="auto"/>
        <w:rPr>
          <w:rFonts w:cs="Arial"/>
          <w:sz w:val="22"/>
        </w:rPr>
      </w:pPr>
      <w:r w:rsidRPr="00C41C39">
        <w:rPr>
          <w:rFonts w:cs="Arial"/>
          <w:sz w:val="22"/>
        </w:rPr>
        <w:t xml:space="preserve">Date of </w:t>
      </w:r>
      <w:r>
        <w:rPr>
          <w:rFonts w:cs="Arial"/>
          <w:sz w:val="22"/>
        </w:rPr>
        <w:t>o</w:t>
      </w:r>
      <w:r w:rsidRPr="00C41C39">
        <w:rPr>
          <w:rFonts w:cs="Arial"/>
          <w:sz w:val="22"/>
        </w:rPr>
        <w:t xml:space="preserve">riginal </w:t>
      </w:r>
      <w:r>
        <w:rPr>
          <w:rFonts w:cs="Arial"/>
          <w:sz w:val="22"/>
        </w:rPr>
        <w:t>RRDS:</w:t>
      </w:r>
      <w:r>
        <w:rPr>
          <w:rFonts w:cs="Arial"/>
          <w:sz w:val="22"/>
        </w:rPr>
        <w:tab/>
        <w:t>July 1999</w:t>
      </w:r>
    </w:p>
    <w:p w14:paraId="0505E0D9" w14:textId="77777777" w:rsidR="003272AF" w:rsidRPr="00C41C39" w:rsidRDefault="003272AF" w:rsidP="003272AF">
      <w:pPr>
        <w:spacing w:after="0" w:line="240" w:lineRule="auto"/>
        <w:rPr>
          <w:rFonts w:cs="Arial"/>
          <w:sz w:val="22"/>
        </w:rPr>
      </w:pPr>
      <w:r>
        <w:rPr>
          <w:rFonts w:cs="Arial"/>
          <w:sz w:val="22"/>
        </w:rPr>
        <w:t>Previous updates</w:t>
      </w:r>
      <w:r w:rsidRPr="00C41C39">
        <w:rPr>
          <w:rFonts w:cs="Arial"/>
          <w:sz w:val="22"/>
        </w:rPr>
        <w:t>:</w:t>
      </w:r>
      <w:r>
        <w:rPr>
          <w:rFonts w:cs="Arial"/>
          <w:sz w:val="22"/>
        </w:rPr>
        <w:t xml:space="preserve"> </w:t>
      </w:r>
    </w:p>
    <w:p w14:paraId="4D8F917D" w14:textId="77777777" w:rsidR="00E66A89" w:rsidRPr="003272AF" w:rsidRDefault="00011D98" w:rsidP="003272AF">
      <w:pPr>
        <w:pStyle w:val="BodyText"/>
        <w:spacing w:after="0" w:line="240" w:lineRule="auto"/>
        <w:ind w:left="720"/>
        <w:rPr>
          <w:sz w:val="22"/>
        </w:rPr>
      </w:pPr>
      <w:r w:rsidRPr="003272AF">
        <w:rPr>
          <w:sz w:val="22"/>
        </w:rPr>
        <w:t>Crown Court</w:t>
      </w:r>
      <w:r w:rsidR="002C79DD" w:rsidRPr="003272AF">
        <w:rPr>
          <w:sz w:val="22"/>
        </w:rPr>
        <w:t xml:space="preserve"> RRDS</w:t>
      </w:r>
      <w:r w:rsidRPr="003272AF">
        <w:rPr>
          <w:sz w:val="22"/>
        </w:rPr>
        <w:t>:</w:t>
      </w:r>
      <w:r w:rsidRPr="003272AF">
        <w:rPr>
          <w:sz w:val="22"/>
        </w:rPr>
        <w:tab/>
      </w:r>
      <w:r w:rsidRPr="003272AF">
        <w:rPr>
          <w:sz w:val="22"/>
        </w:rPr>
        <w:tab/>
      </w:r>
      <w:r w:rsidR="002C79DD" w:rsidRPr="003272AF">
        <w:rPr>
          <w:sz w:val="22"/>
        </w:rPr>
        <w:tab/>
      </w:r>
      <w:r w:rsidR="002C79DD" w:rsidRPr="003272AF">
        <w:rPr>
          <w:sz w:val="22"/>
        </w:rPr>
        <w:tab/>
      </w:r>
      <w:r w:rsidRPr="003272AF">
        <w:rPr>
          <w:sz w:val="22"/>
        </w:rPr>
        <w:t>July 2015</w:t>
      </w:r>
    </w:p>
    <w:p w14:paraId="17CD4C24" w14:textId="77777777" w:rsidR="00515316" w:rsidRPr="003272AF" w:rsidRDefault="002C79DD" w:rsidP="003272AF">
      <w:pPr>
        <w:pStyle w:val="BodyText"/>
        <w:spacing w:after="0" w:line="240" w:lineRule="auto"/>
        <w:ind w:left="720"/>
        <w:rPr>
          <w:sz w:val="22"/>
        </w:rPr>
      </w:pPr>
      <w:r w:rsidRPr="003272AF">
        <w:rPr>
          <w:sz w:val="22"/>
        </w:rPr>
        <w:t>Jury Central Summoning Bureau RRDS:</w:t>
      </w:r>
      <w:r w:rsidRPr="003272AF">
        <w:rPr>
          <w:sz w:val="22"/>
        </w:rPr>
        <w:tab/>
        <w:t>July 2015</w:t>
      </w:r>
    </w:p>
    <w:sectPr w:rsidR="00515316" w:rsidRPr="003272AF" w:rsidSect="00F507D8">
      <w:footerReference w:type="default" r:id="rId15"/>
      <w:headerReference w:type="first" r:id="rId16"/>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362D" w14:textId="77777777" w:rsidR="00C76666" w:rsidRDefault="00C76666" w:rsidP="00B91315">
      <w:pPr>
        <w:spacing w:after="0" w:line="240" w:lineRule="auto"/>
      </w:pPr>
      <w:r>
        <w:separator/>
      </w:r>
    </w:p>
  </w:endnote>
  <w:endnote w:type="continuationSeparator" w:id="0">
    <w:p w14:paraId="6664D5DF" w14:textId="77777777" w:rsidR="00C76666" w:rsidRDefault="00C76666" w:rsidP="00B91315">
      <w:pPr>
        <w:spacing w:after="0" w:line="240" w:lineRule="auto"/>
      </w:pPr>
      <w:r>
        <w:continuationSeparator/>
      </w:r>
    </w:p>
  </w:endnote>
  <w:endnote w:type="continuationNotice" w:id="1">
    <w:p w14:paraId="1F31F7D0" w14:textId="77777777" w:rsidR="00C76666" w:rsidRDefault="00C76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BD9E" w14:textId="5F7D105C" w:rsidR="00A64F81" w:rsidRDefault="00A64F81">
    <w:pPr>
      <w:pStyle w:val="Footer"/>
    </w:pPr>
    <w:r>
      <w:fldChar w:fldCharType="begin"/>
    </w:r>
    <w:r>
      <w:instrText xml:space="preserve"> PAGE   \* MERGEFORMAT </w:instrText>
    </w:r>
    <w:r>
      <w:fldChar w:fldCharType="separate"/>
    </w:r>
    <w:r w:rsidR="00014C9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31A7" w14:textId="77777777" w:rsidR="00C76666" w:rsidRDefault="00C76666" w:rsidP="00B91315">
      <w:pPr>
        <w:spacing w:after="0" w:line="240" w:lineRule="auto"/>
      </w:pPr>
      <w:r>
        <w:separator/>
      </w:r>
    </w:p>
  </w:footnote>
  <w:footnote w:type="continuationSeparator" w:id="0">
    <w:p w14:paraId="26A874D5" w14:textId="77777777" w:rsidR="00C76666" w:rsidRDefault="00C76666" w:rsidP="00B91315">
      <w:pPr>
        <w:spacing w:after="0" w:line="240" w:lineRule="auto"/>
      </w:pPr>
      <w:r>
        <w:continuationSeparator/>
      </w:r>
    </w:p>
  </w:footnote>
  <w:footnote w:type="continuationNotice" w:id="1">
    <w:p w14:paraId="5FC0A614" w14:textId="77777777" w:rsidR="00C76666" w:rsidRDefault="00C76666">
      <w:pPr>
        <w:spacing w:after="0" w:line="240" w:lineRule="auto"/>
      </w:pPr>
    </w:p>
  </w:footnote>
  <w:footnote w:id="2">
    <w:p w14:paraId="03E5F002" w14:textId="77777777" w:rsidR="00A64F81" w:rsidRPr="002D6D51" w:rsidRDefault="00A64F81" w:rsidP="008E59AE">
      <w:pPr>
        <w:pStyle w:val="FootnoteText"/>
        <w:spacing w:after="0"/>
        <w:rPr>
          <w:sz w:val="18"/>
          <w:szCs w:val="18"/>
        </w:rPr>
      </w:pPr>
      <w:r w:rsidRPr="002D6D51">
        <w:rPr>
          <w:rStyle w:val="FootnoteReference"/>
          <w:sz w:val="18"/>
          <w:szCs w:val="18"/>
        </w:rPr>
        <w:footnoteRef/>
      </w:r>
      <w:r w:rsidRPr="002D6D51">
        <w:rPr>
          <w:sz w:val="18"/>
          <w:szCs w:val="18"/>
        </w:rPr>
        <w:t xml:space="preserve"> To search TNA’s catalogue (Discovery), go to: </w:t>
      </w:r>
      <w:hyperlink r:id="rId1" w:history="1">
        <w:r w:rsidRPr="002D6D51">
          <w:rPr>
            <w:rStyle w:val="Hyperlink"/>
            <w:color w:val="0000CC"/>
            <w:sz w:val="18"/>
            <w:szCs w:val="18"/>
          </w:rPr>
          <w:t>http://discovery.nationalarchives.gov.uk/</w:t>
        </w:r>
      </w:hyperlink>
      <w:r w:rsidRPr="002D6D51">
        <w:rPr>
          <w:sz w:val="18"/>
          <w:szCs w:val="18"/>
        </w:rPr>
        <w:t xml:space="preserve"> and put quotation marks - “” around the classification number. To browse Discovery, go to:  </w:t>
      </w:r>
      <w:hyperlink r:id="rId2" w:history="1">
        <w:r w:rsidRPr="002D6D51">
          <w:rPr>
            <w:rStyle w:val="Hyperlink"/>
            <w:color w:val="0000CC"/>
            <w:sz w:val="18"/>
            <w:szCs w:val="18"/>
          </w:rPr>
          <w:t>http://discovery.nationalarchives.gov.uk/browse</w:t>
        </w:r>
      </w:hyperlink>
      <w:r w:rsidRPr="002D6D51">
        <w:rPr>
          <w:sz w:val="18"/>
          <w:szCs w:val="18"/>
        </w:rPr>
        <w:t xml:space="preserve"> and click on the first letter of the classification scheme.</w:t>
      </w:r>
    </w:p>
  </w:footnote>
  <w:footnote w:id="3">
    <w:p w14:paraId="27353F1D" w14:textId="77777777" w:rsidR="00A64F81" w:rsidRPr="001267EE" w:rsidRDefault="00A64F81" w:rsidP="00712B8F">
      <w:pPr>
        <w:pStyle w:val="FootnoteText"/>
        <w:spacing w:after="0"/>
        <w:rPr>
          <w:rFonts w:ascii="Arial" w:eastAsia="Times New Roman" w:hAnsi="Arial"/>
          <w:sz w:val="18"/>
          <w:szCs w:val="18"/>
        </w:rPr>
      </w:pPr>
      <w:r w:rsidRPr="001267EE">
        <w:rPr>
          <w:rStyle w:val="FootnoteReference"/>
          <w:sz w:val="18"/>
          <w:szCs w:val="18"/>
        </w:rPr>
        <w:footnoteRef/>
      </w:r>
      <w:r w:rsidRPr="001267EE">
        <w:rPr>
          <w:sz w:val="18"/>
          <w:szCs w:val="18"/>
        </w:rPr>
        <w:t xml:space="preserve"> Each Crown Court’s indictments and each court’s </w:t>
      </w:r>
      <w:r>
        <w:rPr>
          <w:sz w:val="18"/>
          <w:szCs w:val="18"/>
        </w:rPr>
        <w:t>files</w:t>
      </w:r>
      <w:r w:rsidRPr="001267EE">
        <w:rPr>
          <w:sz w:val="18"/>
          <w:szCs w:val="18"/>
        </w:rPr>
        <w:t xml:space="preserve"> are given separate numbers within the ‘J’ classification, e.g. case files for Lincoln Crown Court are classified as “J 234” while indictments from Lincoln Crown Court are classified as “J 235”. The full list is available for browsing at: </w:t>
      </w:r>
      <w:hyperlink r:id="rId3" w:history="1">
        <w:r w:rsidRPr="001267EE">
          <w:rPr>
            <w:rStyle w:val="Hyperlink"/>
            <w:color w:val="0000CC"/>
            <w:sz w:val="18"/>
            <w:szCs w:val="18"/>
          </w:rPr>
          <w:t>http://discovery.nationalarchives.gov.uk/browse/r/h/C681</w:t>
        </w:r>
      </w:hyperlink>
    </w:p>
  </w:footnote>
  <w:footnote w:id="4">
    <w:p w14:paraId="40C312D4" w14:textId="77777777" w:rsidR="00A64F81" w:rsidRPr="002C79DD" w:rsidRDefault="00A64F81" w:rsidP="00267A1B">
      <w:pPr>
        <w:pStyle w:val="FootnoteText"/>
        <w:rPr>
          <w:sz w:val="18"/>
          <w:szCs w:val="18"/>
        </w:rPr>
      </w:pPr>
      <w:r w:rsidRPr="002C79DD">
        <w:rPr>
          <w:rStyle w:val="FootnoteReference"/>
          <w:sz w:val="18"/>
          <w:szCs w:val="18"/>
        </w:rPr>
        <w:footnoteRef/>
      </w:r>
      <w:r w:rsidRPr="002C79DD">
        <w:rPr>
          <w:sz w:val="18"/>
          <w:szCs w:val="18"/>
        </w:rPr>
        <w:t xml:space="preserve"> </w:t>
      </w:r>
      <w:r w:rsidRPr="002C79DD">
        <w:rPr>
          <w:i/>
          <w:sz w:val="18"/>
          <w:szCs w:val="18"/>
        </w:rPr>
        <w:t>What to keep</w:t>
      </w:r>
      <w:r w:rsidRPr="002C79DD">
        <w:rPr>
          <w:sz w:val="18"/>
          <w:szCs w:val="18"/>
        </w:rPr>
        <w:t xml:space="preserve"> is available at: </w:t>
      </w:r>
      <w:hyperlink r:id="rId4" w:history="1">
        <w:r w:rsidRPr="002C79DD">
          <w:rPr>
            <w:rStyle w:val="Hyperlink"/>
            <w:color w:val="0000CC"/>
            <w:sz w:val="18"/>
            <w:szCs w:val="18"/>
          </w:rPr>
          <w:t>https://www.gov.uk/government/publications/record-retention-and-disposition-schedules</w:t>
        </w:r>
      </w:hyperlink>
      <w:r w:rsidRPr="002C79DD">
        <w:rPr>
          <w:sz w:val="18"/>
          <w:szCs w:val="18"/>
        </w:rPr>
        <w:t xml:space="preserve"> </w:t>
      </w:r>
    </w:p>
  </w:footnote>
  <w:footnote w:id="5">
    <w:p w14:paraId="16B619F2" w14:textId="77777777" w:rsidR="00A64F81" w:rsidRPr="002C79DD" w:rsidRDefault="00A64F81" w:rsidP="00E66A89">
      <w:pPr>
        <w:pStyle w:val="FootnoteText"/>
        <w:rPr>
          <w:sz w:val="18"/>
          <w:szCs w:val="18"/>
        </w:rPr>
      </w:pPr>
      <w:r w:rsidRPr="002C79DD">
        <w:rPr>
          <w:rStyle w:val="FootnoteReference"/>
          <w:sz w:val="18"/>
          <w:szCs w:val="18"/>
        </w:rPr>
        <w:footnoteRef/>
      </w:r>
      <w:r w:rsidRPr="002C79DD">
        <w:rPr>
          <w:sz w:val="18"/>
          <w:szCs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D6B7" w14:textId="77777777" w:rsidR="00A64F81" w:rsidRDefault="00A64F81">
    <w:pPr>
      <w:pStyle w:val="Header"/>
    </w:pPr>
    <w:r w:rsidRPr="006D258B">
      <w:rPr>
        <w:noProof/>
      </w:rPr>
      <w:drawing>
        <wp:anchor distT="0" distB="0" distL="114300" distR="114300" simplePos="0" relativeHeight="251658241" behindDoc="1" locked="0" layoutInCell="0" allowOverlap="1" wp14:anchorId="726C19E3" wp14:editId="382A08BC">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9DE419" wp14:editId="274457B8">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50D6A05"/>
    <w:multiLevelType w:val="hybridMultilevel"/>
    <w:tmpl w:val="894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825B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82756"/>
    <w:multiLevelType w:val="hybridMultilevel"/>
    <w:tmpl w:val="0FAC74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2B0D05"/>
    <w:multiLevelType w:val="hybridMultilevel"/>
    <w:tmpl w:val="C54CA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F48B7"/>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F61A5"/>
    <w:multiLevelType w:val="hybridMultilevel"/>
    <w:tmpl w:val="174067F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A7414"/>
    <w:multiLevelType w:val="hybridMultilevel"/>
    <w:tmpl w:val="0F9C2510"/>
    <w:lvl w:ilvl="0" w:tplc="7CA69016">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E26CD5"/>
    <w:multiLevelType w:val="hybridMultilevel"/>
    <w:tmpl w:val="CCF2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6599C"/>
    <w:multiLevelType w:val="hybridMultilevel"/>
    <w:tmpl w:val="4AD2B1D8"/>
    <w:lvl w:ilvl="0" w:tplc="08090001">
      <w:start w:val="1"/>
      <w:numFmt w:val="bullet"/>
      <w:lvlText w:val=""/>
      <w:lvlJc w:val="left"/>
      <w:pPr>
        <w:ind w:left="360" w:hanging="360"/>
      </w:pPr>
      <w:rPr>
        <w:rFonts w:ascii="Symbol" w:hAnsi="Symbol" w:hint="default"/>
      </w:rPr>
    </w:lvl>
    <w:lvl w:ilvl="1" w:tplc="46B28FB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45398"/>
    <w:multiLevelType w:val="hybridMultilevel"/>
    <w:tmpl w:val="8BF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54218"/>
    <w:multiLevelType w:val="hybridMultilevel"/>
    <w:tmpl w:val="6616D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07B6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823CEB"/>
    <w:multiLevelType w:val="hybridMultilevel"/>
    <w:tmpl w:val="8A66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6"/>
  </w:num>
  <w:num w:numId="7">
    <w:abstractNumId w:val="9"/>
  </w:num>
  <w:num w:numId="8">
    <w:abstractNumId w:val="7"/>
  </w:num>
  <w:num w:numId="9">
    <w:abstractNumId w:val="10"/>
  </w:num>
  <w:num w:numId="10">
    <w:abstractNumId w:val="13"/>
  </w:num>
  <w:num w:numId="11">
    <w:abstractNumId w:val="17"/>
  </w:num>
  <w:num w:numId="12">
    <w:abstractNumId w:val="14"/>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5"/>
  </w:num>
  <w:num w:numId="18">
    <w:abstractNumId w:val="15"/>
  </w:num>
  <w:num w:numId="19">
    <w:abstractNumId w:val="16"/>
  </w:num>
  <w:num w:numId="20">
    <w:abstractNumId w:val="1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04264"/>
    <w:rsid w:val="00011D98"/>
    <w:rsid w:val="00014C99"/>
    <w:rsid w:val="00022442"/>
    <w:rsid w:val="000561DF"/>
    <w:rsid w:val="00057661"/>
    <w:rsid w:val="00090BDA"/>
    <w:rsid w:val="00090E40"/>
    <w:rsid w:val="000D2C18"/>
    <w:rsid w:val="000D38C7"/>
    <w:rsid w:val="00101A32"/>
    <w:rsid w:val="001267EE"/>
    <w:rsid w:val="00165785"/>
    <w:rsid w:val="00175D09"/>
    <w:rsid w:val="001970AB"/>
    <w:rsid w:val="001A71CD"/>
    <w:rsid w:val="001B39FC"/>
    <w:rsid w:val="00200416"/>
    <w:rsid w:val="00202285"/>
    <w:rsid w:val="002069E9"/>
    <w:rsid w:val="00214514"/>
    <w:rsid w:val="00223677"/>
    <w:rsid w:val="00226EB2"/>
    <w:rsid w:val="002406EB"/>
    <w:rsid w:val="00240F37"/>
    <w:rsid w:val="00241B8F"/>
    <w:rsid w:val="00261570"/>
    <w:rsid w:val="002659F8"/>
    <w:rsid w:val="00267A1B"/>
    <w:rsid w:val="002721BE"/>
    <w:rsid w:val="00274089"/>
    <w:rsid w:val="0027509C"/>
    <w:rsid w:val="0028397F"/>
    <w:rsid w:val="00293CEB"/>
    <w:rsid w:val="002A2C06"/>
    <w:rsid w:val="002A6EE9"/>
    <w:rsid w:val="002C79DD"/>
    <w:rsid w:val="002D6D51"/>
    <w:rsid w:val="002E6D4F"/>
    <w:rsid w:val="002F075A"/>
    <w:rsid w:val="002F16CD"/>
    <w:rsid w:val="002F57A6"/>
    <w:rsid w:val="00303A66"/>
    <w:rsid w:val="00316F79"/>
    <w:rsid w:val="00325F69"/>
    <w:rsid w:val="003272AF"/>
    <w:rsid w:val="003347AF"/>
    <w:rsid w:val="003355F1"/>
    <w:rsid w:val="0034083A"/>
    <w:rsid w:val="00364D69"/>
    <w:rsid w:val="00376EAB"/>
    <w:rsid w:val="003B640E"/>
    <w:rsid w:val="003D27AC"/>
    <w:rsid w:val="003E0AF0"/>
    <w:rsid w:val="003E2E79"/>
    <w:rsid w:val="003E5543"/>
    <w:rsid w:val="003E68FB"/>
    <w:rsid w:val="003F530C"/>
    <w:rsid w:val="00417205"/>
    <w:rsid w:val="00421B52"/>
    <w:rsid w:val="00446DDB"/>
    <w:rsid w:val="004470F0"/>
    <w:rsid w:val="0046647C"/>
    <w:rsid w:val="0046787C"/>
    <w:rsid w:val="00476E8A"/>
    <w:rsid w:val="004833E1"/>
    <w:rsid w:val="00497B2E"/>
    <w:rsid w:val="004A63A4"/>
    <w:rsid w:val="004A7BFB"/>
    <w:rsid w:val="004B14CC"/>
    <w:rsid w:val="004B2EE9"/>
    <w:rsid w:val="004B38B8"/>
    <w:rsid w:val="004C562C"/>
    <w:rsid w:val="004F1B88"/>
    <w:rsid w:val="00505793"/>
    <w:rsid w:val="00510289"/>
    <w:rsid w:val="00515316"/>
    <w:rsid w:val="00526855"/>
    <w:rsid w:val="0053540A"/>
    <w:rsid w:val="00541686"/>
    <w:rsid w:val="00545B6C"/>
    <w:rsid w:val="0055687E"/>
    <w:rsid w:val="005A27AB"/>
    <w:rsid w:val="005D237E"/>
    <w:rsid w:val="005E51D0"/>
    <w:rsid w:val="00607840"/>
    <w:rsid w:val="006166B1"/>
    <w:rsid w:val="006222F1"/>
    <w:rsid w:val="0062433C"/>
    <w:rsid w:val="0062452F"/>
    <w:rsid w:val="00624FDD"/>
    <w:rsid w:val="00642BF9"/>
    <w:rsid w:val="00660FF6"/>
    <w:rsid w:val="00695620"/>
    <w:rsid w:val="006B61D2"/>
    <w:rsid w:val="006C2C15"/>
    <w:rsid w:val="006D21BB"/>
    <w:rsid w:val="00707C32"/>
    <w:rsid w:val="007102D5"/>
    <w:rsid w:val="00712B8F"/>
    <w:rsid w:val="00716237"/>
    <w:rsid w:val="00726966"/>
    <w:rsid w:val="007365FA"/>
    <w:rsid w:val="00744B2E"/>
    <w:rsid w:val="00782505"/>
    <w:rsid w:val="007903E3"/>
    <w:rsid w:val="007D4602"/>
    <w:rsid w:val="008114F6"/>
    <w:rsid w:val="00815CF9"/>
    <w:rsid w:val="00835DD1"/>
    <w:rsid w:val="008372F9"/>
    <w:rsid w:val="00846014"/>
    <w:rsid w:val="008479C2"/>
    <w:rsid w:val="0085679E"/>
    <w:rsid w:val="00864599"/>
    <w:rsid w:val="008A2972"/>
    <w:rsid w:val="008A533C"/>
    <w:rsid w:val="008A6912"/>
    <w:rsid w:val="008B2C35"/>
    <w:rsid w:val="008B477B"/>
    <w:rsid w:val="008D2C7A"/>
    <w:rsid w:val="008E2B90"/>
    <w:rsid w:val="008E59AE"/>
    <w:rsid w:val="008E6836"/>
    <w:rsid w:val="008F0747"/>
    <w:rsid w:val="008F4925"/>
    <w:rsid w:val="00916276"/>
    <w:rsid w:val="00916722"/>
    <w:rsid w:val="009179CD"/>
    <w:rsid w:val="00932F7F"/>
    <w:rsid w:val="00952DF7"/>
    <w:rsid w:val="00974594"/>
    <w:rsid w:val="009751A2"/>
    <w:rsid w:val="009841AD"/>
    <w:rsid w:val="00990242"/>
    <w:rsid w:val="009A1CE1"/>
    <w:rsid w:val="009A246A"/>
    <w:rsid w:val="009A539C"/>
    <w:rsid w:val="009B3AAF"/>
    <w:rsid w:val="009C6E3C"/>
    <w:rsid w:val="009F0E4D"/>
    <w:rsid w:val="00A21585"/>
    <w:rsid w:val="00A266B2"/>
    <w:rsid w:val="00A269A2"/>
    <w:rsid w:val="00A26CD9"/>
    <w:rsid w:val="00A64F81"/>
    <w:rsid w:val="00A737CB"/>
    <w:rsid w:val="00A769F7"/>
    <w:rsid w:val="00A813BE"/>
    <w:rsid w:val="00A90411"/>
    <w:rsid w:val="00A9041D"/>
    <w:rsid w:val="00A94D47"/>
    <w:rsid w:val="00A97636"/>
    <w:rsid w:val="00AA0CFF"/>
    <w:rsid w:val="00AA7DF4"/>
    <w:rsid w:val="00AC6247"/>
    <w:rsid w:val="00AD05F3"/>
    <w:rsid w:val="00AD52C7"/>
    <w:rsid w:val="00AE0506"/>
    <w:rsid w:val="00AE4DF7"/>
    <w:rsid w:val="00AF14F3"/>
    <w:rsid w:val="00AF683F"/>
    <w:rsid w:val="00B0699A"/>
    <w:rsid w:val="00B21766"/>
    <w:rsid w:val="00B24EC6"/>
    <w:rsid w:val="00B4736D"/>
    <w:rsid w:val="00B527B5"/>
    <w:rsid w:val="00B53D0F"/>
    <w:rsid w:val="00B548DD"/>
    <w:rsid w:val="00B5768B"/>
    <w:rsid w:val="00B82F91"/>
    <w:rsid w:val="00B91315"/>
    <w:rsid w:val="00B95AB4"/>
    <w:rsid w:val="00BB692E"/>
    <w:rsid w:val="00BC26CE"/>
    <w:rsid w:val="00BC3BCF"/>
    <w:rsid w:val="00BC4DBC"/>
    <w:rsid w:val="00BD0D59"/>
    <w:rsid w:val="00BE3299"/>
    <w:rsid w:val="00BF23EA"/>
    <w:rsid w:val="00BF3C90"/>
    <w:rsid w:val="00BF4F22"/>
    <w:rsid w:val="00C026BE"/>
    <w:rsid w:val="00C036D5"/>
    <w:rsid w:val="00C10EC4"/>
    <w:rsid w:val="00C4116F"/>
    <w:rsid w:val="00C57404"/>
    <w:rsid w:val="00C76666"/>
    <w:rsid w:val="00C82269"/>
    <w:rsid w:val="00C906CF"/>
    <w:rsid w:val="00C932B2"/>
    <w:rsid w:val="00C965BE"/>
    <w:rsid w:val="00C96656"/>
    <w:rsid w:val="00CA15E1"/>
    <w:rsid w:val="00CA3D8A"/>
    <w:rsid w:val="00CB21A8"/>
    <w:rsid w:val="00CB57F9"/>
    <w:rsid w:val="00CC0D56"/>
    <w:rsid w:val="00CD0135"/>
    <w:rsid w:val="00CD281C"/>
    <w:rsid w:val="00CD2C90"/>
    <w:rsid w:val="00CE3DEF"/>
    <w:rsid w:val="00D011FB"/>
    <w:rsid w:val="00D14CA8"/>
    <w:rsid w:val="00D3691C"/>
    <w:rsid w:val="00D50660"/>
    <w:rsid w:val="00D519A6"/>
    <w:rsid w:val="00D55886"/>
    <w:rsid w:val="00D67CC7"/>
    <w:rsid w:val="00D739E4"/>
    <w:rsid w:val="00D764EE"/>
    <w:rsid w:val="00D76BD6"/>
    <w:rsid w:val="00D8657A"/>
    <w:rsid w:val="00D907A8"/>
    <w:rsid w:val="00DF4F3B"/>
    <w:rsid w:val="00E10601"/>
    <w:rsid w:val="00E21FFD"/>
    <w:rsid w:val="00E323DF"/>
    <w:rsid w:val="00E326B5"/>
    <w:rsid w:val="00E339A1"/>
    <w:rsid w:val="00E40474"/>
    <w:rsid w:val="00E40AEF"/>
    <w:rsid w:val="00E4123E"/>
    <w:rsid w:val="00E45F33"/>
    <w:rsid w:val="00E4750E"/>
    <w:rsid w:val="00E521CE"/>
    <w:rsid w:val="00E52D71"/>
    <w:rsid w:val="00E66A89"/>
    <w:rsid w:val="00E77FE0"/>
    <w:rsid w:val="00EA7B32"/>
    <w:rsid w:val="00EB0DEF"/>
    <w:rsid w:val="00ED29AB"/>
    <w:rsid w:val="00EF522D"/>
    <w:rsid w:val="00F12B8B"/>
    <w:rsid w:val="00F2453F"/>
    <w:rsid w:val="00F31943"/>
    <w:rsid w:val="00F43BB2"/>
    <w:rsid w:val="00F507D8"/>
    <w:rsid w:val="00F60702"/>
    <w:rsid w:val="00F6533F"/>
    <w:rsid w:val="00F65AAA"/>
    <w:rsid w:val="00F7455E"/>
    <w:rsid w:val="00F7683E"/>
    <w:rsid w:val="00F86661"/>
    <w:rsid w:val="00F91004"/>
    <w:rsid w:val="00F9214F"/>
    <w:rsid w:val="00F95656"/>
    <w:rsid w:val="00FB5BF2"/>
    <w:rsid w:val="00FC7D0B"/>
    <w:rsid w:val="00FD1915"/>
    <w:rsid w:val="00FD5041"/>
    <w:rsid w:val="00FE209F"/>
    <w:rsid w:val="00FE3C68"/>
    <w:rsid w:val="00FE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5C786"/>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8"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2" w:qFormat="1"/>
    <w:lsdException w:name="List Number" w:uiPriority="1" w:qFormat="1"/>
    <w:lsdException w:name="List 2" w:semiHidden="1"/>
    <w:lsdException w:name="List 3" w:semiHidden="1"/>
    <w:lsdException w:name="List 4" w:semiHidden="1"/>
    <w:lsdException w:name="List 5" w:semiHidden="1"/>
    <w:lsdException w:name="List Bullet 2" w:uiPriority="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 w:type="paragraph" w:styleId="Revision">
    <w:name w:val="Revision"/>
    <w:hidden/>
    <w:uiPriority w:val="99"/>
    <w:semiHidden/>
    <w:rsid w:val="0034083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769">
      <w:bodyDiv w:val="1"/>
      <w:marLeft w:val="0"/>
      <w:marRight w:val="0"/>
      <w:marTop w:val="0"/>
      <w:marBottom w:val="0"/>
      <w:divBdr>
        <w:top w:val="none" w:sz="0" w:space="0" w:color="auto"/>
        <w:left w:val="none" w:sz="0" w:space="0" w:color="auto"/>
        <w:bottom w:val="none" w:sz="0" w:space="0" w:color="auto"/>
        <w:right w:val="none" w:sz="0" w:space="0" w:color="auto"/>
      </w:divBdr>
    </w:div>
    <w:div w:id="1576478877">
      <w:bodyDiv w:val="1"/>
      <w:marLeft w:val="0"/>
      <w:marRight w:val="0"/>
      <w:marTop w:val="0"/>
      <w:marBottom w:val="0"/>
      <w:divBdr>
        <w:top w:val="none" w:sz="0" w:space="0" w:color="auto"/>
        <w:left w:val="none" w:sz="0" w:space="0" w:color="auto"/>
        <w:bottom w:val="none" w:sz="0" w:space="0" w:color="auto"/>
        <w:right w:val="none" w:sz="0" w:space="0" w:color="auto"/>
      </w:divBdr>
    </w:div>
    <w:div w:id="1834105730">
      <w:bodyDiv w:val="1"/>
      <w:marLeft w:val="0"/>
      <w:marRight w:val="0"/>
      <w:marTop w:val="0"/>
      <w:marBottom w:val="0"/>
      <w:divBdr>
        <w:top w:val="none" w:sz="0" w:space="0" w:color="auto"/>
        <w:left w:val="none" w:sz="0" w:space="0" w:color="auto"/>
        <w:bottom w:val="none" w:sz="0" w:space="0" w:color="auto"/>
        <w:right w:val="none" w:sz="0" w:space="0" w:color="auto"/>
      </w:divBdr>
    </w:div>
    <w:div w:id="18866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icsa.org.uk/news/chair-of-the-inquiry-issues-guidance-on-destruction-of-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archives.gov.uk/information-management/manage-information/selection-and-transfer/selecting-records/osp-num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cord-retention-and-disposition-schedu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scovery.nationalarchives.gov.uk/browse/r/h/C681" TargetMode="External"/><Relationship Id="rId2" Type="http://schemas.openxmlformats.org/officeDocument/2006/relationships/hyperlink" Target="http://discovery.nationalarchives.gov.uk/browse" TargetMode="External"/><Relationship Id="rId1" Type="http://schemas.openxmlformats.org/officeDocument/2006/relationships/hyperlink" Target="http://discovery.nationalarchives.gov.uk/" TargetMode="External"/><Relationship Id="rId4"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5" ma:contentTypeDescription="Create a new document." ma:contentTypeScope="" ma:versionID="ce6d7a1b6a13be5c5d5ec3c18bee059c">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785cc32a51e478225821991a30794690"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0E0A-C933-4889-98D2-BBAC896A6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ECEF1448-CFE7-4B48-AFF8-CCD1266CA1F6}">
  <ds:schemaRefs>
    <ds:schemaRef ds:uri="http://purl.org/dc/dcmitype/"/>
    <ds:schemaRef ds:uri="http://schemas.microsoft.com/office/2006/documentManagement/types"/>
    <ds:schemaRef ds:uri="http://purl.org/dc/elements/1.1/"/>
    <ds:schemaRef ds:uri="http://schemas.microsoft.com/office/2006/metadata/properties"/>
    <ds:schemaRef ds:uri="2332c961-6f67-4d2a-9fad-b382164b977c"/>
    <ds:schemaRef ds:uri="http://schemas.microsoft.com/office/infopath/2007/PartnerControls"/>
    <ds:schemaRef ds:uri="http://purl.org/dc/terms/"/>
    <ds:schemaRef ds:uri="d5354e63-dc31-42f4-b5be-47429dadf320"/>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5CE6D55-B63D-40A0-96FD-EC7A9CAC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4</cp:revision>
  <dcterms:created xsi:type="dcterms:W3CDTF">2020-08-19T14:24:00Z</dcterms:created>
  <dcterms:modified xsi:type="dcterms:W3CDTF">2020-08-20T07:35:00Z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