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127B" w14:textId="77777777" w:rsidR="00362EDF" w:rsidRDefault="00504FBD" w:rsidP="00362EDF">
      <w:pPr>
        <w:pStyle w:val="Title-Titlepage"/>
      </w:pPr>
      <w:bookmarkStart w:id="0" w:name="_GoBack"/>
      <w:bookmarkEnd w:id="0"/>
      <w:r w:rsidRPr="00504FBD">
        <w:t>Retained EU Case Law</w:t>
      </w:r>
    </w:p>
    <w:p w14:paraId="241DAF15" w14:textId="77777777" w:rsidR="00362EDF" w:rsidRPr="006A578B" w:rsidRDefault="00504FBD" w:rsidP="00362EDF">
      <w:pPr>
        <w:pStyle w:val="Subtitle-Titlepage"/>
      </w:pPr>
      <w:r w:rsidRPr="00504FBD">
        <w:t>Consultation on the departure from retained EU case law by</w:t>
      </w:r>
      <w:r>
        <w:t> </w:t>
      </w:r>
      <w:r w:rsidRPr="00504FBD">
        <w:t>UK courts and tribunals</w:t>
      </w:r>
    </w:p>
    <w:p w14:paraId="21D28D86" w14:textId="77777777" w:rsidR="00362EDF" w:rsidRDefault="00362EDF" w:rsidP="000819F7">
      <w:pPr>
        <w:pStyle w:val="BodyText"/>
      </w:pPr>
    </w:p>
    <w:p w14:paraId="3717E079" w14:textId="31FB33C8" w:rsidR="00571DBD" w:rsidRDefault="00362EDF" w:rsidP="000819F7">
      <w:pPr>
        <w:pStyle w:val="BodyText"/>
      </w:pPr>
      <w:r>
        <w:rPr>
          <w:noProof/>
        </w:rPr>
        <w:drawing>
          <wp:anchor distT="0" distB="0" distL="114300" distR="114300" simplePos="0" relativeHeight="251662336" behindDoc="0" locked="0" layoutInCell="0" allowOverlap="0" wp14:anchorId="2DA87A2B" wp14:editId="33638B1B">
            <wp:simplePos x="0" y="0"/>
            <wp:positionH relativeFrom="page">
              <wp:posOffset>648335</wp:posOffset>
            </wp:positionH>
            <wp:positionV relativeFrom="page">
              <wp:posOffset>720090</wp:posOffset>
            </wp:positionV>
            <wp:extent cx="1127160" cy="875520"/>
            <wp:effectExtent l="0" t="0" r="0" b="1270"/>
            <wp:wrapNone/>
            <wp:docPr id="3" name="Picture 3"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160" cy="87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B6174" w14:textId="77777777" w:rsidR="00571DBD" w:rsidRDefault="00571DBD" w:rsidP="000819F7">
      <w:pPr>
        <w:pStyle w:val="BodyText"/>
        <w:sectPr w:rsidR="00571DBD" w:rsidSect="0064016B">
          <w:pgSz w:w="11906" w:h="16838" w:code="9"/>
          <w:pgMar w:top="4082" w:right="1134" w:bottom="1134" w:left="1134" w:header="567" w:footer="567" w:gutter="0"/>
          <w:cols w:space="708"/>
          <w:titlePg/>
          <w:docGrid w:linePitch="360"/>
        </w:sectPr>
      </w:pPr>
    </w:p>
    <w:p w14:paraId="11A6790F" w14:textId="77777777" w:rsidR="00044510" w:rsidRPr="007217FD" w:rsidRDefault="00044510" w:rsidP="00E24EE3">
      <w:pPr>
        <w:pStyle w:val="Heading1"/>
        <w:spacing w:after="480"/>
      </w:pPr>
      <w:bookmarkStart w:id="1" w:name="_Toc43119014"/>
      <w:bookmarkStart w:id="2" w:name="_Toc43216005"/>
      <w:r w:rsidRPr="007217FD">
        <w:lastRenderedPageBreak/>
        <w:t>Consultation Questions</w:t>
      </w:r>
      <w:bookmarkEnd w:id="1"/>
      <w:bookmarkEnd w:id="2"/>
    </w:p>
    <w:p w14:paraId="3A7EE6BA" w14:textId="77777777" w:rsidR="00044510" w:rsidRPr="001E1F0A" w:rsidRDefault="00044510" w:rsidP="00E24EE3">
      <w:pPr>
        <w:pStyle w:val="BodyText"/>
        <w:keepNext/>
        <w:keepLines/>
      </w:pPr>
      <w:r w:rsidRPr="001E1F0A">
        <w:t xml:space="preserve">Please submit responses marked for the attention of Joanne Thambyrajah by email to </w:t>
      </w:r>
      <w:hyperlink r:id="rId12" w:history="1">
        <w:r w:rsidR="001E1F0A" w:rsidRPr="00592ED2">
          <w:rPr>
            <w:rStyle w:val="Hyperlink"/>
          </w:rPr>
          <w:t>Judicial_Policy_Correspondence@Justice.gov.uk</w:t>
        </w:r>
      </w:hyperlink>
    </w:p>
    <w:p w14:paraId="316642D7" w14:textId="0FC44631" w:rsidR="00044510" w:rsidRDefault="00044510" w:rsidP="00E24EE3">
      <w:pPr>
        <w:pStyle w:val="BodyText"/>
        <w:keepNext/>
        <w:keepLines/>
        <w:spacing w:after="120"/>
        <w:ind w:left="720" w:hanging="720"/>
        <w:rPr>
          <w:b/>
          <w:szCs w:val="24"/>
        </w:rPr>
      </w:pPr>
      <w:r w:rsidRPr="00B118D9">
        <w:rPr>
          <w:rFonts w:cstheme="minorHAnsi"/>
          <w:b/>
          <w:szCs w:val="24"/>
        </w:rPr>
        <w:t>Q1:</w:t>
      </w:r>
      <w:r w:rsidRPr="00B118D9">
        <w:rPr>
          <w:b/>
          <w:szCs w:val="24"/>
        </w:rPr>
        <w:tab/>
        <w:t>Do you consider that the power to depart from retained EU case law should be extended to other courts</w:t>
      </w:r>
      <w:r w:rsidR="00943443">
        <w:rPr>
          <w:b/>
          <w:szCs w:val="24"/>
        </w:rPr>
        <w:t xml:space="preserve"> and tribunals</w:t>
      </w:r>
      <w:r w:rsidRPr="00B118D9">
        <w:rPr>
          <w:b/>
          <w:szCs w:val="24"/>
        </w:rPr>
        <w:t xml:space="preserve"> beyond the UK Supreme Court and High Court of Justiciary. Please give reasons for your answer.</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2F6AE7FC" w14:textId="77777777" w:rsidTr="0041709A">
        <w:trPr>
          <w:trHeight w:val="4252"/>
        </w:trPr>
        <w:tc>
          <w:tcPr>
            <w:tcW w:w="8901" w:type="dxa"/>
          </w:tcPr>
          <w:p w14:paraId="3B1F00B5" w14:textId="77777777" w:rsidR="00EB0BAD" w:rsidRPr="00E24EE3" w:rsidRDefault="00EB0BAD" w:rsidP="00044510">
            <w:pPr>
              <w:pStyle w:val="BodyText"/>
              <w:rPr>
                <w:szCs w:val="24"/>
              </w:rPr>
            </w:pPr>
          </w:p>
        </w:tc>
      </w:tr>
    </w:tbl>
    <w:p w14:paraId="6AE4A01F" w14:textId="7E2DDFC1" w:rsidR="006E0AEC" w:rsidRPr="00B118D9" w:rsidRDefault="006E0AEC" w:rsidP="0041709A">
      <w:pPr>
        <w:pStyle w:val="BodyText"/>
        <w:keepNext/>
        <w:keepLines/>
        <w:spacing w:before="240" w:after="0"/>
        <w:ind w:left="709" w:hanging="709"/>
        <w:rPr>
          <w:b/>
          <w:szCs w:val="24"/>
        </w:rPr>
      </w:pPr>
      <w:r>
        <w:rPr>
          <w:rStyle w:val="BodyTextChar"/>
          <w:rFonts w:cstheme="minorHAnsi"/>
          <w:b/>
          <w:szCs w:val="24"/>
        </w:rPr>
        <w:t>Q2:</w:t>
      </w:r>
      <w:r>
        <w:rPr>
          <w:rStyle w:val="BodyTextChar"/>
          <w:rFonts w:cstheme="minorHAnsi"/>
          <w:b/>
          <w:szCs w:val="24"/>
        </w:rPr>
        <w:tab/>
      </w:r>
      <w:r w:rsidRPr="00B118D9">
        <w:rPr>
          <w:b/>
          <w:szCs w:val="24"/>
        </w:rPr>
        <w:t>What do you consider would be the impacts of extending the power to depart from retained EU case law in each of the options below? Please give reasons for your answer.</w:t>
      </w:r>
    </w:p>
    <w:p w14:paraId="5FDFA817" w14:textId="77777777" w:rsidR="006E0AEC" w:rsidRPr="00B118D9" w:rsidRDefault="006E0AEC" w:rsidP="0041709A">
      <w:pPr>
        <w:pStyle w:val="BodyText"/>
        <w:keepNext/>
        <w:keepLines/>
        <w:numPr>
          <w:ilvl w:val="0"/>
          <w:numId w:val="15"/>
        </w:numPr>
        <w:spacing w:after="0"/>
        <w:rPr>
          <w:b/>
          <w:szCs w:val="24"/>
        </w:rPr>
      </w:pPr>
      <w:r w:rsidRPr="00B118D9">
        <w:rPr>
          <w:b/>
          <w:szCs w:val="24"/>
        </w:rPr>
        <w:t>The Court of Appeal and equivalent level courts;</w:t>
      </w:r>
    </w:p>
    <w:p w14:paraId="22406AAD" w14:textId="77777777" w:rsidR="006E0AEC" w:rsidRPr="00B118D9" w:rsidRDefault="006E0AEC" w:rsidP="0041709A">
      <w:pPr>
        <w:pStyle w:val="BodyText"/>
        <w:keepNext/>
        <w:keepLines/>
        <w:numPr>
          <w:ilvl w:val="0"/>
          <w:numId w:val="15"/>
        </w:numPr>
        <w:spacing w:after="0"/>
        <w:rPr>
          <w:b/>
          <w:szCs w:val="24"/>
        </w:rPr>
      </w:pPr>
      <w:r w:rsidRPr="00B118D9">
        <w:rPr>
          <w:b/>
          <w:szCs w:val="24"/>
        </w:rPr>
        <w:t>The High Court and equivalent level courts and tribunals;</w:t>
      </w:r>
    </w:p>
    <w:p w14:paraId="1C492D0A" w14:textId="02EBC936" w:rsidR="006E0AEC" w:rsidRDefault="006E0AEC" w:rsidP="0041709A">
      <w:pPr>
        <w:pStyle w:val="BodyText"/>
        <w:keepNext/>
        <w:keepLines/>
        <w:numPr>
          <w:ilvl w:val="0"/>
          <w:numId w:val="15"/>
        </w:numPr>
        <w:spacing w:after="120"/>
        <w:ind w:left="1066" w:hanging="357"/>
        <w:rPr>
          <w:b/>
          <w:szCs w:val="24"/>
        </w:rPr>
      </w:pPr>
      <w:r w:rsidRPr="00B118D9">
        <w:rPr>
          <w:b/>
          <w:szCs w:val="24"/>
        </w:rPr>
        <w:t>All courts and tribunals.</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41709A" w:rsidRPr="00E24EE3" w14:paraId="7FACB378" w14:textId="77777777" w:rsidTr="0041709A">
        <w:trPr>
          <w:trHeight w:val="4252"/>
        </w:trPr>
        <w:tc>
          <w:tcPr>
            <w:tcW w:w="8901" w:type="dxa"/>
          </w:tcPr>
          <w:p w14:paraId="7BC640B1" w14:textId="77777777" w:rsidR="0041709A" w:rsidRPr="00E24EE3" w:rsidRDefault="0041709A" w:rsidP="002A2059">
            <w:pPr>
              <w:pStyle w:val="BodyText"/>
              <w:rPr>
                <w:szCs w:val="24"/>
              </w:rPr>
            </w:pPr>
          </w:p>
        </w:tc>
      </w:tr>
    </w:tbl>
    <w:p w14:paraId="36513769" w14:textId="77777777" w:rsidR="006E0AEC" w:rsidRPr="0041709A" w:rsidRDefault="006E0AEC" w:rsidP="0041709A">
      <w:pPr>
        <w:pStyle w:val="BodyText"/>
        <w:keepNext/>
        <w:keepLines/>
        <w:spacing w:before="240" w:after="120"/>
        <w:ind w:left="709" w:hanging="709"/>
        <w:rPr>
          <w:rStyle w:val="BodyTextChar"/>
          <w:rFonts w:cstheme="minorHAnsi"/>
          <w:b/>
          <w:szCs w:val="24"/>
        </w:rPr>
      </w:pPr>
      <w:r w:rsidRPr="0041709A">
        <w:rPr>
          <w:rStyle w:val="BodyTextChar"/>
          <w:rFonts w:cstheme="minorHAnsi"/>
          <w:b/>
          <w:szCs w:val="24"/>
        </w:rPr>
        <w:lastRenderedPageBreak/>
        <w:t>Q3:</w:t>
      </w:r>
      <w:r w:rsidRPr="0041709A">
        <w:rPr>
          <w:rStyle w:val="BodyTextChar"/>
          <w:rFonts w:cstheme="minorHAnsi"/>
          <w:b/>
          <w:szCs w:val="24"/>
        </w:rPr>
        <w:tab/>
        <w:t xml:space="preserve">Which option do </w:t>
      </w:r>
      <w:r w:rsidRPr="0041709A">
        <w:rPr>
          <w:b/>
        </w:rPr>
        <w:t>you</w:t>
      </w:r>
      <w:r w:rsidRPr="0041709A">
        <w:rPr>
          <w:rStyle w:val="BodyTextChar"/>
          <w:rFonts w:cstheme="minorHAnsi"/>
          <w:b/>
          <w:szCs w:val="24"/>
        </w:rPr>
        <w:t xml:space="preserve"> consider achieves the best balance of enabling timely departure from retained EU case law whilst maintaining legal certainty across the UK. Please give reasons for your answer.</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41709A" w:rsidRPr="00E24EE3" w14:paraId="47307C59" w14:textId="77777777" w:rsidTr="0041709A">
        <w:trPr>
          <w:trHeight w:val="4252"/>
        </w:trPr>
        <w:tc>
          <w:tcPr>
            <w:tcW w:w="8901" w:type="dxa"/>
          </w:tcPr>
          <w:p w14:paraId="2B3263EE" w14:textId="77777777" w:rsidR="0041709A" w:rsidRPr="00E24EE3" w:rsidRDefault="0041709A" w:rsidP="002A2059">
            <w:pPr>
              <w:pStyle w:val="BodyText"/>
              <w:rPr>
                <w:szCs w:val="24"/>
              </w:rPr>
            </w:pPr>
          </w:p>
        </w:tc>
      </w:tr>
    </w:tbl>
    <w:p w14:paraId="33528C49" w14:textId="230B46F2" w:rsidR="00044510" w:rsidRPr="00B118D9" w:rsidRDefault="00044510" w:rsidP="00E24EE3">
      <w:pPr>
        <w:pStyle w:val="BodyText"/>
        <w:keepNext/>
        <w:keepLines/>
        <w:spacing w:before="240" w:after="0"/>
        <w:ind w:left="720" w:hanging="720"/>
        <w:rPr>
          <w:b/>
          <w:szCs w:val="24"/>
        </w:rPr>
      </w:pPr>
      <w:r w:rsidRPr="00B118D9">
        <w:rPr>
          <w:rStyle w:val="BodyTextChar"/>
          <w:rFonts w:cstheme="minorHAnsi"/>
          <w:b/>
          <w:szCs w:val="24"/>
        </w:rPr>
        <w:t>Q</w:t>
      </w:r>
      <w:r w:rsidR="006E0AEC">
        <w:rPr>
          <w:rStyle w:val="BodyTextChar"/>
          <w:rFonts w:cstheme="minorHAnsi"/>
          <w:b/>
          <w:szCs w:val="24"/>
        </w:rPr>
        <w:t>4</w:t>
      </w:r>
      <w:r w:rsidRPr="00B118D9">
        <w:rPr>
          <w:rStyle w:val="BodyTextChar"/>
          <w:rFonts w:cstheme="minorHAnsi"/>
          <w:b/>
          <w:szCs w:val="24"/>
        </w:rPr>
        <w:t>:</w:t>
      </w:r>
      <w:r w:rsidRPr="00B118D9">
        <w:rPr>
          <w:rStyle w:val="BodyTextChar"/>
          <w:rFonts w:cstheme="minorHAnsi"/>
          <w:b/>
          <w:szCs w:val="24"/>
        </w:rPr>
        <w:tab/>
      </w:r>
      <w:r w:rsidR="006E0AEC">
        <w:rPr>
          <w:rStyle w:val="BodyTextChar"/>
          <w:rFonts w:cstheme="minorHAnsi"/>
          <w:b/>
          <w:szCs w:val="24"/>
        </w:rPr>
        <w:t xml:space="preserve">If </w:t>
      </w:r>
      <w:r w:rsidR="006E0AEC" w:rsidRPr="00B118D9">
        <w:rPr>
          <w:rStyle w:val="BodyTextChar"/>
          <w:rFonts w:cstheme="minorHAnsi"/>
          <w:b/>
          <w:szCs w:val="24"/>
        </w:rPr>
        <w:t xml:space="preserve">the power to depart from retained EU case law </w:t>
      </w:r>
      <w:r w:rsidR="006E0AEC">
        <w:rPr>
          <w:rStyle w:val="BodyTextChar"/>
          <w:rFonts w:cstheme="minorHAnsi"/>
          <w:b/>
          <w:szCs w:val="24"/>
        </w:rPr>
        <w:t xml:space="preserve">is </w:t>
      </w:r>
      <w:r w:rsidR="006E0AEC" w:rsidRPr="00B118D9">
        <w:rPr>
          <w:rStyle w:val="BodyTextChar"/>
          <w:rFonts w:cstheme="minorHAnsi"/>
          <w:b/>
          <w:szCs w:val="24"/>
        </w:rPr>
        <w:t>extended to the</w:t>
      </w:r>
      <w:r w:rsidR="006E0AEC">
        <w:rPr>
          <w:rStyle w:val="BodyTextChar"/>
          <w:rFonts w:cstheme="minorHAnsi"/>
          <w:b/>
          <w:szCs w:val="24"/>
        </w:rPr>
        <w:t xml:space="preserve"> Court of Appeal and</w:t>
      </w:r>
      <w:r w:rsidR="00943443">
        <w:rPr>
          <w:rStyle w:val="BodyTextChar"/>
          <w:rFonts w:cstheme="minorHAnsi"/>
          <w:b/>
          <w:szCs w:val="24"/>
        </w:rPr>
        <w:t xml:space="preserve"> its</w:t>
      </w:r>
      <w:r w:rsidR="006E0AEC">
        <w:rPr>
          <w:rStyle w:val="BodyTextChar"/>
          <w:rFonts w:cstheme="minorHAnsi"/>
          <w:b/>
          <w:szCs w:val="24"/>
        </w:rPr>
        <w:t xml:space="preserve"> equivalents, do you agree that the list below specifies the full range of courts in scope?</w:t>
      </w:r>
    </w:p>
    <w:p w14:paraId="00DC88EA" w14:textId="77777777" w:rsidR="00044510" w:rsidRPr="00B118D9" w:rsidRDefault="00044510" w:rsidP="00E24EE3">
      <w:pPr>
        <w:pStyle w:val="BodyText"/>
        <w:keepNext/>
        <w:keepLines/>
        <w:numPr>
          <w:ilvl w:val="0"/>
          <w:numId w:val="23"/>
        </w:numPr>
        <w:spacing w:after="0"/>
        <w:ind w:left="1077" w:hanging="357"/>
        <w:rPr>
          <w:b/>
          <w:szCs w:val="24"/>
        </w:rPr>
      </w:pPr>
      <w:r w:rsidRPr="00B118D9">
        <w:rPr>
          <w:b/>
          <w:szCs w:val="24"/>
        </w:rPr>
        <w:t>Court of Appeal of England and Wales;</w:t>
      </w:r>
    </w:p>
    <w:p w14:paraId="277D3BEC" w14:textId="77777777" w:rsidR="00044510" w:rsidRPr="00B118D9" w:rsidRDefault="00044510" w:rsidP="00E24EE3">
      <w:pPr>
        <w:pStyle w:val="BodyText"/>
        <w:keepNext/>
        <w:keepLines/>
        <w:numPr>
          <w:ilvl w:val="0"/>
          <w:numId w:val="23"/>
        </w:numPr>
        <w:spacing w:after="0"/>
        <w:ind w:left="1077" w:hanging="357"/>
        <w:rPr>
          <w:b/>
          <w:szCs w:val="24"/>
        </w:rPr>
      </w:pPr>
      <w:r w:rsidRPr="00B118D9">
        <w:rPr>
          <w:b/>
          <w:szCs w:val="24"/>
        </w:rPr>
        <w:t>Court Martial Appeal Court;</w:t>
      </w:r>
    </w:p>
    <w:p w14:paraId="0A708815" w14:textId="77777777" w:rsidR="00044510" w:rsidRPr="00B118D9" w:rsidRDefault="00044510" w:rsidP="00E24EE3">
      <w:pPr>
        <w:pStyle w:val="BodyText"/>
        <w:keepNext/>
        <w:keepLines/>
        <w:numPr>
          <w:ilvl w:val="0"/>
          <w:numId w:val="23"/>
        </w:numPr>
        <w:spacing w:after="0"/>
        <w:ind w:left="1077" w:hanging="357"/>
        <w:rPr>
          <w:b/>
          <w:szCs w:val="24"/>
        </w:rPr>
      </w:pPr>
      <w:r w:rsidRPr="00B118D9">
        <w:rPr>
          <w:b/>
          <w:szCs w:val="24"/>
        </w:rPr>
        <w:t>Court of Appeal of Northern Ireland;</w:t>
      </w:r>
    </w:p>
    <w:p w14:paraId="1A214737" w14:textId="77777777" w:rsidR="00044510" w:rsidRPr="00B118D9" w:rsidRDefault="00044510" w:rsidP="00E24EE3">
      <w:pPr>
        <w:pStyle w:val="BodyText"/>
        <w:keepNext/>
        <w:keepLines/>
        <w:numPr>
          <w:ilvl w:val="0"/>
          <w:numId w:val="23"/>
        </w:numPr>
        <w:spacing w:after="0"/>
        <w:ind w:left="1077" w:hanging="357"/>
        <w:rPr>
          <w:b/>
          <w:szCs w:val="24"/>
        </w:rPr>
      </w:pPr>
      <w:r w:rsidRPr="00B118D9">
        <w:rPr>
          <w:b/>
          <w:szCs w:val="24"/>
        </w:rPr>
        <w:t>The High Court of Justiciary when sitting as a court of appeal in relation to a compatibility issue or a devolution issue; and</w:t>
      </w:r>
    </w:p>
    <w:p w14:paraId="09B5BFF2" w14:textId="2F860914" w:rsidR="00044510" w:rsidRPr="00B118D9" w:rsidRDefault="00044510" w:rsidP="00E24EE3">
      <w:pPr>
        <w:pStyle w:val="BodyText"/>
        <w:keepNext/>
        <w:keepLines/>
        <w:numPr>
          <w:ilvl w:val="0"/>
          <w:numId w:val="23"/>
        </w:numPr>
        <w:spacing w:after="120"/>
        <w:ind w:left="1077" w:hanging="357"/>
        <w:rPr>
          <w:b/>
          <w:szCs w:val="24"/>
        </w:rPr>
      </w:pPr>
      <w:r w:rsidRPr="00B118D9">
        <w:rPr>
          <w:b/>
          <w:szCs w:val="24"/>
        </w:rPr>
        <w:t>The Inner House of the Court of Session</w:t>
      </w:r>
      <w:r w:rsidR="00943443">
        <w:rPr>
          <w:b/>
          <w:szCs w:val="24"/>
        </w:rPr>
        <w:t xml:space="preserve"> in Scotland</w:t>
      </w:r>
      <w:r w:rsidRPr="00B118D9">
        <w:rPr>
          <w:b/>
          <w:szCs w:val="24"/>
        </w:rPr>
        <w:t>.</w:t>
      </w:r>
    </w:p>
    <w:p w14:paraId="1C91502A" w14:textId="77777777" w:rsidR="00044510" w:rsidRDefault="00044510" w:rsidP="00E24EE3">
      <w:pPr>
        <w:pStyle w:val="BodyText"/>
        <w:keepNext/>
        <w:keepLines/>
        <w:spacing w:after="120"/>
        <w:ind w:firstLine="720"/>
        <w:rPr>
          <w:b/>
          <w:szCs w:val="24"/>
        </w:rPr>
      </w:pPr>
      <w:r w:rsidRPr="00B118D9">
        <w:rPr>
          <w:b/>
          <w:szCs w:val="24"/>
        </w:rPr>
        <w:t>Please give reasons for your answer.</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2BC0E351" w14:textId="77777777" w:rsidTr="0041709A">
        <w:trPr>
          <w:trHeight w:val="4252"/>
        </w:trPr>
        <w:tc>
          <w:tcPr>
            <w:tcW w:w="8901" w:type="dxa"/>
          </w:tcPr>
          <w:p w14:paraId="0DBD21A8" w14:textId="77777777" w:rsidR="00E24EE3" w:rsidRPr="00E24EE3" w:rsidRDefault="00E24EE3" w:rsidP="00D00E34">
            <w:pPr>
              <w:pStyle w:val="BodyText"/>
              <w:rPr>
                <w:szCs w:val="24"/>
              </w:rPr>
            </w:pPr>
          </w:p>
        </w:tc>
      </w:tr>
    </w:tbl>
    <w:p w14:paraId="6C9462A2" w14:textId="5FC576C1" w:rsidR="006E0AEC" w:rsidRDefault="006E0AEC" w:rsidP="0041709A">
      <w:pPr>
        <w:pStyle w:val="BodyText"/>
        <w:keepNext/>
        <w:keepLines/>
        <w:spacing w:before="240" w:after="0"/>
        <w:ind w:left="720" w:hanging="720"/>
        <w:rPr>
          <w:b/>
          <w:szCs w:val="24"/>
        </w:rPr>
      </w:pPr>
      <w:r>
        <w:rPr>
          <w:b/>
          <w:szCs w:val="24"/>
        </w:rPr>
        <w:lastRenderedPageBreak/>
        <w:t>Q5:</w:t>
      </w:r>
      <w:r>
        <w:rPr>
          <w:b/>
          <w:szCs w:val="24"/>
        </w:rPr>
        <w:tab/>
        <w:t xml:space="preserve">If the power to depart from retained EU case law is to be extended to the High Court and </w:t>
      </w:r>
      <w:r w:rsidR="00943443">
        <w:rPr>
          <w:b/>
          <w:szCs w:val="24"/>
        </w:rPr>
        <w:t xml:space="preserve">its </w:t>
      </w:r>
      <w:r>
        <w:rPr>
          <w:b/>
          <w:szCs w:val="24"/>
        </w:rPr>
        <w:t>equivalents, do you agree that the list of courts below captures the full range of courts in scope?</w:t>
      </w:r>
    </w:p>
    <w:p w14:paraId="1398E3E7" w14:textId="77777777" w:rsidR="006E0AEC" w:rsidRPr="00C167B4" w:rsidRDefault="006E0AEC" w:rsidP="0041709A">
      <w:pPr>
        <w:pStyle w:val="BodyText"/>
        <w:keepNext/>
        <w:keepLines/>
        <w:numPr>
          <w:ilvl w:val="0"/>
          <w:numId w:val="48"/>
        </w:numPr>
        <w:spacing w:after="0"/>
        <w:rPr>
          <w:b/>
        </w:rPr>
      </w:pPr>
      <w:r w:rsidRPr="00C167B4">
        <w:rPr>
          <w:b/>
        </w:rPr>
        <w:t xml:space="preserve">The High Court of England and Wales </w:t>
      </w:r>
    </w:p>
    <w:p w14:paraId="6B6BE2EA" w14:textId="3584ACB9" w:rsidR="006E0AEC" w:rsidRPr="00C167B4" w:rsidRDefault="006E0AEC" w:rsidP="0041709A">
      <w:pPr>
        <w:pStyle w:val="ListBullet"/>
        <w:keepNext/>
        <w:keepLines/>
        <w:numPr>
          <w:ilvl w:val="0"/>
          <w:numId w:val="48"/>
        </w:numPr>
        <w:rPr>
          <w:b/>
        </w:rPr>
      </w:pPr>
      <w:r w:rsidRPr="00C167B4">
        <w:rPr>
          <w:b/>
        </w:rPr>
        <w:t xml:space="preserve">Outer House of the Court of Session </w:t>
      </w:r>
      <w:r w:rsidR="00943443">
        <w:rPr>
          <w:b/>
        </w:rPr>
        <w:t>in</w:t>
      </w:r>
      <w:r w:rsidRPr="00C167B4">
        <w:rPr>
          <w:b/>
        </w:rPr>
        <w:t xml:space="preserve"> Scotland;</w:t>
      </w:r>
    </w:p>
    <w:p w14:paraId="24ED2E95" w14:textId="0EC62810" w:rsidR="006E0AEC" w:rsidRPr="00C167B4" w:rsidRDefault="006E0AEC" w:rsidP="0041709A">
      <w:pPr>
        <w:pStyle w:val="ListBullet"/>
        <w:keepNext/>
        <w:keepLines/>
        <w:numPr>
          <w:ilvl w:val="0"/>
          <w:numId w:val="48"/>
        </w:numPr>
        <w:rPr>
          <w:b/>
        </w:rPr>
      </w:pPr>
      <w:r w:rsidRPr="00C167B4">
        <w:rPr>
          <w:b/>
        </w:rPr>
        <w:t>The Sheriff Appeal Court of Scotland</w:t>
      </w:r>
      <w:r w:rsidR="00943443">
        <w:rPr>
          <w:b/>
        </w:rPr>
        <w:t xml:space="preserve"> in Scotland</w:t>
      </w:r>
      <w:r w:rsidRPr="00C167B4">
        <w:rPr>
          <w:b/>
        </w:rPr>
        <w:t>;</w:t>
      </w:r>
    </w:p>
    <w:p w14:paraId="3A20E278" w14:textId="77777777" w:rsidR="006E0AEC" w:rsidRPr="00C167B4" w:rsidRDefault="006E0AEC" w:rsidP="0041709A">
      <w:pPr>
        <w:pStyle w:val="ListBullet"/>
        <w:keepNext/>
        <w:keepLines/>
        <w:numPr>
          <w:ilvl w:val="0"/>
          <w:numId w:val="48"/>
        </w:numPr>
        <w:rPr>
          <w:b/>
        </w:rPr>
      </w:pPr>
      <w:r w:rsidRPr="00C167B4">
        <w:rPr>
          <w:b/>
        </w:rPr>
        <w:t xml:space="preserve">The High Court of Justiciary sitting at first instance; and </w:t>
      </w:r>
    </w:p>
    <w:p w14:paraId="1A9CF55B" w14:textId="77777777" w:rsidR="006E0AEC" w:rsidRDefault="006E0AEC" w:rsidP="0041709A">
      <w:pPr>
        <w:pStyle w:val="ListBullet"/>
        <w:keepNext/>
        <w:keepLines/>
        <w:numPr>
          <w:ilvl w:val="0"/>
          <w:numId w:val="48"/>
        </w:numPr>
        <w:spacing w:after="120"/>
        <w:contextualSpacing w:val="0"/>
        <w:rPr>
          <w:b/>
        </w:rPr>
      </w:pPr>
      <w:r w:rsidRPr="00C167B4">
        <w:rPr>
          <w:b/>
        </w:rPr>
        <w:t xml:space="preserve">The High Court in Northern Ireland. </w:t>
      </w:r>
    </w:p>
    <w:p w14:paraId="127D5CC8" w14:textId="77777777" w:rsidR="006E0AEC" w:rsidRPr="00C167B4" w:rsidRDefault="006E0AEC" w:rsidP="0041709A">
      <w:pPr>
        <w:pStyle w:val="BodyText"/>
        <w:keepNext/>
        <w:keepLines/>
        <w:spacing w:after="120"/>
        <w:ind w:firstLine="720"/>
        <w:rPr>
          <w:b/>
        </w:rPr>
      </w:pPr>
      <w:r>
        <w:rPr>
          <w:b/>
        </w:rPr>
        <w:t xml:space="preserve">Please give reasons for your answer. </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41709A" w:rsidRPr="00E24EE3" w14:paraId="7970F8F2" w14:textId="77777777" w:rsidTr="0041709A">
        <w:trPr>
          <w:trHeight w:val="4252"/>
        </w:trPr>
        <w:tc>
          <w:tcPr>
            <w:tcW w:w="8901" w:type="dxa"/>
          </w:tcPr>
          <w:p w14:paraId="16B3592E" w14:textId="77777777" w:rsidR="0041709A" w:rsidRPr="00E24EE3" w:rsidRDefault="0041709A" w:rsidP="002A2059">
            <w:pPr>
              <w:pStyle w:val="BodyText"/>
              <w:rPr>
                <w:szCs w:val="24"/>
              </w:rPr>
            </w:pPr>
          </w:p>
        </w:tc>
      </w:tr>
    </w:tbl>
    <w:p w14:paraId="3FB628A9" w14:textId="6DE4A926" w:rsidR="00044510" w:rsidRDefault="00044510" w:rsidP="00E24EE3">
      <w:pPr>
        <w:pStyle w:val="BodyText"/>
        <w:keepNext/>
        <w:keepLines/>
        <w:spacing w:before="240" w:after="120"/>
        <w:ind w:left="720" w:hanging="720"/>
        <w:rPr>
          <w:b/>
          <w:szCs w:val="24"/>
        </w:rPr>
      </w:pPr>
      <w:r w:rsidRPr="00B118D9">
        <w:rPr>
          <w:b/>
          <w:szCs w:val="24"/>
        </w:rPr>
        <w:t>Q</w:t>
      </w:r>
      <w:r w:rsidR="006E0AEC">
        <w:rPr>
          <w:b/>
          <w:szCs w:val="24"/>
        </w:rPr>
        <w:t>6</w:t>
      </w:r>
      <w:r w:rsidRPr="00B118D9">
        <w:rPr>
          <w:b/>
          <w:szCs w:val="24"/>
        </w:rPr>
        <w:t>:</w:t>
      </w:r>
      <w:r w:rsidRPr="00B118D9">
        <w:rPr>
          <w:b/>
          <w:szCs w:val="24"/>
        </w:rPr>
        <w:tab/>
      </w:r>
      <w:r w:rsidR="006E0AEC">
        <w:rPr>
          <w:b/>
          <w:szCs w:val="24"/>
        </w:rPr>
        <w:t>In respect of either option, a</w:t>
      </w:r>
      <w:r w:rsidR="006E0AEC" w:rsidRPr="00B118D9">
        <w:rPr>
          <w:b/>
          <w:szCs w:val="24"/>
        </w:rPr>
        <w:t>re there other courts</w:t>
      </w:r>
      <w:r w:rsidR="006E0AEC">
        <w:rPr>
          <w:b/>
          <w:szCs w:val="24"/>
        </w:rPr>
        <w:t xml:space="preserve"> or tribunals</w:t>
      </w:r>
      <w:r w:rsidR="006E0AEC" w:rsidRPr="00B118D9">
        <w:rPr>
          <w:b/>
          <w:szCs w:val="24"/>
        </w:rPr>
        <w:t xml:space="preserve"> to which the power to depart from retained EU case law should be extended?</w:t>
      </w:r>
      <w:r w:rsidR="006E0AEC">
        <w:rPr>
          <w:b/>
          <w:szCs w:val="24"/>
        </w:rPr>
        <w:t xml:space="preserve"> If yes, in what circumstances should this occur?</w:t>
      </w:r>
      <w:r w:rsidR="006E0AEC" w:rsidRPr="00B118D9">
        <w:rPr>
          <w:b/>
          <w:szCs w:val="24"/>
        </w:rPr>
        <w:t xml:space="preserve"> Please give reasons for your answer.</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7A49C652" w14:textId="77777777" w:rsidTr="0041709A">
        <w:trPr>
          <w:trHeight w:val="4252"/>
        </w:trPr>
        <w:tc>
          <w:tcPr>
            <w:tcW w:w="8901" w:type="dxa"/>
          </w:tcPr>
          <w:p w14:paraId="4A42A892" w14:textId="77777777" w:rsidR="00E24EE3" w:rsidRPr="00E24EE3" w:rsidRDefault="00E24EE3" w:rsidP="00D00E34">
            <w:pPr>
              <w:pStyle w:val="BodyText"/>
              <w:rPr>
                <w:szCs w:val="24"/>
              </w:rPr>
            </w:pPr>
          </w:p>
        </w:tc>
      </w:tr>
    </w:tbl>
    <w:p w14:paraId="7B4A3D75" w14:textId="3DE2F772" w:rsidR="00044510" w:rsidRDefault="00044510" w:rsidP="00E24EE3">
      <w:pPr>
        <w:pStyle w:val="BodyText"/>
        <w:keepNext/>
        <w:keepLines/>
        <w:spacing w:before="240" w:after="120"/>
        <w:ind w:left="720" w:hanging="720"/>
        <w:rPr>
          <w:b/>
          <w:szCs w:val="24"/>
        </w:rPr>
      </w:pPr>
      <w:r w:rsidRPr="00B118D9">
        <w:rPr>
          <w:b/>
          <w:szCs w:val="24"/>
        </w:rPr>
        <w:lastRenderedPageBreak/>
        <w:t>Q</w:t>
      </w:r>
      <w:r w:rsidR="006E0AEC">
        <w:rPr>
          <w:b/>
          <w:szCs w:val="24"/>
        </w:rPr>
        <w:t>7</w:t>
      </w:r>
      <w:r w:rsidRPr="00B118D9">
        <w:rPr>
          <w:b/>
          <w:szCs w:val="24"/>
        </w:rPr>
        <w:t>:</w:t>
      </w:r>
      <w:r w:rsidRPr="00B118D9">
        <w:rPr>
          <w:b/>
          <w:szCs w:val="24"/>
        </w:rPr>
        <w:tab/>
        <w:t>Do you consider that the courts</w:t>
      </w:r>
      <w:r w:rsidR="00943443">
        <w:rPr>
          <w:b/>
          <w:szCs w:val="24"/>
        </w:rPr>
        <w:t xml:space="preserve"> and tribunals</w:t>
      </w:r>
      <w:r w:rsidRPr="00B118D9">
        <w:rPr>
          <w:b/>
          <w:szCs w:val="24"/>
        </w:rPr>
        <w:t xml:space="preserve"> to which </w:t>
      </w:r>
      <w:r w:rsidR="00943443">
        <w:rPr>
          <w:b/>
          <w:szCs w:val="24"/>
        </w:rPr>
        <w:t>the</w:t>
      </w:r>
      <w:r w:rsidRPr="00B118D9">
        <w:rPr>
          <w:b/>
          <w:szCs w:val="24"/>
        </w:rPr>
        <w:t xml:space="preserve"> power to depart from retained EU case law is extended should be permitted to depart from retained domestic case law relating to retained EU case law? If yes, in what circumstances should this occur? Please give reasons for your answer.</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1D073B66" w14:textId="77777777" w:rsidTr="0041709A">
        <w:trPr>
          <w:trHeight w:val="4252"/>
        </w:trPr>
        <w:tc>
          <w:tcPr>
            <w:tcW w:w="8901" w:type="dxa"/>
          </w:tcPr>
          <w:p w14:paraId="6A24B381" w14:textId="77777777" w:rsidR="00E24EE3" w:rsidRPr="00E24EE3" w:rsidRDefault="00E24EE3" w:rsidP="00D00E34">
            <w:pPr>
              <w:pStyle w:val="BodyText"/>
              <w:rPr>
                <w:szCs w:val="24"/>
              </w:rPr>
            </w:pPr>
          </w:p>
        </w:tc>
      </w:tr>
    </w:tbl>
    <w:p w14:paraId="397E823C" w14:textId="17F15F97" w:rsidR="00044510" w:rsidRDefault="00044510" w:rsidP="00E24EE3">
      <w:pPr>
        <w:pStyle w:val="BodyText"/>
        <w:keepNext/>
        <w:keepLines/>
        <w:spacing w:before="240" w:after="120"/>
        <w:ind w:left="720" w:hanging="720"/>
        <w:rPr>
          <w:b/>
          <w:szCs w:val="24"/>
        </w:rPr>
      </w:pPr>
      <w:r w:rsidRPr="00B118D9">
        <w:rPr>
          <w:b/>
          <w:szCs w:val="24"/>
        </w:rPr>
        <w:t>Q</w:t>
      </w:r>
      <w:r w:rsidR="006E0AEC">
        <w:rPr>
          <w:b/>
          <w:szCs w:val="24"/>
        </w:rPr>
        <w:t>8</w:t>
      </w:r>
      <w:r w:rsidRPr="00B118D9">
        <w:rPr>
          <w:b/>
          <w:szCs w:val="24"/>
        </w:rPr>
        <w:t>:</w:t>
      </w:r>
      <w:r w:rsidRPr="00B118D9">
        <w:rPr>
          <w:b/>
          <w:szCs w:val="24"/>
        </w:rPr>
        <w:tab/>
        <w:t>Do you agree that the relevant courts</w:t>
      </w:r>
      <w:r w:rsidR="00943443">
        <w:rPr>
          <w:b/>
          <w:szCs w:val="24"/>
        </w:rPr>
        <w:t xml:space="preserve"> and tribunals</w:t>
      </w:r>
      <w:r w:rsidRPr="00B118D9">
        <w:rPr>
          <w:b/>
          <w:szCs w:val="24"/>
        </w:rPr>
        <w:t xml:space="preserve"> to which the power is extended should be bound by decisions of the UK Supreme Court</w:t>
      </w:r>
      <w:r w:rsidR="006E0AEC">
        <w:rPr>
          <w:b/>
          <w:szCs w:val="24"/>
        </w:rPr>
        <w:t>,</w:t>
      </w:r>
      <w:r w:rsidR="00943443">
        <w:rPr>
          <w:b/>
          <w:szCs w:val="24"/>
        </w:rPr>
        <w:t xml:space="preserve"> High Court of Justiciary and</w:t>
      </w:r>
      <w:r w:rsidR="006E0AEC">
        <w:rPr>
          <w:b/>
          <w:szCs w:val="24"/>
        </w:rPr>
        <w:t xml:space="preserve"> Court of Appeal and </w:t>
      </w:r>
      <w:r w:rsidR="00943443">
        <w:rPr>
          <w:b/>
          <w:szCs w:val="24"/>
        </w:rPr>
        <w:t>its equivalents across the UK</w:t>
      </w:r>
      <w:r w:rsidR="00E42483">
        <w:rPr>
          <w:b/>
          <w:szCs w:val="24"/>
        </w:rPr>
        <w:t xml:space="preserve"> </w:t>
      </w:r>
      <w:r w:rsidRPr="00B118D9">
        <w:rPr>
          <w:b/>
          <w:szCs w:val="24"/>
        </w:rPr>
        <w:t>where it has</w:t>
      </w:r>
      <w:r w:rsidR="00943443">
        <w:rPr>
          <w:b/>
          <w:szCs w:val="24"/>
        </w:rPr>
        <w:t xml:space="preserve"> already</w:t>
      </w:r>
      <w:r w:rsidRPr="00B118D9">
        <w:rPr>
          <w:b/>
          <w:szCs w:val="24"/>
        </w:rPr>
        <w:t xml:space="preserve"> considered the question of whether to depart from retained EU case law after the end of the Transition Period</w:t>
      </w:r>
      <w:r w:rsidR="00943443">
        <w:rPr>
          <w:b/>
          <w:szCs w:val="24"/>
        </w:rPr>
        <w:t>, in the normal operation of precedent?</w:t>
      </w:r>
      <w:r w:rsidRPr="00B118D9">
        <w:rPr>
          <w:b/>
          <w:szCs w:val="24"/>
        </w:rPr>
        <w:t xml:space="preserve"> Please give reasons for your answer.</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3749B787" w14:textId="77777777" w:rsidTr="0041709A">
        <w:trPr>
          <w:trHeight w:val="4252"/>
        </w:trPr>
        <w:tc>
          <w:tcPr>
            <w:tcW w:w="8901" w:type="dxa"/>
          </w:tcPr>
          <w:p w14:paraId="45570AE4" w14:textId="77777777" w:rsidR="00E24EE3" w:rsidRPr="00E24EE3" w:rsidRDefault="00E24EE3" w:rsidP="00D00E34">
            <w:pPr>
              <w:pStyle w:val="BodyText"/>
              <w:rPr>
                <w:szCs w:val="24"/>
              </w:rPr>
            </w:pPr>
          </w:p>
        </w:tc>
      </w:tr>
    </w:tbl>
    <w:p w14:paraId="2F1875FB" w14:textId="11041722" w:rsidR="006E0AEC" w:rsidRPr="00B118D9" w:rsidRDefault="00044510" w:rsidP="0041709A">
      <w:pPr>
        <w:pStyle w:val="BodyText"/>
        <w:keepNext/>
        <w:keepLines/>
        <w:spacing w:before="240" w:after="0"/>
        <w:ind w:left="720" w:hanging="720"/>
        <w:rPr>
          <w:rFonts w:cstheme="minorHAnsi"/>
          <w:b/>
          <w:szCs w:val="24"/>
        </w:rPr>
      </w:pPr>
      <w:r w:rsidRPr="007217FD">
        <w:rPr>
          <w:b/>
          <w:szCs w:val="24"/>
        </w:rPr>
        <w:lastRenderedPageBreak/>
        <w:t>Q</w:t>
      </w:r>
      <w:r w:rsidR="006E0AEC">
        <w:rPr>
          <w:b/>
          <w:szCs w:val="24"/>
        </w:rPr>
        <w:t>9</w:t>
      </w:r>
      <w:r w:rsidRPr="007217FD">
        <w:rPr>
          <w:b/>
          <w:szCs w:val="24"/>
        </w:rPr>
        <w:t>:</w:t>
      </w:r>
      <w:r w:rsidRPr="007217FD">
        <w:rPr>
          <w:b/>
          <w:szCs w:val="24"/>
        </w:rPr>
        <w:tab/>
      </w:r>
      <w:r w:rsidR="006E0AEC" w:rsidRPr="00B118D9">
        <w:rPr>
          <w:rFonts w:cstheme="minorHAnsi"/>
          <w:b/>
          <w:szCs w:val="24"/>
        </w:rPr>
        <w:t>Do you agree:</w:t>
      </w:r>
    </w:p>
    <w:p w14:paraId="5872F553" w14:textId="77777777" w:rsidR="006E0AEC" w:rsidRPr="00144E05" w:rsidRDefault="006E0AEC" w:rsidP="0041709A">
      <w:pPr>
        <w:keepNext/>
        <w:keepLines/>
        <w:numPr>
          <w:ilvl w:val="0"/>
          <w:numId w:val="12"/>
        </w:numPr>
        <w:spacing w:after="0"/>
        <w:ind w:left="1077" w:hanging="357"/>
        <w:rPr>
          <w:rFonts w:cstheme="minorHAnsi"/>
          <w:b/>
          <w:szCs w:val="24"/>
        </w:rPr>
      </w:pPr>
      <w:r w:rsidRPr="00144E05">
        <w:rPr>
          <w:rFonts w:cstheme="minorHAnsi"/>
          <w:b/>
          <w:szCs w:val="24"/>
        </w:rPr>
        <w:t xml:space="preserve">that the test that should be applied by additional courts or tribunals should be the test used by the UK Supreme Court in deciding whether to depart from its own case law? </w:t>
      </w:r>
    </w:p>
    <w:p w14:paraId="4D3A5482" w14:textId="77777777" w:rsidR="006E0AEC" w:rsidRPr="00B118D9" w:rsidRDefault="006E0AEC" w:rsidP="0041709A">
      <w:pPr>
        <w:keepNext/>
        <w:keepLines/>
        <w:numPr>
          <w:ilvl w:val="0"/>
          <w:numId w:val="12"/>
        </w:numPr>
        <w:spacing w:after="120"/>
        <w:ind w:left="1077" w:hanging="357"/>
        <w:rPr>
          <w:rFonts w:cstheme="minorHAnsi"/>
          <w:b/>
          <w:szCs w:val="24"/>
        </w:rPr>
      </w:pPr>
      <w:r w:rsidRPr="00B118D9">
        <w:rPr>
          <w:rFonts w:cstheme="minorHAnsi"/>
          <w:b/>
          <w:szCs w:val="24"/>
        </w:rPr>
        <w:t xml:space="preserve">that this test is capable of being easily understood and applied across the jurisdictions by reference to the relevant case law? </w:t>
      </w:r>
    </w:p>
    <w:p w14:paraId="11E9C3D2" w14:textId="575B36F6" w:rsidR="00044510" w:rsidRDefault="00044510" w:rsidP="0041709A">
      <w:pPr>
        <w:keepNext/>
        <w:keepLines/>
        <w:spacing w:after="120" w:line="240" w:lineRule="auto"/>
        <w:ind w:left="720"/>
        <w:rPr>
          <w:rFonts w:cstheme="minorHAnsi"/>
          <w:b/>
          <w:szCs w:val="24"/>
        </w:rPr>
      </w:pPr>
      <w:r w:rsidRPr="00B118D9">
        <w:rPr>
          <w:rFonts w:cstheme="minorHAnsi"/>
          <w:b/>
          <w:szCs w:val="24"/>
        </w:rPr>
        <w:t>Please give reasons for your answers. If you do not agree, what alternative test do you consider should be applied? Please give reasons for your answer.</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2CC5379B" w14:textId="77777777" w:rsidTr="0041709A">
        <w:trPr>
          <w:trHeight w:val="4252"/>
        </w:trPr>
        <w:tc>
          <w:tcPr>
            <w:tcW w:w="8901" w:type="dxa"/>
          </w:tcPr>
          <w:p w14:paraId="500A0DEE" w14:textId="77777777" w:rsidR="00E24EE3" w:rsidRPr="00E24EE3" w:rsidRDefault="00E24EE3" w:rsidP="00D00E34">
            <w:pPr>
              <w:pStyle w:val="BodyText"/>
              <w:rPr>
                <w:szCs w:val="24"/>
              </w:rPr>
            </w:pPr>
          </w:p>
        </w:tc>
      </w:tr>
    </w:tbl>
    <w:p w14:paraId="24F30E7A" w14:textId="5AC5666F" w:rsidR="00044510" w:rsidRDefault="00044510" w:rsidP="00E24EE3">
      <w:pPr>
        <w:keepNext/>
        <w:keepLines/>
        <w:spacing w:before="240" w:after="120" w:line="240" w:lineRule="auto"/>
        <w:ind w:left="720" w:hanging="720"/>
        <w:rPr>
          <w:rFonts w:cstheme="minorHAnsi"/>
          <w:b/>
          <w:szCs w:val="24"/>
        </w:rPr>
      </w:pPr>
      <w:r w:rsidRPr="00B118D9">
        <w:rPr>
          <w:rFonts w:cstheme="minorHAnsi"/>
          <w:b/>
          <w:szCs w:val="24"/>
        </w:rPr>
        <w:t>Q</w:t>
      </w:r>
      <w:r w:rsidR="006E0AEC">
        <w:rPr>
          <w:rFonts w:cstheme="minorHAnsi"/>
          <w:b/>
          <w:szCs w:val="24"/>
        </w:rPr>
        <w:t>10</w:t>
      </w:r>
      <w:r w:rsidRPr="00B118D9">
        <w:rPr>
          <w:rFonts w:cstheme="minorHAnsi"/>
          <w:b/>
          <w:szCs w:val="24"/>
        </w:rPr>
        <w:t>:</w:t>
      </w:r>
      <w:r w:rsidRPr="00B118D9">
        <w:rPr>
          <w:rFonts w:cstheme="minorHAnsi"/>
          <w:b/>
          <w:szCs w:val="24"/>
        </w:rPr>
        <w:tab/>
        <w:t>Are there any factors which you consider should be included in a list of considerations for the UK Supreme Court, High Court of Justiciary and other courts</w:t>
      </w:r>
      <w:r w:rsidR="00943443">
        <w:rPr>
          <w:rFonts w:cstheme="minorHAnsi"/>
          <w:b/>
          <w:szCs w:val="24"/>
        </w:rPr>
        <w:t xml:space="preserve"> and tribunals</w:t>
      </w:r>
      <w:r w:rsidRPr="00B118D9">
        <w:rPr>
          <w:rFonts w:cstheme="minorHAnsi"/>
          <w:b/>
          <w:szCs w:val="24"/>
        </w:rPr>
        <w:t xml:space="preserve"> to whom the power is extended to </w:t>
      </w:r>
      <w:proofErr w:type="gramStart"/>
      <w:r w:rsidRPr="00B118D9">
        <w:rPr>
          <w:rFonts w:cstheme="minorHAnsi"/>
          <w:b/>
          <w:szCs w:val="24"/>
        </w:rPr>
        <w:t>take into account</w:t>
      </w:r>
      <w:proofErr w:type="gramEnd"/>
      <w:r w:rsidRPr="00B118D9">
        <w:rPr>
          <w:rFonts w:cstheme="minorHAnsi"/>
          <w:b/>
          <w:szCs w:val="24"/>
        </w:rPr>
        <w:t xml:space="preserve"> when deciding whether to depart from retained EU case law? Please give reasons for your answer.</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75BAC6B1" w14:textId="77777777" w:rsidTr="0041709A">
        <w:trPr>
          <w:trHeight w:val="4252"/>
        </w:trPr>
        <w:tc>
          <w:tcPr>
            <w:tcW w:w="8901" w:type="dxa"/>
          </w:tcPr>
          <w:p w14:paraId="1B7F17A5" w14:textId="77777777" w:rsidR="00E24EE3" w:rsidRPr="00E24EE3" w:rsidRDefault="00E24EE3" w:rsidP="00D00E34">
            <w:pPr>
              <w:pStyle w:val="BodyText"/>
              <w:rPr>
                <w:szCs w:val="24"/>
              </w:rPr>
            </w:pPr>
          </w:p>
        </w:tc>
      </w:tr>
    </w:tbl>
    <w:p w14:paraId="19656585" w14:textId="1F46F812" w:rsidR="00044510" w:rsidRPr="00B118D9" w:rsidRDefault="00044510" w:rsidP="00E24EE3">
      <w:pPr>
        <w:keepNext/>
        <w:keepLines/>
        <w:spacing w:before="240" w:after="0" w:line="240" w:lineRule="auto"/>
        <w:ind w:left="720" w:hanging="720"/>
        <w:rPr>
          <w:rFonts w:cstheme="minorHAnsi"/>
          <w:b/>
          <w:szCs w:val="24"/>
        </w:rPr>
      </w:pPr>
      <w:r w:rsidRPr="00B118D9">
        <w:rPr>
          <w:rFonts w:cstheme="minorHAnsi"/>
          <w:b/>
          <w:szCs w:val="24"/>
        </w:rPr>
        <w:lastRenderedPageBreak/>
        <w:t>Q1</w:t>
      </w:r>
      <w:r w:rsidR="004C3FA9">
        <w:rPr>
          <w:rFonts w:cstheme="minorHAnsi"/>
          <w:b/>
          <w:szCs w:val="24"/>
        </w:rPr>
        <w:t>1</w:t>
      </w:r>
      <w:r w:rsidRPr="00B118D9">
        <w:rPr>
          <w:rFonts w:cstheme="minorHAnsi"/>
          <w:b/>
          <w:szCs w:val="24"/>
        </w:rPr>
        <w:t>:</w:t>
      </w:r>
      <w:r w:rsidRPr="00B118D9">
        <w:rPr>
          <w:rFonts w:cstheme="minorHAnsi"/>
          <w:b/>
          <w:szCs w:val="24"/>
        </w:rPr>
        <w:tab/>
        <w:t xml:space="preserve">As part of this consultation process, we would also like to know your views on how these proposals are likely to impact the administration of justice and </w:t>
      </w:r>
      <w:proofErr w:type="gramStart"/>
      <w:r w:rsidRPr="00B118D9">
        <w:rPr>
          <w:rFonts w:cstheme="minorHAnsi"/>
          <w:b/>
          <w:szCs w:val="24"/>
        </w:rPr>
        <w:t>in particular the</w:t>
      </w:r>
      <w:proofErr w:type="gramEnd"/>
      <w:r w:rsidRPr="00B118D9">
        <w:rPr>
          <w:rFonts w:cstheme="minorHAnsi"/>
          <w:b/>
          <w:szCs w:val="24"/>
        </w:rPr>
        <w:t xml:space="preserve"> operation of our courts and tribunals. </w:t>
      </w:r>
    </w:p>
    <w:p w14:paraId="61F46479" w14:textId="61F78AB0" w:rsidR="00044510" w:rsidRPr="00B118D9" w:rsidRDefault="00044510" w:rsidP="00E24EE3">
      <w:pPr>
        <w:pStyle w:val="BodyText"/>
        <w:keepNext/>
        <w:keepLines/>
        <w:numPr>
          <w:ilvl w:val="0"/>
          <w:numId w:val="17"/>
        </w:numPr>
        <w:spacing w:after="0"/>
        <w:ind w:left="1077" w:hanging="357"/>
        <w:rPr>
          <w:b/>
          <w:szCs w:val="24"/>
        </w:rPr>
      </w:pPr>
      <w:bookmarkStart w:id="3" w:name="_Hlk42164390"/>
      <w:r w:rsidRPr="00B118D9">
        <w:rPr>
          <w:b/>
          <w:szCs w:val="24"/>
        </w:rPr>
        <w:t>Do you consider that the changes proposed would be likely to impact on the volume of litigation started in UK courts and tribunals? Please specify where, in your view</w:t>
      </w:r>
      <w:r w:rsidR="00943443">
        <w:rPr>
          <w:b/>
          <w:szCs w:val="24"/>
        </w:rPr>
        <w:t>,</w:t>
      </w:r>
      <w:r w:rsidRPr="00B118D9">
        <w:rPr>
          <w:b/>
          <w:szCs w:val="24"/>
        </w:rPr>
        <w:t xml:space="preserve"> this would occur and why?</w:t>
      </w:r>
    </w:p>
    <w:p w14:paraId="77BF68E5" w14:textId="70905E06" w:rsidR="00044510" w:rsidRPr="00B118D9" w:rsidRDefault="00044510" w:rsidP="00E24EE3">
      <w:pPr>
        <w:pStyle w:val="BodyText"/>
        <w:keepNext/>
        <w:keepLines/>
        <w:numPr>
          <w:ilvl w:val="0"/>
          <w:numId w:val="17"/>
        </w:numPr>
        <w:spacing w:after="0"/>
        <w:ind w:left="1077" w:hanging="357"/>
        <w:rPr>
          <w:b/>
          <w:szCs w:val="24"/>
        </w:rPr>
      </w:pPr>
      <w:r w:rsidRPr="00B118D9">
        <w:rPr>
          <w:b/>
          <w:szCs w:val="24"/>
        </w:rPr>
        <w:t>Do you consider that the changes proposed would be likely to impact on the type of litigation started in UK courts and tribunals? Please specify where, in your view</w:t>
      </w:r>
      <w:r w:rsidR="00943443">
        <w:rPr>
          <w:b/>
          <w:szCs w:val="24"/>
        </w:rPr>
        <w:t>,</w:t>
      </w:r>
      <w:r w:rsidRPr="00B118D9">
        <w:rPr>
          <w:b/>
          <w:szCs w:val="24"/>
        </w:rPr>
        <w:t xml:space="preserve"> this would occur and why?</w:t>
      </w:r>
    </w:p>
    <w:p w14:paraId="05280B76" w14:textId="77777777" w:rsidR="00044510" w:rsidRPr="00B118D9" w:rsidRDefault="00044510" w:rsidP="00E24EE3">
      <w:pPr>
        <w:pStyle w:val="BodyText"/>
        <w:keepNext/>
        <w:keepLines/>
        <w:numPr>
          <w:ilvl w:val="0"/>
          <w:numId w:val="17"/>
        </w:numPr>
        <w:spacing w:after="0"/>
        <w:ind w:left="1077" w:hanging="357"/>
        <w:rPr>
          <w:b/>
          <w:szCs w:val="24"/>
        </w:rPr>
      </w:pPr>
      <w:r w:rsidRPr="00B118D9">
        <w:rPr>
          <w:b/>
          <w:szCs w:val="24"/>
        </w:rPr>
        <w:t xml:space="preserve">Do you consider that the changes proposed would be likely to have more of an impact on </w:t>
      </w:r>
      <w:proofErr w:type="gramStart"/>
      <w:r w:rsidRPr="00B118D9">
        <w:rPr>
          <w:b/>
          <w:szCs w:val="24"/>
        </w:rPr>
        <w:t>particular parts</w:t>
      </w:r>
      <w:proofErr w:type="gramEnd"/>
      <w:r w:rsidRPr="00B118D9">
        <w:rPr>
          <w:b/>
          <w:szCs w:val="24"/>
        </w:rPr>
        <w:t xml:space="preserve"> of the justice system, or its users? Please specify where this might occur and why.</w:t>
      </w:r>
    </w:p>
    <w:p w14:paraId="6C4C617E" w14:textId="77777777" w:rsidR="00044510" w:rsidRDefault="00044510" w:rsidP="00E24EE3">
      <w:pPr>
        <w:pStyle w:val="BodyText"/>
        <w:keepNext/>
        <w:keepLines/>
        <w:numPr>
          <w:ilvl w:val="0"/>
          <w:numId w:val="17"/>
        </w:numPr>
        <w:spacing w:after="120"/>
        <w:ind w:left="1077" w:hanging="357"/>
        <w:rPr>
          <w:b/>
          <w:szCs w:val="24"/>
        </w:rPr>
      </w:pPr>
      <w:r w:rsidRPr="00B118D9">
        <w:rPr>
          <w:b/>
          <w:szCs w:val="24"/>
        </w:rPr>
        <w:t xml:space="preserve">Do you consider that the changes proposed would have more of an impact on individuals with </w:t>
      </w:r>
      <w:proofErr w:type="gramStart"/>
      <w:r w:rsidRPr="00B118D9">
        <w:rPr>
          <w:b/>
          <w:szCs w:val="24"/>
        </w:rPr>
        <w:t>particular protected</w:t>
      </w:r>
      <w:proofErr w:type="gramEnd"/>
      <w:r w:rsidRPr="00B118D9">
        <w:rPr>
          <w:b/>
          <w:szCs w:val="24"/>
        </w:rPr>
        <w:t xml:space="preserve"> characteristics under the Equalities Act 2010? Please specify where this might occur and why.</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76DFC6BF" w14:textId="77777777" w:rsidTr="0041709A">
        <w:trPr>
          <w:trHeight w:val="3685"/>
        </w:trPr>
        <w:tc>
          <w:tcPr>
            <w:tcW w:w="8901" w:type="dxa"/>
          </w:tcPr>
          <w:p w14:paraId="4944FE62" w14:textId="77777777" w:rsidR="00E24EE3" w:rsidRPr="00E24EE3" w:rsidRDefault="00E24EE3" w:rsidP="00D00E34">
            <w:pPr>
              <w:pStyle w:val="BodyText"/>
              <w:rPr>
                <w:szCs w:val="24"/>
              </w:rPr>
            </w:pPr>
          </w:p>
        </w:tc>
      </w:tr>
    </w:tbl>
    <w:bookmarkEnd w:id="3"/>
    <w:p w14:paraId="01D882BB" w14:textId="00A79A91" w:rsidR="00044510" w:rsidRPr="00B118D9" w:rsidRDefault="00044510" w:rsidP="00E24EE3">
      <w:pPr>
        <w:keepNext/>
        <w:keepLines/>
        <w:spacing w:before="240" w:after="120" w:line="240" w:lineRule="auto"/>
        <w:ind w:left="720" w:hanging="720"/>
        <w:rPr>
          <w:rFonts w:cstheme="minorHAnsi"/>
          <w:b/>
          <w:szCs w:val="24"/>
        </w:rPr>
      </w:pPr>
      <w:r w:rsidRPr="00B118D9">
        <w:rPr>
          <w:rFonts w:cstheme="minorHAnsi"/>
          <w:b/>
          <w:szCs w:val="24"/>
        </w:rPr>
        <w:t>Q1</w:t>
      </w:r>
      <w:r w:rsidR="004C3FA9">
        <w:rPr>
          <w:rFonts w:cstheme="minorHAnsi"/>
          <w:b/>
          <w:szCs w:val="24"/>
        </w:rPr>
        <w:t>2</w:t>
      </w:r>
      <w:r w:rsidRPr="00B118D9">
        <w:rPr>
          <w:rFonts w:cstheme="minorHAnsi"/>
          <w:b/>
          <w:szCs w:val="24"/>
        </w:rPr>
        <w:t>:</w:t>
      </w:r>
      <w:r w:rsidRPr="00B118D9">
        <w:rPr>
          <w:rFonts w:cstheme="minorHAnsi"/>
          <w:b/>
          <w:szCs w:val="24"/>
        </w:rPr>
        <w:tab/>
        <w:t xml:space="preserve">Do you have any other comments that you wish us to consider in respect of this consultation. </w:t>
      </w:r>
    </w:p>
    <w:tbl>
      <w:tblPr>
        <w:tblStyle w:val="TableGridLight"/>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01"/>
      </w:tblGrid>
      <w:tr w:rsidR="00E24EE3" w:rsidRPr="00E24EE3" w14:paraId="4A30F908" w14:textId="77777777" w:rsidTr="0041709A">
        <w:trPr>
          <w:trHeight w:val="3685"/>
        </w:trPr>
        <w:tc>
          <w:tcPr>
            <w:tcW w:w="8901" w:type="dxa"/>
          </w:tcPr>
          <w:p w14:paraId="6A1BDE6D" w14:textId="77777777" w:rsidR="00E24EE3" w:rsidRPr="00E24EE3" w:rsidRDefault="00E24EE3" w:rsidP="00D00E34">
            <w:pPr>
              <w:pStyle w:val="BodyText"/>
              <w:rPr>
                <w:szCs w:val="24"/>
              </w:rPr>
            </w:pPr>
          </w:p>
        </w:tc>
      </w:tr>
    </w:tbl>
    <w:p w14:paraId="3268C42D" w14:textId="77777777" w:rsidR="00044510" w:rsidRPr="00B118D9" w:rsidRDefault="00044510" w:rsidP="0041709A">
      <w:pPr>
        <w:spacing w:before="480" w:line="240" w:lineRule="auto"/>
        <w:rPr>
          <w:rFonts w:cstheme="minorHAnsi"/>
          <w:b/>
          <w:szCs w:val="24"/>
        </w:rPr>
      </w:pPr>
      <w:r w:rsidRPr="00B118D9">
        <w:rPr>
          <w:rFonts w:cstheme="minorHAnsi"/>
          <w:b/>
          <w:szCs w:val="24"/>
        </w:rPr>
        <w:t>Thank you for participating in this consultation.</w:t>
      </w:r>
    </w:p>
    <w:p w14:paraId="783AB388" w14:textId="77777777" w:rsidR="00044510" w:rsidRPr="007217FD" w:rsidRDefault="00044510" w:rsidP="007217FD">
      <w:pPr>
        <w:pStyle w:val="Heading1"/>
      </w:pPr>
      <w:bookmarkStart w:id="4" w:name="_Toc43119019"/>
      <w:bookmarkStart w:id="5" w:name="_Toc43216010"/>
      <w:r w:rsidRPr="007217FD">
        <w:lastRenderedPageBreak/>
        <w:t>About you</w:t>
      </w:r>
      <w:bookmarkEnd w:id="4"/>
      <w:bookmarkEnd w:id="5"/>
    </w:p>
    <w:p w14:paraId="7F0669A7" w14:textId="77777777" w:rsidR="00044510" w:rsidRPr="0011446E" w:rsidRDefault="00044510" w:rsidP="00B118D9">
      <w:pPr>
        <w:pStyle w:val="BodyText"/>
      </w:pPr>
      <w:r w:rsidRPr="0011446E">
        <w:t xml:space="preserve">Please use this </w:t>
      </w:r>
      <w:r w:rsidRPr="00B118D9">
        <w:t>section</w:t>
      </w:r>
      <w:r w:rsidRPr="0011446E">
        <w:t xml:space="preserve"> to tell us about yourself</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365"/>
        <w:gridCol w:w="5272"/>
      </w:tblGrid>
      <w:tr w:rsidR="00044510" w:rsidRPr="00B118D9" w14:paraId="7810D33E" w14:textId="77777777" w:rsidTr="00044510">
        <w:trPr>
          <w:cantSplit/>
          <w:trHeight w:val="454"/>
        </w:trPr>
        <w:tc>
          <w:tcPr>
            <w:tcW w:w="4365" w:type="dxa"/>
            <w:shd w:val="clear" w:color="auto" w:fill="F3F3F3"/>
          </w:tcPr>
          <w:p w14:paraId="3410389C" w14:textId="77777777" w:rsidR="00044510" w:rsidRPr="00B118D9" w:rsidRDefault="00044510" w:rsidP="00044510">
            <w:pPr>
              <w:pStyle w:val="TableText"/>
              <w:rPr>
                <w:b/>
                <w:szCs w:val="24"/>
              </w:rPr>
            </w:pPr>
            <w:r w:rsidRPr="00B118D9">
              <w:rPr>
                <w:b/>
                <w:szCs w:val="24"/>
              </w:rPr>
              <w:t>Full name</w:t>
            </w:r>
          </w:p>
        </w:tc>
        <w:tc>
          <w:tcPr>
            <w:tcW w:w="5272" w:type="dxa"/>
          </w:tcPr>
          <w:p w14:paraId="6D5885C5" w14:textId="77777777" w:rsidR="00044510" w:rsidRPr="00B118D9" w:rsidRDefault="00044510" w:rsidP="00044510">
            <w:pPr>
              <w:pStyle w:val="TableText"/>
              <w:rPr>
                <w:szCs w:val="24"/>
              </w:rPr>
            </w:pPr>
          </w:p>
        </w:tc>
      </w:tr>
      <w:tr w:rsidR="00044510" w:rsidRPr="00B118D9" w14:paraId="7BAA7BC9" w14:textId="77777777" w:rsidTr="00044510">
        <w:trPr>
          <w:cantSplit/>
          <w:trHeight w:val="454"/>
        </w:trPr>
        <w:tc>
          <w:tcPr>
            <w:tcW w:w="4365" w:type="dxa"/>
            <w:shd w:val="clear" w:color="auto" w:fill="F3F3F3"/>
          </w:tcPr>
          <w:p w14:paraId="3884FB51" w14:textId="77777777" w:rsidR="00044510" w:rsidRPr="00B118D9" w:rsidRDefault="00044510" w:rsidP="00044510">
            <w:pPr>
              <w:pStyle w:val="TableText"/>
              <w:rPr>
                <w:szCs w:val="24"/>
              </w:rPr>
            </w:pPr>
            <w:r w:rsidRPr="00B118D9">
              <w:rPr>
                <w:b/>
                <w:szCs w:val="24"/>
              </w:rPr>
              <w:t>Job title</w:t>
            </w:r>
            <w:r w:rsidRPr="00B118D9">
              <w:rPr>
                <w:szCs w:val="24"/>
              </w:rPr>
              <w:t xml:space="preserve"> or capacity in which you are responding to this consultation exercise (e.g. member of the public etc.)</w:t>
            </w:r>
          </w:p>
        </w:tc>
        <w:tc>
          <w:tcPr>
            <w:tcW w:w="5272" w:type="dxa"/>
          </w:tcPr>
          <w:p w14:paraId="60AA2DC3" w14:textId="77777777" w:rsidR="00044510" w:rsidRPr="00B118D9" w:rsidRDefault="00044510" w:rsidP="00044510">
            <w:pPr>
              <w:pStyle w:val="TableText"/>
              <w:rPr>
                <w:szCs w:val="24"/>
              </w:rPr>
            </w:pPr>
          </w:p>
        </w:tc>
      </w:tr>
      <w:tr w:rsidR="00044510" w:rsidRPr="00B118D9" w14:paraId="12258178" w14:textId="77777777" w:rsidTr="00044510">
        <w:trPr>
          <w:cantSplit/>
          <w:trHeight w:val="454"/>
        </w:trPr>
        <w:tc>
          <w:tcPr>
            <w:tcW w:w="4365" w:type="dxa"/>
            <w:shd w:val="clear" w:color="auto" w:fill="F3F3F3"/>
          </w:tcPr>
          <w:p w14:paraId="565BC814" w14:textId="77777777" w:rsidR="00044510" w:rsidRPr="00B118D9" w:rsidRDefault="00044510" w:rsidP="00044510">
            <w:pPr>
              <w:pStyle w:val="TableText"/>
              <w:rPr>
                <w:b/>
                <w:szCs w:val="24"/>
              </w:rPr>
            </w:pPr>
            <w:r w:rsidRPr="00B118D9">
              <w:rPr>
                <w:b/>
                <w:szCs w:val="24"/>
              </w:rPr>
              <w:t>Date</w:t>
            </w:r>
          </w:p>
        </w:tc>
        <w:tc>
          <w:tcPr>
            <w:tcW w:w="5272" w:type="dxa"/>
          </w:tcPr>
          <w:p w14:paraId="1A177D10" w14:textId="77777777" w:rsidR="00044510" w:rsidRPr="00B118D9" w:rsidRDefault="00044510" w:rsidP="00044510">
            <w:pPr>
              <w:pStyle w:val="TableText"/>
              <w:rPr>
                <w:szCs w:val="24"/>
              </w:rPr>
            </w:pPr>
          </w:p>
        </w:tc>
      </w:tr>
      <w:tr w:rsidR="00044510" w:rsidRPr="00B118D9" w14:paraId="356924D1" w14:textId="77777777" w:rsidTr="00044510">
        <w:trPr>
          <w:cantSplit/>
          <w:trHeight w:val="454"/>
        </w:trPr>
        <w:tc>
          <w:tcPr>
            <w:tcW w:w="4365" w:type="dxa"/>
            <w:shd w:val="clear" w:color="auto" w:fill="F3F3F3"/>
          </w:tcPr>
          <w:p w14:paraId="43E483FA" w14:textId="77777777" w:rsidR="00044510" w:rsidRPr="00B118D9" w:rsidRDefault="00044510" w:rsidP="00044510">
            <w:pPr>
              <w:pStyle w:val="TableText"/>
              <w:rPr>
                <w:szCs w:val="24"/>
              </w:rPr>
            </w:pPr>
            <w:r w:rsidRPr="00B118D9">
              <w:rPr>
                <w:b/>
                <w:szCs w:val="24"/>
              </w:rPr>
              <w:t>Company name/organisation</w:t>
            </w:r>
            <w:r w:rsidRPr="00B118D9">
              <w:rPr>
                <w:szCs w:val="24"/>
              </w:rPr>
              <w:t xml:space="preserve"> (if applicable):</w:t>
            </w:r>
          </w:p>
        </w:tc>
        <w:tc>
          <w:tcPr>
            <w:tcW w:w="5272" w:type="dxa"/>
          </w:tcPr>
          <w:p w14:paraId="30A7EE2E" w14:textId="77777777" w:rsidR="00044510" w:rsidRPr="00B118D9" w:rsidRDefault="00044510" w:rsidP="00044510">
            <w:pPr>
              <w:pStyle w:val="TableText"/>
              <w:rPr>
                <w:szCs w:val="24"/>
              </w:rPr>
            </w:pPr>
          </w:p>
        </w:tc>
      </w:tr>
      <w:tr w:rsidR="00044510" w:rsidRPr="00B118D9" w14:paraId="49E69FC6" w14:textId="77777777" w:rsidTr="00044510">
        <w:trPr>
          <w:cantSplit/>
          <w:trHeight w:val="454"/>
        </w:trPr>
        <w:tc>
          <w:tcPr>
            <w:tcW w:w="4365" w:type="dxa"/>
            <w:shd w:val="clear" w:color="auto" w:fill="F3F3F3"/>
          </w:tcPr>
          <w:p w14:paraId="1DB6320E" w14:textId="77777777" w:rsidR="00044510" w:rsidRPr="00B118D9" w:rsidRDefault="00044510" w:rsidP="00044510">
            <w:pPr>
              <w:pStyle w:val="TableText"/>
              <w:rPr>
                <w:b/>
                <w:szCs w:val="24"/>
              </w:rPr>
            </w:pPr>
            <w:r w:rsidRPr="00B118D9">
              <w:rPr>
                <w:b/>
                <w:szCs w:val="24"/>
              </w:rPr>
              <w:t>Address</w:t>
            </w:r>
          </w:p>
        </w:tc>
        <w:tc>
          <w:tcPr>
            <w:tcW w:w="5272" w:type="dxa"/>
          </w:tcPr>
          <w:p w14:paraId="71AB0B8A" w14:textId="77777777" w:rsidR="00044510" w:rsidRPr="00B118D9" w:rsidRDefault="00044510" w:rsidP="00044510">
            <w:pPr>
              <w:pStyle w:val="TableText"/>
              <w:rPr>
                <w:szCs w:val="24"/>
              </w:rPr>
            </w:pPr>
          </w:p>
        </w:tc>
      </w:tr>
      <w:tr w:rsidR="00044510" w:rsidRPr="00B118D9" w14:paraId="6C93ED5C" w14:textId="77777777" w:rsidTr="00044510">
        <w:trPr>
          <w:cantSplit/>
          <w:trHeight w:val="454"/>
        </w:trPr>
        <w:tc>
          <w:tcPr>
            <w:tcW w:w="4365" w:type="dxa"/>
            <w:shd w:val="clear" w:color="auto" w:fill="F3F3F3"/>
          </w:tcPr>
          <w:p w14:paraId="2F8C4579" w14:textId="77777777" w:rsidR="00044510" w:rsidRPr="00B118D9" w:rsidRDefault="00044510" w:rsidP="00044510">
            <w:pPr>
              <w:pStyle w:val="TableText"/>
              <w:rPr>
                <w:b/>
                <w:szCs w:val="24"/>
              </w:rPr>
            </w:pPr>
          </w:p>
        </w:tc>
        <w:tc>
          <w:tcPr>
            <w:tcW w:w="5272" w:type="dxa"/>
          </w:tcPr>
          <w:p w14:paraId="335204EE" w14:textId="77777777" w:rsidR="00044510" w:rsidRPr="00B118D9" w:rsidRDefault="00044510" w:rsidP="00044510">
            <w:pPr>
              <w:pStyle w:val="TableText"/>
              <w:rPr>
                <w:szCs w:val="24"/>
              </w:rPr>
            </w:pPr>
          </w:p>
        </w:tc>
      </w:tr>
      <w:tr w:rsidR="00044510" w:rsidRPr="00B118D9" w14:paraId="70FE7F80" w14:textId="77777777" w:rsidTr="00044510">
        <w:trPr>
          <w:cantSplit/>
          <w:trHeight w:val="454"/>
        </w:trPr>
        <w:tc>
          <w:tcPr>
            <w:tcW w:w="4365" w:type="dxa"/>
            <w:shd w:val="clear" w:color="auto" w:fill="F3F3F3"/>
          </w:tcPr>
          <w:p w14:paraId="0205C688" w14:textId="77777777" w:rsidR="00044510" w:rsidRPr="00B118D9" w:rsidRDefault="00044510" w:rsidP="00044510">
            <w:pPr>
              <w:pStyle w:val="TableText"/>
              <w:rPr>
                <w:b/>
                <w:szCs w:val="24"/>
              </w:rPr>
            </w:pPr>
            <w:r w:rsidRPr="00B118D9">
              <w:rPr>
                <w:b/>
                <w:szCs w:val="24"/>
              </w:rPr>
              <w:t>Postcode</w:t>
            </w:r>
          </w:p>
        </w:tc>
        <w:tc>
          <w:tcPr>
            <w:tcW w:w="5272" w:type="dxa"/>
          </w:tcPr>
          <w:p w14:paraId="329DF64C" w14:textId="77777777" w:rsidR="00044510" w:rsidRPr="00B118D9" w:rsidRDefault="00044510" w:rsidP="00044510">
            <w:pPr>
              <w:pStyle w:val="TableText"/>
              <w:rPr>
                <w:szCs w:val="24"/>
              </w:rPr>
            </w:pPr>
          </w:p>
        </w:tc>
      </w:tr>
      <w:tr w:rsidR="00044510" w:rsidRPr="00B118D9" w14:paraId="0CC9BE13" w14:textId="77777777" w:rsidTr="00044510">
        <w:trPr>
          <w:cantSplit/>
          <w:trHeight w:val="1241"/>
        </w:trPr>
        <w:tc>
          <w:tcPr>
            <w:tcW w:w="4365" w:type="dxa"/>
            <w:shd w:val="clear" w:color="auto" w:fill="F3F3F3"/>
          </w:tcPr>
          <w:p w14:paraId="6E6E43B0" w14:textId="77777777" w:rsidR="00044510" w:rsidRPr="00B118D9" w:rsidRDefault="00044510" w:rsidP="00044510">
            <w:pPr>
              <w:pStyle w:val="TableText"/>
              <w:rPr>
                <w:szCs w:val="24"/>
              </w:rPr>
            </w:pPr>
            <w:r w:rsidRPr="00B118D9">
              <w:rPr>
                <w:szCs w:val="24"/>
              </w:rPr>
              <w:t>If you would like us to acknowledge receipt of your response, please tick this box</w:t>
            </w:r>
          </w:p>
        </w:tc>
        <w:tc>
          <w:tcPr>
            <w:tcW w:w="5272" w:type="dxa"/>
          </w:tcPr>
          <w:p w14:paraId="1727B040" w14:textId="77777777" w:rsidR="00044510" w:rsidRPr="00B118D9" w:rsidRDefault="00044510" w:rsidP="00044510">
            <w:pPr>
              <w:pStyle w:val="TableText"/>
              <w:spacing w:before="240"/>
              <w:rPr>
                <w:szCs w:val="24"/>
              </w:rPr>
            </w:pPr>
            <w:r w:rsidRPr="00B118D9">
              <w:rPr>
                <w:szCs w:val="24"/>
              </w:rPr>
              <w:fldChar w:fldCharType="begin">
                <w:ffData>
                  <w:name w:val=""/>
                  <w:enabled/>
                  <w:calcOnExit w:val="0"/>
                  <w:checkBox>
                    <w:size w:val="36"/>
                    <w:default w:val="0"/>
                  </w:checkBox>
                </w:ffData>
              </w:fldChar>
            </w:r>
            <w:r w:rsidRPr="00B118D9">
              <w:rPr>
                <w:szCs w:val="24"/>
              </w:rPr>
              <w:instrText xml:space="preserve"> FORMCHECKBOX </w:instrText>
            </w:r>
            <w:r w:rsidR="000519B3">
              <w:rPr>
                <w:szCs w:val="24"/>
              </w:rPr>
            </w:r>
            <w:r w:rsidR="000519B3">
              <w:rPr>
                <w:szCs w:val="24"/>
              </w:rPr>
              <w:fldChar w:fldCharType="separate"/>
            </w:r>
            <w:r w:rsidRPr="00B118D9">
              <w:rPr>
                <w:szCs w:val="24"/>
              </w:rPr>
              <w:fldChar w:fldCharType="end"/>
            </w:r>
          </w:p>
          <w:p w14:paraId="68A13DB9" w14:textId="77777777" w:rsidR="00044510" w:rsidRPr="00B118D9" w:rsidRDefault="00044510" w:rsidP="00044510">
            <w:pPr>
              <w:pStyle w:val="TableText"/>
              <w:rPr>
                <w:szCs w:val="24"/>
              </w:rPr>
            </w:pPr>
            <w:r w:rsidRPr="00B118D9">
              <w:rPr>
                <w:szCs w:val="24"/>
              </w:rPr>
              <w:t>(please tick box)</w:t>
            </w:r>
          </w:p>
        </w:tc>
      </w:tr>
      <w:tr w:rsidR="00044510" w:rsidRPr="00B118D9" w14:paraId="17F7BD50" w14:textId="77777777" w:rsidTr="00044510">
        <w:trPr>
          <w:cantSplit/>
          <w:trHeight w:val="454"/>
        </w:trPr>
        <w:tc>
          <w:tcPr>
            <w:tcW w:w="4365" w:type="dxa"/>
            <w:vMerge w:val="restart"/>
            <w:shd w:val="clear" w:color="auto" w:fill="F3F3F3"/>
          </w:tcPr>
          <w:p w14:paraId="328D868A" w14:textId="77777777" w:rsidR="00044510" w:rsidRPr="00B118D9" w:rsidRDefault="00044510" w:rsidP="00044510">
            <w:pPr>
              <w:pStyle w:val="TableText"/>
              <w:rPr>
                <w:szCs w:val="24"/>
              </w:rPr>
            </w:pPr>
            <w:r w:rsidRPr="00B118D9">
              <w:rPr>
                <w:szCs w:val="24"/>
              </w:rPr>
              <w:t>Address to which the acknowledgement should be sent, if different from above</w:t>
            </w:r>
          </w:p>
        </w:tc>
        <w:tc>
          <w:tcPr>
            <w:tcW w:w="5272" w:type="dxa"/>
          </w:tcPr>
          <w:p w14:paraId="7A6F3957" w14:textId="77777777" w:rsidR="00044510" w:rsidRPr="00B118D9" w:rsidRDefault="00044510" w:rsidP="00044510">
            <w:pPr>
              <w:pStyle w:val="TableText"/>
              <w:rPr>
                <w:szCs w:val="24"/>
              </w:rPr>
            </w:pPr>
          </w:p>
        </w:tc>
      </w:tr>
      <w:tr w:rsidR="00044510" w:rsidRPr="00B118D9" w14:paraId="0002D37C" w14:textId="77777777" w:rsidTr="00044510">
        <w:trPr>
          <w:cantSplit/>
          <w:trHeight w:val="454"/>
        </w:trPr>
        <w:tc>
          <w:tcPr>
            <w:tcW w:w="4365" w:type="dxa"/>
            <w:vMerge/>
            <w:shd w:val="clear" w:color="auto" w:fill="F3F3F3"/>
          </w:tcPr>
          <w:p w14:paraId="16265F89" w14:textId="77777777" w:rsidR="00044510" w:rsidRPr="00B118D9" w:rsidRDefault="00044510" w:rsidP="00044510">
            <w:pPr>
              <w:spacing w:after="0"/>
              <w:rPr>
                <w:szCs w:val="24"/>
              </w:rPr>
            </w:pPr>
          </w:p>
        </w:tc>
        <w:tc>
          <w:tcPr>
            <w:tcW w:w="5272" w:type="dxa"/>
          </w:tcPr>
          <w:p w14:paraId="592BCA75" w14:textId="77777777" w:rsidR="00044510" w:rsidRPr="00B118D9" w:rsidRDefault="00044510" w:rsidP="00044510">
            <w:pPr>
              <w:pStyle w:val="TableText"/>
              <w:rPr>
                <w:szCs w:val="24"/>
              </w:rPr>
            </w:pPr>
          </w:p>
        </w:tc>
      </w:tr>
      <w:tr w:rsidR="00044510" w:rsidRPr="00B118D9" w14:paraId="0E5F281D" w14:textId="77777777" w:rsidTr="00044510">
        <w:trPr>
          <w:cantSplit/>
          <w:trHeight w:val="454"/>
        </w:trPr>
        <w:tc>
          <w:tcPr>
            <w:tcW w:w="4365" w:type="dxa"/>
            <w:vMerge/>
            <w:shd w:val="clear" w:color="auto" w:fill="F3F3F3"/>
          </w:tcPr>
          <w:p w14:paraId="0777DB85" w14:textId="77777777" w:rsidR="00044510" w:rsidRPr="00B118D9" w:rsidRDefault="00044510" w:rsidP="00044510">
            <w:pPr>
              <w:spacing w:after="0"/>
              <w:rPr>
                <w:szCs w:val="24"/>
              </w:rPr>
            </w:pPr>
          </w:p>
        </w:tc>
        <w:tc>
          <w:tcPr>
            <w:tcW w:w="5272" w:type="dxa"/>
          </w:tcPr>
          <w:p w14:paraId="1C2D3BE3" w14:textId="77777777" w:rsidR="00044510" w:rsidRPr="00B118D9" w:rsidRDefault="00044510" w:rsidP="00044510">
            <w:pPr>
              <w:pStyle w:val="TableText"/>
              <w:rPr>
                <w:szCs w:val="24"/>
              </w:rPr>
            </w:pPr>
          </w:p>
        </w:tc>
      </w:tr>
    </w:tbl>
    <w:p w14:paraId="7392A731" w14:textId="77777777" w:rsidR="00044510" w:rsidRPr="00B118D9" w:rsidRDefault="00044510" w:rsidP="00044510">
      <w:pPr>
        <w:pStyle w:val="BodyText"/>
        <w:spacing w:before="240"/>
        <w:rPr>
          <w:szCs w:val="24"/>
        </w:rPr>
      </w:pPr>
      <w:r w:rsidRPr="00B118D9">
        <w:rPr>
          <w:b/>
          <w:szCs w:val="24"/>
        </w:rPr>
        <w:t>If you are a representative of a group</w:t>
      </w:r>
      <w:r w:rsidRPr="00B118D9">
        <w:rPr>
          <w:szCs w:val="24"/>
        </w:rPr>
        <w:t>, please tell us the name of the group and give a summary of the people or organisations that you represent.</w:t>
      </w:r>
    </w:p>
    <w:tbl>
      <w:tblPr>
        <w:tblW w:w="9638" w:type="dxa"/>
        <w:tblInd w:w="57" w:type="dxa"/>
        <w:tblBorders>
          <w:insideH w:val="single" w:sz="4" w:space="0" w:color="auto"/>
        </w:tblBorders>
        <w:tblLayout w:type="fixed"/>
        <w:tblCellMar>
          <w:left w:w="57" w:type="dxa"/>
          <w:right w:w="57" w:type="dxa"/>
        </w:tblCellMar>
        <w:tblLook w:val="0000" w:firstRow="0" w:lastRow="0" w:firstColumn="0" w:lastColumn="0" w:noHBand="0" w:noVBand="0"/>
      </w:tblPr>
      <w:tblGrid>
        <w:gridCol w:w="9638"/>
      </w:tblGrid>
      <w:tr w:rsidR="00044510" w:rsidRPr="00B118D9" w14:paraId="0ED7DE64" w14:textId="77777777" w:rsidTr="00044510">
        <w:trPr>
          <w:cantSplit/>
          <w:trHeight w:val="454"/>
        </w:trPr>
        <w:tc>
          <w:tcPr>
            <w:tcW w:w="9638" w:type="dxa"/>
          </w:tcPr>
          <w:p w14:paraId="5C24E7A7" w14:textId="77777777" w:rsidR="00044510" w:rsidRPr="00B118D9" w:rsidRDefault="00044510" w:rsidP="00044510">
            <w:pPr>
              <w:pStyle w:val="TableText"/>
              <w:rPr>
                <w:szCs w:val="24"/>
              </w:rPr>
            </w:pPr>
          </w:p>
        </w:tc>
      </w:tr>
      <w:tr w:rsidR="00044510" w:rsidRPr="00B118D9" w14:paraId="3BD08C64" w14:textId="77777777" w:rsidTr="00044510">
        <w:trPr>
          <w:cantSplit/>
          <w:trHeight w:val="454"/>
        </w:trPr>
        <w:tc>
          <w:tcPr>
            <w:tcW w:w="9638" w:type="dxa"/>
          </w:tcPr>
          <w:p w14:paraId="0A7B6B50" w14:textId="77777777" w:rsidR="00044510" w:rsidRPr="00B118D9" w:rsidRDefault="00044510" w:rsidP="00044510">
            <w:pPr>
              <w:pStyle w:val="TableText"/>
              <w:rPr>
                <w:szCs w:val="24"/>
              </w:rPr>
            </w:pPr>
          </w:p>
        </w:tc>
      </w:tr>
      <w:tr w:rsidR="00044510" w:rsidRPr="00B118D9" w14:paraId="78F6C2D0" w14:textId="77777777" w:rsidTr="00044510">
        <w:trPr>
          <w:cantSplit/>
          <w:trHeight w:val="454"/>
        </w:trPr>
        <w:tc>
          <w:tcPr>
            <w:tcW w:w="9638" w:type="dxa"/>
            <w:tcBorders>
              <w:bottom w:val="nil"/>
            </w:tcBorders>
          </w:tcPr>
          <w:p w14:paraId="4AA6B83C" w14:textId="77777777" w:rsidR="00044510" w:rsidRPr="00B118D9" w:rsidRDefault="00044510" w:rsidP="00044510">
            <w:pPr>
              <w:pStyle w:val="TableText"/>
              <w:rPr>
                <w:szCs w:val="24"/>
              </w:rPr>
            </w:pPr>
          </w:p>
        </w:tc>
      </w:tr>
      <w:tr w:rsidR="00044510" w:rsidRPr="00B118D9" w14:paraId="6F36AF03" w14:textId="77777777" w:rsidTr="00044510">
        <w:trPr>
          <w:cantSplit/>
          <w:trHeight w:val="454"/>
        </w:trPr>
        <w:tc>
          <w:tcPr>
            <w:tcW w:w="9638" w:type="dxa"/>
            <w:tcBorders>
              <w:top w:val="single" w:sz="4" w:space="0" w:color="auto"/>
              <w:bottom w:val="single" w:sz="4" w:space="0" w:color="auto"/>
            </w:tcBorders>
          </w:tcPr>
          <w:p w14:paraId="2D9CB0C8" w14:textId="77777777" w:rsidR="00044510" w:rsidRPr="00B118D9" w:rsidRDefault="00044510" w:rsidP="00044510">
            <w:pPr>
              <w:pStyle w:val="TableText"/>
              <w:rPr>
                <w:szCs w:val="24"/>
              </w:rPr>
            </w:pPr>
          </w:p>
        </w:tc>
      </w:tr>
    </w:tbl>
    <w:p w14:paraId="1FE4F570" w14:textId="77777777" w:rsidR="00044510" w:rsidRPr="00B118D9" w:rsidRDefault="00044510" w:rsidP="00044510">
      <w:pPr>
        <w:pStyle w:val="BodyText"/>
        <w:rPr>
          <w:szCs w:val="24"/>
        </w:rPr>
      </w:pPr>
    </w:p>
    <w:sectPr w:rsidR="00044510" w:rsidRPr="00B118D9" w:rsidSect="00932F7F">
      <w:headerReference w:type="default" r:id="rId13"/>
      <w:footerReference w:type="default" r:id="rId14"/>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919A" w14:textId="77777777" w:rsidR="00044510" w:rsidRDefault="00044510" w:rsidP="00B91315">
      <w:pPr>
        <w:spacing w:after="0" w:line="240" w:lineRule="auto"/>
      </w:pPr>
      <w:r>
        <w:separator/>
      </w:r>
    </w:p>
  </w:endnote>
  <w:endnote w:type="continuationSeparator" w:id="0">
    <w:p w14:paraId="384423E0" w14:textId="77777777" w:rsidR="00044510" w:rsidRDefault="00044510"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52A5" w14:textId="77777777" w:rsidR="00044510" w:rsidRDefault="00044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5421" w14:textId="77777777" w:rsidR="00044510" w:rsidRDefault="00044510" w:rsidP="00B91315">
      <w:pPr>
        <w:spacing w:after="0" w:line="240" w:lineRule="auto"/>
      </w:pPr>
      <w:r>
        <w:separator/>
      </w:r>
    </w:p>
  </w:footnote>
  <w:footnote w:type="continuationSeparator" w:id="0">
    <w:p w14:paraId="04DDD9BA" w14:textId="77777777" w:rsidR="00044510" w:rsidRDefault="00044510" w:rsidP="00B9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DBA0" w14:textId="77777777" w:rsidR="00044510" w:rsidRPr="009A1CE1" w:rsidRDefault="00044510" w:rsidP="009A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A61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8B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52A6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C05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4EB1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5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9C5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AE141E"/>
    <w:lvl w:ilvl="0">
      <w:start w:val="1"/>
      <w:numFmt w:val="bullet"/>
      <w:pStyle w:val="ListBullet2"/>
      <w:lvlText w:val=""/>
      <w:lvlJc w:val="left"/>
      <w:pPr>
        <w:ind w:left="717" w:hanging="360"/>
      </w:pPr>
      <w:rPr>
        <w:rFonts w:ascii="Symbol" w:hAnsi="Symbol" w:hint="default"/>
        <w:color w:val="000000" w:themeColor="text1"/>
      </w:rPr>
    </w:lvl>
  </w:abstractNum>
  <w:abstractNum w:abstractNumId="8"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E8B4F4A6"/>
    <w:lvl w:ilvl="0">
      <w:start w:val="1"/>
      <w:numFmt w:val="bullet"/>
      <w:pStyle w:val="ListBullet"/>
      <w:lvlText w:val=""/>
      <w:lvlJc w:val="left"/>
      <w:pPr>
        <w:ind w:left="360" w:hanging="360"/>
      </w:pPr>
      <w:rPr>
        <w:rFonts w:ascii="Symbol" w:hAnsi="Symbol" w:hint="default"/>
        <w:color w:val="000000" w:themeColor="text1"/>
      </w:rPr>
    </w:lvl>
  </w:abstractNum>
  <w:abstractNum w:abstractNumId="10" w15:restartNumberingAfterBreak="0">
    <w:nsid w:val="033669D5"/>
    <w:multiLevelType w:val="hybridMultilevel"/>
    <w:tmpl w:val="709EF850"/>
    <w:lvl w:ilvl="0" w:tplc="EB1AED40">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05CC24B2"/>
    <w:multiLevelType w:val="hybridMultilevel"/>
    <w:tmpl w:val="72047C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4170C0"/>
    <w:multiLevelType w:val="hybridMultilevel"/>
    <w:tmpl w:val="C8C2633E"/>
    <w:lvl w:ilvl="0" w:tplc="08090003">
      <w:start w:val="1"/>
      <w:numFmt w:val="bullet"/>
      <w:lvlText w:val="o"/>
      <w:lvlJc w:val="left"/>
      <w:pPr>
        <w:ind w:left="720" w:hanging="360"/>
      </w:pPr>
      <w:rPr>
        <w:rFonts w:ascii="Courier New" w:hAnsi="Courier New" w:cs="Courier New" w:hint="default"/>
      </w:rPr>
    </w:lvl>
    <w:lvl w:ilvl="1" w:tplc="B10CA6BE">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C42700"/>
    <w:multiLevelType w:val="hybridMultilevel"/>
    <w:tmpl w:val="4B28BA68"/>
    <w:lvl w:ilvl="0" w:tplc="08090019">
      <w:start w:val="1"/>
      <w:numFmt w:val="lowerLetter"/>
      <w:lvlText w:val="%1."/>
      <w:lvlJc w:val="left"/>
      <w:pPr>
        <w:ind w:left="1210" w:hanging="360"/>
      </w:pPr>
      <w:rPr>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4" w15:restartNumberingAfterBreak="0">
    <w:nsid w:val="132E01F6"/>
    <w:multiLevelType w:val="hybridMultilevel"/>
    <w:tmpl w:val="C4BAC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491455"/>
    <w:multiLevelType w:val="hybridMultilevel"/>
    <w:tmpl w:val="7960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750197"/>
    <w:multiLevelType w:val="hybridMultilevel"/>
    <w:tmpl w:val="48FC57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B03CBF"/>
    <w:multiLevelType w:val="hybridMultilevel"/>
    <w:tmpl w:val="D1427E8C"/>
    <w:lvl w:ilvl="0" w:tplc="67886518">
      <w:start w:val="1"/>
      <w:numFmt w:val="lowerLetter"/>
      <w:lvlText w:val="%1."/>
      <w:lvlJc w:val="left"/>
      <w:pPr>
        <w:ind w:left="1210" w:hanging="360"/>
      </w:pPr>
      <w:rPr>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8" w15:restartNumberingAfterBreak="0">
    <w:nsid w:val="25637836"/>
    <w:multiLevelType w:val="hybridMultilevel"/>
    <w:tmpl w:val="224C0FEE"/>
    <w:lvl w:ilvl="0" w:tplc="195066E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E13326"/>
    <w:multiLevelType w:val="hybridMultilevel"/>
    <w:tmpl w:val="F3E43976"/>
    <w:lvl w:ilvl="0" w:tplc="A1B07F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30795"/>
    <w:multiLevelType w:val="hybridMultilevel"/>
    <w:tmpl w:val="FB709E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2DF5A64"/>
    <w:multiLevelType w:val="hybridMultilevel"/>
    <w:tmpl w:val="E07476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04FDD"/>
    <w:multiLevelType w:val="hybridMultilevel"/>
    <w:tmpl w:val="5BDA307E"/>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C526B"/>
    <w:multiLevelType w:val="hybridMultilevel"/>
    <w:tmpl w:val="0F6E3F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A25EA0"/>
    <w:multiLevelType w:val="hybridMultilevel"/>
    <w:tmpl w:val="613A58F4"/>
    <w:lvl w:ilvl="0" w:tplc="09CE87F4">
      <w:start w:val="1"/>
      <w:numFmt w:val="lowerLetter"/>
      <w:lvlText w:val="%1."/>
      <w:lvlJc w:val="left"/>
      <w:pPr>
        <w:ind w:left="1636" w:hanging="360"/>
      </w:pPr>
      <w:rPr>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15:restartNumberingAfterBreak="0">
    <w:nsid w:val="4C453523"/>
    <w:multiLevelType w:val="hybridMultilevel"/>
    <w:tmpl w:val="86BA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327A2C"/>
    <w:multiLevelType w:val="hybridMultilevel"/>
    <w:tmpl w:val="99BC347A"/>
    <w:lvl w:ilvl="0" w:tplc="EB1AED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80FD5"/>
    <w:multiLevelType w:val="hybridMultilevel"/>
    <w:tmpl w:val="20F22A3E"/>
    <w:lvl w:ilvl="0" w:tplc="35568A32">
      <w:start w:val="1"/>
      <w:numFmt w:val="lowerRoman"/>
      <w:lvlText w:val="%1."/>
      <w:lvlJc w:val="left"/>
      <w:pPr>
        <w:ind w:left="121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9C4CA3"/>
    <w:multiLevelType w:val="hybridMultilevel"/>
    <w:tmpl w:val="77C4F872"/>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AC15ECA"/>
    <w:multiLevelType w:val="hybridMultilevel"/>
    <w:tmpl w:val="6114A6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82722"/>
    <w:multiLevelType w:val="hybridMultilevel"/>
    <w:tmpl w:val="CB143FFE"/>
    <w:lvl w:ilvl="0" w:tplc="183C2DEA">
      <w:start w:val="1"/>
      <w:numFmt w:val="lowerRoman"/>
      <w:lvlText w:val="%1."/>
      <w:lvlJc w:val="left"/>
      <w:pPr>
        <w:tabs>
          <w:tab w:val="num" w:pos="1077"/>
        </w:tabs>
        <w:ind w:left="107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92B5258"/>
    <w:multiLevelType w:val="hybridMultilevel"/>
    <w:tmpl w:val="A3A2E518"/>
    <w:lvl w:ilvl="0" w:tplc="149C192A">
      <w:start w:val="1"/>
      <w:numFmt w:val="lowerRoman"/>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1B52BE"/>
    <w:multiLevelType w:val="hybridMultilevel"/>
    <w:tmpl w:val="20F22A3E"/>
    <w:lvl w:ilvl="0" w:tplc="35568A32">
      <w:start w:val="1"/>
      <w:numFmt w:val="lowerRoman"/>
      <w:lvlText w:val="%1."/>
      <w:lvlJc w:val="left"/>
      <w:pPr>
        <w:ind w:left="121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6331EB"/>
    <w:multiLevelType w:val="hybridMultilevel"/>
    <w:tmpl w:val="A3A2E518"/>
    <w:lvl w:ilvl="0" w:tplc="149C192A">
      <w:start w:val="1"/>
      <w:numFmt w:val="lowerRoman"/>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9"/>
    <w:lvlOverride w:ilvl="0">
      <w:startOverride w:val="1"/>
    </w:lvlOverride>
  </w:num>
  <w:num w:numId="5">
    <w:abstractNumId w:val="7"/>
    <w:lvlOverride w:ilvl="0">
      <w:startOverride w:val="1"/>
    </w:lvlOverride>
  </w:num>
  <w:num w:numId="6">
    <w:abstractNumId w:val="9"/>
  </w:num>
  <w:num w:numId="7">
    <w:abstractNumId w:val="18"/>
  </w:num>
  <w:num w:numId="8">
    <w:abstractNumId w:val="16"/>
  </w:num>
  <w:num w:numId="9">
    <w:abstractNumId w:val="14"/>
  </w:num>
  <w:num w:numId="10">
    <w:abstractNumId w:val="12"/>
  </w:num>
  <w:num w:numId="11">
    <w:abstractNumId w:val="29"/>
  </w:num>
  <w:num w:numId="12">
    <w:abstractNumId w:val="13"/>
  </w:num>
  <w:num w:numId="13">
    <w:abstractNumId w:val="15"/>
  </w:num>
  <w:num w:numId="14">
    <w:abstractNumId w:val="20"/>
  </w:num>
  <w:num w:numId="15">
    <w:abstractNumId w:val="28"/>
  </w:num>
  <w:num w:numId="16">
    <w:abstractNumId w:val="24"/>
  </w:num>
  <w:num w:numId="17">
    <w:abstractNumId w:val="17"/>
  </w:num>
  <w:num w:numId="18">
    <w:abstractNumId w:val="11"/>
  </w:num>
  <w:num w:numId="19">
    <w:abstractNumId w:val="23"/>
  </w:num>
  <w:num w:numId="20">
    <w:abstractNumId w:val="10"/>
  </w:num>
  <w:num w:numId="21">
    <w:abstractNumId w:val="22"/>
  </w:num>
  <w:num w:numId="22">
    <w:abstractNumId w:val="25"/>
  </w:num>
  <w:num w:numId="23">
    <w:abstractNumId w:val="32"/>
  </w:num>
  <w:num w:numId="24">
    <w:abstractNumId w:val="21"/>
  </w:num>
  <w:num w:numId="25">
    <w:abstractNumId w:val="26"/>
  </w:num>
  <w:num w:numId="26">
    <w:abstractNumId w:val="19"/>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7"/>
  </w:num>
  <w:num w:numId="42">
    <w:abstractNumId w:val="7"/>
  </w:num>
  <w:num w:numId="43">
    <w:abstractNumId w:val="8"/>
  </w:num>
  <w:num w:numId="44">
    <w:abstractNumId w:val="8"/>
  </w:num>
  <w:num w:numId="45">
    <w:abstractNumId w:val="31"/>
  </w:num>
  <w:num w:numId="46">
    <w:abstractNumId w:val="33"/>
  </w:num>
  <w:num w:numId="47">
    <w:abstractNumId w:val="2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BD"/>
    <w:rsid w:val="00014B4E"/>
    <w:rsid w:val="00022442"/>
    <w:rsid w:val="00044510"/>
    <w:rsid w:val="000519B3"/>
    <w:rsid w:val="000819F7"/>
    <w:rsid w:val="00090E40"/>
    <w:rsid w:val="000F3028"/>
    <w:rsid w:val="00175D09"/>
    <w:rsid w:val="001A71CD"/>
    <w:rsid w:val="001E1F0A"/>
    <w:rsid w:val="00207BB8"/>
    <w:rsid w:val="00240F37"/>
    <w:rsid w:val="00293CEB"/>
    <w:rsid w:val="00296BE6"/>
    <w:rsid w:val="002D4375"/>
    <w:rsid w:val="002F075A"/>
    <w:rsid w:val="003278ED"/>
    <w:rsid w:val="003355F1"/>
    <w:rsid w:val="00362EDF"/>
    <w:rsid w:val="003C3B7C"/>
    <w:rsid w:val="003D27AC"/>
    <w:rsid w:val="0041709A"/>
    <w:rsid w:val="00446DDB"/>
    <w:rsid w:val="004C3FA9"/>
    <w:rsid w:val="004C6540"/>
    <w:rsid w:val="00504FBD"/>
    <w:rsid w:val="00526855"/>
    <w:rsid w:val="00545B6C"/>
    <w:rsid w:val="00571DBD"/>
    <w:rsid w:val="005E51D0"/>
    <w:rsid w:val="00606980"/>
    <w:rsid w:val="0062433C"/>
    <w:rsid w:val="0064016B"/>
    <w:rsid w:val="006A578B"/>
    <w:rsid w:val="006E0AEC"/>
    <w:rsid w:val="007217FD"/>
    <w:rsid w:val="007A1BE5"/>
    <w:rsid w:val="007C5CF0"/>
    <w:rsid w:val="008114F6"/>
    <w:rsid w:val="008B2C35"/>
    <w:rsid w:val="008B4960"/>
    <w:rsid w:val="008C6120"/>
    <w:rsid w:val="0090742E"/>
    <w:rsid w:val="00916276"/>
    <w:rsid w:val="009179CD"/>
    <w:rsid w:val="00932F7F"/>
    <w:rsid w:val="00943443"/>
    <w:rsid w:val="00990242"/>
    <w:rsid w:val="009A1CE1"/>
    <w:rsid w:val="009A6990"/>
    <w:rsid w:val="009B09B3"/>
    <w:rsid w:val="00A272B2"/>
    <w:rsid w:val="00AA7CAE"/>
    <w:rsid w:val="00AD05F3"/>
    <w:rsid w:val="00AD52C7"/>
    <w:rsid w:val="00AE4DF7"/>
    <w:rsid w:val="00B118D9"/>
    <w:rsid w:val="00B4736D"/>
    <w:rsid w:val="00B91315"/>
    <w:rsid w:val="00BC4DBC"/>
    <w:rsid w:val="00C83002"/>
    <w:rsid w:val="00D50660"/>
    <w:rsid w:val="00E24EE3"/>
    <w:rsid w:val="00E4123E"/>
    <w:rsid w:val="00E42483"/>
    <w:rsid w:val="00EB0BAD"/>
    <w:rsid w:val="00F04FD2"/>
    <w:rsid w:val="00F6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789F37"/>
  <w15:chartTrackingRefBased/>
  <w15:docId w15:val="{256F8AC0-5616-4371-829F-391D8EB3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8"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uiPriority="0"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2" w:qFormat="1"/>
    <w:lsdException w:name="List Number" w:uiPriority="1" w:qFormat="1"/>
    <w:lsdException w:name="List 2" w:semiHidden="1"/>
    <w:lsdException w:name="List 3" w:semiHidden="1"/>
    <w:lsdException w:name="List 4" w:semiHidden="1"/>
    <w:lsdException w:name="List 5" w:semiHidden="1"/>
    <w:lsdException w:name="List Bullet 2" w:uiPriority="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8"/>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7217FD"/>
    <w:pPr>
      <w:spacing w:after="240" w:line="276" w:lineRule="auto"/>
    </w:pPr>
    <w:rPr>
      <w:sz w:val="24"/>
    </w:rPr>
  </w:style>
  <w:style w:type="paragraph" w:styleId="Heading1">
    <w:name w:val="heading 1"/>
    <w:next w:val="BodyText"/>
    <w:link w:val="Heading1Char"/>
    <w:qFormat/>
    <w:rsid w:val="00362EDF"/>
    <w:pPr>
      <w:keepNext/>
      <w:keepLines/>
      <w:pageBreakBefore/>
      <w:spacing w:after="840" w:line="240" w:lineRule="auto"/>
      <w:contextualSpacing/>
      <w:outlineLvl w:val="0"/>
    </w:pPr>
    <w:rPr>
      <w:rFonts w:asciiTheme="majorHAnsi" w:eastAsiaTheme="majorEastAsia" w:hAnsiTheme="majorHAnsi" w:cstheme="majorBidi"/>
      <w:b/>
      <w:sz w:val="48"/>
      <w:szCs w:val="32"/>
    </w:rPr>
  </w:style>
  <w:style w:type="paragraph" w:styleId="Heading2">
    <w:name w:val="heading 2"/>
    <w:next w:val="BodyText"/>
    <w:link w:val="Heading2Char"/>
    <w:qFormat/>
    <w:rsid w:val="00C83002"/>
    <w:pPr>
      <w:keepNext/>
      <w:keepLines/>
      <w:spacing w:before="480" w:after="24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C83002"/>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606980"/>
    <w:pPr>
      <w:keepNext/>
      <w:keepLines/>
      <w:spacing w:after="0" w:line="276" w:lineRule="auto"/>
      <w:contextualSpacing/>
      <w:outlineLvl w:val="3"/>
    </w:pPr>
    <w:rPr>
      <w:rFonts w:asciiTheme="majorHAnsi" w:eastAsiaTheme="majorEastAsia" w:hAnsiTheme="majorHAnsi" w:cstheme="majorBidi"/>
      <w:b/>
      <w:i/>
      <w:iCs/>
      <w:sz w:val="24"/>
    </w:rPr>
  </w:style>
  <w:style w:type="paragraph" w:styleId="Heading5">
    <w:name w:val="heading 5"/>
    <w:basedOn w:val="Heading4"/>
    <w:next w:val="BodyText"/>
    <w:link w:val="Heading5Char"/>
    <w:qFormat/>
    <w:rsid w:val="00606980"/>
    <w:pPr>
      <w:spacing w:before="120"/>
      <w:contextualSpacing w:val="0"/>
      <w:outlineLvl w:val="4"/>
    </w:pPr>
    <w:rPr>
      <w:b w:val="0"/>
    </w:rPr>
  </w:style>
  <w:style w:type="paragraph" w:styleId="Heading6">
    <w:name w:val="heading 6"/>
    <w:basedOn w:val="Heading5"/>
    <w:next w:val="BodyText"/>
    <w:link w:val="Heading6Char"/>
    <w:qFormat/>
    <w:rsid w:val="00606980"/>
    <w:pPr>
      <w:spacing w:before="0"/>
      <w:outlineLvl w:val="5"/>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C83002"/>
    <w:pPr>
      <w:spacing w:after="240" w:line="276" w:lineRule="auto"/>
    </w:pPr>
    <w:rPr>
      <w:sz w:val="24"/>
    </w:rPr>
  </w:style>
  <w:style w:type="character" w:customStyle="1" w:styleId="BodyTextChar">
    <w:name w:val="Body Text Char"/>
    <w:basedOn w:val="DefaultParagraphFont"/>
    <w:link w:val="BodyText"/>
    <w:uiPriority w:val="1"/>
    <w:rsid w:val="00C83002"/>
    <w:rPr>
      <w:sz w:val="24"/>
    </w:rPr>
  </w:style>
  <w:style w:type="character" w:customStyle="1" w:styleId="Heading1Char">
    <w:name w:val="Heading 1 Char"/>
    <w:basedOn w:val="DefaultParagraphFont"/>
    <w:link w:val="Heading1"/>
    <w:rsid w:val="00362EDF"/>
    <w:rPr>
      <w:rFonts w:asciiTheme="majorHAnsi" w:eastAsiaTheme="majorEastAsia" w:hAnsiTheme="majorHAnsi" w:cstheme="majorBidi"/>
      <w:b/>
      <w:sz w:val="48"/>
      <w:szCs w:val="32"/>
    </w:rPr>
  </w:style>
  <w:style w:type="character" w:customStyle="1" w:styleId="Heading2Char">
    <w:name w:val="Heading 2 Char"/>
    <w:basedOn w:val="DefaultParagraphFont"/>
    <w:link w:val="Heading2"/>
    <w:rsid w:val="00C83002"/>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C83002"/>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606980"/>
    <w:rPr>
      <w:rFonts w:asciiTheme="majorHAnsi" w:eastAsiaTheme="majorEastAsia" w:hAnsiTheme="majorHAnsi" w:cstheme="majorBidi"/>
      <w:b/>
      <w:i/>
      <w:iCs/>
      <w:sz w:val="24"/>
    </w:rPr>
  </w:style>
  <w:style w:type="paragraph" w:styleId="FootnoteText">
    <w:name w:val="footnote text"/>
    <w:basedOn w:val="BodyText"/>
    <w:link w:val="FootnoteTextChar"/>
    <w:uiPriority w:val="99"/>
    <w:qFormat/>
    <w:rsid w:val="00916276"/>
    <w:pPr>
      <w:spacing w:after="40"/>
      <w:ind w:left="284" w:hanging="284"/>
    </w:pPr>
    <w:rPr>
      <w:sz w:val="20"/>
      <w:szCs w:val="20"/>
    </w:rPr>
  </w:style>
  <w:style w:type="character" w:customStyle="1" w:styleId="FootnoteTextChar">
    <w:name w:val="Footnote Text Char"/>
    <w:basedOn w:val="DefaultParagraphFont"/>
    <w:link w:val="FootnoteText"/>
    <w:uiPriority w:val="99"/>
    <w:rsid w:val="00916276"/>
    <w:rPr>
      <w:sz w:val="20"/>
      <w:szCs w:val="20"/>
    </w:rPr>
  </w:style>
  <w:style w:type="character" w:styleId="FootnoteReference">
    <w:name w:val="footnote reference"/>
    <w:basedOn w:val="DefaultParagraphFont"/>
    <w:uiPriority w:val="99"/>
    <w:semiHidden/>
    <w:rsid w:val="00B91315"/>
    <w:rPr>
      <w:vertAlign w:val="superscript"/>
    </w:rPr>
  </w:style>
  <w:style w:type="paragraph" w:styleId="Title">
    <w:name w:val="Title"/>
    <w:next w:val="Subtitle"/>
    <w:link w:val="TitleChar"/>
    <w:uiPriority w:val="99"/>
    <w:semiHidden/>
    <w:qFormat/>
    <w:rsid w:val="007A1BE5"/>
    <w:pPr>
      <w:spacing w:after="420" w:line="240" w:lineRule="auto"/>
      <w:contextualSpacing/>
    </w:pPr>
    <w:rPr>
      <w:rFonts w:asciiTheme="majorHAnsi" w:eastAsiaTheme="majorEastAsia" w:hAnsiTheme="majorHAnsi" w:cstheme="majorBidi"/>
      <w:b/>
      <w:sz w:val="68"/>
      <w:szCs w:val="56"/>
    </w:rPr>
  </w:style>
  <w:style w:type="paragraph" w:styleId="Subtitle">
    <w:name w:val="Subtitle"/>
    <w:next w:val="BodyText"/>
    <w:link w:val="SubtitleChar"/>
    <w:uiPriority w:val="8"/>
    <w:semiHidden/>
    <w:rsid w:val="007A1BE5"/>
    <w:pPr>
      <w:numPr>
        <w:ilvl w:val="1"/>
      </w:numPr>
      <w:spacing w:after="0" w:line="240" w:lineRule="auto"/>
      <w:contextualSpacing/>
    </w:pPr>
    <w:rPr>
      <w:rFonts w:asciiTheme="majorHAnsi" w:eastAsiaTheme="minorEastAsia" w:hAnsiTheme="majorHAnsi"/>
      <w:b/>
      <w:sz w:val="48"/>
    </w:rPr>
  </w:style>
  <w:style w:type="character" w:customStyle="1" w:styleId="SubtitleChar">
    <w:name w:val="Subtitle Char"/>
    <w:basedOn w:val="DefaultParagraphFont"/>
    <w:link w:val="Subtitle"/>
    <w:uiPriority w:val="8"/>
    <w:semiHidden/>
    <w:rsid w:val="007A1BE5"/>
    <w:rPr>
      <w:rFonts w:asciiTheme="majorHAnsi" w:eastAsiaTheme="minorEastAsia" w:hAnsiTheme="majorHAnsi"/>
      <w:b/>
      <w:sz w:val="48"/>
    </w:rPr>
  </w:style>
  <w:style w:type="character" w:customStyle="1" w:styleId="TitleChar">
    <w:name w:val="Title Char"/>
    <w:basedOn w:val="DefaultParagraphFont"/>
    <w:link w:val="Title"/>
    <w:uiPriority w:val="8"/>
    <w:semiHidden/>
    <w:rsid w:val="007A1BE5"/>
    <w:rPr>
      <w:rFonts w:asciiTheme="majorHAnsi" w:eastAsiaTheme="majorEastAsia" w:hAnsiTheme="majorHAnsi" w:cstheme="majorBidi"/>
      <w:b/>
      <w:sz w:val="68"/>
      <w:szCs w:val="56"/>
    </w:rPr>
  </w:style>
  <w:style w:type="character" w:styleId="FollowedHyperlink">
    <w:name w:val="FollowedHyperlink"/>
    <w:uiPriority w:val="8"/>
    <w:unhideWhenUsed/>
    <w:rsid w:val="000819F7"/>
    <w:rPr>
      <w:color w:val="auto"/>
      <w:u w:val="none"/>
    </w:rPr>
  </w:style>
  <w:style w:type="paragraph" w:styleId="TOCHeading">
    <w:name w:val="TOC Heading"/>
    <w:basedOn w:val="Heading1"/>
    <w:next w:val="BodyText"/>
    <w:uiPriority w:val="8"/>
    <w:semiHidden/>
    <w:rsid w:val="00AD05F3"/>
    <w:pPr>
      <w:outlineLvl w:val="9"/>
    </w:p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0819F7"/>
    <w:pPr>
      <w:numPr>
        <w:numId w:val="1"/>
      </w:numPr>
      <w:contextualSpacing/>
    </w:pPr>
  </w:style>
  <w:style w:type="paragraph" w:styleId="ListBullet2">
    <w:name w:val="List Bullet 2"/>
    <w:basedOn w:val="BodyText"/>
    <w:uiPriority w:val="2"/>
    <w:qFormat/>
    <w:rsid w:val="000819F7"/>
    <w:pPr>
      <w:numPr>
        <w:numId w:val="2"/>
      </w:numPr>
      <w:contextualSpacing/>
    </w:p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99"/>
    <w:rsid w:val="009A1CE1"/>
    <w:pPr>
      <w:spacing w:after="0"/>
      <w:jc w:val="center"/>
    </w:pPr>
    <w:rPr>
      <w:sz w:val="18"/>
    </w:rPr>
  </w:style>
  <w:style w:type="character" w:customStyle="1" w:styleId="HeaderChar">
    <w:name w:val="Header Char"/>
    <w:basedOn w:val="DefaultParagraphFont"/>
    <w:link w:val="Header"/>
    <w:uiPriority w:val="99"/>
    <w:rsid w:val="00BC4DBC"/>
    <w:rPr>
      <w:sz w:val="18"/>
    </w:rPr>
  </w:style>
  <w:style w:type="paragraph" w:styleId="Footer">
    <w:name w:val="footer"/>
    <w:basedOn w:val="BodyText"/>
    <w:link w:val="FooterChar"/>
    <w:uiPriority w:val="99"/>
    <w:rsid w:val="00990242"/>
    <w:pPr>
      <w:spacing w:after="0"/>
      <w:jc w:val="center"/>
    </w:pPr>
    <w:rPr>
      <w:b/>
    </w:rPr>
  </w:style>
  <w:style w:type="character" w:customStyle="1" w:styleId="FooterChar">
    <w:name w:val="Footer Char"/>
    <w:basedOn w:val="DefaultParagraphFont"/>
    <w:link w:val="Footer"/>
    <w:uiPriority w:val="99"/>
    <w:rsid w:val="00BC4DBC"/>
    <w:rPr>
      <w:b/>
      <w:sz w:val="24"/>
    </w:rPr>
  </w:style>
  <w:style w:type="paragraph" w:styleId="TOC1">
    <w:name w:val="toc 1"/>
    <w:basedOn w:val="BodyText"/>
    <w:uiPriority w:val="39"/>
    <w:rsid w:val="003D27AC"/>
    <w:pPr>
      <w:tabs>
        <w:tab w:val="right" w:pos="9639"/>
      </w:tabs>
      <w:spacing w:before="240" w:after="120"/>
    </w:pPr>
    <w:rPr>
      <w:b/>
    </w:rPr>
  </w:style>
  <w:style w:type="paragraph" w:styleId="TOC2">
    <w:name w:val="toc 2"/>
    <w:basedOn w:val="TOC1"/>
    <w:next w:val="BodyText"/>
    <w:uiPriority w:val="39"/>
    <w:rsid w:val="003D27AC"/>
    <w:pPr>
      <w:spacing w:before="0"/>
    </w:pPr>
    <w:rPr>
      <w:b w:val="0"/>
    </w:rPr>
  </w:style>
  <w:style w:type="character" w:styleId="Hyperlink">
    <w:name w:val="Hyperlink"/>
    <w:uiPriority w:val="99"/>
    <w:unhideWhenUsed/>
    <w:rsid w:val="000819F7"/>
    <w:rPr>
      <w:color w:val="auto"/>
      <w:u w:val="none"/>
    </w:rPr>
  </w:style>
  <w:style w:type="paragraph" w:customStyle="1" w:styleId="EmphasisHeading">
    <w:name w:val="Emphasis Heading"/>
    <w:basedOn w:val="BodyText"/>
    <w:next w:val="EmphasisText"/>
    <w:uiPriority w:val="3"/>
    <w:qFormat/>
    <w:rsid w:val="00362EDF"/>
    <w:pPr>
      <w:keepNext/>
      <w:keepLines/>
      <w:pBdr>
        <w:top w:val="single" w:sz="48" w:space="6" w:color="E6E6E6"/>
        <w:left w:val="single" w:sz="48" w:space="4" w:color="E6E6E6"/>
        <w:bottom w:val="single" w:sz="48" w:space="6" w:color="E6E6E6"/>
        <w:right w:val="single" w:sz="48" w:space="4" w:color="E6E6E6"/>
      </w:pBdr>
      <w:shd w:val="clear" w:color="auto" w:fill="E6E6E6"/>
      <w:spacing w:before="240"/>
      <w:ind w:left="199"/>
    </w:pPr>
    <w:rPr>
      <w:b/>
    </w:rPr>
  </w:style>
  <w:style w:type="paragraph" w:customStyle="1" w:styleId="EmphasisText">
    <w:name w:val="Emphasis Text"/>
    <w:basedOn w:val="BodyText"/>
    <w:uiPriority w:val="3"/>
    <w:qFormat/>
    <w:rsid w:val="00362EDF"/>
    <w:pPr>
      <w:keepLines/>
      <w:pBdr>
        <w:top w:val="single" w:sz="48" w:space="6" w:color="E6E6E6"/>
        <w:left w:val="single" w:sz="48" w:space="4" w:color="E6E6E6"/>
        <w:bottom w:val="single" w:sz="48" w:space="6" w:color="E6E6E6"/>
        <w:right w:val="single" w:sz="48" w:space="4" w:color="E6E6E6"/>
      </w:pBdr>
      <w:shd w:val="clear" w:color="auto" w:fill="E6E6E6"/>
      <w:ind w:left="199"/>
    </w:pPr>
  </w:style>
  <w:style w:type="table" w:styleId="TableGrid">
    <w:name w:val="Table Grid"/>
    <w:basedOn w:val="TableNormal"/>
    <w:uiPriority w:val="39"/>
    <w:rsid w:val="007A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0000" w:themeFill="text1"/>
      </w:tcPr>
    </w:tblStylePr>
    <w:tblStylePr w:type="firstCol">
      <w:rPr>
        <w:b/>
        <w:i w:val="0"/>
      </w:rPr>
    </w:tblStylePr>
  </w:style>
  <w:style w:type="paragraph" w:customStyle="1" w:styleId="Covertext">
    <w:name w:val="Cover text"/>
    <w:basedOn w:val="BodyText"/>
    <w:uiPriority w:val="8"/>
    <w:semiHidden/>
    <w:qFormat/>
    <w:rsid w:val="007A1BE5"/>
    <w:pPr>
      <w:spacing w:after="0"/>
    </w:pPr>
  </w:style>
  <w:style w:type="character" w:styleId="UnresolvedMention">
    <w:name w:val="Unresolved Mention"/>
    <w:basedOn w:val="DefaultParagraphFont"/>
    <w:uiPriority w:val="99"/>
    <w:semiHidden/>
    <w:rsid w:val="00AD52C7"/>
    <w:rPr>
      <w:color w:val="808080"/>
      <w:shd w:val="clear" w:color="auto" w:fill="E6E6E6"/>
    </w:rPr>
  </w:style>
  <w:style w:type="paragraph" w:customStyle="1" w:styleId="TableHeading">
    <w:name w:val="Table Heading"/>
    <w:basedOn w:val="BodyText"/>
    <w:uiPriority w:val="8"/>
    <w:qFormat/>
    <w:rsid w:val="006A578B"/>
    <w:pPr>
      <w:keepNext/>
      <w:keepLines/>
      <w:spacing w:after="0"/>
    </w:pPr>
    <w:rPr>
      <w:b/>
      <w:color w:val="FFFFFF" w:themeColor="background1"/>
    </w:rPr>
  </w:style>
  <w:style w:type="paragraph" w:customStyle="1" w:styleId="Title-subtitle">
    <w:name w:val="Title - subtitle"/>
    <w:basedOn w:val="Title"/>
    <w:uiPriority w:val="99"/>
    <w:semiHidden/>
    <w:rsid w:val="00362EDF"/>
    <w:pPr>
      <w:spacing w:before="100" w:beforeAutospacing="1" w:after="0"/>
      <w:contextualSpacing w:val="0"/>
      <w:outlineLvl w:val="0"/>
    </w:pPr>
    <w:rPr>
      <w:rFonts w:ascii="Arial" w:eastAsia="Times New Roman" w:hAnsi="Arial" w:cs="Times New Roman"/>
      <w:b w:val="0"/>
      <w:sz w:val="28"/>
      <w:szCs w:val="20"/>
      <w:lang w:eastAsia="en-GB"/>
    </w:rPr>
  </w:style>
  <w:style w:type="paragraph" w:customStyle="1" w:styleId="TableText">
    <w:name w:val="Table Text"/>
    <w:basedOn w:val="BodyText"/>
    <w:uiPriority w:val="8"/>
    <w:qFormat/>
    <w:rsid w:val="006A578B"/>
    <w:pPr>
      <w:spacing w:after="0"/>
    </w:pPr>
  </w:style>
  <w:style w:type="paragraph" w:customStyle="1" w:styleId="Subtitle-Titlepage">
    <w:name w:val="Subtitle - Title page"/>
    <w:basedOn w:val="Subtitle"/>
    <w:next w:val="BodyText"/>
    <w:uiPriority w:val="8"/>
    <w:semiHidden/>
    <w:qFormat/>
    <w:rsid w:val="00362EDF"/>
    <w:pPr>
      <w:spacing w:after="240"/>
    </w:pPr>
    <w:rPr>
      <w:b w:val="0"/>
      <w:sz w:val="36"/>
    </w:rPr>
  </w:style>
  <w:style w:type="paragraph" w:customStyle="1" w:styleId="Title-Titlepage">
    <w:name w:val="Title - Title page"/>
    <w:basedOn w:val="Title"/>
    <w:next w:val="Subtitle"/>
    <w:uiPriority w:val="8"/>
    <w:semiHidden/>
    <w:qFormat/>
    <w:rsid w:val="00362EDF"/>
    <w:pPr>
      <w:spacing w:after="120"/>
    </w:pPr>
    <w:rPr>
      <w:sz w:val="36"/>
    </w:rPr>
  </w:style>
  <w:style w:type="paragraph" w:customStyle="1" w:styleId="Heading-contents">
    <w:name w:val="Heading - contents"/>
    <w:basedOn w:val="Heading1"/>
    <w:next w:val="Normal"/>
    <w:uiPriority w:val="99"/>
    <w:semiHidden/>
    <w:rsid w:val="00571DBD"/>
    <w:pPr>
      <w:keepLines w:val="0"/>
      <w:spacing w:after="731"/>
      <w:contextualSpacing w:val="0"/>
    </w:pPr>
    <w:rPr>
      <w:rFonts w:ascii="Arial" w:eastAsia="Times New Roman" w:hAnsi="Arial" w:cs="Times New Roman"/>
      <w:sz w:val="28"/>
      <w:szCs w:val="20"/>
      <w:lang w:eastAsia="en-GB"/>
    </w:rPr>
  </w:style>
  <w:style w:type="paragraph" w:styleId="BalloonText">
    <w:name w:val="Balloon Text"/>
    <w:basedOn w:val="Normal"/>
    <w:link w:val="BalloonTextChar"/>
    <w:uiPriority w:val="99"/>
    <w:semiHidden/>
    <w:rsid w:val="00504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BD"/>
    <w:rPr>
      <w:rFonts w:ascii="Segoe UI" w:hAnsi="Segoe UI" w:cs="Segoe UI"/>
      <w:sz w:val="18"/>
      <w:szCs w:val="18"/>
    </w:rPr>
  </w:style>
  <w:style w:type="character" w:styleId="CommentReference">
    <w:name w:val="annotation reference"/>
    <w:basedOn w:val="DefaultParagraphFont"/>
    <w:uiPriority w:val="99"/>
    <w:semiHidden/>
    <w:rsid w:val="00044510"/>
    <w:rPr>
      <w:sz w:val="16"/>
      <w:szCs w:val="16"/>
    </w:rPr>
  </w:style>
  <w:style w:type="character" w:customStyle="1" w:styleId="CommentSubjectChar">
    <w:name w:val="Comment Subject Char"/>
    <w:basedOn w:val="DefaultParagraphFont"/>
    <w:link w:val="CommentSubject"/>
    <w:uiPriority w:val="99"/>
    <w:semiHidden/>
    <w:rsid w:val="007217FD"/>
    <w:rPr>
      <w:b/>
      <w:bCs/>
    </w:rPr>
  </w:style>
  <w:style w:type="paragraph" w:styleId="CommentSubject">
    <w:name w:val="annotation subject"/>
    <w:basedOn w:val="Normal"/>
    <w:next w:val="Normal"/>
    <w:link w:val="CommentSubjectChar"/>
    <w:uiPriority w:val="99"/>
    <w:semiHidden/>
    <w:rsid w:val="007217FD"/>
    <w:rPr>
      <w:b/>
      <w:bCs/>
    </w:rPr>
  </w:style>
  <w:style w:type="character" w:styleId="Emphasis">
    <w:name w:val="Emphasis"/>
    <w:basedOn w:val="DefaultParagraphFont"/>
    <w:uiPriority w:val="20"/>
    <w:qFormat/>
    <w:rsid w:val="00044510"/>
    <w:rPr>
      <w:i/>
      <w:iCs/>
    </w:rPr>
  </w:style>
  <w:style w:type="character" w:customStyle="1" w:styleId="Heading5Char">
    <w:name w:val="Heading 5 Char"/>
    <w:basedOn w:val="DefaultParagraphFont"/>
    <w:link w:val="Heading5"/>
    <w:rsid w:val="00606980"/>
    <w:rPr>
      <w:rFonts w:asciiTheme="majorHAnsi" w:eastAsiaTheme="majorEastAsia" w:hAnsiTheme="majorHAnsi" w:cstheme="majorBidi"/>
      <w:i/>
      <w:iCs/>
      <w:sz w:val="24"/>
    </w:rPr>
  </w:style>
  <w:style w:type="character" w:customStyle="1" w:styleId="Heading6Char">
    <w:name w:val="Heading 6 Char"/>
    <w:basedOn w:val="DefaultParagraphFont"/>
    <w:link w:val="Heading6"/>
    <w:rsid w:val="00606980"/>
    <w:rPr>
      <w:rFonts w:asciiTheme="majorHAnsi" w:eastAsiaTheme="majorEastAsia" w:hAnsiTheme="majorHAnsi" w:cstheme="majorBidi"/>
      <w:iCs/>
      <w:sz w:val="24"/>
      <w:u w:val="single"/>
    </w:rPr>
  </w:style>
  <w:style w:type="table" w:styleId="TableGridLight">
    <w:name w:val="Grid Table Light"/>
    <w:basedOn w:val="TableNormal"/>
    <w:uiPriority w:val="40"/>
    <w:rsid w:val="00E24E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semiHidden/>
    <w:qFormat/>
    <w:rsid w:val="00E24EE3"/>
    <w:pPr>
      <w:ind w:left="720"/>
      <w:contextualSpacing/>
    </w:pPr>
  </w:style>
  <w:style w:type="paragraph" w:styleId="Revision">
    <w:name w:val="Revision"/>
    <w:hidden/>
    <w:uiPriority w:val="99"/>
    <w:semiHidden/>
    <w:rsid w:val="00E4248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2558">
      <w:bodyDiv w:val="1"/>
      <w:marLeft w:val="0"/>
      <w:marRight w:val="0"/>
      <w:marTop w:val="0"/>
      <w:marBottom w:val="0"/>
      <w:divBdr>
        <w:top w:val="none" w:sz="0" w:space="0" w:color="auto"/>
        <w:left w:val="none" w:sz="0" w:space="0" w:color="auto"/>
        <w:bottom w:val="none" w:sz="0" w:space="0" w:color="auto"/>
        <w:right w:val="none" w:sz="0" w:space="0" w:color="auto"/>
      </w:divBdr>
    </w:div>
    <w:div w:id="1151099322">
      <w:bodyDiv w:val="1"/>
      <w:marLeft w:val="0"/>
      <w:marRight w:val="0"/>
      <w:marTop w:val="0"/>
      <w:marBottom w:val="0"/>
      <w:divBdr>
        <w:top w:val="none" w:sz="0" w:space="0" w:color="auto"/>
        <w:left w:val="none" w:sz="0" w:space="0" w:color="auto"/>
        <w:bottom w:val="none" w:sz="0" w:space="0" w:color="auto"/>
        <w:right w:val="none" w:sz="0" w:space="0" w:color="auto"/>
      </w:divBdr>
    </w:div>
    <w:div w:id="16902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_Policy_Correspondence@Just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7A90062F7C8439DE79A3F24892B22" ma:contentTypeVersion="13" ma:contentTypeDescription="Create a new document." ma:contentTypeScope="" ma:versionID="3211aa1fc827c3330e6e1d4e248b6ef6">
  <xsd:schema xmlns:xsd="http://www.w3.org/2001/XMLSchema" xmlns:xs="http://www.w3.org/2001/XMLSchema" xmlns:p="http://schemas.microsoft.com/office/2006/metadata/properties" xmlns:ns3="062732ab-a39a-48ad-ad1e-762a0972405e" xmlns:ns4="4ddc70cf-0f59-420f-920b-a6a3fcaf874b" targetNamespace="http://schemas.microsoft.com/office/2006/metadata/properties" ma:root="true" ma:fieldsID="ba080a63faeaece057c7a427d2f47635" ns3:_="" ns4:_="">
    <xsd:import namespace="062732ab-a39a-48ad-ad1e-762a0972405e"/>
    <xsd:import namespace="4ddc70cf-0f59-420f-920b-a6a3fcaf87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732ab-a39a-48ad-ad1e-762a097240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70cf-0f59-420f-920b-a6a3fcaf874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47ED-B507-4FFC-B8AC-C4077991FC0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062732ab-a39a-48ad-ad1e-762a0972405e"/>
    <ds:schemaRef ds:uri="http://purl.org/dc/elements/1.1/"/>
    <ds:schemaRef ds:uri="http://schemas.microsoft.com/office/infopath/2007/PartnerControls"/>
    <ds:schemaRef ds:uri="4ddc70cf-0f59-420f-920b-a6a3fcaf874b"/>
    <ds:schemaRef ds:uri="http://www.w3.org/XML/1998/namespace"/>
  </ds:schemaRefs>
</ds:datastoreItem>
</file>

<file path=customXml/itemProps2.xml><?xml version="1.0" encoding="utf-8"?>
<ds:datastoreItem xmlns:ds="http://schemas.openxmlformats.org/officeDocument/2006/customXml" ds:itemID="{051CDE16-3313-466E-AB91-3C88997C9730}">
  <ds:schemaRefs>
    <ds:schemaRef ds:uri="http://schemas.microsoft.com/sharepoint/v3/contenttype/forms"/>
  </ds:schemaRefs>
</ds:datastoreItem>
</file>

<file path=customXml/itemProps3.xml><?xml version="1.0" encoding="utf-8"?>
<ds:datastoreItem xmlns:ds="http://schemas.openxmlformats.org/officeDocument/2006/customXml" ds:itemID="{EC7EA0C1-E004-459B-ACC4-E6CA426C1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732ab-a39a-48ad-ad1e-762a0972405e"/>
    <ds:schemaRef ds:uri="4ddc70cf-0f59-420f-920b-a6a3fcaf8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2B8D5-22B3-4528-8D01-86A12B94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Retained EU Case Law - Consultation on the departure from retained EU case law by UK courts and tribunals</vt:lpstr>
    </vt:vector>
  </TitlesOfParts>
  <Manager>Ministry of Justice</Manager>
  <Company>Ministry of Justice</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Retained EU Case Law - Consultation on the departure from retained EU case law by UK courts and tribunals</dc:title>
  <dc:subject>Retained EU Case Law - Consultation on the departure from retained EU case law by UK courts and tribunals</dc:subject>
  <dc:creator>Ministry of Justice</dc:creator>
  <cp:keywords>Retained; EU; Case; Law; - Consultation; departure; case law; UK; court; tribunal;</cp:keywords>
  <dc:description/>
  <cp:lastModifiedBy>Dunn, Andy</cp:lastModifiedBy>
  <cp:revision>2</cp:revision>
  <dcterms:created xsi:type="dcterms:W3CDTF">2020-06-25T14:22:00Z</dcterms:created>
  <dcterms:modified xsi:type="dcterms:W3CDTF">2020-06-25T14:22:00Z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0x01010084D7A90062F7C8439DE79A3F24892B22</vt:lpwstr>
  </property>
</Properties>
</file>