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1A071" w14:textId="77777777" w:rsidR="00545B6C" w:rsidRPr="002D1ED7" w:rsidRDefault="002D1ED7" w:rsidP="00AD05F3">
      <w:pPr>
        <w:pStyle w:val="Title"/>
        <w:rPr>
          <w:sz w:val="56"/>
        </w:rPr>
      </w:pPr>
      <w:r>
        <w:rPr>
          <w:noProof/>
          <w:sz w:val="56"/>
        </w:rPr>
        <w:drawing>
          <wp:anchor distT="0" distB="0" distL="114300" distR="114300" simplePos="0" relativeHeight="251658240" behindDoc="1" locked="0" layoutInCell="1" allowOverlap="1" wp14:anchorId="7D1FEC5E" wp14:editId="4CBBDBA4">
            <wp:simplePos x="0" y="0"/>
            <wp:positionH relativeFrom="column">
              <wp:posOffset>4099560</wp:posOffset>
            </wp:positionH>
            <wp:positionV relativeFrom="paragraph">
              <wp:posOffset>-2540</wp:posOffset>
            </wp:positionV>
            <wp:extent cx="1790700" cy="647700"/>
            <wp:effectExtent l="0" t="0" r="0" b="0"/>
            <wp:wrapNone/>
            <wp:docPr id="2" name="Picture 2" descr="C:\Users\rrobbins\AppData\Local\Microsoft\Windows\INetCache\Content.Word\OSPT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obbins\AppData\Local\Microsoft\Windows\INetCache\Content.Word\OSPT 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ED7">
        <w:rPr>
          <w:sz w:val="56"/>
        </w:rPr>
        <w:t>Official Solicitor and Public Trust Office</w:t>
      </w:r>
    </w:p>
    <w:p w14:paraId="51C4E48B" w14:textId="77777777" w:rsidR="00B91315" w:rsidRPr="002D1ED7" w:rsidRDefault="00E66A89" w:rsidP="00AD05F3">
      <w:pPr>
        <w:pStyle w:val="Subtitle"/>
        <w:rPr>
          <w:sz w:val="44"/>
        </w:rPr>
      </w:pPr>
      <w:r w:rsidRPr="002D1ED7">
        <w:rPr>
          <w:sz w:val="44"/>
        </w:rPr>
        <w:t>Records Retention and Disposition Schedule</w:t>
      </w:r>
    </w:p>
    <w:p w14:paraId="09808C01" w14:textId="77777777" w:rsidR="00E66A89" w:rsidRDefault="00E66A89" w:rsidP="00E66A89">
      <w:pPr>
        <w:pStyle w:val="Heading2"/>
      </w:pPr>
      <w:bookmarkStart w:id="0" w:name="_Toc6321028"/>
      <w:r w:rsidRPr="00E66A89">
        <w:t>Introduction</w:t>
      </w:r>
    </w:p>
    <w:bookmarkEnd w:id="0"/>
    <w:p w14:paraId="2387BE3C" w14:textId="731B9979" w:rsidR="00E66A89" w:rsidRPr="00E66A89" w:rsidRDefault="00E66A89" w:rsidP="00883B51">
      <w:pPr>
        <w:numPr>
          <w:ilvl w:val="0"/>
          <w:numId w:val="6"/>
        </w:numPr>
        <w:spacing w:after="0" w:line="240" w:lineRule="auto"/>
        <w:ind w:left="360"/>
        <w:rPr>
          <w:rFonts w:cs="Arial"/>
          <w:szCs w:val="24"/>
        </w:rPr>
      </w:pPr>
      <w:r w:rsidRPr="00E66A89">
        <w:rPr>
          <w:rFonts w:cs="Arial"/>
          <w:szCs w:val="24"/>
        </w:rPr>
        <w:t xml:space="preserve">This schedule </w:t>
      </w:r>
      <w:r w:rsidR="00883B51" w:rsidRPr="00883B51">
        <w:rPr>
          <w:rFonts w:cs="Arial"/>
          <w:szCs w:val="24"/>
        </w:rPr>
        <w:t xml:space="preserve">applies to the records that are created and managed by staff employed </w:t>
      </w:r>
      <w:r w:rsidR="00883B51">
        <w:rPr>
          <w:rFonts w:cs="Arial"/>
          <w:szCs w:val="24"/>
        </w:rPr>
        <w:t xml:space="preserve">in the </w:t>
      </w:r>
      <w:r w:rsidR="00883B51" w:rsidRPr="002D1ED7">
        <w:rPr>
          <w:rFonts w:cs="Arial"/>
          <w:szCs w:val="24"/>
        </w:rPr>
        <w:t>Official Solicitor and Public Trust Office</w:t>
      </w:r>
      <w:r w:rsidR="00883B51">
        <w:rPr>
          <w:rFonts w:cs="Arial"/>
          <w:szCs w:val="24"/>
        </w:rPr>
        <w:t xml:space="preserve"> (OSPT). It </w:t>
      </w:r>
      <w:r w:rsidRPr="00E66A89">
        <w:rPr>
          <w:rFonts w:cs="Arial"/>
          <w:szCs w:val="24"/>
        </w:rPr>
        <w:t>has been drawn up following consultation between</w:t>
      </w:r>
      <w:r w:rsidR="002D1ED7">
        <w:rPr>
          <w:rFonts w:cs="Arial"/>
          <w:szCs w:val="24"/>
        </w:rPr>
        <w:t xml:space="preserve"> </w:t>
      </w:r>
      <w:r w:rsidR="00883B51">
        <w:rPr>
          <w:rFonts w:cs="Arial"/>
          <w:szCs w:val="24"/>
        </w:rPr>
        <w:t>OSPT</w:t>
      </w:r>
      <w:r w:rsidR="002D1ED7">
        <w:rPr>
          <w:rFonts w:cs="Arial"/>
          <w:szCs w:val="24"/>
        </w:rPr>
        <w:t xml:space="preserve"> and </w:t>
      </w:r>
      <w:r w:rsidRPr="00E66A89">
        <w:rPr>
          <w:rFonts w:cs="Arial"/>
          <w:szCs w:val="24"/>
        </w:rPr>
        <w:t>the Departmental Records Officer</w:t>
      </w:r>
      <w:r w:rsidR="00883B51">
        <w:rPr>
          <w:rFonts w:cs="Arial"/>
          <w:szCs w:val="24"/>
        </w:rPr>
        <w:t>’s</w:t>
      </w:r>
      <w:r w:rsidRPr="00E66A89">
        <w:rPr>
          <w:rFonts w:cs="Arial"/>
          <w:szCs w:val="24"/>
        </w:rPr>
        <w:t xml:space="preserve"> (DRO)</w:t>
      </w:r>
      <w:r w:rsidR="00883B51">
        <w:rPr>
          <w:rFonts w:cs="Arial"/>
          <w:szCs w:val="24"/>
        </w:rPr>
        <w:t xml:space="preserve"> team</w:t>
      </w:r>
      <w:r w:rsidRPr="00E66A89">
        <w:rPr>
          <w:rFonts w:cs="Arial"/>
          <w:szCs w:val="24"/>
        </w:rPr>
        <w:t xml:space="preserve"> in the Ministry of Justice. </w:t>
      </w:r>
      <w:r w:rsidRPr="00E66A89">
        <w:rPr>
          <w:rFonts w:cs="Arial"/>
          <w:szCs w:val="24"/>
        </w:rPr>
        <w:br/>
      </w:r>
    </w:p>
    <w:p w14:paraId="2999BC4B" w14:textId="3AE3C8C0" w:rsidR="00E66A89" w:rsidRPr="00E66A89" w:rsidRDefault="00883B51" w:rsidP="00883B51">
      <w:pPr>
        <w:numPr>
          <w:ilvl w:val="0"/>
          <w:numId w:val="6"/>
        </w:numPr>
        <w:spacing w:after="0" w:line="240" w:lineRule="auto"/>
        <w:ind w:left="360"/>
        <w:rPr>
          <w:rFonts w:cs="Arial"/>
          <w:szCs w:val="24"/>
        </w:rPr>
      </w:pPr>
      <w:bookmarkStart w:id="1" w:name="_Hlk514921578"/>
      <w:r w:rsidRPr="00883B51">
        <w:rPr>
          <w:rFonts w:cs="Arial"/>
          <w:szCs w:val="24"/>
        </w:rPr>
        <w:t>As a public body, the MoJ takes its responsibilities for managing information seriously. These responsibilities include compliance with the Public Records Act 1958, General Data Protection Regulation (GDPR), the Data Protection Act 2018, Freedom of Information Act 2000 (FoIA) and amending legislation. The MoJ uses Records Retention and Disposition Schedules (RRDS) to manage its compliance with statutory obligations to identify what information and records we hold, how long we keep it and what should happen to these records at the end of that time.</w:t>
      </w:r>
      <w:r w:rsidR="00E66A89" w:rsidRPr="00E66A89">
        <w:rPr>
          <w:rFonts w:cs="Arial"/>
          <w:szCs w:val="24"/>
        </w:rPr>
        <w:t xml:space="preserve"> </w:t>
      </w:r>
    </w:p>
    <w:p w14:paraId="09D96171" w14:textId="77777777" w:rsidR="00E66A89" w:rsidRPr="00E66A89" w:rsidRDefault="00E66A89" w:rsidP="00E66A89">
      <w:pPr>
        <w:spacing w:after="0" w:line="240" w:lineRule="auto"/>
        <w:ind w:left="360"/>
        <w:rPr>
          <w:rFonts w:cs="Arial"/>
          <w:szCs w:val="24"/>
        </w:rPr>
      </w:pPr>
    </w:p>
    <w:p w14:paraId="71077D8D" w14:textId="7532CA6D" w:rsidR="00E66A89" w:rsidRPr="00883B51" w:rsidRDefault="00E66A89" w:rsidP="00E66A89">
      <w:pPr>
        <w:numPr>
          <w:ilvl w:val="0"/>
          <w:numId w:val="6"/>
        </w:numPr>
        <w:spacing w:after="0" w:line="240" w:lineRule="auto"/>
        <w:ind w:left="360"/>
        <w:rPr>
          <w:rFonts w:cs="Arial"/>
          <w:szCs w:val="24"/>
        </w:rPr>
      </w:pPr>
      <w:r w:rsidRPr="00883B51">
        <w:rPr>
          <w:rFonts w:cs="Arial"/>
          <w:szCs w:val="24"/>
        </w:rPr>
        <w:t>The</w:t>
      </w:r>
      <w:r w:rsidR="002D1ED7" w:rsidRPr="00883B51">
        <w:rPr>
          <w:rFonts w:cs="Arial"/>
          <w:szCs w:val="24"/>
        </w:rPr>
        <w:t xml:space="preserve"> work of the Official Solicitor to the Senior Courts is governed by </w:t>
      </w:r>
      <w:r w:rsidR="00EF190F" w:rsidRPr="00883B51">
        <w:rPr>
          <w:rFonts w:cs="Arial"/>
          <w:szCs w:val="24"/>
        </w:rPr>
        <w:t>the Senior Courts Act 1981</w:t>
      </w:r>
      <w:r w:rsidR="00883B51" w:rsidRPr="00883B51">
        <w:rPr>
          <w:rFonts w:cs="Arial"/>
          <w:szCs w:val="24"/>
        </w:rPr>
        <w:t>, Directions of the Lord Chancellor, Common Law and established practice</w:t>
      </w:r>
      <w:r w:rsidR="002D1ED7" w:rsidRPr="00883B51">
        <w:rPr>
          <w:rFonts w:cs="Arial"/>
          <w:szCs w:val="24"/>
        </w:rPr>
        <w:t xml:space="preserve">. The work of the Public Trustee is governed by </w:t>
      </w:r>
      <w:r w:rsidR="00EF190F" w:rsidRPr="00883B51">
        <w:rPr>
          <w:rFonts w:cs="Arial"/>
          <w:szCs w:val="24"/>
        </w:rPr>
        <w:t xml:space="preserve">the Public Trustee Act 1906 </w:t>
      </w:r>
      <w:r w:rsidRPr="00883B51">
        <w:rPr>
          <w:rFonts w:cs="Arial"/>
          <w:szCs w:val="24"/>
        </w:rPr>
        <w:t>and supporting rules.</w:t>
      </w:r>
    </w:p>
    <w:p w14:paraId="008F68D2" w14:textId="77777777" w:rsidR="00883B51" w:rsidRPr="00D12245" w:rsidRDefault="00883B51" w:rsidP="00883B51">
      <w:pPr>
        <w:pStyle w:val="Heading2"/>
        <w:rPr>
          <w:sz w:val="24"/>
          <w:szCs w:val="28"/>
        </w:rPr>
      </w:pPr>
      <w:r w:rsidRPr="00D12245">
        <w:rPr>
          <w:sz w:val="24"/>
          <w:szCs w:val="28"/>
        </w:rPr>
        <w:t>More about this schedule</w:t>
      </w:r>
    </w:p>
    <w:p w14:paraId="476876A5" w14:textId="77777777" w:rsidR="00E66A89" w:rsidRPr="002D1ED7" w:rsidRDefault="002D1ED7" w:rsidP="002D1ED7">
      <w:pPr>
        <w:numPr>
          <w:ilvl w:val="0"/>
          <w:numId w:val="6"/>
        </w:numPr>
        <w:spacing w:after="0" w:line="240" w:lineRule="auto"/>
        <w:ind w:left="360"/>
        <w:rPr>
          <w:rFonts w:cs="Arial"/>
          <w:szCs w:val="24"/>
        </w:rPr>
      </w:pPr>
      <w:r>
        <w:rPr>
          <w:rFonts w:cs="Arial"/>
          <w:szCs w:val="24"/>
        </w:rPr>
        <w:t xml:space="preserve">None of </w:t>
      </w:r>
      <w:r w:rsidR="00E66A89" w:rsidRPr="002D1ED7">
        <w:rPr>
          <w:rFonts w:cs="Arial"/>
          <w:szCs w:val="24"/>
        </w:rPr>
        <w:t>the records listed below are selected for permanent preservation under the Public Records Act</w:t>
      </w:r>
      <w:r w:rsidR="00E66A89" w:rsidRPr="00E66A89">
        <w:rPr>
          <w:rStyle w:val="FootnoteReference"/>
          <w:rFonts w:cs="Arial"/>
          <w:szCs w:val="24"/>
        </w:rPr>
        <w:footnoteReference w:id="1"/>
      </w:r>
      <w:r w:rsidR="00E66A89" w:rsidRPr="002D1ED7">
        <w:rPr>
          <w:rFonts w:cs="Arial"/>
          <w:szCs w:val="24"/>
        </w:rPr>
        <w:t xml:space="preserve">. </w:t>
      </w:r>
    </w:p>
    <w:p w14:paraId="0D9C6B7D" w14:textId="77777777" w:rsidR="00E66A89" w:rsidRPr="00E66A89" w:rsidRDefault="00E66A89" w:rsidP="00E66A89">
      <w:pPr>
        <w:spacing w:after="0" w:line="240" w:lineRule="auto"/>
        <w:ind w:left="360"/>
        <w:rPr>
          <w:rFonts w:cs="Arial"/>
          <w:szCs w:val="24"/>
        </w:rPr>
      </w:pPr>
    </w:p>
    <w:bookmarkEnd w:id="1"/>
    <w:p w14:paraId="44D46231" w14:textId="77777777" w:rsidR="00E66A89" w:rsidRPr="00E66A89" w:rsidRDefault="00E66A89" w:rsidP="00E66A89">
      <w:pPr>
        <w:numPr>
          <w:ilvl w:val="0"/>
          <w:numId w:val="6"/>
        </w:numPr>
        <w:spacing w:after="0" w:line="240" w:lineRule="auto"/>
        <w:ind w:left="360"/>
        <w:rPr>
          <w:rFonts w:cs="Arial"/>
          <w:szCs w:val="24"/>
        </w:rPr>
      </w:pPr>
      <w:r w:rsidRPr="00E66A89">
        <w:rPr>
          <w:rFonts w:cs="Arial"/>
          <w:szCs w:val="24"/>
        </w:rPr>
        <w:t xml:space="preserve">This schedule is split into </w:t>
      </w:r>
      <w:r w:rsidRPr="00B153ED">
        <w:rPr>
          <w:rFonts w:cs="Arial"/>
          <w:szCs w:val="24"/>
        </w:rPr>
        <w:t xml:space="preserve">two </w:t>
      </w:r>
      <w:r w:rsidRPr="00E66A89">
        <w:rPr>
          <w:rFonts w:cs="Arial"/>
          <w:szCs w:val="24"/>
        </w:rPr>
        <w:t>sections:</w:t>
      </w:r>
    </w:p>
    <w:p w14:paraId="22C7CC17" w14:textId="77777777" w:rsidR="00E66A89" w:rsidRPr="00E66A89" w:rsidRDefault="00E66A89" w:rsidP="00E66A89">
      <w:pPr>
        <w:spacing w:after="0" w:line="240" w:lineRule="auto"/>
        <w:ind w:left="360"/>
        <w:rPr>
          <w:rFonts w:cs="Arial"/>
          <w:szCs w:val="24"/>
        </w:rPr>
      </w:pPr>
    </w:p>
    <w:p w14:paraId="65ED6379" w14:textId="77777777" w:rsidR="00E66A89" w:rsidRPr="00E66A89" w:rsidRDefault="00E66A89" w:rsidP="00E66A89">
      <w:pPr>
        <w:numPr>
          <w:ilvl w:val="1"/>
          <w:numId w:val="6"/>
        </w:numPr>
        <w:spacing w:after="0" w:line="240" w:lineRule="auto"/>
        <w:rPr>
          <w:rFonts w:cs="Arial"/>
          <w:szCs w:val="24"/>
        </w:rPr>
      </w:pPr>
      <w:r w:rsidRPr="00E66A89">
        <w:rPr>
          <w:rFonts w:cs="Arial"/>
          <w:szCs w:val="24"/>
        </w:rPr>
        <w:t>Records unique to</w:t>
      </w:r>
      <w:r w:rsidR="00B153ED">
        <w:rPr>
          <w:rFonts w:cs="Arial"/>
          <w:szCs w:val="24"/>
        </w:rPr>
        <w:t xml:space="preserve"> OSPT</w:t>
      </w:r>
    </w:p>
    <w:p w14:paraId="5F0DFFFB" w14:textId="77777777" w:rsidR="00E66A89" w:rsidRPr="00E66A89" w:rsidRDefault="00E66A89" w:rsidP="00E66A89">
      <w:pPr>
        <w:numPr>
          <w:ilvl w:val="1"/>
          <w:numId w:val="6"/>
        </w:numPr>
        <w:spacing w:after="0" w:line="240" w:lineRule="auto"/>
        <w:rPr>
          <w:rFonts w:cs="Arial"/>
          <w:szCs w:val="24"/>
        </w:rPr>
      </w:pPr>
      <w:r w:rsidRPr="00E66A89">
        <w:rPr>
          <w:rFonts w:cs="Arial"/>
          <w:szCs w:val="24"/>
        </w:rPr>
        <w:t>Records held by various teams within the MoJ and its associated bodies and where a common retention and disposition policy is applied.</w:t>
      </w:r>
    </w:p>
    <w:p w14:paraId="37223705" w14:textId="13011530" w:rsidR="00E66A89" w:rsidRDefault="00E66A89" w:rsidP="00E66A89">
      <w:pPr>
        <w:spacing w:after="0" w:line="240" w:lineRule="auto"/>
        <w:ind w:left="1080"/>
        <w:rPr>
          <w:rFonts w:cs="Arial"/>
          <w:szCs w:val="24"/>
        </w:rPr>
      </w:pPr>
    </w:p>
    <w:p w14:paraId="2B968FF5" w14:textId="598ADFE6" w:rsidR="00883B51" w:rsidRDefault="00883B51" w:rsidP="00E66A89">
      <w:pPr>
        <w:spacing w:after="0" w:line="240" w:lineRule="auto"/>
        <w:ind w:left="1080"/>
        <w:rPr>
          <w:rFonts w:cs="Arial"/>
          <w:szCs w:val="24"/>
        </w:rPr>
      </w:pPr>
    </w:p>
    <w:p w14:paraId="3FBC6D6C" w14:textId="77777777" w:rsidR="00883B51" w:rsidRPr="00E66A89" w:rsidRDefault="00883B51" w:rsidP="00E66A89">
      <w:pPr>
        <w:spacing w:after="0" w:line="240" w:lineRule="auto"/>
        <w:ind w:left="1080"/>
        <w:rPr>
          <w:rFonts w:cs="Arial"/>
          <w:szCs w:val="24"/>
        </w:rPr>
      </w:pPr>
    </w:p>
    <w:p w14:paraId="54623F5E" w14:textId="77777777" w:rsidR="00883B51" w:rsidRPr="00A54C31" w:rsidRDefault="00883B51" w:rsidP="00883B51">
      <w:pPr>
        <w:numPr>
          <w:ilvl w:val="0"/>
          <w:numId w:val="6"/>
        </w:numPr>
        <w:spacing w:after="0" w:line="240" w:lineRule="auto"/>
        <w:ind w:left="360"/>
        <w:rPr>
          <w:rFonts w:cs="Arial"/>
          <w:szCs w:val="24"/>
        </w:rPr>
      </w:pPr>
      <w:bookmarkStart w:id="3" w:name="_Hlk514928352"/>
      <w:bookmarkStart w:id="4" w:name="_Hlk514928334"/>
      <w:r w:rsidRPr="00A54C31">
        <w:rPr>
          <w:rFonts w:cs="Arial"/>
          <w:szCs w:val="24"/>
        </w:rPr>
        <w:lastRenderedPageBreak/>
        <w:t xml:space="preserve">If a Freedom of Information Act 2000 request or a subject access request under the General Data Protection Regulation and Data Protection Act 2018 is received, a hold must be put on the relevant records for at least </w:t>
      </w:r>
      <w:r w:rsidRPr="00A54C31">
        <w:rPr>
          <w:rFonts w:cs="Arial"/>
          <w:b/>
          <w:szCs w:val="24"/>
        </w:rPr>
        <w:t>three months</w:t>
      </w:r>
      <w:r w:rsidRPr="00A54C31">
        <w:rPr>
          <w:rFonts w:cs="Arial"/>
          <w:szCs w:val="24"/>
        </w:rPr>
        <w:t xml:space="preserve"> after the request is resolved.</w:t>
      </w:r>
      <w:r w:rsidRPr="00A54C31">
        <w:rPr>
          <w:vertAlign w:val="superscript"/>
        </w:rPr>
        <w:footnoteReference w:id="2"/>
      </w:r>
    </w:p>
    <w:p w14:paraId="09BD7D46" w14:textId="77777777" w:rsidR="00E66A89" w:rsidRPr="00E66A89" w:rsidRDefault="00E66A89" w:rsidP="00E66A89">
      <w:pPr>
        <w:spacing w:after="0" w:line="240" w:lineRule="auto"/>
        <w:ind w:left="360"/>
        <w:rPr>
          <w:rFonts w:cs="Arial"/>
          <w:szCs w:val="24"/>
        </w:rPr>
      </w:pPr>
    </w:p>
    <w:bookmarkEnd w:id="3"/>
    <w:p w14:paraId="7CA90232" w14:textId="77777777" w:rsidR="00E60A21" w:rsidRPr="00E66A89" w:rsidRDefault="00E60A21" w:rsidP="00E60A21">
      <w:pPr>
        <w:numPr>
          <w:ilvl w:val="0"/>
          <w:numId w:val="6"/>
        </w:numPr>
        <w:spacing w:after="0" w:line="240" w:lineRule="auto"/>
        <w:ind w:left="360"/>
        <w:rPr>
          <w:rFonts w:cs="Arial"/>
          <w:szCs w:val="24"/>
        </w:rPr>
      </w:pPr>
      <w:r w:rsidRPr="00E66A89">
        <w:rPr>
          <w:rFonts w:cs="Arial"/>
          <w:szCs w:val="24"/>
        </w:rPr>
        <w:t xml:space="preserve">While the Independent Inquiry into Child Sexual Abuse (IICSA) </w:t>
      </w:r>
      <w:r w:rsidRPr="00A54C31">
        <w:rPr>
          <w:rFonts w:cs="Arial"/>
          <w:szCs w:val="24"/>
        </w:rPr>
        <w:t>continues its investigations, the moratorium on the destruction of records of potential interest remains in place. All government departments and their associated bodies (in common with other public sector bodies) are required to comply with the moratorium. All business areas should apply the moratorium to any records covered by the following criteria:</w:t>
      </w:r>
    </w:p>
    <w:p w14:paraId="34898B66" w14:textId="77777777" w:rsidR="00E66A89" w:rsidRPr="00E66A89" w:rsidRDefault="00E66A89" w:rsidP="00E66A89">
      <w:pPr>
        <w:spacing w:after="0" w:line="240" w:lineRule="auto"/>
        <w:ind w:left="1440"/>
        <w:rPr>
          <w:rFonts w:cs="Arial"/>
          <w:szCs w:val="24"/>
        </w:rPr>
      </w:pPr>
    </w:p>
    <w:p w14:paraId="1BB5995B" w14:textId="77777777" w:rsidR="00E66A89" w:rsidRPr="00E66A89" w:rsidRDefault="00E66A89" w:rsidP="00E66A89">
      <w:pPr>
        <w:numPr>
          <w:ilvl w:val="1"/>
          <w:numId w:val="6"/>
        </w:numPr>
        <w:spacing w:after="0" w:line="240" w:lineRule="auto"/>
        <w:rPr>
          <w:rFonts w:cs="Arial"/>
          <w:szCs w:val="24"/>
        </w:rPr>
      </w:pPr>
      <w:r w:rsidRPr="00E66A89">
        <w:rPr>
          <w:rFonts w:cs="Arial"/>
          <w:szCs w:val="24"/>
        </w:rPr>
        <w:t>documents which contain or may contain content pertaining directly or indirectly to the sexual abuse</w:t>
      </w:r>
      <w:r w:rsidRPr="00E66A89">
        <w:rPr>
          <w:rFonts w:cs="Arial"/>
          <w:color w:val="000000"/>
          <w:szCs w:val="24"/>
        </w:rPr>
        <w:t xml:space="preserve"> of children or to child protection and care</w:t>
      </w:r>
    </w:p>
    <w:bookmarkEnd w:id="4"/>
    <w:p w14:paraId="20C8EE9C" w14:textId="77777777" w:rsidR="00E66A89" w:rsidRPr="00E66A89" w:rsidRDefault="00E66A89" w:rsidP="00E66A89">
      <w:pPr>
        <w:numPr>
          <w:ilvl w:val="1"/>
          <w:numId w:val="6"/>
        </w:numPr>
        <w:spacing w:after="0" w:line="240" w:lineRule="auto"/>
        <w:rPr>
          <w:rFonts w:cs="Arial"/>
          <w:szCs w:val="24"/>
        </w:rPr>
      </w:pPr>
      <w:r w:rsidRPr="00E66A89">
        <w:rPr>
          <w:rFonts w:cs="Arial"/>
          <w:szCs w:val="24"/>
        </w:rPr>
        <w:t xml:space="preserve">the document types include, but are not limited to, correspondence, notes, emails, and case files, regardless of the format in which they are stored (digital, paper, CDs, etc) </w:t>
      </w:r>
    </w:p>
    <w:p w14:paraId="57769323" w14:textId="77777777" w:rsidR="00E66A89" w:rsidRPr="00E66A89" w:rsidRDefault="00E66A89" w:rsidP="00E66A89">
      <w:pPr>
        <w:numPr>
          <w:ilvl w:val="1"/>
          <w:numId w:val="6"/>
        </w:numPr>
        <w:spacing w:after="0" w:line="240" w:lineRule="auto"/>
        <w:rPr>
          <w:rFonts w:cs="Arial"/>
          <w:szCs w:val="24"/>
        </w:rPr>
      </w:pPr>
      <w:r w:rsidRPr="00E66A89">
        <w:rPr>
          <w:rFonts w:cs="Arial"/>
          <w:color w:val="000000"/>
          <w:szCs w:val="24"/>
        </w:rPr>
        <w:t>for the purposes of this instruction, the word “children” relates to any person under the age of 18</w:t>
      </w:r>
    </w:p>
    <w:p w14:paraId="7AF795F4" w14:textId="77777777" w:rsidR="00E66A89" w:rsidRPr="00E66A89" w:rsidRDefault="00E66A89" w:rsidP="00E66A89">
      <w:pPr>
        <w:numPr>
          <w:ilvl w:val="1"/>
          <w:numId w:val="6"/>
        </w:numPr>
        <w:spacing w:after="0" w:line="240" w:lineRule="auto"/>
        <w:rPr>
          <w:rFonts w:cs="Arial"/>
          <w:szCs w:val="24"/>
        </w:rPr>
      </w:pPr>
      <w:r w:rsidRPr="00E66A89">
        <w:rPr>
          <w:rFonts w:cs="Arial"/>
          <w:color w:val="000000"/>
          <w:szCs w:val="24"/>
        </w:rPr>
        <w:t xml:space="preserve">further information about the moratorium is available on IICSA’s website at: </w:t>
      </w:r>
      <w:hyperlink r:id="rId12" w:history="1">
        <w:r w:rsidRPr="00E66A89">
          <w:rPr>
            <w:rStyle w:val="Hyperlink"/>
            <w:rFonts w:cs="Arial"/>
            <w:color w:val="0000CC"/>
            <w:szCs w:val="24"/>
          </w:rPr>
          <w:t>https://www.iicsa.org.uk/news/chair-of-the-inquiry-issues-guidance-on-destruction-of-documents</w:t>
        </w:r>
      </w:hyperlink>
      <w:r w:rsidRPr="00E66A89">
        <w:rPr>
          <w:rFonts w:cs="Arial"/>
          <w:color w:val="000000"/>
          <w:szCs w:val="24"/>
        </w:rPr>
        <w:t>.</w:t>
      </w:r>
    </w:p>
    <w:p w14:paraId="0740B598" w14:textId="77777777" w:rsidR="00E66A89" w:rsidRPr="00E66A89" w:rsidRDefault="00E66A89" w:rsidP="00E66A89">
      <w:pPr>
        <w:spacing w:after="0" w:line="240" w:lineRule="auto"/>
        <w:ind w:left="360"/>
        <w:rPr>
          <w:rFonts w:cs="Arial"/>
          <w:szCs w:val="24"/>
        </w:rPr>
      </w:pPr>
    </w:p>
    <w:p w14:paraId="588336C0" w14:textId="77777777" w:rsidR="00E66A89" w:rsidRPr="00976FB5" w:rsidRDefault="00E66A89" w:rsidP="00976FB5">
      <w:pPr>
        <w:numPr>
          <w:ilvl w:val="0"/>
          <w:numId w:val="6"/>
        </w:numPr>
        <w:spacing w:after="0" w:line="240" w:lineRule="auto"/>
        <w:ind w:left="360"/>
        <w:rPr>
          <w:rFonts w:cs="Arial"/>
          <w:szCs w:val="24"/>
        </w:rPr>
      </w:pPr>
      <w:r w:rsidRPr="00976FB5">
        <w:rPr>
          <w:rFonts w:cs="Arial"/>
          <w:szCs w:val="24"/>
        </w:rPr>
        <w:t>While the Infected Blood Inquiry continues its investigations,</w:t>
      </w:r>
      <w:r w:rsidR="00976FB5" w:rsidRPr="00976FB5">
        <w:rPr>
          <w:rFonts w:cs="Arial"/>
          <w:szCs w:val="24"/>
        </w:rPr>
        <w:t xml:space="preserve"> OSPT </w:t>
      </w:r>
      <w:r w:rsidRPr="00976FB5">
        <w:rPr>
          <w:rFonts w:cs="Arial"/>
          <w:szCs w:val="24"/>
        </w:rPr>
        <w:t xml:space="preserve">will comply with the moratorium on the destruction of records relevant to this Inquiry. Further information about the Inquiry’s requirements can be found on its website: </w:t>
      </w:r>
      <w:hyperlink r:id="rId13" w:history="1">
        <w:r w:rsidRPr="00976FB5">
          <w:rPr>
            <w:rStyle w:val="Hyperlink"/>
            <w:color w:val="0000CC"/>
            <w:szCs w:val="24"/>
          </w:rPr>
          <w:t>https://www.infectedbloodinquiry.org.uk/evidence/</w:t>
        </w:r>
        <w:r w:rsidRPr="00976FB5">
          <w:rPr>
            <w:rStyle w:val="Hyperlink"/>
            <w:rFonts w:cs="Arial"/>
            <w:color w:val="0000CC"/>
            <w:szCs w:val="24"/>
          </w:rPr>
          <w:t>.</w:t>
        </w:r>
      </w:hyperlink>
      <w:r w:rsidRPr="00976FB5">
        <w:rPr>
          <w:rFonts w:cs="Arial"/>
          <w:szCs w:val="24"/>
        </w:rPr>
        <w:t xml:space="preserve"> </w:t>
      </w:r>
    </w:p>
    <w:p w14:paraId="3CD835DF" w14:textId="77777777" w:rsidR="00E66A89" w:rsidRPr="00E66A89" w:rsidRDefault="00E66A89" w:rsidP="00E66A89">
      <w:pPr>
        <w:spacing w:after="0" w:line="240" w:lineRule="auto"/>
        <w:ind w:left="360"/>
        <w:rPr>
          <w:rFonts w:cs="Arial"/>
          <w:szCs w:val="24"/>
        </w:rPr>
      </w:pPr>
    </w:p>
    <w:p w14:paraId="4D9788D9" w14:textId="77777777" w:rsidR="00E66A89" w:rsidRPr="00E66A89" w:rsidRDefault="00E66A89" w:rsidP="00E66A89">
      <w:pPr>
        <w:numPr>
          <w:ilvl w:val="0"/>
          <w:numId w:val="6"/>
        </w:numPr>
        <w:spacing w:after="0" w:line="240" w:lineRule="auto"/>
        <w:ind w:left="360"/>
        <w:rPr>
          <w:rFonts w:cs="Arial"/>
          <w:szCs w:val="24"/>
        </w:rPr>
      </w:pPr>
      <w:r w:rsidRPr="00E66A89">
        <w:rPr>
          <w:rFonts w:cs="Arial"/>
          <w:szCs w:val="24"/>
        </w:rPr>
        <w:t xml:space="preserve">As part of its commitment to transparency, this schedule will be published on the MoJ’s webpage: </w:t>
      </w:r>
      <w:hyperlink r:id="rId14" w:history="1">
        <w:r w:rsidRPr="00E66A89">
          <w:rPr>
            <w:rStyle w:val="Hyperlink"/>
            <w:rFonts w:cs="Arial"/>
            <w:color w:val="0000CC"/>
            <w:szCs w:val="24"/>
          </w:rPr>
          <w:t>https://www.gov.uk/government/publications/record-retention-and-disposition-schedules</w:t>
        </w:r>
      </w:hyperlink>
      <w:r w:rsidRPr="00E66A89">
        <w:rPr>
          <w:rStyle w:val="Hyperlink"/>
          <w:rFonts w:cs="Arial"/>
          <w:szCs w:val="24"/>
        </w:rPr>
        <w:t xml:space="preserve">. </w:t>
      </w:r>
      <w:r w:rsidRPr="00E66A89">
        <w:rPr>
          <w:rFonts w:cs="Arial"/>
          <w:szCs w:val="24"/>
        </w:rPr>
        <w:t xml:space="preserve"> </w:t>
      </w:r>
    </w:p>
    <w:p w14:paraId="4969C8B2" w14:textId="77777777" w:rsidR="00E66A89" w:rsidRDefault="00E66A89" w:rsidP="00E66A89">
      <w:pPr>
        <w:spacing w:after="0" w:line="240" w:lineRule="auto"/>
        <w:ind w:left="360"/>
        <w:rPr>
          <w:rFonts w:cs="Arial"/>
          <w:szCs w:val="24"/>
        </w:rPr>
      </w:pPr>
    </w:p>
    <w:p w14:paraId="7A4522A9" w14:textId="77777777" w:rsidR="00F71656" w:rsidRDefault="00F71656" w:rsidP="00E66A89">
      <w:pPr>
        <w:spacing w:after="0" w:line="240" w:lineRule="auto"/>
        <w:ind w:left="360"/>
        <w:rPr>
          <w:rFonts w:cs="Arial"/>
          <w:szCs w:val="24"/>
        </w:rPr>
      </w:pPr>
    </w:p>
    <w:p w14:paraId="494FB0F8" w14:textId="77777777" w:rsidR="00F71656" w:rsidRDefault="00F71656" w:rsidP="00E66A89">
      <w:pPr>
        <w:spacing w:after="0" w:line="240" w:lineRule="auto"/>
        <w:ind w:left="360"/>
        <w:rPr>
          <w:rFonts w:cs="Arial"/>
          <w:szCs w:val="24"/>
        </w:rPr>
      </w:pPr>
    </w:p>
    <w:p w14:paraId="1144F270" w14:textId="77777777" w:rsidR="00F71656" w:rsidRDefault="00F71656" w:rsidP="00E66A89">
      <w:pPr>
        <w:spacing w:after="0" w:line="240" w:lineRule="auto"/>
        <w:ind w:left="360"/>
        <w:rPr>
          <w:rFonts w:cs="Arial"/>
          <w:szCs w:val="24"/>
        </w:rPr>
      </w:pPr>
    </w:p>
    <w:p w14:paraId="1D156C16" w14:textId="77777777" w:rsidR="00F71656" w:rsidRDefault="00F71656" w:rsidP="00E66A89">
      <w:pPr>
        <w:spacing w:after="0" w:line="240" w:lineRule="auto"/>
        <w:ind w:left="360"/>
        <w:rPr>
          <w:rFonts w:cs="Arial"/>
          <w:szCs w:val="24"/>
        </w:rPr>
      </w:pPr>
    </w:p>
    <w:p w14:paraId="59E040B6" w14:textId="77777777" w:rsidR="00F71656" w:rsidRDefault="00F71656" w:rsidP="00E66A89">
      <w:pPr>
        <w:spacing w:after="0" w:line="240" w:lineRule="auto"/>
        <w:ind w:left="360"/>
        <w:rPr>
          <w:rFonts w:cs="Arial"/>
          <w:szCs w:val="24"/>
        </w:rPr>
      </w:pPr>
    </w:p>
    <w:p w14:paraId="0B1F7337" w14:textId="77777777" w:rsidR="00F71656" w:rsidRDefault="00F71656" w:rsidP="00E66A89">
      <w:pPr>
        <w:spacing w:after="0" w:line="240" w:lineRule="auto"/>
        <w:ind w:left="360"/>
        <w:rPr>
          <w:rFonts w:cs="Arial"/>
          <w:szCs w:val="24"/>
        </w:rPr>
      </w:pPr>
    </w:p>
    <w:p w14:paraId="5093CA70" w14:textId="77777777" w:rsidR="00F71656" w:rsidRDefault="00F71656" w:rsidP="00E66A89">
      <w:pPr>
        <w:spacing w:after="0" w:line="240" w:lineRule="auto"/>
        <w:ind w:left="360"/>
        <w:rPr>
          <w:rFonts w:cs="Arial"/>
          <w:szCs w:val="24"/>
        </w:rPr>
      </w:pPr>
    </w:p>
    <w:p w14:paraId="50CA1323" w14:textId="77777777" w:rsidR="00F71656" w:rsidRDefault="00F71656" w:rsidP="00E66A89">
      <w:pPr>
        <w:spacing w:after="0" w:line="240" w:lineRule="auto"/>
        <w:ind w:left="360"/>
        <w:rPr>
          <w:rFonts w:cs="Arial"/>
          <w:szCs w:val="24"/>
        </w:rPr>
      </w:pPr>
    </w:p>
    <w:p w14:paraId="734D077E" w14:textId="77777777" w:rsidR="00F71656" w:rsidRDefault="00F71656" w:rsidP="00E66A89">
      <w:pPr>
        <w:spacing w:after="0" w:line="240" w:lineRule="auto"/>
        <w:ind w:left="360"/>
        <w:rPr>
          <w:rFonts w:cs="Arial"/>
          <w:szCs w:val="24"/>
        </w:rPr>
      </w:pPr>
    </w:p>
    <w:p w14:paraId="6D256E8C" w14:textId="77777777" w:rsidR="00F71656" w:rsidRDefault="00F71656" w:rsidP="00E66A89">
      <w:pPr>
        <w:spacing w:after="0" w:line="240" w:lineRule="auto"/>
        <w:ind w:left="360"/>
        <w:rPr>
          <w:rFonts w:cs="Arial"/>
          <w:szCs w:val="24"/>
        </w:rPr>
      </w:pPr>
    </w:p>
    <w:p w14:paraId="500EE1C7" w14:textId="77777777" w:rsidR="00F71656" w:rsidRDefault="00F71656" w:rsidP="00E66A89">
      <w:pPr>
        <w:spacing w:after="0" w:line="240" w:lineRule="auto"/>
        <w:ind w:left="360"/>
        <w:rPr>
          <w:rFonts w:cs="Arial"/>
          <w:szCs w:val="24"/>
        </w:rPr>
      </w:pPr>
    </w:p>
    <w:p w14:paraId="65F85EF1" w14:textId="77777777" w:rsidR="00F71656" w:rsidRDefault="00F71656" w:rsidP="00E66A89">
      <w:pPr>
        <w:spacing w:after="0" w:line="240" w:lineRule="auto"/>
        <w:ind w:left="360"/>
        <w:rPr>
          <w:rFonts w:cs="Arial"/>
          <w:szCs w:val="24"/>
        </w:rPr>
      </w:pPr>
    </w:p>
    <w:p w14:paraId="045F209E" w14:textId="77777777" w:rsidR="00F71656" w:rsidRDefault="00F71656" w:rsidP="00E66A89">
      <w:pPr>
        <w:spacing w:after="0" w:line="240" w:lineRule="auto"/>
        <w:ind w:left="360"/>
        <w:rPr>
          <w:rFonts w:cs="Arial"/>
          <w:szCs w:val="24"/>
        </w:rPr>
      </w:pPr>
    </w:p>
    <w:p w14:paraId="5072F170" w14:textId="77777777" w:rsidR="00F71656" w:rsidRDefault="00F71656" w:rsidP="00E66A89">
      <w:pPr>
        <w:spacing w:after="0" w:line="240" w:lineRule="auto"/>
        <w:ind w:left="360"/>
        <w:rPr>
          <w:rFonts w:cs="Arial"/>
          <w:szCs w:val="24"/>
        </w:rPr>
      </w:pPr>
    </w:p>
    <w:p w14:paraId="64A53DB0" w14:textId="77777777" w:rsidR="00F71656" w:rsidRDefault="00F71656" w:rsidP="00E66A89">
      <w:pPr>
        <w:spacing w:after="0" w:line="240" w:lineRule="auto"/>
        <w:ind w:left="360"/>
        <w:rPr>
          <w:rFonts w:cs="Arial"/>
          <w:szCs w:val="24"/>
        </w:rPr>
      </w:pPr>
    </w:p>
    <w:p w14:paraId="323C6746" w14:textId="77777777" w:rsidR="00F71656" w:rsidRDefault="00F71656" w:rsidP="00E66A89">
      <w:pPr>
        <w:spacing w:after="0" w:line="240" w:lineRule="auto"/>
        <w:ind w:left="360"/>
        <w:rPr>
          <w:rFonts w:cs="Arial"/>
          <w:szCs w:val="24"/>
        </w:rPr>
      </w:pPr>
    </w:p>
    <w:p w14:paraId="5252B634" w14:textId="77777777" w:rsidR="00F71656" w:rsidRDefault="00F71656" w:rsidP="00E66A89">
      <w:pPr>
        <w:spacing w:after="0" w:line="240" w:lineRule="auto"/>
        <w:ind w:left="360"/>
        <w:rPr>
          <w:rFonts w:cs="Arial"/>
          <w:szCs w:val="24"/>
        </w:rPr>
      </w:pPr>
    </w:p>
    <w:p w14:paraId="4A24D78F" w14:textId="77777777" w:rsidR="00F71656" w:rsidRDefault="00F71656" w:rsidP="00E66A89">
      <w:pPr>
        <w:spacing w:after="0" w:line="240" w:lineRule="auto"/>
        <w:ind w:left="360"/>
        <w:rPr>
          <w:rFonts w:cs="Arial"/>
          <w:szCs w:val="24"/>
        </w:rPr>
      </w:pPr>
    </w:p>
    <w:p w14:paraId="623A7DF3" w14:textId="77777777" w:rsidR="00E66A89" w:rsidRPr="00E66A89" w:rsidRDefault="00E66A89" w:rsidP="00E66A89">
      <w:pPr>
        <w:pStyle w:val="Heading2"/>
      </w:pPr>
      <w:r w:rsidRPr="00E66A89">
        <w:lastRenderedPageBreak/>
        <w:t xml:space="preserve">The schedule </w:t>
      </w:r>
    </w:p>
    <w:tbl>
      <w:tblPr>
        <w:tblStyle w:val="TableGrid"/>
        <w:tblW w:w="0" w:type="auto"/>
        <w:tblLook w:val="04A0" w:firstRow="1" w:lastRow="0" w:firstColumn="1" w:lastColumn="0" w:noHBand="0" w:noVBand="1"/>
      </w:tblPr>
      <w:tblGrid>
        <w:gridCol w:w="846"/>
        <w:gridCol w:w="3544"/>
        <w:gridCol w:w="5238"/>
      </w:tblGrid>
      <w:tr w:rsidR="00E66A89" w:rsidRPr="00E66A89" w14:paraId="534395D9" w14:textId="77777777" w:rsidTr="00F716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8FEB069" w14:textId="77777777" w:rsidR="00E66A89" w:rsidRPr="00E66A89" w:rsidRDefault="00E66A89" w:rsidP="00E66A89">
            <w:pPr>
              <w:pStyle w:val="Text"/>
              <w:spacing w:after="0"/>
              <w:jc w:val="center"/>
              <w:rPr>
                <w:sz w:val="24"/>
              </w:rPr>
            </w:pPr>
            <w:r w:rsidRPr="00E66A89">
              <w:rPr>
                <w:sz w:val="24"/>
              </w:rPr>
              <w:t>No.</w:t>
            </w:r>
          </w:p>
        </w:tc>
        <w:tc>
          <w:tcPr>
            <w:tcW w:w="3544" w:type="dxa"/>
            <w:vAlign w:val="center"/>
          </w:tcPr>
          <w:p w14:paraId="5DC2A3E1" w14:textId="77777777" w:rsidR="00E66A89" w:rsidRPr="00E66A89" w:rsidRDefault="00E66A89" w:rsidP="00E66A89">
            <w:pPr>
              <w:pStyle w:val="Text"/>
              <w:spacing w:after="0"/>
              <w:jc w:val="center"/>
              <w:cnfStyle w:val="100000000000" w:firstRow="1" w:lastRow="0" w:firstColumn="0" w:lastColumn="0" w:oddVBand="0" w:evenVBand="0" w:oddHBand="0" w:evenHBand="0" w:firstRowFirstColumn="0" w:firstRowLastColumn="0" w:lastRowFirstColumn="0" w:lastRowLastColumn="0"/>
              <w:rPr>
                <w:sz w:val="24"/>
              </w:rPr>
            </w:pPr>
            <w:r w:rsidRPr="00E66A89">
              <w:rPr>
                <w:sz w:val="24"/>
              </w:rPr>
              <w:t>Record type</w:t>
            </w:r>
          </w:p>
        </w:tc>
        <w:tc>
          <w:tcPr>
            <w:tcW w:w="5238" w:type="dxa"/>
            <w:vAlign w:val="center"/>
          </w:tcPr>
          <w:p w14:paraId="0F15D2C5" w14:textId="77777777" w:rsidR="00E66A89" w:rsidRPr="00E66A89" w:rsidRDefault="00E66A89" w:rsidP="00E66A89">
            <w:pPr>
              <w:pStyle w:val="Text"/>
              <w:spacing w:after="0"/>
              <w:jc w:val="center"/>
              <w:cnfStyle w:val="100000000000" w:firstRow="1" w:lastRow="0" w:firstColumn="0" w:lastColumn="0" w:oddVBand="0" w:evenVBand="0" w:oddHBand="0" w:evenHBand="0" w:firstRowFirstColumn="0" w:firstRowLastColumn="0" w:lastRowFirstColumn="0" w:lastRowLastColumn="0"/>
              <w:rPr>
                <w:sz w:val="24"/>
              </w:rPr>
            </w:pPr>
            <w:r w:rsidRPr="00E66A89">
              <w:rPr>
                <w:sz w:val="24"/>
              </w:rPr>
              <w:t>Retention and disposition</w:t>
            </w:r>
          </w:p>
        </w:tc>
      </w:tr>
      <w:tr w:rsidR="00E66A89" w:rsidRPr="00E66A89" w14:paraId="32BEE14C" w14:textId="77777777" w:rsidTr="001B4363">
        <w:tc>
          <w:tcPr>
            <w:cnfStyle w:val="001000000000" w:firstRow="0" w:lastRow="0" w:firstColumn="1" w:lastColumn="0" w:oddVBand="0" w:evenVBand="0" w:oddHBand="0" w:evenHBand="0" w:firstRowFirstColumn="0" w:firstRowLastColumn="0" w:lastRowFirstColumn="0" w:lastRowLastColumn="0"/>
            <w:tcW w:w="9628" w:type="dxa"/>
            <w:gridSpan w:val="3"/>
          </w:tcPr>
          <w:p w14:paraId="62D88E35" w14:textId="77777777" w:rsidR="00E66A89" w:rsidRDefault="00E66A89" w:rsidP="00E66A89">
            <w:pPr>
              <w:pStyle w:val="Text"/>
              <w:spacing w:after="0"/>
              <w:jc w:val="center"/>
              <w:rPr>
                <w:sz w:val="24"/>
              </w:rPr>
            </w:pPr>
          </w:p>
          <w:p w14:paraId="28D46212" w14:textId="77777777" w:rsidR="00E66A89" w:rsidRDefault="00E66A89" w:rsidP="00E66A89">
            <w:pPr>
              <w:pStyle w:val="Text"/>
              <w:spacing w:after="0"/>
              <w:jc w:val="center"/>
              <w:rPr>
                <w:color w:val="FF0000"/>
                <w:sz w:val="24"/>
              </w:rPr>
            </w:pPr>
            <w:r w:rsidRPr="00E66A89">
              <w:rPr>
                <w:sz w:val="24"/>
              </w:rPr>
              <w:t>1. Unique records held by</w:t>
            </w:r>
            <w:r w:rsidR="00C8142E">
              <w:rPr>
                <w:sz w:val="24"/>
              </w:rPr>
              <w:t xml:space="preserve"> OSPT</w:t>
            </w:r>
          </w:p>
          <w:p w14:paraId="76C305B5" w14:textId="77777777" w:rsidR="00E66A89" w:rsidRPr="00E66A89" w:rsidRDefault="00E66A89" w:rsidP="00E66A89">
            <w:pPr>
              <w:pStyle w:val="Text"/>
              <w:spacing w:after="0"/>
              <w:jc w:val="center"/>
              <w:rPr>
                <w:sz w:val="24"/>
              </w:rPr>
            </w:pPr>
          </w:p>
        </w:tc>
      </w:tr>
      <w:tr w:rsidR="005629A7" w14:paraId="0F926602" w14:textId="77777777" w:rsidTr="002C5A32">
        <w:tc>
          <w:tcPr>
            <w:cnfStyle w:val="001000000000" w:firstRow="0" w:lastRow="0" w:firstColumn="1" w:lastColumn="0" w:oddVBand="0" w:evenVBand="0" w:oddHBand="0" w:evenHBand="0" w:firstRowFirstColumn="0" w:firstRowLastColumn="0" w:lastRowFirstColumn="0" w:lastRowLastColumn="0"/>
            <w:tcW w:w="9628" w:type="dxa"/>
            <w:gridSpan w:val="3"/>
            <w:vAlign w:val="center"/>
          </w:tcPr>
          <w:p w14:paraId="5FD5F3DA" w14:textId="77777777" w:rsidR="00DA3AB1" w:rsidRDefault="00DA3AB1" w:rsidP="005629A7">
            <w:pPr>
              <w:pStyle w:val="Text"/>
              <w:spacing w:after="0"/>
              <w:jc w:val="center"/>
            </w:pPr>
          </w:p>
          <w:p w14:paraId="2DF8EAD5" w14:textId="77777777" w:rsidR="005629A7" w:rsidRDefault="005629A7" w:rsidP="005629A7">
            <w:pPr>
              <w:pStyle w:val="Text"/>
              <w:spacing w:after="0"/>
              <w:jc w:val="center"/>
            </w:pPr>
            <w:r>
              <w:t xml:space="preserve">1a. </w:t>
            </w:r>
            <w:r w:rsidRPr="005629A7">
              <w:t>C</w:t>
            </w:r>
            <w:r>
              <w:t>ivil litigation</w:t>
            </w:r>
          </w:p>
          <w:p w14:paraId="4155B1CA" w14:textId="77777777" w:rsidR="00DA3AB1" w:rsidRDefault="00DA3AB1" w:rsidP="005629A7">
            <w:pPr>
              <w:pStyle w:val="Text"/>
              <w:spacing w:after="0"/>
              <w:jc w:val="center"/>
            </w:pPr>
          </w:p>
        </w:tc>
      </w:tr>
      <w:tr w:rsidR="005629A7" w14:paraId="2DC6BEF5" w14:textId="77777777" w:rsidTr="00F71656">
        <w:tc>
          <w:tcPr>
            <w:cnfStyle w:val="001000000000" w:firstRow="0" w:lastRow="0" w:firstColumn="1" w:lastColumn="0" w:oddVBand="0" w:evenVBand="0" w:oddHBand="0" w:evenHBand="0" w:firstRowFirstColumn="0" w:firstRowLastColumn="0" w:lastRowFirstColumn="0" w:lastRowLastColumn="0"/>
            <w:tcW w:w="846" w:type="dxa"/>
            <w:vAlign w:val="center"/>
          </w:tcPr>
          <w:p w14:paraId="7E60031C" w14:textId="77777777" w:rsidR="005629A7" w:rsidRDefault="005629A7" w:rsidP="00E66A89">
            <w:pPr>
              <w:pStyle w:val="Text"/>
              <w:numPr>
                <w:ilvl w:val="0"/>
                <w:numId w:val="11"/>
              </w:numPr>
              <w:spacing w:after="0"/>
            </w:pPr>
          </w:p>
        </w:tc>
        <w:tc>
          <w:tcPr>
            <w:tcW w:w="3544" w:type="dxa"/>
            <w:vAlign w:val="center"/>
          </w:tcPr>
          <w:p w14:paraId="446445B4" w14:textId="77777777" w:rsidR="005629A7" w:rsidRDefault="005629A7" w:rsidP="00E66A89">
            <w:pPr>
              <w:pStyle w:val="Text"/>
              <w:spacing w:after="0"/>
              <w:cnfStyle w:val="000000000000" w:firstRow="0" w:lastRow="0" w:firstColumn="0" w:lastColumn="0" w:oddVBand="0" w:evenVBand="0" w:oddHBand="0" w:evenHBand="0" w:firstRowFirstColumn="0" w:firstRowLastColumn="0" w:lastRowFirstColumn="0" w:lastRowLastColumn="0"/>
            </w:pPr>
          </w:p>
          <w:p w14:paraId="55D2E008" w14:textId="77777777" w:rsidR="005629A7" w:rsidRDefault="005629A7" w:rsidP="00E66A89">
            <w:pPr>
              <w:pStyle w:val="Text"/>
              <w:spacing w:after="0"/>
              <w:cnfStyle w:val="000000000000" w:firstRow="0" w:lastRow="0" w:firstColumn="0" w:lastColumn="0" w:oddVBand="0" w:evenVBand="0" w:oddHBand="0" w:evenHBand="0" w:firstRowFirstColumn="0" w:firstRowLastColumn="0" w:lastRowFirstColumn="0" w:lastRowLastColumn="0"/>
            </w:pPr>
            <w:r w:rsidRPr="005629A7">
              <w:t xml:space="preserve">General litigation </w:t>
            </w:r>
            <w:r>
              <w:t>including, but not limited to:</w:t>
            </w:r>
          </w:p>
          <w:p w14:paraId="15E9845A" w14:textId="77777777" w:rsidR="003E0458" w:rsidRDefault="005629A7" w:rsidP="003E0458">
            <w:pPr>
              <w:pStyle w:val="Text"/>
              <w:numPr>
                <w:ilvl w:val="0"/>
                <w:numId w:val="12"/>
              </w:numPr>
              <w:spacing w:after="0"/>
              <w:cnfStyle w:val="000000000000" w:firstRow="0" w:lastRow="0" w:firstColumn="0" w:lastColumn="0" w:oddVBand="0" w:evenVBand="0" w:oddHBand="0" w:evenHBand="0" w:firstRowFirstColumn="0" w:firstRowLastColumn="0" w:lastRowFirstColumn="0" w:lastRowLastColumn="0"/>
            </w:pPr>
            <w:r w:rsidRPr="005629A7">
              <w:t>Personal injury</w:t>
            </w:r>
          </w:p>
          <w:p w14:paraId="3A872452" w14:textId="77777777" w:rsidR="003E0458" w:rsidRDefault="005629A7" w:rsidP="003E0458">
            <w:pPr>
              <w:pStyle w:val="Text"/>
              <w:numPr>
                <w:ilvl w:val="0"/>
                <w:numId w:val="12"/>
              </w:numPr>
              <w:spacing w:after="0"/>
              <w:cnfStyle w:val="000000000000" w:firstRow="0" w:lastRow="0" w:firstColumn="0" w:lastColumn="0" w:oddVBand="0" w:evenVBand="0" w:oddHBand="0" w:evenHBand="0" w:firstRowFirstColumn="0" w:firstRowLastColumn="0" w:lastRowFirstColumn="0" w:lastRowLastColumn="0"/>
            </w:pPr>
            <w:r w:rsidRPr="005629A7">
              <w:t>Medical negligence</w:t>
            </w:r>
          </w:p>
          <w:p w14:paraId="6D893D65" w14:textId="77777777" w:rsidR="003E0458" w:rsidRDefault="005629A7" w:rsidP="003E0458">
            <w:pPr>
              <w:pStyle w:val="Text"/>
              <w:numPr>
                <w:ilvl w:val="0"/>
                <w:numId w:val="12"/>
              </w:numPr>
              <w:spacing w:after="0"/>
              <w:cnfStyle w:val="000000000000" w:firstRow="0" w:lastRow="0" w:firstColumn="0" w:lastColumn="0" w:oddVBand="0" w:evenVBand="0" w:oddHBand="0" w:evenHBand="0" w:firstRowFirstColumn="0" w:firstRowLastColumn="0" w:lastRowFirstColumn="0" w:lastRowLastColumn="0"/>
            </w:pPr>
            <w:r w:rsidRPr="005629A7">
              <w:t>Professional negligence</w:t>
            </w:r>
          </w:p>
          <w:p w14:paraId="45054334" w14:textId="77777777" w:rsidR="003E0458" w:rsidRDefault="005629A7" w:rsidP="003E0458">
            <w:pPr>
              <w:pStyle w:val="Text"/>
              <w:numPr>
                <w:ilvl w:val="0"/>
                <w:numId w:val="12"/>
              </w:numPr>
              <w:spacing w:after="0"/>
              <w:cnfStyle w:val="000000000000" w:firstRow="0" w:lastRow="0" w:firstColumn="0" w:lastColumn="0" w:oddVBand="0" w:evenVBand="0" w:oddHBand="0" w:evenHBand="0" w:firstRowFirstColumn="0" w:firstRowLastColumn="0" w:lastRowFirstColumn="0" w:lastRowLastColumn="0"/>
            </w:pPr>
            <w:r w:rsidRPr="005629A7">
              <w:t>Criminal Injuries Compensation Authority, Applications</w:t>
            </w:r>
          </w:p>
          <w:p w14:paraId="75EFF0F0" w14:textId="77777777" w:rsidR="003E0458" w:rsidRDefault="005629A7" w:rsidP="003E0458">
            <w:pPr>
              <w:pStyle w:val="Text"/>
              <w:numPr>
                <w:ilvl w:val="0"/>
                <w:numId w:val="12"/>
              </w:numPr>
              <w:spacing w:after="0"/>
              <w:cnfStyle w:val="000000000000" w:firstRow="0" w:lastRow="0" w:firstColumn="0" w:lastColumn="0" w:oddVBand="0" w:evenVBand="0" w:oddHBand="0" w:evenHBand="0" w:firstRowFirstColumn="0" w:firstRowLastColumn="0" w:lastRowFirstColumn="0" w:lastRowLastColumn="0"/>
            </w:pPr>
            <w:r w:rsidRPr="005629A7">
              <w:t>Inheritance A</w:t>
            </w:r>
            <w:r w:rsidR="003E0458">
              <w:t>ct claims</w:t>
            </w:r>
          </w:p>
          <w:p w14:paraId="10FB193B" w14:textId="77777777" w:rsidR="003E0458" w:rsidRDefault="005629A7" w:rsidP="003E0458">
            <w:pPr>
              <w:pStyle w:val="Text"/>
              <w:numPr>
                <w:ilvl w:val="0"/>
                <w:numId w:val="12"/>
              </w:numPr>
              <w:spacing w:after="0"/>
              <w:cnfStyle w:val="000000000000" w:firstRow="0" w:lastRow="0" w:firstColumn="0" w:lastColumn="0" w:oddVBand="0" w:evenVBand="0" w:oddHBand="0" w:evenHBand="0" w:firstRowFirstColumn="0" w:firstRowLastColumn="0" w:lastRowFirstColumn="0" w:lastRowLastColumn="0"/>
            </w:pPr>
            <w:r w:rsidRPr="005629A7">
              <w:t>Judicial review applications</w:t>
            </w:r>
          </w:p>
          <w:p w14:paraId="0C03B199" w14:textId="77777777" w:rsidR="003E0458" w:rsidRDefault="005629A7" w:rsidP="003E0458">
            <w:pPr>
              <w:pStyle w:val="Text"/>
              <w:numPr>
                <w:ilvl w:val="0"/>
                <w:numId w:val="12"/>
              </w:numPr>
              <w:spacing w:after="0"/>
              <w:cnfStyle w:val="000000000000" w:firstRow="0" w:lastRow="0" w:firstColumn="0" w:lastColumn="0" w:oddVBand="0" w:evenVBand="0" w:oddHBand="0" w:evenHBand="0" w:firstRowFirstColumn="0" w:firstRowLastColumn="0" w:lastRowFirstColumn="0" w:lastRowLastColumn="0"/>
            </w:pPr>
            <w:r w:rsidRPr="005629A7">
              <w:t>Possession</w:t>
            </w:r>
          </w:p>
          <w:p w14:paraId="04C0E0CD" w14:textId="77777777" w:rsidR="005629A7" w:rsidRDefault="005629A7" w:rsidP="003E0458">
            <w:pPr>
              <w:pStyle w:val="Text"/>
              <w:numPr>
                <w:ilvl w:val="0"/>
                <w:numId w:val="12"/>
              </w:numPr>
              <w:spacing w:after="0"/>
              <w:cnfStyle w:val="000000000000" w:firstRow="0" w:lastRow="0" w:firstColumn="0" w:lastColumn="0" w:oddVBand="0" w:evenVBand="0" w:oddHBand="0" w:evenHBand="0" w:firstRowFirstColumn="0" w:firstRowLastColumn="0" w:lastRowFirstColumn="0" w:lastRowLastColumn="0"/>
            </w:pPr>
            <w:r w:rsidRPr="005629A7">
              <w:t xml:space="preserve">Injunction </w:t>
            </w:r>
            <w:r w:rsidR="003E0458">
              <w:t>(excluding Family Law Act) Debt</w:t>
            </w:r>
          </w:p>
          <w:p w14:paraId="767CBE02" w14:textId="77777777" w:rsidR="003E0458" w:rsidRDefault="003E0458" w:rsidP="003E0458">
            <w:pPr>
              <w:pStyle w:val="Text"/>
              <w:spacing w:after="0"/>
              <w:cnfStyle w:val="000000000000" w:firstRow="0" w:lastRow="0" w:firstColumn="0" w:lastColumn="0" w:oddVBand="0" w:evenVBand="0" w:oddHBand="0" w:evenHBand="0" w:firstRowFirstColumn="0" w:firstRowLastColumn="0" w:lastRowFirstColumn="0" w:lastRowLastColumn="0"/>
            </w:pPr>
          </w:p>
        </w:tc>
        <w:tc>
          <w:tcPr>
            <w:tcW w:w="5238" w:type="dxa"/>
            <w:vAlign w:val="center"/>
          </w:tcPr>
          <w:p w14:paraId="2A925301" w14:textId="77777777" w:rsidR="003E0458" w:rsidRDefault="003E0458" w:rsidP="003E0458">
            <w:pPr>
              <w:pStyle w:val="Text"/>
              <w:spacing w:after="0"/>
              <w:cnfStyle w:val="000000000000" w:firstRow="0" w:lastRow="0" w:firstColumn="0" w:lastColumn="0" w:oddVBand="0" w:evenVBand="0" w:oddHBand="0" w:evenHBand="0" w:firstRowFirstColumn="0" w:firstRowLastColumn="0" w:lastRowFirstColumn="0" w:lastRowLastColumn="0"/>
            </w:pPr>
          </w:p>
          <w:p w14:paraId="4A872601" w14:textId="77777777" w:rsidR="003E0458" w:rsidRDefault="003E0458" w:rsidP="003E0458">
            <w:pPr>
              <w:pStyle w:val="Text"/>
              <w:spacing w:after="0"/>
              <w:cnfStyle w:val="000000000000" w:firstRow="0" w:lastRow="0" w:firstColumn="0" w:lastColumn="0" w:oddVBand="0" w:evenVBand="0" w:oddHBand="0" w:evenHBand="0" w:firstRowFirstColumn="0" w:firstRowLastColumn="0" w:lastRowFirstColumn="0" w:lastRowLastColumn="0"/>
            </w:pPr>
            <w:r>
              <w:t xml:space="preserve">Apart from the exceptions listed below, keep for </w:t>
            </w:r>
            <w:r w:rsidRPr="003E0458">
              <w:rPr>
                <w:b/>
              </w:rPr>
              <w:t>six years</w:t>
            </w:r>
            <w:r>
              <w:t xml:space="preserve"> from date case is</w:t>
            </w:r>
            <w:r w:rsidR="00B87101">
              <w:t xml:space="preserve"> closed</w:t>
            </w:r>
            <w:r>
              <w:t xml:space="preserve"> and then destroy.</w:t>
            </w:r>
          </w:p>
          <w:p w14:paraId="3DC9C9A2" w14:textId="77777777" w:rsidR="003E0458" w:rsidRDefault="003E0458" w:rsidP="003E0458">
            <w:pPr>
              <w:pStyle w:val="Text"/>
              <w:spacing w:after="0"/>
              <w:cnfStyle w:val="000000000000" w:firstRow="0" w:lastRow="0" w:firstColumn="0" w:lastColumn="0" w:oddVBand="0" w:evenVBand="0" w:oddHBand="0" w:evenHBand="0" w:firstRowFirstColumn="0" w:firstRowLastColumn="0" w:lastRowFirstColumn="0" w:lastRowLastColumn="0"/>
            </w:pPr>
          </w:p>
          <w:p w14:paraId="01491A75" w14:textId="77777777" w:rsidR="003E0458" w:rsidRDefault="003E0458" w:rsidP="003E0458">
            <w:pPr>
              <w:pStyle w:val="Text"/>
              <w:spacing w:after="0"/>
              <w:cnfStyle w:val="000000000000" w:firstRow="0" w:lastRow="0" w:firstColumn="0" w:lastColumn="0" w:oddVBand="0" w:evenVBand="0" w:oddHBand="0" w:evenHBand="0" w:firstRowFirstColumn="0" w:firstRowLastColumn="0" w:lastRowFirstColumn="0" w:lastRowLastColumn="0"/>
              <w:rPr>
                <w:b/>
              </w:rPr>
            </w:pPr>
            <w:r>
              <w:rPr>
                <w:b/>
              </w:rPr>
              <w:t>Exceptions</w:t>
            </w:r>
          </w:p>
          <w:p w14:paraId="6C889C5E" w14:textId="77777777" w:rsidR="003E0458" w:rsidRDefault="003E0458" w:rsidP="003E0458">
            <w:pPr>
              <w:pStyle w:val="Text"/>
              <w:spacing w:after="0"/>
              <w:cnfStyle w:val="000000000000" w:firstRow="0" w:lastRow="0" w:firstColumn="0" w:lastColumn="0" w:oddVBand="0" w:evenVBand="0" w:oddHBand="0" w:evenHBand="0" w:firstRowFirstColumn="0" w:firstRowLastColumn="0" w:lastRowFirstColumn="0" w:lastRowLastColumn="0"/>
            </w:pPr>
            <w:r>
              <w:t xml:space="preserve">a) If the Official Solicitor is appointed to act for a client who is a minor, </w:t>
            </w:r>
            <w:r w:rsidRPr="003E0458">
              <w:rPr>
                <w:b/>
              </w:rPr>
              <w:t>destroy on the Client’s 24th birthday</w:t>
            </w:r>
            <w:r>
              <w:t xml:space="preserve">. </w:t>
            </w:r>
          </w:p>
          <w:p w14:paraId="4FE3C63F" w14:textId="77777777" w:rsidR="003E0458" w:rsidRDefault="003E0458" w:rsidP="003E0458">
            <w:pPr>
              <w:pStyle w:val="Text"/>
              <w:spacing w:after="0"/>
              <w:cnfStyle w:val="000000000000" w:firstRow="0" w:lastRow="0" w:firstColumn="0" w:lastColumn="0" w:oddVBand="0" w:evenVBand="0" w:oddHBand="0" w:evenHBand="0" w:firstRowFirstColumn="0" w:firstRowLastColumn="0" w:lastRowFirstColumn="0" w:lastRowLastColumn="0"/>
            </w:pPr>
            <w:r>
              <w:t>b) Cases that have a charge on the property are reconciled with the Charges spreadsheet and outstanding costs. Once the charge is removed the case can be destroyed as per the case type retention criteria.</w:t>
            </w:r>
          </w:p>
          <w:p w14:paraId="70394D41" w14:textId="77777777" w:rsidR="005629A7" w:rsidRDefault="003E0458" w:rsidP="003E0458">
            <w:pPr>
              <w:pStyle w:val="Text"/>
              <w:spacing w:after="0"/>
              <w:cnfStyle w:val="000000000000" w:firstRow="0" w:lastRow="0" w:firstColumn="0" w:lastColumn="0" w:oddVBand="0" w:evenVBand="0" w:oddHBand="0" w:evenHBand="0" w:firstRowFirstColumn="0" w:firstRowLastColumn="0" w:lastRowFirstColumn="0" w:lastRowLastColumn="0"/>
            </w:pPr>
            <w:r>
              <w:t>c) Rejected or void cases are kept for</w:t>
            </w:r>
            <w:r w:rsidRPr="003E0458">
              <w:rPr>
                <w:b/>
              </w:rPr>
              <w:t xml:space="preserve"> six months</w:t>
            </w:r>
            <w:r>
              <w:t xml:space="preserve"> and then destroyed.</w:t>
            </w:r>
          </w:p>
          <w:p w14:paraId="6155A5CE" w14:textId="77777777" w:rsidR="003E0458" w:rsidRDefault="003E0458" w:rsidP="003E0458">
            <w:pPr>
              <w:pStyle w:val="Text"/>
              <w:spacing w:after="0"/>
              <w:cnfStyle w:val="000000000000" w:firstRow="0" w:lastRow="0" w:firstColumn="0" w:lastColumn="0" w:oddVBand="0" w:evenVBand="0" w:oddHBand="0" w:evenHBand="0" w:firstRowFirstColumn="0" w:firstRowLastColumn="0" w:lastRowFirstColumn="0" w:lastRowLastColumn="0"/>
            </w:pPr>
          </w:p>
        </w:tc>
      </w:tr>
      <w:tr w:rsidR="005629A7" w14:paraId="1BFC5602" w14:textId="77777777" w:rsidTr="00F71656">
        <w:tc>
          <w:tcPr>
            <w:cnfStyle w:val="001000000000" w:firstRow="0" w:lastRow="0" w:firstColumn="1" w:lastColumn="0" w:oddVBand="0" w:evenVBand="0" w:oddHBand="0" w:evenHBand="0" w:firstRowFirstColumn="0" w:firstRowLastColumn="0" w:lastRowFirstColumn="0" w:lastRowLastColumn="0"/>
            <w:tcW w:w="846" w:type="dxa"/>
            <w:vAlign w:val="center"/>
          </w:tcPr>
          <w:p w14:paraId="3C987ECB" w14:textId="77777777" w:rsidR="005629A7" w:rsidRDefault="005629A7" w:rsidP="00E66A89">
            <w:pPr>
              <w:pStyle w:val="Text"/>
              <w:numPr>
                <w:ilvl w:val="0"/>
                <w:numId w:val="11"/>
              </w:numPr>
              <w:spacing w:after="0"/>
            </w:pPr>
          </w:p>
        </w:tc>
        <w:tc>
          <w:tcPr>
            <w:tcW w:w="3544" w:type="dxa"/>
            <w:vAlign w:val="center"/>
          </w:tcPr>
          <w:p w14:paraId="4144F7A8" w14:textId="77777777" w:rsidR="005629A7" w:rsidRDefault="005629A7" w:rsidP="00E66A89">
            <w:pPr>
              <w:pStyle w:val="Text"/>
              <w:spacing w:after="0"/>
              <w:cnfStyle w:val="000000000000" w:firstRow="0" w:lastRow="0" w:firstColumn="0" w:lastColumn="0" w:oddVBand="0" w:evenVBand="0" w:oddHBand="0" w:evenHBand="0" w:firstRowFirstColumn="0" w:firstRowLastColumn="0" w:lastRowFirstColumn="0" w:lastRowLastColumn="0"/>
            </w:pPr>
          </w:p>
          <w:p w14:paraId="0DDDAD91" w14:textId="77777777" w:rsidR="00BA0EC3" w:rsidRDefault="00BA0EC3" w:rsidP="00E66A89">
            <w:pPr>
              <w:pStyle w:val="Text"/>
              <w:spacing w:after="0"/>
              <w:cnfStyle w:val="000000000000" w:firstRow="0" w:lastRow="0" w:firstColumn="0" w:lastColumn="0" w:oddVBand="0" w:evenVBand="0" w:oddHBand="0" w:evenHBand="0" w:firstRowFirstColumn="0" w:firstRowLastColumn="0" w:lastRowFirstColumn="0" w:lastRowLastColumn="0"/>
              <w:rPr>
                <w:spacing w:val="-2"/>
              </w:rPr>
            </w:pPr>
            <w:r>
              <w:rPr>
                <w:spacing w:val="-2"/>
              </w:rPr>
              <w:t>Contempt (remaining cases)</w:t>
            </w:r>
            <w:r>
              <w:rPr>
                <w:rStyle w:val="FootnoteReference"/>
                <w:spacing w:val="-2"/>
              </w:rPr>
              <w:footnoteReference w:id="3"/>
            </w:r>
          </w:p>
          <w:p w14:paraId="0C585CBC" w14:textId="77777777" w:rsidR="00BA0EC3" w:rsidRDefault="00BA0EC3" w:rsidP="00E66A89">
            <w:pPr>
              <w:pStyle w:val="Text"/>
              <w:spacing w:after="0"/>
              <w:cnfStyle w:val="000000000000" w:firstRow="0" w:lastRow="0" w:firstColumn="0" w:lastColumn="0" w:oddVBand="0" w:evenVBand="0" w:oddHBand="0" w:evenHBand="0" w:firstRowFirstColumn="0" w:firstRowLastColumn="0" w:lastRowFirstColumn="0" w:lastRowLastColumn="0"/>
            </w:pPr>
          </w:p>
        </w:tc>
        <w:tc>
          <w:tcPr>
            <w:tcW w:w="5238" w:type="dxa"/>
            <w:vAlign w:val="center"/>
          </w:tcPr>
          <w:p w14:paraId="34EA4F98" w14:textId="77777777" w:rsidR="005629A7" w:rsidRDefault="00BA0EC3" w:rsidP="00E66A89">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Pr="003E0458">
              <w:rPr>
                <w:b/>
              </w:rPr>
              <w:t>six years</w:t>
            </w:r>
            <w:r>
              <w:t xml:space="preserve"> from date cas</w:t>
            </w:r>
            <w:r w:rsidR="00C82629">
              <w:t xml:space="preserve">e is </w:t>
            </w:r>
            <w:r>
              <w:t>put away and then destroy.</w:t>
            </w:r>
          </w:p>
        </w:tc>
      </w:tr>
      <w:tr w:rsidR="005629A7" w14:paraId="0BA9F1BB" w14:textId="77777777" w:rsidTr="00F71656">
        <w:tc>
          <w:tcPr>
            <w:cnfStyle w:val="001000000000" w:firstRow="0" w:lastRow="0" w:firstColumn="1" w:lastColumn="0" w:oddVBand="0" w:evenVBand="0" w:oddHBand="0" w:evenHBand="0" w:firstRowFirstColumn="0" w:firstRowLastColumn="0" w:lastRowFirstColumn="0" w:lastRowLastColumn="0"/>
            <w:tcW w:w="846" w:type="dxa"/>
            <w:vAlign w:val="center"/>
          </w:tcPr>
          <w:p w14:paraId="3A7C51C2" w14:textId="77777777" w:rsidR="005629A7" w:rsidRDefault="005629A7" w:rsidP="00E66A89">
            <w:pPr>
              <w:pStyle w:val="Text"/>
              <w:numPr>
                <w:ilvl w:val="0"/>
                <w:numId w:val="11"/>
              </w:numPr>
              <w:spacing w:after="0"/>
            </w:pPr>
          </w:p>
        </w:tc>
        <w:tc>
          <w:tcPr>
            <w:tcW w:w="3544" w:type="dxa"/>
            <w:vAlign w:val="center"/>
          </w:tcPr>
          <w:p w14:paraId="4E5960CF" w14:textId="77777777" w:rsidR="005629A7" w:rsidRDefault="005629A7" w:rsidP="00E66A89">
            <w:pPr>
              <w:pStyle w:val="Text"/>
              <w:spacing w:after="0"/>
              <w:cnfStyle w:val="000000000000" w:firstRow="0" w:lastRow="0" w:firstColumn="0" w:lastColumn="0" w:oddVBand="0" w:evenVBand="0" w:oddHBand="0" w:evenHBand="0" w:firstRowFirstColumn="0" w:firstRowLastColumn="0" w:lastRowFirstColumn="0" w:lastRowLastColumn="0"/>
            </w:pPr>
          </w:p>
          <w:p w14:paraId="55E3BD2A" w14:textId="77777777" w:rsidR="00727DDB" w:rsidRDefault="00727DDB" w:rsidP="00E66A89">
            <w:pPr>
              <w:pStyle w:val="Text"/>
              <w:spacing w:after="0"/>
              <w:cnfStyle w:val="000000000000" w:firstRow="0" w:lastRow="0" w:firstColumn="0" w:lastColumn="0" w:oddVBand="0" w:evenVBand="0" w:oddHBand="0" w:evenHBand="0" w:firstRowFirstColumn="0" w:firstRowLastColumn="0" w:lastRowFirstColumn="0" w:lastRowLastColumn="0"/>
            </w:pPr>
            <w:r w:rsidRPr="00727DDB">
              <w:t>Bail Applications</w:t>
            </w:r>
          </w:p>
          <w:p w14:paraId="1CDCD78A" w14:textId="77777777" w:rsidR="00727DDB" w:rsidRDefault="00727DDB" w:rsidP="00E66A89">
            <w:pPr>
              <w:pStyle w:val="Text"/>
              <w:spacing w:after="0"/>
              <w:cnfStyle w:val="000000000000" w:firstRow="0" w:lastRow="0" w:firstColumn="0" w:lastColumn="0" w:oddVBand="0" w:evenVBand="0" w:oddHBand="0" w:evenHBand="0" w:firstRowFirstColumn="0" w:firstRowLastColumn="0" w:lastRowFirstColumn="0" w:lastRowLastColumn="0"/>
            </w:pPr>
          </w:p>
        </w:tc>
        <w:tc>
          <w:tcPr>
            <w:tcW w:w="5238" w:type="dxa"/>
            <w:vAlign w:val="center"/>
          </w:tcPr>
          <w:p w14:paraId="5F459675" w14:textId="77777777" w:rsidR="005629A7" w:rsidRDefault="00880566" w:rsidP="00E66A89">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one</w:t>
            </w:r>
            <w:r w:rsidRPr="003E0458">
              <w:rPr>
                <w:b/>
              </w:rPr>
              <w:t xml:space="preserve"> year</w:t>
            </w:r>
            <w:r>
              <w:t xml:space="preserve"> from date case is put away and then destroy.</w:t>
            </w:r>
          </w:p>
        </w:tc>
      </w:tr>
      <w:tr w:rsidR="00C82629" w14:paraId="780B0C25" w14:textId="77777777" w:rsidTr="000A6C08">
        <w:tc>
          <w:tcPr>
            <w:cnfStyle w:val="001000000000" w:firstRow="0" w:lastRow="0" w:firstColumn="1" w:lastColumn="0" w:oddVBand="0" w:evenVBand="0" w:oddHBand="0" w:evenHBand="0" w:firstRowFirstColumn="0" w:firstRowLastColumn="0" w:lastRowFirstColumn="0" w:lastRowLastColumn="0"/>
            <w:tcW w:w="9628" w:type="dxa"/>
            <w:gridSpan w:val="3"/>
            <w:vAlign w:val="center"/>
          </w:tcPr>
          <w:p w14:paraId="11AB43A4" w14:textId="77777777" w:rsidR="00DA3AB1" w:rsidRDefault="00DA3AB1" w:rsidP="000A6C08">
            <w:pPr>
              <w:pStyle w:val="Text"/>
              <w:spacing w:after="0"/>
              <w:jc w:val="center"/>
            </w:pPr>
          </w:p>
          <w:p w14:paraId="724EA099" w14:textId="77777777" w:rsidR="00C82629" w:rsidRDefault="00C82629" w:rsidP="000A6C08">
            <w:pPr>
              <w:pStyle w:val="Text"/>
              <w:spacing w:after="0"/>
              <w:jc w:val="center"/>
            </w:pPr>
            <w:r>
              <w:t xml:space="preserve">1b. </w:t>
            </w:r>
            <w:r w:rsidRPr="005629A7">
              <w:t>C</w:t>
            </w:r>
            <w:r>
              <w:t xml:space="preserve">ourt of Protection </w:t>
            </w:r>
            <w:r w:rsidRPr="00C82629">
              <w:t>Property and Affairs</w:t>
            </w:r>
          </w:p>
          <w:p w14:paraId="4D740C5C" w14:textId="77777777" w:rsidR="00DA3AB1" w:rsidRDefault="00DA3AB1" w:rsidP="000A6C08">
            <w:pPr>
              <w:pStyle w:val="Text"/>
              <w:spacing w:after="0"/>
              <w:jc w:val="center"/>
            </w:pPr>
          </w:p>
        </w:tc>
      </w:tr>
      <w:tr w:rsidR="005629A7" w14:paraId="1AC84E12" w14:textId="77777777" w:rsidTr="00F71656">
        <w:tc>
          <w:tcPr>
            <w:cnfStyle w:val="001000000000" w:firstRow="0" w:lastRow="0" w:firstColumn="1" w:lastColumn="0" w:oddVBand="0" w:evenVBand="0" w:oddHBand="0" w:evenHBand="0" w:firstRowFirstColumn="0" w:firstRowLastColumn="0" w:lastRowFirstColumn="0" w:lastRowLastColumn="0"/>
            <w:tcW w:w="846" w:type="dxa"/>
            <w:vAlign w:val="center"/>
          </w:tcPr>
          <w:p w14:paraId="5ADDE8C4" w14:textId="77777777" w:rsidR="005629A7" w:rsidRDefault="005629A7" w:rsidP="00E66A89">
            <w:pPr>
              <w:pStyle w:val="Text"/>
              <w:numPr>
                <w:ilvl w:val="0"/>
                <w:numId w:val="11"/>
              </w:numPr>
              <w:spacing w:after="0"/>
            </w:pPr>
          </w:p>
        </w:tc>
        <w:tc>
          <w:tcPr>
            <w:tcW w:w="3544" w:type="dxa"/>
            <w:vAlign w:val="center"/>
          </w:tcPr>
          <w:p w14:paraId="0E3794D4" w14:textId="77777777" w:rsidR="005629A7" w:rsidRDefault="005629A7" w:rsidP="00E66A89">
            <w:pPr>
              <w:pStyle w:val="Text"/>
              <w:spacing w:after="0"/>
              <w:cnfStyle w:val="000000000000" w:firstRow="0" w:lastRow="0" w:firstColumn="0" w:lastColumn="0" w:oddVBand="0" w:evenVBand="0" w:oddHBand="0" w:evenHBand="0" w:firstRowFirstColumn="0" w:firstRowLastColumn="0" w:lastRowFirstColumn="0" w:lastRowLastColumn="0"/>
            </w:pPr>
          </w:p>
          <w:p w14:paraId="05553288" w14:textId="77777777" w:rsidR="00C82629" w:rsidRDefault="00C82629" w:rsidP="00E66A89">
            <w:pPr>
              <w:pStyle w:val="Text"/>
              <w:spacing w:after="0"/>
              <w:cnfStyle w:val="000000000000" w:firstRow="0" w:lastRow="0" w:firstColumn="0" w:lastColumn="0" w:oddVBand="0" w:evenVBand="0" w:oddHBand="0" w:evenHBand="0" w:firstRowFirstColumn="0" w:firstRowLastColumn="0" w:lastRowFirstColumn="0" w:lastRowLastColumn="0"/>
            </w:pPr>
            <w:r w:rsidRPr="00C82629">
              <w:t xml:space="preserve">Court of Protection applications </w:t>
            </w:r>
            <w:r>
              <w:t>(</w:t>
            </w:r>
            <w:r w:rsidRPr="00C82629">
              <w:t xml:space="preserve">Property and Affairs </w:t>
            </w:r>
            <w:r>
              <w:t xml:space="preserve">– </w:t>
            </w:r>
            <w:r w:rsidRPr="00C82629">
              <w:t>PAA</w:t>
            </w:r>
            <w:r>
              <w:t>)</w:t>
            </w:r>
          </w:p>
          <w:p w14:paraId="308030A6" w14:textId="77777777" w:rsidR="00C82629" w:rsidRDefault="00C82629" w:rsidP="00E66A89">
            <w:pPr>
              <w:pStyle w:val="Text"/>
              <w:spacing w:after="0"/>
              <w:cnfStyle w:val="000000000000" w:firstRow="0" w:lastRow="0" w:firstColumn="0" w:lastColumn="0" w:oddVBand="0" w:evenVBand="0" w:oddHBand="0" w:evenHBand="0" w:firstRowFirstColumn="0" w:firstRowLastColumn="0" w:lastRowFirstColumn="0" w:lastRowLastColumn="0"/>
            </w:pPr>
          </w:p>
        </w:tc>
        <w:tc>
          <w:tcPr>
            <w:tcW w:w="5238" w:type="dxa"/>
            <w:vAlign w:val="center"/>
          </w:tcPr>
          <w:p w14:paraId="40D70E58" w14:textId="77777777" w:rsidR="00C82629" w:rsidRDefault="00C82629" w:rsidP="00C82629">
            <w:pPr>
              <w:pStyle w:val="Text"/>
              <w:spacing w:after="0"/>
              <w:cnfStyle w:val="000000000000" w:firstRow="0" w:lastRow="0" w:firstColumn="0" w:lastColumn="0" w:oddVBand="0" w:evenVBand="0" w:oddHBand="0" w:evenHBand="0" w:firstRowFirstColumn="0" w:firstRowLastColumn="0" w:lastRowFirstColumn="0" w:lastRowLastColumn="0"/>
            </w:pPr>
          </w:p>
          <w:p w14:paraId="154E2F19" w14:textId="77777777" w:rsidR="00C82629" w:rsidRDefault="00C82629" w:rsidP="00C82629">
            <w:pPr>
              <w:pStyle w:val="Text"/>
              <w:spacing w:after="0"/>
              <w:cnfStyle w:val="000000000000" w:firstRow="0" w:lastRow="0" w:firstColumn="0" w:lastColumn="0" w:oddVBand="0" w:evenVBand="0" w:oddHBand="0" w:evenHBand="0" w:firstRowFirstColumn="0" w:firstRowLastColumn="0" w:lastRowFirstColumn="0" w:lastRowLastColumn="0"/>
            </w:pPr>
            <w:r>
              <w:t xml:space="preserve">Apart from the exceptions listed below, keep for </w:t>
            </w:r>
            <w:r w:rsidRPr="003E0458">
              <w:rPr>
                <w:b/>
              </w:rPr>
              <w:t>six years</w:t>
            </w:r>
            <w:r>
              <w:t xml:space="preserve"> from date case is </w:t>
            </w:r>
            <w:r w:rsidR="00B87101">
              <w:t>closed</w:t>
            </w:r>
            <w:r>
              <w:t xml:space="preserve"> and then destroy.</w:t>
            </w:r>
          </w:p>
          <w:p w14:paraId="73717F7C" w14:textId="77777777" w:rsidR="00C82629" w:rsidRDefault="00C82629" w:rsidP="00C82629">
            <w:pPr>
              <w:pStyle w:val="Text"/>
              <w:spacing w:after="0"/>
              <w:cnfStyle w:val="000000000000" w:firstRow="0" w:lastRow="0" w:firstColumn="0" w:lastColumn="0" w:oddVBand="0" w:evenVBand="0" w:oddHBand="0" w:evenHBand="0" w:firstRowFirstColumn="0" w:firstRowLastColumn="0" w:lastRowFirstColumn="0" w:lastRowLastColumn="0"/>
            </w:pPr>
          </w:p>
          <w:p w14:paraId="6434BB18" w14:textId="77777777" w:rsidR="00C82629" w:rsidRDefault="00C82629" w:rsidP="00C82629">
            <w:pPr>
              <w:pStyle w:val="Text"/>
              <w:spacing w:after="0"/>
              <w:cnfStyle w:val="000000000000" w:firstRow="0" w:lastRow="0" w:firstColumn="0" w:lastColumn="0" w:oddVBand="0" w:evenVBand="0" w:oddHBand="0" w:evenHBand="0" w:firstRowFirstColumn="0" w:firstRowLastColumn="0" w:lastRowFirstColumn="0" w:lastRowLastColumn="0"/>
              <w:rPr>
                <w:b/>
              </w:rPr>
            </w:pPr>
            <w:r>
              <w:rPr>
                <w:b/>
              </w:rPr>
              <w:t>Exceptions</w:t>
            </w:r>
          </w:p>
          <w:p w14:paraId="55FA7C15" w14:textId="77777777" w:rsidR="00C82629" w:rsidRDefault="00C82629" w:rsidP="00C82629">
            <w:pPr>
              <w:pStyle w:val="Text"/>
              <w:spacing w:after="0"/>
              <w:cnfStyle w:val="000000000000" w:firstRow="0" w:lastRow="0" w:firstColumn="0" w:lastColumn="0" w:oddVBand="0" w:evenVBand="0" w:oddHBand="0" w:evenHBand="0" w:firstRowFirstColumn="0" w:firstRowLastColumn="0" w:lastRowFirstColumn="0" w:lastRowLastColumn="0"/>
            </w:pPr>
            <w:r>
              <w:t xml:space="preserve">a) If the Official Solicitor is appointed to act for a client who is a minor, </w:t>
            </w:r>
            <w:r w:rsidRPr="003E0458">
              <w:rPr>
                <w:b/>
              </w:rPr>
              <w:t>destroy on the Client’s 24th birthday</w:t>
            </w:r>
            <w:r>
              <w:t xml:space="preserve">. </w:t>
            </w:r>
          </w:p>
          <w:p w14:paraId="05770ED8" w14:textId="77777777" w:rsidR="00C82629" w:rsidRDefault="00C82629" w:rsidP="00C82629">
            <w:pPr>
              <w:pStyle w:val="Text"/>
              <w:spacing w:after="0"/>
              <w:cnfStyle w:val="000000000000" w:firstRow="0" w:lastRow="0" w:firstColumn="0" w:lastColumn="0" w:oddVBand="0" w:evenVBand="0" w:oddHBand="0" w:evenHBand="0" w:firstRowFirstColumn="0" w:firstRowLastColumn="0" w:lastRowFirstColumn="0" w:lastRowLastColumn="0"/>
            </w:pPr>
            <w:r>
              <w:t>b) Cases that have a charge on the property are reconciled with the Charges spreadsheet and outstanding costs. Once the charge is removed the case can be destroyed as per the case type retention criteria.</w:t>
            </w:r>
          </w:p>
          <w:p w14:paraId="43812672" w14:textId="77777777" w:rsidR="00C82629" w:rsidRDefault="00C82629" w:rsidP="00C82629">
            <w:pPr>
              <w:pStyle w:val="Text"/>
              <w:spacing w:after="0"/>
              <w:cnfStyle w:val="000000000000" w:firstRow="0" w:lastRow="0" w:firstColumn="0" w:lastColumn="0" w:oddVBand="0" w:evenVBand="0" w:oddHBand="0" w:evenHBand="0" w:firstRowFirstColumn="0" w:firstRowLastColumn="0" w:lastRowFirstColumn="0" w:lastRowLastColumn="0"/>
            </w:pPr>
            <w:r>
              <w:t>c) Rejected or void cases are kept for</w:t>
            </w:r>
            <w:r w:rsidRPr="003E0458">
              <w:rPr>
                <w:b/>
              </w:rPr>
              <w:t xml:space="preserve"> six months</w:t>
            </w:r>
            <w:r>
              <w:t xml:space="preserve"> and then destroyed.</w:t>
            </w:r>
          </w:p>
          <w:p w14:paraId="4CACC32C" w14:textId="77777777" w:rsidR="005629A7" w:rsidRDefault="005629A7" w:rsidP="00E66A89">
            <w:pPr>
              <w:pStyle w:val="Text"/>
              <w:spacing w:after="0"/>
              <w:cnfStyle w:val="000000000000" w:firstRow="0" w:lastRow="0" w:firstColumn="0" w:lastColumn="0" w:oddVBand="0" w:evenVBand="0" w:oddHBand="0" w:evenHBand="0" w:firstRowFirstColumn="0" w:firstRowLastColumn="0" w:lastRowFirstColumn="0" w:lastRowLastColumn="0"/>
            </w:pPr>
          </w:p>
        </w:tc>
      </w:tr>
      <w:tr w:rsidR="00C82629" w14:paraId="2EFF8BCA" w14:textId="77777777" w:rsidTr="000A6C08">
        <w:tc>
          <w:tcPr>
            <w:cnfStyle w:val="001000000000" w:firstRow="0" w:lastRow="0" w:firstColumn="1" w:lastColumn="0" w:oddVBand="0" w:evenVBand="0" w:oddHBand="0" w:evenHBand="0" w:firstRowFirstColumn="0" w:firstRowLastColumn="0" w:lastRowFirstColumn="0" w:lastRowLastColumn="0"/>
            <w:tcW w:w="9628" w:type="dxa"/>
            <w:gridSpan w:val="3"/>
            <w:vAlign w:val="center"/>
          </w:tcPr>
          <w:p w14:paraId="1167CF46" w14:textId="77777777" w:rsidR="00F71656" w:rsidRDefault="00F71656" w:rsidP="000A6C08">
            <w:pPr>
              <w:pStyle w:val="Text"/>
              <w:spacing w:after="0"/>
              <w:jc w:val="center"/>
            </w:pPr>
          </w:p>
          <w:p w14:paraId="568775E3" w14:textId="77777777" w:rsidR="00C82629" w:rsidRDefault="00C82629" w:rsidP="000A6C08">
            <w:pPr>
              <w:pStyle w:val="Text"/>
              <w:spacing w:after="0"/>
              <w:jc w:val="center"/>
            </w:pPr>
            <w:r>
              <w:t>1c. Family litigation</w:t>
            </w:r>
          </w:p>
          <w:p w14:paraId="25C26DEB" w14:textId="77777777" w:rsidR="00F71656" w:rsidRDefault="00F71656" w:rsidP="000A6C08">
            <w:pPr>
              <w:pStyle w:val="Text"/>
              <w:spacing w:after="0"/>
              <w:jc w:val="center"/>
            </w:pPr>
          </w:p>
        </w:tc>
      </w:tr>
      <w:tr w:rsidR="00E66A89" w14:paraId="5AFF6CB3" w14:textId="77777777" w:rsidTr="00F71656">
        <w:tc>
          <w:tcPr>
            <w:cnfStyle w:val="001000000000" w:firstRow="0" w:lastRow="0" w:firstColumn="1" w:lastColumn="0" w:oddVBand="0" w:evenVBand="0" w:oddHBand="0" w:evenHBand="0" w:firstRowFirstColumn="0" w:firstRowLastColumn="0" w:lastRowFirstColumn="0" w:lastRowLastColumn="0"/>
            <w:tcW w:w="846" w:type="dxa"/>
            <w:vAlign w:val="center"/>
          </w:tcPr>
          <w:p w14:paraId="1CA29FCC" w14:textId="77777777" w:rsidR="00E66A89" w:rsidRDefault="00E66A89" w:rsidP="00E66A89">
            <w:pPr>
              <w:pStyle w:val="Text"/>
              <w:numPr>
                <w:ilvl w:val="0"/>
                <w:numId w:val="11"/>
              </w:numPr>
              <w:spacing w:after="0"/>
            </w:pPr>
          </w:p>
        </w:tc>
        <w:tc>
          <w:tcPr>
            <w:tcW w:w="3544" w:type="dxa"/>
            <w:vAlign w:val="center"/>
          </w:tcPr>
          <w:p w14:paraId="25D91FAA" w14:textId="77777777" w:rsidR="00C82629" w:rsidRDefault="00C82629" w:rsidP="00E66A89">
            <w:pPr>
              <w:pStyle w:val="Text"/>
              <w:spacing w:after="0"/>
              <w:cnfStyle w:val="000000000000" w:firstRow="0" w:lastRow="0" w:firstColumn="0" w:lastColumn="0" w:oddVBand="0" w:evenVBand="0" w:oddHBand="0" w:evenHBand="0" w:firstRowFirstColumn="0" w:firstRowLastColumn="0" w:lastRowFirstColumn="0" w:lastRowLastColumn="0"/>
            </w:pPr>
          </w:p>
          <w:p w14:paraId="15A08C56" w14:textId="77777777" w:rsidR="00C82629" w:rsidRDefault="00C82629" w:rsidP="00E66A89">
            <w:pPr>
              <w:pStyle w:val="Text"/>
              <w:spacing w:after="0"/>
              <w:cnfStyle w:val="000000000000" w:firstRow="0" w:lastRow="0" w:firstColumn="0" w:lastColumn="0" w:oddVBand="0" w:evenVBand="0" w:oddHBand="0" w:evenHBand="0" w:firstRowFirstColumn="0" w:firstRowLastColumn="0" w:lastRowFirstColumn="0" w:lastRowLastColumn="0"/>
            </w:pPr>
            <w:r w:rsidRPr="00C82629">
              <w:t xml:space="preserve">Private law </w:t>
            </w:r>
            <w:r>
              <w:t>cases, including, but not limited to:</w:t>
            </w:r>
          </w:p>
          <w:p w14:paraId="4B346EF9" w14:textId="77777777" w:rsidR="00C82629" w:rsidRDefault="00C82629" w:rsidP="00C82629">
            <w:pPr>
              <w:pStyle w:val="Text"/>
              <w:numPr>
                <w:ilvl w:val="0"/>
                <w:numId w:val="13"/>
              </w:numPr>
              <w:spacing w:after="0"/>
              <w:cnfStyle w:val="000000000000" w:firstRow="0" w:lastRow="0" w:firstColumn="0" w:lastColumn="0" w:oddVBand="0" w:evenVBand="0" w:oddHBand="0" w:evenHBand="0" w:firstRowFirstColumn="0" w:firstRowLastColumn="0" w:lastRowFirstColumn="0" w:lastRowLastColumn="0"/>
            </w:pPr>
            <w:r w:rsidRPr="00C82629">
              <w:t xml:space="preserve">divorce, </w:t>
            </w:r>
          </w:p>
          <w:p w14:paraId="359214FC" w14:textId="77777777" w:rsidR="00C82629" w:rsidRDefault="00C82629" w:rsidP="00C82629">
            <w:pPr>
              <w:pStyle w:val="Text"/>
              <w:numPr>
                <w:ilvl w:val="0"/>
                <w:numId w:val="13"/>
              </w:numPr>
              <w:spacing w:after="0"/>
              <w:cnfStyle w:val="000000000000" w:firstRow="0" w:lastRow="0" w:firstColumn="0" w:lastColumn="0" w:oddVBand="0" w:evenVBand="0" w:oddHBand="0" w:evenHBand="0" w:firstRowFirstColumn="0" w:firstRowLastColumn="0" w:lastRowFirstColumn="0" w:lastRowLastColumn="0"/>
            </w:pPr>
            <w:r w:rsidRPr="00C82629">
              <w:t xml:space="preserve">nullity, </w:t>
            </w:r>
          </w:p>
          <w:p w14:paraId="403BC8CF" w14:textId="77777777" w:rsidR="00C82629" w:rsidRDefault="00C82629" w:rsidP="00C82629">
            <w:pPr>
              <w:pStyle w:val="Text"/>
              <w:numPr>
                <w:ilvl w:val="0"/>
                <w:numId w:val="13"/>
              </w:numPr>
              <w:spacing w:after="0"/>
              <w:cnfStyle w:val="000000000000" w:firstRow="0" w:lastRow="0" w:firstColumn="0" w:lastColumn="0" w:oddVBand="0" w:evenVBand="0" w:oddHBand="0" w:evenHBand="0" w:firstRowFirstColumn="0" w:firstRowLastColumn="0" w:lastRowFirstColumn="0" w:lastRowLastColumn="0"/>
            </w:pPr>
            <w:r w:rsidRPr="00C82629">
              <w:t xml:space="preserve">judicial separation, </w:t>
            </w:r>
          </w:p>
          <w:p w14:paraId="50938F0E" w14:textId="77777777" w:rsidR="00C82629" w:rsidRDefault="00C82629" w:rsidP="00C82629">
            <w:pPr>
              <w:pStyle w:val="Text"/>
              <w:numPr>
                <w:ilvl w:val="0"/>
                <w:numId w:val="13"/>
              </w:numPr>
              <w:spacing w:after="0"/>
              <w:cnfStyle w:val="000000000000" w:firstRow="0" w:lastRow="0" w:firstColumn="0" w:lastColumn="0" w:oddVBand="0" w:evenVBand="0" w:oddHBand="0" w:evenHBand="0" w:firstRowFirstColumn="0" w:firstRowLastColumn="0" w:lastRowFirstColumn="0" w:lastRowLastColumn="0"/>
            </w:pPr>
            <w:r w:rsidRPr="00C82629">
              <w:t xml:space="preserve">dissolution of civil partnership – Main suit and Ancillary Relief (financial remedy) – private law children cases, </w:t>
            </w:r>
          </w:p>
          <w:p w14:paraId="47E3EE77" w14:textId="77777777" w:rsidR="00C82629" w:rsidRDefault="00C82629" w:rsidP="00C82629">
            <w:pPr>
              <w:pStyle w:val="Text"/>
              <w:numPr>
                <w:ilvl w:val="0"/>
                <w:numId w:val="13"/>
              </w:numPr>
              <w:spacing w:after="0"/>
              <w:cnfStyle w:val="000000000000" w:firstRow="0" w:lastRow="0" w:firstColumn="0" w:lastColumn="0" w:oddVBand="0" w:evenVBand="0" w:oddHBand="0" w:evenHBand="0" w:firstRowFirstColumn="0" w:firstRowLastColumn="0" w:lastRowFirstColumn="0" w:lastRowLastColumn="0"/>
            </w:pPr>
            <w:r w:rsidRPr="00C82629">
              <w:t xml:space="preserve">Family Law Act injunctions, </w:t>
            </w:r>
          </w:p>
          <w:p w14:paraId="0E403808" w14:textId="77777777" w:rsidR="00590D03" w:rsidRDefault="00C82629" w:rsidP="00C82629">
            <w:pPr>
              <w:pStyle w:val="Text"/>
              <w:numPr>
                <w:ilvl w:val="0"/>
                <w:numId w:val="13"/>
              </w:numPr>
              <w:spacing w:after="0"/>
              <w:cnfStyle w:val="000000000000" w:firstRow="0" w:lastRow="0" w:firstColumn="0" w:lastColumn="0" w:oddVBand="0" w:evenVBand="0" w:oddHBand="0" w:evenHBand="0" w:firstRowFirstColumn="0" w:firstRowLastColumn="0" w:lastRowFirstColumn="0" w:lastRowLastColumn="0"/>
            </w:pPr>
            <w:r w:rsidRPr="00C82629">
              <w:t xml:space="preserve">Forced Marriage Protection cases, </w:t>
            </w:r>
          </w:p>
          <w:p w14:paraId="50B2347E" w14:textId="77777777" w:rsidR="00E66A89" w:rsidRDefault="00C82629" w:rsidP="00C82629">
            <w:pPr>
              <w:pStyle w:val="Text"/>
              <w:numPr>
                <w:ilvl w:val="0"/>
                <w:numId w:val="13"/>
              </w:numPr>
              <w:spacing w:after="0"/>
              <w:cnfStyle w:val="000000000000" w:firstRow="0" w:lastRow="0" w:firstColumn="0" w:lastColumn="0" w:oddVBand="0" w:evenVBand="0" w:oddHBand="0" w:evenHBand="0" w:firstRowFirstColumn="0" w:firstRowLastColumn="0" w:lastRowFirstColumn="0" w:lastRowLastColumn="0"/>
            </w:pPr>
            <w:r w:rsidRPr="00C82629">
              <w:t>adoption cases</w:t>
            </w:r>
          </w:p>
          <w:p w14:paraId="5F949858" w14:textId="77777777" w:rsidR="00613199" w:rsidRDefault="00613199" w:rsidP="00613199">
            <w:pPr>
              <w:pStyle w:val="Text"/>
              <w:spacing w:after="0"/>
              <w:cnfStyle w:val="000000000000" w:firstRow="0" w:lastRow="0" w:firstColumn="0" w:lastColumn="0" w:oddVBand="0" w:evenVBand="0" w:oddHBand="0" w:evenHBand="0" w:firstRowFirstColumn="0" w:firstRowLastColumn="0" w:lastRowFirstColumn="0" w:lastRowLastColumn="0"/>
            </w:pPr>
          </w:p>
        </w:tc>
        <w:tc>
          <w:tcPr>
            <w:tcW w:w="5238" w:type="dxa"/>
            <w:vAlign w:val="center"/>
          </w:tcPr>
          <w:p w14:paraId="62A54840" w14:textId="77777777" w:rsidR="00613199" w:rsidRDefault="00613199" w:rsidP="00613199">
            <w:pPr>
              <w:pStyle w:val="Text"/>
              <w:spacing w:after="0"/>
              <w:cnfStyle w:val="000000000000" w:firstRow="0" w:lastRow="0" w:firstColumn="0" w:lastColumn="0" w:oddVBand="0" w:evenVBand="0" w:oddHBand="0" w:evenHBand="0" w:firstRowFirstColumn="0" w:firstRowLastColumn="0" w:lastRowFirstColumn="0" w:lastRowLastColumn="0"/>
            </w:pPr>
          </w:p>
          <w:p w14:paraId="79D1A8BF" w14:textId="77777777" w:rsidR="00613199" w:rsidRDefault="00613199" w:rsidP="00613199">
            <w:pPr>
              <w:pStyle w:val="Text"/>
              <w:spacing w:after="0"/>
              <w:cnfStyle w:val="000000000000" w:firstRow="0" w:lastRow="0" w:firstColumn="0" w:lastColumn="0" w:oddVBand="0" w:evenVBand="0" w:oddHBand="0" w:evenHBand="0" w:firstRowFirstColumn="0" w:firstRowLastColumn="0" w:lastRowFirstColumn="0" w:lastRowLastColumn="0"/>
            </w:pPr>
            <w:r>
              <w:t xml:space="preserve">Apart from the exceptions listed below, keep for </w:t>
            </w:r>
            <w:r w:rsidRPr="003E0458">
              <w:rPr>
                <w:b/>
              </w:rPr>
              <w:t>six years</w:t>
            </w:r>
            <w:r>
              <w:t xml:space="preserve"> from date case is </w:t>
            </w:r>
            <w:r w:rsidR="00B87101">
              <w:t>closed</w:t>
            </w:r>
            <w:r>
              <w:t xml:space="preserve"> and then destroy.</w:t>
            </w:r>
          </w:p>
          <w:p w14:paraId="7B439DFF" w14:textId="77777777" w:rsidR="00613199" w:rsidRDefault="00613199" w:rsidP="00613199">
            <w:pPr>
              <w:pStyle w:val="Text"/>
              <w:spacing w:after="0"/>
              <w:cnfStyle w:val="000000000000" w:firstRow="0" w:lastRow="0" w:firstColumn="0" w:lastColumn="0" w:oddVBand="0" w:evenVBand="0" w:oddHBand="0" w:evenHBand="0" w:firstRowFirstColumn="0" w:firstRowLastColumn="0" w:lastRowFirstColumn="0" w:lastRowLastColumn="0"/>
            </w:pPr>
          </w:p>
          <w:p w14:paraId="6C112E27" w14:textId="77777777" w:rsidR="00613199" w:rsidRDefault="00613199" w:rsidP="00613199">
            <w:pPr>
              <w:pStyle w:val="Text"/>
              <w:spacing w:after="0"/>
              <w:cnfStyle w:val="000000000000" w:firstRow="0" w:lastRow="0" w:firstColumn="0" w:lastColumn="0" w:oddVBand="0" w:evenVBand="0" w:oddHBand="0" w:evenHBand="0" w:firstRowFirstColumn="0" w:firstRowLastColumn="0" w:lastRowFirstColumn="0" w:lastRowLastColumn="0"/>
              <w:rPr>
                <w:b/>
              </w:rPr>
            </w:pPr>
            <w:r>
              <w:rPr>
                <w:b/>
              </w:rPr>
              <w:t>Exceptions</w:t>
            </w:r>
          </w:p>
          <w:p w14:paraId="6A248B5F" w14:textId="77777777" w:rsidR="00613199" w:rsidRDefault="00613199" w:rsidP="00613199">
            <w:pPr>
              <w:pStyle w:val="Text"/>
              <w:spacing w:after="0"/>
              <w:cnfStyle w:val="000000000000" w:firstRow="0" w:lastRow="0" w:firstColumn="0" w:lastColumn="0" w:oddVBand="0" w:evenVBand="0" w:oddHBand="0" w:evenHBand="0" w:firstRowFirstColumn="0" w:firstRowLastColumn="0" w:lastRowFirstColumn="0" w:lastRowLastColumn="0"/>
            </w:pPr>
            <w:r>
              <w:t xml:space="preserve">a) If the Official Solicitor is appointed to act for a client who is a minor, </w:t>
            </w:r>
            <w:r w:rsidRPr="003E0458">
              <w:rPr>
                <w:b/>
              </w:rPr>
              <w:t>destroy on the Client’s 24th birthday</w:t>
            </w:r>
            <w:r>
              <w:t xml:space="preserve">. </w:t>
            </w:r>
          </w:p>
          <w:p w14:paraId="1703A96F" w14:textId="77777777" w:rsidR="00613199" w:rsidRDefault="00613199" w:rsidP="00613199">
            <w:pPr>
              <w:pStyle w:val="Text"/>
              <w:spacing w:after="0"/>
              <w:cnfStyle w:val="000000000000" w:firstRow="0" w:lastRow="0" w:firstColumn="0" w:lastColumn="0" w:oddVBand="0" w:evenVBand="0" w:oddHBand="0" w:evenHBand="0" w:firstRowFirstColumn="0" w:firstRowLastColumn="0" w:lastRowFirstColumn="0" w:lastRowLastColumn="0"/>
            </w:pPr>
            <w:r>
              <w:t>b) Cases that have a charge on the property are reconciled with the Charges spreadsheet and outstanding costs. Once the charge is removed the case can be destroyed as per the case type retention criteria.</w:t>
            </w:r>
          </w:p>
          <w:p w14:paraId="0287CCB6" w14:textId="77777777" w:rsidR="00613199" w:rsidRDefault="00613199" w:rsidP="00613199">
            <w:pPr>
              <w:pStyle w:val="Text"/>
              <w:spacing w:after="0"/>
              <w:cnfStyle w:val="000000000000" w:firstRow="0" w:lastRow="0" w:firstColumn="0" w:lastColumn="0" w:oddVBand="0" w:evenVBand="0" w:oddHBand="0" w:evenHBand="0" w:firstRowFirstColumn="0" w:firstRowLastColumn="0" w:lastRowFirstColumn="0" w:lastRowLastColumn="0"/>
            </w:pPr>
            <w:r>
              <w:t>c) Rejected or void cases are kept for</w:t>
            </w:r>
            <w:r w:rsidRPr="003E0458">
              <w:rPr>
                <w:b/>
              </w:rPr>
              <w:t xml:space="preserve"> six months</w:t>
            </w:r>
            <w:r>
              <w:t xml:space="preserve"> and then destroyed.</w:t>
            </w:r>
          </w:p>
          <w:p w14:paraId="2EC51D3D" w14:textId="77777777" w:rsidR="00613199" w:rsidRDefault="00613199" w:rsidP="00E66A89">
            <w:pPr>
              <w:pStyle w:val="Text"/>
              <w:spacing w:after="0"/>
              <w:cnfStyle w:val="000000000000" w:firstRow="0" w:lastRow="0" w:firstColumn="0" w:lastColumn="0" w:oddVBand="0" w:evenVBand="0" w:oddHBand="0" w:evenHBand="0" w:firstRowFirstColumn="0" w:firstRowLastColumn="0" w:lastRowFirstColumn="0" w:lastRowLastColumn="0"/>
            </w:pPr>
          </w:p>
        </w:tc>
      </w:tr>
      <w:tr w:rsidR="00E66A89" w14:paraId="50EAEE4B" w14:textId="77777777" w:rsidTr="00F71656">
        <w:tc>
          <w:tcPr>
            <w:cnfStyle w:val="001000000000" w:firstRow="0" w:lastRow="0" w:firstColumn="1" w:lastColumn="0" w:oddVBand="0" w:evenVBand="0" w:oddHBand="0" w:evenHBand="0" w:firstRowFirstColumn="0" w:firstRowLastColumn="0" w:lastRowFirstColumn="0" w:lastRowLastColumn="0"/>
            <w:tcW w:w="846" w:type="dxa"/>
            <w:vAlign w:val="center"/>
          </w:tcPr>
          <w:p w14:paraId="13FA0112" w14:textId="77777777" w:rsidR="00E66A89" w:rsidRDefault="00E66A89" w:rsidP="00E66A89">
            <w:pPr>
              <w:pStyle w:val="Text"/>
              <w:numPr>
                <w:ilvl w:val="0"/>
                <w:numId w:val="11"/>
              </w:numPr>
              <w:spacing w:after="0"/>
            </w:pPr>
          </w:p>
        </w:tc>
        <w:tc>
          <w:tcPr>
            <w:tcW w:w="3544" w:type="dxa"/>
            <w:vAlign w:val="center"/>
          </w:tcPr>
          <w:p w14:paraId="7907D48B"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p w14:paraId="3C71E3DD" w14:textId="77777777" w:rsidR="00613199" w:rsidRDefault="00613199" w:rsidP="00E66A89">
            <w:pPr>
              <w:pStyle w:val="Text"/>
              <w:spacing w:after="0"/>
              <w:cnfStyle w:val="000000000000" w:firstRow="0" w:lastRow="0" w:firstColumn="0" w:lastColumn="0" w:oddVBand="0" w:evenVBand="0" w:oddHBand="0" w:evenHBand="0" w:firstRowFirstColumn="0" w:firstRowLastColumn="0" w:lastRowFirstColumn="0" w:lastRowLastColumn="0"/>
            </w:pPr>
            <w:r w:rsidRPr="00613199">
              <w:t xml:space="preserve">Public law </w:t>
            </w:r>
            <w:r>
              <w:t>including, but not limited to:</w:t>
            </w:r>
          </w:p>
          <w:p w14:paraId="783F696D" w14:textId="77777777" w:rsidR="00613199" w:rsidRDefault="00613199" w:rsidP="00613199">
            <w:pPr>
              <w:pStyle w:val="Text"/>
              <w:numPr>
                <w:ilvl w:val="0"/>
                <w:numId w:val="14"/>
              </w:numPr>
              <w:spacing w:after="0"/>
              <w:cnfStyle w:val="000000000000" w:firstRow="0" w:lastRow="0" w:firstColumn="0" w:lastColumn="0" w:oddVBand="0" w:evenVBand="0" w:oddHBand="0" w:evenHBand="0" w:firstRowFirstColumn="0" w:firstRowLastColumn="0" w:lastRowFirstColumn="0" w:lastRowLastColumn="0"/>
            </w:pPr>
            <w:r w:rsidRPr="00613199">
              <w:t xml:space="preserve">care proceedings, </w:t>
            </w:r>
          </w:p>
          <w:p w14:paraId="33BC7A20" w14:textId="77777777" w:rsidR="00613199" w:rsidRDefault="00613199" w:rsidP="00613199">
            <w:pPr>
              <w:pStyle w:val="Text"/>
              <w:numPr>
                <w:ilvl w:val="0"/>
                <w:numId w:val="14"/>
              </w:numPr>
              <w:spacing w:after="0"/>
              <w:cnfStyle w:val="000000000000" w:firstRow="0" w:lastRow="0" w:firstColumn="0" w:lastColumn="0" w:oddVBand="0" w:evenVBand="0" w:oddHBand="0" w:evenHBand="0" w:firstRowFirstColumn="0" w:firstRowLastColumn="0" w:lastRowFirstColumn="0" w:lastRowLastColumn="0"/>
            </w:pPr>
            <w:r w:rsidRPr="00613199">
              <w:t>placement proceedings</w:t>
            </w:r>
          </w:p>
          <w:p w14:paraId="60A5FD75" w14:textId="77777777" w:rsidR="00613199" w:rsidRDefault="00613199" w:rsidP="00613199">
            <w:pPr>
              <w:pStyle w:val="Text"/>
              <w:spacing w:after="0"/>
              <w:cnfStyle w:val="000000000000" w:firstRow="0" w:lastRow="0" w:firstColumn="0" w:lastColumn="0" w:oddVBand="0" w:evenVBand="0" w:oddHBand="0" w:evenHBand="0" w:firstRowFirstColumn="0" w:firstRowLastColumn="0" w:lastRowFirstColumn="0" w:lastRowLastColumn="0"/>
            </w:pPr>
          </w:p>
        </w:tc>
        <w:tc>
          <w:tcPr>
            <w:tcW w:w="5238" w:type="dxa"/>
            <w:vAlign w:val="center"/>
          </w:tcPr>
          <w:p w14:paraId="5AF9578E" w14:textId="77777777" w:rsidR="00613199" w:rsidRDefault="00613199" w:rsidP="00613199">
            <w:pPr>
              <w:pStyle w:val="Text"/>
              <w:spacing w:after="0"/>
              <w:cnfStyle w:val="000000000000" w:firstRow="0" w:lastRow="0" w:firstColumn="0" w:lastColumn="0" w:oddVBand="0" w:evenVBand="0" w:oddHBand="0" w:evenHBand="0" w:firstRowFirstColumn="0" w:firstRowLastColumn="0" w:lastRowFirstColumn="0" w:lastRowLastColumn="0"/>
            </w:pPr>
          </w:p>
          <w:p w14:paraId="2AA0CB90" w14:textId="77777777" w:rsidR="00613199" w:rsidRDefault="00613199" w:rsidP="00613199">
            <w:pPr>
              <w:pStyle w:val="Text"/>
              <w:spacing w:after="0"/>
              <w:cnfStyle w:val="000000000000" w:firstRow="0" w:lastRow="0" w:firstColumn="0" w:lastColumn="0" w:oddVBand="0" w:evenVBand="0" w:oddHBand="0" w:evenHBand="0" w:firstRowFirstColumn="0" w:firstRowLastColumn="0" w:lastRowFirstColumn="0" w:lastRowLastColumn="0"/>
            </w:pPr>
            <w:r>
              <w:t xml:space="preserve">Apart from the exceptions listed below, keep for </w:t>
            </w:r>
            <w:r w:rsidRPr="003E0458">
              <w:rPr>
                <w:b/>
              </w:rPr>
              <w:t>six years</w:t>
            </w:r>
            <w:r>
              <w:t xml:space="preserve"> from date case is </w:t>
            </w:r>
            <w:r w:rsidR="00B87101">
              <w:t>closed</w:t>
            </w:r>
            <w:r>
              <w:t xml:space="preserve"> and then destroy.</w:t>
            </w:r>
          </w:p>
          <w:p w14:paraId="75AE1925" w14:textId="77777777" w:rsidR="00613199" w:rsidRDefault="00613199" w:rsidP="00613199">
            <w:pPr>
              <w:pStyle w:val="Text"/>
              <w:spacing w:after="0"/>
              <w:cnfStyle w:val="000000000000" w:firstRow="0" w:lastRow="0" w:firstColumn="0" w:lastColumn="0" w:oddVBand="0" w:evenVBand="0" w:oddHBand="0" w:evenHBand="0" w:firstRowFirstColumn="0" w:firstRowLastColumn="0" w:lastRowFirstColumn="0" w:lastRowLastColumn="0"/>
            </w:pPr>
          </w:p>
          <w:p w14:paraId="3307855F" w14:textId="77777777" w:rsidR="00613199" w:rsidRDefault="00613199" w:rsidP="00613199">
            <w:pPr>
              <w:pStyle w:val="Text"/>
              <w:spacing w:after="0"/>
              <w:cnfStyle w:val="000000000000" w:firstRow="0" w:lastRow="0" w:firstColumn="0" w:lastColumn="0" w:oddVBand="0" w:evenVBand="0" w:oddHBand="0" w:evenHBand="0" w:firstRowFirstColumn="0" w:firstRowLastColumn="0" w:lastRowFirstColumn="0" w:lastRowLastColumn="0"/>
              <w:rPr>
                <w:b/>
              </w:rPr>
            </w:pPr>
            <w:r>
              <w:rPr>
                <w:b/>
              </w:rPr>
              <w:t>Exceptions</w:t>
            </w:r>
          </w:p>
          <w:p w14:paraId="42945AC3" w14:textId="77777777" w:rsidR="00613199" w:rsidRDefault="00613199" w:rsidP="00613199">
            <w:pPr>
              <w:pStyle w:val="Text"/>
              <w:spacing w:after="0"/>
              <w:cnfStyle w:val="000000000000" w:firstRow="0" w:lastRow="0" w:firstColumn="0" w:lastColumn="0" w:oddVBand="0" w:evenVBand="0" w:oddHBand="0" w:evenHBand="0" w:firstRowFirstColumn="0" w:firstRowLastColumn="0" w:lastRowFirstColumn="0" w:lastRowLastColumn="0"/>
            </w:pPr>
            <w:r>
              <w:t xml:space="preserve">a) If the Official Solicitor is appointed to act for a client who is a minor, </w:t>
            </w:r>
            <w:r w:rsidRPr="003E0458">
              <w:rPr>
                <w:b/>
              </w:rPr>
              <w:t>destroy on the Client’s 24th birthday</w:t>
            </w:r>
            <w:r>
              <w:t xml:space="preserve">. </w:t>
            </w:r>
          </w:p>
          <w:p w14:paraId="506ACF18" w14:textId="77777777" w:rsidR="00613199" w:rsidRDefault="00613199" w:rsidP="00613199">
            <w:pPr>
              <w:pStyle w:val="Text"/>
              <w:spacing w:after="0"/>
              <w:cnfStyle w:val="000000000000" w:firstRow="0" w:lastRow="0" w:firstColumn="0" w:lastColumn="0" w:oddVBand="0" w:evenVBand="0" w:oddHBand="0" w:evenHBand="0" w:firstRowFirstColumn="0" w:firstRowLastColumn="0" w:lastRowFirstColumn="0" w:lastRowLastColumn="0"/>
            </w:pPr>
            <w:r>
              <w:t>b) Rejected or void cases are kept for</w:t>
            </w:r>
            <w:r w:rsidRPr="003E0458">
              <w:rPr>
                <w:b/>
              </w:rPr>
              <w:t xml:space="preserve"> six months</w:t>
            </w:r>
            <w:r>
              <w:t xml:space="preserve"> and then destroyed.</w:t>
            </w:r>
          </w:p>
          <w:p w14:paraId="2C97A6E8"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tc>
      </w:tr>
      <w:tr w:rsidR="00C82629" w14:paraId="70B7F2B4" w14:textId="77777777" w:rsidTr="000A6C08">
        <w:tc>
          <w:tcPr>
            <w:cnfStyle w:val="001000000000" w:firstRow="0" w:lastRow="0" w:firstColumn="1" w:lastColumn="0" w:oddVBand="0" w:evenVBand="0" w:oddHBand="0" w:evenHBand="0" w:firstRowFirstColumn="0" w:firstRowLastColumn="0" w:lastRowFirstColumn="0" w:lastRowLastColumn="0"/>
            <w:tcW w:w="9628" w:type="dxa"/>
            <w:gridSpan w:val="3"/>
            <w:vAlign w:val="center"/>
          </w:tcPr>
          <w:p w14:paraId="5FC48F2E" w14:textId="77777777" w:rsidR="00F71656" w:rsidRDefault="00F71656" w:rsidP="000A6C08">
            <w:pPr>
              <w:pStyle w:val="Text"/>
              <w:spacing w:after="0"/>
              <w:jc w:val="center"/>
            </w:pPr>
          </w:p>
          <w:p w14:paraId="12B5D30C" w14:textId="77777777" w:rsidR="00C82629" w:rsidRDefault="00C82629" w:rsidP="000A6C08">
            <w:pPr>
              <w:pStyle w:val="Text"/>
              <w:spacing w:after="0"/>
              <w:jc w:val="center"/>
            </w:pPr>
            <w:r>
              <w:t>1</w:t>
            </w:r>
            <w:r w:rsidR="00613199">
              <w:t>d</w:t>
            </w:r>
            <w:r>
              <w:t xml:space="preserve">. </w:t>
            </w:r>
            <w:r w:rsidR="00613199">
              <w:t>H</w:t>
            </w:r>
            <w:r w:rsidR="00613199" w:rsidRPr="00613199">
              <w:t xml:space="preserve">ealth care </w:t>
            </w:r>
            <w:r w:rsidR="00613199">
              <w:t>and</w:t>
            </w:r>
            <w:r w:rsidR="00613199" w:rsidRPr="00613199">
              <w:t xml:space="preserve"> welfare</w:t>
            </w:r>
          </w:p>
          <w:p w14:paraId="646E2615" w14:textId="77777777" w:rsidR="00F71656" w:rsidRDefault="00F71656" w:rsidP="000A6C08">
            <w:pPr>
              <w:pStyle w:val="Text"/>
              <w:spacing w:after="0"/>
              <w:jc w:val="center"/>
            </w:pPr>
          </w:p>
        </w:tc>
      </w:tr>
      <w:tr w:rsidR="00E66A89" w14:paraId="40E5EB9C" w14:textId="77777777" w:rsidTr="00F71656">
        <w:tc>
          <w:tcPr>
            <w:cnfStyle w:val="001000000000" w:firstRow="0" w:lastRow="0" w:firstColumn="1" w:lastColumn="0" w:oddVBand="0" w:evenVBand="0" w:oddHBand="0" w:evenHBand="0" w:firstRowFirstColumn="0" w:firstRowLastColumn="0" w:lastRowFirstColumn="0" w:lastRowLastColumn="0"/>
            <w:tcW w:w="846" w:type="dxa"/>
            <w:vAlign w:val="center"/>
          </w:tcPr>
          <w:p w14:paraId="5BE6E5FD" w14:textId="77777777" w:rsidR="00E66A89" w:rsidRDefault="00E66A89" w:rsidP="00E66A89">
            <w:pPr>
              <w:pStyle w:val="Text"/>
              <w:numPr>
                <w:ilvl w:val="0"/>
                <w:numId w:val="11"/>
              </w:numPr>
              <w:spacing w:after="0"/>
            </w:pPr>
          </w:p>
        </w:tc>
        <w:tc>
          <w:tcPr>
            <w:tcW w:w="3544" w:type="dxa"/>
            <w:vAlign w:val="center"/>
          </w:tcPr>
          <w:p w14:paraId="44120BD4" w14:textId="77777777" w:rsidR="00613199" w:rsidRDefault="00613199" w:rsidP="00613199">
            <w:pPr>
              <w:pStyle w:val="Text"/>
              <w:spacing w:after="0"/>
              <w:cnfStyle w:val="000000000000" w:firstRow="0" w:lastRow="0" w:firstColumn="0" w:lastColumn="0" w:oddVBand="0" w:evenVBand="0" w:oddHBand="0" w:evenHBand="0" w:firstRowFirstColumn="0" w:firstRowLastColumn="0" w:lastRowFirstColumn="0" w:lastRowLastColumn="0"/>
            </w:pPr>
          </w:p>
          <w:p w14:paraId="035C9398" w14:textId="77777777" w:rsidR="00613199" w:rsidRDefault="00613199" w:rsidP="00613199">
            <w:pPr>
              <w:pStyle w:val="Text"/>
              <w:numPr>
                <w:ilvl w:val="0"/>
                <w:numId w:val="19"/>
              </w:numPr>
              <w:spacing w:after="0"/>
              <w:cnfStyle w:val="000000000000" w:firstRow="0" w:lastRow="0" w:firstColumn="0" w:lastColumn="0" w:oddVBand="0" w:evenVBand="0" w:oddHBand="0" w:evenHBand="0" w:firstRowFirstColumn="0" w:firstRowLastColumn="0" w:lastRowFirstColumn="0" w:lastRowLastColumn="0"/>
            </w:pPr>
            <w:r w:rsidRPr="00613199">
              <w:t>Medical</w:t>
            </w:r>
          </w:p>
          <w:p w14:paraId="1196DDF4" w14:textId="77777777" w:rsidR="00613199" w:rsidRDefault="00613199" w:rsidP="00613199">
            <w:pPr>
              <w:pStyle w:val="Text"/>
              <w:numPr>
                <w:ilvl w:val="0"/>
                <w:numId w:val="19"/>
              </w:numPr>
              <w:spacing w:after="0"/>
              <w:cnfStyle w:val="000000000000" w:firstRow="0" w:lastRow="0" w:firstColumn="0" w:lastColumn="0" w:oddVBand="0" w:evenVBand="0" w:oddHBand="0" w:evenHBand="0" w:firstRowFirstColumn="0" w:firstRowLastColumn="0" w:lastRowFirstColumn="0" w:lastRowLastColumn="0"/>
            </w:pPr>
            <w:r w:rsidRPr="00613199">
              <w:t>Welfare</w:t>
            </w:r>
          </w:p>
          <w:p w14:paraId="63CD81CD" w14:textId="77777777" w:rsidR="00613199" w:rsidRDefault="00613199" w:rsidP="00613199">
            <w:pPr>
              <w:pStyle w:val="Text"/>
              <w:numPr>
                <w:ilvl w:val="0"/>
                <w:numId w:val="19"/>
              </w:numPr>
              <w:spacing w:after="0"/>
              <w:cnfStyle w:val="000000000000" w:firstRow="0" w:lastRow="0" w:firstColumn="0" w:lastColumn="0" w:oddVBand="0" w:evenVBand="0" w:oddHBand="0" w:evenHBand="0" w:firstRowFirstColumn="0" w:firstRowLastColumn="0" w:lastRowFirstColumn="0" w:lastRowLastColumn="0"/>
            </w:pPr>
            <w:r w:rsidRPr="00613199">
              <w:t>D</w:t>
            </w:r>
            <w:r>
              <w:t>eprivation of Liberty Safeguards (D</w:t>
            </w:r>
            <w:r w:rsidRPr="00613199">
              <w:t>OLs</w:t>
            </w:r>
            <w:r>
              <w:t>)</w:t>
            </w:r>
          </w:p>
          <w:p w14:paraId="5DF97D19" w14:textId="77777777" w:rsidR="00613199" w:rsidRDefault="00613199" w:rsidP="00613199">
            <w:pPr>
              <w:pStyle w:val="Text"/>
              <w:numPr>
                <w:ilvl w:val="0"/>
                <w:numId w:val="19"/>
              </w:numPr>
              <w:spacing w:after="0"/>
              <w:cnfStyle w:val="000000000000" w:firstRow="0" w:lastRow="0" w:firstColumn="0" w:lastColumn="0" w:oddVBand="0" w:evenVBand="0" w:oddHBand="0" w:evenHBand="0" w:firstRowFirstColumn="0" w:firstRowLastColumn="0" w:lastRowFirstColumn="0" w:lastRowLastColumn="0"/>
            </w:pPr>
            <w:r w:rsidRPr="00613199">
              <w:t>inherent jurisdiction</w:t>
            </w:r>
          </w:p>
          <w:p w14:paraId="474109F0" w14:textId="77777777" w:rsidR="00613199" w:rsidRDefault="00613199" w:rsidP="00613199">
            <w:pPr>
              <w:pStyle w:val="Text"/>
              <w:numPr>
                <w:ilvl w:val="0"/>
                <w:numId w:val="19"/>
              </w:numPr>
              <w:spacing w:after="0"/>
              <w:cnfStyle w:val="000000000000" w:firstRow="0" w:lastRow="0" w:firstColumn="0" w:lastColumn="0" w:oddVBand="0" w:evenVBand="0" w:oddHBand="0" w:evenHBand="0" w:firstRowFirstColumn="0" w:firstRowLastColumn="0" w:lastRowFirstColumn="0" w:lastRowLastColumn="0"/>
            </w:pPr>
            <w:r w:rsidRPr="00613199">
              <w:t>advocate to the court</w:t>
            </w:r>
          </w:p>
          <w:p w14:paraId="25271E92" w14:textId="77777777" w:rsidR="00E66A89" w:rsidRDefault="00613199" w:rsidP="00613199">
            <w:pPr>
              <w:pStyle w:val="Text"/>
              <w:numPr>
                <w:ilvl w:val="0"/>
                <w:numId w:val="19"/>
              </w:numPr>
              <w:tabs>
                <w:tab w:val="left" w:pos="4100"/>
              </w:tabs>
              <w:spacing w:after="0"/>
              <w:cnfStyle w:val="000000000000" w:firstRow="0" w:lastRow="0" w:firstColumn="0" w:lastColumn="0" w:oddVBand="0" w:evenVBand="0" w:oddHBand="0" w:evenHBand="0" w:firstRowFirstColumn="0" w:firstRowLastColumn="0" w:lastRowFirstColumn="0" w:lastRowLastColumn="0"/>
            </w:pPr>
            <w:r>
              <w:t>Harbin v Masterman</w:t>
            </w:r>
          </w:p>
          <w:p w14:paraId="68CC8D78" w14:textId="77777777" w:rsidR="00613199" w:rsidRDefault="00613199" w:rsidP="00613199">
            <w:pPr>
              <w:pStyle w:val="Text"/>
              <w:tabs>
                <w:tab w:val="left" w:pos="4100"/>
              </w:tabs>
              <w:spacing w:after="0"/>
              <w:ind w:left="360"/>
              <w:cnfStyle w:val="000000000000" w:firstRow="0" w:lastRow="0" w:firstColumn="0" w:lastColumn="0" w:oddVBand="0" w:evenVBand="0" w:oddHBand="0" w:evenHBand="0" w:firstRowFirstColumn="0" w:firstRowLastColumn="0" w:lastRowFirstColumn="0" w:lastRowLastColumn="0"/>
            </w:pPr>
          </w:p>
        </w:tc>
        <w:tc>
          <w:tcPr>
            <w:tcW w:w="5238" w:type="dxa"/>
            <w:vAlign w:val="center"/>
          </w:tcPr>
          <w:p w14:paraId="0A5C2AE9" w14:textId="77777777" w:rsidR="00E574B9" w:rsidRDefault="00E574B9" w:rsidP="00E574B9">
            <w:pPr>
              <w:pStyle w:val="Text"/>
              <w:spacing w:after="0"/>
              <w:cnfStyle w:val="000000000000" w:firstRow="0" w:lastRow="0" w:firstColumn="0" w:lastColumn="0" w:oddVBand="0" w:evenVBand="0" w:oddHBand="0" w:evenHBand="0" w:firstRowFirstColumn="0" w:firstRowLastColumn="0" w:lastRowFirstColumn="0" w:lastRowLastColumn="0"/>
            </w:pPr>
          </w:p>
          <w:p w14:paraId="0CE6D8DB" w14:textId="77777777" w:rsidR="00E574B9" w:rsidRDefault="00E574B9" w:rsidP="00E574B9">
            <w:pPr>
              <w:pStyle w:val="Text"/>
              <w:spacing w:after="0"/>
              <w:cnfStyle w:val="000000000000" w:firstRow="0" w:lastRow="0" w:firstColumn="0" w:lastColumn="0" w:oddVBand="0" w:evenVBand="0" w:oddHBand="0" w:evenHBand="0" w:firstRowFirstColumn="0" w:firstRowLastColumn="0" w:lastRowFirstColumn="0" w:lastRowLastColumn="0"/>
            </w:pPr>
            <w:r>
              <w:t xml:space="preserve">Apart from the exceptions listed below, keep for </w:t>
            </w:r>
            <w:r w:rsidRPr="003E0458">
              <w:rPr>
                <w:b/>
              </w:rPr>
              <w:t>six years</w:t>
            </w:r>
            <w:r>
              <w:t xml:space="preserve"> from date case is </w:t>
            </w:r>
            <w:r w:rsidR="00B87101">
              <w:t>closed</w:t>
            </w:r>
            <w:r>
              <w:t xml:space="preserve"> and then destroy.</w:t>
            </w:r>
          </w:p>
          <w:p w14:paraId="0F1A037B" w14:textId="77777777" w:rsidR="00E574B9" w:rsidRDefault="00E574B9" w:rsidP="00E574B9">
            <w:pPr>
              <w:pStyle w:val="Text"/>
              <w:spacing w:after="0"/>
              <w:cnfStyle w:val="000000000000" w:firstRow="0" w:lastRow="0" w:firstColumn="0" w:lastColumn="0" w:oddVBand="0" w:evenVBand="0" w:oddHBand="0" w:evenHBand="0" w:firstRowFirstColumn="0" w:firstRowLastColumn="0" w:lastRowFirstColumn="0" w:lastRowLastColumn="0"/>
            </w:pPr>
          </w:p>
          <w:p w14:paraId="740448D1" w14:textId="77777777" w:rsidR="00E574B9" w:rsidRDefault="00E574B9" w:rsidP="00E574B9">
            <w:pPr>
              <w:pStyle w:val="Text"/>
              <w:spacing w:after="0"/>
              <w:cnfStyle w:val="000000000000" w:firstRow="0" w:lastRow="0" w:firstColumn="0" w:lastColumn="0" w:oddVBand="0" w:evenVBand="0" w:oddHBand="0" w:evenHBand="0" w:firstRowFirstColumn="0" w:firstRowLastColumn="0" w:lastRowFirstColumn="0" w:lastRowLastColumn="0"/>
              <w:rPr>
                <w:b/>
              </w:rPr>
            </w:pPr>
            <w:r>
              <w:rPr>
                <w:b/>
              </w:rPr>
              <w:t>Exceptions</w:t>
            </w:r>
          </w:p>
          <w:p w14:paraId="636A7089" w14:textId="77777777" w:rsidR="00E574B9" w:rsidRDefault="00E574B9" w:rsidP="00E574B9">
            <w:pPr>
              <w:pStyle w:val="Text"/>
              <w:spacing w:after="0"/>
              <w:cnfStyle w:val="000000000000" w:firstRow="0" w:lastRow="0" w:firstColumn="0" w:lastColumn="0" w:oddVBand="0" w:evenVBand="0" w:oddHBand="0" w:evenHBand="0" w:firstRowFirstColumn="0" w:firstRowLastColumn="0" w:lastRowFirstColumn="0" w:lastRowLastColumn="0"/>
            </w:pPr>
            <w:r>
              <w:t xml:space="preserve">a) If the Official Solicitor is appointed to act for a client who is a minor, </w:t>
            </w:r>
            <w:r w:rsidRPr="003E0458">
              <w:rPr>
                <w:b/>
              </w:rPr>
              <w:t>destroy on the Client’s 24th birthday</w:t>
            </w:r>
            <w:r>
              <w:t xml:space="preserve">. </w:t>
            </w:r>
          </w:p>
          <w:p w14:paraId="056C264B" w14:textId="77777777" w:rsidR="00E574B9" w:rsidRDefault="00E574B9" w:rsidP="00E574B9">
            <w:pPr>
              <w:pStyle w:val="Text"/>
              <w:spacing w:after="0"/>
              <w:cnfStyle w:val="000000000000" w:firstRow="0" w:lastRow="0" w:firstColumn="0" w:lastColumn="0" w:oddVBand="0" w:evenVBand="0" w:oddHBand="0" w:evenHBand="0" w:firstRowFirstColumn="0" w:firstRowLastColumn="0" w:lastRowFirstColumn="0" w:lastRowLastColumn="0"/>
            </w:pPr>
            <w:r>
              <w:t>b) Cases that have a charge on the property are reconciled with the Charges spreadsheet and outstanding costs. Once the charge is removed the case can be destroyed as per the case type retention criteria.</w:t>
            </w:r>
          </w:p>
          <w:p w14:paraId="2105BBA7" w14:textId="77777777" w:rsidR="00E574B9" w:rsidRDefault="00E574B9" w:rsidP="00E574B9">
            <w:pPr>
              <w:pStyle w:val="Text"/>
              <w:spacing w:after="0"/>
              <w:cnfStyle w:val="000000000000" w:firstRow="0" w:lastRow="0" w:firstColumn="0" w:lastColumn="0" w:oddVBand="0" w:evenVBand="0" w:oddHBand="0" w:evenHBand="0" w:firstRowFirstColumn="0" w:firstRowLastColumn="0" w:lastRowFirstColumn="0" w:lastRowLastColumn="0"/>
            </w:pPr>
            <w:r>
              <w:t>c) Rejected or void cases are kept for</w:t>
            </w:r>
            <w:r w:rsidRPr="003E0458">
              <w:rPr>
                <w:b/>
              </w:rPr>
              <w:t xml:space="preserve"> six months</w:t>
            </w:r>
            <w:r>
              <w:t xml:space="preserve"> and then destroyed.</w:t>
            </w:r>
          </w:p>
          <w:p w14:paraId="73FCB62E"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tc>
      </w:tr>
      <w:tr w:rsidR="003C787D" w14:paraId="5C2331FA" w14:textId="77777777" w:rsidTr="000A6C08">
        <w:tc>
          <w:tcPr>
            <w:cnfStyle w:val="001000000000" w:firstRow="0" w:lastRow="0" w:firstColumn="1" w:lastColumn="0" w:oddVBand="0" w:evenVBand="0" w:oddHBand="0" w:evenHBand="0" w:firstRowFirstColumn="0" w:firstRowLastColumn="0" w:lastRowFirstColumn="0" w:lastRowLastColumn="0"/>
            <w:tcW w:w="9628" w:type="dxa"/>
            <w:gridSpan w:val="3"/>
            <w:vAlign w:val="center"/>
          </w:tcPr>
          <w:p w14:paraId="4F8CA4E6" w14:textId="77777777" w:rsidR="003C787D" w:rsidRDefault="003C787D" w:rsidP="000A6C08">
            <w:pPr>
              <w:pStyle w:val="Text"/>
              <w:spacing w:after="0"/>
              <w:jc w:val="center"/>
            </w:pPr>
          </w:p>
          <w:p w14:paraId="619EF49A" w14:textId="77777777" w:rsidR="003C787D" w:rsidRDefault="003C787D" w:rsidP="000A6C08">
            <w:pPr>
              <w:pStyle w:val="Text"/>
              <w:spacing w:after="0"/>
              <w:jc w:val="center"/>
            </w:pPr>
          </w:p>
          <w:p w14:paraId="2A1AAB1D" w14:textId="77777777" w:rsidR="00F71656" w:rsidRDefault="00F71656" w:rsidP="000A6C08">
            <w:pPr>
              <w:pStyle w:val="Text"/>
              <w:spacing w:after="0"/>
              <w:jc w:val="center"/>
            </w:pPr>
          </w:p>
        </w:tc>
      </w:tr>
      <w:tr w:rsidR="00613199" w14:paraId="11A6DE77" w14:textId="77777777" w:rsidTr="000A6C08">
        <w:tc>
          <w:tcPr>
            <w:cnfStyle w:val="001000000000" w:firstRow="0" w:lastRow="0" w:firstColumn="1" w:lastColumn="0" w:oddVBand="0" w:evenVBand="0" w:oddHBand="0" w:evenHBand="0" w:firstRowFirstColumn="0" w:firstRowLastColumn="0" w:lastRowFirstColumn="0" w:lastRowLastColumn="0"/>
            <w:tcW w:w="9628" w:type="dxa"/>
            <w:gridSpan w:val="3"/>
            <w:vAlign w:val="center"/>
          </w:tcPr>
          <w:p w14:paraId="4D4137BC" w14:textId="77777777" w:rsidR="00F71656" w:rsidRDefault="00F71656" w:rsidP="000A6C08">
            <w:pPr>
              <w:pStyle w:val="Text"/>
              <w:spacing w:after="0"/>
              <w:jc w:val="center"/>
            </w:pPr>
          </w:p>
          <w:p w14:paraId="5A04010F" w14:textId="77777777" w:rsidR="00613199" w:rsidRDefault="00613199" w:rsidP="000A6C08">
            <w:pPr>
              <w:pStyle w:val="Text"/>
              <w:spacing w:after="0"/>
              <w:jc w:val="center"/>
            </w:pPr>
            <w:r>
              <w:t>1</w:t>
            </w:r>
            <w:r w:rsidR="003C787D">
              <w:t>e</w:t>
            </w:r>
            <w:r>
              <w:t xml:space="preserve">. </w:t>
            </w:r>
            <w:r w:rsidR="00854940" w:rsidRPr="00854940">
              <w:t>International Child Abd</w:t>
            </w:r>
            <w:r w:rsidR="00854940">
              <w:t>uction and Contact Unit (ICACU)</w:t>
            </w:r>
          </w:p>
          <w:p w14:paraId="66A98D84" w14:textId="77777777" w:rsidR="00F71656" w:rsidRDefault="00F71656" w:rsidP="000A6C08">
            <w:pPr>
              <w:pStyle w:val="Text"/>
              <w:spacing w:after="0"/>
              <w:jc w:val="center"/>
            </w:pPr>
          </w:p>
        </w:tc>
      </w:tr>
      <w:tr w:rsidR="00613199" w14:paraId="08C83982" w14:textId="77777777" w:rsidTr="00F71656">
        <w:tc>
          <w:tcPr>
            <w:cnfStyle w:val="001000000000" w:firstRow="0" w:lastRow="0" w:firstColumn="1" w:lastColumn="0" w:oddVBand="0" w:evenVBand="0" w:oddHBand="0" w:evenHBand="0" w:firstRowFirstColumn="0" w:firstRowLastColumn="0" w:lastRowFirstColumn="0" w:lastRowLastColumn="0"/>
            <w:tcW w:w="846" w:type="dxa"/>
            <w:vAlign w:val="center"/>
          </w:tcPr>
          <w:p w14:paraId="49B14915" w14:textId="77777777" w:rsidR="00613199" w:rsidRDefault="00613199" w:rsidP="00613199">
            <w:pPr>
              <w:pStyle w:val="Text"/>
              <w:numPr>
                <w:ilvl w:val="0"/>
                <w:numId w:val="11"/>
              </w:numPr>
              <w:spacing w:after="0"/>
            </w:pPr>
          </w:p>
        </w:tc>
        <w:tc>
          <w:tcPr>
            <w:tcW w:w="3544" w:type="dxa"/>
            <w:vAlign w:val="center"/>
          </w:tcPr>
          <w:p w14:paraId="314D79E7" w14:textId="77777777" w:rsidR="00613199" w:rsidRDefault="003C787D" w:rsidP="000A6C08">
            <w:pPr>
              <w:pStyle w:val="Text"/>
              <w:spacing w:after="0"/>
              <w:cnfStyle w:val="000000000000" w:firstRow="0" w:lastRow="0" w:firstColumn="0" w:lastColumn="0" w:oddVBand="0" w:evenVBand="0" w:oddHBand="0" w:evenHBand="0" w:firstRowFirstColumn="0" w:firstRowLastColumn="0" w:lastRowFirstColumn="0" w:lastRowLastColumn="0"/>
            </w:pPr>
            <w:r>
              <w:t>ICACU cases including, but not limited to:</w:t>
            </w:r>
          </w:p>
          <w:p w14:paraId="044A7381" w14:textId="77777777" w:rsidR="003C787D" w:rsidRDefault="003C787D" w:rsidP="003C787D">
            <w:pPr>
              <w:pStyle w:val="Text"/>
              <w:numPr>
                <w:ilvl w:val="0"/>
                <w:numId w:val="20"/>
              </w:numPr>
              <w:spacing w:after="0"/>
              <w:cnfStyle w:val="000000000000" w:firstRow="0" w:lastRow="0" w:firstColumn="0" w:lastColumn="0" w:oddVBand="0" w:evenVBand="0" w:oddHBand="0" w:evenHBand="0" w:firstRowFirstColumn="0" w:firstRowLastColumn="0" w:lastRowFirstColumn="0" w:lastRowLastColumn="0"/>
            </w:pPr>
            <w:r w:rsidRPr="003C787D">
              <w:t xml:space="preserve">child abduction, </w:t>
            </w:r>
          </w:p>
          <w:p w14:paraId="373DD483" w14:textId="77777777" w:rsidR="003C787D" w:rsidRDefault="003C787D" w:rsidP="003C787D">
            <w:pPr>
              <w:pStyle w:val="Text"/>
              <w:numPr>
                <w:ilvl w:val="0"/>
                <w:numId w:val="20"/>
              </w:numPr>
              <w:spacing w:after="0"/>
              <w:cnfStyle w:val="000000000000" w:firstRow="0" w:lastRow="0" w:firstColumn="0" w:lastColumn="0" w:oddVBand="0" w:evenVBand="0" w:oddHBand="0" w:evenHBand="0" w:firstRowFirstColumn="0" w:firstRowLastColumn="0" w:lastRowFirstColumn="0" w:lastRowLastColumn="0"/>
            </w:pPr>
            <w:r w:rsidRPr="003C787D">
              <w:t xml:space="preserve">requests for co-operation </w:t>
            </w:r>
          </w:p>
          <w:p w14:paraId="5A0E655A" w14:textId="77777777" w:rsidR="003C787D" w:rsidRDefault="003C787D" w:rsidP="00D04540">
            <w:pPr>
              <w:pStyle w:val="Text"/>
              <w:numPr>
                <w:ilvl w:val="0"/>
                <w:numId w:val="20"/>
              </w:numPr>
              <w:spacing w:after="0"/>
              <w:cnfStyle w:val="000000000000" w:firstRow="0" w:lastRow="0" w:firstColumn="0" w:lastColumn="0" w:oddVBand="0" w:evenVBand="0" w:oddHBand="0" w:evenHBand="0" w:firstRowFirstColumn="0" w:firstRowLastColumn="0" w:lastRowFirstColumn="0" w:lastRowLastColumn="0"/>
            </w:pPr>
            <w:r w:rsidRPr="003C787D">
              <w:t>ICACU</w:t>
            </w:r>
          </w:p>
        </w:tc>
        <w:tc>
          <w:tcPr>
            <w:tcW w:w="5238" w:type="dxa"/>
            <w:vAlign w:val="center"/>
          </w:tcPr>
          <w:p w14:paraId="75531DA3" w14:textId="77777777" w:rsidR="00613199" w:rsidRDefault="00613199" w:rsidP="000A6C08">
            <w:pPr>
              <w:pStyle w:val="Text"/>
              <w:spacing w:after="0"/>
              <w:cnfStyle w:val="000000000000" w:firstRow="0" w:lastRow="0" w:firstColumn="0" w:lastColumn="0" w:oddVBand="0" w:evenVBand="0" w:oddHBand="0" w:evenHBand="0" w:firstRowFirstColumn="0" w:firstRowLastColumn="0" w:lastRowFirstColumn="0" w:lastRowLastColumn="0"/>
            </w:pPr>
          </w:p>
          <w:p w14:paraId="10A4DE4B" w14:textId="77777777" w:rsidR="003C787D" w:rsidRDefault="003C787D" w:rsidP="003C787D">
            <w:pPr>
              <w:pStyle w:val="Text"/>
              <w:spacing w:after="0"/>
              <w:cnfStyle w:val="000000000000" w:firstRow="0" w:lastRow="0" w:firstColumn="0" w:lastColumn="0" w:oddVBand="0" w:evenVBand="0" w:oddHBand="0" w:evenHBand="0" w:firstRowFirstColumn="0" w:firstRowLastColumn="0" w:lastRowFirstColumn="0" w:lastRowLastColumn="0"/>
            </w:pPr>
            <w:r>
              <w:t xml:space="preserve">Apart from the exception listed below, keep for </w:t>
            </w:r>
            <w:r>
              <w:rPr>
                <w:b/>
              </w:rPr>
              <w:t>three</w:t>
            </w:r>
            <w:r w:rsidRPr="003E0458">
              <w:rPr>
                <w:b/>
              </w:rPr>
              <w:t xml:space="preserve"> years</w:t>
            </w:r>
            <w:r>
              <w:t xml:space="preserve"> from date case is </w:t>
            </w:r>
            <w:r w:rsidR="00B87101">
              <w:t>closed</w:t>
            </w:r>
            <w:r>
              <w:t xml:space="preserve"> and then destroy.</w:t>
            </w:r>
          </w:p>
          <w:p w14:paraId="1FF0A243" w14:textId="77777777" w:rsidR="003C787D" w:rsidRDefault="003C787D" w:rsidP="003C787D">
            <w:pPr>
              <w:pStyle w:val="Text"/>
              <w:spacing w:after="0"/>
              <w:cnfStyle w:val="000000000000" w:firstRow="0" w:lastRow="0" w:firstColumn="0" w:lastColumn="0" w:oddVBand="0" w:evenVBand="0" w:oddHBand="0" w:evenHBand="0" w:firstRowFirstColumn="0" w:firstRowLastColumn="0" w:lastRowFirstColumn="0" w:lastRowLastColumn="0"/>
            </w:pPr>
          </w:p>
          <w:p w14:paraId="6D8DB4F6" w14:textId="77777777" w:rsidR="003C787D" w:rsidRDefault="003C787D" w:rsidP="003C787D">
            <w:pPr>
              <w:pStyle w:val="Text"/>
              <w:spacing w:after="0"/>
              <w:cnfStyle w:val="000000000000" w:firstRow="0" w:lastRow="0" w:firstColumn="0" w:lastColumn="0" w:oddVBand="0" w:evenVBand="0" w:oddHBand="0" w:evenHBand="0" w:firstRowFirstColumn="0" w:firstRowLastColumn="0" w:lastRowFirstColumn="0" w:lastRowLastColumn="0"/>
              <w:rPr>
                <w:b/>
              </w:rPr>
            </w:pPr>
            <w:r>
              <w:rPr>
                <w:b/>
              </w:rPr>
              <w:t>Exception</w:t>
            </w:r>
          </w:p>
          <w:p w14:paraId="70642C4A" w14:textId="77777777" w:rsidR="003C787D" w:rsidRDefault="003C787D" w:rsidP="003C787D">
            <w:pPr>
              <w:pStyle w:val="Text"/>
              <w:spacing w:after="0"/>
              <w:cnfStyle w:val="000000000000" w:firstRow="0" w:lastRow="0" w:firstColumn="0" w:lastColumn="0" w:oddVBand="0" w:evenVBand="0" w:oddHBand="0" w:evenHBand="0" w:firstRowFirstColumn="0" w:firstRowLastColumn="0" w:lastRowFirstColumn="0" w:lastRowLastColumn="0"/>
            </w:pPr>
            <w:r>
              <w:t>Rejected or void cases are kept for</w:t>
            </w:r>
            <w:r w:rsidRPr="003E0458">
              <w:rPr>
                <w:b/>
              </w:rPr>
              <w:t xml:space="preserve"> six months</w:t>
            </w:r>
            <w:r>
              <w:t xml:space="preserve"> and then destroyed.</w:t>
            </w:r>
          </w:p>
          <w:p w14:paraId="4E03F484" w14:textId="77777777" w:rsidR="003C787D" w:rsidRDefault="003C787D" w:rsidP="000A6C08">
            <w:pPr>
              <w:pStyle w:val="Text"/>
              <w:spacing w:after="0"/>
              <w:cnfStyle w:val="000000000000" w:firstRow="0" w:lastRow="0" w:firstColumn="0" w:lastColumn="0" w:oddVBand="0" w:evenVBand="0" w:oddHBand="0" w:evenHBand="0" w:firstRowFirstColumn="0" w:firstRowLastColumn="0" w:lastRowFirstColumn="0" w:lastRowLastColumn="0"/>
            </w:pPr>
          </w:p>
        </w:tc>
      </w:tr>
      <w:tr w:rsidR="00613199" w14:paraId="47BFFDEA" w14:textId="77777777" w:rsidTr="000A6C08">
        <w:tc>
          <w:tcPr>
            <w:cnfStyle w:val="001000000000" w:firstRow="0" w:lastRow="0" w:firstColumn="1" w:lastColumn="0" w:oddVBand="0" w:evenVBand="0" w:oddHBand="0" w:evenHBand="0" w:firstRowFirstColumn="0" w:firstRowLastColumn="0" w:lastRowFirstColumn="0" w:lastRowLastColumn="0"/>
            <w:tcW w:w="9628" w:type="dxa"/>
            <w:gridSpan w:val="3"/>
            <w:vAlign w:val="center"/>
          </w:tcPr>
          <w:p w14:paraId="0452E3A2" w14:textId="77777777" w:rsidR="00F71656" w:rsidRDefault="00F71656" w:rsidP="000A6C08">
            <w:pPr>
              <w:pStyle w:val="Text"/>
              <w:spacing w:after="0"/>
              <w:jc w:val="center"/>
            </w:pPr>
          </w:p>
          <w:p w14:paraId="7AF36230" w14:textId="77777777" w:rsidR="00613199" w:rsidRDefault="00613199" w:rsidP="000A6C08">
            <w:pPr>
              <w:pStyle w:val="Text"/>
              <w:spacing w:after="0"/>
              <w:jc w:val="center"/>
            </w:pPr>
            <w:r>
              <w:t>1</w:t>
            </w:r>
            <w:r w:rsidR="009A5A44">
              <w:t>f. Reciprocal Enforcement o</w:t>
            </w:r>
            <w:r w:rsidR="009A5A44" w:rsidRPr="009A5A44">
              <w:t>f Maintenance</w:t>
            </w:r>
            <w:r w:rsidR="00D37725">
              <w:t xml:space="preserve"> Orders</w:t>
            </w:r>
            <w:r w:rsidR="009A5A44">
              <w:t xml:space="preserve"> (REMO)</w:t>
            </w:r>
          </w:p>
          <w:p w14:paraId="660ACF4F" w14:textId="77777777" w:rsidR="00F71656" w:rsidRDefault="00F71656" w:rsidP="000A6C08">
            <w:pPr>
              <w:pStyle w:val="Text"/>
              <w:spacing w:after="0"/>
              <w:jc w:val="center"/>
            </w:pPr>
          </w:p>
        </w:tc>
      </w:tr>
      <w:tr w:rsidR="00613199" w14:paraId="37C51697" w14:textId="77777777" w:rsidTr="00F71656">
        <w:tc>
          <w:tcPr>
            <w:cnfStyle w:val="001000000000" w:firstRow="0" w:lastRow="0" w:firstColumn="1" w:lastColumn="0" w:oddVBand="0" w:evenVBand="0" w:oddHBand="0" w:evenHBand="0" w:firstRowFirstColumn="0" w:firstRowLastColumn="0" w:lastRowFirstColumn="0" w:lastRowLastColumn="0"/>
            <w:tcW w:w="846" w:type="dxa"/>
            <w:vAlign w:val="center"/>
          </w:tcPr>
          <w:p w14:paraId="2B7CC949" w14:textId="77777777" w:rsidR="00613199" w:rsidRDefault="00613199" w:rsidP="003C787D">
            <w:pPr>
              <w:pStyle w:val="Text"/>
              <w:numPr>
                <w:ilvl w:val="0"/>
                <w:numId w:val="11"/>
              </w:numPr>
              <w:spacing w:after="0"/>
            </w:pPr>
          </w:p>
        </w:tc>
        <w:tc>
          <w:tcPr>
            <w:tcW w:w="3544" w:type="dxa"/>
            <w:vAlign w:val="center"/>
          </w:tcPr>
          <w:p w14:paraId="6D42AFBD" w14:textId="77777777" w:rsidR="009A5A44" w:rsidRDefault="009A5A44" w:rsidP="000A6C08">
            <w:pPr>
              <w:pStyle w:val="Text"/>
              <w:spacing w:after="0"/>
              <w:cnfStyle w:val="000000000000" w:firstRow="0" w:lastRow="0" w:firstColumn="0" w:lastColumn="0" w:oddVBand="0" w:evenVBand="0" w:oddHBand="0" w:evenHBand="0" w:firstRowFirstColumn="0" w:firstRowLastColumn="0" w:lastRowFirstColumn="0" w:lastRowLastColumn="0"/>
            </w:pPr>
          </w:p>
          <w:p w14:paraId="325CC4AC" w14:textId="77777777" w:rsidR="00613199" w:rsidRDefault="009A5A44" w:rsidP="000A6C08">
            <w:pPr>
              <w:pStyle w:val="Text"/>
              <w:spacing w:after="0"/>
              <w:cnfStyle w:val="000000000000" w:firstRow="0" w:lastRow="0" w:firstColumn="0" w:lastColumn="0" w:oddVBand="0" w:evenVBand="0" w:oddHBand="0" w:evenHBand="0" w:firstRowFirstColumn="0" w:firstRowLastColumn="0" w:lastRowFirstColumn="0" w:lastRowLastColumn="0"/>
            </w:pPr>
            <w:r w:rsidRPr="009A5A44">
              <w:t xml:space="preserve">Reciprocal </w:t>
            </w:r>
            <w:r>
              <w:t>Enforcement of Maintenance cases</w:t>
            </w:r>
          </w:p>
          <w:p w14:paraId="2BF1BA40" w14:textId="77777777" w:rsidR="009A5A44" w:rsidRDefault="009A5A44" w:rsidP="000A6C08">
            <w:pPr>
              <w:pStyle w:val="Text"/>
              <w:spacing w:after="0"/>
              <w:cnfStyle w:val="000000000000" w:firstRow="0" w:lastRow="0" w:firstColumn="0" w:lastColumn="0" w:oddVBand="0" w:evenVBand="0" w:oddHBand="0" w:evenHBand="0" w:firstRowFirstColumn="0" w:firstRowLastColumn="0" w:lastRowFirstColumn="0" w:lastRowLastColumn="0"/>
            </w:pPr>
          </w:p>
        </w:tc>
        <w:tc>
          <w:tcPr>
            <w:tcW w:w="5238" w:type="dxa"/>
            <w:vAlign w:val="center"/>
          </w:tcPr>
          <w:p w14:paraId="7382F2D4" w14:textId="77777777" w:rsidR="009A5A44" w:rsidRDefault="009A5A44" w:rsidP="009A5A44">
            <w:pPr>
              <w:pStyle w:val="Text"/>
              <w:spacing w:after="0"/>
              <w:cnfStyle w:val="000000000000" w:firstRow="0" w:lastRow="0" w:firstColumn="0" w:lastColumn="0" w:oddVBand="0" w:evenVBand="0" w:oddHBand="0" w:evenHBand="0" w:firstRowFirstColumn="0" w:firstRowLastColumn="0" w:lastRowFirstColumn="0" w:lastRowLastColumn="0"/>
            </w:pPr>
          </w:p>
          <w:p w14:paraId="01AA9718" w14:textId="77777777" w:rsidR="009A5A44" w:rsidRDefault="009A5A44" w:rsidP="009A5A44">
            <w:pPr>
              <w:pStyle w:val="Text"/>
              <w:spacing w:after="0"/>
              <w:cnfStyle w:val="000000000000" w:firstRow="0" w:lastRow="0" w:firstColumn="0" w:lastColumn="0" w:oddVBand="0" w:evenVBand="0" w:oddHBand="0" w:evenHBand="0" w:firstRowFirstColumn="0" w:firstRowLastColumn="0" w:lastRowFirstColumn="0" w:lastRowLastColumn="0"/>
            </w:pPr>
            <w:r>
              <w:t xml:space="preserve">Apart from the exception listed below, keep for </w:t>
            </w:r>
            <w:r>
              <w:rPr>
                <w:b/>
              </w:rPr>
              <w:t>three</w:t>
            </w:r>
            <w:r w:rsidRPr="003E0458">
              <w:rPr>
                <w:b/>
              </w:rPr>
              <w:t xml:space="preserve"> years</w:t>
            </w:r>
            <w:r>
              <w:t xml:space="preserve"> from date case is </w:t>
            </w:r>
            <w:r w:rsidR="00B87101">
              <w:t>closed</w:t>
            </w:r>
            <w:r>
              <w:t xml:space="preserve"> and then destroy.</w:t>
            </w:r>
          </w:p>
          <w:p w14:paraId="087332BD" w14:textId="77777777" w:rsidR="009A5A44" w:rsidRDefault="009A5A44" w:rsidP="009A5A44">
            <w:pPr>
              <w:pStyle w:val="Text"/>
              <w:spacing w:after="0"/>
              <w:cnfStyle w:val="000000000000" w:firstRow="0" w:lastRow="0" w:firstColumn="0" w:lastColumn="0" w:oddVBand="0" w:evenVBand="0" w:oddHBand="0" w:evenHBand="0" w:firstRowFirstColumn="0" w:firstRowLastColumn="0" w:lastRowFirstColumn="0" w:lastRowLastColumn="0"/>
            </w:pPr>
          </w:p>
          <w:p w14:paraId="466E26EC" w14:textId="77777777" w:rsidR="009A5A44" w:rsidRDefault="009A5A44" w:rsidP="009A5A44">
            <w:pPr>
              <w:pStyle w:val="Text"/>
              <w:spacing w:after="0"/>
              <w:cnfStyle w:val="000000000000" w:firstRow="0" w:lastRow="0" w:firstColumn="0" w:lastColumn="0" w:oddVBand="0" w:evenVBand="0" w:oddHBand="0" w:evenHBand="0" w:firstRowFirstColumn="0" w:firstRowLastColumn="0" w:lastRowFirstColumn="0" w:lastRowLastColumn="0"/>
              <w:rPr>
                <w:b/>
              </w:rPr>
            </w:pPr>
            <w:r>
              <w:rPr>
                <w:b/>
              </w:rPr>
              <w:t>Exception</w:t>
            </w:r>
          </w:p>
          <w:p w14:paraId="0AD8074A" w14:textId="77777777" w:rsidR="009A5A44" w:rsidRDefault="009A5A44" w:rsidP="009A5A44">
            <w:pPr>
              <w:pStyle w:val="Text"/>
              <w:spacing w:after="0"/>
              <w:cnfStyle w:val="000000000000" w:firstRow="0" w:lastRow="0" w:firstColumn="0" w:lastColumn="0" w:oddVBand="0" w:evenVBand="0" w:oddHBand="0" w:evenHBand="0" w:firstRowFirstColumn="0" w:firstRowLastColumn="0" w:lastRowFirstColumn="0" w:lastRowLastColumn="0"/>
            </w:pPr>
            <w:r>
              <w:t>Rejected or void cases are kept for</w:t>
            </w:r>
            <w:r w:rsidRPr="003E0458">
              <w:rPr>
                <w:b/>
              </w:rPr>
              <w:t xml:space="preserve"> six months</w:t>
            </w:r>
            <w:r>
              <w:t xml:space="preserve"> and then destroyed.</w:t>
            </w:r>
          </w:p>
          <w:p w14:paraId="1C9C6B17" w14:textId="77777777" w:rsidR="00613199" w:rsidRDefault="00613199" w:rsidP="000A6C08">
            <w:pPr>
              <w:pStyle w:val="Text"/>
              <w:spacing w:after="0"/>
              <w:cnfStyle w:val="000000000000" w:firstRow="0" w:lastRow="0" w:firstColumn="0" w:lastColumn="0" w:oddVBand="0" w:evenVBand="0" w:oddHBand="0" w:evenHBand="0" w:firstRowFirstColumn="0" w:firstRowLastColumn="0" w:lastRowFirstColumn="0" w:lastRowLastColumn="0"/>
            </w:pPr>
          </w:p>
        </w:tc>
      </w:tr>
      <w:tr w:rsidR="00613199" w14:paraId="271E9BD0" w14:textId="77777777" w:rsidTr="00F71656">
        <w:tc>
          <w:tcPr>
            <w:cnfStyle w:val="001000000000" w:firstRow="0" w:lastRow="0" w:firstColumn="1" w:lastColumn="0" w:oddVBand="0" w:evenVBand="0" w:oddHBand="0" w:evenHBand="0" w:firstRowFirstColumn="0" w:firstRowLastColumn="0" w:lastRowFirstColumn="0" w:lastRowLastColumn="0"/>
            <w:tcW w:w="846" w:type="dxa"/>
            <w:vAlign w:val="center"/>
          </w:tcPr>
          <w:p w14:paraId="1F007267" w14:textId="77777777" w:rsidR="00613199" w:rsidRDefault="00613199" w:rsidP="003C787D">
            <w:pPr>
              <w:pStyle w:val="Text"/>
              <w:numPr>
                <w:ilvl w:val="0"/>
                <w:numId w:val="11"/>
              </w:numPr>
              <w:spacing w:after="0"/>
            </w:pPr>
          </w:p>
        </w:tc>
        <w:tc>
          <w:tcPr>
            <w:tcW w:w="3544" w:type="dxa"/>
            <w:vAlign w:val="center"/>
          </w:tcPr>
          <w:p w14:paraId="6F31A132" w14:textId="77777777" w:rsidR="009A5A44" w:rsidRDefault="009A5A44" w:rsidP="000A6C08">
            <w:pPr>
              <w:pStyle w:val="Text"/>
              <w:spacing w:after="0"/>
              <w:cnfStyle w:val="000000000000" w:firstRow="0" w:lastRow="0" w:firstColumn="0" w:lastColumn="0" w:oddVBand="0" w:evenVBand="0" w:oddHBand="0" w:evenHBand="0" w:firstRowFirstColumn="0" w:firstRowLastColumn="0" w:lastRowFirstColumn="0" w:lastRowLastColumn="0"/>
            </w:pPr>
          </w:p>
          <w:p w14:paraId="5E01FBD0" w14:textId="77777777" w:rsidR="00613199" w:rsidRDefault="009A5A44" w:rsidP="000A6C08">
            <w:pPr>
              <w:pStyle w:val="Text"/>
              <w:spacing w:after="0"/>
              <w:cnfStyle w:val="000000000000" w:firstRow="0" w:lastRow="0" w:firstColumn="0" w:lastColumn="0" w:oddVBand="0" w:evenVBand="0" w:oddHBand="0" w:evenHBand="0" w:firstRowFirstColumn="0" w:firstRowLastColumn="0" w:lastRowFirstColumn="0" w:lastRowLastColumn="0"/>
            </w:pPr>
            <w:r>
              <w:t>Specific measure cases</w:t>
            </w:r>
          </w:p>
          <w:p w14:paraId="0D26561F" w14:textId="77777777" w:rsidR="009A5A44" w:rsidRDefault="009A5A44" w:rsidP="000A6C08">
            <w:pPr>
              <w:pStyle w:val="Text"/>
              <w:spacing w:after="0"/>
              <w:cnfStyle w:val="000000000000" w:firstRow="0" w:lastRow="0" w:firstColumn="0" w:lastColumn="0" w:oddVBand="0" w:evenVBand="0" w:oddHBand="0" w:evenHBand="0" w:firstRowFirstColumn="0" w:firstRowLastColumn="0" w:lastRowFirstColumn="0" w:lastRowLastColumn="0"/>
            </w:pPr>
          </w:p>
        </w:tc>
        <w:tc>
          <w:tcPr>
            <w:tcW w:w="5238" w:type="dxa"/>
            <w:vAlign w:val="center"/>
          </w:tcPr>
          <w:p w14:paraId="12C2AAE5" w14:textId="77777777" w:rsidR="00613199" w:rsidRDefault="00613199" w:rsidP="000A6C08">
            <w:pPr>
              <w:pStyle w:val="Text"/>
              <w:spacing w:after="0"/>
              <w:cnfStyle w:val="000000000000" w:firstRow="0" w:lastRow="0" w:firstColumn="0" w:lastColumn="0" w:oddVBand="0" w:evenVBand="0" w:oddHBand="0" w:evenHBand="0" w:firstRowFirstColumn="0" w:firstRowLastColumn="0" w:lastRowFirstColumn="0" w:lastRowLastColumn="0"/>
            </w:pPr>
          </w:p>
          <w:p w14:paraId="5122DF8B" w14:textId="77777777" w:rsidR="009A5A44" w:rsidRDefault="009A5A44" w:rsidP="000A6C08">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 xml:space="preserve">six months </w:t>
            </w:r>
            <w:r>
              <w:t>from date of receipt (unless case is still active) and then destroy.</w:t>
            </w:r>
          </w:p>
          <w:p w14:paraId="41E6B4DB" w14:textId="77777777" w:rsidR="009A5A44" w:rsidRDefault="009A5A44" w:rsidP="000A6C08">
            <w:pPr>
              <w:pStyle w:val="Text"/>
              <w:spacing w:after="0"/>
              <w:cnfStyle w:val="000000000000" w:firstRow="0" w:lastRow="0" w:firstColumn="0" w:lastColumn="0" w:oddVBand="0" w:evenVBand="0" w:oddHBand="0" w:evenHBand="0" w:firstRowFirstColumn="0" w:firstRowLastColumn="0" w:lastRowFirstColumn="0" w:lastRowLastColumn="0"/>
            </w:pPr>
          </w:p>
          <w:p w14:paraId="4AB51BD6" w14:textId="77777777" w:rsidR="009A5A44" w:rsidRDefault="009A5A44" w:rsidP="000A6C08">
            <w:pPr>
              <w:pStyle w:val="Text"/>
              <w:spacing w:after="0"/>
              <w:cnfStyle w:val="000000000000" w:firstRow="0" w:lastRow="0" w:firstColumn="0" w:lastColumn="0" w:oddVBand="0" w:evenVBand="0" w:oddHBand="0" w:evenHBand="0" w:firstRowFirstColumn="0" w:firstRowLastColumn="0" w:lastRowFirstColumn="0" w:lastRowLastColumn="0"/>
            </w:pPr>
            <w:r>
              <w:t xml:space="preserve">Keep active cases until </w:t>
            </w:r>
            <w:r>
              <w:rPr>
                <w:b/>
              </w:rPr>
              <w:t xml:space="preserve">six months </w:t>
            </w:r>
            <w:r>
              <w:t>after the last substantive action and then destroy</w:t>
            </w:r>
            <w:r w:rsidRPr="009A5A44">
              <w:t>.</w:t>
            </w:r>
          </w:p>
          <w:p w14:paraId="20F9B843" w14:textId="77777777" w:rsidR="00B035CA" w:rsidRDefault="00B035CA" w:rsidP="000A6C08">
            <w:pPr>
              <w:pStyle w:val="Text"/>
              <w:spacing w:after="0"/>
              <w:cnfStyle w:val="000000000000" w:firstRow="0" w:lastRow="0" w:firstColumn="0" w:lastColumn="0" w:oddVBand="0" w:evenVBand="0" w:oddHBand="0" w:evenHBand="0" w:firstRowFirstColumn="0" w:firstRowLastColumn="0" w:lastRowFirstColumn="0" w:lastRowLastColumn="0"/>
            </w:pPr>
          </w:p>
        </w:tc>
      </w:tr>
      <w:tr w:rsidR="00613199" w14:paraId="2B7702D9" w14:textId="77777777" w:rsidTr="000A6C08">
        <w:tc>
          <w:tcPr>
            <w:cnfStyle w:val="001000000000" w:firstRow="0" w:lastRow="0" w:firstColumn="1" w:lastColumn="0" w:oddVBand="0" w:evenVBand="0" w:oddHBand="0" w:evenHBand="0" w:firstRowFirstColumn="0" w:firstRowLastColumn="0" w:lastRowFirstColumn="0" w:lastRowLastColumn="0"/>
            <w:tcW w:w="9628" w:type="dxa"/>
            <w:gridSpan w:val="3"/>
            <w:vAlign w:val="center"/>
          </w:tcPr>
          <w:p w14:paraId="5C4C3A40" w14:textId="77777777" w:rsidR="00F71656" w:rsidRDefault="00F71656" w:rsidP="000A6C08">
            <w:pPr>
              <w:pStyle w:val="Text"/>
              <w:spacing w:after="0"/>
              <w:jc w:val="center"/>
            </w:pPr>
          </w:p>
          <w:p w14:paraId="73639239" w14:textId="77777777" w:rsidR="00613199" w:rsidRDefault="00613199" w:rsidP="000A6C08">
            <w:pPr>
              <w:pStyle w:val="Text"/>
              <w:spacing w:after="0"/>
              <w:jc w:val="center"/>
            </w:pPr>
            <w:r>
              <w:t>1</w:t>
            </w:r>
            <w:r w:rsidR="009A5A44">
              <w:t>g</w:t>
            </w:r>
            <w:r>
              <w:t xml:space="preserve">. </w:t>
            </w:r>
            <w:r w:rsidR="003904B9">
              <w:t>Official Solicitor</w:t>
            </w:r>
            <w:r w:rsidR="00153013">
              <w:t xml:space="preserve"> </w:t>
            </w:r>
            <w:r w:rsidR="00B87101">
              <w:t xml:space="preserve">- </w:t>
            </w:r>
            <w:r w:rsidR="00153013">
              <w:t>T</w:t>
            </w:r>
            <w:r w:rsidR="003904B9">
              <w:t>rust and Estates</w:t>
            </w:r>
          </w:p>
          <w:p w14:paraId="4DED80E7" w14:textId="77777777" w:rsidR="00F71656" w:rsidRDefault="00F71656" w:rsidP="000A6C08">
            <w:pPr>
              <w:pStyle w:val="Text"/>
              <w:spacing w:after="0"/>
              <w:jc w:val="center"/>
            </w:pPr>
          </w:p>
        </w:tc>
      </w:tr>
      <w:tr w:rsidR="00613199" w14:paraId="0708E4B2" w14:textId="77777777" w:rsidTr="00F71656">
        <w:tc>
          <w:tcPr>
            <w:cnfStyle w:val="001000000000" w:firstRow="0" w:lastRow="0" w:firstColumn="1" w:lastColumn="0" w:oddVBand="0" w:evenVBand="0" w:oddHBand="0" w:evenHBand="0" w:firstRowFirstColumn="0" w:firstRowLastColumn="0" w:lastRowFirstColumn="0" w:lastRowLastColumn="0"/>
            <w:tcW w:w="846" w:type="dxa"/>
            <w:vAlign w:val="center"/>
          </w:tcPr>
          <w:p w14:paraId="0FB50C03" w14:textId="77777777" w:rsidR="00613199" w:rsidRDefault="00613199" w:rsidP="00153013">
            <w:pPr>
              <w:pStyle w:val="Text"/>
              <w:numPr>
                <w:ilvl w:val="0"/>
                <w:numId w:val="11"/>
              </w:numPr>
              <w:spacing w:after="0"/>
            </w:pPr>
          </w:p>
        </w:tc>
        <w:tc>
          <w:tcPr>
            <w:tcW w:w="3544" w:type="dxa"/>
            <w:vAlign w:val="center"/>
          </w:tcPr>
          <w:p w14:paraId="2F9A8603" w14:textId="77777777" w:rsidR="00B035CA" w:rsidRDefault="00B035CA" w:rsidP="00B035CA">
            <w:pPr>
              <w:pStyle w:val="Text"/>
              <w:spacing w:after="0"/>
              <w:cnfStyle w:val="000000000000" w:firstRow="0" w:lastRow="0" w:firstColumn="0" w:lastColumn="0" w:oddVBand="0" w:evenVBand="0" w:oddHBand="0" w:evenHBand="0" w:firstRowFirstColumn="0" w:firstRowLastColumn="0" w:lastRowFirstColumn="0" w:lastRowLastColumn="0"/>
            </w:pPr>
          </w:p>
          <w:p w14:paraId="56140066" w14:textId="77777777" w:rsidR="00B035CA" w:rsidRDefault="00B035CA" w:rsidP="00B035CA">
            <w:pPr>
              <w:pStyle w:val="Text"/>
              <w:spacing w:after="0"/>
              <w:cnfStyle w:val="000000000000" w:firstRow="0" w:lastRow="0" w:firstColumn="0" w:lastColumn="0" w:oddVBand="0" w:evenVBand="0" w:oddHBand="0" w:evenHBand="0" w:firstRowFirstColumn="0" w:firstRowLastColumn="0" w:lastRowFirstColumn="0" w:lastRowLastColumn="0"/>
            </w:pPr>
            <w:r>
              <w:t xml:space="preserve">a) Administration of deceased persons’ estates </w:t>
            </w:r>
          </w:p>
          <w:p w14:paraId="586024B1" w14:textId="77777777" w:rsidR="00B035CA" w:rsidRDefault="00B035CA" w:rsidP="00B035CA">
            <w:pPr>
              <w:pStyle w:val="Text"/>
              <w:spacing w:after="0"/>
              <w:cnfStyle w:val="000000000000" w:firstRow="0" w:lastRow="0" w:firstColumn="0" w:lastColumn="0" w:oddVBand="0" w:evenVBand="0" w:oddHBand="0" w:evenHBand="0" w:firstRowFirstColumn="0" w:firstRowLastColumn="0" w:lastRowFirstColumn="0" w:lastRowLastColumn="0"/>
            </w:pPr>
            <w:r>
              <w:t>b) Trusts (including guardianship of minors’ estates)</w:t>
            </w:r>
          </w:p>
          <w:p w14:paraId="7B6C79C2" w14:textId="77777777" w:rsidR="00B035CA" w:rsidRDefault="00B035CA" w:rsidP="00B035CA">
            <w:pPr>
              <w:pStyle w:val="Text"/>
              <w:spacing w:after="0"/>
              <w:cnfStyle w:val="000000000000" w:firstRow="0" w:lastRow="0" w:firstColumn="0" w:lastColumn="0" w:oddVBand="0" w:evenVBand="0" w:oddHBand="0" w:evenHBand="0" w:firstRowFirstColumn="0" w:firstRowLastColumn="0" w:lastRowFirstColumn="0" w:lastRowLastColumn="0"/>
            </w:pPr>
            <w:r>
              <w:t xml:space="preserve">c) Conveyancing </w:t>
            </w:r>
          </w:p>
          <w:p w14:paraId="0B87F10E" w14:textId="77777777" w:rsidR="00B035CA" w:rsidRDefault="00B035CA" w:rsidP="00B035CA">
            <w:pPr>
              <w:pStyle w:val="Text"/>
              <w:spacing w:after="0"/>
              <w:cnfStyle w:val="000000000000" w:firstRow="0" w:lastRow="0" w:firstColumn="0" w:lastColumn="0" w:oddVBand="0" w:evenVBand="0" w:oddHBand="0" w:evenHBand="0" w:firstRowFirstColumn="0" w:firstRowLastColumn="0" w:lastRowFirstColumn="0" w:lastRowLastColumn="0"/>
            </w:pPr>
            <w:r>
              <w:t xml:space="preserve">d) Receivership/Deputyship cases </w:t>
            </w:r>
          </w:p>
          <w:p w14:paraId="79375703" w14:textId="77777777" w:rsidR="00613199" w:rsidRDefault="00B035CA" w:rsidP="00B035CA">
            <w:pPr>
              <w:pStyle w:val="Text"/>
              <w:spacing w:after="0"/>
              <w:cnfStyle w:val="000000000000" w:firstRow="0" w:lastRow="0" w:firstColumn="0" w:lastColumn="0" w:oddVBand="0" w:evenVBand="0" w:oddHBand="0" w:evenHBand="0" w:firstRowFirstColumn="0" w:firstRowLastColumn="0" w:lastRowFirstColumn="0" w:lastRowLastColumn="0"/>
            </w:pPr>
            <w:r>
              <w:t>e) Criminal Injuries Compensation Board awards</w:t>
            </w:r>
          </w:p>
          <w:p w14:paraId="5B11FF61" w14:textId="77777777" w:rsidR="00B035CA" w:rsidRDefault="00B035CA" w:rsidP="00B035CA">
            <w:pPr>
              <w:pStyle w:val="Text"/>
              <w:spacing w:after="0"/>
              <w:cnfStyle w:val="000000000000" w:firstRow="0" w:lastRow="0" w:firstColumn="0" w:lastColumn="0" w:oddVBand="0" w:evenVBand="0" w:oddHBand="0" w:evenHBand="0" w:firstRowFirstColumn="0" w:firstRowLastColumn="0" w:lastRowFirstColumn="0" w:lastRowLastColumn="0"/>
            </w:pPr>
          </w:p>
        </w:tc>
        <w:tc>
          <w:tcPr>
            <w:tcW w:w="5238" w:type="dxa"/>
            <w:vAlign w:val="center"/>
          </w:tcPr>
          <w:p w14:paraId="5C7F1EA7" w14:textId="77777777" w:rsidR="001536FA" w:rsidRDefault="001536FA" w:rsidP="001536FA">
            <w:pPr>
              <w:pStyle w:val="Text"/>
              <w:spacing w:after="0"/>
              <w:cnfStyle w:val="000000000000" w:firstRow="0" w:lastRow="0" w:firstColumn="0" w:lastColumn="0" w:oddVBand="0" w:evenVBand="0" w:oddHBand="0" w:evenHBand="0" w:firstRowFirstColumn="0" w:firstRowLastColumn="0" w:lastRowFirstColumn="0" w:lastRowLastColumn="0"/>
            </w:pPr>
          </w:p>
          <w:p w14:paraId="13C7D486" w14:textId="77777777" w:rsidR="001536FA" w:rsidRDefault="001536FA" w:rsidP="001536FA">
            <w:pPr>
              <w:pStyle w:val="Text"/>
              <w:spacing w:after="0"/>
              <w:cnfStyle w:val="000000000000" w:firstRow="0" w:lastRow="0" w:firstColumn="0" w:lastColumn="0" w:oddVBand="0" w:evenVBand="0" w:oddHBand="0" w:evenHBand="0" w:firstRowFirstColumn="0" w:firstRowLastColumn="0" w:lastRowFirstColumn="0" w:lastRowLastColumn="0"/>
            </w:pPr>
            <w:r>
              <w:t xml:space="preserve">Apart from the exceptions listed below, keep for </w:t>
            </w:r>
            <w:r w:rsidRPr="003E0458">
              <w:rPr>
                <w:b/>
              </w:rPr>
              <w:t>six years</w:t>
            </w:r>
            <w:r>
              <w:t xml:space="preserve"> from date case is </w:t>
            </w:r>
            <w:r w:rsidR="00197B8B">
              <w:t>closed</w:t>
            </w:r>
            <w:r>
              <w:t xml:space="preserve"> and then destroy.</w:t>
            </w:r>
          </w:p>
          <w:p w14:paraId="7430C2B6" w14:textId="77777777" w:rsidR="001536FA" w:rsidRDefault="001536FA" w:rsidP="001536FA">
            <w:pPr>
              <w:pStyle w:val="Text"/>
              <w:spacing w:after="0"/>
              <w:cnfStyle w:val="000000000000" w:firstRow="0" w:lastRow="0" w:firstColumn="0" w:lastColumn="0" w:oddVBand="0" w:evenVBand="0" w:oddHBand="0" w:evenHBand="0" w:firstRowFirstColumn="0" w:firstRowLastColumn="0" w:lastRowFirstColumn="0" w:lastRowLastColumn="0"/>
            </w:pPr>
          </w:p>
          <w:p w14:paraId="0DAABC80" w14:textId="77777777" w:rsidR="001536FA" w:rsidRDefault="001536FA" w:rsidP="001536FA">
            <w:pPr>
              <w:pStyle w:val="Text"/>
              <w:spacing w:after="0"/>
              <w:cnfStyle w:val="000000000000" w:firstRow="0" w:lastRow="0" w:firstColumn="0" w:lastColumn="0" w:oddVBand="0" w:evenVBand="0" w:oddHBand="0" w:evenHBand="0" w:firstRowFirstColumn="0" w:firstRowLastColumn="0" w:lastRowFirstColumn="0" w:lastRowLastColumn="0"/>
              <w:rPr>
                <w:b/>
              </w:rPr>
            </w:pPr>
            <w:r>
              <w:rPr>
                <w:b/>
              </w:rPr>
              <w:t>Exceptions</w:t>
            </w:r>
          </w:p>
          <w:p w14:paraId="6A0E420E" w14:textId="77777777" w:rsidR="001536FA" w:rsidRDefault="001536FA" w:rsidP="001536FA">
            <w:pPr>
              <w:pStyle w:val="Text"/>
              <w:spacing w:after="0"/>
              <w:cnfStyle w:val="000000000000" w:firstRow="0" w:lastRow="0" w:firstColumn="0" w:lastColumn="0" w:oddVBand="0" w:evenVBand="0" w:oddHBand="0" w:evenHBand="0" w:firstRowFirstColumn="0" w:firstRowLastColumn="0" w:lastRowFirstColumn="0" w:lastRowLastColumn="0"/>
            </w:pPr>
            <w:r>
              <w:t xml:space="preserve">a) If the Official Solicitor is appointed to act for a client who is a minor, </w:t>
            </w:r>
            <w:r w:rsidRPr="003E0458">
              <w:rPr>
                <w:b/>
              </w:rPr>
              <w:t>destroy on the Client’s 24th birthday</w:t>
            </w:r>
            <w:r>
              <w:t xml:space="preserve">. </w:t>
            </w:r>
          </w:p>
          <w:p w14:paraId="4008FED5" w14:textId="77777777" w:rsidR="001536FA" w:rsidRDefault="001536FA" w:rsidP="001536FA">
            <w:pPr>
              <w:pStyle w:val="Text"/>
              <w:spacing w:after="0"/>
              <w:cnfStyle w:val="000000000000" w:firstRow="0" w:lastRow="0" w:firstColumn="0" w:lastColumn="0" w:oddVBand="0" w:evenVBand="0" w:oddHBand="0" w:evenHBand="0" w:firstRowFirstColumn="0" w:firstRowLastColumn="0" w:lastRowFirstColumn="0" w:lastRowLastColumn="0"/>
            </w:pPr>
            <w:r>
              <w:t>b) Cases that have a charge on the property are reconciled with the Charges spreadsheet and outstanding costs. Once the charge is removed the case can be destroyed as per the case type retention criteria.</w:t>
            </w:r>
          </w:p>
          <w:p w14:paraId="342512DD" w14:textId="77777777" w:rsidR="001536FA" w:rsidRDefault="001536FA" w:rsidP="001536FA">
            <w:pPr>
              <w:pStyle w:val="Text"/>
              <w:spacing w:after="0"/>
              <w:cnfStyle w:val="000000000000" w:firstRow="0" w:lastRow="0" w:firstColumn="0" w:lastColumn="0" w:oddVBand="0" w:evenVBand="0" w:oddHBand="0" w:evenHBand="0" w:firstRowFirstColumn="0" w:firstRowLastColumn="0" w:lastRowFirstColumn="0" w:lastRowLastColumn="0"/>
            </w:pPr>
            <w:r>
              <w:t>c) Rejected or void cases are kept for</w:t>
            </w:r>
            <w:r w:rsidRPr="003E0458">
              <w:rPr>
                <w:b/>
              </w:rPr>
              <w:t xml:space="preserve"> six months</w:t>
            </w:r>
            <w:r>
              <w:t xml:space="preserve"> and then destroyed.</w:t>
            </w:r>
          </w:p>
          <w:p w14:paraId="0D5167D4" w14:textId="77777777" w:rsidR="00613199" w:rsidRDefault="00613199" w:rsidP="000A6C08">
            <w:pPr>
              <w:pStyle w:val="Text"/>
              <w:spacing w:after="0"/>
              <w:cnfStyle w:val="000000000000" w:firstRow="0" w:lastRow="0" w:firstColumn="0" w:lastColumn="0" w:oddVBand="0" w:evenVBand="0" w:oddHBand="0" w:evenHBand="0" w:firstRowFirstColumn="0" w:firstRowLastColumn="0" w:lastRowFirstColumn="0" w:lastRowLastColumn="0"/>
            </w:pPr>
          </w:p>
        </w:tc>
      </w:tr>
      <w:tr w:rsidR="00197B8B" w14:paraId="634F2E69" w14:textId="77777777" w:rsidTr="00F71656">
        <w:tc>
          <w:tcPr>
            <w:cnfStyle w:val="001000000000" w:firstRow="0" w:lastRow="0" w:firstColumn="1" w:lastColumn="0" w:oddVBand="0" w:evenVBand="0" w:oddHBand="0" w:evenHBand="0" w:firstRowFirstColumn="0" w:firstRowLastColumn="0" w:lastRowFirstColumn="0" w:lastRowLastColumn="0"/>
            <w:tcW w:w="846" w:type="dxa"/>
            <w:vAlign w:val="center"/>
          </w:tcPr>
          <w:p w14:paraId="7B3A285F" w14:textId="77777777" w:rsidR="00197B8B" w:rsidRDefault="00197B8B" w:rsidP="00197B8B">
            <w:pPr>
              <w:pStyle w:val="Text"/>
              <w:spacing w:after="0"/>
              <w:ind w:left="360"/>
            </w:pPr>
          </w:p>
        </w:tc>
        <w:tc>
          <w:tcPr>
            <w:tcW w:w="3544" w:type="dxa"/>
            <w:vAlign w:val="center"/>
          </w:tcPr>
          <w:p w14:paraId="012BCF0F" w14:textId="77777777" w:rsidR="00197B8B" w:rsidRDefault="00197B8B" w:rsidP="000A6C08">
            <w:pPr>
              <w:pStyle w:val="Text"/>
              <w:spacing w:after="0"/>
              <w:cnfStyle w:val="000000000000" w:firstRow="0" w:lastRow="0" w:firstColumn="0" w:lastColumn="0" w:oddVBand="0" w:evenVBand="0" w:oddHBand="0" w:evenHBand="0" w:firstRowFirstColumn="0" w:firstRowLastColumn="0" w:lastRowFirstColumn="0" w:lastRowLastColumn="0"/>
            </w:pPr>
          </w:p>
          <w:p w14:paraId="08B32062" w14:textId="77777777" w:rsidR="00197B8B" w:rsidRDefault="00197B8B" w:rsidP="000A6C08">
            <w:pPr>
              <w:pStyle w:val="Text"/>
              <w:spacing w:after="0"/>
              <w:cnfStyle w:val="000000000000" w:firstRow="0" w:lastRow="0" w:firstColumn="0" w:lastColumn="0" w:oddVBand="0" w:evenVBand="0" w:oddHBand="0" w:evenHBand="0" w:firstRowFirstColumn="0" w:firstRowLastColumn="0" w:lastRowFirstColumn="0" w:lastRowLastColumn="0"/>
            </w:pPr>
          </w:p>
          <w:p w14:paraId="5AEE1057" w14:textId="77777777" w:rsidR="00197B8B" w:rsidRDefault="00197B8B" w:rsidP="000A6C08">
            <w:pPr>
              <w:pStyle w:val="Text"/>
              <w:spacing w:after="0"/>
              <w:cnfStyle w:val="000000000000" w:firstRow="0" w:lastRow="0" w:firstColumn="0" w:lastColumn="0" w:oddVBand="0" w:evenVBand="0" w:oddHBand="0" w:evenHBand="0" w:firstRowFirstColumn="0" w:firstRowLastColumn="0" w:lastRowFirstColumn="0" w:lastRowLastColumn="0"/>
            </w:pPr>
          </w:p>
        </w:tc>
        <w:tc>
          <w:tcPr>
            <w:tcW w:w="5238" w:type="dxa"/>
            <w:vAlign w:val="center"/>
          </w:tcPr>
          <w:p w14:paraId="79F5BC8C" w14:textId="77777777" w:rsidR="00197B8B" w:rsidRDefault="00197B8B" w:rsidP="000A6C08">
            <w:pPr>
              <w:pStyle w:val="Text"/>
              <w:spacing w:after="0"/>
              <w:cnfStyle w:val="000000000000" w:firstRow="0" w:lastRow="0" w:firstColumn="0" w:lastColumn="0" w:oddVBand="0" w:evenVBand="0" w:oddHBand="0" w:evenHBand="0" w:firstRowFirstColumn="0" w:firstRowLastColumn="0" w:lastRowFirstColumn="0" w:lastRowLastColumn="0"/>
            </w:pPr>
          </w:p>
        </w:tc>
      </w:tr>
      <w:tr w:rsidR="00613199" w14:paraId="2D28AFEF" w14:textId="77777777" w:rsidTr="00F71656">
        <w:tc>
          <w:tcPr>
            <w:cnfStyle w:val="001000000000" w:firstRow="0" w:lastRow="0" w:firstColumn="1" w:lastColumn="0" w:oddVBand="0" w:evenVBand="0" w:oddHBand="0" w:evenHBand="0" w:firstRowFirstColumn="0" w:firstRowLastColumn="0" w:lastRowFirstColumn="0" w:lastRowLastColumn="0"/>
            <w:tcW w:w="846" w:type="dxa"/>
            <w:vAlign w:val="center"/>
          </w:tcPr>
          <w:p w14:paraId="6FB44D2E" w14:textId="77777777" w:rsidR="00613199" w:rsidRDefault="00613199" w:rsidP="00153013">
            <w:pPr>
              <w:pStyle w:val="Text"/>
              <w:numPr>
                <w:ilvl w:val="0"/>
                <w:numId w:val="11"/>
              </w:numPr>
              <w:spacing w:after="0"/>
            </w:pPr>
          </w:p>
        </w:tc>
        <w:tc>
          <w:tcPr>
            <w:tcW w:w="3544" w:type="dxa"/>
            <w:vAlign w:val="center"/>
          </w:tcPr>
          <w:p w14:paraId="7301D226" w14:textId="77777777" w:rsidR="00613199" w:rsidRDefault="00613199" w:rsidP="000A6C08">
            <w:pPr>
              <w:pStyle w:val="Text"/>
              <w:spacing w:after="0"/>
              <w:cnfStyle w:val="000000000000" w:firstRow="0" w:lastRow="0" w:firstColumn="0" w:lastColumn="0" w:oddVBand="0" w:evenVBand="0" w:oddHBand="0" w:evenHBand="0" w:firstRowFirstColumn="0" w:firstRowLastColumn="0" w:lastRowFirstColumn="0" w:lastRowLastColumn="0"/>
            </w:pPr>
          </w:p>
          <w:p w14:paraId="27E7E023" w14:textId="77777777" w:rsidR="00495F42" w:rsidRDefault="00495F42" w:rsidP="00F71656">
            <w:pPr>
              <w:tabs>
                <w:tab w:val="left" w:pos="-720"/>
              </w:tabs>
              <w:suppressAutoHyphens/>
              <w:cnfStyle w:val="000000000000" w:firstRow="0" w:lastRow="0" w:firstColumn="0" w:lastColumn="0" w:oddVBand="0" w:evenVBand="0" w:oddHBand="0" w:evenHBand="0" w:firstRowFirstColumn="0" w:firstRowLastColumn="0" w:lastRowFirstColumn="0" w:lastRowLastColumn="0"/>
            </w:pPr>
            <w:r>
              <w:rPr>
                <w:rFonts w:ascii="Arial" w:hAnsi="Arial"/>
                <w:spacing w:val="-2"/>
                <w:sz w:val="22"/>
              </w:rPr>
              <w:t xml:space="preserve">Judicial Trustee cases </w:t>
            </w:r>
          </w:p>
        </w:tc>
        <w:tc>
          <w:tcPr>
            <w:tcW w:w="5238" w:type="dxa"/>
            <w:vAlign w:val="center"/>
          </w:tcPr>
          <w:p w14:paraId="058E5A96" w14:textId="77777777" w:rsidR="00495F42" w:rsidRDefault="00495F42" w:rsidP="000A6C08">
            <w:pPr>
              <w:pStyle w:val="Text"/>
              <w:spacing w:after="0"/>
              <w:cnfStyle w:val="000000000000" w:firstRow="0" w:lastRow="0" w:firstColumn="0" w:lastColumn="0" w:oddVBand="0" w:evenVBand="0" w:oddHBand="0" w:evenHBand="0" w:firstRowFirstColumn="0" w:firstRowLastColumn="0" w:lastRowFirstColumn="0" w:lastRowLastColumn="0"/>
            </w:pPr>
          </w:p>
          <w:p w14:paraId="4135E4FD" w14:textId="243201F2" w:rsidR="00495F42" w:rsidRDefault="008322F9" w:rsidP="000A6C08">
            <w:pPr>
              <w:pStyle w:val="Text"/>
              <w:spacing w:after="0"/>
              <w:cnfStyle w:val="000000000000" w:firstRow="0" w:lastRow="0" w:firstColumn="0" w:lastColumn="0" w:oddVBand="0" w:evenVBand="0" w:oddHBand="0" w:evenHBand="0" w:firstRowFirstColumn="0" w:firstRowLastColumn="0" w:lastRowFirstColumn="0" w:lastRowLastColumn="0"/>
            </w:pPr>
            <w:r>
              <w:t>Keep</w:t>
            </w:r>
            <w:r w:rsidR="00E60A21">
              <w:t xml:space="preserve"> for </w:t>
            </w:r>
            <w:r w:rsidR="00E60A21" w:rsidRPr="00E60A21">
              <w:rPr>
                <w:b/>
              </w:rPr>
              <w:t>100 years</w:t>
            </w:r>
            <w:r w:rsidR="00E60A21">
              <w:t xml:space="preserve"> from the final distribution and closure of the case.</w:t>
            </w:r>
            <w:r w:rsidR="00495F42">
              <w:t xml:space="preserve"> </w:t>
            </w:r>
          </w:p>
          <w:p w14:paraId="01854DE5" w14:textId="5087C2D5" w:rsidR="00197B8B" w:rsidRDefault="00495F42" w:rsidP="00F71656">
            <w:pPr>
              <w:pStyle w:val="Text"/>
              <w:spacing w:after="0"/>
              <w:cnfStyle w:val="000000000000" w:firstRow="0" w:lastRow="0" w:firstColumn="0" w:lastColumn="0" w:oddVBand="0" w:evenVBand="0" w:oddHBand="0" w:evenHBand="0" w:firstRowFirstColumn="0" w:firstRowLastColumn="0" w:lastRowFirstColumn="0" w:lastRowLastColumn="0"/>
            </w:pPr>
            <w:r>
              <w:t>Transfer to offsite storage on completion of the case.</w:t>
            </w:r>
          </w:p>
          <w:p w14:paraId="2C936223" w14:textId="77777777" w:rsidR="00187EB5" w:rsidRPr="00521272" w:rsidRDefault="00187EB5" w:rsidP="00F71656">
            <w:pPr>
              <w:pStyle w:val="Text"/>
              <w:spacing w:after="0"/>
              <w:cnfStyle w:val="000000000000" w:firstRow="0" w:lastRow="0" w:firstColumn="0" w:lastColumn="0" w:oddVBand="0" w:evenVBand="0" w:oddHBand="0" w:evenHBand="0" w:firstRowFirstColumn="0" w:firstRowLastColumn="0" w:lastRowFirstColumn="0" w:lastRowLastColumn="0"/>
              <w:rPr>
                <w:color w:val="FF0000"/>
              </w:rPr>
            </w:pPr>
          </w:p>
        </w:tc>
      </w:tr>
      <w:tr w:rsidR="00613199" w14:paraId="53ABF2F6" w14:textId="77777777" w:rsidTr="000A6C08">
        <w:tc>
          <w:tcPr>
            <w:cnfStyle w:val="001000000000" w:firstRow="0" w:lastRow="0" w:firstColumn="1" w:lastColumn="0" w:oddVBand="0" w:evenVBand="0" w:oddHBand="0" w:evenHBand="0" w:firstRowFirstColumn="0" w:firstRowLastColumn="0" w:lastRowFirstColumn="0" w:lastRowLastColumn="0"/>
            <w:tcW w:w="9628" w:type="dxa"/>
            <w:gridSpan w:val="3"/>
            <w:vAlign w:val="center"/>
          </w:tcPr>
          <w:p w14:paraId="0CF23ECA" w14:textId="77777777" w:rsidR="00F71656" w:rsidRDefault="00F71656" w:rsidP="000A6C08">
            <w:pPr>
              <w:pStyle w:val="Text"/>
              <w:spacing w:after="0"/>
              <w:jc w:val="center"/>
            </w:pPr>
          </w:p>
          <w:p w14:paraId="445F927D" w14:textId="77777777" w:rsidR="00613199" w:rsidRDefault="00613199" w:rsidP="000A6C08">
            <w:pPr>
              <w:pStyle w:val="Text"/>
              <w:spacing w:after="0"/>
              <w:jc w:val="center"/>
            </w:pPr>
            <w:r>
              <w:t>1</w:t>
            </w:r>
            <w:r w:rsidR="005969FA">
              <w:t>h</w:t>
            </w:r>
            <w:r>
              <w:t xml:space="preserve">. </w:t>
            </w:r>
            <w:r w:rsidR="005969FA" w:rsidRPr="005969FA">
              <w:t>P</w:t>
            </w:r>
            <w:r w:rsidR="005969FA">
              <w:t>ublic</w:t>
            </w:r>
            <w:r w:rsidR="005969FA" w:rsidRPr="005969FA">
              <w:t xml:space="preserve"> T</w:t>
            </w:r>
            <w:r w:rsidR="005969FA">
              <w:t xml:space="preserve">rustee </w:t>
            </w:r>
            <w:r w:rsidR="00512E5B">
              <w:t>–</w:t>
            </w:r>
            <w:r w:rsidR="005969FA" w:rsidRPr="005969FA">
              <w:t xml:space="preserve"> T</w:t>
            </w:r>
            <w:r w:rsidR="003904B9">
              <w:t>rust and Estates</w:t>
            </w:r>
          </w:p>
          <w:p w14:paraId="2183ADB6" w14:textId="77777777" w:rsidR="00F71656" w:rsidRDefault="00F71656" w:rsidP="000A6C08">
            <w:pPr>
              <w:pStyle w:val="Text"/>
              <w:spacing w:after="0"/>
              <w:jc w:val="center"/>
            </w:pPr>
          </w:p>
        </w:tc>
      </w:tr>
      <w:tr w:rsidR="00613199" w14:paraId="53E36D41" w14:textId="77777777" w:rsidTr="00F71656">
        <w:tc>
          <w:tcPr>
            <w:cnfStyle w:val="001000000000" w:firstRow="0" w:lastRow="0" w:firstColumn="1" w:lastColumn="0" w:oddVBand="0" w:evenVBand="0" w:oddHBand="0" w:evenHBand="0" w:firstRowFirstColumn="0" w:firstRowLastColumn="0" w:lastRowFirstColumn="0" w:lastRowLastColumn="0"/>
            <w:tcW w:w="846" w:type="dxa"/>
            <w:vAlign w:val="center"/>
          </w:tcPr>
          <w:p w14:paraId="0694AB07" w14:textId="77777777" w:rsidR="00613199" w:rsidRPr="00515D84" w:rsidRDefault="00613199" w:rsidP="00495F42">
            <w:pPr>
              <w:pStyle w:val="Text"/>
              <w:numPr>
                <w:ilvl w:val="0"/>
                <w:numId w:val="11"/>
              </w:numPr>
              <w:spacing w:after="0"/>
            </w:pPr>
          </w:p>
        </w:tc>
        <w:tc>
          <w:tcPr>
            <w:tcW w:w="3544" w:type="dxa"/>
            <w:vAlign w:val="center"/>
          </w:tcPr>
          <w:p w14:paraId="1071CEFD" w14:textId="77777777" w:rsidR="00613199" w:rsidRPr="00515D84" w:rsidRDefault="00613199" w:rsidP="000A6C08">
            <w:pPr>
              <w:pStyle w:val="Text"/>
              <w:spacing w:after="0"/>
              <w:cnfStyle w:val="000000000000" w:firstRow="0" w:lastRow="0" w:firstColumn="0" w:lastColumn="0" w:oddVBand="0" w:evenVBand="0" w:oddHBand="0" w:evenHBand="0" w:firstRowFirstColumn="0" w:firstRowLastColumn="0" w:lastRowFirstColumn="0" w:lastRowLastColumn="0"/>
            </w:pPr>
          </w:p>
          <w:p w14:paraId="791E7029" w14:textId="77777777" w:rsidR="005969FA" w:rsidRPr="00515D84" w:rsidRDefault="005969FA" w:rsidP="000A6C08">
            <w:pPr>
              <w:pStyle w:val="Text"/>
              <w:spacing w:after="0"/>
              <w:cnfStyle w:val="000000000000" w:firstRow="0" w:lastRow="0" w:firstColumn="0" w:lastColumn="0" w:oddVBand="0" w:evenVBand="0" w:oddHBand="0" w:evenHBand="0" w:firstRowFirstColumn="0" w:firstRowLastColumn="0" w:lastRowFirstColumn="0" w:lastRowLastColumn="0"/>
              <w:rPr>
                <w:spacing w:val="-2"/>
              </w:rPr>
            </w:pPr>
            <w:r w:rsidRPr="00515D84">
              <w:rPr>
                <w:spacing w:val="-2"/>
              </w:rPr>
              <w:t>Trustee cases</w:t>
            </w:r>
          </w:p>
          <w:p w14:paraId="1FC1D433" w14:textId="77777777" w:rsidR="00D04540" w:rsidRDefault="005B2A53" w:rsidP="000A6C08">
            <w:pPr>
              <w:pStyle w:val="Text"/>
              <w:spacing w:after="0"/>
              <w:cnfStyle w:val="000000000000" w:firstRow="0" w:lastRow="0" w:firstColumn="0" w:lastColumn="0" w:oddVBand="0" w:evenVBand="0" w:oddHBand="0" w:evenHBand="0" w:firstRowFirstColumn="0" w:firstRowLastColumn="0" w:lastRowFirstColumn="0" w:lastRowLastColumn="0"/>
              <w:rPr>
                <w:spacing w:val="-2"/>
              </w:rPr>
            </w:pPr>
            <w:r w:rsidRPr="00515D84">
              <w:rPr>
                <w:spacing w:val="-2"/>
              </w:rPr>
              <w:t xml:space="preserve">a) </w:t>
            </w:r>
            <w:r w:rsidR="00D04540">
              <w:rPr>
                <w:spacing w:val="-2"/>
              </w:rPr>
              <w:t>Trust deeds</w:t>
            </w:r>
          </w:p>
          <w:p w14:paraId="69F67361" w14:textId="77777777" w:rsidR="00D14AD9" w:rsidRPr="00515D84" w:rsidRDefault="00D14AD9" w:rsidP="000A6C08">
            <w:pPr>
              <w:pStyle w:val="Text"/>
              <w:spacing w:after="0"/>
              <w:cnfStyle w:val="000000000000" w:firstRow="0" w:lastRow="0" w:firstColumn="0" w:lastColumn="0" w:oddVBand="0" w:evenVBand="0" w:oddHBand="0" w:evenHBand="0" w:firstRowFirstColumn="0" w:firstRowLastColumn="0" w:lastRowFirstColumn="0" w:lastRowLastColumn="0"/>
              <w:rPr>
                <w:spacing w:val="-2"/>
              </w:rPr>
            </w:pPr>
            <w:r w:rsidRPr="00515D84">
              <w:rPr>
                <w:spacing w:val="-2"/>
              </w:rPr>
              <w:t xml:space="preserve">b) </w:t>
            </w:r>
            <w:r w:rsidR="00512E5B" w:rsidRPr="00515D84">
              <w:rPr>
                <w:spacing w:val="-2"/>
              </w:rPr>
              <w:t>Account records</w:t>
            </w:r>
          </w:p>
          <w:p w14:paraId="2EB53BB0" w14:textId="77777777" w:rsidR="00DD2815" w:rsidRDefault="00DD2815" w:rsidP="000A6C08">
            <w:pPr>
              <w:pStyle w:val="Text"/>
              <w:spacing w:after="0"/>
              <w:cnfStyle w:val="000000000000" w:firstRow="0" w:lastRow="0" w:firstColumn="0" w:lastColumn="0" w:oddVBand="0" w:evenVBand="0" w:oddHBand="0" w:evenHBand="0" w:firstRowFirstColumn="0" w:firstRowLastColumn="0" w:lastRowFirstColumn="0" w:lastRowLastColumn="0"/>
              <w:rPr>
                <w:spacing w:val="-2"/>
              </w:rPr>
            </w:pPr>
            <w:r w:rsidRPr="00515D84">
              <w:rPr>
                <w:spacing w:val="-2"/>
              </w:rPr>
              <w:t xml:space="preserve">c) Wills </w:t>
            </w:r>
            <w:r w:rsidR="004563AF" w:rsidRPr="00515D84">
              <w:rPr>
                <w:spacing w:val="-2"/>
              </w:rPr>
              <w:t xml:space="preserve">&amp; letters of </w:t>
            </w:r>
            <w:r w:rsidR="00515D84" w:rsidRPr="00515D84">
              <w:rPr>
                <w:spacing w:val="-2"/>
              </w:rPr>
              <w:t>administration</w:t>
            </w:r>
          </w:p>
          <w:p w14:paraId="79BF948B" w14:textId="77777777" w:rsidR="005969FA" w:rsidRPr="00D04540" w:rsidRDefault="00D04540" w:rsidP="000A6C08">
            <w:pPr>
              <w:pStyle w:val="Text"/>
              <w:spacing w:after="0"/>
              <w:cnfStyle w:val="000000000000" w:firstRow="0" w:lastRow="0" w:firstColumn="0" w:lastColumn="0" w:oddVBand="0" w:evenVBand="0" w:oddHBand="0" w:evenHBand="0" w:firstRowFirstColumn="0" w:firstRowLastColumn="0" w:lastRowFirstColumn="0" w:lastRowLastColumn="0"/>
              <w:rPr>
                <w:spacing w:val="-2"/>
              </w:rPr>
            </w:pPr>
            <w:r>
              <w:rPr>
                <w:spacing w:val="-2"/>
              </w:rPr>
              <w:t xml:space="preserve">d) </w:t>
            </w:r>
            <w:r w:rsidRPr="00515D84">
              <w:rPr>
                <w:spacing w:val="-2"/>
              </w:rPr>
              <w:t>Correspondence</w:t>
            </w:r>
          </w:p>
        </w:tc>
        <w:tc>
          <w:tcPr>
            <w:tcW w:w="5238" w:type="dxa"/>
            <w:vAlign w:val="center"/>
          </w:tcPr>
          <w:p w14:paraId="45B28EE2" w14:textId="77777777" w:rsidR="00512E5B" w:rsidRDefault="00512E5B" w:rsidP="000A6C08">
            <w:pPr>
              <w:pStyle w:val="Text"/>
              <w:spacing w:after="0"/>
              <w:cnfStyle w:val="000000000000" w:firstRow="0" w:lastRow="0" w:firstColumn="0" w:lastColumn="0" w:oddVBand="0" w:evenVBand="0" w:oddHBand="0" w:evenHBand="0" w:firstRowFirstColumn="0" w:firstRowLastColumn="0" w:lastRowFirstColumn="0" w:lastRowLastColumn="0"/>
            </w:pPr>
          </w:p>
          <w:p w14:paraId="6E204DA3" w14:textId="77777777" w:rsidR="00613199" w:rsidRDefault="00512E5B" w:rsidP="000A6C08">
            <w:pPr>
              <w:pStyle w:val="Text"/>
              <w:spacing w:after="0"/>
              <w:cnfStyle w:val="000000000000" w:firstRow="0" w:lastRow="0" w:firstColumn="0" w:lastColumn="0" w:oddVBand="0" w:evenVBand="0" w:oddHBand="0" w:evenHBand="0" w:firstRowFirstColumn="0" w:firstRowLastColumn="0" w:lastRowFirstColumn="0" w:lastRowLastColumn="0"/>
            </w:pPr>
            <w:r>
              <w:t xml:space="preserve">a) </w:t>
            </w:r>
            <w:r w:rsidR="00D04540">
              <w:t>Permanently retained by OSPT</w:t>
            </w:r>
            <w:r w:rsidR="00D04540">
              <w:rPr>
                <w:rStyle w:val="FootnoteReference"/>
              </w:rPr>
              <w:footnoteReference w:id="4"/>
            </w:r>
          </w:p>
          <w:p w14:paraId="684F68BD" w14:textId="77777777" w:rsidR="00512E5B" w:rsidRDefault="00512E5B" w:rsidP="00512E5B">
            <w:pPr>
              <w:pStyle w:val="Text"/>
              <w:spacing w:after="0"/>
              <w:cnfStyle w:val="000000000000" w:firstRow="0" w:lastRow="0" w:firstColumn="0" w:lastColumn="0" w:oddVBand="0" w:evenVBand="0" w:oddHBand="0" w:evenHBand="0" w:firstRowFirstColumn="0" w:firstRowLastColumn="0" w:lastRowFirstColumn="0" w:lastRowLastColumn="0"/>
            </w:pPr>
          </w:p>
          <w:p w14:paraId="497204AF" w14:textId="77777777" w:rsidR="004563AF" w:rsidRDefault="00512E5B" w:rsidP="00512E5B">
            <w:pPr>
              <w:pStyle w:val="Text"/>
              <w:spacing w:after="0"/>
              <w:cnfStyle w:val="000000000000" w:firstRow="0" w:lastRow="0" w:firstColumn="0" w:lastColumn="0" w:oddVBand="0" w:evenVBand="0" w:oddHBand="0" w:evenHBand="0" w:firstRowFirstColumn="0" w:firstRowLastColumn="0" w:lastRowFirstColumn="0" w:lastRowLastColumn="0"/>
            </w:pPr>
            <w:r>
              <w:t xml:space="preserve">b) Keep for </w:t>
            </w:r>
            <w:r>
              <w:rPr>
                <w:b/>
              </w:rPr>
              <w:t>six years</w:t>
            </w:r>
            <w:r w:rsidRPr="00512E5B">
              <w:t>.</w:t>
            </w:r>
            <w:r>
              <w:t xml:space="preserve"> </w:t>
            </w:r>
          </w:p>
          <w:p w14:paraId="362A883D" w14:textId="77777777" w:rsidR="004563AF" w:rsidRPr="004563AF" w:rsidRDefault="00512E5B" w:rsidP="00512E5B">
            <w:pPr>
              <w:pStyle w:val="Text"/>
              <w:spacing w:after="0"/>
              <w:cnfStyle w:val="000000000000" w:firstRow="0" w:lastRow="0" w:firstColumn="0" w:lastColumn="0" w:oddVBand="0" w:evenVBand="0" w:oddHBand="0" w:evenHBand="0" w:firstRowFirstColumn="0" w:firstRowLastColumn="0" w:lastRowFirstColumn="0" w:lastRowLastColumn="0"/>
              <w:rPr>
                <w:color w:val="FF0000"/>
                <w:spacing w:val="-2"/>
              </w:rPr>
            </w:pPr>
            <w:r>
              <w:t>Keep t</w:t>
            </w:r>
            <w:r w:rsidRPr="0097567F">
              <w:rPr>
                <w:spacing w:val="-2"/>
              </w:rPr>
              <w:t xml:space="preserve">he first and last/distribution account which </w:t>
            </w:r>
            <w:r>
              <w:rPr>
                <w:spacing w:val="-2"/>
              </w:rPr>
              <w:t xml:space="preserve">are permanently </w:t>
            </w:r>
            <w:r w:rsidRPr="0097567F">
              <w:rPr>
                <w:spacing w:val="-2"/>
              </w:rPr>
              <w:t>retained along with the trust deeds</w:t>
            </w:r>
            <w:r w:rsidR="004563AF">
              <w:rPr>
                <w:spacing w:val="-2"/>
              </w:rPr>
              <w:t>.</w:t>
            </w:r>
          </w:p>
          <w:p w14:paraId="18B95DC3" w14:textId="77777777" w:rsidR="00512E5B" w:rsidRDefault="00512E5B" w:rsidP="00512E5B">
            <w:pPr>
              <w:pStyle w:val="Text"/>
              <w:spacing w:after="0"/>
              <w:cnfStyle w:val="000000000000" w:firstRow="0" w:lastRow="0" w:firstColumn="0" w:lastColumn="0" w:oddVBand="0" w:evenVBand="0" w:oddHBand="0" w:evenHBand="0" w:firstRowFirstColumn="0" w:firstRowLastColumn="0" w:lastRowFirstColumn="0" w:lastRowLastColumn="0"/>
              <w:rPr>
                <w:spacing w:val="-2"/>
              </w:rPr>
            </w:pPr>
            <w:r>
              <w:rPr>
                <w:spacing w:val="-2"/>
              </w:rPr>
              <w:t>Destroy the remainder of the record</w:t>
            </w:r>
            <w:r w:rsidRPr="0097567F">
              <w:rPr>
                <w:spacing w:val="-2"/>
              </w:rPr>
              <w:t>.</w:t>
            </w:r>
          </w:p>
          <w:p w14:paraId="1A4EADE6" w14:textId="77777777" w:rsidR="004563AF" w:rsidRDefault="004563AF" w:rsidP="00512E5B">
            <w:pPr>
              <w:pStyle w:val="Text"/>
              <w:spacing w:after="0"/>
              <w:cnfStyle w:val="000000000000" w:firstRow="0" w:lastRow="0" w:firstColumn="0" w:lastColumn="0" w:oddVBand="0" w:evenVBand="0" w:oddHBand="0" w:evenHBand="0" w:firstRowFirstColumn="0" w:firstRowLastColumn="0" w:lastRowFirstColumn="0" w:lastRowLastColumn="0"/>
              <w:rPr>
                <w:spacing w:val="-2"/>
              </w:rPr>
            </w:pPr>
          </w:p>
          <w:p w14:paraId="174883B0" w14:textId="2A089813" w:rsidR="008322F9" w:rsidRDefault="004563AF" w:rsidP="008322F9">
            <w:pPr>
              <w:pStyle w:val="Text"/>
              <w:spacing w:after="0"/>
              <w:cnfStyle w:val="000000000000" w:firstRow="0" w:lastRow="0" w:firstColumn="0" w:lastColumn="0" w:oddVBand="0" w:evenVBand="0" w:oddHBand="0" w:evenHBand="0" w:firstRowFirstColumn="0" w:firstRowLastColumn="0" w:lastRowFirstColumn="0" w:lastRowLastColumn="0"/>
            </w:pPr>
            <w:r>
              <w:rPr>
                <w:spacing w:val="-2"/>
              </w:rPr>
              <w:t>c</w:t>
            </w:r>
            <w:r w:rsidRPr="00515D84">
              <w:rPr>
                <w:spacing w:val="-2"/>
              </w:rPr>
              <w:t>)</w:t>
            </w:r>
            <w:r>
              <w:rPr>
                <w:color w:val="FF0000"/>
                <w:spacing w:val="-2"/>
              </w:rPr>
              <w:t xml:space="preserve"> </w:t>
            </w:r>
            <w:r w:rsidR="008322F9">
              <w:t xml:space="preserve">Keep for </w:t>
            </w:r>
            <w:r w:rsidR="008322F9" w:rsidRPr="00E60A21">
              <w:rPr>
                <w:b/>
              </w:rPr>
              <w:t>100 years</w:t>
            </w:r>
            <w:r w:rsidR="008322F9">
              <w:t xml:space="preserve"> from the final distribution and closure of the case. </w:t>
            </w:r>
          </w:p>
          <w:p w14:paraId="50B1C34C" w14:textId="171CF143" w:rsidR="00D04540" w:rsidRDefault="008322F9" w:rsidP="008322F9">
            <w:pPr>
              <w:pStyle w:val="Text"/>
              <w:spacing w:after="0"/>
              <w:cnfStyle w:val="000000000000" w:firstRow="0" w:lastRow="0" w:firstColumn="0" w:lastColumn="0" w:oddVBand="0" w:evenVBand="0" w:oddHBand="0" w:evenHBand="0" w:firstRowFirstColumn="0" w:firstRowLastColumn="0" w:lastRowFirstColumn="0" w:lastRowLastColumn="0"/>
            </w:pPr>
            <w:r>
              <w:t>Transfer to offsite storage on completion of the case</w:t>
            </w:r>
          </w:p>
          <w:p w14:paraId="4C6050BC" w14:textId="77777777" w:rsidR="008322F9" w:rsidRDefault="008322F9" w:rsidP="008322F9">
            <w:pPr>
              <w:pStyle w:val="Text"/>
              <w:spacing w:after="0"/>
              <w:cnfStyle w:val="000000000000" w:firstRow="0" w:lastRow="0" w:firstColumn="0" w:lastColumn="0" w:oddVBand="0" w:evenVBand="0" w:oddHBand="0" w:evenHBand="0" w:firstRowFirstColumn="0" w:firstRowLastColumn="0" w:lastRowFirstColumn="0" w:lastRowLastColumn="0"/>
            </w:pPr>
          </w:p>
          <w:p w14:paraId="4E9E0A1C" w14:textId="77777777" w:rsidR="00D04540" w:rsidRPr="004563AF" w:rsidRDefault="00D04540" w:rsidP="00512E5B">
            <w:pPr>
              <w:pStyle w:val="Text"/>
              <w:spacing w:after="0"/>
              <w:cnfStyle w:val="000000000000" w:firstRow="0" w:lastRow="0" w:firstColumn="0" w:lastColumn="0" w:oddVBand="0" w:evenVBand="0" w:oddHBand="0" w:evenHBand="0" w:firstRowFirstColumn="0" w:firstRowLastColumn="0" w:lastRowFirstColumn="0" w:lastRowLastColumn="0"/>
              <w:rPr>
                <w:color w:val="FF0000"/>
                <w:spacing w:val="-2"/>
              </w:rPr>
            </w:pPr>
            <w:r>
              <w:t xml:space="preserve">d) Keep for </w:t>
            </w:r>
            <w:r>
              <w:rPr>
                <w:b/>
              </w:rPr>
              <w:t>six years</w:t>
            </w:r>
            <w:r>
              <w:t xml:space="preserve"> from date case is marked as finished and then destroy.</w:t>
            </w:r>
          </w:p>
          <w:p w14:paraId="1FF6A34C" w14:textId="77777777" w:rsidR="00512E5B" w:rsidRPr="00512E5B" w:rsidRDefault="00512E5B" w:rsidP="00512E5B">
            <w:pPr>
              <w:pStyle w:val="Text"/>
              <w:spacing w:after="0"/>
              <w:cnfStyle w:val="000000000000" w:firstRow="0" w:lastRow="0" w:firstColumn="0" w:lastColumn="0" w:oddVBand="0" w:evenVBand="0" w:oddHBand="0" w:evenHBand="0" w:firstRowFirstColumn="0" w:firstRowLastColumn="0" w:lastRowFirstColumn="0" w:lastRowLastColumn="0"/>
            </w:pPr>
          </w:p>
        </w:tc>
      </w:tr>
      <w:tr w:rsidR="00613199" w14:paraId="621A3F34" w14:textId="77777777" w:rsidTr="00F71656">
        <w:tc>
          <w:tcPr>
            <w:cnfStyle w:val="001000000000" w:firstRow="0" w:lastRow="0" w:firstColumn="1" w:lastColumn="0" w:oddVBand="0" w:evenVBand="0" w:oddHBand="0" w:evenHBand="0" w:firstRowFirstColumn="0" w:firstRowLastColumn="0" w:lastRowFirstColumn="0" w:lastRowLastColumn="0"/>
            <w:tcW w:w="846" w:type="dxa"/>
            <w:vAlign w:val="center"/>
          </w:tcPr>
          <w:p w14:paraId="56E33DDD" w14:textId="77777777" w:rsidR="00613199" w:rsidRDefault="00613199" w:rsidP="00495F42">
            <w:pPr>
              <w:pStyle w:val="Text"/>
              <w:numPr>
                <w:ilvl w:val="0"/>
                <w:numId w:val="11"/>
              </w:numPr>
              <w:spacing w:after="0"/>
            </w:pPr>
          </w:p>
        </w:tc>
        <w:tc>
          <w:tcPr>
            <w:tcW w:w="3544" w:type="dxa"/>
            <w:vAlign w:val="center"/>
          </w:tcPr>
          <w:p w14:paraId="66C92CA9" w14:textId="77777777" w:rsidR="00613199" w:rsidRDefault="00613199" w:rsidP="000A6C08">
            <w:pPr>
              <w:pStyle w:val="Text"/>
              <w:spacing w:after="0"/>
              <w:cnfStyle w:val="000000000000" w:firstRow="0" w:lastRow="0" w:firstColumn="0" w:lastColumn="0" w:oddVBand="0" w:evenVBand="0" w:oddHBand="0" w:evenHBand="0" w:firstRowFirstColumn="0" w:firstRowLastColumn="0" w:lastRowFirstColumn="0" w:lastRowLastColumn="0"/>
            </w:pPr>
          </w:p>
          <w:p w14:paraId="4EC34661" w14:textId="77777777" w:rsidR="00512E5B" w:rsidRDefault="00512E5B" w:rsidP="000A6C08">
            <w:pPr>
              <w:pStyle w:val="Text"/>
              <w:spacing w:after="0"/>
              <w:cnfStyle w:val="000000000000" w:firstRow="0" w:lastRow="0" w:firstColumn="0" w:lastColumn="0" w:oddVBand="0" w:evenVBand="0" w:oddHBand="0" w:evenHBand="0" w:firstRowFirstColumn="0" w:firstRowLastColumn="0" w:lastRowFirstColumn="0" w:lastRowLastColumn="0"/>
              <w:rPr>
                <w:spacing w:val="-2"/>
              </w:rPr>
            </w:pPr>
            <w:r>
              <w:t xml:space="preserve">a) </w:t>
            </w:r>
            <w:r>
              <w:rPr>
                <w:spacing w:val="-2"/>
              </w:rPr>
              <w:t>Law of Property – notices affecting Land</w:t>
            </w:r>
          </w:p>
          <w:p w14:paraId="346FE229" w14:textId="77777777" w:rsidR="00512E5B" w:rsidRDefault="00512E5B" w:rsidP="000A6C08">
            <w:pPr>
              <w:pStyle w:val="Text"/>
              <w:spacing w:after="0"/>
              <w:cnfStyle w:val="000000000000" w:firstRow="0" w:lastRow="0" w:firstColumn="0" w:lastColumn="0" w:oddVBand="0" w:evenVBand="0" w:oddHBand="0" w:evenHBand="0" w:firstRowFirstColumn="0" w:firstRowLastColumn="0" w:lastRowFirstColumn="0" w:lastRowLastColumn="0"/>
              <w:rPr>
                <w:spacing w:val="-2"/>
              </w:rPr>
            </w:pPr>
            <w:r>
              <w:t xml:space="preserve">b) </w:t>
            </w:r>
            <w:r>
              <w:rPr>
                <w:spacing w:val="-2"/>
              </w:rPr>
              <w:t>Acceptance folders</w:t>
            </w:r>
          </w:p>
          <w:p w14:paraId="43442074" w14:textId="77777777" w:rsidR="00512E5B" w:rsidRDefault="00512E5B" w:rsidP="000A6C08">
            <w:pPr>
              <w:pStyle w:val="Text"/>
              <w:spacing w:after="0"/>
              <w:cnfStyle w:val="000000000000" w:firstRow="0" w:lastRow="0" w:firstColumn="0" w:lastColumn="0" w:oddVBand="0" w:evenVBand="0" w:oddHBand="0" w:evenHBand="0" w:firstRowFirstColumn="0" w:firstRowLastColumn="0" w:lastRowFirstColumn="0" w:lastRowLastColumn="0"/>
            </w:pPr>
          </w:p>
        </w:tc>
        <w:tc>
          <w:tcPr>
            <w:tcW w:w="5238" w:type="dxa"/>
            <w:vAlign w:val="center"/>
          </w:tcPr>
          <w:p w14:paraId="2650E44A" w14:textId="77777777" w:rsidR="008322F9" w:rsidRDefault="008322F9" w:rsidP="000A6C08">
            <w:pPr>
              <w:pStyle w:val="Text"/>
              <w:spacing w:after="0"/>
              <w:cnfStyle w:val="000000000000" w:firstRow="0" w:lastRow="0" w:firstColumn="0" w:lastColumn="0" w:oddVBand="0" w:evenVBand="0" w:oddHBand="0" w:evenHBand="0" w:firstRowFirstColumn="0" w:firstRowLastColumn="0" w:lastRowFirstColumn="0" w:lastRowLastColumn="0"/>
            </w:pPr>
          </w:p>
          <w:p w14:paraId="2EDDEC68" w14:textId="16CBDFAE" w:rsidR="00613199" w:rsidRPr="008322F9" w:rsidRDefault="004563AF" w:rsidP="000A6C08">
            <w:pPr>
              <w:pStyle w:val="Text"/>
              <w:spacing w:after="0"/>
              <w:cnfStyle w:val="000000000000" w:firstRow="0" w:lastRow="0" w:firstColumn="0" w:lastColumn="0" w:oddVBand="0" w:evenVBand="0" w:oddHBand="0" w:evenHBand="0" w:firstRowFirstColumn="0" w:firstRowLastColumn="0" w:lastRowFirstColumn="0" w:lastRowLastColumn="0"/>
            </w:pPr>
            <w:r w:rsidRPr="00D57290">
              <w:t xml:space="preserve">Keep for </w:t>
            </w:r>
            <w:r w:rsidRPr="00D57290">
              <w:rPr>
                <w:b/>
              </w:rPr>
              <w:t>six years</w:t>
            </w:r>
            <w:r w:rsidRPr="00D57290">
              <w:t xml:space="preserve"> and then destroy</w:t>
            </w:r>
          </w:p>
          <w:p w14:paraId="12C31C1D" w14:textId="77777777" w:rsidR="0019435E" w:rsidRPr="004563AF" w:rsidRDefault="0019435E" w:rsidP="000A6C08">
            <w:pPr>
              <w:pStyle w:val="Text"/>
              <w:spacing w:after="0"/>
              <w:cnfStyle w:val="000000000000" w:firstRow="0" w:lastRow="0" w:firstColumn="0" w:lastColumn="0" w:oddVBand="0" w:evenVBand="0" w:oddHBand="0" w:evenHBand="0" w:firstRowFirstColumn="0" w:firstRowLastColumn="0" w:lastRowFirstColumn="0" w:lastRowLastColumn="0"/>
              <w:rPr>
                <w:color w:val="FF0000"/>
              </w:rPr>
            </w:pPr>
          </w:p>
        </w:tc>
      </w:tr>
      <w:tr w:rsidR="005C182F" w14:paraId="0A760193" w14:textId="77777777" w:rsidTr="00A66FAC">
        <w:tc>
          <w:tcPr>
            <w:cnfStyle w:val="001000000000" w:firstRow="0" w:lastRow="0" w:firstColumn="1" w:lastColumn="0" w:oddVBand="0" w:evenVBand="0" w:oddHBand="0" w:evenHBand="0" w:firstRowFirstColumn="0" w:firstRowLastColumn="0" w:lastRowFirstColumn="0" w:lastRowLastColumn="0"/>
            <w:tcW w:w="9628" w:type="dxa"/>
            <w:gridSpan w:val="3"/>
            <w:vAlign w:val="center"/>
          </w:tcPr>
          <w:p w14:paraId="23F79059" w14:textId="77777777" w:rsidR="00F71656" w:rsidRDefault="00F71656" w:rsidP="00A66FAC">
            <w:pPr>
              <w:pStyle w:val="Text"/>
              <w:spacing w:after="0"/>
              <w:jc w:val="center"/>
            </w:pPr>
          </w:p>
          <w:p w14:paraId="6B6973BB" w14:textId="77777777" w:rsidR="005C182F" w:rsidRDefault="005C182F" w:rsidP="00A66FAC">
            <w:pPr>
              <w:pStyle w:val="Text"/>
              <w:spacing w:after="0"/>
              <w:jc w:val="center"/>
            </w:pPr>
            <w:r>
              <w:t>1i. OSPT corporate records</w:t>
            </w:r>
          </w:p>
          <w:p w14:paraId="4789BF20" w14:textId="77777777" w:rsidR="00F71656" w:rsidRDefault="00F71656" w:rsidP="00A66FAC">
            <w:pPr>
              <w:pStyle w:val="Text"/>
              <w:spacing w:after="0"/>
              <w:jc w:val="center"/>
            </w:pPr>
          </w:p>
        </w:tc>
      </w:tr>
      <w:tr w:rsidR="000D19AF" w14:paraId="7ACD2CC4" w14:textId="77777777" w:rsidTr="00F71656">
        <w:tc>
          <w:tcPr>
            <w:cnfStyle w:val="001000000000" w:firstRow="0" w:lastRow="0" w:firstColumn="1" w:lastColumn="0" w:oddVBand="0" w:evenVBand="0" w:oddHBand="0" w:evenHBand="0" w:firstRowFirstColumn="0" w:firstRowLastColumn="0" w:lastRowFirstColumn="0" w:lastRowLastColumn="0"/>
            <w:tcW w:w="846" w:type="dxa"/>
            <w:vAlign w:val="center"/>
          </w:tcPr>
          <w:p w14:paraId="6C271ACC" w14:textId="77777777" w:rsidR="000D19AF" w:rsidRDefault="000D19AF" w:rsidP="00495F42">
            <w:pPr>
              <w:pStyle w:val="Text"/>
              <w:numPr>
                <w:ilvl w:val="0"/>
                <w:numId w:val="11"/>
              </w:numPr>
              <w:spacing w:after="0"/>
            </w:pPr>
          </w:p>
        </w:tc>
        <w:tc>
          <w:tcPr>
            <w:tcW w:w="3544" w:type="dxa"/>
            <w:vAlign w:val="center"/>
          </w:tcPr>
          <w:p w14:paraId="333BFF5E" w14:textId="77777777" w:rsidR="00D16162" w:rsidRPr="0019435E" w:rsidRDefault="0094003D" w:rsidP="00303061">
            <w:pPr>
              <w:pStyle w:val="Text"/>
              <w:spacing w:after="0"/>
              <w:cnfStyle w:val="000000000000" w:firstRow="0" w:lastRow="0" w:firstColumn="0" w:lastColumn="0" w:oddVBand="0" w:evenVBand="0" w:oddHBand="0" w:evenHBand="0" w:firstRowFirstColumn="0" w:firstRowLastColumn="0" w:lastRowFirstColumn="0" w:lastRowLastColumn="0"/>
              <w:rPr>
                <w:dstrike/>
              </w:rPr>
            </w:pPr>
            <w:r>
              <w:t xml:space="preserve">a) </w:t>
            </w:r>
            <w:r w:rsidR="00D16162">
              <w:t>OSPT policies</w:t>
            </w:r>
          </w:p>
        </w:tc>
        <w:tc>
          <w:tcPr>
            <w:tcW w:w="5238" w:type="dxa"/>
            <w:vAlign w:val="center"/>
          </w:tcPr>
          <w:p w14:paraId="1FC08B59" w14:textId="77777777" w:rsidR="00580384" w:rsidRDefault="00580384" w:rsidP="00580384">
            <w:pPr>
              <w:pStyle w:val="Text"/>
              <w:spacing w:after="0"/>
              <w:cnfStyle w:val="000000000000" w:firstRow="0" w:lastRow="0" w:firstColumn="0" w:lastColumn="0" w:oddVBand="0" w:evenVBand="0" w:oddHBand="0" w:evenHBand="0" w:firstRowFirstColumn="0" w:firstRowLastColumn="0" w:lastRowFirstColumn="0" w:lastRowLastColumn="0"/>
            </w:pPr>
          </w:p>
          <w:p w14:paraId="38AE92C6" w14:textId="77777777" w:rsidR="00580384" w:rsidRPr="00303061" w:rsidRDefault="00303061" w:rsidP="00580384">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10 years</w:t>
            </w:r>
            <w:r>
              <w:t xml:space="preserve"> and then review:</w:t>
            </w:r>
          </w:p>
          <w:p w14:paraId="1C418DAC" w14:textId="77777777" w:rsidR="00303061" w:rsidRDefault="00303061" w:rsidP="00303061">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pPr>
            <w:r>
              <w:t>Where operationally relevant, keep for another ten years and repeat the process until the item is no longer needed.</w:t>
            </w:r>
          </w:p>
          <w:p w14:paraId="19E4CDDD" w14:textId="77777777" w:rsidR="00580384" w:rsidRDefault="00303061" w:rsidP="00580384">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pPr>
            <w:r>
              <w:t>Where no longer needed, destroy immediately.</w:t>
            </w:r>
          </w:p>
          <w:p w14:paraId="79BA4A9C" w14:textId="77777777" w:rsidR="000D19AF" w:rsidRDefault="00580384" w:rsidP="00580384">
            <w:pPr>
              <w:pStyle w:val="Text"/>
              <w:spacing w:after="0"/>
              <w:cnfStyle w:val="000000000000" w:firstRow="0" w:lastRow="0" w:firstColumn="0" w:lastColumn="0" w:oddVBand="0" w:evenVBand="0" w:oddHBand="0" w:evenHBand="0" w:firstRowFirstColumn="0" w:firstRowLastColumn="0" w:lastRowFirstColumn="0" w:lastRowLastColumn="0"/>
            </w:pPr>
            <w:r>
              <w:t xml:space="preserve"> </w:t>
            </w:r>
          </w:p>
        </w:tc>
      </w:tr>
      <w:tr w:rsidR="000D19AF" w14:paraId="645868C7" w14:textId="77777777" w:rsidTr="00F71656">
        <w:tc>
          <w:tcPr>
            <w:cnfStyle w:val="001000000000" w:firstRow="0" w:lastRow="0" w:firstColumn="1" w:lastColumn="0" w:oddVBand="0" w:evenVBand="0" w:oddHBand="0" w:evenHBand="0" w:firstRowFirstColumn="0" w:firstRowLastColumn="0" w:lastRowFirstColumn="0" w:lastRowLastColumn="0"/>
            <w:tcW w:w="846" w:type="dxa"/>
            <w:vAlign w:val="center"/>
          </w:tcPr>
          <w:p w14:paraId="2C3B6333" w14:textId="77777777" w:rsidR="000D19AF" w:rsidRDefault="000D19AF" w:rsidP="00495F42">
            <w:pPr>
              <w:pStyle w:val="Text"/>
              <w:numPr>
                <w:ilvl w:val="0"/>
                <w:numId w:val="11"/>
              </w:numPr>
              <w:spacing w:after="0"/>
            </w:pPr>
          </w:p>
        </w:tc>
        <w:tc>
          <w:tcPr>
            <w:tcW w:w="3544" w:type="dxa"/>
            <w:vAlign w:val="center"/>
          </w:tcPr>
          <w:p w14:paraId="7D596913" w14:textId="77777777" w:rsidR="000D19AF" w:rsidRPr="00303061" w:rsidRDefault="000D19AF" w:rsidP="000A6C08">
            <w:pPr>
              <w:pStyle w:val="Text"/>
              <w:spacing w:after="0"/>
              <w:cnfStyle w:val="000000000000" w:firstRow="0" w:lastRow="0" w:firstColumn="0" w:lastColumn="0" w:oddVBand="0" w:evenVBand="0" w:oddHBand="0" w:evenHBand="0" w:firstRowFirstColumn="0" w:firstRowLastColumn="0" w:lastRowFirstColumn="0" w:lastRowLastColumn="0"/>
              <w:rPr>
                <w:sz w:val="4"/>
              </w:rPr>
            </w:pPr>
          </w:p>
          <w:p w14:paraId="6A20FE07" w14:textId="77777777" w:rsidR="00303061" w:rsidRPr="00303061" w:rsidRDefault="00A06386" w:rsidP="00303061">
            <w:pPr>
              <w:pStyle w:val="Text"/>
              <w:spacing w:after="0"/>
              <w:cnfStyle w:val="000000000000" w:firstRow="0" w:lastRow="0" w:firstColumn="0" w:lastColumn="0" w:oddVBand="0" w:evenVBand="0" w:oddHBand="0" w:evenHBand="0" w:firstRowFirstColumn="0" w:firstRowLastColumn="0" w:lastRowFirstColumn="0" w:lastRowLastColumn="0"/>
              <w:rPr>
                <w:spacing w:val="-2"/>
              </w:rPr>
            </w:pPr>
            <w:r w:rsidRPr="00303061">
              <w:rPr>
                <w:spacing w:val="-2"/>
              </w:rPr>
              <w:t>Destruction log</w:t>
            </w:r>
            <w:r w:rsidR="00303061">
              <w:rPr>
                <w:spacing w:val="-2"/>
              </w:rPr>
              <w:t xml:space="preserve"> (including c</w:t>
            </w:r>
            <w:r w:rsidR="005C182F" w:rsidDel="00CC60B1">
              <w:rPr>
                <w:spacing w:val="-2"/>
              </w:rPr>
              <w:t xml:space="preserve">ase </w:t>
            </w:r>
            <w:r w:rsidR="00303061">
              <w:rPr>
                <w:spacing w:val="-2"/>
              </w:rPr>
              <w:t>m</w:t>
            </w:r>
            <w:r w:rsidR="005C182F" w:rsidDel="00CC60B1">
              <w:rPr>
                <w:spacing w:val="-2"/>
              </w:rPr>
              <w:t>etadata</w:t>
            </w:r>
            <w:r w:rsidR="00303061">
              <w:rPr>
                <w:spacing w:val="-2"/>
              </w:rPr>
              <w:t>)</w:t>
            </w:r>
          </w:p>
        </w:tc>
        <w:tc>
          <w:tcPr>
            <w:tcW w:w="5238" w:type="dxa"/>
            <w:vAlign w:val="center"/>
          </w:tcPr>
          <w:p w14:paraId="0EBE43C3" w14:textId="77777777" w:rsidR="00303061" w:rsidRDefault="00303061" w:rsidP="000A6C08">
            <w:pPr>
              <w:pStyle w:val="Text"/>
              <w:spacing w:after="0"/>
              <w:cnfStyle w:val="000000000000" w:firstRow="0" w:lastRow="0" w:firstColumn="0" w:lastColumn="0" w:oddVBand="0" w:evenVBand="0" w:oddHBand="0" w:evenHBand="0" w:firstRowFirstColumn="0" w:firstRowLastColumn="0" w:lastRowFirstColumn="0" w:lastRowLastColumn="0"/>
            </w:pPr>
          </w:p>
          <w:p w14:paraId="343A54ED" w14:textId="77777777" w:rsidR="000D19AF" w:rsidRDefault="00A06386" w:rsidP="00303061">
            <w:pPr>
              <w:pStyle w:val="Text"/>
              <w:spacing w:after="0"/>
              <w:cnfStyle w:val="000000000000" w:firstRow="0" w:lastRow="0" w:firstColumn="0" w:lastColumn="0" w:oddVBand="0" w:evenVBand="0" w:oddHBand="0" w:evenHBand="0" w:firstRowFirstColumn="0" w:firstRowLastColumn="0" w:lastRowFirstColumn="0" w:lastRowLastColumn="0"/>
            </w:pPr>
            <w:r w:rsidRPr="00303061">
              <w:t xml:space="preserve">Keep for </w:t>
            </w:r>
            <w:r w:rsidRPr="00303061">
              <w:rPr>
                <w:b/>
              </w:rPr>
              <w:t>99 years</w:t>
            </w:r>
            <w:r w:rsidRPr="00303061">
              <w:t xml:space="preserve"> and then destroy</w:t>
            </w:r>
          </w:p>
          <w:p w14:paraId="3CD8CDB5" w14:textId="77777777" w:rsidR="00303061" w:rsidRDefault="00303061" w:rsidP="00303061">
            <w:pPr>
              <w:pStyle w:val="Text"/>
              <w:spacing w:after="0"/>
              <w:cnfStyle w:val="000000000000" w:firstRow="0" w:lastRow="0" w:firstColumn="0" w:lastColumn="0" w:oddVBand="0" w:evenVBand="0" w:oddHBand="0" w:evenHBand="0" w:firstRowFirstColumn="0" w:firstRowLastColumn="0" w:lastRowFirstColumn="0" w:lastRowLastColumn="0"/>
            </w:pPr>
          </w:p>
        </w:tc>
      </w:tr>
      <w:tr w:rsidR="00E66A89" w14:paraId="7131CEBE" w14:textId="77777777" w:rsidTr="00F71656">
        <w:tc>
          <w:tcPr>
            <w:cnfStyle w:val="001000000000" w:firstRow="0" w:lastRow="0" w:firstColumn="1" w:lastColumn="0" w:oddVBand="0" w:evenVBand="0" w:oddHBand="0" w:evenHBand="0" w:firstRowFirstColumn="0" w:firstRowLastColumn="0" w:lastRowFirstColumn="0" w:lastRowLastColumn="0"/>
            <w:tcW w:w="846" w:type="dxa"/>
            <w:vAlign w:val="center"/>
          </w:tcPr>
          <w:p w14:paraId="2EB873D5" w14:textId="77777777" w:rsidR="00E66A89" w:rsidRDefault="00E66A89" w:rsidP="00613199">
            <w:pPr>
              <w:pStyle w:val="Text"/>
              <w:numPr>
                <w:ilvl w:val="0"/>
                <w:numId w:val="11"/>
              </w:numPr>
              <w:spacing w:after="0"/>
            </w:pPr>
          </w:p>
        </w:tc>
        <w:tc>
          <w:tcPr>
            <w:tcW w:w="3544" w:type="dxa"/>
            <w:vAlign w:val="center"/>
          </w:tcPr>
          <w:p w14:paraId="75408E8A"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p w14:paraId="48A92E02" w14:textId="77777777" w:rsidR="005C182F" w:rsidRDefault="005C182F" w:rsidP="00E66A89">
            <w:pPr>
              <w:pStyle w:val="Text"/>
              <w:spacing w:after="0"/>
              <w:cnfStyle w:val="000000000000" w:firstRow="0" w:lastRow="0" w:firstColumn="0" w:lastColumn="0" w:oddVBand="0" w:evenVBand="0" w:oddHBand="0" w:evenHBand="0" w:firstRowFirstColumn="0" w:firstRowLastColumn="0" w:lastRowFirstColumn="0" w:lastRowLastColumn="0"/>
              <w:rPr>
                <w:spacing w:val="-2"/>
              </w:rPr>
            </w:pPr>
            <w:r>
              <w:rPr>
                <w:spacing w:val="-2"/>
              </w:rPr>
              <w:t xml:space="preserve">Enquiry Matters – </w:t>
            </w:r>
            <w:r w:rsidR="00606C44">
              <w:rPr>
                <w:spacing w:val="-2"/>
              </w:rPr>
              <w:t>n</w:t>
            </w:r>
            <w:r>
              <w:rPr>
                <w:spacing w:val="-2"/>
              </w:rPr>
              <w:t xml:space="preserve">ew </w:t>
            </w:r>
            <w:r w:rsidR="00606C44">
              <w:rPr>
                <w:spacing w:val="-2"/>
              </w:rPr>
              <w:t>m</w:t>
            </w:r>
            <w:r>
              <w:rPr>
                <w:spacing w:val="-2"/>
              </w:rPr>
              <w:t>atter created annually to record enquires. If an enquiry becomes a case, then the record is transfer to the ‘live’ matter.</w:t>
            </w:r>
          </w:p>
          <w:p w14:paraId="1D56CF88" w14:textId="77777777" w:rsidR="005C182F" w:rsidRDefault="005C182F" w:rsidP="00E66A89">
            <w:pPr>
              <w:pStyle w:val="Text"/>
              <w:spacing w:after="0"/>
              <w:cnfStyle w:val="000000000000" w:firstRow="0" w:lastRow="0" w:firstColumn="0" w:lastColumn="0" w:oddVBand="0" w:evenVBand="0" w:oddHBand="0" w:evenHBand="0" w:firstRowFirstColumn="0" w:firstRowLastColumn="0" w:lastRowFirstColumn="0" w:lastRowLastColumn="0"/>
            </w:pPr>
          </w:p>
        </w:tc>
        <w:tc>
          <w:tcPr>
            <w:tcW w:w="5238" w:type="dxa"/>
            <w:vAlign w:val="center"/>
          </w:tcPr>
          <w:p w14:paraId="26644EDA" w14:textId="77777777" w:rsidR="00E66A89" w:rsidRPr="005C182F" w:rsidRDefault="005C182F" w:rsidP="00E66A89">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one year</w:t>
            </w:r>
            <w:r>
              <w:t xml:space="preserve"> after the matter is closed and then destroy.</w:t>
            </w:r>
          </w:p>
        </w:tc>
      </w:tr>
      <w:tr w:rsidR="00E66A89" w14:paraId="744B9B75" w14:textId="77777777" w:rsidTr="00C71D5F">
        <w:tc>
          <w:tcPr>
            <w:cnfStyle w:val="001000000000" w:firstRow="0" w:lastRow="0" w:firstColumn="1" w:lastColumn="0" w:oddVBand="0" w:evenVBand="0" w:oddHBand="0" w:evenHBand="0" w:firstRowFirstColumn="0" w:firstRowLastColumn="0" w:lastRowFirstColumn="0" w:lastRowLastColumn="0"/>
            <w:tcW w:w="9628" w:type="dxa"/>
            <w:gridSpan w:val="3"/>
            <w:vAlign w:val="center"/>
          </w:tcPr>
          <w:p w14:paraId="1ED54F27" w14:textId="77777777" w:rsidR="00E66A89" w:rsidRPr="00E66A89" w:rsidRDefault="00E66A89" w:rsidP="00E66A89">
            <w:pPr>
              <w:pStyle w:val="Text"/>
              <w:spacing w:after="0"/>
              <w:jc w:val="center"/>
              <w:rPr>
                <w:sz w:val="24"/>
              </w:rPr>
            </w:pPr>
          </w:p>
          <w:p w14:paraId="784A5605" w14:textId="77777777" w:rsidR="00E66A89" w:rsidRPr="00E66A89" w:rsidRDefault="00E66A89" w:rsidP="00E66A89">
            <w:pPr>
              <w:pStyle w:val="Text"/>
              <w:spacing w:after="0"/>
              <w:jc w:val="center"/>
              <w:rPr>
                <w:sz w:val="24"/>
              </w:rPr>
            </w:pPr>
            <w:r w:rsidRPr="00E66A89">
              <w:rPr>
                <w:sz w:val="24"/>
              </w:rPr>
              <w:t>2. Records managed by a common retention and disposition policy</w:t>
            </w:r>
          </w:p>
          <w:p w14:paraId="56D2E943" w14:textId="77777777" w:rsidR="00E66A89" w:rsidRDefault="00E66A89" w:rsidP="00E66A89">
            <w:pPr>
              <w:pStyle w:val="Text"/>
              <w:spacing w:after="0"/>
              <w:jc w:val="center"/>
            </w:pPr>
          </w:p>
        </w:tc>
      </w:tr>
      <w:tr w:rsidR="00E66A89" w14:paraId="309A8209" w14:textId="77777777" w:rsidTr="00F71656">
        <w:tc>
          <w:tcPr>
            <w:cnfStyle w:val="001000000000" w:firstRow="0" w:lastRow="0" w:firstColumn="1" w:lastColumn="0" w:oddVBand="0" w:evenVBand="0" w:oddHBand="0" w:evenHBand="0" w:firstRowFirstColumn="0" w:firstRowLastColumn="0" w:lastRowFirstColumn="0" w:lastRowLastColumn="0"/>
            <w:tcW w:w="846" w:type="dxa"/>
            <w:vAlign w:val="center"/>
          </w:tcPr>
          <w:p w14:paraId="1397DBD5" w14:textId="77777777" w:rsidR="00E66A89" w:rsidRDefault="00E66A89" w:rsidP="00613199">
            <w:pPr>
              <w:pStyle w:val="Text"/>
              <w:numPr>
                <w:ilvl w:val="0"/>
                <w:numId w:val="11"/>
              </w:numPr>
              <w:spacing w:after="0"/>
            </w:pPr>
          </w:p>
        </w:tc>
        <w:tc>
          <w:tcPr>
            <w:tcW w:w="3544" w:type="dxa"/>
            <w:vAlign w:val="center"/>
          </w:tcPr>
          <w:p w14:paraId="43D92576"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p w14:paraId="7C7F0AB6"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Pr>
                <w:lang w:eastAsia="en-US"/>
              </w:rPr>
              <w:t>HR information (held by line managers)</w:t>
            </w:r>
          </w:p>
          <w:p w14:paraId="30CAE912"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tc>
        <w:tc>
          <w:tcPr>
            <w:tcW w:w="5238" w:type="dxa"/>
            <w:vAlign w:val="center"/>
          </w:tcPr>
          <w:p w14:paraId="735C223D"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r>
              <w:rPr>
                <w:lang w:eastAsia="en-US"/>
              </w:rPr>
              <w:t xml:space="preserve">Destroy in line with the </w:t>
            </w:r>
            <w:r>
              <w:rPr>
                <w:i/>
                <w:lang w:eastAsia="en-US"/>
              </w:rPr>
              <w:t>What to keep</w:t>
            </w:r>
            <w:r>
              <w:rPr>
                <w:lang w:eastAsia="en-US"/>
              </w:rPr>
              <w:t xml:space="preserve"> </w:t>
            </w:r>
            <w:r>
              <w:rPr>
                <w:rStyle w:val="FootnoteReference"/>
                <w:lang w:eastAsia="en-US"/>
              </w:rPr>
              <w:footnoteReference w:id="5"/>
            </w:r>
            <w:r>
              <w:rPr>
                <w:lang w:eastAsia="en-US"/>
              </w:rPr>
              <w:t>guidance</w:t>
            </w:r>
          </w:p>
        </w:tc>
      </w:tr>
      <w:tr w:rsidR="008322F9" w14:paraId="5DAB5B71" w14:textId="77777777" w:rsidTr="00F71656">
        <w:tc>
          <w:tcPr>
            <w:cnfStyle w:val="001000000000" w:firstRow="0" w:lastRow="0" w:firstColumn="1" w:lastColumn="0" w:oddVBand="0" w:evenVBand="0" w:oddHBand="0" w:evenHBand="0" w:firstRowFirstColumn="0" w:firstRowLastColumn="0" w:lastRowFirstColumn="0" w:lastRowLastColumn="0"/>
            <w:tcW w:w="846" w:type="dxa"/>
            <w:vAlign w:val="center"/>
          </w:tcPr>
          <w:p w14:paraId="261709A0" w14:textId="77777777" w:rsidR="008322F9" w:rsidRDefault="008322F9" w:rsidP="008322F9">
            <w:pPr>
              <w:pStyle w:val="Text"/>
              <w:numPr>
                <w:ilvl w:val="0"/>
                <w:numId w:val="11"/>
              </w:numPr>
              <w:spacing w:after="0"/>
            </w:pPr>
          </w:p>
        </w:tc>
        <w:tc>
          <w:tcPr>
            <w:tcW w:w="3544" w:type="dxa"/>
            <w:vAlign w:val="center"/>
          </w:tcPr>
          <w:p w14:paraId="1D56C51C" w14:textId="77777777" w:rsidR="008322F9" w:rsidRDefault="008322F9" w:rsidP="008322F9">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p w14:paraId="24D47ED1" w14:textId="77777777" w:rsidR="008322F9" w:rsidRDefault="008322F9" w:rsidP="008322F9">
            <w:pPr>
              <w:pStyle w:val="Text"/>
              <w:spacing w:after="0"/>
              <w:cnfStyle w:val="000000000000" w:firstRow="0" w:lastRow="0" w:firstColumn="0" w:lastColumn="0" w:oddVBand="0" w:evenVBand="0" w:oddHBand="0" w:evenHBand="0" w:firstRowFirstColumn="0" w:firstRowLastColumn="0" w:lastRowFirstColumn="0" w:lastRowLastColumn="0"/>
            </w:pPr>
            <w:r>
              <w:t>Responses to Subject Access Requests</w:t>
            </w:r>
          </w:p>
          <w:p w14:paraId="5CD90E3F" w14:textId="77777777" w:rsidR="008322F9" w:rsidRPr="003B50BC" w:rsidRDefault="008322F9" w:rsidP="008322F9">
            <w:pPr>
              <w:pStyle w:val="Text"/>
              <w:spacing w:after="0"/>
              <w:cnfStyle w:val="000000000000" w:firstRow="0" w:lastRow="0" w:firstColumn="0" w:lastColumn="0" w:oddVBand="0" w:evenVBand="0" w:oddHBand="0" w:evenHBand="0" w:firstRowFirstColumn="0" w:firstRowLastColumn="0" w:lastRowFirstColumn="0" w:lastRowLastColumn="0"/>
              <w:rPr>
                <w:rFonts w:cs="Arial"/>
              </w:rPr>
            </w:pPr>
          </w:p>
        </w:tc>
        <w:tc>
          <w:tcPr>
            <w:tcW w:w="5238" w:type="dxa"/>
            <w:vAlign w:val="center"/>
          </w:tcPr>
          <w:p w14:paraId="0711E1E2" w14:textId="77777777" w:rsidR="008322F9" w:rsidRDefault="008322F9" w:rsidP="008322F9">
            <w:pPr>
              <w:pStyle w:val="Text"/>
              <w:spacing w:after="0"/>
              <w:cnfStyle w:val="000000000000" w:firstRow="0" w:lastRow="0" w:firstColumn="0" w:lastColumn="0" w:oddVBand="0" w:evenVBand="0" w:oddHBand="0" w:evenHBand="0" w:firstRowFirstColumn="0" w:firstRowLastColumn="0" w:lastRowFirstColumn="0" w:lastRowLastColumn="0"/>
            </w:pPr>
            <w:bookmarkStart w:id="5" w:name="_Hlk26272304"/>
          </w:p>
          <w:p w14:paraId="5413594B" w14:textId="77777777" w:rsidR="008322F9" w:rsidRDefault="008322F9" w:rsidP="008322F9">
            <w:pPr>
              <w:pStyle w:val="Text"/>
              <w:spacing w:after="0"/>
              <w:cnfStyle w:val="000000000000" w:firstRow="0" w:lastRow="0" w:firstColumn="0" w:lastColumn="0" w:oddVBand="0" w:evenVBand="0" w:oddHBand="0" w:evenHBand="0" w:firstRowFirstColumn="0" w:firstRowLastColumn="0" w:lastRowFirstColumn="0" w:lastRowLastColumn="0"/>
            </w:pPr>
            <w:r w:rsidRPr="009819A4">
              <w:t>Ke</w:t>
            </w:r>
            <w:r>
              <w:t>e</w:t>
            </w:r>
            <w:r w:rsidRPr="009819A4">
              <w:t xml:space="preserve">p for </w:t>
            </w:r>
            <w:r>
              <w:rPr>
                <w:b/>
              </w:rPr>
              <w:t>nine months</w:t>
            </w:r>
            <w:r w:rsidRPr="009819A4">
              <w:t xml:space="preserve"> </w:t>
            </w:r>
            <w:r>
              <w:t xml:space="preserve">and then destroy. </w:t>
            </w:r>
          </w:p>
          <w:bookmarkEnd w:id="5"/>
          <w:p w14:paraId="0E047FE6" w14:textId="77777777" w:rsidR="008322F9" w:rsidRDefault="008322F9" w:rsidP="008322F9">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8322F9" w14:paraId="23361AE6" w14:textId="77777777" w:rsidTr="00F71656">
        <w:tc>
          <w:tcPr>
            <w:cnfStyle w:val="001000000000" w:firstRow="0" w:lastRow="0" w:firstColumn="1" w:lastColumn="0" w:oddVBand="0" w:evenVBand="0" w:oddHBand="0" w:evenHBand="0" w:firstRowFirstColumn="0" w:firstRowLastColumn="0" w:lastRowFirstColumn="0" w:lastRowLastColumn="0"/>
            <w:tcW w:w="846" w:type="dxa"/>
            <w:vAlign w:val="center"/>
          </w:tcPr>
          <w:p w14:paraId="327B611F" w14:textId="77777777" w:rsidR="008322F9" w:rsidRDefault="008322F9" w:rsidP="008322F9">
            <w:pPr>
              <w:pStyle w:val="Text"/>
              <w:numPr>
                <w:ilvl w:val="0"/>
                <w:numId w:val="11"/>
              </w:numPr>
              <w:spacing w:after="0"/>
            </w:pPr>
          </w:p>
        </w:tc>
        <w:tc>
          <w:tcPr>
            <w:tcW w:w="3544" w:type="dxa"/>
            <w:vAlign w:val="center"/>
          </w:tcPr>
          <w:p w14:paraId="37C1A971" w14:textId="77777777" w:rsidR="008322F9" w:rsidRDefault="008322F9" w:rsidP="008322F9">
            <w:pPr>
              <w:pStyle w:val="Text"/>
              <w:spacing w:after="0"/>
              <w:cnfStyle w:val="000000000000" w:firstRow="0" w:lastRow="0" w:firstColumn="0" w:lastColumn="0" w:oddVBand="0" w:evenVBand="0" w:oddHBand="0" w:evenHBand="0" w:firstRowFirstColumn="0" w:firstRowLastColumn="0" w:lastRowFirstColumn="0" w:lastRowLastColumn="0"/>
            </w:pPr>
          </w:p>
          <w:p w14:paraId="15094ACA" w14:textId="70658169" w:rsidR="008322F9" w:rsidRPr="008A1106" w:rsidRDefault="008322F9" w:rsidP="008322F9">
            <w:pPr>
              <w:pStyle w:val="Text"/>
              <w:spacing w:after="0"/>
              <w:cnfStyle w:val="000000000000" w:firstRow="0" w:lastRow="0" w:firstColumn="0" w:lastColumn="0" w:oddVBand="0" w:evenVBand="0" w:oddHBand="0" w:evenHBand="0" w:firstRowFirstColumn="0" w:firstRowLastColumn="0" w:lastRowFirstColumn="0" w:lastRowLastColumn="0"/>
              <w:rPr>
                <w:rFonts w:cs="Arial"/>
              </w:rPr>
            </w:pPr>
            <w:r>
              <w:t>Background information (</w:t>
            </w:r>
            <w:r>
              <w:rPr>
                <w:rFonts w:cs="Arial"/>
              </w:rPr>
              <w:t xml:space="preserve">held by business) </w:t>
            </w:r>
            <w:r>
              <w:t xml:space="preserve">for responses to </w:t>
            </w:r>
          </w:p>
          <w:p w14:paraId="2086E38D" w14:textId="77777777" w:rsidR="008322F9" w:rsidRDefault="008322F9" w:rsidP="008322F9">
            <w:pPr>
              <w:pStyle w:val="Text"/>
              <w:numPr>
                <w:ilvl w:val="0"/>
                <w:numId w:val="23"/>
              </w:numPr>
              <w:spacing w:after="0"/>
              <w:cnfStyle w:val="000000000000" w:firstRow="0" w:lastRow="0" w:firstColumn="0" w:lastColumn="0" w:oddVBand="0" w:evenVBand="0" w:oddHBand="0" w:evenHBand="0" w:firstRowFirstColumn="0" w:firstRowLastColumn="0" w:lastRowFirstColumn="0" w:lastRowLastColumn="0"/>
              <w:rPr>
                <w:rFonts w:cs="Arial"/>
              </w:rPr>
            </w:pPr>
            <w:r w:rsidRPr="003B50BC">
              <w:rPr>
                <w:rFonts w:cs="Arial"/>
              </w:rPr>
              <w:t>Freedom of Information Act</w:t>
            </w:r>
          </w:p>
          <w:p w14:paraId="7D56CAEC" w14:textId="548E42FB" w:rsidR="008322F9" w:rsidRDefault="008322F9" w:rsidP="008322F9">
            <w:pPr>
              <w:pStyle w:val="Text"/>
              <w:numPr>
                <w:ilvl w:val="0"/>
                <w:numId w:val="23"/>
              </w:numPr>
              <w:spacing w:after="0"/>
              <w:cnfStyle w:val="000000000000" w:firstRow="0" w:lastRow="0" w:firstColumn="0" w:lastColumn="0" w:oddVBand="0" w:evenVBand="0" w:oddHBand="0" w:evenHBand="0" w:firstRowFirstColumn="0" w:firstRowLastColumn="0" w:lastRowFirstColumn="0" w:lastRowLastColumn="0"/>
            </w:pPr>
            <w:r w:rsidRPr="008322F9">
              <w:rPr>
                <w:rFonts w:cs="Arial"/>
              </w:rPr>
              <w:t>Environmental Information Regulations</w:t>
            </w:r>
          </w:p>
          <w:p w14:paraId="05B3B97F" w14:textId="77777777" w:rsidR="008322F9" w:rsidRDefault="008322F9" w:rsidP="008322F9">
            <w:pPr>
              <w:pStyle w:val="Text"/>
              <w:spacing w:after="0"/>
              <w:cnfStyle w:val="000000000000" w:firstRow="0" w:lastRow="0" w:firstColumn="0" w:lastColumn="0" w:oddVBand="0" w:evenVBand="0" w:oddHBand="0" w:evenHBand="0" w:firstRowFirstColumn="0" w:firstRowLastColumn="0" w:lastRowFirstColumn="0" w:lastRowLastColumn="0"/>
            </w:pPr>
          </w:p>
          <w:p w14:paraId="5991881A" w14:textId="517AAD3E" w:rsidR="008322F9" w:rsidRDefault="008322F9" w:rsidP="008322F9">
            <w:pPr>
              <w:pStyle w:val="Text"/>
              <w:spacing w:after="0"/>
              <w:cnfStyle w:val="000000000000" w:firstRow="0" w:lastRow="0" w:firstColumn="0" w:lastColumn="0" w:oddVBand="0" w:evenVBand="0" w:oddHBand="0" w:evenHBand="0" w:firstRowFirstColumn="0" w:firstRowLastColumn="0" w:lastRowFirstColumn="0" w:lastRowLastColumn="0"/>
            </w:pPr>
            <w:r>
              <w:rPr>
                <w:b/>
              </w:rPr>
              <w:t>NB.</w:t>
            </w:r>
            <w:r>
              <w:t xml:space="preserve"> The answers to these requests are held by the Disclosure Team in MoJ HQ</w:t>
            </w:r>
            <w:r>
              <w:rPr>
                <w:rStyle w:val="FootnoteReference"/>
              </w:rPr>
              <w:footnoteReference w:id="6"/>
            </w:r>
          </w:p>
          <w:p w14:paraId="4249B189" w14:textId="055562F3" w:rsidR="008322F9" w:rsidRDefault="008322F9" w:rsidP="008322F9">
            <w:pPr>
              <w:pStyle w:val="Text"/>
              <w:spacing w:after="0"/>
              <w:cnfStyle w:val="000000000000" w:firstRow="0" w:lastRow="0" w:firstColumn="0" w:lastColumn="0" w:oddVBand="0" w:evenVBand="0" w:oddHBand="0" w:evenHBand="0" w:firstRowFirstColumn="0" w:firstRowLastColumn="0" w:lastRowFirstColumn="0" w:lastRowLastColumn="0"/>
            </w:pPr>
          </w:p>
        </w:tc>
        <w:tc>
          <w:tcPr>
            <w:tcW w:w="5238" w:type="dxa"/>
            <w:vAlign w:val="center"/>
          </w:tcPr>
          <w:p w14:paraId="3F1F439C" w14:textId="77777777" w:rsidR="008322F9" w:rsidRDefault="008322F9" w:rsidP="008322F9">
            <w:pPr>
              <w:pStyle w:val="Text"/>
              <w:spacing w:after="0"/>
              <w:cnfStyle w:val="000000000000" w:firstRow="0" w:lastRow="0" w:firstColumn="0" w:lastColumn="0" w:oddVBand="0" w:evenVBand="0" w:oddHBand="0" w:evenHBand="0" w:firstRowFirstColumn="0" w:firstRowLastColumn="0" w:lastRowFirstColumn="0" w:lastRowLastColumn="0"/>
            </w:pPr>
          </w:p>
          <w:p w14:paraId="2D717C4F" w14:textId="77777777" w:rsidR="008322F9" w:rsidRDefault="008322F9" w:rsidP="008322F9">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one</w:t>
            </w:r>
            <w:r w:rsidRPr="00905C57">
              <w:rPr>
                <w:b/>
              </w:rPr>
              <w:t xml:space="preserve"> year</w:t>
            </w:r>
            <w:r>
              <w:t xml:space="preserve"> and then review:</w:t>
            </w:r>
          </w:p>
          <w:p w14:paraId="75BAA4DC" w14:textId="77777777" w:rsidR="008322F9" w:rsidRDefault="008322F9" w:rsidP="008322F9">
            <w:pPr>
              <w:pStyle w:val="Text"/>
              <w:numPr>
                <w:ilvl w:val="0"/>
                <w:numId w:val="24"/>
              </w:numPr>
              <w:spacing w:after="0"/>
              <w:cnfStyle w:val="000000000000" w:firstRow="0" w:lastRow="0" w:firstColumn="0" w:lastColumn="0" w:oddVBand="0" w:evenVBand="0" w:oddHBand="0" w:evenHBand="0" w:firstRowFirstColumn="0" w:firstRowLastColumn="0" w:lastRowFirstColumn="0" w:lastRowLastColumn="0"/>
            </w:pPr>
            <w:r>
              <w:t xml:space="preserve">Where operationally relevant, keep for </w:t>
            </w:r>
            <w:r w:rsidRPr="008A1106">
              <w:rPr>
                <w:b/>
              </w:rPr>
              <w:t>another</w:t>
            </w:r>
            <w:r>
              <w:t xml:space="preserve"> </w:t>
            </w:r>
            <w:r>
              <w:rPr>
                <w:b/>
              </w:rPr>
              <w:t>year</w:t>
            </w:r>
            <w:r>
              <w:t xml:space="preserve"> and then repeat the process until the item is no longer needed.</w:t>
            </w:r>
          </w:p>
          <w:p w14:paraId="145374AD" w14:textId="77777777" w:rsidR="008322F9" w:rsidRDefault="008322F9" w:rsidP="008322F9">
            <w:pPr>
              <w:pStyle w:val="Text"/>
              <w:spacing w:after="0"/>
              <w:cnfStyle w:val="000000000000" w:firstRow="0" w:lastRow="0" w:firstColumn="0" w:lastColumn="0" w:oddVBand="0" w:evenVBand="0" w:oddHBand="0" w:evenHBand="0" w:firstRowFirstColumn="0" w:firstRowLastColumn="0" w:lastRowFirstColumn="0" w:lastRowLastColumn="0"/>
            </w:pPr>
            <w:r>
              <w:t>Where no longer needed, d</w:t>
            </w:r>
            <w:r w:rsidRPr="00FA5D29">
              <w:t xml:space="preserve">estroy </w:t>
            </w:r>
            <w:r>
              <w:t>imm</w:t>
            </w:r>
            <w:r w:rsidRPr="00FA5D29">
              <w:t>e</w:t>
            </w:r>
            <w:r>
              <w:t>diately.</w:t>
            </w:r>
          </w:p>
          <w:p w14:paraId="751E3722" w14:textId="77777777" w:rsidR="008322F9" w:rsidRDefault="008322F9" w:rsidP="008322F9">
            <w:pPr>
              <w:pStyle w:val="Text"/>
              <w:spacing w:after="0"/>
              <w:cnfStyle w:val="000000000000" w:firstRow="0" w:lastRow="0" w:firstColumn="0" w:lastColumn="0" w:oddVBand="0" w:evenVBand="0" w:oddHBand="0" w:evenHBand="0" w:firstRowFirstColumn="0" w:firstRowLastColumn="0" w:lastRowFirstColumn="0" w:lastRowLastColumn="0"/>
            </w:pPr>
          </w:p>
        </w:tc>
      </w:tr>
      <w:tr w:rsidR="008322F9" w14:paraId="35A3A04F" w14:textId="77777777" w:rsidTr="00F71656">
        <w:tc>
          <w:tcPr>
            <w:cnfStyle w:val="001000000000" w:firstRow="0" w:lastRow="0" w:firstColumn="1" w:lastColumn="0" w:oddVBand="0" w:evenVBand="0" w:oddHBand="0" w:evenHBand="0" w:firstRowFirstColumn="0" w:firstRowLastColumn="0" w:lastRowFirstColumn="0" w:lastRowLastColumn="0"/>
            <w:tcW w:w="846" w:type="dxa"/>
            <w:vAlign w:val="center"/>
          </w:tcPr>
          <w:p w14:paraId="6DB2B3A8" w14:textId="77777777" w:rsidR="008322F9" w:rsidRDefault="008322F9" w:rsidP="008322F9">
            <w:pPr>
              <w:pStyle w:val="Text"/>
              <w:numPr>
                <w:ilvl w:val="0"/>
                <w:numId w:val="11"/>
              </w:numPr>
              <w:spacing w:after="0"/>
            </w:pPr>
          </w:p>
        </w:tc>
        <w:tc>
          <w:tcPr>
            <w:tcW w:w="3544" w:type="dxa"/>
            <w:vAlign w:val="center"/>
          </w:tcPr>
          <w:p w14:paraId="7C6E950F" w14:textId="77777777" w:rsidR="008322F9" w:rsidRPr="00771676" w:rsidRDefault="008322F9" w:rsidP="008322F9">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p w14:paraId="39596AFE" w14:textId="77777777" w:rsidR="008322F9" w:rsidRPr="00771676" w:rsidRDefault="008322F9" w:rsidP="008322F9">
            <w:pPr>
              <w:pStyle w:val="Text"/>
              <w:spacing w:after="0"/>
              <w:cnfStyle w:val="000000000000" w:firstRow="0" w:lastRow="0" w:firstColumn="0" w:lastColumn="0" w:oddVBand="0" w:evenVBand="0" w:oddHBand="0" w:evenHBand="0" w:firstRowFirstColumn="0" w:firstRowLastColumn="0" w:lastRowFirstColumn="0" w:lastRowLastColumn="0"/>
            </w:pPr>
            <w:r w:rsidRPr="00771676">
              <w:t>Finance and risk management information</w:t>
            </w:r>
          </w:p>
          <w:p w14:paraId="36F72A11" w14:textId="77777777" w:rsidR="008322F9" w:rsidRDefault="008322F9" w:rsidP="008322F9">
            <w:pPr>
              <w:pStyle w:val="Text"/>
              <w:spacing w:after="0"/>
              <w:cnfStyle w:val="000000000000" w:firstRow="0" w:lastRow="0" w:firstColumn="0" w:lastColumn="0" w:oddVBand="0" w:evenVBand="0" w:oddHBand="0" w:evenHBand="0" w:firstRowFirstColumn="0" w:firstRowLastColumn="0" w:lastRowFirstColumn="0" w:lastRowLastColumn="0"/>
            </w:pPr>
          </w:p>
        </w:tc>
        <w:tc>
          <w:tcPr>
            <w:tcW w:w="5238" w:type="dxa"/>
            <w:vAlign w:val="center"/>
          </w:tcPr>
          <w:p w14:paraId="366A6692" w14:textId="77777777" w:rsidR="008322F9" w:rsidRPr="00771676" w:rsidRDefault="008322F9" w:rsidP="008322F9">
            <w:pPr>
              <w:pStyle w:val="Text"/>
              <w:spacing w:after="0"/>
              <w:cnfStyle w:val="000000000000" w:firstRow="0" w:lastRow="0" w:firstColumn="0" w:lastColumn="0" w:oddVBand="0" w:evenVBand="0" w:oddHBand="0" w:evenHBand="0" w:firstRowFirstColumn="0" w:firstRowLastColumn="0" w:lastRowFirstColumn="0" w:lastRowLastColumn="0"/>
            </w:pPr>
          </w:p>
          <w:p w14:paraId="2AEDAFC7" w14:textId="77777777" w:rsidR="008322F9" w:rsidRPr="00771676" w:rsidRDefault="008322F9" w:rsidP="008322F9">
            <w:pPr>
              <w:pStyle w:val="Text"/>
              <w:spacing w:after="0"/>
              <w:cnfStyle w:val="000000000000" w:firstRow="0" w:lastRow="0" w:firstColumn="0" w:lastColumn="0" w:oddVBand="0" w:evenVBand="0" w:oddHBand="0" w:evenHBand="0" w:firstRowFirstColumn="0" w:firstRowLastColumn="0" w:lastRowFirstColumn="0" w:lastRowLastColumn="0"/>
            </w:pPr>
            <w:r w:rsidRPr="00771676">
              <w:t xml:space="preserve">Keep for </w:t>
            </w:r>
            <w:r w:rsidRPr="00771676">
              <w:rPr>
                <w:b/>
              </w:rPr>
              <w:t>seven years</w:t>
            </w:r>
            <w:r w:rsidRPr="00771676">
              <w:t xml:space="preserve"> and then destroy.</w:t>
            </w:r>
          </w:p>
          <w:p w14:paraId="572B5D35" w14:textId="77777777" w:rsidR="008322F9" w:rsidRDefault="008322F9" w:rsidP="008322F9">
            <w:pPr>
              <w:pStyle w:val="Text"/>
              <w:spacing w:after="0"/>
              <w:cnfStyle w:val="000000000000" w:firstRow="0" w:lastRow="0" w:firstColumn="0" w:lastColumn="0" w:oddVBand="0" w:evenVBand="0" w:oddHBand="0" w:evenHBand="0" w:firstRowFirstColumn="0" w:firstRowLastColumn="0" w:lastRowFirstColumn="0" w:lastRowLastColumn="0"/>
            </w:pPr>
          </w:p>
        </w:tc>
      </w:tr>
      <w:tr w:rsidR="00E66A89" w14:paraId="1CFBD8B7" w14:textId="77777777" w:rsidTr="00F71656">
        <w:tc>
          <w:tcPr>
            <w:cnfStyle w:val="001000000000" w:firstRow="0" w:lastRow="0" w:firstColumn="1" w:lastColumn="0" w:oddVBand="0" w:evenVBand="0" w:oddHBand="0" w:evenHBand="0" w:firstRowFirstColumn="0" w:firstRowLastColumn="0" w:lastRowFirstColumn="0" w:lastRowLastColumn="0"/>
            <w:tcW w:w="846" w:type="dxa"/>
            <w:vAlign w:val="center"/>
          </w:tcPr>
          <w:p w14:paraId="6149B94F" w14:textId="77777777" w:rsidR="00E66A89" w:rsidRDefault="00E66A89" w:rsidP="00613199">
            <w:pPr>
              <w:pStyle w:val="Text"/>
              <w:numPr>
                <w:ilvl w:val="0"/>
                <w:numId w:val="11"/>
              </w:numPr>
              <w:spacing w:after="0"/>
            </w:pPr>
          </w:p>
        </w:tc>
        <w:tc>
          <w:tcPr>
            <w:tcW w:w="3544" w:type="dxa"/>
            <w:vAlign w:val="center"/>
          </w:tcPr>
          <w:p w14:paraId="6456F7E5"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p w14:paraId="7770F11E"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r>
              <w:t>Business continuity plans</w:t>
            </w:r>
          </w:p>
          <w:p w14:paraId="42DEFF70"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tc>
        <w:tc>
          <w:tcPr>
            <w:tcW w:w="5238" w:type="dxa"/>
            <w:vAlign w:val="center"/>
          </w:tcPr>
          <w:p w14:paraId="7FFA491F"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p w14:paraId="3FD41782"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r>
              <w:t xml:space="preserve">Updated annually. Keep previous versions for </w:t>
            </w:r>
            <w:r w:rsidRPr="00905C57">
              <w:rPr>
                <w:b/>
              </w:rPr>
              <w:t>three years</w:t>
            </w:r>
            <w:r>
              <w:t xml:space="preserve"> and then destroy.</w:t>
            </w:r>
          </w:p>
          <w:p w14:paraId="4696A9C6"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tc>
      </w:tr>
      <w:tr w:rsidR="00E66A89" w14:paraId="40984D0B" w14:textId="77777777" w:rsidTr="00F71656">
        <w:tc>
          <w:tcPr>
            <w:cnfStyle w:val="001000000000" w:firstRow="0" w:lastRow="0" w:firstColumn="1" w:lastColumn="0" w:oddVBand="0" w:evenVBand="0" w:oddHBand="0" w:evenHBand="0" w:firstRowFirstColumn="0" w:firstRowLastColumn="0" w:lastRowFirstColumn="0" w:lastRowLastColumn="0"/>
            <w:tcW w:w="846" w:type="dxa"/>
            <w:vAlign w:val="center"/>
          </w:tcPr>
          <w:p w14:paraId="04B59869" w14:textId="77777777" w:rsidR="00E66A89" w:rsidRDefault="00E66A89" w:rsidP="00613199">
            <w:pPr>
              <w:pStyle w:val="Text"/>
              <w:numPr>
                <w:ilvl w:val="0"/>
                <w:numId w:val="11"/>
              </w:numPr>
              <w:spacing w:after="0"/>
            </w:pPr>
          </w:p>
        </w:tc>
        <w:tc>
          <w:tcPr>
            <w:tcW w:w="3544" w:type="dxa"/>
            <w:vAlign w:val="center"/>
          </w:tcPr>
          <w:p w14:paraId="45A4A2E6"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p w14:paraId="580A3894"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r>
              <w:t>Paper copies of records that have been digitised</w:t>
            </w:r>
          </w:p>
          <w:p w14:paraId="1B297C9B"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tc>
        <w:tc>
          <w:tcPr>
            <w:tcW w:w="5238" w:type="dxa"/>
            <w:vAlign w:val="center"/>
          </w:tcPr>
          <w:p w14:paraId="219DFCEF"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p w14:paraId="44FD2042"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up to </w:t>
            </w:r>
            <w:r>
              <w:rPr>
                <w:b/>
              </w:rPr>
              <w:t>30 days</w:t>
            </w:r>
            <w:r>
              <w:t xml:space="preserve"> from date scanned (this allows for time to check that digital copies are usable) and then destroy.</w:t>
            </w:r>
          </w:p>
          <w:p w14:paraId="3DCB7019"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tc>
      </w:tr>
      <w:tr w:rsidR="00E66A89" w14:paraId="1A08EF88" w14:textId="77777777" w:rsidTr="00F71656">
        <w:tc>
          <w:tcPr>
            <w:cnfStyle w:val="001000000000" w:firstRow="0" w:lastRow="0" w:firstColumn="1" w:lastColumn="0" w:oddVBand="0" w:evenVBand="0" w:oddHBand="0" w:evenHBand="0" w:firstRowFirstColumn="0" w:firstRowLastColumn="0" w:lastRowFirstColumn="0" w:lastRowLastColumn="0"/>
            <w:tcW w:w="846" w:type="dxa"/>
            <w:vAlign w:val="center"/>
          </w:tcPr>
          <w:p w14:paraId="2DD0704B" w14:textId="77777777" w:rsidR="00E66A89" w:rsidRDefault="00E66A89" w:rsidP="00613199">
            <w:pPr>
              <w:pStyle w:val="Text"/>
              <w:numPr>
                <w:ilvl w:val="0"/>
                <w:numId w:val="11"/>
              </w:numPr>
              <w:spacing w:after="0"/>
            </w:pPr>
          </w:p>
        </w:tc>
        <w:tc>
          <w:tcPr>
            <w:tcW w:w="3544" w:type="dxa"/>
            <w:vAlign w:val="center"/>
          </w:tcPr>
          <w:p w14:paraId="3070CA29"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p w14:paraId="7208435C"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r>
              <w:t>All other types of record not specified above, including copies of records which are owned by other business areas</w:t>
            </w:r>
            <w:r>
              <w:rPr>
                <w:rStyle w:val="FootnoteReference"/>
              </w:rPr>
              <w:footnoteReference w:id="7"/>
            </w:r>
          </w:p>
          <w:p w14:paraId="420D10AA"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tc>
        <w:tc>
          <w:tcPr>
            <w:tcW w:w="5238" w:type="dxa"/>
            <w:vAlign w:val="center"/>
          </w:tcPr>
          <w:p w14:paraId="0A45277F" w14:textId="77777777" w:rsidR="00E66A89"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Pr="00905C57">
              <w:rPr>
                <w:b/>
              </w:rPr>
              <w:t>three years</w:t>
            </w:r>
            <w:r>
              <w:t xml:space="preserve"> and then destroy.</w:t>
            </w:r>
          </w:p>
        </w:tc>
      </w:tr>
    </w:tbl>
    <w:p w14:paraId="63D9F751" w14:textId="77777777" w:rsidR="00E66A89" w:rsidRDefault="00E66A89" w:rsidP="00526855">
      <w:pPr>
        <w:pStyle w:val="BodyText"/>
      </w:pPr>
    </w:p>
    <w:p w14:paraId="3BF1C022" w14:textId="2BCBC90B" w:rsidR="00606C44" w:rsidRDefault="00606C44" w:rsidP="00526855">
      <w:pPr>
        <w:pStyle w:val="BodyText"/>
      </w:pPr>
    </w:p>
    <w:p w14:paraId="43EC8330" w14:textId="77777777" w:rsidR="008322F9" w:rsidRDefault="008322F9" w:rsidP="00526855">
      <w:pPr>
        <w:pStyle w:val="BodyText"/>
      </w:pPr>
    </w:p>
    <w:p w14:paraId="4464ACCC" w14:textId="77777777" w:rsidR="00E66A89" w:rsidRPr="00671C3D" w:rsidRDefault="00E66A89" w:rsidP="00E66A89">
      <w:pPr>
        <w:spacing w:after="0"/>
        <w:rPr>
          <w:rFonts w:cs="Arial"/>
        </w:rPr>
      </w:pPr>
      <w:r>
        <w:rPr>
          <w:rFonts w:cs="Arial"/>
        </w:rPr>
        <w:lastRenderedPageBreak/>
        <w:t>Phil</w:t>
      </w:r>
      <w:r w:rsidR="002606C3">
        <w:rPr>
          <w:rFonts w:cs="Arial"/>
        </w:rPr>
        <w:t>l</w:t>
      </w:r>
      <w:r>
        <w:rPr>
          <w:rFonts w:cs="Arial"/>
        </w:rPr>
        <w:t xml:space="preserve">ip </w:t>
      </w:r>
      <w:r w:rsidR="002606C3">
        <w:rPr>
          <w:rFonts w:cs="Arial"/>
        </w:rPr>
        <w:t>Crowcroft</w:t>
      </w:r>
    </w:p>
    <w:p w14:paraId="6545DCC8" w14:textId="77777777" w:rsidR="00E66A89" w:rsidRPr="002606C3" w:rsidRDefault="002606C3" w:rsidP="00E66A89">
      <w:pPr>
        <w:pStyle w:val="NormalWeb"/>
        <w:spacing w:before="0" w:beforeAutospacing="0" w:after="0" w:afterAutospacing="0"/>
        <w:rPr>
          <w:rFonts w:ascii="Arial" w:hAnsi="Arial" w:cs="Arial"/>
          <w:szCs w:val="22"/>
        </w:rPr>
      </w:pPr>
      <w:r w:rsidRPr="002606C3">
        <w:rPr>
          <w:rFonts w:ascii="Arial" w:hAnsi="Arial" w:cs="Arial"/>
          <w:color w:val="000000"/>
          <w:szCs w:val="22"/>
        </w:rPr>
        <w:t xml:space="preserve">Deputy </w:t>
      </w:r>
      <w:r w:rsidR="00E66A89" w:rsidRPr="002606C3">
        <w:rPr>
          <w:rFonts w:ascii="Arial" w:hAnsi="Arial" w:cs="Arial"/>
          <w:color w:val="000000"/>
          <w:szCs w:val="22"/>
        </w:rPr>
        <w:t>Departmental Records Officer</w:t>
      </w:r>
      <w:r w:rsidR="00E66A89" w:rsidRPr="002606C3">
        <w:rPr>
          <w:rFonts w:ascii="Arial" w:hAnsi="Arial" w:cs="Arial"/>
          <w:szCs w:val="22"/>
        </w:rPr>
        <w:t xml:space="preserve"> </w:t>
      </w:r>
      <w:r w:rsidR="00E66A89" w:rsidRPr="002606C3">
        <w:rPr>
          <w:rFonts w:ascii="Arial" w:hAnsi="Arial" w:cs="Arial"/>
          <w:szCs w:val="22"/>
        </w:rPr>
        <w:br/>
      </w:r>
      <w:r w:rsidR="00E66A89" w:rsidRPr="002606C3">
        <w:rPr>
          <w:rFonts w:ascii="Arial" w:hAnsi="Arial" w:cs="Arial"/>
          <w:color w:val="000000"/>
          <w:szCs w:val="22"/>
        </w:rPr>
        <w:t>Ministry of Justice</w:t>
      </w:r>
      <w:r w:rsidR="00E66A89" w:rsidRPr="002606C3">
        <w:rPr>
          <w:rFonts w:ascii="Arial" w:hAnsi="Arial" w:cs="Arial"/>
          <w:szCs w:val="22"/>
        </w:rPr>
        <w:t xml:space="preserve"> </w:t>
      </w:r>
      <w:r w:rsidR="00E66A89" w:rsidRPr="002606C3">
        <w:rPr>
          <w:rFonts w:ascii="Arial" w:hAnsi="Arial" w:cs="Arial"/>
          <w:szCs w:val="22"/>
        </w:rPr>
        <w:br/>
      </w:r>
      <w:r w:rsidR="00E66A89" w:rsidRPr="002606C3">
        <w:rPr>
          <w:rFonts w:ascii="Arial" w:hAnsi="Arial" w:cs="Arial"/>
          <w:color w:val="000000"/>
          <w:szCs w:val="22"/>
        </w:rPr>
        <w:t>102 Petty France</w:t>
      </w:r>
      <w:r w:rsidR="00E66A89" w:rsidRPr="002606C3">
        <w:rPr>
          <w:rFonts w:ascii="Arial" w:hAnsi="Arial" w:cs="Arial"/>
          <w:szCs w:val="22"/>
        </w:rPr>
        <w:t xml:space="preserve"> </w:t>
      </w:r>
      <w:r w:rsidR="00E66A89" w:rsidRPr="002606C3">
        <w:rPr>
          <w:rFonts w:ascii="Arial" w:hAnsi="Arial" w:cs="Arial"/>
          <w:szCs w:val="22"/>
        </w:rPr>
        <w:br/>
      </w:r>
      <w:r w:rsidR="00E66A89" w:rsidRPr="002606C3">
        <w:rPr>
          <w:rFonts w:ascii="Arial" w:hAnsi="Arial" w:cs="Arial"/>
          <w:color w:val="000000"/>
          <w:szCs w:val="22"/>
        </w:rPr>
        <w:t>London SW1H 9AJ</w:t>
      </w:r>
      <w:r w:rsidR="00E66A89" w:rsidRPr="002606C3">
        <w:rPr>
          <w:rFonts w:ascii="Arial" w:hAnsi="Arial" w:cs="Arial"/>
          <w:szCs w:val="22"/>
        </w:rPr>
        <w:t xml:space="preserve"> </w:t>
      </w:r>
    </w:p>
    <w:p w14:paraId="4433DA38" w14:textId="252F5CCB" w:rsidR="00E66A89" w:rsidRPr="002606C3" w:rsidRDefault="00E66A89" w:rsidP="00E66A89">
      <w:pPr>
        <w:pStyle w:val="NormalWeb"/>
        <w:spacing w:before="0" w:beforeAutospacing="0" w:after="0" w:afterAutospacing="0"/>
        <w:rPr>
          <w:rFonts w:ascii="Arial" w:hAnsi="Arial" w:cs="Arial"/>
          <w:b/>
          <w:szCs w:val="22"/>
        </w:rPr>
      </w:pPr>
      <w:r w:rsidRPr="002606C3">
        <w:rPr>
          <w:rFonts w:ascii="Arial" w:hAnsi="Arial" w:cs="Arial"/>
          <w:b/>
          <w:szCs w:val="22"/>
        </w:rPr>
        <w:t xml:space="preserve">Signed: </w:t>
      </w:r>
      <w:r w:rsidR="00BA19BF">
        <w:rPr>
          <w:rFonts w:ascii="Arial" w:hAnsi="Arial" w:cs="Arial"/>
          <w:b/>
          <w:szCs w:val="22"/>
        </w:rPr>
        <w:t>23</w:t>
      </w:r>
      <w:r w:rsidRPr="002606C3">
        <w:rPr>
          <w:rFonts w:ascii="Arial" w:hAnsi="Arial" w:cs="Arial"/>
          <w:b/>
          <w:szCs w:val="22"/>
        </w:rPr>
        <w:t xml:space="preserve"> </w:t>
      </w:r>
      <w:r w:rsidR="00BA19BF">
        <w:rPr>
          <w:rFonts w:ascii="Arial" w:hAnsi="Arial" w:cs="Arial"/>
          <w:b/>
          <w:szCs w:val="22"/>
        </w:rPr>
        <w:t>December</w:t>
      </w:r>
      <w:r w:rsidRPr="002606C3">
        <w:rPr>
          <w:rFonts w:ascii="Arial" w:hAnsi="Arial" w:cs="Arial"/>
          <w:b/>
          <w:szCs w:val="22"/>
        </w:rPr>
        <w:t xml:space="preserve"> 20</w:t>
      </w:r>
      <w:r w:rsidR="00BA19BF">
        <w:rPr>
          <w:rFonts w:ascii="Arial" w:hAnsi="Arial" w:cs="Arial"/>
          <w:b/>
          <w:szCs w:val="22"/>
        </w:rPr>
        <w:t>19</w:t>
      </w:r>
      <w:bookmarkStart w:id="6" w:name="_GoBack"/>
      <w:bookmarkEnd w:id="6"/>
    </w:p>
    <w:p w14:paraId="14476FF6" w14:textId="77777777" w:rsidR="00E66A89" w:rsidRDefault="00E66A89" w:rsidP="00E66A89">
      <w:pPr>
        <w:pStyle w:val="Text"/>
        <w:spacing w:after="0"/>
      </w:pPr>
    </w:p>
    <w:p w14:paraId="139EED23" w14:textId="77777777" w:rsidR="00E66A89" w:rsidRDefault="00E66A89" w:rsidP="00E66A89">
      <w:pPr>
        <w:spacing w:after="0"/>
        <w:rPr>
          <w:rFonts w:cs="Arial"/>
          <w:lang w:eastAsia="en-GB"/>
        </w:rPr>
      </w:pPr>
    </w:p>
    <w:p w14:paraId="52FC171A" w14:textId="77777777" w:rsidR="00E66A89" w:rsidRDefault="00E66A89" w:rsidP="00E66A89">
      <w:pPr>
        <w:spacing w:after="0"/>
        <w:rPr>
          <w:rFonts w:cs="Arial"/>
        </w:rPr>
      </w:pPr>
      <w:r>
        <w:rPr>
          <w:rFonts w:cs="Arial"/>
        </w:rPr>
        <w:t xml:space="preserve">Date of Original Issue of RRDS: </w:t>
      </w:r>
      <w:r>
        <w:rPr>
          <w:rFonts w:cs="Arial"/>
        </w:rPr>
        <w:tab/>
      </w:r>
      <w:r w:rsidR="005C182F">
        <w:rPr>
          <w:rFonts w:cs="Arial"/>
        </w:rPr>
        <w:t>December 2012</w:t>
      </w:r>
    </w:p>
    <w:p w14:paraId="2C0F33E9" w14:textId="77777777" w:rsidR="00E66A89" w:rsidRDefault="00E66A89" w:rsidP="00E66A89">
      <w:pPr>
        <w:spacing w:after="0"/>
        <w:rPr>
          <w:rFonts w:cs="Arial"/>
        </w:rPr>
      </w:pPr>
      <w:r>
        <w:rPr>
          <w:rFonts w:cs="Arial"/>
        </w:rPr>
        <w:t xml:space="preserve">Last amended: </w:t>
      </w:r>
      <w:r>
        <w:rPr>
          <w:rFonts w:cs="Arial"/>
        </w:rPr>
        <w:tab/>
      </w:r>
      <w:r>
        <w:rPr>
          <w:rFonts w:cs="Arial"/>
        </w:rPr>
        <w:tab/>
      </w:r>
      <w:r>
        <w:rPr>
          <w:rFonts w:cs="Arial"/>
        </w:rPr>
        <w:tab/>
      </w:r>
      <w:r w:rsidR="005C182F">
        <w:rPr>
          <w:rFonts w:cs="Arial"/>
        </w:rPr>
        <w:t>July 2015</w:t>
      </w:r>
    </w:p>
    <w:p w14:paraId="5E4747F6" w14:textId="77777777" w:rsidR="00E66A89" w:rsidRDefault="00E66A89" w:rsidP="00526855">
      <w:pPr>
        <w:pStyle w:val="BodyText"/>
      </w:pPr>
    </w:p>
    <w:p w14:paraId="6FA08BCB" w14:textId="77777777" w:rsidR="00515316" w:rsidRDefault="00515316" w:rsidP="00526855">
      <w:pPr>
        <w:pStyle w:val="BodyText"/>
      </w:pPr>
    </w:p>
    <w:sectPr w:rsidR="00515316" w:rsidSect="00F507D8">
      <w:footerReference w:type="default" r:id="rId15"/>
      <w:headerReference w:type="first" r:id="rId16"/>
      <w:pgSz w:w="11906" w:h="16838" w:code="9"/>
      <w:pgMar w:top="113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D3D3" w14:textId="77777777" w:rsidR="00C05CD5" w:rsidRDefault="00C05CD5" w:rsidP="00B91315">
      <w:pPr>
        <w:spacing w:after="0" w:line="240" w:lineRule="auto"/>
      </w:pPr>
      <w:r>
        <w:separator/>
      </w:r>
    </w:p>
  </w:endnote>
  <w:endnote w:type="continuationSeparator" w:id="0">
    <w:p w14:paraId="439770F1" w14:textId="77777777" w:rsidR="00C05CD5" w:rsidRDefault="00C05CD5" w:rsidP="00B9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1400B" w14:textId="7E610E3B" w:rsidR="009A1CE1" w:rsidRDefault="00990242">
    <w:pPr>
      <w:pStyle w:val="Footer"/>
    </w:pPr>
    <w:r>
      <w:fldChar w:fldCharType="begin"/>
    </w:r>
    <w:r>
      <w:instrText xml:space="preserve"> PAGE   \* MERGEFORMAT </w:instrText>
    </w:r>
    <w:r>
      <w:fldChar w:fldCharType="separate"/>
    </w:r>
    <w:r w:rsidR="00BA19BF">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3CA47" w14:textId="77777777" w:rsidR="00C05CD5" w:rsidRDefault="00C05CD5" w:rsidP="00B91315">
      <w:pPr>
        <w:spacing w:after="0" w:line="240" w:lineRule="auto"/>
      </w:pPr>
      <w:r>
        <w:separator/>
      </w:r>
    </w:p>
  </w:footnote>
  <w:footnote w:type="continuationSeparator" w:id="0">
    <w:p w14:paraId="5A3A7DEC" w14:textId="77777777" w:rsidR="00C05CD5" w:rsidRDefault="00C05CD5" w:rsidP="00B91315">
      <w:pPr>
        <w:spacing w:after="0" w:line="240" w:lineRule="auto"/>
      </w:pPr>
      <w:r>
        <w:continuationSeparator/>
      </w:r>
    </w:p>
  </w:footnote>
  <w:footnote w:id="1">
    <w:p w14:paraId="55370965" w14:textId="77777777" w:rsidR="00E66A89" w:rsidRPr="00E66A89" w:rsidRDefault="00E66A89" w:rsidP="00E66A89">
      <w:pPr>
        <w:pStyle w:val="FootnoteText"/>
        <w:rPr>
          <w:sz w:val="18"/>
          <w:szCs w:val="18"/>
        </w:rPr>
      </w:pPr>
      <w:bookmarkStart w:id="2" w:name="_Hlk514923877"/>
      <w:r w:rsidRPr="00E66A89">
        <w:rPr>
          <w:rStyle w:val="FootnoteReference"/>
          <w:sz w:val="18"/>
          <w:szCs w:val="18"/>
        </w:rPr>
        <w:footnoteRef/>
      </w:r>
      <w:r w:rsidRPr="00E66A89">
        <w:rPr>
          <w:sz w:val="18"/>
          <w:szCs w:val="18"/>
        </w:rPr>
        <w:t xml:space="preserve"> Public Records Act 1958 s.3(6)</w:t>
      </w:r>
      <w:bookmarkEnd w:id="2"/>
    </w:p>
  </w:footnote>
  <w:footnote w:id="2">
    <w:p w14:paraId="5825D742" w14:textId="78E31ACF" w:rsidR="00883B51" w:rsidRPr="00886BC9" w:rsidRDefault="00883B51" w:rsidP="00883B51">
      <w:pPr>
        <w:pStyle w:val="FootnoteText"/>
        <w:rPr>
          <w:sz w:val="18"/>
        </w:rPr>
      </w:pPr>
      <w:r w:rsidRPr="00886BC9">
        <w:rPr>
          <w:rStyle w:val="FootnoteReference"/>
          <w:sz w:val="18"/>
        </w:rPr>
        <w:footnoteRef/>
      </w:r>
      <w:r w:rsidRPr="00886BC9">
        <w:rPr>
          <w:sz w:val="18"/>
        </w:rPr>
        <w:t xml:space="preserve"> See row</w:t>
      </w:r>
      <w:r>
        <w:rPr>
          <w:sz w:val="18"/>
        </w:rPr>
        <w:t>s</w:t>
      </w:r>
      <w:r w:rsidR="008322F9">
        <w:rPr>
          <w:sz w:val="18"/>
        </w:rPr>
        <w:t xml:space="preserve"> 19</w:t>
      </w:r>
      <w:r w:rsidRPr="00A54C31">
        <w:rPr>
          <w:color w:val="FF0000"/>
          <w:sz w:val="18"/>
        </w:rPr>
        <w:t xml:space="preserve"> </w:t>
      </w:r>
      <w:r>
        <w:rPr>
          <w:sz w:val="18"/>
        </w:rPr>
        <w:t>and</w:t>
      </w:r>
      <w:r w:rsidR="008322F9">
        <w:rPr>
          <w:sz w:val="18"/>
        </w:rPr>
        <w:t xml:space="preserve"> 20</w:t>
      </w:r>
      <w:r>
        <w:rPr>
          <w:sz w:val="18"/>
        </w:rPr>
        <w:t xml:space="preserve"> </w:t>
      </w:r>
      <w:r w:rsidRPr="00886BC9">
        <w:rPr>
          <w:sz w:val="18"/>
        </w:rPr>
        <w:t>for maximum retention period</w:t>
      </w:r>
    </w:p>
  </w:footnote>
  <w:footnote w:id="3">
    <w:p w14:paraId="3B704354" w14:textId="77777777" w:rsidR="00BA0EC3" w:rsidRPr="00BA0EC3" w:rsidRDefault="00BA0EC3">
      <w:pPr>
        <w:pStyle w:val="FootnoteText"/>
        <w:rPr>
          <w:sz w:val="18"/>
        </w:rPr>
      </w:pPr>
      <w:r w:rsidRPr="00BA0EC3">
        <w:rPr>
          <w:rStyle w:val="FootnoteReference"/>
          <w:sz w:val="18"/>
        </w:rPr>
        <w:footnoteRef/>
      </w:r>
      <w:r w:rsidRPr="00BA0EC3">
        <w:rPr>
          <w:sz w:val="18"/>
        </w:rPr>
        <w:t xml:space="preserve"> This work was stopped prior to 2013</w:t>
      </w:r>
    </w:p>
  </w:footnote>
  <w:footnote w:id="4">
    <w:p w14:paraId="5CD3CCF9" w14:textId="77777777" w:rsidR="00D04540" w:rsidRPr="00D04540" w:rsidRDefault="00D04540">
      <w:pPr>
        <w:pStyle w:val="FootnoteText"/>
        <w:rPr>
          <w:sz w:val="18"/>
        </w:rPr>
      </w:pPr>
      <w:r w:rsidRPr="00D04540">
        <w:rPr>
          <w:rStyle w:val="FootnoteReference"/>
          <w:sz w:val="18"/>
        </w:rPr>
        <w:footnoteRef/>
      </w:r>
      <w:r w:rsidRPr="00D04540">
        <w:rPr>
          <w:sz w:val="18"/>
        </w:rPr>
        <w:t xml:space="preserve"> In line with probate legislation</w:t>
      </w:r>
    </w:p>
  </w:footnote>
  <w:footnote w:id="5">
    <w:p w14:paraId="446B5608" w14:textId="77777777" w:rsidR="00E66A89" w:rsidRPr="008322F9" w:rsidRDefault="00E66A89" w:rsidP="008322F9">
      <w:pPr>
        <w:pStyle w:val="FootnoteText"/>
        <w:spacing w:after="0"/>
        <w:rPr>
          <w:sz w:val="18"/>
          <w:szCs w:val="18"/>
        </w:rPr>
      </w:pPr>
      <w:r w:rsidRPr="008322F9">
        <w:rPr>
          <w:rStyle w:val="FootnoteReference"/>
          <w:sz w:val="18"/>
          <w:szCs w:val="18"/>
        </w:rPr>
        <w:footnoteRef/>
      </w:r>
      <w:r w:rsidRPr="008322F9">
        <w:rPr>
          <w:sz w:val="18"/>
          <w:szCs w:val="18"/>
        </w:rPr>
        <w:t xml:space="preserve"> </w:t>
      </w:r>
      <w:r w:rsidRPr="008322F9">
        <w:rPr>
          <w:i/>
          <w:sz w:val="18"/>
          <w:szCs w:val="18"/>
        </w:rPr>
        <w:t>What to keep</w:t>
      </w:r>
      <w:r w:rsidRPr="008322F9">
        <w:rPr>
          <w:sz w:val="18"/>
          <w:szCs w:val="18"/>
        </w:rPr>
        <w:t xml:space="preserve"> is available at: </w:t>
      </w:r>
      <w:hyperlink r:id="rId1" w:history="1">
        <w:r w:rsidRPr="008322F9">
          <w:rPr>
            <w:rStyle w:val="Hyperlink"/>
            <w:color w:val="0000CC"/>
            <w:sz w:val="18"/>
            <w:szCs w:val="18"/>
          </w:rPr>
          <w:t>https://www.gov.uk/government/publications/record-retention-and-disposition-schedules</w:t>
        </w:r>
      </w:hyperlink>
      <w:r w:rsidRPr="008322F9">
        <w:rPr>
          <w:sz w:val="18"/>
          <w:szCs w:val="18"/>
        </w:rPr>
        <w:t xml:space="preserve"> </w:t>
      </w:r>
    </w:p>
  </w:footnote>
  <w:footnote w:id="6">
    <w:p w14:paraId="6A550D78" w14:textId="3DBE5FEF" w:rsidR="008322F9" w:rsidRPr="008322F9" w:rsidRDefault="008322F9" w:rsidP="008322F9">
      <w:pPr>
        <w:pStyle w:val="FootnoteText"/>
        <w:spacing w:after="0"/>
        <w:rPr>
          <w:sz w:val="18"/>
          <w:szCs w:val="18"/>
        </w:rPr>
      </w:pPr>
      <w:r w:rsidRPr="008322F9">
        <w:rPr>
          <w:rStyle w:val="FootnoteReference"/>
          <w:sz w:val="18"/>
          <w:szCs w:val="18"/>
        </w:rPr>
        <w:footnoteRef/>
      </w:r>
      <w:r w:rsidRPr="008322F9">
        <w:rPr>
          <w:sz w:val="18"/>
          <w:szCs w:val="18"/>
        </w:rPr>
        <w:t xml:space="preserve"> See row 40 of the MoJ HQ schedule</w:t>
      </w:r>
    </w:p>
  </w:footnote>
  <w:footnote w:id="7">
    <w:p w14:paraId="64D0481F" w14:textId="77777777" w:rsidR="00E66A89" w:rsidRPr="008322F9" w:rsidRDefault="00E66A89" w:rsidP="008322F9">
      <w:pPr>
        <w:pStyle w:val="FootnoteText"/>
        <w:spacing w:after="0"/>
        <w:rPr>
          <w:sz w:val="18"/>
          <w:szCs w:val="18"/>
        </w:rPr>
      </w:pPr>
      <w:r w:rsidRPr="008322F9">
        <w:rPr>
          <w:rStyle w:val="FootnoteReference"/>
          <w:sz w:val="18"/>
          <w:szCs w:val="18"/>
        </w:rPr>
        <w:footnoteRef/>
      </w:r>
      <w:r w:rsidRPr="008322F9">
        <w:rPr>
          <w:sz w:val="18"/>
          <w:szCs w:val="18"/>
        </w:rPr>
        <w:t xml:space="preserve"> If the business identifies record types which need a new retention period, they should contact the DRO’s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17B0" w14:textId="77777777" w:rsidR="00F507D8" w:rsidRDefault="0028397F">
    <w:pPr>
      <w:pStyle w:val="Header"/>
    </w:pPr>
    <w:r w:rsidRPr="006D258B">
      <w:rPr>
        <w:noProof/>
      </w:rPr>
      <w:drawing>
        <wp:anchor distT="0" distB="0" distL="114300" distR="114300" simplePos="0" relativeHeight="251660288" behindDoc="1" locked="0" layoutInCell="0" allowOverlap="1" wp14:anchorId="5377E8B6" wp14:editId="3A27730C">
          <wp:simplePos x="0" y="0"/>
          <wp:positionH relativeFrom="page">
            <wp:posOffset>720090</wp:posOffset>
          </wp:positionH>
          <wp:positionV relativeFrom="page">
            <wp:posOffset>720090</wp:posOffset>
          </wp:positionV>
          <wp:extent cx="1331640" cy="1033920"/>
          <wp:effectExtent l="0" t="0" r="1905" b="0"/>
          <wp:wrapNone/>
          <wp:docPr id="26" name="Picture 26" descr="Ministry of Justice logo" title="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1640" cy="1033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675608A" wp14:editId="3005450E">
          <wp:simplePos x="723900" y="361950"/>
          <wp:positionH relativeFrom="page">
            <wp:align>left</wp:align>
          </wp:positionH>
          <wp:positionV relativeFrom="page">
            <wp:align>top</wp:align>
          </wp:positionV>
          <wp:extent cx="7560360" cy="10692360"/>
          <wp:effectExtent l="0" t="0" r="2540" b="0"/>
          <wp:wrapNone/>
          <wp:docPr id="1" name="Picture 1"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gben\AppData\Local\Microsoft\Windows\INetCache\Content.Word\6.5394_MoJ_Brand refresh_covers_210319_RW-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60"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30F6F8"/>
    <w:lvl w:ilvl="0">
      <w:start w:val="1"/>
      <w:numFmt w:val="bullet"/>
      <w:pStyle w:val="ListBullet2"/>
      <w:lvlText w:val=""/>
      <w:lvlJc w:val="left"/>
      <w:pPr>
        <w:ind w:left="717" w:hanging="360"/>
      </w:pPr>
      <w:rPr>
        <w:rFonts w:ascii="Symbol" w:hAnsi="Symbol" w:hint="default"/>
        <w:color w:val="00B1EB"/>
      </w:rPr>
    </w:lvl>
  </w:abstractNum>
  <w:abstractNum w:abstractNumId="1" w15:restartNumberingAfterBreak="0">
    <w:nsid w:val="FFFFFF88"/>
    <w:multiLevelType w:val="singleLevel"/>
    <w:tmpl w:val="4CB2C802"/>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FFFFFF89"/>
    <w:multiLevelType w:val="singleLevel"/>
    <w:tmpl w:val="5CCC8D44"/>
    <w:lvl w:ilvl="0">
      <w:start w:val="1"/>
      <w:numFmt w:val="bullet"/>
      <w:pStyle w:val="ListBullet"/>
      <w:lvlText w:val=""/>
      <w:lvlJc w:val="left"/>
      <w:pPr>
        <w:ind w:left="360" w:hanging="360"/>
      </w:pPr>
      <w:rPr>
        <w:rFonts w:ascii="Symbol" w:hAnsi="Symbol" w:hint="default"/>
        <w:color w:val="1D609D"/>
      </w:rPr>
    </w:lvl>
  </w:abstractNum>
  <w:abstractNum w:abstractNumId="3" w15:restartNumberingAfterBreak="0">
    <w:nsid w:val="0C2B0D05"/>
    <w:multiLevelType w:val="hybridMultilevel"/>
    <w:tmpl w:val="D7AA20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34E0A"/>
    <w:multiLevelType w:val="hybridMultilevel"/>
    <w:tmpl w:val="2AC89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DD4A7E"/>
    <w:multiLevelType w:val="hybridMultilevel"/>
    <w:tmpl w:val="2C88B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0F61A5"/>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0E05E8"/>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974E3"/>
    <w:multiLevelType w:val="hybridMultilevel"/>
    <w:tmpl w:val="E91E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87649"/>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310151"/>
    <w:multiLevelType w:val="hybridMultilevel"/>
    <w:tmpl w:val="6C822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3A0321"/>
    <w:multiLevelType w:val="hybridMultilevel"/>
    <w:tmpl w:val="91808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6C0892"/>
    <w:multiLevelType w:val="hybridMultilevel"/>
    <w:tmpl w:val="1936A18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8D7069"/>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3B5A3C"/>
    <w:multiLevelType w:val="hybridMultilevel"/>
    <w:tmpl w:val="F3AED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DC67AC"/>
    <w:multiLevelType w:val="hybridMultilevel"/>
    <w:tmpl w:val="E9ECA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2146F1"/>
    <w:multiLevelType w:val="hybridMultilevel"/>
    <w:tmpl w:val="A6C8E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907B61"/>
    <w:multiLevelType w:val="hybridMultilevel"/>
    <w:tmpl w:val="37D2D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962981"/>
    <w:multiLevelType w:val="hybridMultilevel"/>
    <w:tmpl w:val="E3585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983157"/>
    <w:multiLevelType w:val="hybridMultilevel"/>
    <w:tmpl w:val="11624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B907B5"/>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F541F5"/>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lvlOverride w:ilvl="0">
      <w:startOverride w:val="1"/>
    </w:lvlOverride>
  </w:num>
  <w:num w:numId="5">
    <w:abstractNumId w:val="0"/>
    <w:lvlOverride w:ilvl="0">
      <w:startOverride w:val="1"/>
    </w:lvlOverride>
  </w:num>
  <w:num w:numId="6">
    <w:abstractNumId w:val="3"/>
  </w:num>
  <w:num w:numId="7">
    <w:abstractNumId w:val="6"/>
  </w:num>
  <w:num w:numId="8">
    <w:abstractNumId w:val="5"/>
  </w:num>
  <w:num w:numId="9">
    <w:abstractNumId w:val="8"/>
  </w:num>
  <w:num w:numId="10">
    <w:abstractNumId w:val="13"/>
  </w:num>
  <w:num w:numId="11">
    <w:abstractNumId w:val="17"/>
  </w:num>
  <w:num w:numId="12">
    <w:abstractNumId w:val="4"/>
  </w:num>
  <w:num w:numId="13">
    <w:abstractNumId w:val="10"/>
  </w:num>
  <w:num w:numId="14">
    <w:abstractNumId w:val="16"/>
  </w:num>
  <w:num w:numId="15">
    <w:abstractNumId w:val="20"/>
  </w:num>
  <w:num w:numId="16">
    <w:abstractNumId w:val="7"/>
  </w:num>
  <w:num w:numId="17">
    <w:abstractNumId w:val="21"/>
  </w:num>
  <w:num w:numId="18">
    <w:abstractNumId w:val="9"/>
  </w:num>
  <w:num w:numId="19">
    <w:abstractNumId w:val="18"/>
  </w:num>
  <w:num w:numId="20">
    <w:abstractNumId w:val="14"/>
  </w:num>
  <w:num w:numId="21">
    <w:abstractNumId w:val="15"/>
  </w:num>
  <w:num w:numId="22">
    <w:abstractNumId w:val="12"/>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CD"/>
    <w:rsid w:val="00022442"/>
    <w:rsid w:val="00090E40"/>
    <w:rsid w:val="000A18C5"/>
    <w:rsid w:val="000D19AF"/>
    <w:rsid w:val="00153013"/>
    <w:rsid w:val="001536FA"/>
    <w:rsid w:val="00171B22"/>
    <w:rsid w:val="00175D09"/>
    <w:rsid w:val="001865E5"/>
    <w:rsid w:val="00187EB5"/>
    <w:rsid w:val="0019435E"/>
    <w:rsid w:val="00197B8B"/>
    <w:rsid w:val="001A71CD"/>
    <w:rsid w:val="001F733A"/>
    <w:rsid w:val="00240F37"/>
    <w:rsid w:val="002606C3"/>
    <w:rsid w:val="002614D9"/>
    <w:rsid w:val="0028044F"/>
    <w:rsid w:val="0028397F"/>
    <w:rsid w:val="00293CEB"/>
    <w:rsid w:val="002C5693"/>
    <w:rsid w:val="002D1ED7"/>
    <w:rsid w:val="002F075A"/>
    <w:rsid w:val="00303061"/>
    <w:rsid w:val="003355F1"/>
    <w:rsid w:val="00371130"/>
    <w:rsid w:val="003904B9"/>
    <w:rsid w:val="003C787D"/>
    <w:rsid w:val="003D27AC"/>
    <w:rsid w:val="003E0458"/>
    <w:rsid w:val="003F0922"/>
    <w:rsid w:val="00402F4E"/>
    <w:rsid w:val="00446DDB"/>
    <w:rsid w:val="004563AF"/>
    <w:rsid w:val="0046787C"/>
    <w:rsid w:val="00495F42"/>
    <w:rsid w:val="004E36F9"/>
    <w:rsid w:val="00512E5B"/>
    <w:rsid w:val="00515316"/>
    <w:rsid w:val="00515D84"/>
    <w:rsid w:val="00521272"/>
    <w:rsid w:val="00526855"/>
    <w:rsid w:val="00545B6C"/>
    <w:rsid w:val="005629A7"/>
    <w:rsid w:val="00580384"/>
    <w:rsid w:val="00590D03"/>
    <w:rsid w:val="005969FA"/>
    <w:rsid w:val="005B2A53"/>
    <w:rsid w:val="005C182F"/>
    <w:rsid w:val="005E51D0"/>
    <w:rsid w:val="00606C44"/>
    <w:rsid w:val="00613199"/>
    <w:rsid w:val="0062433C"/>
    <w:rsid w:val="006B61D2"/>
    <w:rsid w:val="00727DDB"/>
    <w:rsid w:val="007755C1"/>
    <w:rsid w:val="007B23F4"/>
    <w:rsid w:val="008114F6"/>
    <w:rsid w:val="008322F9"/>
    <w:rsid w:val="00854940"/>
    <w:rsid w:val="008732EC"/>
    <w:rsid w:val="00880566"/>
    <w:rsid w:val="00883B51"/>
    <w:rsid w:val="008B2C35"/>
    <w:rsid w:val="00916276"/>
    <w:rsid w:val="009179CD"/>
    <w:rsid w:val="00924F1C"/>
    <w:rsid w:val="00932F7F"/>
    <w:rsid w:val="0094003D"/>
    <w:rsid w:val="00976FB5"/>
    <w:rsid w:val="00990242"/>
    <w:rsid w:val="009A1CE1"/>
    <w:rsid w:val="009A5A44"/>
    <w:rsid w:val="00A06386"/>
    <w:rsid w:val="00A57308"/>
    <w:rsid w:val="00A70CA7"/>
    <w:rsid w:val="00A71AB2"/>
    <w:rsid w:val="00AC6247"/>
    <w:rsid w:val="00AD05F3"/>
    <w:rsid w:val="00AD52C7"/>
    <w:rsid w:val="00AE4DF7"/>
    <w:rsid w:val="00B035CA"/>
    <w:rsid w:val="00B153ED"/>
    <w:rsid w:val="00B26255"/>
    <w:rsid w:val="00B4736D"/>
    <w:rsid w:val="00B87101"/>
    <w:rsid w:val="00B91315"/>
    <w:rsid w:val="00BA0EC3"/>
    <w:rsid w:val="00BA19BF"/>
    <w:rsid w:val="00BC4DBC"/>
    <w:rsid w:val="00BF23EA"/>
    <w:rsid w:val="00C05CD5"/>
    <w:rsid w:val="00C8142E"/>
    <w:rsid w:val="00C82629"/>
    <w:rsid w:val="00C87402"/>
    <w:rsid w:val="00CC737D"/>
    <w:rsid w:val="00D011FB"/>
    <w:rsid w:val="00D04540"/>
    <w:rsid w:val="00D14AD9"/>
    <w:rsid w:val="00D16162"/>
    <w:rsid w:val="00D37725"/>
    <w:rsid w:val="00D50660"/>
    <w:rsid w:val="00D57290"/>
    <w:rsid w:val="00D664DC"/>
    <w:rsid w:val="00DA0839"/>
    <w:rsid w:val="00DA3AB1"/>
    <w:rsid w:val="00DD2815"/>
    <w:rsid w:val="00E40474"/>
    <w:rsid w:val="00E40AEF"/>
    <w:rsid w:val="00E4123E"/>
    <w:rsid w:val="00E574B9"/>
    <w:rsid w:val="00E60A21"/>
    <w:rsid w:val="00E66A89"/>
    <w:rsid w:val="00E77F88"/>
    <w:rsid w:val="00EE0DE7"/>
    <w:rsid w:val="00EF190F"/>
    <w:rsid w:val="00F12B8B"/>
    <w:rsid w:val="00F507D8"/>
    <w:rsid w:val="00F6533F"/>
    <w:rsid w:val="00F71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A1F23C"/>
  <w15:chartTrackingRefBased/>
  <w15:docId w15:val="{3C8F4F98-AF89-462B-BC80-6FBAFB58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header" w:uiPriority="8"/>
    <w:lsdException w:name="footer" w:uiPriority="8"/>
    <w:lsdException w:name="index heading" w:semiHidden="1"/>
    <w:lsdException w:name="caption" w:semiHidden="1"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uiPriority="8"/>
    <w:lsdException w:name="endnote reference" w:semiHidden="1" w:uiPriority="3"/>
    <w:lsdException w:name="endnote text" w:semiHidden="1" w:uiPriority="3"/>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8" w:qFormat="1"/>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8"/>
    <w:lsdException w:name="Salutation" w:semiHidden="1"/>
    <w:lsdException w:name="Date" w:semiHidden="1" w:uiPriority="8"/>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uiPriority="8"/>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uiPriority="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uiPriority w:val="8"/>
    <w:semiHidden/>
    <w:qFormat/>
    <w:rsid w:val="00F507D8"/>
    <w:pPr>
      <w:spacing w:after="240" w:line="276" w:lineRule="auto"/>
    </w:pPr>
    <w:rPr>
      <w:sz w:val="24"/>
    </w:rPr>
  </w:style>
  <w:style w:type="paragraph" w:styleId="Heading1">
    <w:name w:val="heading 1"/>
    <w:next w:val="BodyText"/>
    <w:link w:val="Heading1Char"/>
    <w:qFormat/>
    <w:rsid w:val="00F507D8"/>
    <w:pPr>
      <w:keepNext/>
      <w:keepLines/>
      <w:spacing w:before="480" w:after="480" w:line="240" w:lineRule="auto"/>
      <w:contextualSpacing/>
      <w:outlineLvl w:val="0"/>
    </w:pPr>
    <w:rPr>
      <w:rFonts w:asciiTheme="majorHAnsi" w:eastAsiaTheme="majorEastAsia" w:hAnsiTheme="majorHAnsi" w:cstheme="majorBidi"/>
      <w:b/>
      <w:color w:val="1D609D" w:themeColor="accent1"/>
      <w:sz w:val="48"/>
      <w:szCs w:val="32"/>
    </w:rPr>
  </w:style>
  <w:style w:type="paragraph" w:styleId="Heading2">
    <w:name w:val="heading 2"/>
    <w:next w:val="BodyText"/>
    <w:link w:val="Heading2Char"/>
    <w:qFormat/>
    <w:rsid w:val="00F507D8"/>
    <w:pPr>
      <w:keepNext/>
      <w:keepLines/>
      <w:spacing w:before="240" w:after="120" w:line="276" w:lineRule="auto"/>
      <w:outlineLvl w:val="1"/>
    </w:pPr>
    <w:rPr>
      <w:rFonts w:asciiTheme="majorHAnsi" w:eastAsiaTheme="majorEastAsia" w:hAnsiTheme="majorHAnsi" w:cstheme="majorBidi"/>
      <w:b/>
      <w:sz w:val="32"/>
      <w:szCs w:val="26"/>
    </w:rPr>
  </w:style>
  <w:style w:type="paragraph" w:styleId="Heading3">
    <w:name w:val="heading 3"/>
    <w:next w:val="BodyText"/>
    <w:link w:val="Heading3Char"/>
    <w:qFormat/>
    <w:rsid w:val="002F075A"/>
    <w:pPr>
      <w:keepNext/>
      <w:keepLines/>
      <w:spacing w:after="0" w:line="276" w:lineRule="auto"/>
      <w:contextualSpacing/>
      <w:outlineLvl w:val="2"/>
    </w:pPr>
    <w:rPr>
      <w:rFonts w:asciiTheme="majorHAnsi" w:eastAsiaTheme="majorEastAsia" w:hAnsiTheme="majorHAnsi" w:cstheme="majorBidi"/>
      <w:b/>
      <w:sz w:val="24"/>
      <w:szCs w:val="24"/>
    </w:rPr>
  </w:style>
  <w:style w:type="paragraph" w:styleId="Heading4">
    <w:name w:val="heading 4"/>
    <w:next w:val="BodyText"/>
    <w:link w:val="Heading4Char"/>
    <w:qFormat/>
    <w:rsid w:val="002F075A"/>
    <w:pPr>
      <w:keepNext/>
      <w:keepLines/>
      <w:spacing w:after="0" w:line="276" w:lineRule="auto"/>
      <w:contextualSpacing/>
      <w:outlineLvl w:val="3"/>
    </w:pPr>
    <w:rPr>
      <w:rFonts w:asciiTheme="majorHAnsi" w:eastAsiaTheme="majorEastAsia" w:hAnsiTheme="majorHAns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BodyText"/>
    <w:link w:val="FootnoteTextChar"/>
    <w:qFormat/>
    <w:rsid w:val="00916276"/>
    <w:pPr>
      <w:spacing w:after="40" w:line="240" w:lineRule="auto"/>
      <w:ind w:left="284" w:hanging="284"/>
    </w:pPr>
    <w:rPr>
      <w:sz w:val="20"/>
      <w:szCs w:val="20"/>
    </w:rPr>
  </w:style>
  <w:style w:type="character" w:customStyle="1" w:styleId="FootnoteTextChar">
    <w:name w:val="Footnote Text Char"/>
    <w:basedOn w:val="DefaultParagraphFont"/>
    <w:link w:val="FootnoteText"/>
    <w:rsid w:val="00916276"/>
    <w:rPr>
      <w:sz w:val="20"/>
      <w:szCs w:val="20"/>
    </w:rPr>
  </w:style>
  <w:style w:type="character" w:styleId="FootnoteReference">
    <w:name w:val="footnote reference"/>
    <w:basedOn w:val="DefaultParagraphFont"/>
    <w:uiPriority w:val="99"/>
    <w:rsid w:val="00B91315"/>
    <w:rPr>
      <w:vertAlign w:val="superscript"/>
    </w:rPr>
  </w:style>
  <w:style w:type="paragraph" w:styleId="Title">
    <w:name w:val="Title"/>
    <w:next w:val="Subtitle"/>
    <w:link w:val="TitleChar"/>
    <w:uiPriority w:val="8"/>
    <w:semiHidden/>
    <w:qFormat/>
    <w:rsid w:val="00F507D8"/>
    <w:pPr>
      <w:spacing w:before="2940" w:after="0" w:line="240" w:lineRule="auto"/>
      <w:contextualSpacing/>
    </w:pPr>
    <w:rPr>
      <w:rFonts w:asciiTheme="majorHAnsi" w:eastAsiaTheme="majorEastAsia" w:hAnsiTheme="majorHAnsi" w:cstheme="majorBidi"/>
      <w:b/>
      <w:color w:val="1D609D" w:themeColor="accent1"/>
      <w:sz w:val="68"/>
      <w:szCs w:val="56"/>
    </w:rPr>
  </w:style>
  <w:style w:type="character" w:customStyle="1" w:styleId="TitleChar">
    <w:name w:val="Title Char"/>
    <w:basedOn w:val="DefaultParagraphFont"/>
    <w:link w:val="Title"/>
    <w:uiPriority w:val="8"/>
    <w:semiHidden/>
    <w:rsid w:val="00F507D8"/>
    <w:rPr>
      <w:rFonts w:asciiTheme="majorHAnsi" w:eastAsiaTheme="majorEastAsia" w:hAnsiTheme="majorHAnsi" w:cstheme="majorBidi"/>
      <w:b/>
      <w:color w:val="1D609D" w:themeColor="accent1"/>
      <w:sz w:val="68"/>
      <w:szCs w:val="56"/>
    </w:rPr>
  </w:style>
  <w:style w:type="paragraph" w:styleId="Subtitle">
    <w:name w:val="Subtitle"/>
    <w:next w:val="BodyText"/>
    <w:link w:val="SubtitleChar"/>
    <w:uiPriority w:val="8"/>
    <w:semiHidden/>
    <w:rsid w:val="00F507D8"/>
    <w:pPr>
      <w:numPr>
        <w:ilvl w:val="1"/>
      </w:numPr>
      <w:spacing w:after="0" w:line="240" w:lineRule="auto"/>
      <w:contextualSpacing/>
    </w:pPr>
    <w:rPr>
      <w:rFonts w:asciiTheme="majorHAnsi" w:eastAsiaTheme="minorEastAsia" w:hAnsiTheme="majorHAnsi"/>
      <w:b/>
      <w:color w:val="1D609D" w:themeColor="accent1"/>
      <w:sz w:val="48"/>
    </w:rPr>
  </w:style>
  <w:style w:type="character" w:customStyle="1" w:styleId="SubtitleChar">
    <w:name w:val="Subtitle Char"/>
    <w:basedOn w:val="DefaultParagraphFont"/>
    <w:link w:val="Subtitle"/>
    <w:uiPriority w:val="8"/>
    <w:semiHidden/>
    <w:rsid w:val="00F507D8"/>
    <w:rPr>
      <w:rFonts w:asciiTheme="majorHAnsi" w:eastAsiaTheme="minorEastAsia" w:hAnsiTheme="majorHAnsi"/>
      <w:b/>
      <w:color w:val="1D609D" w:themeColor="accent1"/>
      <w:sz w:val="48"/>
    </w:rPr>
  </w:style>
  <w:style w:type="character" w:styleId="FollowedHyperlink">
    <w:name w:val="FollowedHyperlink"/>
    <w:uiPriority w:val="8"/>
    <w:unhideWhenUsed/>
    <w:rsid w:val="00D50660"/>
    <w:rPr>
      <w:color w:val="00B1EB" w:themeColor="followedHyperlink"/>
      <w:u w:val="single"/>
    </w:rPr>
  </w:style>
  <w:style w:type="character" w:customStyle="1" w:styleId="Heading1Char">
    <w:name w:val="Heading 1 Char"/>
    <w:basedOn w:val="DefaultParagraphFont"/>
    <w:link w:val="Heading1"/>
    <w:rsid w:val="00F507D8"/>
    <w:rPr>
      <w:rFonts w:asciiTheme="majorHAnsi" w:eastAsiaTheme="majorEastAsia" w:hAnsiTheme="majorHAnsi" w:cstheme="majorBidi"/>
      <w:b/>
      <w:color w:val="1D609D" w:themeColor="accent1"/>
      <w:sz w:val="48"/>
      <w:szCs w:val="32"/>
    </w:rPr>
  </w:style>
  <w:style w:type="paragraph" w:styleId="TOCHeading">
    <w:name w:val="TOC Heading"/>
    <w:basedOn w:val="Heading1"/>
    <w:next w:val="BodyText"/>
    <w:uiPriority w:val="8"/>
    <w:semiHidden/>
    <w:rsid w:val="00AD05F3"/>
    <w:pPr>
      <w:outlineLvl w:val="9"/>
    </w:pPr>
  </w:style>
  <w:style w:type="character" w:customStyle="1" w:styleId="Heading2Char">
    <w:name w:val="Heading 2 Char"/>
    <w:basedOn w:val="DefaultParagraphFont"/>
    <w:link w:val="Heading2"/>
    <w:rsid w:val="00F507D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rsid w:val="002F075A"/>
    <w:rPr>
      <w:rFonts w:asciiTheme="majorHAnsi" w:eastAsiaTheme="majorEastAsia" w:hAnsiTheme="majorHAnsi" w:cstheme="majorBidi"/>
      <w:b/>
      <w:sz w:val="24"/>
      <w:szCs w:val="24"/>
    </w:rPr>
  </w:style>
  <w:style w:type="character" w:customStyle="1" w:styleId="Heading4Char">
    <w:name w:val="Heading 4 Char"/>
    <w:basedOn w:val="DefaultParagraphFont"/>
    <w:link w:val="Heading4"/>
    <w:rsid w:val="002F075A"/>
    <w:rPr>
      <w:rFonts w:asciiTheme="majorHAnsi" w:eastAsiaTheme="majorEastAsia" w:hAnsiTheme="majorHAnsi" w:cstheme="majorBidi"/>
      <w:i/>
      <w:iCs/>
      <w:sz w:val="24"/>
    </w:rPr>
  </w:style>
  <w:style w:type="paragraph" w:styleId="BodyText">
    <w:name w:val="Body Text"/>
    <w:link w:val="BodyTextChar"/>
    <w:uiPriority w:val="1"/>
    <w:qFormat/>
    <w:rsid w:val="002F075A"/>
    <w:pPr>
      <w:spacing w:after="240" w:line="276" w:lineRule="auto"/>
    </w:pPr>
    <w:rPr>
      <w:sz w:val="24"/>
    </w:rPr>
  </w:style>
  <w:style w:type="character" w:customStyle="1" w:styleId="BodyTextChar">
    <w:name w:val="Body Text Char"/>
    <w:basedOn w:val="DefaultParagraphFont"/>
    <w:link w:val="BodyText"/>
    <w:uiPriority w:val="1"/>
    <w:rsid w:val="002F075A"/>
    <w:rPr>
      <w:sz w:val="24"/>
    </w:rPr>
  </w:style>
  <w:style w:type="paragraph" w:styleId="BodyTextIndent">
    <w:name w:val="Body Text Indent"/>
    <w:basedOn w:val="BodyText"/>
    <w:link w:val="BodyTextIndentChar"/>
    <w:uiPriority w:val="1"/>
    <w:qFormat/>
    <w:rsid w:val="002F075A"/>
    <w:pPr>
      <w:ind w:left="357"/>
    </w:pPr>
  </w:style>
  <w:style w:type="character" w:customStyle="1" w:styleId="BodyTextIndentChar">
    <w:name w:val="Body Text Indent Char"/>
    <w:basedOn w:val="DefaultParagraphFont"/>
    <w:link w:val="BodyTextIndent"/>
    <w:uiPriority w:val="1"/>
    <w:rsid w:val="002F075A"/>
    <w:rPr>
      <w:sz w:val="24"/>
    </w:rPr>
  </w:style>
  <w:style w:type="paragraph" w:styleId="ListBullet">
    <w:name w:val="List Bullet"/>
    <w:basedOn w:val="BodyText"/>
    <w:uiPriority w:val="2"/>
    <w:qFormat/>
    <w:rsid w:val="00446DDB"/>
    <w:pPr>
      <w:numPr>
        <w:numId w:val="1"/>
      </w:numPr>
      <w:contextualSpacing/>
    </w:pPr>
  </w:style>
  <w:style w:type="paragraph" w:styleId="ListBullet2">
    <w:name w:val="List Bullet 2"/>
    <w:uiPriority w:val="2"/>
    <w:qFormat/>
    <w:rsid w:val="00446DDB"/>
    <w:pPr>
      <w:numPr>
        <w:numId w:val="2"/>
      </w:numPr>
      <w:spacing w:after="240" w:line="276" w:lineRule="auto"/>
      <w:contextualSpacing/>
    </w:pPr>
    <w:rPr>
      <w:sz w:val="24"/>
    </w:rPr>
  </w:style>
  <w:style w:type="paragraph" w:styleId="ListNumber">
    <w:name w:val="List Number"/>
    <w:basedOn w:val="BodyText"/>
    <w:uiPriority w:val="1"/>
    <w:qFormat/>
    <w:rsid w:val="002F075A"/>
    <w:pPr>
      <w:numPr>
        <w:numId w:val="3"/>
      </w:numPr>
    </w:pPr>
  </w:style>
  <w:style w:type="paragraph" w:styleId="Header">
    <w:name w:val="header"/>
    <w:basedOn w:val="BodyText"/>
    <w:link w:val="HeaderChar"/>
    <w:uiPriority w:val="8"/>
    <w:semiHidden/>
    <w:rsid w:val="009A1CE1"/>
    <w:pPr>
      <w:spacing w:after="0"/>
      <w:jc w:val="center"/>
    </w:pPr>
    <w:rPr>
      <w:sz w:val="18"/>
    </w:rPr>
  </w:style>
  <w:style w:type="character" w:customStyle="1" w:styleId="HeaderChar">
    <w:name w:val="Header Char"/>
    <w:basedOn w:val="DefaultParagraphFont"/>
    <w:link w:val="Header"/>
    <w:uiPriority w:val="8"/>
    <w:semiHidden/>
    <w:rsid w:val="00BC4DBC"/>
    <w:rPr>
      <w:sz w:val="18"/>
    </w:rPr>
  </w:style>
  <w:style w:type="paragraph" w:styleId="Footer">
    <w:name w:val="footer"/>
    <w:basedOn w:val="BodyText"/>
    <w:link w:val="FooterChar"/>
    <w:uiPriority w:val="8"/>
    <w:semiHidden/>
    <w:rsid w:val="00990242"/>
    <w:pPr>
      <w:spacing w:after="0" w:line="240" w:lineRule="auto"/>
      <w:jc w:val="center"/>
    </w:pPr>
    <w:rPr>
      <w:b/>
    </w:rPr>
  </w:style>
  <w:style w:type="character" w:customStyle="1" w:styleId="FooterChar">
    <w:name w:val="Footer Char"/>
    <w:basedOn w:val="DefaultParagraphFont"/>
    <w:link w:val="Footer"/>
    <w:uiPriority w:val="8"/>
    <w:semiHidden/>
    <w:rsid w:val="00BC4DBC"/>
    <w:rPr>
      <w:b/>
      <w:sz w:val="24"/>
    </w:rPr>
  </w:style>
  <w:style w:type="paragraph" w:styleId="TOC1">
    <w:name w:val="toc 1"/>
    <w:basedOn w:val="BodyText"/>
    <w:uiPriority w:val="39"/>
    <w:semiHidden/>
    <w:rsid w:val="003D27AC"/>
    <w:pPr>
      <w:tabs>
        <w:tab w:val="right" w:pos="9639"/>
      </w:tabs>
      <w:spacing w:before="240" w:after="120"/>
    </w:pPr>
    <w:rPr>
      <w:b/>
    </w:rPr>
  </w:style>
  <w:style w:type="paragraph" w:styleId="TOC2">
    <w:name w:val="toc 2"/>
    <w:basedOn w:val="TOC1"/>
    <w:next w:val="BodyText"/>
    <w:uiPriority w:val="39"/>
    <w:semiHidden/>
    <w:rsid w:val="003D27AC"/>
    <w:pPr>
      <w:spacing w:before="0"/>
    </w:pPr>
    <w:rPr>
      <w:b w:val="0"/>
    </w:rPr>
  </w:style>
  <w:style w:type="character" w:styleId="Hyperlink">
    <w:name w:val="Hyperlink"/>
    <w:unhideWhenUsed/>
    <w:rsid w:val="00990242"/>
    <w:rPr>
      <w:color w:val="00B1EB" w:themeColor="hyperlink"/>
      <w:u w:val="single"/>
    </w:rPr>
  </w:style>
  <w:style w:type="paragraph" w:customStyle="1" w:styleId="EmphasisHeading">
    <w:name w:val="Emphasis Heading"/>
    <w:basedOn w:val="BodyText"/>
    <w:next w:val="EmphasisText"/>
    <w:uiPriority w:val="3"/>
    <w:qFormat/>
    <w:rsid w:val="00E4123E"/>
    <w:pPr>
      <w:keepNext/>
      <w:keepLines/>
      <w:pBdr>
        <w:top w:val="single" w:sz="48" w:space="6" w:color="99E0F7"/>
        <w:left w:val="single" w:sz="48" w:space="4" w:color="99E0F7"/>
        <w:bottom w:val="single" w:sz="48" w:space="6" w:color="99E0F7"/>
        <w:right w:val="single" w:sz="48" w:space="4" w:color="99E0F7"/>
      </w:pBdr>
      <w:shd w:val="clear" w:color="auto" w:fill="99E0F7"/>
      <w:spacing w:before="240"/>
      <w:ind w:left="199"/>
    </w:pPr>
    <w:rPr>
      <w:b/>
      <w:color w:val="003057"/>
    </w:rPr>
  </w:style>
  <w:style w:type="paragraph" w:customStyle="1" w:styleId="EmphasisText">
    <w:name w:val="Emphasis Text"/>
    <w:basedOn w:val="BodyText"/>
    <w:uiPriority w:val="3"/>
    <w:qFormat/>
    <w:rsid w:val="00E4123E"/>
    <w:pPr>
      <w:keepLines/>
      <w:pBdr>
        <w:top w:val="single" w:sz="48" w:space="6" w:color="99E0F7"/>
        <w:left w:val="single" w:sz="48" w:space="4" w:color="99E0F7"/>
        <w:bottom w:val="single" w:sz="48" w:space="6" w:color="99E0F7"/>
        <w:right w:val="single" w:sz="48" w:space="4" w:color="99E0F7"/>
      </w:pBdr>
      <w:shd w:val="clear" w:color="auto" w:fill="99E0F7"/>
      <w:ind w:left="199"/>
    </w:pPr>
    <w:rPr>
      <w:color w:val="003057"/>
    </w:rPr>
  </w:style>
  <w:style w:type="table" w:styleId="TableGrid">
    <w:name w:val="Table Grid"/>
    <w:basedOn w:val="TableNormal"/>
    <w:uiPriority w:val="39"/>
    <w:rsid w:val="00E4123E"/>
    <w:pPr>
      <w:spacing w:after="0" w:line="240" w:lineRule="auto"/>
    </w:pPr>
    <w:tblPr>
      <w:tbl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blBorders>
      <w:tblCellMar>
        <w:top w:w="57" w:type="dxa"/>
        <w:left w:w="57" w:type="dxa"/>
        <w:bottom w:w="57" w:type="dxa"/>
        <w:right w:w="57" w:type="dxa"/>
      </w:tblCellMar>
    </w:tblPr>
    <w:tblStylePr w:type="firstRow">
      <w:pPr>
        <w:keepNext/>
        <w:keepLines/>
        <w:widowControl/>
        <w:wordWrap/>
      </w:pPr>
      <w:rPr>
        <w:b/>
        <w:color w:val="FFFFFF" w:themeColor="background1"/>
      </w:rPr>
      <w:tblPr/>
      <w:tcPr>
        <w:tc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l2br w:val="nil"/>
          <w:tr2bl w:val="nil"/>
        </w:tcBorders>
        <w:shd w:val="clear" w:color="auto" w:fill="1D609D" w:themeFill="accent1"/>
      </w:tcPr>
    </w:tblStylePr>
    <w:tblStylePr w:type="firstCol">
      <w:rPr>
        <w:b/>
        <w:i w:val="0"/>
      </w:rPr>
    </w:tblStylePr>
  </w:style>
  <w:style w:type="paragraph" w:customStyle="1" w:styleId="Covertext">
    <w:name w:val="Cover text"/>
    <w:basedOn w:val="BodyText"/>
    <w:uiPriority w:val="8"/>
    <w:semiHidden/>
    <w:qFormat/>
    <w:rsid w:val="00AE4DF7"/>
    <w:pPr>
      <w:spacing w:after="0"/>
    </w:pPr>
    <w:rPr>
      <w:color w:val="FFFFFF" w:themeColor="background1"/>
    </w:rPr>
  </w:style>
  <w:style w:type="character" w:styleId="UnresolvedMention">
    <w:name w:val="Unresolved Mention"/>
    <w:basedOn w:val="DefaultParagraphFont"/>
    <w:uiPriority w:val="99"/>
    <w:semiHidden/>
    <w:rsid w:val="00AD52C7"/>
    <w:rPr>
      <w:color w:val="808080"/>
      <w:shd w:val="clear" w:color="auto" w:fill="E6E6E6"/>
    </w:rPr>
  </w:style>
  <w:style w:type="character" w:styleId="CommentReference">
    <w:name w:val="annotation reference"/>
    <w:basedOn w:val="DefaultParagraphFont"/>
    <w:uiPriority w:val="99"/>
    <w:semiHidden/>
    <w:unhideWhenUsed/>
    <w:rsid w:val="00E66A89"/>
    <w:rPr>
      <w:sz w:val="16"/>
      <w:szCs w:val="16"/>
    </w:rPr>
  </w:style>
  <w:style w:type="paragraph" w:styleId="CommentText">
    <w:name w:val="annotation text"/>
    <w:basedOn w:val="Normal"/>
    <w:link w:val="CommentTextChar"/>
    <w:uiPriority w:val="99"/>
    <w:unhideWhenUsed/>
    <w:rsid w:val="00E66A89"/>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66A89"/>
    <w:rPr>
      <w:rFonts w:ascii="Arial" w:eastAsia="Times New Roman" w:hAnsi="Arial" w:cs="Times New Roman"/>
      <w:sz w:val="20"/>
      <w:szCs w:val="20"/>
    </w:rPr>
  </w:style>
  <w:style w:type="paragraph" w:styleId="ListParagraph">
    <w:name w:val="List Paragraph"/>
    <w:basedOn w:val="Normal"/>
    <w:uiPriority w:val="34"/>
    <w:qFormat/>
    <w:rsid w:val="00E66A89"/>
    <w:pPr>
      <w:spacing w:line="240" w:lineRule="auto"/>
      <w:ind w:left="720"/>
      <w:contextualSpacing/>
    </w:pPr>
    <w:rPr>
      <w:rFonts w:ascii="Arial" w:eastAsia="Times New Roman" w:hAnsi="Arial" w:cs="Times New Roman"/>
      <w:sz w:val="22"/>
      <w:szCs w:val="20"/>
    </w:rPr>
  </w:style>
  <w:style w:type="paragraph" w:styleId="BalloonText">
    <w:name w:val="Balloon Text"/>
    <w:basedOn w:val="Normal"/>
    <w:link w:val="BalloonTextChar"/>
    <w:uiPriority w:val="99"/>
    <w:semiHidden/>
    <w:rsid w:val="00E66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89"/>
    <w:rPr>
      <w:rFonts w:ascii="Segoe UI" w:hAnsi="Segoe UI" w:cs="Segoe UI"/>
      <w:sz w:val="18"/>
      <w:szCs w:val="18"/>
    </w:rPr>
  </w:style>
  <w:style w:type="character" w:customStyle="1" w:styleId="TextChar">
    <w:name w:val="Text Char"/>
    <w:link w:val="Text"/>
    <w:rsid w:val="00E66A89"/>
    <w:rPr>
      <w:rFonts w:ascii="Arial" w:hAnsi="Arial"/>
      <w:lang w:eastAsia="en-GB"/>
    </w:rPr>
  </w:style>
  <w:style w:type="paragraph" w:customStyle="1" w:styleId="Text">
    <w:name w:val="Text"/>
    <w:link w:val="TextChar"/>
    <w:qFormat/>
    <w:rsid w:val="00E66A89"/>
    <w:pPr>
      <w:spacing w:after="240" w:line="240" w:lineRule="auto"/>
    </w:pPr>
    <w:rPr>
      <w:rFonts w:ascii="Arial" w:hAnsi="Arial"/>
      <w:lang w:eastAsia="en-GB"/>
    </w:rPr>
  </w:style>
  <w:style w:type="paragraph" w:styleId="NormalWeb">
    <w:name w:val="Normal (Web)"/>
    <w:basedOn w:val="Normal"/>
    <w:rsid w:val="00E66A89"/>
    <w:pPr>
      <w:spacing w:before="100" w:beforeAutospacing="1" w:after="100" w:afterAutospacing="1" w:line="240" w:lineRule="auto"/>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rsid w:val="00F12B8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2B8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ectedbloodinquiry.org.uk/evide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icsa.org.uk/news/chair-of-the-inquiry-issues-guidance-on-destruction-of-docu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record-retention-and-disposition-schedu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record-retention-and-disposition-schedu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J">
      <a:dk1>
        <a:sysClr val="windowText" lastClr="000000"/>
      </a:dk1>
      <a:lt1>
        <a:sysClr val="window" lastClr="FFFFFF"/>
      </a:lt1>
      <a:dk2>
        <a:srgbClr val="000000"/>
      </a:dk2>
      <a:lt2>
        <a:srgbClr val="FFFFFF"/>
      </a:lt2>
      <a:accent1>
        <a:srgbClr val="1D609D"/>
      </a:accent1>
      <a:accent2>
        <a:srgbClr val="30AA51"/>
      </a:accent2>
      <a:accent3>
        <a:srgbClr val="E9426E"/>
      </a:accent3>
      <a:accent4>
        <a:srgbClr val="565B96"/>
      </a:accent4>
      <a:accent5>
        <a:srgbClr val="00A5A1"/>
      </a:accent5>
      <a:accent6>
        <a:srgbClr val="EE7127"/>
      </a:accent6>
      <a:hlink>
        <a:srgbClr val="00B1EB"/>
      </a:hlink>
      <a:folHlink>
        <a:srgbClr val="00B1EB"/>
      </a:folHlink>
    </a:clrScheme>
    <a:fontScheme name="MoJ">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E3F6B41A1DAB4B87E6A50B1B33ACF9" ma:contentTypeVersion="12" ma:contentTypeDescription="Create a new document." ma:contentTypeScope="" ma:versionID="917b73b32c1ef4c05e596a3250c1417d">
  <xsd:schema xmlns:xsd="http://www.w3.org/2001/XMLSchema" xmlns:xs="http://www.w3.org/2001/XMLSchema" xmlns:p="http://schemas.microsoft.com/office/2006/metadata/properties" xmlns:ns1="http://schemas.microsoft.com/sharepoint/v3" xmlns:ns3="2332c961-6f67-4d2a-9fad-b382164b977c" xmlns:ns4="d5354e63-dc31-42f4-b5be-47429dadf320" targetNamespace="http://schemas.microsoft.com/office/2006/metadata/properties" ma:root="true" ma:fieldsID="320bffe2f21ec08e5882bee321a2d46c" ns1:_="" ns3:_="" ns4:_="">
    <xsd:import namespace="http://schemas.microsoft.com/sharepoint/v3"/>
    <xsd:import namespace="2332c961-6f67-4d2a-9fad-b382164b977c"/>
    <xsd:import namespace="d5354e63-dc31-42f4-b5be-47429dadf3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2c961-6f67-4d2a-9fad-b382164b97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54e63-dc31-42f4-b5be-47429dadf3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F1448-CFE7-4B48-AFF8-CCD1266CA1F6}">
  <ds:schemaRefs>
    <ds:schemaRef ds:uri="http://purl.org/dc/elements/1.1/"/>
    <ds:schemaRef ds:uri="http://schemas.microsoft.com/office/2006/metadata/properties"/>
    <ds:schemaRef ds:uri="http://schemas.openxmlformats.org/package/2006/metadata/core-properties"/>
    <ds:schemaRef ds:uri="2332c961-6f67-4d2a-9fad-b382164b977c"/>
    <ds:schemaRef ds:uri="http://purl.org/dc/terms/"/>
    <ds:schemaRef ds:uri="http://purl.org/dc/dcmitype/"/>
    <ds:schemaRef ds:uri="http://schemas.microsoft.com/office/2006/documentManagement/types"/>
    <ds:schemaRef ds:uri="http://schemas.microsoft.com/office/infopath/2007/PartnerControls"/>
    <ds:schemaRef ds:uri="d5354e63-dc31-42f4-b5be-47429dadf320"/>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C564559-17EE-489F-BDA0-28518495B229}">
  <ds:schemaRefs>
    <ds:schemaRef ds:uri="http://schemas.microsoft.com/sharepoint/v3/contenttype/forms"/>
  </ds:schemaRefs>
</ds:datastoreItem>
</file>

<file path=customXml/itemProps3.xml><?xml version="1.0" encoding="utf-8"?>
<ds:datastoreItem xmlns:ds="http://schemas.openxmlformats.org/officeDocument/2006/customXml" ds:itemID="{FBF1DF61-FA94-4A39-B7A0-5D772656A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32c961-6f67-4d2a-9fad-b382164b977c"/>
    <ds:schemaRef ds:uri="d5354e63-dc31-42f4-b5be-47429dadf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0D370A-250E-4ADC-B706-9F051840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[Title]</vt:lpstr>
    </vt:vector>
  </TitlesOfParts>
  <Manager>Ministry of Justice</Manager>
  <Company>Ministry of Justice</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Ministry of Justice</dc:creator>
  <cp:keywords>[Key words for search engines, separated by commas]</cp:keywords>
  <dc:description/>
  <cp:lastModifiedBy>Robbins, Rachel</cp:lastModifiedBy>
  <cp:revision>4</cp:revision>
  <dcterms:created xsi:type="dcterms:W3CDTF">2019-12-23T11:03:00Z</dcterms:created>
  <dcterms:modified xsi:type="dcterms:W3CDTF">2019-12-23T16:52:00Z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0x010100A4E3F6B41A1DAB4B87E6A50B1B33ACF9</vt:lpwstr>
  </property>
</Properties>
</file>