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8E83" w14:textId="4C5BF57E" w:rsidR="00BD26AC" w:rsidRDefault="00F87A7C" w:rsidP="00F87A7C">
      <w:r w:rsidRPr="00A400EA">
        <w:rPr>
          <w:rFonts w:cs="Arial"/>
          <w:noProof/>
          <w:sz w:val="40"/>
          <w:szCs w:val="40"/>
        </w:rPr>
        <w:drawing>
          <wp:inline distT="0" distB="0" distL="0" distR="0" wp14:anchorId="2383F506" wp14:editId="185B9989">
            <wp:extent cx="1344930" cy="842010"/>
            <wp:effectExtent l="0" t="0" r="1270" b="0"/>
            <wp:docPr id="2" name="Picture 2"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0"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heme="majorEastAsia" w:hAnsi="Arial" w:cs="Arial"/>
          <w:b/>
          <w:bCs/>
          <w:color w:val="1D4F75"/>
          <w:spacing w:val="-10"/>
          <w:kern w:val="28"/>
          <w:sz w:val="40"/>
          <w:szCs w:val="40"/>
          <w:lang w:eastAsia="en-GB"/>
        </w:rPr>
        <w:tab/>
      </w:r>
      <w:r>
        <w:rPr>
          <w:rFonts w:ascii="Arial" w:eastAsiaTheme="majorEastAsia" w:hAnsi="Arial" w:cs="Arial"/>
          <w:b/>
          <w:bCs/>
          <w:color w:val="1D4F75"/>
          <w:spacing w:val="-10"/>
          <w:kern w:val="28"/>
          <w:sz w:val="40"/>
          <w:szCs w:val="40"/>
          <w:lang w:eastAsia="en-GB"/>
        </w:rPr>
        <w:tab/>
      </w:r>
      <w:r w:rsidR="00520DAC" w:rsidRPr="00F87A7C">
        <w:rPr>
          <w:rFonts w:ascii="Arial" w:hAnsi="Arial" w:cs="Arial"/>
          <w:b/>
          <w:bCs/>
          <w:color w:val="1D4F75"/>
          <w:sz w:val="40"/>
          <w:szCs w:val="40"/>
          <w:lang w:eastAsia="en-GB"/>
        </w:rPr>
        <w:t>Incident Response Checklist</w:t>
      </w:r>
    </w:p>
    <w:p w14:paraId="7DFBE418" w14:textId="77777777" w:rsidR="00BD26AC" w:rsidRDefault="00520DAC">
      <w:pPr>
        <w:rPr>
          <w:b/>
          <w:bCs/>
          <w:sz w:val="28"/>
          <w:szCs w:val="28"/>
        </w:rPr>
      </w:pPr>
      <w:r>
        <w:rPr>
          <w:b/>
          <w:bCs/>
          <w:sz w:val="28"/>
          <w:szCs w:val="28"/>
        </w:rPr>
        <w:t xml:space="preserve">Considerations for school </w:t>
      </w:r>
      <w:r w:rsidR="000C36A6">
        <w:rPr>
          <w:b/>
          <w:bCs/>
          <w:sz w:val="28"/>
          <w:szCs w:val="28"/>
        </w:rPr>
        <w:t xml:space="preserve">and college </w:t>
      </w:r>
      <w:r>
        <w:rPr>
          <w:b/>
          <w:bCs/>
          <w:sz w:val="28"/>
          <w:szCs w:val="28"/>
        </w:rPr>
        <w:t xml:space="preserve">leaders in the event of a terrorist incident that impacts upon a school or college: </w:t>
      </w:r>
    </w:p>
    <w:p w14:paraId="436A68E1" w14:textId="77777777" w:rsidR="00BD26AC" w:rsidRDefault="00520DAC">
      <w:pPr>
        <w:rPr>
          <w:rFonts w:cs="Calibri"/>
        </w:rPr>
      </w:pPr>
      <w:r>
        <w:rPr>
          <w:rFonts w:cs="Calibri"/>
        </w:rPr>
        <w:t>This checklist signposts resources and highlights some areas for consideration in the immediate aftermath of a terrorist incident that affects a school</w:t>
      </w:r>
      <w:r w:rsidR="00CA6211">
        <w:rPr>
          <w:rFonts w:cs="Calibri"/>
        </w:rPr>
        <w:t xml:space="preserve"> </w:t>
      </w:r>
      <w:r w:rsidR="000C36A6">
        <w:rPr>
          <w:rFonts w:cs="Calibri"/>
        </w:rPr>
        <w:t>or college</w:t>
      </w:r>
      <w:r>
        <w:rPr>
          <w:rFonts w:cs="Calibri"/>
        </w:rPr>
        <w:t xml:space="preserve">. This could be </w:t>
      </w:r>
      <w:r w:rsidR="000C36A6">
        <w:rPr>
          <w:rFonts w:cs="Calibri"/>
        </w:rPr>
        <w:t>students</w:t>
      </w:r>
      <w:r>
        <w:rPr>
          <w:rFonts w:cs="Calibri"/>
        </w:rPr>
        <w:t>, staff members or the wider community directly affected by an incident; not necessarily an incident that takes place on school</w:t>
      </w:r>
      <w:r w:rsidR="000C36A6">
        <w:rPr>
          <w:rFonts w:cs="Calibri"/>
        </w:rPr>
        <w:t>/college</w:t>
      </w:r>
      <w:r>
        <w:rPr>
          <w:rFonts w:cs="Calibri"/>
        </w:rPr>
        <w:t xml:space="preserve"> premises. </w:t>
      </w:r>
    </w:p>
    <w:tbl>
      <w:tblPr>
        <w:tblW w:w="13745" w:type="dxa"/>
        <w:tblCellMar>
          <w:left w:w="10" w:type="dxa"/>
          <w:right w:w="10" w:type="dxa"/>
        </w:tblCellMar>
        <w:tblLook w:val="0000" w:firstRow="0" w:lastRow="0" w:firstColumn="0" w:lastColumn="0" w:noHBand="0" w:noVBand="0"/>
      </w:tblPr>
      <w:tblGrid>
        <w:gridCol w:w="3005"/>
        <w:gridCol w:w="3794"/>
        <w:gridCol w:w="6946"/>
      </w:tblGrid>
      <w:tr w:rsidR="00BD26AC" w14:paraId="4328368A" w14:textId="77777777" w:rsidTr="0053523C">
        <w:trPr>
          <w:trHeight w:val="486"/>
        </w:trPr>
        <w:tc>
          <w:tcPr>
            <w:tcW w:w="300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77A705E" w14:textId="53DE8D6A" w:rsidR="00BD26AC" w:rsidRPr="0053523C" w:rsidRDefault="00520DAC">
            <w:pPr>
              <w:spacing w:after="0" w:line="240" w:lineRule="auto"/>
              <w:rPr>
                <w:rFonts w:cs="Calibri"/>
                <w:b/>
                <w:bCs/>
              </w:rPr>
            </w:pPr>
            <w:r>
              <w:rPr>
                <w:rFonts w:cs="Calibri"/>
                <w:b/>
                <w:bCs/>
              </w:rPr>
              <w:t xml:space="preserve">Timings </w:t>
            </w:r>
            <w:r w:rsidR="00B10DBF">
              <w:rPr>
                <w:rFonts w:cs="Calibri"/>
                <w:b/>
                <w:bCs/>
              </w:rPr>
              <w:t>–</w:t>
            </w:r>
            <w:r>
              <w:rPr>
                <w:rFonts w:cs="Calibri"/>
                <w:b/>
                <w:bCs/>
              </w:rPr>
              <w:t xml:space="preserve"> 0</w:t>
            </w:r>
            <w:r w:rsidR="00B10DBF">
              <w:rPr>
                <w:rFonts w:cs="Calibri"/>
                <w:b/>
                <w:bCs/>
              </w:rPr>
              <w:t xml:space="preserve"> to </w:t>
            </w:r>
            <w:r>
              <w:rPr>
                <w:rFonts w:cs="Calibri"/>
                <w:b/>
                <w:bCs/>
              </w:rPr>
              <w:t>48 hours</w:t>
            </w:r>
          </w:p>
        </w:tc>
        <w:tc>
          <w:tcPr>
            <w:tcW w:w="37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E20EFC5" w14:textId="1BE408D5" w:rsidR="00BD26AC" w:rsidRPr="0053523C" w:rsidRDefault="00520DAC">
            <w:pPr>
              <w:spacing w:after="0" w:line="240" w:lineRule="auto"/>
              <w:rPr>
                <w:rFonts w:cs="Calibri"/>
                <w:b/>
                <w:bCs/>
              </w:rPr>
            </w:pPr>
            <w:r>
              <w:rPr>
                <w:rFonts w:cs="Calibri"/>
                <w:b/>
                <w:bCs/>
              </w:rPr>
              <w:t>Context</w:t>
            </w:r>
          </w:p>
        </w:tc>
        <w:tc>
          <w:tcPr>
            <w:tcW w:w="694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DB891F" w14:textId="16338762" w:rsidR="00BD26AC" w:rsidRPr="0053523C" w:rsidRDefault="00520DAC">
            <w:pPr>
              <w:spacing w:after="0" w:line="240" w:lineRule="auto"/>
              <w:rPr>
                <w:rFonts w:cs="Calibri"/>
                <w:b/>
                <w:bCs/>
              </w:rPr>
            </w:pPr>
            <w:r>
              <w:rPr>
                <w:rFonts w:cs="Calibri"/>
                <w:b/>
                <w:bCs/>
              </w:rPr>
              <w:t>Considerations</w:t>
            </w:r>
          </w:p>
        </w:tc>
      </w:tr>
      <w:tr w:rsidR="00BD26AC" w14:paraId="1E81787F"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FAA48" w14:textId="0BBB9BEF" w:rsidR="00BD26AC" w:rsidRDefault="00520DAC">
            <w:pPr>
              <w:spacing w:after="0" w:line="240" w:lineRule="auto"/>
            </w:pPr>
            <w:r>
              <w:rPr>
                <w:rFonts w:cs="Calibri"/>
                <w:b/>
                <w:bCs/>
              </w:rPr>
              <w:t xml:space="preserve">Immediate need to clarify what has happened and what impact there is upon the school </w:t>
            </w:r>
            <w:r w:rsidR="000C36A6">
              <w:rPr>
                <w:rFonts w:cs="Calibri"/>
                <w:b/>
                <w:bCs/>
              </w:rPr>
              <w:t xml:space="preserve">or college </w:t>
            </w:r>
            <w:r>
              <w:rPr>
                <w:rFonts w:cs="Calibri"/>
                <w:b/>
                <w:bCs/>
              </w:rPr>
              <w:t>(students and staff)</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D859" w14:textId="415F9A9F" w:rsidR="00BD26AC" w:rsidRPr="00B10DBF" w:rsidRDefault="00520DAC">
            <w:pPr>
              <w:spacing w:after="0" w:line="240" w:lineRule="auto"/>
              <w:rPr>
                <w:rFonts w:cs="Calibri"/>
              </w:rPr>
            </w:pPr>
            <w:r>
              <w:rPr>
                <w:rFonts w:cs="Calibri"/>
              </w:rPr>
              <w:t>In the unlikely event of a terror-related incident that impacts a school</w:t>
            </w:r>
            <w:r w:rsidR="000C36A6">
              <w:rPr>
                <w:rFonts w:cs="Calibri"/>
              </w:rPr>
              <w:t xml:space="preserve"> or college</w:t>
            </w:r>
            <w:r>
              <w:rPr>
                <w:rFonts w:cs="Calibri"/>
              </w:rPr>
              <w:t xml:space="preserve">, </w:t>
            </w:r>
            <w:r w:rsidR="000C36A6">
              <w:rPr>
                <w:rFonts w:cs="Calibri"/>
              </w:rPr>
              <w:t>senior management</w:t>
            </w:r>
            <w:r>
              <w:rPr>
                <w:rFonts w:cs="Calibri"/>
              </w:rPr>
              <w:t xml:space="preserve"> will quickly need to clarify how the school</w:t>
            </w:r>
            <w:r w:rsidR="000C36A6">
              <w:rPr>
                <w:rFonts w:cs="Calibri"/>
              </w:rPr>
              <w:t>/college</w:t>
            </w:r>
            <w:r>
              <w:rPr>
                <w:rFonts w:cs="Calibri"/>
              </w:rPr>
              <w:t xml:space="preserve"> has been affected and their immediate response to this. Social media will be rife with rumours, press reporting will be varied, and students will have their own sources of information.  Establishing the truth is key to being able to correctly and sensitively communicate this with staff, </w:t>
            </w:r>
            <w:r w:rsidR="000C36A6">
              <w:rPr>
                <w:rFonts w:cs="Calibri"/>
              </w:rPr>
              <w:t>students</w:t>
            </w:r>
            <w:r w:rsidR="00225076">
              <w:rPr>
                <w:rFonts w:cs="Calibri"/>
              </w:rPr>
              <w:t xml:space="preserve"> and the wider community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9F54" w14:textId="77777777" w:rsidR="00BD26AC" w:rsidRDefault="00520DAC">
            <w:pPr>
              <w:spacing w:after="240" w:line="240" w:lineRule="auto"/>
            </w:pPr>
            <w:r>
              <w:rPr>
                <w:rFonts w:cs="Calibri"/>
              </w:rPr>
              <w:t>Establishing relationships with key partners in the local authority, police and DfE contacts</w:t>
            </w:r>
            <w:r>
              <w:rPr>
                <w:rStyle w:val="EndnoteReference"/>
                <w:rFonts w:cs="Calibri"/>
              </w:rPr>
              <w:endnoteReference w:id="1"/>
            </w:r>
            <w:r>
              <w:rPr>
                <w:rFonts w:cs="Calibri"/>
              </w:rPr>
              <w:t xml:space="preserve"> in the region will enable quick confirmation of what has happened or dispel rumours. </w:t>
            </w:r>
            <w:r>
              <w:rPr>
                <w:rFonts w:cs="Calibri"/>
                <w:b/>
                <w:bCs/>
              </w:rPr>
              <w:t>Add details for your school/college below</w:t>
            </w:r>
            <w:r>
              <w:rPr>
                <w:rFonts w:cs="Calibri"/>
              </w:rPr>
              <w:t>:</w:t>
            </w:r>
            <w:r>
              <w:rPr>
                <w:rFonts w:cs="Calibri"/>
              </w:rPr>
              <w:br/>
            </w:r>
            <w:r>
              <w:rPr>
                <w:rFonts w:cs="Calibri"/>
              </w:rPr>
              <w:br/>
              <w:t xml:space="preserve">Local </w:t>
            </w:r>
            <w:r w:rsidR="000C36A6">
              <w:rPr>
                <w:rFonts w:cs="Calibri"/>
              </w:rPr>
              <w:t>p</w:t>
            </w:r>
            <w:r>
              <w:rPr>
                <w:rFonts w:cs="Calibri"/>
              </w:rPr>
              <w:t xml:space="preserve">olice </w:t>
            </w:r>
            <w:proofErr w:type="gramStart"/>
            <w:r w:rsidR="000C36A6">
              <w:rPr>
                <w:rFonts w:cs="Calibri"/>
              </w:rPr>
              <w:t>c</w:t>
            </w:r>
            <w:r>
              <w:rPr>
                <w:rFonts w:cs="Calibri"/>
              </w:rPr>
              <w:t>ontact:…</w:t>
            </w:r>
            <w:proofErr w:type="gramEnd"/>
            <w:r>
              <w:rPr>
                <w:rFonts w:cs="Calibri"/>
              </w:rPr>
              <w:t>………………………………………………</w:t>
            </w:r>
          </w:p>
          <w:p w14:paraId="2CB8EC89" w14:textId="77777777" w:rsidR="00BD26AC" w:rsidRDefault="00520DAC">
            <w:pPr>
              <w:spacing w:after="240" w:line="240" w:lineRule="auto"/>
              <w:rPr>
                <w:rFonts w:cs="Calibri"/>
              </w:rPr>
            </w:pPr>
            <w:r>
              <w:rPr>
                <w:rFonts w:cs="Calibri"/>
              </w:rPr>
              <w:t xml:space="preserve">Local </w:t>
            </w:r>
            <w:r w:rsidR="000C36A6">
              <w:rPr>
                <w:rFonts w:cs="Calibri"/>
              </w:rPr>
              <w:t>a</w:t>
            </w:r>
            <w:r>
              <w:rPr>
                <w:rFonts w:cs="Calibri"/>
              </w:rPr>
              <w:t xml:space="preserve">uthority </w:t>
            </w:r>
            <w:r w:rsidR="000C36A6">
              <w:rPr>
                <w:rFonts w:cs="Calibri"/>
              </w:rPr>
              <w:t>e</w:t>
            </w:r>
            <w:r>
              <w:rPr>
                <w:rFonts w:cs="Calibri"/>
              </w:rPr>
              <w:t xml:space="preserve">mergency </w:t>
            </w:r>
            <w:proofErr w:type="gramStart"/>
            <w:r w:rsidR="000C36A6">
              <w:rPr>
                <w:rFonts w:cs="Calibri"/>
              </w:rPr>
              <w:t>c</w:t>
            </w:r>
            <w:r>
              <w:rPr>
                <w:rFonts w:cs="Calibri"/>
              </w:rPr>
              <w:t>ontact:…</w:t>
            </w:r>
            <w:proofErr w:type="gramEnd"/>
            <w:r>
              <w:rPr>
                <w:rFonts w:cs="Calibri"/>
              </w:rPr>
              <w:t>………………………</w:t>
            </w:r>
          </w:p>
          <w:p w14:paraId="4D57093A" w14:textId="77777777" w:rsidR="00BD26AC" w:rsidRDefault="00520DAC">
            <w:pPr>
              <w:spacing w:after="240" w:line="240" w:lineRule="auto"/>
              <w:rPr>
                <w:rFonts w:cs="Calibri"/>
              </w:rPr>
            </w:pPr>
            <w:r>
              <w:rPr>
                <w:rFonts w:cs="Calibri"/>
              </w:rPr>
              <w:t xml:space="preserve">Local </w:t>
            </w:r>
            <w:r w:rsidR="000C36A6">
              <w:rPr>
                <w:rFonts w:cs="Calibri"/>
              </w:rPr>
              <w:t>a</w:t>
            </w:r>
            <w:r>
              <w:rPr>
                <w:rFonts w:cs="Calibri"/>
              </w:rPr>
              <w:t xml:space="preserve">uthority Prevent </w:t>
            </w:r>
            <w:proofErr w:type="gramStart"/>
            <w:r w:rsidR="000C36A6">
              <w:rPr>
                <w:rFonts w:cs="Calibri"/>
              </w:rPr>
              <w:t>l</w:t>
            </w:r>
            <w:r>
              <w:rPr>
                <w:rFonts w:cs="Calibri"/>
              </w:rPr>
              <w:t>ead:…</w:t>
            </w:r>
            <w:proofErr w:type="gramEnd"/>
            <w:r>
              <w:rPr>
                <w:rFonts w:cs="Calibri"/>
              </w:rPr>
              <w:t>………………………………..</w:t>
            </w:r>
          </w:p>
          <w:p w14:paraId="1F09DE86" w14:textId="77777777" w:rsidR="00BD26AC" w:rsidRDefault="00520DAC">
            <w:pPr>
              <w:spacing w:after="240" w:line="240" w:lineRule="auto"/>
              <w:rPr>
                <w:rFonts w:cs="Calibri"/>
              </w:rPr>
            </w:pPr>
            <w:r>
              <w:rPr>
                <w:rFonts w:cs="Calibri"/>
              </w:rPr>
              <w:t xml:space="preserve">HE/FE </w:t>
            </w:r>
            <w:proofErr w:type="gramStart"/>
            <w:r>
              <w:rPr>
                <w:rFonts w:cs="Calibri"/>
              </w:rPr>
              <w:t>Coordinator:…</w:t>
            </w:r>
            <w:proofErr w:type="gramEnd"/>
            <w:r>
              <w:rPr>
                <w:rFonts w:cs="Calibri"/>
              </w:rPr>
              <w:t>………………………………………………..</w:t>
            </w:r>
          </w:p>
          <w:p w14:paraId="58AA7619" w14:textId="233B9F6B" w:rsidR="00BD26AC" w:rsidRDefault="00520DAC" w:rsidP="00CA6211">
            <w:pPr>
              <w:spacing w:after="240" w:line="240" w:lineRule="auto"/>
            </w:pPr>
            <w:r>
              <w:rPr>
                <w:rFonts w:cs="Calibri"/>
              </w:rPr>
              <w:t xml:space="preserve">Counter-Terrorism </w:t>
            </w:r>
            <w:r w:rsidR="00CA6211">
              <w:rPr>
                <w:rFonts w:cs="Calibri"/>
              </w:rPr>
              <w:t>S</w:t>
            </w:r>
            <w:r>
              <w:rPr>
                <w:rFonts w:cs="Calibri"/>
              </w:rPr>
              <w:t xml:space="preserve">ecurity </w:t>
            </w:r>
            <w:proofErr w:type="gramStart"/>
            <w:r w:rsidR="00CA6211">
              <w:rPr>
                <w:rFonts w:cs="Calibri"/>
              </w:rPr>
              <w:t>A</w:t>
            </w:r>
            <w:r>
              <w:rPr>
                <w:rFonts w:cs="Calibri"/>
              </w:rPr>
              <w:t>dvisor:…</w:t>
            </w:r>
            <w:proofErr w:type="gramEnd"/>
            <w:r>
              <w:rPr>
                <w:rFonts w:cs="Calibri"/>
              </w:rPr>
              <w:t>………………………</w:t>
            </w:r>
            <w:r>
              <w:rPr>
                <w:rFonts w:cs="Calibri"/>
              </w:rPr>
              <w:br/>
            </w:r>
            <w:r>
              <w:rPr>
                <w:rFonts w:cs="Calibri"/>
              </w:rPr>
              <w:br/>
            </w:r>
            <w:r>
              <w:rPr>
                <w:rFonts w:cs="Calibri"/>
                <w:b/>
                <w:bCs/>
              </w:rPr>
              <w:t>Consider immediate comm</w:t>
            </w:r>
            <w:r w:rsidR="000C36A6">
              <w:rPr>
                <w:rFonts w:cs="Calibri"/>
                <w:b/>
                <w:bCs/>
              </w:rPr>
              <w:t>unication</w:t>
            </w:r>
            <w:r>
              <w:rPr>
                <w:rFonts w:cs="Calibri"/>
                <w:b/>
                <w:bCs/>
              </w:rPr>
              <w:t>s:</w:t>
            </w:r>
            <w:r>
              <w:rPr>
                <w:rFonts w:cs="Calibri"/>
              </w:rPr>
              <w:t xml:space="preserve"> Central messaging to </w:t>
            </w:r>
            <w:r w:rsidR="000C36A6">
              <w:rPr>
                <w:rFonts w:cs="Calibri"/>
              </w:rPr>
              <w:t xml:space="preserve">students </w:t>
            </w:r>
            <w:r>
              <w:rPr>
                <w:rFonts w:cs="Calibri"/>
              </w:rPr>
              <w:t>and parents; updates on school</w:t>
            </w:r>
            <w:r w:rsidR="000C36A6">
              <w:rPr>
                <w:rFonts w:cs="Calibri"/>
              </w:rPr>
              <w:t>/college</w:t>
            </w:r>
            <w:r>
              <w:rPr>
                <w:rFonts w:cs="Calibri"/>
              </w:rPr>
              <w:t xml:space="preserve"> websites and portals, mass student text groups, local authority websites. Consider whether there are any automatic processes (for example automated text messages for lateness) that should be stopped as they</w:t>
            </w:r>
            <w:r w:rsidR="00CA6211">
              <w:rPr>
                <w:rFonts w:cs="Calibri"/>
              </w:rPr>
              <w:t xml:space="preserve"> </w:t>
            </w:r>
            <w:r>
              <w:rPr>
                <w:rFonts w:cs="Calibri"/>
              </w:rPr>
              <w:t>m</w:t>
            </w:r>
            <w:r w:rsidR="00191690">
              <w:rPr>
                <w:rFonts w:cs="Calibri"/>
              </w:rPr>
              <w:t>ight cause distress to families</w:t>
            </w:r>
          </w:p>
        </w:tc>
      </w:tr>
      <w:tr w:rsidR="00BD26AC" w14:paraId="4578889A"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86AB0" w14:textId="77777777" w:rsidR="00BD26AC" w:rsidRDefault="00520DAC">
            <w:pPr>
              <w:spacing w:after="0" w:line="240" w:lineRule="auto"/>
              <w:rPr>
                <w:rFonts w:cs="Calibri"/>
                <w:b/>
                <w:bCs/>
              </w:rPr>
            </w:pPr>
            <w:r>
              <w:rPr>
                <w:rFonts w:cs="Calibri"/>
                <w:b/>
                <w:bCs/>
              </w:rPr>
              <w:lastRenderedPageBreak/>
              <w:t xml:space="preserve">Press intrusion </w:t>
            </w:r>
          </w:p>
          <w:p w14:paraId="4021D7E0" w14:textId="77777777" w:rsidR="00BD26AC" w:rsidRDefault="00BD26AC">
            <w:pPr>
              <w:spacing w:after="0" w:line="240" w:lineRule="auto"/>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8277" w14:textId="77777777" w:rsidR="00BD26AC" w:rsidRDefault="00520DAC">
            <w:pPr>
              <w:spacing w:after="0" w:line="240" w:lineRule="auto"/>
              <w:rPr>
                <w:rFonts w:cs="Calibri"/>
              </w:rPr>
            </w:pPr>
            <w:r>
              <w:rPr>
                <w:rFonts w:cs="Calibri"/>
              </w:rPr>
              <w:t>In the event of a major incident, schools</w:t>
            </w:r>
            <w:r w:rsidR="000C36A6">
              <w:rPr>
                <w:rFonts w:cs="Calibri"/>
              </w:rPr>
              <w:t>/colleges</w:t>
            </w:r>
            <w:r>
              <w:rPr>
                <w:rFonts w:cs="Calibri"/>
              </w:rPr>
              <w:t xml:space="preserve"> may receive calls and visits from the press who might use intrusive techniques to </w:t>
            </w:r>
            <w:r w:rsidR="00225076">
              <w:rPr>
                <w:rFonts w:cs="Calibri"/>
              </w:rPr>
              <w:t>gain information about victims</w:t>
            </w:r>
            <w:r>
              <w:rPr>
                <w:rFonts w:cs="Calibri"/>
              </w:rPr>
              <w:t xml:space="preserve"> </w:t>
            </w:r>
          </w:p>
          <w:p w14:paraId="1D91041F" w14:textId="77777777" w:rsidR="00BD26AC" w:rsidRDefault="00BD26AC">
            <w:pPr>
              <w:spacing w:after="0" w:line="240" w:lineRule="auto"/>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DA86" w14:textId="4DE3A3CA" w:rsidR="00BD26AC" w:rsidRDefault="00520DAC">
            <w:pPr>
              <w:spacing w:after="0" w:line="240" w:lineRule="auto"/>
            </w:pPr>
            <w:r>
              <w:rPr>
                <w:rFonts w:cs="Calibri"/>
              </w:rPr>
              <w:t>Advice and guidance for handling the press can be found</w:t>
            </w:r>
            <w:r w:rsidR="00B10DBF">
              <w:rPr>
                <w:rFonts w:cs="Calibri"/>
              </w:rPr>
              <w:t xml:space="preserve"> in the Gov.UK</w:t>
            </w:r>
            <w:r>
              <w:rPr>
                <w:rFonts w:cs="Calibri"/>
              </w:rPr>
              <w:t xml:space="preserve"> </w:t>
            </w:r>
            <w:hyperlink r:id="rId11" w:history="1">
              <w:r w:rsidR="00B10DBF" w:rsidRPr="00B10DBF">
                <w:rPr>
                  <w:rStyle w:val="Hyperlink"/>
                  <w:rFonts w:cs="Calibri"/>
                </w:rPr>
                <w:t>Handling media attention after a major incident</w:t>
              </w:r>
            </w:hyperlink>
            <w:r w:rsidR="00B10DBF">
              <w:rPr>
                <w:rFonts w:cs="Calibri"/>
              </w:rPr>
              <w:t xml:space="preserve"> webpages </w:t>
            </w:r>
            <w:r>
              <w:rPr>
                <w:rFonts w:cs="Calibri"/>
              </w:rPr>
              <w:t xml:space="preserve">and on the </w:t>
            </w:r>
            <w:hyperlink r:id="rId12" w:history="1">
              <w:r>
                <w:rPr>
                  <w:rStyle w:val="Hyperlink"/>
                  <w:rFonts w:cs="Calibri"/>
                </w:rPr>
                <w:t>Vict</w:t>
              </w:r>
              <w:bookmarkStart w:id="0" w:name="_Hlt20474502"/>
              <w:bookmarkStart w:id="1" w:name="_Hlt20474503"/>
              <w:r>
                <w:rPr>
                  <w:rStyle w:val="Hyperlink"/>
                  <w:rFonts w:cs="Calibri"/>
                </w:rPr>
                <w:t>i</w:t>
              </w:r>
              <w:bookmarkEnd w:id="0"/>
              <w:bookmarkEnd w:id="1"/>
              <w:r>
                <w:rPr>
                  <w:rStyle w:val="Hyperlink"/>
                  <w:rFonts w:cs="Calibri"/>
                </w:rPr>
                <w:t>ms</w:t>
              </w:r>
              <w:bookmarkStart w:id="2" w:name="_Hlt20474570"/>
              <w:bookmarkStart w:id="3" w:name="_Hlt20474571"/>
              <w:r>
                <w:rPr>
                  <w:rStyle w:val="Hyperlink"/>
                  <w:rFonts w:cs="Calibri"/>
                </w:rPr>
                <w:t xml:space="preserve"> </w:t>
              </w:r>
              <w:bookmarkEnd w:id="2"/>
              <w:bookmarkEnd w:id="3"/>
              <w:r>
                <w:rPr>
                  <w:rStyle w:val="Hyperlink"/>
                  <w:rFonts w:cs="Calibri"/>
                </w:rPr>
                <w:t>of</w:t>
              </w:r>
              <w:bookmarkStart w:id="4" w:name="_Hlt20761204"/>
              <w:r>
                <w:rPr>
                  <w:rStyle w:val="Hyperlink"/>
                  <w:rFonts w:cs="Calibri"/>
                </w:rPr>
                <w:t xml:space="preserve"> </w:t>
              </w:r>
              <w:bookmarkEnd w:id="4"/>
              <w:r>
                <w:rPr>
                  <w:rStyle w:val="Hyperlink"/>
                  <w:rFonts w:cs="Calibri"/>
                </w:rPr>
                <w:t>Terror</w:t>
              </w:r>
            </w:hyperlink>
            <w:r>
              <w:rPr>
                <w:rStyle w:val="Hyperlink"/>
                <w:rFonts w:cs="Calibri"/>
              </w:rPr>
              <w:t>ism</w:t>
            </w:r>
            <w:r>
              <w:rPr>
                <w:rFonts w:cs="Calibri"/>
                <w:u w:val="single"/>
              </w:rPr>
              <w:t xml:space="preserve"> </w:t>
            </w:r>
            <w:r w:rsidR="00191690">
              <w:rPr>
                <w:rFonts w:cs="Calibri"/>
              </w:rPr>
              <w:t>website</w:t>
            </w:r>
          </w:p>
          <w:p w14:paraId="388AF227" w14:textId="45ED664C" w:rsidR="00BD26AC" w:rsidRPr="000D69D6" w:rsidRDefault="00520DAC">
            <w:pPr>
              <w:spacing w:after="0" w:line="240" w:lineRule="auto"/>
              <w:rPr>
                <w:rFonts w:cs="Calibri"/>
              </w:rPr>
            </w:pPr>
            <w:r>
              <w:rPr>
                <w:rFonts w:cs="Calibri"/>
              </w:rPr>
              <w:br/>
              <w:t xml:space="preserve">It is likely that the switchboard will receive an elevated number of calls following an incident. </w:t>
            </w:r>
            <w:r w:rsidR="000C36A6">
              <w:rPr>
                <w:rFonts w:cs="Calibri"/>
              </w:rPr>
              <w:t>Management teams</w:t>
            </w:r>
            <w:r>
              <w:rPr>
                <w:rFonts w:cs="Calibri"/>
              </w:rPr>
              <w:t xml:space="preserve"> could consider adding a dedicated contact number or e-mail address to the school</w:t>
            </w:r>
            <w:r w:rsidR="000C36A6">
              <w:rPr>
                <w:rFonts w:cs="Calibri"/>
              </w:rPr>
              <w:t>/college</w:t>
            </w:r>
            <w:r>
              <w:rPr>
                <w:rFonts w:cs="Calibri"/>
              </w:rPr>
              <w:t xml:space="preserve"> website if appropriate. Local authorities should be able to advise on whether they have a </w:t>
            </w:r>
            <w:r w:rsidR="000C36A6">
              <w:rPr>
                <w:rFonts w:cs="Calibri"/>
              </w:rPr>
              <w:t>p</w:t>
            </w:r>
            <w:r>
              <w:rPr>
                <w:rFonts w:cs="Calibri"/>
              </w:rPr>
              <w:t xml:space="preserve">ress </w:t>
            </w:r>
            <w:r w:rsidR="000C36A6">
              <w:rPr>
                <w:rFonts w:cs="Calibri"/>
              </w:rPr>
              <w:t>l</w:t>
            </w:r>
            <w:r>
              <w:rPr>
                <w:rFonts w:cs="Calibri"/>
              </w:rPr>
              <w:t xml:space="preserve">iaison </w:t>
            </w:r>
            <w:r w:rsidR="000C36A6">
              <w:rPr>
                <w:rFonts w:cs="Calibri"/>
              </w:rPr>
              <w:t>o</w:t>
            </w:r>
            <w:r>
              <w:rPr>
                <w:rFonts w:cs="Calibri"/>
              </w:rPr>
              <w:t>fficer who can field any calls or provide support on handling press. In the event of heightened press intrusion, school</w:t>
            </w:r>
            <w:r w:rsidR="000C36A6">
              <w:rPr>
                <w:rFonts w:cs="Calibri"/>
              </w:rPr>
              <w:t>/college</w:t>
            </w:r>
            <w:r>
              <w:rPr>
                <w:rFonts w:cs="Calibri"/>
              </w:rPr>
              <w:t xml:space="preserve"> leaders might consider sharing a keyword with parents to quote upon contacting the school</w:t>
            </w:r>
            <w:r w:rsidR="000C36A6">
              <w:rPr>
                <w:rFonts w:cs="Calibri"/>
              </w:rPr>
              <w:t xml:space="preserve"> or college</w:t>
            </w:r>
          </w:p>
        </w:tc>
      </w:tr>
      <w:tr w:rsidR="00BD26AC" w14:paraId="373C140C"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4BE5" w14:textId="77777777" w:rsidR="00BD26AC" w:rsidRDefault="00520DAC">
            <w:pPr>
              <w:spacing w:after="0" w:line="240" w:lineRule="auto"/>
              <w:rPr>
                <w:rFonts w:cs="Calibri"/>
                <w:b/>
                <w:bCs/>
              </w:rPr>
            </w:pPr>
            <w:r>
              <w:rPr>
                <w:rFonts w:cs="Calibri"/>
                <w:b/>
                <w:bCs/>
              </w:rPr>
              <w:t>Mental Health Support</w:t>
            </w:r>
          </w:p>
          <w:p w14:paraId="4AF562C3" w14:textId="77777777" w:rsidR="00BD26AC" w:rsidRDefault="00BD26AC">
            <w:pPr>
              <w:spacing w:after="0" w:line="240" w:lineRule="auto"/>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95C2" w14:textId="3F7A52F1" w:rsidR="00BD26AC" w:rsidRDefault="00520DAC">
            <w:pPr>
              <w:spacing w:after="0" w:line="240" w:lineRule="auto"/>
            </w:pPr>
            <w:r>
              <w:rPr>
                <w:rFonts w:cs="Calibri"/>
              </w:rPr>
              <w:t>NHS trauma guidelines state that active monitoring should take place during the first month, or within a month, of a traumatic event. For children and young people aged under 18 who present with trauma symptoms e.g. nightmares and/or high level of anxiety referral should be made to mental health services. In the immediate aftermath of a traumatic incident, school</w:t>
            </w:r>
            <w:r w:rsidR="0090320A">
              <w:rPr>
                <w:rFonts w:cs="Calibri"/>
              </w:rPr>
              <w:t>/college</w:t>
            </w:r>
            <w:r>
              <w:rPr>
                <w:rFonts w:cs="Calibri"/>
              </w:rPr>
              <w:t xml:space="preserve"> leaders might be approached by providers of mental health support and be unsure whether to accept. The NHS gives the following advice:</w:t>
            </w:r>
            <w:r>
              <w:rPr>
                <w:rFonts w:cs="Calibri"/>
              </w:rPr>
              <w:br/>
            </w:r>
            <w:r>
              <w:rPr>
                <w:rFonts w:cs="Calibri"/>
              </w:rPr>
              <w:br/>
            </w:r>
            <w:r>
              <w:rPr>
                <w:rFonts w:cs="Calibri"/>
                <w:i/>
                <w:iCs/>
              </w:rPr>
              <w:t>When to seek medical advice:</w:t>
            </w:r>
            <w:r>
              <w:rPr>
                <w:rFonts w:cs="Calibri"/>
                <w:i/>
                <w:iCs/>
              </w:rPr>
              <w:br/>
              <w:t>It's normal to experience</w:t>
            </w:r>
            <w:r>
              <w:rPr>
                <w:rFonts w:cs="Calibri"/>
              </w:rPr>
              <w:t xml:space="preserve"> </w:t>
            </w:r>
            <w:r>
              <w:rPr>
                <w:rFonts w:cs="Calibri"/>
                <w:i/>
                <w:iCs/>
              </w:rPr>
              <w:t>upsetting and confusing thoughts after a traumatic event, but most people improve naturally over a few weeks.</w:t>
            </w:r>
            <w:r>
              <w:rPr>
                <w:rFonts w:cs="Calibri"/>
                <w:i/>
                <w:iCs/>
              </w:rPr>
              <w:br/>
              <w:t xml:space="preserve">You should see a GP if you or your child </w:t>
            </w:r>
            <w:r>
              <w:rPr>
                <w:rFonts w:cs="Calibri"/>
                <w:i/>
                <w:iCs/>
              </w:rPr>
              <w:lastRenderedPageBreak/>
              <w:t>are still having problems about 4 weeks after the traumatic experience, or if the symptoms are particularly troublesome. If necessary, your GP can refer you to mental health specialists for f</w:t>
            </w:r>
            <w:r w:rsidR="00225076">
              <w:rPr>
                <w:rFonts w:cs="Calibri"/>
                <w:i/>
                <w:iCs/>
              </w:rPr>
              <w:t>urther assessment and treatment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2A17" w14:textId="77777777" w:rsidR="00BD26AC" w:rsidRDefault="00F43240">
            <w:pPr>
              <w:spacing w:after="0" w:line="240" w:lineRule="auto"/>
            </w:pPr>
            <w:hyperlink r:id="rId13" w:history="1">
              <w:r w:rsidR="00520DAC">
                <w:rPr>
                  <w:rStyle w:val="Hyperlink"/>
                  <w:rFonts w:cs="Calibri"/>
                </w:rPr>
                <w:t>The Victims of Te</w:t>
              </w:r>
              <w:bookmarkStart w:id="5" w:name="_Hlt20474524"/>
              <w:bookmarkStart w:id="6" w:name="_Hlt20474525"/>
              <w:r w:rsidR="00520DAC">
                <w:rPr>
                  <w:rStyle w:val="Hyperlink"/>
                  <w:rFonts w:cs="Calibri"/>
                </w:rPr>
                <w:t>r</w:t>
              </w:r>
              <w:bookmarkEnd w:id="5"/>
              <w:bookmarkEnd w:id="6"/>
              <w:r w:rsidR="00520DAC">
                <w:rPr>
                  <w:rStyle w:val="Hyperlink"/>
                  <w:rFonts w:cs="Calibri"/>
                </w:rPr>
                <w:t>ror</w:t>
              </w:r>
            </w:hyperlink>
            <w:r w:rsidR="00520DAC">
              <w:rPr>
                <w:rStyle w:val="Hyperlink"/>
                <w:rFonts w:cs="Calibri"/>
              </w:rPr>
              <w:t>ism</w:t>
            </w:r>
            <w:r w:rsidR="00520DAC">
              <w:rPr>
                <w:rFonts w:cs="Calibri"/>
                <w:u w:val="single"/>
              </w:rPr>
              <w:t xml:space="preserve"> </w:t>
            </w:r>
            <w:r w:rsidR="00520DAC">
              <w:rPr>
                <w:rFonts w:cs="Calibri"/>
              </w:rPr>
              <w:t>webpage provides advice on obtaining mental health support for thos</w:t>
            </w:r>
            <w:r w:rsidR="00225076">
              <w:rPr>
                <w:rFonts w:cs="Calibri"/>
              </w:rPr>
              <w:t>e affected by acts of terrorism</w:t>
            </w:r>
          </w:p>
          <w:p w14:paraId="12677C71" w14:textId="289291BE" w:rsidR="00BD26AC" w:rsidRDefault="00520DAC">
            <w:pPr>
              <w:spacing w:after="0" w:line="240" w:lineRule="auto"/>
            </w:pPr>
            <w:r>
              <w:rPr>
                <w:rFonts w:cs="Calibri"/>
              </w:rPr>
              <w:br/>
              <w:t>Guidance for dealing with trauma can be found</w:t>
            </w:r>
            <w:r w:rsidR="00B10DBF">
              <w:rPr>
                <w:rFonts w:cs="Calibri"/>
              </w:rPr>
              <w:t xml:space="preserve"> in the NHS</w:t>
            </w:r>
            <w:r>
              <w:rPr>
                <w:rFonts w:cs="Calibri"/>
              </w:rPr>
              <w:t xml:space="preserve"> </w:t>
            </w:r>
            <w:hyperlink r:id="rId14" w:history="1">
              <w:r w:rsidR="00B10DBF">
                <w:rPr>
                  <w:rStyle w:val="Hyperlink"/>
                  <w:rFonts w:cs="Calibri"/>
                </w:rPr>
                <w:t>Coping with stress following a major incident</w:t>
              </w:r>
            </w:hyperlink>
            <w:r w:rsidR="00B10DBF">
              <w:rPr>
                <w:rFonts w:cs="Calibri"/>
              </w:rPr>
              <w:t xml:space="preserve"> leaflet.</w:t>
            </w:r>
            <w:r>
              <w:rPr>
                <w:rFonts w:cs="Calibri"/>
                <w:u w:val="single"/>
              </w:rPr>
              <w:br/>
            </w:r>
          </w:p>
          <w:p w14:paraId="271DA47D" w14:textId="77777777" w:rsidR="00BD26AC" w:rsidRDefault="00BD26AC">
            <w:pPr>
              <w:spacing w:after="0" w:line="240" w:lineRule="auto"/>
            </w:pPr>
          </w:p>
        </w:tc>
      </w:tr>
      <w:tr w:rsidR="00BD26AC" w14:paraId="58462691"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2111" w14:textId="7635D916" w:rsidR="00BD26AC" w:rsidRPr="00B10DBF" w:rsidRDefault="00520DAC">
            <w:pPr>
              <w:spacing w:after="0" w:line="240" w:lineRule="auto"/>
              <w:rPr>
                <w:rFonts w:cs="Calibri"/>
                <w:b/>
                <w:bCs/>
              </w:rPr>
            </w:pPr>
            <w:r>
              <w:rPr>
                <w:rFonts w:cs="Calibri"/>
                <w:b/>
                <w:bCs/>
              </w:rPr>
              <w:t>Consideration for members of communities linked to perpetrators</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A685" w14:textId="00A9BA55" w:rsidR="00BD26AC" w:rsidRPr="000D69D6" w:rsidRDefault="00520DAC">
            <w:pPr>
              <w:spacing w:after="0" w:line="240" w:lineRule="auto"/>
              <w:rPr>
                <w:rFonts w:cs="Calibri"/>
              </w:rPr>
            </w:pPr>
            <w:r>
              <w:rPr>
                <w:rFonts w:cs="Calibri"/>
              </w:rPr>
              <w:t>Terror attacks can be particularly disturbing for those members of communities linked to the perpetrators of the attacks.  While school</w:t>
            </w:r>
            <w:r w:rsidR="0090320A">
              <w:rPr>
                <w:rFonts w:cs="Calibri"/>
              </w:rPr>
              <w:t>/college</w:t>
            </w:r>
            <w:r>
              <w:rPr>
                <w:rFonts w:cs="Calibri"/>
              </w:rPr>
              <w:t xml:space="preserve"> leaders might not wish to draw attention to any potential divisions, members of these communities migh</w:t>
            </w:r>
            <w:r w:rsidR="00225076">
              <w:rPr>
                <w:rFonts w:cs="Calibri"/>
              </w:rPr>
              <w:t>t be affected in different ways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A3C9" w14:textId="1C8932E5" w:rsidR="00BD26AC" w:rsidRDefault="00520DAC">
            <w:pPr>
              <w:spacing w:after="0" w:line="240" w:lineRule="auto"/>
            </w:pPr>
            <w:r>
              <w:rPr>
                <w:rFonts w:cs="Calibri"/>
              </w:rPr>
              <w:t xml:space="preserve">The Department for Education's </w:t>
            </w:r>
            <w:hyperlink r:id="rId15" w:history="1">
              <w:r>
                <w:rPr>
                  <w:rStyle w:val="Hyperlink"/>
                  <w:rFonts w:cs="Calibri"/>
                </w:rPr>
                <w:t>Educate Against Hate</w:t>
              </w:r>
            </w:hyperlink>
            <w:r>
              <w:rPr>
                <w:rFonts w:cs="Calibri"/>
              </w:rPr>
              <w:t xml:space="preserve"> website gives teachers, parents and school leaders </w:t>
            </w:r>
            <w:r w:rsidR="00CA6211">
              <w:rPr>
                <w:rFonts w:cs="Calibri"/>
              </w:rPr>
              <w:t>p</w:t>
            </w:r>
            <w:r>
              <w:rPr>
                <w:rFonts w:cs="Calibri"/>
              </w:rPr>
              <w:t>ractical advice and information on protecting children fro</w:t>
            </w:r>
            <w:r w:rsidR="00225076">
              <w:rPr>
                <w:rFonts w:cs="Calibri"/>
              </w:rPr>
              <w:t>m extremism and radicalisation</w:t>
            </w:r>
          </w:p>
        </w:tc>
      </w:tr>
      <w:tr w:rsidR="00BD26AC" w14:paraId="3D34ED8E" w14:textId="77777777" w:rsidTr="0053523C">
        <w:trPr>
          <w:trHeight w:val="162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F383" w14:textId="0AD61CED" w:rsidR="00BD26AC" w:rsidRPr="00B10DBF" w:rsidRDefault="00520DAC">
            <w:pPr>
              <w:spacing w:after="0" w:line="240" w:lineRule="auto"/>
              <w:rPr>
                <w:rFonts w:cs="Calibri"/>
                <w:b/>
                <w:bCs/>
              </w:rPr>
            </w:pPr>
            <w:r>
              <w:rPr>
                <w:rFonts w:cs="Calibri"/>
                <w:b/>
                <w:bCs/>
              </w:rPr>
              <w:t>Exam Considerations</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5C654" w14:textId="77777777" w:rsidR="00BD26AC" w:rsidRDefault="00520DAC">
            <w:r>
              <w:rPr>
                <w:rFonts w:cs="Calibri"/>
              </w:rPr>
              <w:t>When a student is unable to sit their examinations due to circumstances beyond their control, or is disadvantaged during their examinations, special c</w:t>
            </w:r>
            <w:r w:rsidR="00225076">
              <w:rPr>
                <w:rFonts w:cs="Calibri"/>
              </w:rPr>
              <w:t>onsideration may be applied for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40E8" w14:textId="2EE2B1DF" w:rsidR="00BD26AC" w:rsidRDefault="00520DAC" w:rsidP="00520DAC">
            <w:pPr>
              <w:spacing w:after="0" w:line="240" w:lineRule="auto"/>
            </w:pPr>
            <w:r>
              <w:rPr>
                <w:rFonts w:cs="Calibri"/>
              </w:rPr>
              <w:t xml:space="preserve">The two types of special consideration: the application of a tariff where a student is present for an examination but disadvantaged; or the awarding of an enhanced grade where a student is absent for an examination due to circumstances beyond their control, are detailed in </w:t>
            </w:r>
            <w:hyperlink r:id="rId16" w:history="1">
              <w:r w:rsidRPr="000D69D6">
                <w:rPr>
                  <w:rStyle w:val="Hyperlink"/>
                  <w:rFonts w:cs="Calibri"/>
                </w:rPr>
                <w:t>the JCQ publication: A guide to the special consideration process</w:t>
              </w:r>
            </w:hyperlink>
            <w:r>
              <w:rPr>
                <w:rFonts w:cs="Calibri"/>
              </w:rPr>
              <w:t>. </w:t>
            </w:r>
            <w:r w:rsidR="000D69D6">
              <w:t xml:space="preserve"> </w:t>
            </w:r>
          </w:p>
        </w:tc>
      </w:tr>
      <w:tr w:rsidR="0053523C" w:rsidRPr="0053523C" w14:paraId="1BD05D06" w14:textId="77777777" w:rsidTr="0053523C">
        <w:trPr>
          <w:trHeight w:val="523"/>
        </w:trPr>
        <w:tc>
          <w:tcPr>
            <w:tcW w:w="300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D1E0BB0" w14:textId="20B86CB5" w:rsidR="0053523C" w:rsidRPr="0053523C" w:rsidRDefault="0053523C" w:rsidP="0053523C">
            <w:pPr>
              <w:spacing w:after="0" w:line="240" w:lineRule="auto"/>
              <w:rPr>
                <w:rFonts w:cs="Calibri"/>
                <w:b/>
                <w:bCs/>
              </w:rPr>
            </w:pPr>
            <w:r>
              <w:rPr>
                <w:rFonts w:cs="Calibri"/>
                <w:b/>
                <w:bCs/>
              </w:rPr>
              <w:t>Timings:  2 to 7 days</w:t>
            </w:r>
          </w:p>
        </w:tc>
        <w:tc>
          <w:tcPr>
            <w:tcW w:w="37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6EA96D2B" w14:textId="6A425C1C" w:rsidR="0053523C" w:rsidRPr="0053523C" w:rsidRDefault="0053523C" w:rsidP="0053523C">
            <w:pPr>
              <w:spacing w:after="0" w:line="240" w:lineRule="auto"/>
              <w:rPr>
                <w:rFonts w:cs="Calibri"/>
                <w:b/>
                <w:bCs/>
              </w:rPr>
            </w:pPr>
            <w:r>
              <w:rPr>
                <w:rFonts w:cs="Calibri"/>
                <w:b/>
                <w:bCs/>
              </w:rPr>
              <w:t>Context</w:t>
            </w:r>
          </w:p>
        </w:tc>
        <w:tc>
          <w:tcPr>
            <w:tcW w:w="694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4CDF22B" w14:textId="0ED48D25" w:rsidR="0053523C" w:rsidRPr="0053523C" w:rsidRDefault="0053523C" w:rsidP="0053523C">
            <w:pPr>
              <w:spacing w:after="0" w:line="240" w:lineRule="auto"/>
              <w:rPr>
                <w:rFonts w:cs="Calibri"/>
                <w:b/>
                <w:bCs/>
              </w:rPr>
            </w:pPr>
            <w:r>
              <w:rPr>
                <w:rFonts w:cs="Calibri"/>
                <w:b/>
                <w:bCs/>
              </w:rPr>
              <w:t>Considerations</w:t>
            </w:r>
          </w:p>
        </w:tc>
      </w:tr>
      <w:tr w:rsidR="00BD26AC" w14:paraId="1ACB2DBF" w14:textId="77777777" w:rsidTr="0053523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7D55" w14:textId="77777777" w:rsidR="00BD26AC" w:rsidRDefault="00520DAC">
            <w:pPr>
              <w:spacing w:after="0" w:line="240" w:lineRule="auto"/>
              <w:rPr>
                <w:rFonts w:cs="Calibri"/>
                <w:b/>
                <w:bCs/>
              </w:rPr>
            </w:pPr>
            <w:r>
              <w:rPr>
                <w:rFonts w:cs="Calibri"/>
                <w:b/>
                <w:bCs/>
              </w:rPr>
              <w:t>Financial support and advice</w:t>
            </w:r>
          </w:p>
          <w:p w14:paraId="060DEAAB" w14:textId="77777777" w:rsidR="00BD26AC" w:rsidRDefault="00BD26AC">
            <w:pPr>
              <w:spacing w:after="0" w:line="240" w:lineRule="auto"/>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D10B" w14:textId="4E2B6EF7" w:rsidR="000D69D6" w:rsidRDefault="00520DAC">
            <w:pPr>
              <w:spacing w:after="0" w:line="240" w:lineRule="auto"/>
              <w:rPr>
                <w:rFonts w:cs="Calibri"/>
              </w:rPr>
            </w:pPr>
            <w:r>
              <w:rPr>
                <w:rFonts w:cs="Calibri"/>
              </w:rPr>
              <w:t>Any immediate or longer-term requests for financial support following an attack will depend on the nature of the support required and the type of school</w:t>
            </w:r>
            <w:r w:rsidR="0090320A">
              <w:rPr>
                <w:rFonts w:cs="Calibri"/>
              </w:rPr>
              <w:t xml:space="preserve"> or college</w:t>
            </w:r>
            <w:r>
              <w:rPr>
                <w:rFonts w:cs="Calibri"/>
              </w:rPr>
              <w:t xml:space="preserve"> affected. Key links into </w:t>
            </w:r>
            <w:r w:rsidR="0090320A">
              <w:rPr>
                <w:rFonts w:cs="Calibri"/>
              </w:rPr>
              <w:t>l</w:t>
            </w:r>
            <w:r>
              <w:rPr>
                <w:rFonts w:cs="Calibri"/>
              </w:rPr>
              <w:t xml:space="preserve">ocal </w:t>
            </w:r>
            <w:r w:rsidR="0090320A">
              <w:rPr>
                <w:rFonts w:cs="Calibri"/>
              </w:rPr>
              <w:t>a</w:t>
            </w:r>
            <w:r>
              <w:rPr>
                <w:rFonts w:cs="Calibri"/>
              </w:rPr>
              <w:t xml:space="preserve">uthorities and DfE regional co-ordinators will assist school/college leaders in contacting the relevant parties </w:t>
            </w:r>
            <w:r w:rsidR="00225076">
              <w:rPr>
                <w:rFonts w:cs="Calibri"/>
              </w:rPr>
              <w:t>to expedite any urgent requests</w:t>
            </w:r>
            <w:r>
              <w:rPr>
                <w:rFonts w:cs="Calibri"/>
              </w:rPr>
              <w:t xml:space="preserve">  </w:t>
            </w:r>
          </w:p>
          <w:p w14:paraId="734CE94C" w14:textId="77777777" w:rsidR="0053523C" w:rsidRDefault="0053523C">
            <w:pPr>
              <w:spacing w:after="0" w:line="240" w:lineRule="auto"/>
              <w:rPr>
                <w:rFonts w:cs="Calibri"/>
              </w:rPr>
            </w:pPr>
          </w:p>
          <w:p w14:paraId="0018B53C" w14:textId="26EEC5CB" w:rsidR="00225076" w:rsidRPr="00225076" w:rsidRDefault="00520DAC">
            <w:pPr>
              <w:spacing w:after="0" w:line="240" w:lineRule="auto"/>
              <w:rPr>
                <w:rFonts w:cs="Calibri"/>
              </w:rPr>
            </w:pPr>
            <w:r>
              <w:rPr>
                <w:rFonts w:cs="Calibri"/>
              </w:rPr>
              <w:lastRenderedPageBreak/>
              <w:t>School</w:t>
            </w:r>
            <w:r w:rsidR="0090320A">
              <w:rPr>
                <w:rFonts w:cs="Calibri"/>
              </w:rPr>
              <w:t>/college</w:t>
            </w:r>
            <w:r>
              <w:rPr>
                <w:rFonts w:cs="Calibri"/>
              </w:rPr>
              <w:t xml:space="preserve"> leaders might also receive charitable donations from those willing to help th</w:t>
            </w:r>
            <w:r w:rsidR="00225076">
              <w:rPr>
                <w:rFonts w:cs="Calibri"/>
              </w:rPr>
              <w:t>ose impacted by a terror attack</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95D1" w14:textId="19503638" w:rsidR="00BD26AC" w:rsidRDefault="00520DAC">
            <w:pPr>
              <w:spacing w:after="0" w:line="240" w:lineRule="auto"/>
            </w:pPr>
            <w:r>
              <w:rPr>
                <w:rFonts w:cs="Calibri"/>
              </w:rPr>
              <w:lastRenderedPageBreak/>
              <w:t xml:space="preserve">The </w:t>
            </w:r>
            <w:hyperlink r:id="rId17" w:history="1">
              <w:r>
                <w:rPr>
                  <w:rStyle w:val="Hyperlink"/>
                  <w:rFonts w:cs="Calibri"/>
                </w:rPr>
                <w:t>UK Solidarity Fund</w:t>
              </w:r>
            </w:hyperlink>
            <w:r>
              <w:rPr>
                <w:rFonts w:cs="Calibri"/>
              </w:rPr>
              <w:t xml:space="preserve"> was established by the British Red Cross to help people affected by terror attacks in the UK following the attacks of 2017. School</w:t>
            </w:r>
            <w:r w:rsidR="0090320A">
              <w:rPr>
                <w:rFonts w:cs="Calibri"/>
              </w:rPr>
              <w:t>/college</w:t>
            </w:r>
            <w:r>
              <w:rPr>
                <w:rFonts w:cs="Calibri"/>
              </w:rPr>
              <w:t xml:space="preserve"> leaders might consider communicating details of the UK Solidarity Fund to anyone who enquires about donating either directly or on the school</w:t>
            </w:r>
            <w:r w:rsidR="0090320A">
              <w:rPr>
                <w:rFonts w:cs="Calibri"/>
              </w:rPr>
              <w:t>/college</w:t>
            </w:r>
            <w:r w:rsidR="00225076">
              <w:rPr>
                <w:rFonts w:cs="Calibri"/>
              </w:rPr>
              <w:t xml:space="preserve"> website</w:t>
            </w:r>
          </w:p>
        </w:tc>
      </w:tr>
      <w:tr w:rsidR="0053523C" w14:paraId="019E57B9" w14:textId="77777777" w:rsidTr="0053523C">
        <w:trPr>
          <w:trHeight w:val="615"/>
        </w:trPr>
        <w:tc>
          <w:tcPr>
            <w:tcW w:w="300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5041278F" w14:textId="689EF434" w:rsidR="0053523C" w:rsidRPr="0053523C" w:rsidRDefault="0053523C" w:rsidP="0053523C">
            <w:pPr>
              <w:spacing w:after="0" w:line="240" w:lineRule="auto"/>
              <w:rPr>
                <w:rFonts w:cs="Calibri"/>
                <w:b/>
                <w:bCs/>
              </w:rPr>
            </w:pPr>
            <w:bookmarkStart w:id="7" w:name="_Hlk20759127"/>
            <w:r>
              <w:rPr>
                <w:rFonts w:cs="Calibri"/>
                <w:b/>
                <w:bCs/>
              </w:rPr>
              <w:t>Timings:  Medium to longer term</w:t>
            </w:r>
          </w:p>
        </w:tc>
        <w:tc>
          <w:tcPr>
            <w:tcW w:w="37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6E976BD1" w14:textId="18DD549E" w:rsidR="0053523C" w:rsidRDefault="0053523C" w:rsidP="0053523C">
            <w:pPr>
              <w:spacing w:after="0" w:line="240" w:lineRule="auto"/>
            </w:pPr>
            <w:r>
              <w:rPr>
                <w:rFonts w:cs="Calibri"/>
                <w:b/>
                <w:bCs/>
              </w:rPr>
              <w:t>Context</w:t>
            </w:r>
          </w:p>
        </w:tc>
        <w:tc>
          <w:tcPr>
            <w:tcW w:w="694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42102D15" w14:textId="7E03F4D5" w:rsidR="0053523C" w:rsidRDefault="0053523C" w:rsidP="0053523C">
            <w:pPr>
              <w:spacing w:after="0" w:line="240" w:lineRule="auto"/>
            </w:pPr>
            <w:r>
              <w:rPr>
                <w:rFonts w:cs="Calibri"/>
                <w:b/>
                <w:bCs/>
              </w:rPr>
              <w:t>Considerations</w:t>
            </w:r>
          </w:p>
        </w:tc>
      </w:tr>
      <w:tr w:rsidR="00BD26AC" w14:paraId="7FE6AE65"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068F" w14:textId="77777777" w:rsidR="00BD26AC" w:rsidRDefault="00520DAC">
            <w:pPr>
              <w:spacing w:after="0" w:line="240" w:lineRule="auto"/>
              <w:rPr>
                <w:rFonts w:cs="Calibri"/>
                <w:b/>
                <w:bCs/>
              </w:rPr>
            </w:pPr>
            <w:r>
              <w:rPr>
                <w:rFonts w:cs="Calibri"/>
                <w:b/>
                <w:bCs/>
              </w:rPr>
              <w:t xml:space="preserve">Mental Health Support </w:t>
            </w:r>
          </w:p>
          <w:p w14:paraId="0D407831" w14:textId="77777777" w:rsidR="00BD26AC" w:rsidRDefault="00BD26AC">
            <w:pPr>
              <w:spacing w:after="0" w:line="240" w:lineRule="auto"/>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9F6A" w14:textId="2A86309C" w:rsidR="00BD26AC" w:rsidRDefault="00520DAC">
            <w:pPr>
              <w:spacing w:after="0" w:line="240" w:lineRule="auto"/>
              <w:rPr>
                <w:rFonts w:cs="Calibri"/>
              </w:rPr>
            </w:pPr>
            <w:r>
              <w:rPr>
                <w:rFonts w:cs="Calibri"/>
              </w:rPr>
              <w:t>NHS trauma guidelines state</w:t>
            </w:r>
            <w:r w:rsidR="00CA6211">
              <w:rPr>
                <w:rFonts w:cs="Calibri"/>
              </w:rPr>
              <w:t xml:space="preserve"> </w:t>
            </w:r>
            <w:r>
              <w:rPr>
                <w:rFonts w:cs="Calibri"/>
              </w:rPr>
              <w:t>that active monitoring should take place during the first month, or within a month, of a traumatic event. For children and young people aged under 18 who present with trauma symptoms e.g. nightmares and/or high level of anxiety referral should be made to mental health services</w:t>
            </w:r>
            <w:r w:rsidR="0090320A">
              <w:rPr>
                <w:rFonts w:cs="Calibri"/>
              </w:rPr>
              <w:t xml:space="preserve">. </w:t>
            </w:r>
            <w:r>
              <w:rPr>
                <w:rFonts w:cs="Calibri"/>
              </w:rPr>
              <w:t>School</w:t>
            </w:r>
            <w:r w:rsidR="0090320A">
              <w:rPr>
                <w:rFonts w:cs="Calibri"/>
              </w:rPr>
              <w:t xml:space="preserve"> and college</w:t>
            </w:r>
            <w:r>
              <w:rPr>
                <w:rFonts w:cs="Calibri"/>
              </w:rPr>
              <w:t xml:space="preserve"> leaders will need to consider the medium to longer term impact of trauma on their </w:t>
            </w:r>
            <w:r w:rsidR="0090320A">
              <w:rPr>
                <w:rFonts w:cs="Calibri"/>
              </w:rPr>
              <w:t>students</w:t>
            </w:r>
            <w:r>
              <w:rPr>
                <w:rFonts w:cs="Calibri"/>
              </w:rPr>
              <w:t xml:space="preserve"> and continuity of care throughout their career.</w:t>
            </w:r>
          </w:p>
          <w:p w14:paraId="0AB5DD5E" w14:textId="4C4F24FD" w:rsidR="00BD26AC" w:rsidRPr="00B10DBF" w:rsidRDefault="00520DAC">
            <w:pPr>
              <w:spacing w:after="0" w:line="240" w:lineRule="auto"/>
              <w:rPr>
                <w:rFonts w:cs="Calibri"/>
              </w:rPr>
            </w:pPr>
            <w:r>
              <w:rPr>
                <w:rFonts w:cs="Calibri"/>
              </w:rPr>
              <w:t>Particular thought should be given to transition points e.g. changing year group/school/college; anniversaries and a</w:t>
            </w:r>
            <w:r w:rsidR="00225076">
              <w:rPr>
                <w:rFonts w:cs="Calibri"/>
              </w:rPr>
              <w:t>ny associated legal proceedings</w:t>
            </w:r>
          </w:p>
        </w:tc>
        <w:bookmarkStart w:id="8" w:name="_Hlk20758858"/>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116C" w14:textId="77777777" w:rsidR="00BD26AC" w:rsidRDefault="00520DAC">
            <w:r>
              <w:fldChar w:fldCharType="begin"/>
            </w:r>
            <w:r>
              <w:instrText xml:space="preserve"> HYPERLINK  "https://thejourneyofrecovery.co.uk/" </w:instrText>
            </w:r>
            <w:r>
              <w:fldChar w:fldCharType="separate"/>
            </w:r>
            <w:r>
              <w:rPr>
                <w:rStyle w:val="Hyperlink"/>
              </w:rPr>
              <w:t xml:space="preserve">The Journey </w:t>
            </w:r>
            <w:bookmarkStart w:id="9" w:name="_Hlt20761663"/>
            <w:bookmarkStart w:id="10" w:name="_Hlt20761664"/>
            <w:r>
              <w:rPr>
                <w:rStyle w:val="Hyperlink"/>
              </w:rPr>
              <w:t>of</w:t>
            </w:r>
            <w:bookmarkEnd w:id="9"/>
            <w:bookmarkEnd w:id="10"/>
            <w:r>
              <w:rPr>
                <w:rStyle w:val="Hyperlink"/>
              </w:rPr>
              <w:t xml:space="preserve"> Recovery</w:t>
            </w:r>
            <w:r>
              <w:rPr>
                <w:rStyle w:val="Hyperlink"/>
              </w:rPr>
              <w:fldChar w:fldCharType="end"/>
            </w:r>
            <w:r>
              <w:t xml:space="preserve"> animation was developed by the We Love Manchester Emergency Fund in collaboration with the NHS’ Manchester Resilience Hub and is based on the experience of young people affected by the Manchester Arena terror attacks. It covers detail on triggers such as fire drills and the potential impact on the mental health of survivors</w:t>
            </w:r>
            <w:bookmarkEnd w:id="8"/>
            <w:r>
              <w:br/>
            </w:r>
            <w:r>
              <w:br/>
              <w:t>School</w:t>
            </w:r>
            <w:r w:rsidR="0090320A">
              <w:t xml:space="preserve"> and college</w:t>
            </w:r>
            <w:r>
              <w:t xml:space="preserve"> leaders should also consider the effect on the wider school/college community of funerals, memorials, anniversaries and the likelihood of </w:t>
            </w:r>
            <w:r w:rsidR="00225076">
              <w:t>press intrusion at these events</w:t>
            </w:r>
          </w:p>
          <w:p w14:paraId="7D7B57DD" w14:textId="77777777" w:rsidR="00BD26AC" w:rsidRDefault="00BD26AC">
            <w:pPr>
              <w:spacing w:after="0" w:line="240" w:lineRule="auto"/>
            </w:pPr>
          </w:p>
        </w:tc>
      </w:tr>
      <w:bookmarkEnd w:id="7"/>
      <w:tr w:rsidR="00BD26AC" w14:paraId="4109B8DE" w14:textId="77777777" w:rsidTr="00B10DBF">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2126" w14:textId="7903898A" w:rsidR="00BD26AC" w:rsidRPr="00B10DBF" w:rsidRDefault="00520DAC">
            <w:pPr>
              <w:spacing w:after="0" w:line="240" w:lineRule="auto"/>
              <w:rPr>
                <w:rFonts w:cs="Calibri"/>
                <w:b/>
                <w:bCs/>
              </w:rPr>
            </w:pPr>
            <w:r>
              <w:rPr>
                <w:rFonts w:cs="Calibri"/>
                <w:b/>
                <w:bCs/>
              </w:rPr>
              <w:t>HR Support for affected members of staff</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403C" w14:textId="17C06E2B" w:rsidR="00BD26AC" w:rsidRPr="00B10DBF" w:rsidRDefault="00520DAC">
            <w:pPr>
              <w:spacing w:after="0" w:line="240" w:lineRule="auto"/>
              <w:rPr>
                <w:rFonts w:cs="Calibri"/>
              </w:rPr>
            </w:pPr>
            <w:r>
              <w:rPr>
                <w:rFonts w:cs="Calibri"/>
              </w:rPr>
              <w:t>This could be staff members physically injured, deceased, witness to an incident or suffering from mental healt</w:t>
            </w:r>
            <w:r w:rsidR="00225076">
              <w:rPr>
                <w:rFonts w:cs="Calibri"/>
              </w:rPr>
              <w:t>h issues following an incident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F326" w14:textId="77777777" w:rsidR="00BD26AC" w:rsidRDefault="00520DAC" w:rsidP="00225076">
            <w:pPr>
              <w:spacing w:after="0" w:line="240" w:lineRule="auto"/>
            </w:pPr>
            <w:r>
              <w:rPr>
                <w:rFonts w:cs="Calibri"/>
              </w:rPr>
              <w:t>School</w:t>
            </w:r>
            <w:r w:rsidR="0090320A">
              <w:rPr>
                <w:rFonts w:cs="Calibri"/>
              </w:rPr>
              <w:t>/college</w:t>
            </w:r>
            <w:r>
              <w:rPr>
                <w:rFonts w:cs="Calibri"/>
              </w:rPr>
              <w:t xml:space="preserve"> leaders may have existing support mechanisms for staff. This may include signposting to internal policies or benefits packages, assistance from human resources, and trade </w:t>
            </w:r>
            <w:r w:rsidR="0090320A">
              <w:rPr>
                <w:rFonts w:cs="Calibri"/>
              </w:rPr>
              <w:t xml:space="preserve">union </w:t>
            </w:r>
            <w:r w:rsidR="00225076">
              <w:rPr>
                <w:rFonts w:cs="Calibri"/>
              </w:rPr>
              <w:t>benefits</w:t>
            </w:r>
          </w:p>
        </w:tc>
      </w:tr>
    </w:tbl>
    <w:p w14:paraId="2D06021A" w14:textId="77777777" w:rsidR="00BD26AC" w:rsidRDefault="00BD26AC"/>
    <w:sectPr w:rsidR="00BD26AC" w:rsidSect="000B12F2">
      <w:pgSz w:w="16838" w:h="11906" w:orient="landscape"/>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D8A8" w14:textId="77777777" w:rsidR="00F43240" w:rsidRDefault="00F43240">
      <w:pPr>
        <w:spacing w:after="0" w:line="240" w:lineRule="auto"/>
      </w:pPr>
      <w:r>
        <w:separator/>
      </w:r>
    </w:p>
  </w:endnote>
  <w:endnote w:type="continuationSeparator" w:id="0">
    <w:p w14:paraId="44618748" w14:textId="77777777" w:rsidR="00F43240" w:rsidRDefault="00F43240">
      <w:pPr>
        <w:spacing w:after="0" w:line="240" w:lineRule="auto"/>
      </w:pPr>
      <w:r>
        <w:continuationSeparator/>
      </w:r>
    </w:p>
  </w:endnote>
  <w:endnote w:id="1">
    <w:p w14:paraId="2B95B0C9" w14:textId="77777777" w:rsidR="00BD26AC" w:rsidRDefault="00520DAC">
      <w:pPr>
        <w:pStyle w:val="EndnoteText"/>
      </w:pPr>
      <w:r>
        <w:rPr>
          <w:rStyle w:val="EndnoteReference"/>
        </w:rPr>
        <w:endnoteRef/>
      </w:r>
      <w:r>
        <w:t xml:space="preserve"> Prevent Education Officers (PEOs) are the point of contact for the Department for Education and Home Office on Prevent delivery in education settings. PEOs work to </w:t>
      </w:r>
      <w:r w:rsidR="0090320A">
        <w:t>l</w:t>
      </w:r>
      <w:r>
        <w:t xml:space="preserve">ocal </w:t>
      </w:r>
      <w:r w:rsidR="0090320A">
        <w:t>a</w:t>
      </w:r>
      <w:r>
        <w:t>uthority Prevent Leads.</w:t>
      </w:r>
    </w:p>
    <w:p w14:paraId="28ABDEE5" w14:textId="77777777" w:rsidR="00BD26AC" w:rsidRDefault="00520DAC">
      <w:pPr>
        <w:pStyle w:val="EndnoteText"/>
      </w:pPr>
      <w:r>
        <w:t xml:space="preserve">Regional Further Education (FE)/ Higher Education (HE) Co-ordinators provide FE and HE providers with support to build resilience against the dangers of radicalisation.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1CC4" w14:textId="77777777" w:rsidR="00F43240" w:rsidRDefault="00F43240">
      <w:pPr>
        <w:spacing w:after="0" w:line="240" w:lineRule="auto"/>
      </w:pPr>
      <w:r>
        <w:rPr>
          <w:color w:val="000000"/>
        </w:rPr>
        <w:separator/>
      </w:r>
    </w:p>
  </w:footnote>
  <w:footnote w:type="continuationSeparator" w:id="0">
    <w:p w14:paraId="08D6BAB9" w14:textId="77777777" w:rsidR="00F43240" w:rsidRDefault="00F4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A3B03"/>
    <w:multiLevelType w:val="multilevel"/>
    <w:tmpl w:val="1EBA36C6"/>
    <w:styleLink w:val="LFO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44B21543"/>
    <w:multiLevelType w:val="multilevel"/>
    <w:tmpl w:val="DB8AC386"/>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AC"/>
    <w:rsid w:val="000B12F2"/>
    <w:rsid w:val="000C36A6"/>
    <w:rsid w:val="000D69D6"/>
    <w:rsid w:val="00191690"/>
    <w:rsid w:val="00225076"/>
    <w:rsid w:val="00263166"/>
    <w:rsid w:val="002C6FEA"/>
    <w:rsid w:val="00400D77"/>
    <w:rsid w:val="00520DAC"/>
    <w:rsid w:val="0053523C"/>
    <w:rsid w:val="0090320A"/>
    <w:rsid w:val="00916D46"/>
    <w:rsid w:val="00A55EC5"/>
    <w:rsid w:val="00B10DBF"/>
    <w:rsid w:val="00B64B9C"/>
    <w:rsid w:val="00BD26AC"/>
    <w:rsid w:val="00BE39D0"/>
    <w:rsid w:val="00CA6211"/>
    <w:rsid w:val="00CF55D1"/>
    <w:rsid w:val="00D95B79"/>
    <w:rsid w:val="00E46381"/>
    <w:rsid w:val="00E82606"/>
    <w:rsid w:val="00ED0583"/>
    <w:rsid w:val="00F43240"/>
    <w:rsid w:val="00F8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B27"/>
  <w15:docId w15:val="{954CEE0C-3AD2-4EAA-8BBC-6D0A647E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F87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customStyle="1" w:styleId="DfESOutNumbered">
    <w:name w:val="DfESOutNumbered"/>
    <w:basedOn w:val="Normal"/>
    <w:pPr>
      <w:widowControl w:val="0"/>
      <w:numPr>
        <w:numId w:val="1"/>
      </w:numPr>
      <w:suppressAutoHyphens w:val="0"/>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suppressAutoHyphens w:val="0"/>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sz w:val="24"/>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numbering" w:customStyle="1" w:styleId="LFO2">
    <w:name w:val="LFO2"/>
    <w:basedOn w:val="NoList"/>
    <w:pPr>
      <w:numPr>
        <w:numId w:val="1"/>
      </w:numPr>
    </w:pPr>
  </w:style>
  <w:style w:type="numbering" w:customStyle="1" w:styleId="LFO4">
    <w:name w:val="LFO4"/>
    <w:basedOn w:val="NoList"/>
    <w:pPr>
      <w:numPr>
        <w:numId w:val="2"/>
      </w:numPr>
    </w:pPr>
  </w:style>
  <w:style w:type="character" w:customStyle="1" w:styleId="Heading1Char">
    <w:name w:val="Heading 1 Char"/>
    <w:basedOn w:val="DefaultParagraphFont"/>
    <w:link w:val="Heading1"/>
    <w:uiPriority w:val="9"/>
    <w:rsid w:val="00F87A7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87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A7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10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imsofterrorism.campaig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ctimsofterrorism.campaign.gov.uk/" TargetMode="External"/><Relationship Id="rId17" Type="http://schemas.openxmlformats.org/officeDocument/2006/relationships/hyperlink" Target="https://donate.redcross.org.uk/appeal/uk-solidarity-fund" TargetMode="External"/><Relationship Id="rId2" Type="http://schemas.openxmlformats.org/officeDocument/2006/relationships/customXml" Target="../customXml/item2.xml"/><Relationship Id="rId16" Type="http://schemas.openxmlformats.org/officeDocument/2006/relationships/hyperlink" Target="https://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andling-media-attention/handling-media-attention-after-a-major-incident" TargetMode="External"/><Relationship Id="rId5" Type="http://schemas.openxmlformats.org/officeDocument/2006/relationships/styles" Target="styles.xml"/><Relationship Id="rId15" Type="http://schemas.openxmlformats.org/officeDocument/2006/relationships/hyperlink" Target="https://educateagainsthat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45123/NHS_Trauma_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cfdb05213030e4519fd2d79972a2fb85">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eda53db0aba6ae604a0af06cf70486b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AA8A0-5E37-4662-AD42-52CDD518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44556-C6B2-40C8-BEAE-A155B1A90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12F1D-C2ED-4310-ABC2-47C4B341B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1310</Words>
  <Characters>6930</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
    </vt:vector>
  </TitlesOfParts>
  <Manager/>
  <Company>DfE</Company>
  <LinksUpToDate>false</LinksUpToDate>
  <CharactersWithSpaces>8197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Checklist</dc:title>
  <dc:subject/>
  <dc:creator>ROWLINSON, Laura</dc:creator>
  <cp:keywords/>
  <dc:description/>
  <cp:lastModifiedBy>Jane Ballantine</cp:lastModifiedBy>
  <cp:revision>4</cp:revision>
  <dcterms:created xsi:type="dcterms:W3CDTF">2019-11-06T15:52:00Z</dcterms:created>
  <dcterms:modified xsi:type="dcterms:W3CDTF">2020-07-21T11:19:00Z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