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957F" w14:textId="14109BFE" w:rsidR="000E0C5B" w:rsidRDefault="001C6BFB" w:rsidP="004E6DE4">
      <w:r>
        <w:rPr>
          <w:noProof/>
        </w:rPr>
        <w:drawing>
          <wp:inline distT="0" distB="0" distL="0" distR="0" wp14:anchorId="1FB58F19" wp14:editId="280CE63E">
            <wp:extent cx="1085513" cy="10604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445" cy="1070152"/>
                    </a:xfrm>
                    <a:prstGeom prst="rect">
                      <a:avLst/>
                    </a:prstGeom>
                    <a:noFill/>
                  </pic:spPr>
                </pic:pic>
              </a:graphicData>
            </a:graphic>
          </wp:inline>
        </w:drawing>
      </w:r>
    </w:p>
    <w:p w14:paraId="155B24A7" w14:textId="17DA1E7B" w:rsidR="00FE59CF" w:rsidRPr="00B9642C" w:rsidRDefault="00E13115" w:rsidP="2C023BFC">
      <w:pPr>
        <w:pStyle w:val="Title"/>
        <w:rPr>
          <w:b/>
          <w:bCs/>
          <w:sz w:val="48"/>
          <w:szCs w:val="48"/>
        </w:rPr>
      </w:pPr>
      <w:r w:rsidRPr="2C023BFC">
        <w:rPr>
          <w:b/>
          <w:bCs/>
          <w:sz w:val="48"/>
          <w:szCs w:val="48"/>
        </w:rPr>
        <w:t>Sandwich Student Placements 202</w:t>
      </w:r>
      <w:r w:rsidR="00262E71">
        <w:rPr>
          <w:b/>
          <w:bCs/>
          <w:sz w:val="48"/>
          <w:szCs w:val="48"/>
        </w:rPr>
        <w:t>4</w:t>
      </w:r>
      <w:r w:rsidRPr="2C023BFC">
        <w:rPr>
          <w:b/>
          <w:bCs/>
          <w:sz w:val="48"/>
          <w:szCs w:val="48"/>
        </w:rPr>
        <w:t>-2</w:t>
      </w:r>
      <w:r w:rsidR="00262E71">
        <w:rPr>
          <w:b/>
          <w:bCs/>
          <w:sz w:val="48"/>
          <w:szCs w:val="48"/>
        </w:rPr>
        <w:t>5</w:t>
      </w:r>
      <w:r w:rsidRPr="2C023BFC">
        <w:rPr>
          <w:b/>
          <w:bCs/>
          <w:sz w:val="48"/>
          <w:szCs w:val="48"/>
        </w:rPr>
        <w:t xml:space="preserve">: </w:t>
      </w:r>
    </w:p>
    <w:p w14:paraId="28A1CE04" w14:textId="34254880" w:rsidR="00E13115" w:rsidRPr="00B9642C" w:rsidRDefault="00E13115" w:rsidP="2C023BFC">
      <w:pPr>
        <w:pStyle w:val="Title"/>
        <w:rPr>
          <w:b/>
          <w:bCs/>
          <w:sz w:val="48"/>
          <w:szCs w:val="48"/>
        </w:rPr>
      </w:pPr>
      <w:r w:rsidRPr="2C023BFC">
        <w:rPr>
          <w:b/>
          <w:bCs/>
          <w:sz w:val="48"/>
          <w:szCs w:val="48"/>
        </w:rPr>
        <w:t>Application Guidance Notes</w:t>
      </w:r>
    </w:p>
    <w:p w14:paraId="62693CA1" w14:textId="77777777" w:rsidR="00E13115" w:rsidRDefault="00E13115" w:rsidP="00E13115"/>
    <w:sdt>
      <w:sdtPr>
        <w:rPr>
          <w:rFonts w:asciiTheme="minorHAnsi" w:eastAsiaTheme="minorHAnsi" w:hAnsiTheme="minorHAnsi" w:cstheme="minorBidi"/>
          <w:color w:val="auto"/>
          <w:sz w:val="22"/>
          <w:szCs w:val="22"/>
          <w:lang w:val="en-GB"/>
        </w:rPr>
        <w:id w:val="275672032"/>
        <w:docPartObj>
          <w:docPartGallery w:val="Table of Contents"/>
          <w:docPartUnique/>
        </w:docPartObj>
      </w:sdtPr>
      <w:sdtEndPr/>
      <w:sdtContent>
        <w:p w14:paraId="5C265597" w14:textId="463DA09A" w:rsidR="00B9642C" w:rsidRDefault="00B9642C">
          <w:pPr>
            <w:pStyle w:val="TOCHeading"/>
          </w:pPr>
          <w:r>
            <w:t>Contents</w:t>
          </w:r>
        </w:p>
        <w:p w14:paraId="6728BABC" w14:textId="028C9B29" w:rsidR="00CB0537" w:rsidRDefault="00B824AA">
          <w:pPr>
            <w:pStyle w:val="TOC1"/>
            <w:tabs>
              <w:tab w:val="right" w:leader="dot" w:pos="9016"/>
            </w:tabs>
            <w:rPr>
              <w:rFonts w:eastAsiaTheme="minorEastAsia"/>
              <w:noProof/>
              <w:lang w:eastAsia="en-GB"/>
            </w:rPr>
          </w:pPr>
          <w:r>
            <w:fldChar w:fldCharType="begin"/>
          </w:r>
          <w:r w:rsidR="00B9642C">
            <w:instrText>TOC \o "1-3" \h \z \u</w:instrText>
          </w:r>
          <w:r>
            <w:fldChar w:fldCharType="separate"/>
          </w:r>
          <w:hyperlink w:anchor="_Toc146703084" w:history="1">
            <w:r w:rsidR="00CB0537" w:rsidRPr="0008475C">
              <w:rPr>
                <w:rStyle w:val="Hyperlink"/>
                <w:noProof/>
              </w:rPr>
              <w:t>Essential Eligibility Criteria:</w:t>
            </w:r>
            <w:r w:rsidR="00CB0537">
              <w:rPr>
                <w:noProof/>
                <w:webHidden/>
              </w:rPr>
              <w:tab/>
            </w:r>
            <w:r w:rsidR="00CB0537">
              <w:rPr>
                <w:noProof/>
                <w:webHidden/>
              </w:rPr>
              <w:fldChar w:fldCharType="begin"/>
            </w:r>
            <w:r w:rsidR="00CB0537">
              <w:rPr>
                <w:noProof/>
                <w:webHidden/>
              </w:rPr>
              <w:instrText xml:space="preserve"> PAGEREF _Toc146703084 \h </w:instrText>
            </w:r>
            <w:r w:rsidR="00CB0537">
              <w:rPr>
                <w:noProof/>
                <w:webHidden/>
              </w:rPr>
            </w:r>
            <w:r w:rsidR="00CB0537">
              <w:rPr>
                <w:noProof/>
                <w:webHidden/>
              </w:rPr>
              <w:fldChar w:fldCharType="separate"/>
            </w:r>
            <w:r w:rsidR="00CB0537">
              <w:rPr>
                <w:noProof/>
                <w:webHidden/>
              </w:rPr>
              <w:t>2</w:t>
            </w:r>
            <w:r w:rsidR="00CB0537">
              <w:rPr>
                <w:noProof/>
                <w:webHidden/>
              </w:rPr>
              <w:fldChar w:fldCharType="end"/>
            </w:r>
          </w:hyperlink>
        </w:p>
        <w:p w14:paraId="2090ADA4" w14:textId="2F78DE47" w:rsidR="00CB0537" w:rsidRDefault="00CB0537">
          <w:pPr>
            <w:pStyle w:val="TOC1"/>
            <w:tabs>
              <w:tab w:val="right" w:leader="dot" w:pos="9016"/>
            </w:tabs>
            <w:rPr>
              <w:rFonts w:eastAsiaTheme="minorEastAsia"/>
              <w:noProof/>
              <w:lang w:eastAsia="en-GB"/>
            </w:rPr>
          </w:pPr>
          <w:hyperlink w:anchor="_Toc146703085" w:history="1">
            <w:r w:rsidRPr="0008475C">
              <w:rPr>
                <w:rStyle w:val="Hyperlink"/>
                <w:noProof/>
                <w:lang w:val="en-US"/>
              </w:rPr>
              <w:t>Recruitment process</w:t>
            </w:r>
            <w:r>
              <w:rPr>
                <w:noProof/>
                <w:webHidden/>
              </w:rPr>
              <w:tab/>
            </w:r>
            <w:r>
              <w:rPr>
                <w:noProof/>
                <w:webHidden/>
              </w:rPr>
              <w:fldChar w:fldCharType="begin"/>
            </w:r>
            <w:r>
              <w:rPr>
                <w:noProof/>
                <w:webHidden/>
              </w:rPr>
              <w:instrText xml:space="preserve"> PAGEREF _Toc146703085 \h </w:instrText>
            </w:r>
            <w:r>
              <w:rPr>
                <w:noProof/>
                <w:webHidden/>
              </w:rPr>
            </w:r>
            <w:r>
              <w:rPr>
                <w:noProof/>
                <w:webHidden/>
              </w:rPr>
              <w:fldChar w:fldCharType="separate"/>
            </w:r>
            <w:r>
              <w:rPr>
                <w:noProof/>
                <w:webHidden/>
              </w:rPr>
              <w:t>3</w:t>
            </w:r>
            <w:r>
              <w:rPr>
                <w:noProof/>
                <w:webHidden/>
              </w:rPr>
              <w:fldChar w:fldCharType="end"/>
            </w:r>
          </w:hyperlink>
        </w:p>
        <w:p w14:paraId="69624345" w14:textId="0C4949B0" w:rsidR="00CB0537" w:rsidRDefault="00CB0537">
          <w:pPr>
            <w:pStyle w:val="TOC2"/>
            <w:tabs>
              <w:tab w:val="right" w:leader="dot" w:pos="9016"/>
            </w:tabs>
            <w:rPr>
              <w:rFonts w:eastAsiaTheme="minorEastAsia"/>
              <w:noProof/>
              <w:lang w:eastAsia="en-GB"/>
            </w:rPr>
          </w:pPr>
          <w:hyperlink w:anchor="_Toc146703086" w:history="1">
            <w:r w:rsidRPr="0008475C">
              <w:rPr>
                <w:rStyle w:val="Hyperlink"/>
                <w:noProof/>
              </w:rPr>
              <w:t>Application Form</w:t>
            </w:r>
            <w:r>
              <w:rPr>
                <w:noProof/>
                <w:webHidden/>
              </w:rPr>
              <w:tab/>
            </w:r>
            <w:r>
              <w:rPr>
                <w:noProof/>
                <w:webHidden/>
              </w:rPr>
              <w:fldChar w:fldCharType="begin"/>
            </w:r>
            <w:r>
              <w:rPr>
                <w:noProof/>
                <w:webHidden/>
              </w:rPr>
              <w:instrText xml:space="preserve"> PAGEREF _Toc146703086 \h </w:instrText>
            </w:r>
            <w:r>
              <w:rPr>
                <w:noProof/>
                <w:webHidden/>
              </w:rPr>
            </w:r>
            <w:r>
              <w:rPr>
                <w:noProof/>
                <w:webHidden/>
              </w:rPr>
              <w:fldChar w:fldCharType="separate"/>
            </w:r>
            <w:r>
              <w:rPr>
                <w:noProof/>
                <w:webHidden/>
              </w:rPr>
              <w:t>3</w:t>
            </w:r>
            <w:r>
              <w:rPr>
                <w:noProof/>
                <w:webHidden/>
              </w:rPr>
              <w:fldChar w:fldCharType="end"/>
            </w:r>
          </w:hyperlink>
        </w:p>
        <w:p w14:paraId="79BB8DF9" w14:textId="26F52B9F" w:rsidR="00CB0537" w:rsidRDefault="00CB0537">
          <w:pPr>
            <w:pStyle w:val="TOC2"/>
            <w:tabs>
              <w:tab w:val="right" w:leader="dot" w:pos="9016"/>
            </w:tabs>
            <w:rPr>
              <w:rFonts w:eastAsiaTheme="minorEastAsia"/>
              <w:noProof/>
              <w:lang w:eastAsia="en-GB"/>
            </w:rPr>
          </w:pPr>
          <w:hyperlink w:anchor="_Toc146703087" w:history="1">
            <w:r w:rsidRPr="0008475C">
              <w:rPr>
                <w:rStyle w:val="Hyperlink"/>
                <w:noProof/>
              </w:rPr>
              <w:t>Civil Service Numerical test</w:t>
            </w:r>
            <w:r>
              <w:rPr>
                <w:noProof/>
                <w:webHidden/>
              </w:rPr>
              <w:tab/>
            </w:r>
            <w:r>
              <w:rPr>
                <w:noProof/>
                <w:webHidden/>
              </w:rPr>
              <w:fldChar w:fldCharType="begin"/>
            </w:r>
            <w:r>
              <w:rPr>
                <w:noProof/>
                <w:webHidden/>
              </w:rPr>
              <w:instrText xml:space="preserve"> PAGEREF _Toc146703087 \h </w:instrText>
            </w:r>
            <w:r>
              <w:rPr>
                <w:noProof/>
                <w:webHidden/>
              </w:rPr>
            </w:r>
            <w:r>
              <w:rPr>
                <w:noProof/>
                <w:webHidden/>
              </w:rPr>
              <w:fldChar w:fldCharType="separate"/>
            </w:r>
            <w:r>
              <w:rPr>
                <w:noProof/>
                <w:webHidden/>
              </w:rPr>
              <w:t>3</w:t>
            </w:r>
            <w:r>
              <w:rPr>
                <w:noProof/>
                <w:webHidden/>
              </w:rPr>
              <w:fldChar w:fldCharType="end"/>
            </w:r>
          </w:hyperlink>
        </w:p>
        <w:p w14:paraId="2B42767B" w14:textId="3FA880E8" w:rsidR="00CB0537" w:rsidRDefault="00CB0537">
          <w:pPr>
            <w:pStyle w:val="TOC2"/>
            <w:tabs>
              <w:tab w:val="right" w:leader="dot" w:pos="9016"/>
            </w:tabs>
            <w:rPr>
              <w:rFonts w:eastAsiaTheme="minorEastAsia"/>
              <w:noProof/>
              <w:lang w:eastAsia="en-GB"/>
            </w:rPr>
          </w:pPr>
          <w:hyperlink w:anchor="_Toc146703088" w:history="1">
            <w:r w:rsidRPr="0008475C">
              <w:rPr>
                <w:rStyle w:val="Hyperlink"/>
                <w:noProof/>
              </w:rPr>
              <w:t>Sift</w:t>
            </w:r>
            <w:r>
              <w:rPr>
                <w:noProof/>
                <w:webHidden/>
              </w:rPr>
              <w:tab/>
            </w:r>
            <w:r>
              <w:rPr>
                <w:noProof/>
                <w:webHidden/>
              </w:rPr>
              <w:fldChar w:fldCharType="begin"/>
            </w:r>
            <w:r>
              <w:rPr>
                <w:noProof/>
                <w:webHidden/>
              </w:rPr>
              <w:instrText xml:space="preserve"> PAGEREF _Toc146703088 \h </w:instrText>
            </w:r>
            <w:r>
              <w:rPr>
                <w:noProof/>
                <w:webHidden/>
              </w:rPr>
            </w:r>
            <w:r>
              <w:rPr>
                <w:noProof/>
                <w:webHidden/>
              </w:rPr>
              <w:fldChar w:fldCharType="separate"/>
            </w:r>
            <w:r>
              <w:rPr>
                <w:noProof/>
                <w:webHidden/>
              </w:rPr>
              <w:t>4</w:t>
            </w:r>
            <w:r>
              <w:rPr>
                <w:noProof/>
                <w:webHidden/>
              </w:rPr>
              <w:fldChar w:fldCharType="end"/>
            </w:r>
          </w:hyperlink>
        </w:p>
        <w:p w14:paraId="2FC80B40" w14:textId="2EE845D7" w:rsidR="00CB0537" w:rsidRDefault="00CB0537">
          <w:pPr>
            <w:pStyle w:val="TOC2"/>
            <w:tabs>
              <w:tab w:val="right" w:leader="dot" w:pos="9016"/>
            </w:tabs>
            <w:rPr>
              <w:rFonts w:eastAsiaTheme="minorEastAsia"/>
              <w:noProof/>
              <w:lang w:eastAsia="en-GB"/>
            </w:rPr>
          </w:pPr>
          <w:hyperlink w:anchor="_Toc146703089" w:history="1">
            <w:r w:rsidRPr="0008475C">
              <w:rPr>
                <w:rStyle w:val="Hyperlink"/>
                <w:noProof/>
                <w:lang w:val="en-US"/>
              </w:rPr>
              <w:t>Interview</w:t>
            </w:r>
            <w:r>
              <w:rPr>
                <w:noProof/>
                <w:webHidden/>
              </w:rPr>
              <w:tab/>
            </w:r>
            <w:r>
              <w:rPr>
                <w:noProof/>
                <w:webHidden/>
              </w:rPr>
              <w:fldChar w:fldCharType="begin"/>
            </w:r>
            <w:r>
              <w:rPr>
                <w:noProof/>
                <w:webHidden/>
              </w:rPr>
              <w:instrText xml:space="preserve"> PAGEREF _Toc146703089 \h </w:instrText>
            </w:r>
            <w:r>
              <w:rPr>
                <w:noProof/>
                <w:webHidden/>
              </w:rPr>
            </w:r>
            <w:r>
              <w:rPr>
                <w:noProof/>
                <w:webHidden/>
              </w:rPr>
              <w:fldChar w:fldCharType="separate"/>
            </w:r>
            <w:r>
              <w:rPr>
                <w:noProof/>
                <w:webHidden/>
              </w:rPr>
              <w:t>4</w:t>
            </w:r>
            <w:r>
              <w:rPr>
                <w:noProof/>
                <w:webHidden/>
              </w:rPr>
              <w:fldChar w:fldCharType="end"/>
            </w:r>
          </w:hyperlink>
        </w:p>
        <w:p w14:paraId="2864636E" w14:textId="69E1C620" w:rsidR="00CB0537" w:rsidRDefault="00CB0537">
          <w:pPr>
            <w:pStyle w:val="TOC2"/>
            <w:tabs>
              <w:tab w:val="right" w:leader="dot" w:pos="9016"/>
            </w:tabs>
            <w:rPr>
              <w:rFonts w:eastAsiaTheme="minorEastAsia"/>
              <w:noProof/>
              <w:lang w:eastAsia="en-GB"/>
            </w:rPr>
          </w:pPr>
          <w:hyperlink w:anchor="_Toc146703090" w:history="1">
            <w:r w:rsidRPr="0008475C">
              <w:rPr>
                <w:rStyle w:val="Hyperlink"/>
                <w:noProof/>
              </w:rPr>
              <w:t>Placement Offer</w:t>
            </w:r>
            <w:r>
              <w:rPr>
                <w:noProof/>
                <w:webHidden/>
              </w:rPr>
              <w:tab/>
            </w:r>
            <w:r>
              <w:rPr>
                <w:noProof/>
                <w:webHidden/>
              </w:rPr>
              <w:fldChar w:fldCharType="begin"/>
            </w:r>
            <w:r>
              <w:rPr>
                <w:noProof/>
                <w:webHidden/>
              </w:rPr>
              <w:instrText xml:space="preserve"> PAGEREF _Toc146703090 \h </w:instrText>
            </w:r>
            <w:r>
              <w:rPr>
                <w:noProof/>
                <w:webHidden/>
              </w:rPr>
            </w:r>
            <w:r>
              <w:rPr>
                <w:noProof/>
                <w:webHidden/>
              </w:rPr>
              <w:fldChar w:fldCharType="separate"/>
            </w:r>
            <w:r>
              <w:rPr>
                <w:noProof/>
                <w:webHidden/>
              </w:rPr>
              <w:t>4</w:t>
            </w:r>
            <w:r>
              <w:rPr>
                <w:noProof/>
                <w:webHidden/>
              </w:rPr>
              <w:fldChar w:fldCharType="end"/>
            </w:r>
          </w:hyperlink>
        </w:p>
        <w:p w14:paraId="2E4729E3" w14:textId="2EE8F9CD" w:rsidR="00CB0537" w:rsidRDefault="00CB0537">
          <w:pPr>
            <w:pStyle w:val="TOC2"/>
            <w:tabs>
              <w:tab w:val="right" w:leader="dot" w:pos="9016"/>
            </w:tabs>
            <w:rPr>
              <w:rFonts w:eastAsiaTheme="minorEastAsia"/>
              <w:noProof/>
              <w:lang w:eastAsia="en-GB"/>
            </w:rPr>
          </w:pPr>
          <w:hyperlink w:anchor="_Toc146703091" w:history="1">
            <w:r w:rsidRPr="0008475C">
              <w:rPr>
                <w:rStyle w:val="Hyperlink"/>
                <w:noProof/>
                <w:lang w:val="en-US"/>
              </w:rPr>
              <w:t>Security clearance</w:t>
            </w:r>
            <w:r>
              <w:rPr>
                <w:noProof/>
                <w:webHidden/>
              </w:rPr>
              <w:tab/>
            </w:r>
            <w:r>
              <w:rPr>
                <w:noProof/>
                <w:webHidden/>
              </w:rPr>
              <w:fldChar w:fldCharType="begin"/>
            </w:r>
            <w:r>
              <w:rPr>
                <w:noProof/>
                <w:webHidden/>
              </w:rPr>
              <w:instrText xml:space="preserve"> PAGEREF _Toc146703091 \h </w:instrText>
            </w:r>
            <w:r>
              <w:rPr>
                <w:noProof/>
                <w:webHidden/>
              </w:rPr>
            </w:r>
            <w:r>
              <w:rPr>
                <w:noProof/>
                <w:webHidden/>
              </w:rPr>
              <w:fldChar w:fldCharType="separate"/>
            </w:r>
            <w:r>
              <w:rPr>
                <w:noProof/>
                <w:webHidden/>
              </w:rPr>
              <w:t>4</w:t>
            </w:r>
            <w:r>
              <w:rPr>
                <w:noProof/>
                <w:webHidden/>
              </w:rPr>
              <w:fldChar w:fldCharType="end"/>
            </w:r>
          </w:hyperlink>
        </w:p>
        <w:p w14:paraId="7B1EA268" w14:textId="43E17985" w:rsidR="00CB0537" w:rsidRDefault="00CB0537">
          <w:pPr>
            <w:pStyle w:val="TOC1"/>
            <w:tabs>
              <w:tab w:val="right" w:leader="dot" w:pos="9016"/>
            </w:tabs>
            <w:rPr>
              <w:rFonts w:eastAsiaTheme="minorEastAsia"/>
              <w:noProof/>
              <w:lang w:eastAsia="en-GB"/>
            </w:rPr>
          </w:pPr>
          <w:hyperlink w:anchor="_Toc146703092" w:history="1">
            <w:r w:rsidRPr="0008475C">
              <w:rPr>
                <w:rStyle w:val="Hyperlink"/>
                <w:noProof/>
              </w:rPr>
              <w:t>Scheme timetable</w:t>
            </w:r>
            <w:r>
              <w:rPr>
                <w:noProof/>
                <w:webHidden/>
              </w:rPr>
              <w:tab/>
            </w:r>
            <w:r>
              <w:rPr>
                <w:noProof/>
                <w:webHidden/>
              </w:rPr>
              <w:fldChar w:fldCharType="begin"/>
            </w:r>
            <w:r>
              <w:rPr>
                <w:noProof/>
                <w:webHidden/>
              </w:rPr>
              <w:instrText xml:space="preserve"> PAGEREF _Toc146703092 \h </w:instrText>
            </w:r>
            <w:r>
              <w:rPr>
                <w:noProof/>
                <w:webHidden/>
              </w:rPr>
            </w:r>
            <w:r>
              <w:rPr>
                <w:noProof/>
                <w:webHidden/>
              </w:rPr>
              <w:fldChar w:fldCharType="separate"/>
            </w:r>
            <w:r>
              <w:rPr>
                <w:noProof/>
                <w:webHidden/>
              </w:rPr>
              <w:t>5</w:t>
            </w:r>
            <w:r>
              <w:rPr>
                <w:noProof/>
                <w:webHidden/>
              </w:rPr>
              <w:fldChar w:fldCharType="end"/>
            </w:r>
          </w:hyperlink>
        </w:p>
        <w:p w14:paraId="614971C8" w14:textId="44C14E00" w:rsidR="00CB0537" w:rsidRDefault="00CB0537">
          <w:pPr>
            <w:pStyle w:val="TOC1"/>
            <w:tabs>
              <w:tab w:val="right" w:leader="dot" w:pos="9016"/>
            </w:tabs>
            <w:rPr>
              <w:rFonts w:eastAsiaTheme="minorEastAsia"/>
              <w:noProof/>
              <w:lang w:eastAsia="en-GB"/>
            </w:rPr>
          </w:pPr>
          <w:hyperlink w:anchor="_Toc146703093" w:history="1">
            <w:r w:rsidRPr="0008475C">
              <w:rPr>
                <w:rStyle w:val="Hyperlink"/>
                <w:noProof/>
              </w:rPr>
              <w:t>Re-joining GSR after graduation</w:t>
            </w:r>
            <w:r>
              <w:rPr>
                <w:noProof/>
                <w:webHidden/>
              </w:rPr>
              <w:tab/>
            </w:r>
            <w:r>
              <w:rPr>
                <w:noProof/>
                <w:webHidden/>
              </w:rPr>
              <w:fldChar w:fldCharType="begin"/>
            </w:r>
            <w:r>
              <w:rPr>
                <w:noProof/>
                <w:webHidden/>
              </w:rPr>
              <w:instrText xml:space="preserve"> PAGEREF _Toc146703093 \h </w:instrText>
            </w:r>
            <w:r>
              <w:rPr>
                <w:noProof/>
                <w:webHidden/>
              </w:rPr>
            </w:r>
            <w:r>
              <w:rPr>
                <w:noProof/>
                <w:webHidden/>
              </w:rPr>
              <w:fldChar w:fldCharType="separate"/>
            </w:r>
            <w:r>
              <w:rPr>
                <w:noProof/>
                <w:webHidden/>
              </w:rPr>
              <w:t>5</w:t>
            </w:r>
            <w:r>
              <w:rPr>
                <w:noProof/>
                <w:webHidden/>
              </w:rPr>
              <w:fldChar w:fldCharType="end"/>
            </w:r>
          </w:hyperlink>
        </w:p>
        <w:p w14:paraId="599EE530" w14:textId="7A5AB9D4" w:rsidR="00CB0537" w:rsidRDefault="00CB0537">
          <w:pPr>
            <w:pStyle w:val="TOC1"/>
            <w:tabs>
              <w:tab w:val="right" w:leader="dot" w:pos="9016"/>
            </w:tabs>
            <w:rPr>
              <w:rFonts w:eastAsiaTheme="minorEastAsia"/>
              <w:noProof/>
              <w:lang w:eastAsia="en-GB"/>
            </w:rPr>
          </w:pPr>
          <w:hyperlink w:anchor="_Toc146703094" w:history="1">
            <w:r w:rsidRPr="0008475C">
              <w:rPr>
                <w:rStyle w:val="Hyperlink"/>
                <w:noProof/>
              </w:rPr>
              <w:t>General Queries</w:t>
            </w:r>
            <w:r>
              <w:rPr>
                <w:noProof/>
                <w:webHidden/>
              </w:rPr>
              <w:tab/>
            </w:r>
            <w:r>
              <w:rPr>
                <w:noProof/>
                <w:webHidden/>
              </w:rPr>
              <w:fldChar w:fldCharType="begin"/>
            </w:r>
            <w:r>
              <w:rPr>
                <w:noProof/>
                <w:webHidden/>
              </w:rPr>
              <w:instrText xml:space="preserve"> PAGEREF _Toc146703094 \h </w:instrText>
            </w:r>
            <w:r>
              <w:rPr>
                <w:noProof/>
                <w:webHidden/>
              </w:rPr>
            </w:r>
            <w:r>
              <w:rPr>
                <w:noProof/>
                <w:webHidden/>
              </w:rPr>
              <w:fldChar w:fldCharType="separate"/>
            </w:r>
            <w:r>
              <w:rPr>
                <w:noProof/>
                <w:webHidden/>
              </w:rPr>
              <w:t>5</w:t>
            </w:r>
            <w:r>
              <w:rPr>
                <w:noProof/>
                <w:webHidden/>
              </w:rPr>
              <w:fldChar w:fldCharType="end"/>
            </w:r>
          </w:hyperlink>
        </w:p>
        <w:p w14:paraId="198EF297" w14:textId="3FCB52FB" w:rsidR="00F6725C" w:rsidRDefault="00B824AA" w:rsidP="2C023BFC">
          <w:pPr>
            <w:pStyle w:val="TOC1"/>
            <w:tabs>
              <w:tab w:val="right" w:leader="dot" w:pos="9015"/>
            </w:tabs>
            <w:rPr>
              <w:rStyle w:val="Hyperlink"/>
              <w:noProof/>
              <w:lang w:eastAsia="en-GB"/>
            </w:rPr>
          </w:pPr>
          <w:r>
            <w:fldChar w:fldCharType="end"/>
          </w:r>
        </w:p>
      </w:sdtContent>
    </w:sdt>
    <w:p w14:paraId="45AE6150" w14:textId="1BFD4993" w:rsidR="00B9642C" w:rsidRDefault="00B9642C"/>
    <w:p w14:paraId="47714280" w14:textId="584A4183" w:rsidR="008337BF" w:rsidRPr="00F6725C" w:rsidRDefault="008337BF" w:rsidP="00F6725C">
      <w:pPr>
        <w:pStyle w:val="NoSpacing"/>
        <w:rPr>
          <w:i/>
          <w:iCs/>
        </w:rPr>
      </w:pPr>
      <w:r w:rsidRPr="00F6725C">
        <w:rPr>
          <w:i/>
          <w:iCs/>
        </w:rPr>
        <w:t>Please read the following application guidance notes carefull</w:t>
      </w:r>
      <w:r w:rsidR="008A1930" w:rsidRPr="00F6725C">
        <w:rPr>
          <w:i/>
          <w:iCs/>
        </w:rPr>
        <w:t xml:space="preserve">y </w:t>
      </w:r>
      <w:r w:rsidRPr="00F6725C">
        <w:rPr>
          <w:i/>
          <w:iCs/>
        </w:rPr>
        <w:t xml:space="preserve">prior to completing your application. The details within the job advert and these notes have been put together to help you determine your eligibility and guide you through the application process. By applying you are confirming you meet the eligibility requirements. If subsequently we find out you do not meet the requirements, your application will be withdrawn. </w:t>
      </w:r>
    </w:p>
    <w:p w14:paraId="5EAB0485" w14:textId="77777777" w:rsidR="00B9642C" w:rsidRPr="00F6725C" w:rsidRDefault="00B9642C">
      <w:pPr>
        <w:rPr>
          <w:rFonts w:asciiTheme="majorHAnsi" w:eastAsiaTheme="majorEastAsia" w:hAnsiTheme="majorHAnsi" w:cstheme="majorBidi"/>
          <w:i/>
          <w:iCs/>
          <w:color w:val="2F5496" w:themeColor="accent1" w:themeShade="BF"/>
          <w:sz w:val="32"/>
          <w:szCs w:val="32"/>
        </w:rPr>
      </w:pPr>
      <w:r w:rsidRPr="00F6725C">
        <w:rPr>
          <w:i/>
          <w:iCs/>
        </w:rPr>
        <w:br w:type="page"/>
      </w:r>
    </w:p>
    <w:p w14:paraId="1A07F48E" w14:textId="44327478" w:rsidR="00EC1C0A" w:rsidRDefault="008337BF" w:rsidP="00E75C22">
      <w:pPr>
        <w:pStyle w:val="Heading1"/>
      </w:pPr>
      <w:bookmarkStart w:id="0" w:name="_Toc146703084"/>
      <w:r>
        <w:lastRenderedPageBreak/>
        <w:t>Essential Eligibility Criteria:</w:t>
      </w:r>
      <w:bookmarkEnd w:id="0"/>
    </w:p>
    <w:p w14:paraId="2BF2201B" w14:textId="5F48A6E4" w:rsidR="003D6418" w:rsidRDefault="00EC1C0A" w:rsidP="00C238FF">
      <w:r>
        <w:t>The Sandwich Student s</w:t>
      </w:r>
      <w:r w:rsidR="00E13115" w:rsidRPr="00E13115">
        <w:t>cheme is only open to students in their penultimate year of undergraduate study and who are on track for a 2:1 or 1</w:t>
      </w:r>
      <w:r w:rsidR="00E13115" w:rsidRPr="00E13115">
        <w:rPr>
          <w:vertAlign w:val="superscript"/>
        </w:rPr>
        <w:t>st</w:t>
      </w:r>
      <w:r w:rsidR="00E13115" w:rsidRPr="00E13115">
        <w:t xml:space="preserve"> class degree.</w:t>
      </w:r>
      <w:r w:rsidR="002855E7">
        <w:t xml:space="preserve"> You must have one more year at </w:t>
      </w:r>
      <w:r>
        <w:t>university</w:t>
      </w:r>
      <w:r w:rsidR="002855E7">
        <w:t xml:space="preserve"> to complete after the placement. </w:t>
      </w:r>
    </w:p>
    <w:p w14:paraId="49A1E3E4" w14:textId="2144CFC5" w:rsidR="00E13115" w:rsidRPr="00E13115" w:rsidRDefault="00E13115" w:rsidP="00C238FF">
      <w:pPr>
        <w:rPr>
          <w:b/>
          <w:bCs/>
          <w:lang w:val="en"/>
        </w:rPr>
      </w:pPr>
      <w:r w:rsidRPr="73D3A567">
        <w:rPr>
          <w:b/>
          <w:bCs/>
          <w:lang w:val="en"/>
        </w:rPr>
        <w:t>To be eligible you must</w:t>
      </w:r>
      <w:r w:rsidR="00723BA6">
        <w:rPr>
          <w:b/>
          <w:bCs/>
          <w:lang w:val="en"/>
        </w:rPr>
        <w:t xml:space="preserve"> meet the following academic requirements:</w:t>
      </w:r>
    </w:p>
    <w:p w14:paraId="1A8FC54C" w14:textId="1232D30E" w:rsidR="00E13115" w:rsidRPr="00E13115" w:rsidRDefault="00E13115" w:rsidP="00C11B62">
      <w:pPr>
        <w:pStyle w:val="ListParagraph"/>
        <w:numPr>
          <w:ilvl w:val="0"/>
          <w:numId w:val="6"/>
        </w:numPr>
      </w:pPr>
      <w:r w:rsidRPr="00E13115">
        <w:t>Be on course for a 2:1 or 1</w:t>
      </w:r>
      <w:r w:rsidRPr="00560B06">
        <w:rPr>
          <w:vertAlign w:val="superscript"/>
        </w:rPr>
        <w:t>st</w:t>
      </w:r>
      <w:r w:rsidRPr="00E13115">
        <w:t xml:space="preserve"> class outcome</w:t>
      </w:r>
      <w:r w:rsidR="000B1DB2">
        <w:t>. This is indicated by</w:t>
      </w:r>
      <w:r w:rsidR="00BF1A19">
        <w:t xml:space="preserve"> your exam results of your first year</w:t>
      </w:r>
      <w:r w:rsidR="00F118EF">
        <w:t>*</w:t>
      </w:r>
      <w:r w:rsidR="00BF1A19">
        <w:t>.</w:t>
      </w:r>
      <w:r w:rsidRPr="00E13115">
        <w:t xml:space="preserve"> </w:t>
      </w:r>
    </w:p>
    <w:p w14:paraId="1890BE0B" w14:textId="1A5646FB" w:rsidR="00E13115" w:rsidRPr="00E13115" w:rsidRDefault="00E13115" w:rsidP="00201E8C">
      <w:pPr>
        <w:pStyle w:val="ListParagraph"/>
        <w:numPr>
          <w:ilvl w:val="0"/>
          <w:numId w:val="6"/>
        </w:numPr>
      </w:pPr>
      <w:r>
        <w:t xml:space="preserve">Be studying a degree which contains a minimum of 30% </w:t>
      </w:r>
      <w:r w:rsidR="00470389">
        <w:t xml:space="preserve">course credits </w:t>
      </w:r>
      <w:r>
        <w:t>in social research methods in your overall degree content</w:t>
      </w:r>
      <w:r w:rsidR="00470389">
        <w:t>.</w:t>
      </w:r>
      <w:r>
        <w:t xml:space="preserve"> </w:t>
      </w:r>
      <w:r w:rsidR="00470389">
        <w:t>Y</w:t>
      </w:r>
      <w:r>
        <w:t>our degree must include quantitative research methods (</w:t>
      </w:r>
      <w:r w:rsidR="0BCE5EEF">
        <w:t>i.e.,</w:t>
      </w:r>
      <w:r>
        <w:t xml:space="preserve"> research design, data collection [</w:t>
      </w:r>
      <w:r w:rsidR="1496619E">
        <w:t>i.e.,</w:t>
      </w:r>
      <w:r>
        <w:t xml:space="preserve"> questionnaire design, sampling, weighting], data analysis [statistical analysis, interpretation]) as well as three out of the following five areas:</w:t>
      </w:r>
    </w:p>
    <w:p w14:paraId="03D75FC7" w14:textId="414DE12A" w:rsidR="00E13115" w:rsidRPr="00E13115" w:rsidRDefault="00E13115" w:rsidP="00723BA6">
      <w:pPr>
        <w:pStyle w:val="ListParagraph"/>
        <w:numPr>
          <w:ilvl w:val="1"/>
          <w:numId w:val="6"/>
        </w:numPr>
        <w:spacing w:after="0"/>
      </w:pPr>
      <w:r>
        <w:t>Qualitative methods, including research design, data collection (</w:t>
      </w:r>
      <w:r w:rsidR="72763D8B">
        <w:t>e.g.,</w:t>
      </w:r>
      <w:r>
        <w:t xml:space="preserve"> interviewing, focus groups, ethnographic), data analysis (</w:t>
      </w:r>
      <w:r w:rsidR="0F342652">
        <w:t>e.g.,</w:t>
      </w:r>
      <w:r>
        <w:t xml:space="preserve"> thematic analysis)</w:t>
      </w:r>
    </w:p>
    <w:p w14:paraId="7881F61C" w14:textId="77777777" w:rsidR="00E13115" w:rsidRPr="00E13115" w:rsidRDefault="00E13115" w:rsidP="00723BA6">
      <w:pPr>
        <w:pStyle w:val="ListParagraph"/>
        <w:numPr>
          <w:ilvl w:val="1"/>
          <w:numId w:val="6"/>
        </w:numPr>
        <w:spacing w:after="0"/>
      </w:pPr>
      <w:r w:rsidRPr="00E13115">
        <w:t>Study design, hypothesis formation, testing and evaluation</w:t>
      </w:r>
    </w:p>
    <w:p w14:paraId="2CCB7F71" w14:textId="77777777" w:rsidR="00E13115" w:rsidRPr="00E13115" w:rsidRDefault="00E13115" w:rsidP="00723BA6">
      <w:pPr>
        <w:pStyle w:val="ListParagraph"/>
        <w:numPr>
          <w:ilvl w:val="1"/>
          <w:numId w:val="6"/>
        </w:numPr>
        <w:spacing w:after="0"/>
      </w:pPr>
      <w:r w:rsidRPr="00E13115">
        <w:t>Systematic/literature review</w:t>
      </w:r>
    </w:p>
    <w:p w14:paraId="15E4E1DA" w14:textId="77777777" w:rsidR="00E13115" w:rsidRPr="00E13115" w:rsidRDefault="00E13115" w:rsidP="00723BA6">
      <w:pPr>
        <w:pStyle w:val="ListParagraph"/>
        <w:numPr>
          <w:ilvl w:val="1"/>
          <w:numId w:val="6"/>
        </w:numPr>
        <w:spacing w:after="0"/>
      </w:pPr>
      <w:r w:rsidRPr="00E13115">
        <w:t>Interpretation of data (qualitative &amp; quantitative), presentation of results, provision of recommendations/ conclusions</w:t>
      </w:r>
    </w:p>
    <w:p w14:paraId="08B92CD5" w14:textId="77777777" w:rsidR="00E13115" w:rsidRPr="00E13115" w:rsidRDefault="00E13115" w:rsidP="00723BA6">
      <w:pPr>
        <w:pStyle w:val="ListParagraph"/>
        <w:numPr>
          <w:ilvl w:val="1"/>
          <w:numId w:val="6"/>
        </w:numPr>
        <w:spacing w:after="0"/>
      </w:pPr>
      <w:r w:rsidRPr="00E13115">
        <w:t>Application of ethics to research</w:t>
      </w:r>
    </w:p>
    <w:p w14:paraId="7EE9FBE1" w14:textId="2FCA300C" w:rsidR="00E13115" w:rsidRDefault="00E13115" w:rsidP="00C238FF">
      <w:pPr>
        <w:pStyle w:val="ListParagraph"/>
        <w:numPr>
          <w:ilvl w:val="1"/>
          <w:numId w:val="6"/>
        </w:numPr>
        <w:spacing w:after="0"/>
        <w:rPr>
          <w:lang w:val="en-US"/>
        </w:rPr>
      </w:pPr>
      <w:r w:rsidRPr="00723BA6">
        <w:rPr>
          <w:lang w:val="en-US"/>
        </w:rPr>
        <w:t>Students are not required to have undertaken research themselves as part of their degree course at time of application, but they should have gained an understanding of the principles and skills needed to design and conduct social research and to be able to critically evaluate research methods, strategies and data used by social scientists.</w:t>
      </w:r>
    </w:p>
    <w:p w14:paraId="376B5200" w14:textId="77777777" w:rsidR="00EC1C0A" w:rsidRDefault="00EC1C0A" w:rsidP="00EC1C0A">
      <w:pPr>
        <w:spacing w:after="0"/>
        <w:ind w:left="1080"/>
        <w:rPr>
          <w:lang w:val="en-US"/>
        </w:rPr>
      </w:pPr>
    </w:p>
    <w:p w14:paraId="34809666" w14:textId="340782DF" w:rsidR="00A411E9" w:rsidRPr="00A411E9" w:rsidRDefault="00F118EF" w:rsidP="00A411E9">
      <w:pPr>
        <w:spacing w:after="0"/>
        <w:ind w:left="1080"/>
      </w:pPr>
      <w:r w:rsidRPr="13DF3250">
        <w:rPr>
          <w:lang w:val="en-US"/>
        </w:rPr>
        <w:t>*</w:t>
      </w:r>
      <w:r w:rsidR="22425BEA" w:rsidRPr="13DF3250">
        <w:rPr>
          <w:rStyle w:val="ui-provider"/>
        </w:rPr>
        <w:t>If</w:t>
      </w:r>
      <w:r w:rsidR="00CB62D3" w:rsidRPr="13DF3250">
        <w:rPr>
          <w:rStyle w:val="ui-provider"/>
        </w:rPr>
        <w:t xml:space="preserve"> you </w:t>
      </w:r>
      <w:r w:rsidR="7E0130E5" w:rsidRPr="13DF3250">
        <w:rPr>
          <w:rStyle w:val="ui-provider"/>
        </w:rPr>
        <w:t>do not</w:t>
      </w:r>
      <w:r w:rsidR="00CB62D3" w:rsidRPr="13DF3250">
        <w:rPr>
          <w:rStyle w:val="ui-provider"/>
        </w:rPr>
        <w:t xml:space="preserve"> have grades due to boycott, send an interim transcript and letter from </w:t>
      </w:r>
      <w:r w:rsidR="00470389">
        <w:rPr>
          <w:rStyle w:val="ui-provider"/>
        </w:rPr>
        <w:t xml:space="preserve">your </w:t>
      </w:r>
      <w:r w:rsidR="00CB62D3" w:rsidRPr="13DF3250">
        <w:rPr>
          <w:rStyle w:val="ui-provider"/>
        </w:rPr>
        <w:t>H</w:t>
      </w:r>
      <w:r w:rsidR="6364784D" w:rsidRPr="13DF3250">
        <w:rPr>
          <w:rStyle w:val="ui-provider"/>
        </w:rPr>
        <w:t xml:space="preserve">ead </w:t>
      </w:r>
      <w:r w:rsidR="00CB62D3" w:rsidRPr="13DF3250">
        <w:rPr>
          <w:rStyle w:val="ui-provider"/>
        </w:rPr>
        <w:t>o</w:t>
      </w:r>
      <w:r w:rsidR="069AA810" w:rsidRPr="13DF3250">
        <w:rPr>
          <w:rStyle w:val="ui-provider"/>
        </w:rPr>
        <w:t xml:space="preserve">f </w:t>
      </w:r>
      <w:r w:rsidR="00CB62D3" w:rsidRPr="13DF3250">
        <w:rPr>
          <w:rStyle w:val="ui-provider"/>
        </w:rPr>
        <w:t>D</w:t>
      </w:r>
      <w:r w:rsidR="6A180FD8" w:rsidRPr="13DF3250">
        <w:rPr>
          <w:rStyle w:val="ui-provider"/>
        </w:rPr>
        <w:t>epartment</w:t>
      </w:r>
      <w:r w:rsidR="00470389">
        <w:rPr>
          <w:rStyle w:val="ui-provider"/>
        </w:rPr>
        <w:t xml:space="preserve"> who shall confirm you could not obtain the official transcript due to boycott.</w:t>
      </w:r>
      <w:r w:rsidR="00CB62D3" w:rsidRPr="13DF3250">
        <w:rPr>
          <w:rStyle w:val="ui-provider"/>
        </w:rPr>
        <w:t xml:space="preserve">  </w:t>
      </w:r>
      <w:r w:rsidR="00470389">
        <w:rPr>
          <w:rStyle w:val="ui-provider"/>
        </w:rPr>
        <w:t>I</w:t>
      </w:r>
      <w:r w:rsidR="00CB62D3" w:rsidRPr="13DF3250">
        <w:rPr>
          <w:rStyle w:val="ui-provider"/>
        </w:rPr>
        <w:t xml:space="preserve">f you are selected, before we can make an </w:t>
      </w:r>
      <w:r w:rsidR="09D33B85" w:rsidRPr="13DF3250">
        <w:rPr>
          <w:rStyle w:val="ui-provider"/>
        </w:rPr>
        <w:t>offer,</w:t>
      </w:r>
      <w:r w:rsidR="00CB62D3" w:rsidRPr="13DF3250">
        <w:rPr>
          <w:rStyle w:val="ui-provider"/>
        </w:rPr>
        <w:t xml:space="preserve"> we will need to receive </w:t>
      </w:r>
      <w:r w:rsidR="00470389">
        <w:rPr>
          <w:rStyle w:val="ui-provider"/>
        </w:rPr>
        <w:t xml:space="preserve">the </w:t>
      </w:r>
      <w:r w:rsidR="00CB62D3" w:rsidRPr="13DF3250">
        <w:rPr>
          <w:rStyle w:val="ui-provider"/>
        </w:rPr>
        <w:t>actual transcript</w:t>
      </w:r>
      <w:r w:rsidR="00470389">
        <w:rPr>
          <w:rStyle w:val="ui-provider"/>
        </w:rPr>
        <w:t xml:space="preserve"> with exam results confirming you are on course to get a 2:1 or 1</w:t>
      </w:r>
      <w:r w:rsidR="00470389" w:rsidRPr="00CB0537">
        <w:rPr>
          <w:rStyle w:val="ui-provider"/>
          <w:vertAlign w:val="superscript"/>
        </w:rPr>
        <w:t>st</w:t>
      </w:r>
      <w:r w:rsidR="00470389">
        <w:rPr>
          <w:rStyle w:val="ui-provider"/>
        </w:rPr>
        <w:t xml:space="preserve"> class outcome.</w:t>
      </w:r>
      <w:r w:rsidR="00A411E9">
        <w:t xml:space="preserve"> </w:t>
      </w:r>
    </w:p>
    <w:p w14:paraId="5FFD3B86" w14:textId="44168492" w:rsidR="00F118EF" w:rsidRPr="00EC1C0A" w:rsidRDefault="00F118EF" w:rsidP="00EC1C0A">
      <w:pPr>
        <w:spacing w:after="0"/>
        <w:ind w:left="1080"/>
        <w:rPr>
          <w:lang w:val="en-US"/>
        </w:rPr>
      </w:pPr>
    </w:p>
    <w:p w14:paraId="1F8E7BCD" w14:textId="5DA0B5F7" w:rsidR="00723BA6" w:rsidRDefault="00723BA6" w:rsidP="00C238FF">
      <w:pPr>
        <w:rPr>
          <w:b/>
          <w:bCs/>
          <w:lang w:val="en"/>
        </w:rPr>
      </w:pPr>
      <w:r w:rsidRPr="3339C540">
        <w:rPr>
          <w:b/>
          <w:bCs/>
          <w:lang w:val="en"/>
        </w:rPr>
        <w:t>To be eligible you must</w:t>
      </w:r>
      <w:r w:rsidR="2AE0BD97" w:rsidRPr="3339C540">
        <w:rPr>
          <w:b/>
          <w:bCs/>
          <w:lang w:val="en"/>
        </w:rPr>
        <w:t xml:space="preserve"> also</w:t>
      </w:r>
      <w:r w:rsidRPr="3339C540">
        <w:rPr>
          <w:b/>
          <w:bCs/>
          <w:lang w:val="en"/>
        </w:rPr>
        <w:t xml:space="preserve"> meet the following nationality requirements:</w:t>
      </w:r>
    </w:p>
    <w:p w14:paraId="35771357" w14:textId="666E28F6" w:rsidR="00723BA6" w:rsidRPr="00560B06" w:rsidRDefault="00723BA6" w:rsidP="00723BA6">
      <w:pPr>
        <w:pStyle w:val="ListParagraph"/>
        <w:numPr>
          <w:ilvl w:val="0"/>
          <w:numId w:val="6"/>
        </w:numPr>
        <w:rPr>
          <w:rFonts w:eastAsiaTheme="minorEastAsia"/>
        </w:rPr>
      </w:pPr>
      <w:r>
        <w:t xml:space="preserve">Be a national of the UK, Commonwealth or Republic of Ireland or a European Economic Area (EEA) or </w:t>
      </w:r>
      <w:r w:rsidR="00A77E2F">
        <w:t>Sw</w:t>
      </w:r>
      <w:r w:rsidR="00C8573F">
        <w:t>i</w:t>
      </w:r>
      <w:r w:rsidR="00A77E2F">
        <w:t xml:space="preserve">ss and </w:t>
      </w:r>
      <w:r>
        <w:t xml:space="preserve">Turkish national with a right to live and work in the </w:t>
      </w:r>
      <w:proofErr w:type="gramStart"/>
      <w:r>
        <w:t>UK;</w:t>
      </w:r>
      <w:proofErr w:type="gramEnd"/>
      <w:r>
        <w:t>  </w:t>
      </w:r>
    </w:p>
    <w:p w14:paraId="342DBE02" w14:textId="45134DAF" w:rsidR="00723BA6" w:rsidRPr="00E13115" w:rsidRDefault="00723BA6" w:rsidP="00723BA6">
      <w:pPr>
        <w:pStyle w:val="ListParagraph"/>
        <w:numPr>
          <w:ilvl w:val="0"/>
          <w:numId w:val="6"/>
        </w:numPr>
      </w:pPr>
      <w:r>
        <w:t>If a holder of a student visa – be allowed under the conditions of the visa to undertake a full-time paid sandwich placement in the UK without a work permit</w:t>
      </w:r>
      <w:r w:rsidR="00470389">
        <w:t>.</w:t>
      </w:r>
    </w:p>
    <w:p w14:paraId="59DF1E8E" w14:textId="77777777" w:rsidR="00723BA6" w:rsidRPr="00560B06" w:rsidRDefault="00723BA6" w:rsidP="00723BA6">
      <w:pPr>
        <w:pStyle w:val="ListParagraph"/>
        <w:numPr>
          <w:ilvl w:val="0"/>
          <w:numId w:val="6"/>
        </w:numPr>
        <w:rPr>
          <w:rFonts w:eastAsiaTheme="minorEastAsia"/>
          <w:color w:val="000000" w:themeColor="text1"/>
        </w:rPr>
      </w:pPr>
      <w:r w:rsidRPr="00560B06">
        <w:rPr>
          <w:rFonts w:eastAsiaTheme="minorEastAsia"/>
        </w:rPr>
        <w:t>Meet the Civil Service Nationality Requirements which operate independently and additionally to the Immigration Rules. Applicants must also meet necessary security and vetting requirements, along with any other relevant pre-employment checks.</w:t>
      </w:r>
    </w:p>
    <w:p w14:paraId="5FA40088"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As from 1 January 2021 broadly the following groups may be eligible to work in non-reserved posts within the Civil Service:</w:t>
      </w:r>
    </w:p>
    <w:p w14:paraId="31B53E2B"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UK nationals</w:t>
      </w:r>
    </w:p>
    <w:p w14:paraId="111ECC85"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Nationals of Commonwealth countries</w:t>
      </w:r>
    </w:p>
    <w:p w14:paraId="6598B613"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Nationals of the Republic of Ireland</w:t>
      </w:r>
    </w:p>
    <w:p w14:paraId="2E8DD3BD"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EEA nationals with (or eligible for) status under the EUSS</w:t>
      </w:r>
    </w:p>
    <w:p w14:paraId="1200D586"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lastRenderedPageBreak/>
        <w:t>Relevant EEA or Turkish nationals working in the Civil Service</w:t>
      </w:r>
    </w:p>
    <w:p w14:paraId="450C43AE"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Relevant EEA or Turkish nationals who have built up the right to work in the Civil Service</w:t>
      </w:r>
    </w:p>
    <w:p w14:paraId="028D476D" w14:textId="77777777" w:rsidR="00723BA6" w:rsidRPr="00560B06" w:rsidRDefault="00723BA6" w:rsidP="00723BA6">
      <w:pPr>
        <w:pStyle w:val="ListParagraph"/>
        <w:numPr>
          <w:ilvl w:val="1"/>
          <w:numId w:val="6"/>
        </w:numPr>
        <w:spacing w:after="0"/>
        <w:rPr>
          <w:rFonts w:eastAsiaTheme="minorEastAsia"/>
          <w:color w:val="000000" w:themeColor="text1"/>
        </w:rPr>
      </w:pPr>
      <w:r w:rsidRPr="00560B06">
        <w:rPr>
          <w:rFonts w:eastAsiaTheme="minorEastAsia"/>
        </w:rPr>
        <w:t>Certain family members of the relevant EU &amp; Turkish nationals</w:t>
      </w:r>
    </w:p>
    <w:p w14:paraId="2B4085CB" w14:textId="77777777" w:rsidR="00B9642C" w:rsidRPr="00B9642C" w:rsidRDefault="00723BA6" w:rsidP="00EA04F8">
      <w:pPr>
        <w:pStyle w:val="ListParagraph"/>
        <w:numPr>
          <w:ilvl w:val="1"/>
          <w:numId w:val="6"/>
        </w:numPr>
        <w:spacing w:after="0"/>
        <w:rPr>
          <w:rStyle w:val="Hyperlink"/>
          <w:color w:val="000000" w:themeColor="text1"/>
          <w:u w:val="none"/>
        </w:rPr>
      </w:pPr>
      <w:r w:rsidRPr="00560B06">
        <w:rPr>
          <w:rFonts w:eastAsiaTheme="minorEastAsia"/>
        </w:rPr>
        <w:t>The Civil Service Nationality Rules Guidance:</w:t>
      </w:r>
      <w:r w:rsidRPr="00560B06">
        <w:rPr>
          <w:rFonts w:eastAsiaTheme="minorEastAsia"/>
          <w:u w:val="single"/>
        </w:rPr>
        <w:t xml:space="preserve"> </w:t>
      </w:r>
      <w:hyperlink r:id="rId11">
        <w:r w:rsidRPr="00560B06">
          <w:rPr>
            <w:rStyle w:val="Hyperlink"/>
            <w:rFonts w:eastAsiaTheme="minorEastAsia"/>
          </w:rPr>
          <w:t>Changes_to_the_Civil_Service_Nationality_Rules_from_1_January_2021_-_Guidance_and_departmental_actions.pdf</w:t>
        </w:r>
      </w:hyperlink>
    </w:p>
    <w:p w14:paraId="0B7E41F2" w14:textId="1F5216C7" w:rsidR="00E13115" w:rsidRPr="00B9642C" w:rsidRDefault="00E13115" w:rsidP="00B9642C">
      <w:pPr>
        <w:pStyle w:val="Heading1"/>
        <w:rPr>
          <w:color w:val="000000" w:themeColor="text1"/>
        </w:rPr>
      </w:pPr>
      <w:bookmarkStart w:id="1" w:name="_Toc146703085"/>
      <w:r w:rsidRPr="2C023BFC">
        <w:rPr>
          <w:lang w:val="en-US"/>
        </w:rPr>
        <w:t>Recruitment process</w:t>
      </w:r>
      <w:bookmarkEnd w:id="1"/>
    </w:p>
    <w:p w14:paraId="7CA7A6BF" w14:textId="6B489D07" w:rsidR="00E13115" w:rsidRDefault="00E13115" w:rsidP="00C238FF">
      <w:r w:rsidRPr="00E13115">
        <w:rPr>
          <w:lang w:val="en-US"/>
        </w:rPr>
        <w:t>The recruitment process involves the following steps:</w:t>
      </w:r>
      <w:r w:rsidRPr="00E13115">
        <w:t> </w:t>
      </w:r>
    </w:p>
    <w:p w14:paraId="3DD2B82E" w14:textId="57953845" w:rsidR="00EA04F8" w:rsidRDefault="00EA04F8" w:rsidP="00EA04F8">
      <w:pPr>
        <w:pStyle w:val="ListParagraph"/>
        <w:numPr>
          <w:ilvl w:val="0"/>
          <w:numId w:val="8"/>
        </w:numPr>
      </w:pPr>
      <w:r>
        <w:t>Application Form</w:t>
      </w:r>
    </w:p>
    <w:p w14:paraId="1A681C04" w14:textId="2EDBBD87" w:rsidR="00EA04F8" w:rsidRDefault="00EA04F8" w:rsidP="00EA04F8">
      <w:pPr>
        <w:pStyle w:val="ListParagraph"/>
        <w:numPr>
          <w:ilvl w:val="0"/>
          <w:numId w:val="8"/>
        </w:numPr>
      </w:pPr>
      <w:r>
        <w:t>Civil Service Numerical Test</w:t>
      </w:r>
    </w:p>
    <w:p w14:paraId="6375843A" w14:textId="21BBE6BF" w:rsidR="00EA04F8" w:rsidRDefault="00EA04F8" w:rsidP="00EA04F8">
      <w:pPr>
        <w:pStyle w:val="ListParagraph"/>
        <w:numPr>
          <w:ilvl w:val="0"/>
          <w:numId w:val="8"/>
        </w:numPr>
      </w:pPr>
      <w:r>
        <w:t>Sift</w:t>
      </w:r>
    </w:p>
    <w:p w14:paraId="6A75F2AC" w14:textId="6E1A5FA5" w:rsidR="00EA04F8" w:rsidRDefault="00EA04F8" w:rsidP="00EA04F8">
      <w:pPr>
        <w:pStyle w:val="ListParagraph"/>
        <w:numPr>
          <w:ilvl w:val="0"/>
          <w:numId w:val="8"/>
        </w:numPr>
      </w:pPr>
      <w:r>
        <w:t>Interview</w:t>
      </w:r>
    </w:p>
    <w:p w14:paraId="5C62EFD0" w14:textId="697B129B" w:rsidR="00EA04F8" w:rsidRDefault="00EA04F8" w:rsidP="00EA04F8">
      <w:pPr>
        <w:pStyle w:val="ListParagraph"/>
        <w:numPr>
          <w:ilvl w:val="0"/>
          <w:numId w:val="8"/>
        </w:numPr>
      </w:pPr>
      <w:r>
        <w:t>Offer and allocation to a government department</w:t>
      </w:r>
    </w:p>
    <w:p w14:paraId="08FE7B54" w14:textId="0E9BBFA4" w:rsidR="00696CDF" w:rsidRDefault="00696CDF" w:rsidP="00696CDF">
      <w:pPr>
        <w:pStyle w:val="Heading2"/>
      </w:pPr>
      <w:bookmarkStart w:id="2" w:name="_Toc146703086"/>
      <w:r>
        <w:t>Application Form</w:t>
      </w:r>
      <w:bookmarkEnd w:id="2"/>
    </w:p>
    <w:p w14:paraId="027790C0" w14:textId="77777777" w:rsidR="00FB27E1" w:rsidRDefault="00FB27E1" w:rsidP="00FB27E1">
      <w:r w:rsidRPr="00E13115">
        <w:t>Where we have asked for candidates to provide a name-blind (anonymous) CV</w:t>
      </w:r>
      <w:r>
        <w:t xml:space="preserve"> (in the ‘Employment History’ section)</w:t>
      </w:r>
      <w:r w:rsidRPr="00E13115">
        <w:t xml:space="preserve">, you will need to </w:t>
      </w:r>
      <w:r>
        <w:t>list:</w:t>
      </w:r>
    </w:p>
    <w:p w14:paraId="3FF8C627" w14:textId="77777777" w:rsidR="00FB27E1" w:rsidRDefault="00FB27E1" w:rsidP="00FB27E1">
      <w:pPr>
        <w:pStyle w:val="ListParagraph"/>
        <w:numPr>
          <w:ilvl w:val="0"/>
          <w:numId w:val="7"/>
        </w:numPr>
      </w:pPr>
      <w:r>
        <w:t>The title of your degree</w:t>
      </w:r>
    </w:p>
    <w:p w14:paraId="45D6AD0C" w14:textId="77777777" w:rsidR="00FB27E1" w:rsidRDefault="00FB27E1" w:rsidP="00FB27E1">
      <w:pPr>
        <w:pStyle w:val="ListParagraph"/>
        <w:numPr>
          <w:ilvl w:val="0"/>
          <w:numId w:val="7"/>
        </w:numPr>
      </w:pPr>
      <w:r>
        <w:t>Y</w:t>
      </w:r>
      <w:r w:rsidRPr="00E13115">
        <w:t>our first-year degree grade</w:t>
      </w:r>
    </w:p>
    <w:p w14:paraId="57B97EE6" w14:textId="77777777" w:rsidR="00FB27E1" w:rsidRDefault="00FB27E1" w:rsidP="00FB27E1">
      <w:pPr>
        <w:pStyle w:val="ListParagraph"/>
        <w:numPr>
          <w:ilvl w:val="0"/>
          <w:numId w:val="7"/>
        </w:numPr>
      </w:pPr>
      <w:r>
        <w:t>A</w:t>
      </w:r>
      <w:r w:rsidRPr="00E13115">
        <w:t>ll modules studied as part of your degree</w:t>
      </w:r>
      <w:r>
        <w:t xml:space="preserve"> by year</w:t>
      </w:r>
    </w:p>
    <w:p w14:paraId="024619B8" w14:textId="330A3FCB" w:rsidR="00FB27E1" w:rsidRDefault="00FB27E1" w:rsidP="00FB27E1">
      <w:pPr>
        <w:pStyle w:val="ListParagraph"/>
        <w:numPr>
          <w:ilvl w:val="0"/>
          <w:numId w:val="7"/>
        </w:numPr>
      </w:pPr>
      <w:r>
        <w:t xml:space="preserve">The </w:t>
      </w:r>
      <w:r w:rsidRPr="00E13115">
        <w:t>number of credits per module per year, clearly marking which modules are</w:t>
      </w:r>
      <w:r>
        <w:t xml:space="preserve"> relevant to</w:t>
      </w:r>
      <w:r w:rsidRPr="00E13115">
        <w:t xml:space="preserve"> social research</w:t>
      </w:r>
      <w:r>
        <w:t xml:space="preserve">, </w:t>
      </w:r>
      <w:r w:rsidRPr="00E13115">
        <w:t>with a clear description of the research methods studied or to be studied next to the modules</w:t>
      </w:r>
      <w:r w:rsidR="00470389">
        <w:t>.</w:t>
      </w:r>
      <w:r w:rsidRPr="00E13115">
        <w:t xml:space="preserve"> </w:t>
      </w:r>
    </w:p>
    <w:p w14:paraId="37A5B16E" w14:textId="307B049F" w:rsidR="00470389" w:rsidRDefault="00470389" w:rsidP="00FB27E1">
      <w:pPr>
        <w:pStyle w:val="ListParagraph"/>
        <w:numPr>
          <w:ilvl w:val="0"/>
          <w:numId w:val="7"/>
        </w:numPr>
      </w:pPr>
      <w:r>
        <w:t xml:space="preserve">Your degree’s total number of credits. </w:t>
      </w:r>
    </w:p>
    <w:p w14:paraId="56556B5A" w14:textId="77777777" w:rsidR="00FB27E1" w:rsidRPr="00E13115" w:rsidRDefault="00FB27E1" w:rsidP="00FB27E1">
      <w:r w:rsidRPr="00E13115">
        <w:t xml:space="preserve">You </w:t>
      </w:r>
      <w:r w:rsidRPr="00E13115">
        <w:rPr>
          <w:b/>
          <w:bCs/>
        </w:rPr>
        <w:t>do not</w:t>
      </w:r>
      <w:r w:rsidRPr="00E13115">
        <w:t xml:space="preserve"> need to list your GCSE’s or A-Levels.</w:t>
      </w:r>
      <w:r>
        <w:t xml:space="preserve"> </w:t>
      </w:r>
    </w:p>
    <w:p w14:paraId="26044ECA" w14:textId="1F346753" w:rsidR="00FB27E1" w:rsidRPr="00E13115" w:rsidRDefault="00FB27E1" w:rsidP="00FB27E1">
      <w:r w:rsidRPr="00E13115">
        <w:t xml:space="preserve">Applicants who have visa status must ensure they include all the details of their visa status in the application. If successful at sift, you will be asked to provide a copy of your visa that demonstrates that the visa covers the period of the placement. </w:t>
      </w:r>
    </w:p>
    <w:p w14:paraId="1FE9C991" w14:textId="6C0FCAD3" w:rsidR="006F03DC" w:rsidRDefault="00FB27E1" w:rsidP="00FB27E1">
      <w:r w:rsidRPr="00E13115">
        <w:t>Please note: We do not offer sponsorships for our schemes.</w:t>
      </w:r>
    </w:p>
    <w:p w14:paraId="0D9412E8" w14:textId="77777777" w:rsidR="006F03DC" w:rsidRPr="006F03DC" w:rsidRDefault="006F03DC" w:rsidP="006F03DC">
      <w:pPr>
        <w:rPr>
          <w:b/>
          <w:bCs/>
          <w:lang w:val="en"/>
        </w:rPr>
      </w:pPr>
      <w:r w:rsidRPr="006F03DC">
        <w:rPr>
          <w:b/>
          <w:bCs/>
          <w:lang w:val="en"/>
        </w:rPr>
        <w:t>In your application, please ensure that you provide full details about the research method components of your degree. We can only sift on the information you provide on the application so please ensure you complete the form as fully as possible.</w:t>
      </w:r>
    </w:p>
    <w:p w14:paraId="36405E46" w14:textId="77777777" w:rsidR="006F03DC" w:rsidRPr="00E13115" w:rsidRDefault="006F03DC" w:rsidP="00FB27E1"/>
    <w:p w14:paraId="4F9EE171" w14:textId="561FC957" w:rsidR="00E13115" w:rsidRPr="00E13115" w:rsidRDefault="006F03DC" w:rsidP="006F03DC">
      <w:pPr>
        <w:pStyle w:val="Heading2"/>
      </w:pPr>
      <w:bookmarkStart w:id="3" w:name="_Toc146703087"/>
      <w:r>
        <w:t xml:space="preserve">Civil Service </w:t>
      </w:r>
      <w:r w:rsidR="00E13115">
        <w:t>Numerical test</w:t>
      </w:r>
      <w:bookmarkEnd w:id="3"/>
      <w:r w:rsidR="00E13115">
        <w:t xml:space="preserve"> </w:t>
      </w:r>
    </w:p>
    <w:p w14:paraId="0525D469" w14:textId="25502DB6" w:rsidR="00E13115" w:rsidRPr="00E13115" w:rsidRDefault="00E13115" w:rsidP="00C238FF">
      <w:r w:rsidRPr="00E13115">
        <w:t xml:space="preserve">The numerical test is the only online test you will need to complete, after the full application form. You will need access to a laptop/desktop computer. </w:t>
      </w:r>
      <w:r w:rsidR="006949CD">
        <w:t>Your application will not be progressed if you do not complete the test after filling out the application form.</w:t>
      </w:r>
    </w:p>
    <w:p w14:paraId="51050E1D" w14:textId="77777777" w:rsidR="00E13115" w:rsidRDefault="00E13115" w:rsidP="00C238FF">
      <w:pPr>
        <w:rPr>
          <w:b/>
          <w:bCs/>
        </w:rPr>
      </w:pPr>
      <w:r w:rsidRPr="00E20509">
        <w:rPr>
          <w:b/>
          <w:bCs/>
        </w:rPr>
        <w:t>Please note: The test deadline is the same as the application deadline.</w:t>
      </w:r>
    </w:p>
    <w:p w14:paraId="40475AFF" w14:textId="580759EB" w:rsidR="009F708C" w:rsidRDefault="00081DF4" w:rsidP="00C238FF">
      <w:r w:rsidRPr="005E0366">
        <w:t xml:space="preserve">You will be notified after the application deadline if you have passed the numerical test. </w:t>
      </w:r>
    </w:p>
    <w:p w14:paraId="13BB270E" w14:textId="77777777" w:rsidR="009F708C" w:rsidRPr="009F708C" w:rsidRDefault="009F708C" w:rsidP="00C238FF"/>
    <w:p w14:paraId="59ADC0B2" w14:textId="14557197" w:rsidR="006F03DC" w:rsidRDefault="006F03DC" w:rsidP="006F03DC">
      <w:pPr>
        <w:pStyle w:val="Heading2"/>
      </w:pPr>
      <w:bookmarkStart w:id="4" w:name="_Toc146703088"/>
      <w:r>
        <w:t>Sift</w:t>
      </w:r>
      <w:bookmarkEnd w:id="4"/>
    </w:p>
    <w:p w14:paraId="7D65F118" w14:textId="42AED60C" w:rsidR="005E0366" w:rsidRDefault="005E0366" w:rsidP="00C238FF">
      <w:r>
        <w:t>If you pass the numerical test, your application will be sent anonymously to</w:t>
      </w:r>
      <w:r w:rsidR="0010579A">
        <w:t xml:space="preserve"> sifters. Sifters will decide which applications will be progressed to interview.</w:t>
      </w:r>
    </w:p>
    <w:p w14:paraId="7C453879" w14:textId="77777777" w:rsidR="009F708C" w:rsidRDefault="00E13115" w:rsidP="009F708C">
      <w:r w:rsidRPr="00E13115">
        <w:t xml:space="preserve">Candidates who are successful at the sift stage will be considered for interview at any of the participating </w:t>
      </w:r>
      <w:r w:rsidR="00C56442">
        <w:t>d</w:t>
      </w:r>
      <w:r w:rsidRPr="00E13115">
        <w:t>epartments.</w:t>
      </w:r>
      <w:r w:rsidR="0010579A">
        <w:t xml:space="preserve"> </w:t>
      </w:r>
      <w:r w:rsidRPr="00E13115">
        <w:t>Candidates who are unsuccessful at the sift stage will not be given any feedback or comments. </w:t>
      </w:r>
    </w:p>
    <w:p w14:paraId="64114649" w14:textId="77777777" w:rsidR="009F708C" w:rsidRDefault="009F708C" w:rsidP="009F708C"/>
    <w:p w14:paraId="6102F81F" w14:textId="6AB9FDA9" w:rsidR="00E13115" w:rsidRPr="004C798F" w:rsidRDefault="00E13115" w:rsidP="7385C58B">
      <w:pPr>
        <w:pStyle w:val="Heading2"/>
        <w:rPr>
          <w:lang w:val="en-US"/>
        </w:rPr>
      </w:pPr>
      <w:bookmarkStart w:id="5" w:name="_Toc146703089"/>
      <w:r w:rsidRPr="2C023BFC">
        <w:rPr>
          <w:lang w:val="en-US"/>
        </w:rPr>
        <w:t>Interview</w:t>
      </w:r>
      <w:bookmarkEnd w:id="5"/>
    </w:p>
    <w:p w14:paraId="714788DC" w14:textId="2FA7BB35" w:rsidR="00E13115" w:rsidRPr="00E13115" w:rsidRDefault="00E13115" w:rsidP="00C238FF">
      <w:r w:rsidRPr="00E13115">
        <w:t>I</w:t>
      </w:r>
      <w:r w:rsidR="00854C44">
        <w:t>f you pass the test and the interview stage, y</w:t>
      </w:r>
      <w:r w:rsidRPr="00E13115">
        <w:t xml:space="preserve">ou will be informed of your interview date by the Government department you are initially allocated to. Interviews will be conducted virtually. </w:t>
      </w:r>
    </w:p>
    <w:p w14:paraId="048B6FCB" w14:textId="77777777" w:rsidR="00E13115" w:rsidRPr="00E13115" w:rsidRDefault="00E13115" w:rsidP="00C238FF">
      <w:r>
        <w:t>You will be asked to provide a reference from your university tutor, confirming your suitability for a social researcher placement at the ‘invitation to interview’ stage.</w:t>
      </w:r>
    </w:p>
    <w:p w14:paraId="35F38C02" w14:textId="77777777" w:rsidR="009F708C" w:rsidRDefault="00E13115" w:rsidP="009F708C">
      <w:pPr>
        <w:rPr>
          <w:lang w:val="en-US"/>
        </w:rPr>
      </w:pPr>
      <w:r w:rsidRPr="00E13115">
        <w:t xml:space="preserve">At the interview you will be asked questions regarding </w:t>
      </w:r>
      <w:r w:rsidR="003C56C9">
        <w:t xml:space="preserve">social research </w:t>
      </w:r>
      <w:r w:rsidR="00200C8D">
        <w:t>methods</w:t>
      </w:r>
      <w:r w:rsidRPr="00E13115">
        <w:t xml:space="preserve"> and the Civil Service behaviour </w:t>
      </w:r>
      <w:r w:rsidR="0002655F">
        <w:t>‘</w:t>
      </w:r>
      <w:r w:rsidRPr="00E13115">
        <w:t>Working Together</w:t>
      </w:r>
      <w:r w:rsidR="0002655F">
        <w:t>’</w:t>
      </w:r>
      <w:r w:rsidRPr="00E13115">
        <w:t xml:space="preserve">. </w:t>
      </w:r>
      <w:r w:rsidRPr="00E13115">
        <w:rPr>
          <w:lang w:val="en-US"/>
        </w:rPr>
        <w:t>Candidates will be notified by the Civil Service Jobs portal whether they have been successful or unsuccessful.</w:t>
      </w:r>
    </w:p>
    <w:p w14:paraId="065A6EFB" w14:textId="77777777" w:rsidR="009F708C" w:rsidRDefault="009F708C" w:rsidP="009F708C">
      <w:pPr>
        <w:rPr>
          <w:lang w:val="en-US"/>
        </w:rPr>
      </w:pPr>
    </w:p>
    <w:p w14:paraId="687395DD" w14:textId="5A3EEDC0" w:rsidR="009F708C" w:rsidRPr="00B9642C" w:rsidRDefault="00E13115" w:rsidP="00B9642C">
      <w:pPr>
        <w:pStyle w:val="Heading2"/>
        <w:rPr>
          <w:lang w:val="en-US"/>
        </w:rPr>
      </w:pPr>
      <w:bookmarkStart w:id="6" w:name="_Toc146703090"/>
      <w:r>
        <w:t>Placement Offer</w:t>
      </w:r>
      <w:bookmarkEnd w:id="6"/>
      <w:r>
        <w:t> </w:t>
      </w:r>
    </w:p>
    <w:p w14:paraId="4DF80AD6" w14:textId="0B84660C" w:rsidR="00F74305" w:rsidRPr="00E13115" w:rsidRDefault="009F708C" w:rsidP="00F74305">
      <w:r>
        <w:t xml:space="preserve">If you are successful at interview, </w:t>
      </w:r>
      <w:r w:rsidR="00A817A7">
        <w:t xml:space="preserve">you will be allocated to </w:t>
      </w:r>
      <w:r w:rsidR="00750481">
        <w:t>one of the government departments participating in the scheme.</w:t>
      </w:r>
      <w:r w:rsidR="00F74305">
        <w:t xml:space="preserve"> Allocations will be made in merit order based on interview score.</w:t>
      </w:r>
      <w:r w:rsidR="00750481">
        <w:t xml:space="preserve"> </w:t>
      </w:r>
      <w:r w:rsidR="00F74305">
        <w:t xml:space="preserve">We </w:t>
      </w:r>
      <w:r w:rsidR="00F74305" w:rsidRPr="00E13115">
        <w:t>will endeavour to place you into one of your top three locations, however due to large numbers</w:t>
      </w:r>
      <w:r w:rsidR="00F74305">
        <w:t xml:space="preserve"> of applications</w:t>
      </w:r>
      <w:r w:rsidR="00F74305" w:rsidRPr="00E13115">
        <w:t xml:space="preserve"> this is not always possible</w:t>
      </w:r>
      <w:r w:rsidR="00F74305">
        <w:t xml:space="preserve">. </w:t>
      </w:r>
    </w:p>
    <w:p w14:paraId="304F5EF2" w14:textId="386CAB7A" w:rsidR="009F708C" w:rsidRDefault="009F708C" w:rsidP="009F708C">
      <w:r>
        <w:t>Occasionally, a department may withdraw from the scheme before placements are offered or we have more successful candidates than available placements. In such cases, applicants</w:t>
      </w:r>
      <w:r w:rsidR="00470389">
        <w:t xml:space="preserve"> </w:t>
      </w:r>
      <w:r>
        <w:t xml:space="preserve">will be placed on a reserve list. The reserve list is open for </w:t>
      </w:r>
      <w:r w:rsidR="4840D37A">
        <w:t>3</w:t>
      </w:r>
      <w:r>
        <w:t xml:space="preserve"> months. </w:t>
      </w:r>
    </w:p>
    <w:p w14:paraId="4DA45C9B" w14:textId="25C8D623" w:rsidR="006633A3" w:rsidRDefault="00D21B2B" w:rsidP="009F708C">
      <w:r>
        <w:t>If you are offered a role with a government department, you will be sent an email with the contact details of your department.</w:t>
      </w:r>
      <w:r w:rsidR="00145338">
        <w:t xml:space="preserve"> Your department will then be in touch to </w:t>
      </w:r>
      <w:r w:rsidR="006633A3">
        <w:t>commission security checks. You cannot start your placement until security checks are cleared.</w:t>
      </w:r>
    </w:p>
    <w:p w14:paraId="111B14E8" w14:textId="358173DC" w:rsidR="00D21B2B" w:rsidRPr="00E13115" w:rsidRDefault="00D21B2B" w:rsidP="009F708C">
      <w:r>
        <w:t xml:space="preserve">You should address any questions regarding your role and contract to the department in the first instance. </w:t>
      </w:r>
    </w:p>
    <w:p w14:paraId="5D25256B" w14:textId="77777777" w:rsidR="009F708C" w:rsidRDefault="009F708C" w:rsidP="00C238FF">
      <w:pPr>
        <w:rPr>
          <w:lang w:val="en-US"/>
        </w:rPr>
      </w:pPr>
    </w:p>
    <w:p w14:paraId="387A73B6" w14:textId="3D2F9C87" w:rsidR="006633A3" w:rsidRPr="00B9642C" w:rsidRDefault="009B3248" w:rsidP="7385C58B">
      <w:pPr>
        <w:pStyle w:val="Heading2"/>
        <w:rPr>
          <w:lang w:val="en-US"/>
        </w:rPr>
      </w:pPr>
      <w:bookmarkStart w:id="7" w:name="_Toc146703091"/>
      <w:r w:rsidRPr="2C023BFC">
        <w:rPr>
          <w:lang w:val="en-US"/>
        </w:rPr>
        <w:t>Security clearance</w:t>
      </w:r>
      <w:bookmarkEnd w:id="7"/>
    </w:p>
    <w:p w14:paraId="6935EDC7" w14:textId="47EC1BF3" w:rsidR="00E13115" w:rsidRPr="00E13115" w:rsidRDefault="006633A3" w:rsidP="00C238FF">
      <w:r w:rsidRPr="2C023BFC">
        <w:rPr>
          <w:lang w:val="en-US"/>
        </w:rPr>
        <w:t xml:space="preserve">After placement offers have been sent out, your department will </w:t>
      </w:r>
      <w:r w:rsidR="00E1316F" w:rsidRPr="2C023BFC">
        <w:rPr>
          <w:lang w:val="en-US"/>
        </w:rPr>
        <w:t>begin</w:t>
      </w:r>
      <w:r w:rsidRPr="2C023BFC">
        <w:rPr>
          <w:lang w:val="en-US"/>
        </w:rPr>
        <w:t xml:space="preserve"> security checks</w:t>
      </w:r>
      <w:r w:rsidR="00E1316F" w:rsidRPr="2C023BFC">
        <w:rPr>
          <w:lang w:val="en-US"/>
        </w:rPr>
        <w:t xml:space="preserve">. </w:t>
      </w:r>
      <w:r w:rsidR="009B3248" w:rsidRPr="2C023BFC">
        <w:rPr>
          <w:lang w:val="en-US"/>
        </w:rPr>
        <w:t>Some</w:t>
      </w:r>
      <w:r w:rsidR="00E13115" w:rsidRPr="2C023BFC">
        <w:rPr>
          <w:lang w:val="en-US"/>
        </w:rPr>
        <w:t xml:space="preserve"> departments </w:t>
      </w:r>
      <w:r w:rsidR="00E1316F" w:rsidRPr="2C023BFC">
        <w:rPr>
          <w:lang w:val="en-US"/>
        </w:rPr>
        <w:t xml:space="preserve">– but not all - </w:t>
      </w:r>
      <w:r w:rsidR="00E13115" w:rsidRPr="2C023BFC">
        <w:rPr>
          <w:lang w:val="en-US"/>
        </w:rPr>
        <w:t>require candidates to have a UK footprint for 3</w:t>
      </w:r>
      <w:r w:rsidR="7E6BB15B" w:rsidRPr="2C023BFC">
        <w:rPr>
          <w:lang w:val="en-US"/>
        </w:rPr>
        <w:t xml:space="preserve"> or 5</w:t>
      </w:r>
      <w:r w:rsidR="00E13115" w:rsidRPr="2C023BFC">
        <w:rPr>
          <w:lang w:val="en-US"/>
        </w:rPr>
        <w:t xml:space="preserve"> years and no period longer than 3 months outside of the UK to obtain security clearance.</w:t>
      </w:r>
      <w:r w:rsidR="00E13115">
        <w:t xml:space="preserve"> </w:t>
      </w:r>
    </w:p>
    <w:p w14:paraId="20853B99" w14:textId="77777777" w:rsidR="00B9642C" w:rsidRDefault="00B9642C">
      <w:pPr>
        <w:rPr>
          <w:rFonts w:asciiTheme="majorHAnsi" w:eastAsiaTheme="majorEastAsia" w:hAnsiTheme="majorHAnsi" w:cstheme="majorBidi"/>
          <w:color w:val="2F5496" w:themeColor="accent1" w:themeShade="BF"/>
          <w:sz w:val="32"/>
          <w:szCs w:val="32"/>
        </w:rPr>
      </w:pPr>
      <w:r>
        <w:br w:type="page"/>
      </w:r>
    </w:p>
    <w:p w14:paraId="11E8474C" w14:textId="3CA4FCDB" w:rsidR="00E13115" w:rsidRDefault="00E13115" w:rsidP="00E1316F">
      <w:pPr>
        <w:pStyle w:val="Heading1"/>
      </w:pPr>
      <w:bookmarkStart w:id="8" w:name="_Toc146703092"/>
      <w:r>
        <w:lastRenderedPageBreak/>
        <w:t>Scheme timetable</w:t>
      </w:r>
      <w:bookmarkEnd w:id="8"/>
    </w:p>
    <w:p w14:paraId="14930AF9" w14:textId="5E3EB2AD" w:rsidR="00E1316F" w:rsidRPr="00E1316F" w:rsidRDefault="645C3FFB" w:rsidP="00E1316F">
      <w:r>
        <w:t>The</w:t>
      </w:r>
      <w:r w:rsidR="00E1316F">
        <w:t xml:space="preserve"> following table shows the projected timetable of the recruitment process for this role.</w:t>
      </w:r>
    </w:p>
    <w:tbl>
      <w:tblPr>
        <w:tblStyle w:val="TableGrid"/>
        <w:tblW w:w="9026" w:type="dxa"/>
        <w:tblLayout w:type="fixed"/>
        <w:tblLook w:val="04A0" w:firstRow="1" w:lastRow="0" w:firstColumn="1" w:lastColumn="0" w:noHBand="0" w:noVBand="1"/>
      </w:tblPr>
      <w:tblGrid>
        <w:gridCol w:w="4513"/>
        <w:gridCol w:w="4513"/>
      </w:tblGrid>
      <w:tr w:rsidR="00E13115" w:rsidRPr="00E13115" w14:paraId="30F5710E" w14:textId="77777777" w:rsidTr="13DF3250">
        <w:tc>
          <w:tcPr>
            <w:tcW w:w="4513" w:type="dxa"/>
          </w:tcPr>
          <w:p w14:paraId="1703E2D6" w14:textId="0BD1494A" w:rsidR="00E13115" w:rsidRPr="003A3916" w:rsidRDefault="009A494A" w:rsidP="00C238FF">
            <w:pPr>
              <w:rPr>
                <w:b/>
                <w:bCs/>
              </w:rPr>
            </w:pPr>
            <w:r w:rsidRPr="003A3916">
              <w:rPr>
                <w:b/>
                <w:bCs/>
              </w:rPr>
              <w:t>Date</w:t>
            </w:r>
            <w:r w:rsidR="00294E77" w:rsidRPr="003A3916">
              <w:rPr>
                <w:b/>
                <w:bCs/>
              </w:rPr>
              <w:t xml:space="preserve"> </w:t>
            </w:r>
          </w:p>
        </w:tc>
        <w:tc>
          <w:tcPr>
            <w:tcW w:w="4513" w:type="dxa"/>
          </w:tcPr>
          <w:p w14:paraId="0B21F660" w14:textId="1DBF8A5C" w:rsidR="00E13115" w:rsidRPr="00E13115" w:rsidRDefault="009A494A" w:rsidP="00C238FF">
            <w:r>
              <w:rPr>
                <w:b/>
                <w:bCs/>
              </w:rPr>
              <w:t>Event</w:t>
            </w:r>
          </w:p>
        </w:tc>
      </w:tr>
      <w:tr w:rsidR="001D3F6C" w:rsidRPr="00E13115" w14:paraId="1AEF0870" w14:textId="77777777" w:rsidTr="13DF3250">
        <w:tc>
          <w:tcPr>
            <w:tcW w:w="4513" w:type="dxa"/>
          </w:tcPr>
          <w:p w14:paraId="52FEF80F" w14:textId="16EBC788" w:rsidR="001D3F6C" w:rsidRPr="00E13115" w:rsidRDefault="008A5BEA" w:rsidP="00C238FF">
            <w:r>
              <w:t>3</w:t>
            </w:r>
            <w:r w:rsidRPr="008A5BEA">
              <w:rPr>
                <w:vertAlign w:val="superscript"/>
              </w:rPr>
              <w:t>rd</w:t>
            </w:r>
            <w:r>
              <w:t xml:space="preserve"> October </w:t>
            </w:r>
            <w:r w:rsidR="00CF72AB">
              <w:t>–</w:t>
            </w:r>
            <w:r>
              <w:t xml:space="preserve"> </w:t>
            </w:r>
            <w:r w:rsidR="00CF72AB">
              <w:t>19</w:t>
            </w:r>
            <w:r w:rsidR="00CF72AB" w:rsidRPr="00CF72AB">
              <w:rPr>
                <w:vertAlign w:val="superscript"/>
              </w:rPr>
              <w:t>th</w:t>
            </w:r>
            <w:r w:rsidR="00CF72AB">
              <w:t xml:space="preserve"> October</w:t>
            </w:r>
          </w:p>
        </w:tc>
        <w:tc>
          <w:tcPr>
            <w:tcW w:w="4513" w:type="dxa"/>
          </w:tcPr>
          <w:p w14:paraId="1A7F265A" w14:textId="72660EAF" w:rsidR="001D3F6C" w:rsidRPr="00E13115" w:rsidRDefault="093836E8" w:rsidP="4CB4B603">
            <w:pPr>
              <w:spacing w:line="259" w:lineRule="auto"/>
            </w:pPr>
            <w:r w:rsidRPr="4CB4B603">
              <w:rPr>
                <w:b/>
                <w:bCs/>
              </w:rPr>
              <w:t>Applications Open</w:t>
            </w:r>
          </w:p>
        </w:tc>
      </w:tr>
      <w:tr w:rsidR="001D3F6C" w:rsidRPr="00E13115" w14:paraId="65857E3D" w14:textId="77777777" w:rsidTr="13DF3250">
        <w:tc>
          <w:tcPr>
            <w:tcW w:w="4513" w:type="dxa"/>
          </w:tcPr>
          <w:p w14:paraId="5F237DF0" w14:textId="3AA3463E" w:rsidR="001D3F6C" w:rsidRPr="00E13115" w:rsidRDefault="47439989" w:rsidP="00C238FF">
            <w:r w:rsidRPr="13DF3250">
              <w:rPr>
                <w:lang w:eastAsia="en-GB"/>
              </w:rPr>
              <w:t>w/</w:t>
            </w:r>
            <w:r w:rsidR="57BAFB79" w:rsidRPr="13DF3250">
              <w:rPr>
                <w:lang w:eastAsia="en-GB"/>
              </w:rPr>
              <w:t>c 30</w:t>
            </w:r>
            <w:r w:rsidRPr="13DF3250">
              <w:rPr>
                <w:vertAlign w:val="superscript"/>
                <w:lang w:eastAsia="en-GB"/>
              </w:rPr>
              <w:t>th</w:t>
            </w:r>
            <w:r w:rsidRPr="13DF3250">
              <w:rPr>
                <w:lang w:eastAsia="en-GB"/>
              </w:rPr>
              <w:t xml:space="preserve"> October</w:t>
            </w:r>
          </w:p>
        </w:tc>
        <w:tc>
          <w:tcPr>
            <w:tcW w:w="4513" w:type="dxa"/>
          </w:tcPr>
          <w:p w14:paraId="6FA34470" w14:textId="333AE4F7" w:rsidR="001D3F6C" w:rsidRPr="00E13115" w:rsidRDefault="001D3F6C" w:rsidP="00C238FF">
            <w:r>
              <w:t>Sift of a</w:t>
            </w:r>
            <w:r w:rsidRPr="00E13115">
              <w:t>pplication forms</w:t>
            </w:r>
          </w:p>
        </w:tc>
      </w:tr>
      <w:tr w:rsidR="001D3F6C" w:rsidRPr="00E13115" w14:paraId="64EAD998" w14:textId="77777777" w:rsidTr="13DF3250">
        <w:tc>
          <w:tcPr>
            <w:tcW w:w="4513" w:type="dxa"/>
          </w:tcPr>
          <w:p w14:paraId="4D48C63F" w14:textId="2C0F8429" w:rsidR="001D3F6C" w:rsidRPr="00E13115" w:rsidRDefault="00734834" w:rsidP="00C238FF">
            <w:r>
              <w:rPr>
                <w:lang w:eastAsia="en-GB"/>
              </w:rPr>
              <w:t>w/c 13</w:t>
            </w:r>
            <w:r w:rsidRPr="00734834">
              <w:rPr>
                <w:vertAlign w:val="superscript"/>
                <w:lang w:eastAsia="en-GB"/>
              </w:rPr>
              <w:t>th</w:t>
            </w:r>
            <w:r>
              <w:rPr>
                <w:lang w:eastAsia="en-GB"/>
              </w:rPr>
              <w:t xml:space="preserve"> November</w:t>
            </w:r>
          </w:p>
        </w:tc>
        <w:tc>
          <w:tcPr>
            <w:tcW w:w="4513" w:type="dxa"/>
          </w:tcPr>
          <w:p w14:paraId="7BEA41CA" w14:textId="77777777" w:rsidR="001D3F6C" w:rsidRPr="00E13115" w:rsidRDefault="001D3F6C" w:rsidP="00C238FF">
            <w:r w:rsidRPr="00E13115">
              <w:t>GESR to allocate students to departments for interview</w:t>
            </w:r>
          </w:p>
        </w:tc>
      </w:tr>
      <w:tr w:rsidR="001D3F6C" w:rsidRPr="00E13115" w14:paraId="7BEBAA16" w14:textId="77777777" w:rsidTr="13DF3250">
        <w:tc>
          <w:tcPr>
            <w:tcW w:w="4513" w:type="dxa"/>
          </w:tcPr>
          <w:p w14:paraId="20AA75C3" w14:textId="5F0D6A12" w:rsidR="001D3F6C" w:rsidRPr="00E13115" w:rsidRDefault="001D3F6C" w:rsidP="00C238FF">
            <w:r>
              <w:rPr>
                <w:lang w:eastAsia="en-GB"/>
              </w:rPr>
              <w:t>2</w:t>
            </w:r>
            <w:r w:rsidR="00B633A3">
              <w:rPr>
                <w:lang w:eastAsia="en-GB"/>
              </w:rPr>
              <w:t>7</w:t>
            </w:r>
            <w:r w:rsidR="00B633A3" w:rsidRPr="00B633A3">
              <w:rPr>
                <w:vertAlign w:val="superscript"/>
                <w:lang w:eastAsia="en-GB"/>
              </w:rPr>
              <w:t>th</w:t>
            </w:r>
            <w:r w:rsidR="00B633A3">
              <w:rPr>
                <w:lang w:eastAsia="en-GB"/>
              </w:rPr>
              <w:t xml:space="preserve"> </w:t>
            </w:r>
            <w:r>
              <w:rPr>
                <w:lang w:eastAsia="en-GB"/>
              </w:rPr>
              <w:t>November – 1</w:t>
            </w:r>
            <w:r w:rsidR="00B633A3">
              <w:rPr>
                <w:lang w:eastAsia="en-GB"/>
              </w:rPr>
              <w:t>5</w:t>
            </w:r>
            <w:r>
              <w:rPr>
                <w:vertAlign w:val="superscript"/>
                <w:lang w:eastAsia="en-GB"/>
              </w:rPr>
              <w:t>th</w:t>
            </w:r>
            <w:r>
              <w:rPr>
                <w:lang w:eastAsia="en-GB"/>
              </w:rPr>
              <w:t xml:space="preserve"> December</w:t>
            </w:r>
          </w:p>
        </w:tc>
        <w:tc>
          <w:tcPr>
            <w:tcW w:w="4513" w:type="dxa"/>
          </w:tcPr>
          <w:p w14:paraId="46746FA3" w14:textId="2214D67A" w:rsidR="001D3F6C" w:rsidRPr="00E13115" w:rsidRDefault="001D3F6C" w:rsidP="00C238FF">
            <w:r>
              <w:t>Interviews (subject to interviewer availability)</w:t>
            </w:r>
          </w:p>
        </w:tc>
      </w:tr>
      <w:tr w:rsidR="001D3F6C" w:rsidRPr="00E13115" w14:paraId="35773944" w14:textId="77777777" w:rsidTr="13DF3250">
        <w:tc>
          <w:tcPr>
            <w:tcW w:w="4513" w:type="dxa"/>
          </w:tcPr>
          <w:p w14:paraId="1AE90116" w14:textId="70BCF0E8" w:rsidR="001D3F6C" w:rsidRPr="00E13115" w:rsidRDefault="001D3F6C" w:rsidP="00C238FF">
            <w:r>
              <w:rPr>
                <w:lang w:eastAsia="en-GB"/>
              </w:rPr>
              <w:t>December/January</w:t>
            </w:r>
          </w:p>
        </w:tc>
        <w:tc>
          <w:tcPr>
            <w:tcW w:w="4513" w:type="dxa"/>
          </w:tcPr>
          <w:p w14:paraId="77DB5C77" w14:textId="0CB64A90" w:rsidR="001D3F6C" w:rsidRPr="00E13115" w:rsidRDefault="001D3F6C" w:rsidP="00C238FF">
            <w:r>
              <w:t xml:space="preserve">Candidates will be allocated to departments </w:t>
            </w:r>
          </w:p>
        </w:tc>
      </w:tr>
      <w:tr w:rsidR="001D3F6C" w:rsidRPr="00E13115" w14:paraId="242BE873" w14:textId="77777777" w:rsidTr="13DF3250">
        <w:tc>
          <w:tcPr>
            <w:tcW w:w="4513" w:type="dxa"/>
          </w:tcPr>
          <w:p w14:paraId="39DCBF3E" w14:textId="24531AEC" w:rsidR="001D3F6C" w:rsidRPr="00E13115" w:rsidRDefault="003A3916" w:rsidP="00C238FF">
            <w:r>
              <w:t>January</w:t>
            </w:r>
          </w:p>
        </w:tc>
        <w:tc>
          <w:tcPr>
            <w:tcW w:w="4513" w:type="dxa"/>
          </w:tcPr>
          <w:p w14:paraId="64A189AF" w14:textId="0D0C80FE" w:rsidR="001D3F6C" w:rsidRPr="00E13115" w:rsidRDefault="26C2785F" w:rsidP="00C238FF">
            <w:r>
              <w:t xml:space="preserve">Departments will </w:t>
            </w:r>
            <w:r w:rsidR="22876BD6">
              <w:t>contact</w:t>
            </w:r>
            <w:r>
              <w:t xml:space="preserve"> successful candidates in the new year to start onboarding and pre-appointment checks.</w:t>
            </w:r>
          </w:p>
        </w:tc>
      </w:tr>
      <w:tr w:rsidR="001D3F6C" w:rsidRPr="00E13115" w14:paraId="123204A3" w14:textId="77777777" w:rsidTr="13DF3250">
        <w:tc>
          <w:tcPr>
            <w:tcW w:w="4513" w:type="dxa"/>
          </w:tcPr>
          <w:p w14:paraId="06F2A6C0" w14:textId="62107A55" w:rsidR="001D3F6C" w:rsidRPr="00E13115" w:rsidRDefault="001D3F6C" w:rsidP="00C238FF">
            <w:r>
              <w:rPr>
                <w:lang w:eastAsia="en-GB"/>
              </w:rPr>
              <w:t>September 202</w:t>
            </w:r>
            <w:r w:rsidR="00B633A3">
              <w:rPr>
                <w:lang w:eastAsia="en-GB"/>
              </w:rPr>
              <w:t>4</w:t>
            </w:r>
          </w:p>
        </w:tc>
        <w:tc>
          <w:tcPr>
            <w:tcW w:w="4513" w:type="dxa"/>
          </w:tcPr>
          <w:p w14:paraId="25F3B9F7" w14:textId="17A754F3" w:rsidR="001D3F6C" w:rsidRDefault="001D3F6C" w:rsidP="00C238FF">
            <w:r>
              <w:t>Estimated start date</w:t>
            </w:r>
          </w:p>
        </w:tc>
      </w:tr>
    </w:tbl>
    <w:p w14:paraId="43815081" w14:textId="77777777" w:rsidR="00E13115" w:rsidRPr="00E13115" w:rsidRDefault="00E13115" w:rsidP="00C238FF"/>
    <w:p w14:paraId="7C58060B" w14:textId="3D334434" w:rsidR="003850A6" w:rsidRPr="003850A6" w:rsidRDefault="00E13115" w:rsidP="00C238FF">
      <w:pPr>
        <w:rPr>
          <w:b/>
          <w:bCs/>
        </w:rPr>
      </w:pPr>
      <w:r w:rsidRPr="3AF03DF5">
        <w:rPr>
          <w:b/>
          <w:bCs/>
        </w:rPr>
        <w:t>Please note that the</w:t>
      </w:r>
      <w:r w:rsidR="671ED3BF" w:rsidRPr="3AF03DF5">
        <w:rPr>
          <w:b/>
          <w:bCs/>
        </w:rPr>
        <w:t>se dates may be subject to change, particularly if we receive a large volume of applications</w:t>
      </w:r>
      <w:r w:rsidRPr="3AF03DF5">
        <w:rPr>
          <w:b/>
          <w:bCs/>
        </w:rPr>
        <w:t>.</w:t>
      </w:r>
    </w:p>
    <w:p w14:paraId="08E6AC35" w14:textId="048BA57B" w:rsidR="00E13115" w:rsidRPr="00E13115" w:rsidRDefault="00E13115" w:rsidP="00222DDD">
      <w:pPr>
        <w:pStyle w:val="Heading1"/>
      </w:pPr>
      <w:bookmarkStart w:id="9" w:name="_Toc146703093"/>
      <w:r>
        <w:t>Re-joining GSR after graduation</w:t>
      </w:r>
      <w:bookmarkEnd w:id="9"/>
    </w:p>
    <w:p w14:paraId="1D709219" w14:textId="3BFB365F" w:rsidR="00554AD9" w:rsidRDefault="09B93694" w:rsidP="0D890DEF">
      <w:pPr>
        <w:rPr>
          <w:rFonts w:ascii="Calibri" w:eastAsia="Calibri" w:hAnsi="Calibri" w:cs="Calibri"/>
        </w:rPr>
      </w:pPr>
      <w:r w:rsidRPr="0D890DEF">
        <w:rPr>
          <w:rFonts w:ascii="Calibri" w:eastAsia="Calibri" w:hAnsi="Calibri" w:cs="Calibri"/>
        </w:rPr>
        <w:t>Candidates who are offered a placement may also be invited to apply for a permanent role as a Social Research Officer in Government (HEO level – GSR Mainstream). To do this, candidates who are on track to pass their placement will be invited to sit a Social Research Assessment Centre (SRAC) towards the end of their placement, based on their suitability and performance during their placement</w:t>
      </w:r>
      <w:r w:rsidR="004D003D">
        <w:rPr>
          <w:rFonts w:ascii="Calibri" w:eastAsia="Calibri" w:hAnsi="Calibri" w:cs="Calibri"/>
        </w:rPr>
        <w:t xml:space="preserve"> and the</w:t>
      </w:r>
      <w:r w:rsidR="00470389">
        <w:rPr>
          <w:rFonts w:ascii="Calibri" w:eastAsia="Calibri" w:hAnsi="Calibri" w:cs="Calibri"/>
        </w:rPr>
        <w:t>ir</w:t>
      </w:r>
      <w:r w:rsidR="004D003D">
        <w:rPr>
          <w:rFonts w:ascii="Calibri" w:eastAsia="Calibri" w:hAnsi="Calibri" w:cs="Calibri"/>
        </w:rPr>
        <w:t xml:space="preserve"> right to work in the UK/Civil Service</w:t>
      </w:r>
      <w:r w:rsidRPr="0D890DEF">
        <w:rPr>
          <w:rFonts w:ascii="Calibri" w:eastAsia="Calibri" w:hAnsi="Calibri" w:cs="Calibri"/>
        </w:rPr>
        <w:t>.</w:t>
      </w:r>
    </w:p>
    <w:p w14:paraId="728BC8AE" w14:textId="2F61A631" w:rsidR="09B93694" w:rsidRDefault="09B93694" w:rsidP="0D890DEF">
      <w:r w:rsidRPr="0D890DEF">
        <w:rPr>
          <w:rFonts w:ascii="Calibri" w:eastAsia="Calibri" w:hAnsi="Calibri" w:cs="Calibri"/>
        </w:rPr>
        <w:t xml:space="preserve">The SRAC involves sitting the Social Research Knowledge Test, and if successful, an interview. Social Research Officer roles are also advertised to external candidates on Civil Service Jobs.  </w:t>
      </w:r>
    </w:p>
    <w:p w14:paraId="0FD0DE2D" w14:textId="77777777" w:rsidR="00E13115" w:rsidRPr="00E13115" w:rsidRDefault="00E13115" w:rsidP="00F51E85">
      <w:pPr>
        <w:pStyle w:val="Heading1"/>
      </w:pPr>
      <w:bookmarkStart w:id="10" w:name="_Toc146703094"/>
      <w:r>
        <w:t>General Queries</w:t>
      </w:r>
      <w:bookmarkEnd w:id="10"/>
    </w:p>
    <w:p w14:paraId="33F976F2" w14:textId="4BD1F96C" w:rsidR="007D45A1" w:rsidRDefault="00E13115" w:rsidP="00C238FF">
      <w:pPr>
        <w:rPr>
          <w:rStyle w:val="Hyperlink"/>
        </w:rPr>
      </w:pPr>
      <w:r>
        <w:t xml:space="preserve">If you have any queries regarding the application form or application process, please do not hesitate to contact </w:t>
      </w:r>
      <w:r w:rsidR="00F51E85">
        <w:t>the GES</w:t>
      </w:r>
      <w:r w:rsidR="007D45A1">
        <w:t>R Recruitment Team</w:t>
      </w:r>
      <w:r>
        <w:t xml:space="preserve"> </w:t>
      </w:r>
      <w:hyperlink r:id="rId12">
        <w:r w:rsidRPr="45F70F76">
          <w:rPr>
            <w:rStyle w:val="Hyperlink"/>
          </w:rPr>
          <w:t>gesrrecruitment@hmtreasury.gov.uk</w:t>
        </w:r>
      </w:hyperlink>
    </w:p>
    <w:p w14:paraId="1827AAA1" w14:textId="5CE933EE" w:rsidR="007D45A1" w:rsidRPr="007D45A1" w:rsidRDefault="007D45A1" w:rsidP="007D45A1">
      <w:r>
        <w:t xml:space="preserve">When emailing, please </w:t>
      </w:r>
      <w:r w:rsidR="000832E5">
        <w:t xml:space="preserve">let us know what role you </w:t>
      </w:r>
      <w:r w:rsidR="331DFED8">
        <w:t>are referring to</w:t>
      </w:r>
      <w:r w:rsidR="000832E5">
        <w:t xml:space="preserve">, as we run several recruitment schemes at once. </w:t>
      </w:r>
    </w:p>
    <w:p w14:paraId="248FDB10" w14:textId="41C2388A" w:rsidR="71D793AB" w:rsidRDefault="000832E5" w:rsidP="00C238FF">
      <w:pPr>
        <w:rPr>
          <w:b/>
          <w:bCs/>
        </w:rPr>
      </w:pPr>
      <w:r>
        <w:rPr>
          <w:b/>
          <w:bCs/>
        </w:rPr>
        <w:t>The</w:t>
      </w:r>
      <w:r w:rsidR="71D793AB" w:rsidRPr="73D3A567">
        <w:rPr>
          <w:b/>
          <w:bCs/>
        </w:rPr>
        <w:t xml:space="preserve"> GESR Recruitment team only work weekdays (Monday-Friday) from 9am to 5pm. Therefore, no technical support will be </w:t>
      </w:r>
      <w:r w:rsidR="3BD1694A" w:rsidRPr="73D3A567">
        <w:rPr>
          <w:b/>
          <w:bCs/>
        </w:rPr>
        <w:t>available during the weekend.</w:t>
      </w:r>
    </w:p>
    <w:p w14:paraId="7FF834E6" w14:textId="77777777" w:rsidR="00E13115" w:rsidRDefault="00E13115" w:rsidP="00C238FF"/>
    <w:sectPr w:rsidR="00E1311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FB36" w14:textId="77777777" w:rsidR="007F29B1" w:rsidRDefault="007F29B1" w:rsidP="003D3024">
      <w:pPr>
        <w:spacing w:after="0" w:line="240" w:lineRule="auto"/>
      </w:pPr>
      <w:r>
        <w:separator/>
      </w:r>
    </w:p>
  </w:endnote>
  <w:endnote w:type="continuationSeparator" w:id="0">
    <w:p w14:paraId="5D57690C" w14:textId="77777777" w:rsidR="007F29B1" w:rsidRDefault="007F29B1" w:rsidP="003D3024">
      <w:pPr>
        <w:spacing w:after="0" w:line="240" w:lineRule="auto"/>
      </w:pPr>
      <w:r>
        <w:continuationSeparator/>
      </w:r>
    </w:p>
  </w:endnote>
  <w:endnote w:type="continuationNotice" w:id="1">
    <w:p w14:paraId="47283E91" w14:textId="77777777" w:rsidR="007F29B1" w:rsidRDefault="007F2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3CC9" w14:textId="77777777" w:rsidR="003D3024" w:rsidRDefault="003D3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19061"/>
      <w:docPartObj>
        <w:docPartGallery w:val="Page Numbers (Bottom of Page)"/>
        <w:docPartUnique/>
      </w:docPartObj>
    </w:sdtPr>
    <w:sdtEndPr/>
    <w:sdtContent>
      <w:sdt>
        <w:sdtPr>
          <w:id w:val="-1769616900"/>
          <w:docPartObj>
            <w:docPartGallery w:val="Page Numbers (Top of Page)"/>
            <w:docPartUnique/>
          </w:docPartObj>
        </w:sdtPr>
        <w:sdtEndPr/>
        <w:sdtContent>
          <w:p w14:paraId="3F04AC17" w14:textId="1C7EDCE2" w:rsidR="0022249A" w:rsidRDefault="002224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694DF" w14:textId="77777777" w:rsidR="003D3024" w:rsidRDefault="003D3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59EB" w14:textId="77777777" w:rsidR="003D3024" w:rsidRDefault="003D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203F" w14:textId="77777777" w:rsidR="007F29B1" w:rsidRDefault="007F29B1" w:rsidP="003D3024">
      <w:pPr>
        <w:spacing w:after="0" w:line="240" w:lineRule="auto"/>
      </w:pPr>
      <w:r>
        <w:separator/>
      </w:r>
    </w:p>
  </w:footnote>
  <w:footnote w:type="continuationSeparator" w:id="0">
    <w:p w14:paraId="728CEC2C" w14:textId="77777777" w:rsidR="007F29B1" w:rsidRDefault="007F29B1" w:rsidP="003D3024">
      <w:pPr>
        <w:spacing w:after="0" w:line="240" w:lineRule="auto"/>
      </w:pPr>
      <w:r>
        <w:continuationSeparator/>
      </w:r>
    </w:p>
  </w:footnote>
  <w:footnote w:type="continuationNotice" w:id="1">
    <w:p w14:paraId="65AF891F" w14:textId="77777777" w:rsidR="007F29B1" w:rsidRDefault="007F2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279F" w14:textId="77777777" w:rsidR="003D3024" w:rsidRDefault="003D3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2094" w14:textId="77777777" w:rsidR="003D3024" w:rsidRDefault="003D3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4F25" w14:textId="77777777" w:rsidR="003D3024" w:rsidRDefault="003D3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8B4"/>
    <w:multiLevelType w:val="hybridMultilevel"/>
    <w:tmpl w:val="FFFFFFFF"/>
    <w:lvl w:ilvl="0" w:tplc="0F581236">
      <w:start w:val="1"/>
      <w:numFmt w:val="lowerRoman"/>
      <w:lvlText w:val="%1."/>
      <w:lvlJc w:val="right"/>
      <w:pPr>
        <w:ind w:left="720" w:hanging="360"/>
      </w:pPr>
    </w:lvl>
    <w:lvl w:ilvl="1" w:tplc="050C0FF2">
      <w:start w:val="1"/>
      <w:numFmt w:val="lowerLetter"/>
      <w:lvlText w:val="%2."/>
      <w:lvlJc w:val="left"/>
      <w:pPr>
        <w:ind w:left="1440" w:hanging="360"/>
      </w:pPr>
    </w:lvl>
    <w:lvl w:ilvl="2" w:tplc="024C6ED2">
      <w:start w:val="1"/>
      <w:numFmt w:val="lowerRoman"/>
      <w:lvlText w:val="%3."/>
      <w:lvlJc w:val="right"/>
      <w:pPr>
        <w:ind w:left="2160" w:hanging="180"/>
      </w:pPr>
    </w:lvl>
    <w:lvl w:ilvl="3" w:tplc="C954424A">
      <w:start w:val="1"/>
      <w:numFmt w:val="decimal"/>
      <w:lvlText w:val="%4."/>
      <w:lvlJc w:val="left"/>
      <w:pPr>
        <w:ind w:left="2880" w:hanging="360"/>
      </w:pPr>
    </w:lvl>
    <w:lvl w:ilvl="4" w:tplc="99168734">
      <w:start w:val="1"/>
      <w:numFmt w:val="lowerLetter"/>
      <w:lvlText w:val="%5."/>
      <w:lvlJc w:val="left"/>
      <w:pPr>
        <w:ind w:left="3600" w:hanging="360"/>
      </w:pPr>
    </w:lvl>
    <w:lvl w:ilvl="5" w:tplc="6A6E908C">
      <w:start w:val="1"/>
      <w:numFmt w:val="lowerRoman"/>
      <w:lvlText w:val="%6."/>
      <w:lvlJc w:val="right"/>
      <w:pPr>
        <w:ind w:left="4320" w:hanging="180"/>
      </w:pPr>
    </w:lvl>
    <w:lvl w:ilvl="6" w:tplc="D3805272">
      <w:start w:val="1"/>
      <w:numFmt w:val="decimal"/>
      <w:lvlText w:val="%7."/>
      <w:lvlJc w:val="left"/>
      <w:pPr>
        <w:ind w:left="5040" w:hanging="360"/>
      </w:pPr>
    </w:lvl>
    <w:lvl w:ilvl="7" w:tplc="6282891A">
      <w:start w:val="1"/>
      <w:numFmt w:val="lowerLetter"/>
      <w:lvlText w:val="%8."/>
      <w:lvlJc w:val="left"/>
      <w:pPr>
        <w:ind w:left="5760" w:hanging="360"/>
      </w:pPr>
    </w:lvl>
    <w:lvl w:ilvl="8" w:tplc="4D0C333E">
      <w:start w:val="1"/>
      <w:numFmt w:val="lowerRoman"/>
      <w:lvlText w:val="%9."/>
      <w:lvlJc w:val="right"/>
      <w:pPr>
        <w:ind w:left="6480" w:hanging="180"/>
      </w:pPr>
    </w:lvl>
  </w:abstractNum>
  <w:abstractNum w:abstractNumId="1" w15:restartNumberingAfterBreak="0">
    <w:nsid w:val="2FED5585"/>
    <w:multiLevelType w:val="hybridMultilevel"/>
    <w:tmpl w:val="72520EEE"/>
    <w:lvl w:ilvl="0" w:tplc="08090001">
      <w:start w:val="1"/>
      <w:numFmt w:val="bullet"/>
      <w:lvlText w:val=""/>
      <w:lvlJc w:val="left"/>
      <w:pPr>
        <w:ind w:left="720" w:hanging="360"/>
      </w:pPr>
      <w:rPr>
        <w:rFonts w:ascii="Symbol" w:hAnsi="Symbol" w:hint="default"/>
      </w:rPr>
    </w:lvl>
    <w:lvl w:ilvl="1" w:tplc="B9685D66">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F1A4F"/>
    <w:multiLevelType w:val="hybridMultilevel"/>
    <w:tmpl w:val="DB5E4D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D1E6694"/>
    <w:multiLevelType w:val="hybridMultilevel"/>
    <w:tmpl w:val="FB8CBA9E"/>
    <w:lvl w:ilvl="0" w:tplc="E66EB2F6">
      <w:start w:val="1"/>
      <w:numFmt w:val="bullet"/>
      <w:lvlText w:val=""/>
      <w:lvlJc w:val="left"/>
      <w:pPr>
        <w:ind w:left="720" w:hanging="360"/>
      </w:pPr>
      <w:rPr>
        <w:rFonts w:ascii="Symbol" w:hAnsi="Symbol" w:hint="default"/>
      </w:rPr>
    </w:lvl>
    <w:lvl w:ilvl="1" w:tplc="F836E86C">
      <w:start w:val="1"/>
      <w:numFmt w:val="bullet"/>
      <w:lvlText w:val="o"/>
      <w:lvlJc w:val="left"/>
      <w:pPr>
        <w:ind w:left="1440" w:hanging="360"/>
      </w:pPr>
      <w:rPr>
        <w:rFonts w:ascii="Courier New" w:hAnsi="Courier New" w:hint="default"/>
      </w:rPr>
    </w:lvl>
    <w:lvl w:ilvl="2" w:tplc="19CCFBA6">
      <w:start w:val="1"/>
      <w:numFmt w:val="bullet"/>
      <w:lvlText w:val=""/>
      <w:lvlJc w:val="left"/>
      <w:pPr>
        <w:ind w:left="2160" w:hanging="360"/>
      </w:pPr>
      <w:rPr>
        <w:rFonts w:ascii="Wingdings" w:hAnsi="Wingdings" w:hint="default"/>
      </w:rPr>
    </w:lvl>
    <w:lvl w:ilvl="3" w:tplc="D9E0FFD4">
      <w:start w:val="1"/>
      <w:numFmt w:val="bullet"/>
      <w:lvlText w:val=""/>
      <w:lvlJc w:val="left"/>
      <w:pPr>
        <w:ind w:left="2880" w:hanging="360"/>
      </w:pPr>
      <w:rPr>
        <w:rFonts w:ascii="Symbol" w:hAnsi="Symbol" w:hint="default"/>
      </w:rPr>
    </w:lvl>
    <w:lvl w:ilvl="4" w:tplc="1FA66A0A">
      <w:start w:val="1"/>
      <w:numFmt w:val="bullet"/>
      <w:lvlText w:val="o"/>
      <w:lvlJc w:val="left"/>
      <w:pPr>
        <w:ind w:left="3600" w:hanging="360"/>
      </w:pPr>
      <w:rPr>
        <w:rFonts w:ascii="Courier New" w:hAnsi="Courier New" w:hint="default"/>
      </w:rPr>
    </w:lvl>
    <w:lvl w:ilvl="5" w:tplc="703E6624">
      <w:start w:val="1"/>
      <w:numFmt w:val="bullet"/>
      <w:lvlText w:val=""/>
      <w:lvlJc w:val="left"/>
      <w:pPr>
        <w:ind w:left="4320" w:hanging="360"/>
      </w:pPr>
      <w:rPr>
        <w:rFonts w:ascii="Wingdings" w:hAnsi="Wingdings" w:hint="default"/>
      </w:rPr>
    </w:lvl>
    <w:lvl w:ilvl="6" w:tplc="EEF85A86">
      <w:start w:val="1"/>
      <w:numFmt w:val="bullet"/>
      <w:lvlText w:val=""/>
      <w:lvlJc w:val="left"/>
      <w:pPr>
        <w:ind w:left="5040" w:hanging="360"/>
      </w:pPr>
      <w:rPr>
        <w:rFonts w:ascii="Symbol" w:hAnsi="Symbol" w:hint="default"/>
      </w:rPr>
    </w:lvl>
    <w:lvl w:ilvl="7" w:tplc="3216F936">
      <w:start w:val="1"/>
      <w:numFmt w:val="bullet"/>
      <w:lvlText w:val="o"/>
      <w:lvlJc w:val="left"/>
      <w:pPr>
        <w:ind w:left="5760" w:hanging="360"/>
      </w:pPr>
      <w:rPr>
        <w:rFonts w:ascii="Courier New" w:hAnsi="Courier New" w:hint="default"/>
      </w:rPr>
    </w:lvl>
    <w:lvl w:ilvl="8" w:tplc="2F0AEF30">
      <w:start w:val="1"/>
      <w:numFmt w:val="bullet"/>
      <w:lvlText w:val=""/>
      <w:lvlJc w:val="left"/>
      <w:pPr>
        <w:ind w:left="6480" w:hanging="360"/>
      </w:pPr>
      <w:rPr>
        <w:rFonts w:ascii="Wingdings" w:hAnsi="Wingdings" w:hint="default"/>
      </w:rPr>
    </w:lvl>
  </w:abstractNum>
  <w:abstractNum w:abstractNumId="4" w15:restartNumberingAfterBreak="0">
    <w:nsid w:val="497F5A4E"/>
    <w:multiLevelType w:val="hybridMultilevel"/>
    <w:tmpl w:val="3386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F414D"/>
    <w:multiLevelType w:val="hybridMultilevel"/>
    <w:tmpl w:val="E806B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17B2D"/>
    <w:multiLevelType w:val="hybridMultilevel"/>
    <w:tmpl w:val="CEBEEAC4"/>
    <w:lvl w:ilvl="0" w:tplc="B9685D6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lvl>
    <w:lvl w:ilvl="2" w:tplc="09B857F8">
      <w:start w:val="29"/>
      <w:numFmt w:val="bullet"/>
      <w:lvlText w:val="-"/>
      <w:lvlJc w:val="left"/>
      <w:pPr>
        <w:tabs>
          <w:tab w:val="num" w:pos="2160"/>
        </w:tabs>
        <w:ind w:left="2160" w:hanging="360"/>
      </w:pPr>
      <w:rPr>
        <w:rFonts w:ascii="Times New Roman" w:eastAsia="Times New Roman" w:hAnsi="Times New Roman" w:cs="Times New Roman" w:hint="default"/>
      </w:rPr>
    </w:lvl>
    <w:lvl w:ilvl="3" w:tplc="A74CB2EA">
      <w:start w:val="1"/>
      <w:numFmt w:val="bullet"/>
      <w:lvlText w:val=""/>
      <w:lvlJc w:val="left"/>
      <w:pPr>
        <w:tabs>
          <w:tab w:val="num" w:pos="2880"/>
        </w:tabs>
        <w:ind w:left="2880" w:hanging="360"/>
      </w:pPr>
      <w:rPr>
        <w:rFonts w:ascii="Wingdings" w:hAnsi="Wingdings" w:hint="default"/>
        <w:sz w:val="20"/>
      </w:rPr>
    </w:lvl>
    <w:lvl w:ilvl="4" w:tplc="66043168">
      <w:start w:val="1"/>
      <w:numFmt w:val="bullet"/>
      <w:lvlText w:val=""/>
      <w:lvlJc w:val="left"/>
      <w:pPr>
        <w:tabs>
          <w:tab w:val="num" w:pos="3600"/>
        </w:tabs>
        <w:ind w:left="3600" w:hanging="360"/>
      </w:pPr>
      <w:rPr>
        <w:rFonts w:ascii="Wingdings" w:hAnsi="Wingdings" w:hint="default"/>
        <w:sz w:val="20"/>
      </w:rPr>
    </w:lvl>
    <w:lvl w:ilvl="5" w:tplc="C3A89D50">
      <w:start w:val="1"/>
      <w:numFmt w:val="bullet"/>
      <w:lvlText w:val=""/>
      <w:lvlJc w:val="left"/>
      <w:pPr>
        <w:tabs>
          <w:tab w:val="num" w:pos="4320"/>
        </w:tabs>
        <w:ind w:left="4320" w:hanging="360"/>
      </w:pPr>
      <w:rPr>
        <w:rFonts w:ascii="Wingdings" w:hAnsi="Wingdings" w:hint="default"/>
        <w:sz w:val="20"/>
      </w:rPr>
    </w:lvl>
    <w:lvl w:ilvl="6" w:tplc="83B0793E">
      <w:start w:val="1"/>
      <w:numFmt w:val="bullet"/>
      <w:lvlText w:val=""/>
      <w:lvlJc w:val="left"/>
      <w:pPr>
        <w:tabs>
          <w:tab w:val="num" w:pos="5040"/>
        </w:tabs>
        <w:ind w:left="5040" w:hanging="360"/>
      </w:pPr>
      <w:rPr>
        <w:rFonts w:ascii="Wingdings" w:hAnsi="Wingdings" w:hint="default"/>
        <w:sz w:val="20"/>
      </w:rPr>
    </w:lvl>
    <w:lvl w:ilvl="7" w:tplc="9EC6C126">
      <w:start w:val="1"/>
      <w:numFmt w:val="bullet"/>
      <w:lvlText w:val=""/>
      <w:lvlJc w:val="left"/>
      <w:pPr>
        <w:tabs>
          <w:tab w:val="num" w:pos="5760"/>
        </w:tabs>
        <w:ind w:left="5760" w:hanging="360"/>
      </w:pPr>
      <w:rPr>
        <w:rFonts w:ascii="Wingdings" w:hAnsi="Wingdings" w:hint="default"/>
        <w:sz w:val="20"/>
      </w:rPr>
    </w:lvl>
    <w:lvl w:ilvl="8" w:tplc="4D786DD4">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D75EE"/>
    <w:multiLevelType w:val="hybridMultilevel"/>
    <w:tmpl w:val="D9ECCFF6"/>
    <w:lvl w:ilvl="0" w:tplc="8F16DBFE">
      <w:start w:val="1"/>
      <w:numFmt w:val="bullet"/>
      <w:lvlText w:val=""/>
      <w:lvlJc w:val="left"/>
      <w:pPr>
        <w:ind w:left="720" w:hanging="360"/>
      </w:pPr>
      <w:rPr>
        <w:rFonts w:ascii="Symbol" w:hAnsi="Symbol" w:hint="default"/>
      </w:rPr>
    </w:lvl>
    <w:lvl w:ilvl="1" w:tplc="2F40372C">
      <w:start w:val="1"/>
      <w:numFmt w:val="bullet"/>
      <w:lvlText w:val="o"/>
      <w:lvlJc w:val="left"/>
      <w:pPr>
        <w:ind w:left="1440" w:hanging="360"/>
      </w:pPr>
      <w:rPr>
        <w:rFonts w:ascii="Courier New" w:hAnsi="Courier New" w:hint="default"/>
      </w:rPr>
    </w:lvl>
    <w:lvl w:ilvl="2" w:tplc="F4089F96">
      <w:start w:val="1"/>
      <w:numFmt w:val="bullet"/>
      <w:lvlText w:val=""/>
      <w:lvlJc w:val="left"/>
      <w:pPr>
        <w:ind w:left="2160" w:hanging="360"/>
      </w:pPr>
      <w:rPr>
        <w:rFonts w:ascii="Wingdings" w:hAnsi="Wingdings" w:hint="default"/>
      </w:rPr>
    </w:lvl>
    <w:lvl w:ilvl="3" w:tplc="DE8C2A0C">
      <w:start w:val="1"/>
      <w:numFmt w:val="bullet"/>
      <w:lvlText w:val=""/>
      <w:lvlJc w:val="left"/>
      <w:pPr>
        <w:ind w:left="2880" w:hanging="360"/>
      </w:pPr>
      <w:rPr>
        <w:rFonts w:ascii="Symbol" w:hAnsi="Symbol" w:hint="default"/>
      </w:rPr>
    </w:lvl>
    <w:lvl w:ilvl="4" w:tplc="60AE8106">
      <w:start w:val="1"/>
      <w:numFmt w:val="bullet"/>
      <w:lvlText w:val="o"/>
      <w:lvlJc w:val="left"/>
      <w:pPr>
        <w:ind w:left="3600" w:hanging="360"/>
      </w:pPr>
      <w:rPr>
        <w:rFonts w:ascii="Courier New" w:hAnsi="Courier New" w:hint="default"/>
      </w:rPr>
    </w:lvl>
    <w:lvl w:ilvl="5" w:tplc="606EEBAA">
      <w:start w:val="1"/>
      <w:numFmt w:val="bullet"/>
      <w:lvlText w:val=""/>
      <w:lvlJc w:val="left"/>
      <w:pPr>
        <w:ind w:left="4320" w:hanging="360"/>
      </w:pPr>
      <w:rPr>
        <w:rFonts w:ascii="Wingdings" w:hAnsi="Wingdings" w:hint="default"/>
      </w:rPr>
    </w:lvl>
    <w:lvl w:ilvl="6" w:tplc="5DF4CAAE">
      <w:start w:val="1"/>
      <w:numFmt w:val="bullet"/>
      <w:lvlText w:val=""/>
      <w:lvlJc w:val="left"/>
      <w:pPr>
        <w:ind w:left="5040" w:hanging="360"/>
      </w:pPr>
      <w:rPr>
        <w:rFonts w:ascii="Symbol" w:hAnsi="Symbol" w:hint="default"/>
      </w:rPr>
    </w:lvl>
    <w:lvl w:ilvl="7" w:tplc="E9806DBA">
      <w:start w:val="1"/>
      <w:numFmt w:val="bullet"/>
      <w:lvlText w:val="o"/>
      <w:lvlJc w:val="left"/>
      <w:pPr>
        <w:ind w:left="5760" w:hanging="360"/>
      </w:pPr>
      <w:rPr>
        <w:rFonts w:ascii="Courier New" w:hAnsi="Courier New" w:hint="default"/>
      </w:rPr>
    </w:lvl>
    <w:lvl w:ilvl="8" w:tplc="00340E46">
      <w:start w:val="1"/>
      <w:numFmt w:val="bullet"/>
      <w:lvlText w:val=""/>
      <w:lvlJc w:val="left"/>
      <w:pPr>
        <w:ind w:left="6480" w:hanging="360"/>
      </w:pPr>
      <w:rPr>
        <w:rFonts w:ascii="Wingdings" w:hAnsi="Wingdings" w:hint="default"/>
      </w:rPr>
    </w:lvl>
  </w:abstractNum>
  <w:num w:numId="1" w16cid:durableId="1105885181">
    <w:abstractNumId w:val="3"/>
  </w:num>
  <w:num w:numId="2" w16cid:durableId="1898928905">
    <w:abstractNumId w:val="6"/>
    <w:lvlOverride w:ilvl="0"/>
    <w:lvlOverride w:ilvl="1">
      <w:startOverride w:val="1"/>
    </w:lvlOverride>
    <w:lvlOverride w:ilvl="2"/>
    <w:lvlOverride w:ilvl="3"/>
    <w:lvlOverride w:ilvl="4"/>
    <w:lvlOverride w:ilvl="5"/>
    <w:lvlOverride w:ilvl="6"/>
    <w:lvlOverride w:ilvl="7"/>
    <w:lvlOverride w:ilvl="8"/>
  </w:num>
  <w:num w:numId="3" w16cid:durableId="651105655">
    <w:abstractNumId w:val="0"/>
  </w:num>
  <w:num w:numId="4" w16cid:durableId="406461792">
    <w:abstractNumId w:val="7"/>
  </w:num>
  <w:num w:numId="5" w16cid:durableId="378092713">
    <w:abstractNumId w:val="2"/>
  </w:num>
  <w:num w:numId="6" w16cid:durableId="1484392984">
    <w:abstractNumId w:val="1"/>
  </w:num>
  <w:num w:numId="7" w16cid:durableId="1637641100">
    <w:abstractNumId w:val="4"/>
  </w:num>
  <w:num w:numId="8" w16cid:durableId="994381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15"/>
    <w:rsid w:val="00017B6A"/>
    <w:rsid w:val="0002655F"/>
    <w:rsid w:val="00081DF4"/>
    <w:rsid w:val="000832E5"/>
    <w:rsid w:val="000B1DB2"/>
    <w:rsid w:val="000E0C5B"/>
    <w:rsid w:val="00102836"/>
    <w:rsid w:val="0010579A"/>
    <w:rsid w:val="00145338"/>
    <w:rsid w:val="00163148"/>
    <w:rsid w:val="001711C1"/>
    <w:rsid w:val="001C6BFB"/>
    <w:rsid w:val="001D3F6C"/>
    <w:rsid w:val="001D6370"/>
    <w:rsid w:val="001E297A"/>
    <w:rsid w:val="00200C8D"/>
    <w:rsid w:val="00201E8C"/>
    <w:rsid w:val="0022249A"/>
    <w:rsid w:val="00222DDD"/>
    <w:rsid w:val="00262E71"/>
    <w:rsid w:val="002855E7"/>
    <w:rsid w:val="00294E77"/>
    <w:rsid w:val="002955F0"/>
    <w:rsid w:val="002A2039"/>
    <w:rsid w:val="002B689F"/>
    <w:rsid w:val="002D30F1"/>
    <w:rsid w:val="002D66CA"/>
    <w:rsid w:val="003226D2"/>
    <w:rsid w:val="003457A7"/>
    <w:rsid w:val="003850A6"/>
    <w:rsid w:val="003A3916"/>
    <w:rsid w:val="003C56C9"/>
    <w:rsid w:val="003D3024"/>
    <w:rsid w:val="003D6418"/>
    <w:rsid w:val="003E07BA"/>
    <w:rsid w:val="003E4472"/>
    <w:rsid w:val="00416B9D"/>
    <w:rsid w:val="004332BE"/>
    <w:rsid w:val="00435E7F"/>
    <w:rsid w:val="00454DF8"/>
    <w:rsid w:val="00470389"/>
    <w:rsid w:val="00473494"/>
    <w:rsid w:val="004C798F"/>
    <w:rsid w:val="004D003D"/>
    <w:rsid w:val="004E0BE7"/>
    <w:rsid w:val="004E6DE4"/>
    <w:rsid w:val="00515730"/>
    <w:rsid w:val="00554AD9"/>
    <w:rsid w:val="00560B06"/>
    <w:rsid w:val="005D54BF"/>
    <w:rsid w:val="005E0366"/>
    <w:rsid w:val="005E1E38"/>
    <w:rsid w:val="005F613C"/>
    <w:rsid w:val="0060288B"/>
    <w:rsid w:val="00627C36"/>
    <w:rsid w:val="006633A3"/>
    <w:rsid w:val="006949CD"/>
    <w:rsid w:val="00696CDF"/>
    <w:rsid w:val="006B1F4B"/>
    <w:rsid w:val="006B39DF"/>
    <w:rsid w:val="006E094E"/>
    <w:rsid w:val="006F03DC"/>
    <w:rsid w:val="006F67F1"/>
    <w:rsid w:val="00723BA6"/>
    <w:rsid w:val="00734834"/>
    <w:rsid w:val="00750481"/>
    <w:rsid w:val="007620CC"/>
    <w:rsid w:val="00770781"/>
    <w:rsid w:val="007B0BE1"/>
    <w:rsid w:val="007D45A1"/>
    <w:rsid w:val="007D540B"/>
    <w:rsid w:val="007F29B1"/>
    <w:rsid w:val="008337BF"/>
    <w:rsid w:val="00854C44"/>
    <w:rsid w:val="008A1930"/>
    <w:rsid w:val="008A5BEA"/>
    <w:rsid w:val="008C45E4"/>
    <w:rsid w:val="008D661C"/>
    <w:rsid w:val="00912C25"/>
    <w:rsid w:val="00973F71"/>
    <w:rsid w:val="009A494A"/>
    <w:rsid w:val="009B3248"/>
    <w:rsid w:val="009F708C"/>
    <w:rsid w:val="00A411E9"/>
    <w:rsid w:val="00A4148D"/>
    <w:rsid w:val="00A50997"/>
    <w:rsid w:val="00A72B5D"/>
    <w:rsid w:val="00A77E2F"/>
    <w:rsid w:val="00A817A7"/>
    <w:rsid w:val="00AC05FE"/>
    <w:rsid w:val="00AC3BEE"/>
    <w:rsid w:val="00B52A8F"/>
    <w:rsid w:val="00B633A3"/>
    <w:rsid w:val="00B70D7B"/>
    <w:rsid w:val="00B823E1"/>
    <w:rsid w:val="00B824AA"/>
    <w:rsid w:val="00B9642C"/>
    <w:rsid w:val="00BF1A19"/>
    <w:rsid w:val="00C11B62"/>
    <w:rsid w:val="00C12B69"/>
    <w:rsid w:val="00C238FF"/>
    <w:rsid w:val="00C56442"/>
    <w:rsid w:val="00C81B45"/>
    <w:rsid w:val="00C8573F"/>
    <w:rsid w:val="00CB0537"/>
    <w:rsid w:val="00CB22DB"/>
    <w:rsid w:val="00CB4202"/>
    <w:rsid w:val="00CB62D3"/>
    <w:rsid w:val="00CC6CF2"/>
    <w:rsid w:val="00CF72AB"/>
    <w:rsid w:val="00D1114D"/>
    <w:rsid w:val="00D21B2B"/>
    <w:rsid w:val="00D45BB0"/>
    <w:rsid w:val="00DD0EB1"/>
    <w:rsid w:val="00E13115"/>
    <w:rsid w:val="00E1316F"/>
    <w:rsid w:val="00E20509"/>
    <w:rsid w:val="00E40ECC"/>
    <w:rsid w:val="00E41792"/>
    <w:rsid w:val="00E57CAD"/>
    <w:rsid w:val="00E75C22"/>
    <w:rsid w:val="00EA01BE"/>
    <w:rsid w:val="00EA04F8"/>
    <w:rsid w:val="00EA6AE0"/>
    <w:rsid w:val="00EB3307"/>
    <w:rsid w:val="00EC1C0A"/>
    <w:rsid w:val="00F118EF"/>
    <w:rsid w:val="00F51E85"/>
    <w:rsid w:val="00F6725C"/>
    <w:rsid w:val="00F74305"/>
    <w:rsid w:val="00F9396A"/>
    <w:rsid w:val="00F977FA"/>
    <w:rsid w:val="00F97EBF"/>
    <w:rsid w:val="00FB27E1"/>
    <w:rsid w:val="00FD04D6"/>
    <w:rsid w:val="00FE59CF"/>
    <w:rsid w:val="02458D3B"/>
    <w:rsid w:val="049ADE87"/>
    <w:rsid w:val="05735189"/>
    <w:rsid w:val="0595387D"/>
    <w:rsid w:val="066F507A"/>
    <w:rsid w:val="0687732B"/>
    <w:rsid w:val="069AA810"/>
    <w:rsid w:val="076B884D"/>
    <w:rsid w:val="093836E8"/>
    <w:rsid w:val="0997D4EB"/>
    <w:rsid w:val="09B93694"/>
    <w:rsid w:val="09D33B85"/>
    <w:rsid w:val="0B33A54C"/>
    <w:rsid w:val="0BCE5EEF"/>
    <w:rsid w:val="0BFAA1D8"/>
    <w:rsid w:val="0D7F70A1"/>
    <w:rsid w:val="0D890DEF"/>
    <w:rsid w:val="0EBF2494"/>
    <w:rsid w:val="0F342652"/>
    <w:rsid w:val="0F57E301"/>
    <w:rsid w:val="0F5EC5B6"/>
    <w:rsid w:val="0FBC7671"/>
    <w:rsid w:val="0FD5A7D4"/>
    <w:rsid w:val="11108C6C"/>
    <w:rsid w:val="12068705"/>
    <w:rsid w:val="12F2839C"/>
    <w:rsid w:val="13DF3250"/>
    <w:rsid w:val="1496619E"/>
    <w:rsid w:val="15DD66D6"/>
    <w:rsid w:val="164A73BC"/>
    <w:rsid w:val="17993243"/>
    <w:rsid w:val="17FF98D3"/>
    <w:rsid w:val="1833C034"/>
    <w:rsid w:val="1A4D9A8D"/>
    <w:rsid w:val="1B1EF9CD"/>
    <w:rsid w:val="1C0C1D6E"/>
    <w:rsid w:val="1CDC81DE"/>
    <w:rsid w:val="1CE77BE6"/>
    <w:rsid w:val="1DC54C1E"/>
    <w:rsid w:val="1ED43CAA"/>
    <w:rsid w:val="2049C775"/>
    <w:rsid w:val="20FAE288"/>
    <w:rsid w:val="211864FD"/>
    <w:rsid w:val="218A7247"/>
    <w:rsid w:val="21B09F04"/>
    <w:rsid w:val="222F69DE"/>
    <w:rsid w:val="22425BEA"/>
    <w:rsid w:val="2267AD84"/>
    <w:rsid w:val="22876BD6"/>
    <w:rsid w:val="239F774F"/>
    <w:rsid w:val="2447D842"/>
    <w:rsid w:val="26C2785F"/>
    <w:rsid w:val="2AE0BD97"/>
    <w:rsid w:val="2B1736BE"/>
    <w:rsid w:val="2C01F83F"/>
    <w:rsid w:val="2C023BFC"/>
    <w:rsid w:val="2D28189D"/>
    <w:rsid w:val="2E27BEE8"/>
    <w:rsid w:val="2F373E5C"/>
    <w:rsid w:val="323A68F1"/>
    <w:rsid w:val="32A1BC5C"/>
    <w:rsid w:val="32D980AD"/>
    <w:rsid w:val="331DFED8"/>
    <w:rsid w:val="3339C540"/>
    <w:rsid w:val="339794DA"/>
    <w:rsid w:val="33CD4092"/>
    <w:rsid w:val="3424083C"/>
    <w:rsid w:val="34F37AC1"/>
    <w:rsid w:val="35EC69F0"/>
    <w:rsid w:val="3637519D"/>
    <w:rsid w:val="3980EE46"/>
    <w:rsid w:val="3AF03DF5"/>
    <w:rsid w:val="3B83C4F1"/>
    <w:rsid w:val="3BD1694A"/>
    <w:rsid w:val="3D10451E"/>
    <w:rsid w:val="3D3CD5B2"/>
    <w:rsid w:val="3ED17DCE"/>
    <w:rsid w:val="3FF14DF2"/>
    <w:rsid w:val="40210E66"/>
    <w:rsid w:val="402FDB60"/>
    <w:rsid w:val="4112E18C"/>
    <w:rsid w:val="420029B7"/>
    <w:rsid w:val="431609E0"/>
    <w:rsid w:val="43AEAD76"/>
    <w:rsid w:val="4459E401"/>
    <w:rsid w:val="45F70F76"/>
    <w:rsid w:val="4698A22C"/>
    <w:rsid w:val="469F1CE4"/>
    <w:rsid w:val="46F719FB"/>
    <w:rsid w:val="47439989"/>
    <w:rsid w:val="4840D37A"/>
    <w:rsid w:val="49520F0E"/>
    <w:rsid w:val="4BCAC4B7"/>
    <w:rsid w:val="4C072FE0"/>
    <w:rsid w:val="4CB4B603"/>
    <w:rsid w:val="4CF911E3"/>
    <w:rsid w:val="4F0C7BFA"/>
    <w:rsid w:val="5084D3E4"/>
    <w:rsid w:val="510B7AC9"/>
    <w:rsid w:val="526F0A2D"/>
    <w:rsid w:val="537B8084"/>
    <w:rsid w:val="5534EEC6"/>
    <w:rsid w:val="55B042E4"/>
    <w:rsid w:val="57BAFB79"/>
    <w:rsid w:val="5877F981"/>
    <w:rsid w:val="5BD19F20"/>
    <w:rsid w:val="5DC2118A"/>
    <w:rsid w:val="5DFF1CC8"/>
    <w:rsid w:val="5E9146A9"/>
    <w:rsid w:val="5F4947AE"/>
    <w:rsid w:val="6002371F"/>
    <w:rsid w:val="61D93C4D"/>
    <w:rsid w:val="6324373A"/>
    <w:rsid w:val="6364784D"/>
    <w:rsid w:val="645C3FFB"/>
    <w:rsid w:val="671ED3BF"/>
    <w:rsid w:val="67DBBB79"/>
    <w:rsid w:val="6A180FD8"/>
    <w:rsid w:val="6AE46C6B"/>
    <w:rsid w:val="6AE58D56"/>
    <w:rsid w:val="6DA2CAA5"/>
    <w:rsid w:val="719BEFFD"/>
    <w:rsid w:val="71D793AB"/>
    <w:rsid w:val="725AB660"/>
    <w:rsid w:val="72763D8B"/>
    <w:rsid w:val="7385C58B"/>
    <w:rsid w:val="738E2C34"/>
    <w:rsid w:val="73D3A567"/>
    <w:rsid w:val="748DC9D4"/>
    <w:rsid w:val="771AE205"/>
    <w:rsid w:val="776C6267"/>
    <w:rsid w:val="7A5282C7"/>
    <w:rsid w:val="7A58EC3E"/>
    <w:rsid w:val="7BAA8E37"/>
    <w:rsid w:val="7E0130E5"/>
    <w:rsid w:val="7E55F288"/>
    <w:rsid w:val="7E628320"/>
    <w:rsid w:val="7E6BB15B"/>
    <w:rsid w:val="7ED4BF61"/>
    <w:rsid w:val="7FB2141C"/>
    <w:rsid w:val="7FCB0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DE2A"/>
  <w15:chartTrackingRefBased/>
  <w15:docId w15:val="{B71D36B4-AFD4-4B85-89A7-A103676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1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31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1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115"/>
    <w:rPr>
      <w:color w:val="0563C1" w:themeColor="hyperlink"/>
      <w:u w:val="single"/>
    </w:rPr>
  </w:style>
  <w:style w:type="character" w:styleId="UnresolvedMention">
    <w:name w:val="Unresolved Mention"/>
    <w:basedOn w:val="DefaultParagraphFont"/>
    <w:uiPriority w:val="99"/>
    <w:semiHidden/>
    <w:unhideWhenUsed/>
    <w:rsid w:val="00E13115"/>
    <w:rPr>
      <w:color w:val="605E5C"/>
      <w:shd w:val="clear" w:color="auto" w:fill="E1DFDD"/>
    </w:rPr>
  </w:style>
  <w:style w:type="character" w:customStyle="1" w:styleId="Heading1Char">
    <w:name w:val="Heading 1 Char"/>
    <w:basedOn w:val="DefaultParagraphFont"/>
    <w:link w:val="Heading1"/>
    <w:uiPriority w:val="9"/>
    <w:rsid w:val="00E1311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131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1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31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311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1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15"/>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B70D7B"/>
    <w:rPr>
      <w:color w:val="954F72" w:themeColor="followedHyperlink"/>
      <w:u w:val="single"/>
    </w:rPr>
  </w:style>
  <w:style w:type="paragraph" w:styleId="TOCHeading">
    <w:name w:val="TOC Heading"/>
    <w:basedOn w:val="Heading1"/>
    <w:next w:val="Normal"/>
    <w:uiPriority w:val="39"/>
    <w:unhideWhenUsed/>
    <w:qFormat/>
    <w:rsid w:val="00B9642C"/>
    <w:pPr>
      <w:outlineLvl w:val="9"/>
    </w:pPr>
    <w:rPr>
      <w:lang w:val="en-US"/>
    </w:rPr>
  </w:style>
  <w:style w:type="paragraph" w:styleId="TOC1">
    <w:name w:val="toc 1"/>
    <w:basedOn w:val="Normal"/>
    <w:next w:val="Normal"/>
    <w:autoRedefine/>
    <w:uiPriority w:val="39"/>
    <w:unhideWhenUsed/>
    <w:rsid w:val="00B9642C"/>
    <w:pPr>
      <w:spacing w:after="100"/>
    </w:pPr>
  </w:style>
  <w:style w:type="paragraph" w:styleId="TOC2">
    <w:name w:val="toc 2"/>
    <w:basedOn w:val="Normal"/>
    <w:next w:val="Normal"/>
    <w:autoRedefine/>
    <w:uiPriority w:val="39"/>
    <w:unhideWhenUsed/>
    <w:rsid w:val="00B9642C"/>
    <w:pPr>
      <w:spacing w:after="100"/>
      <w:ind w:left="220"/>
    </w:pPr>
  </w:style>
  <w:style w:type="character" w:styleId="CommentReference">
    <w:name w:val="annotation reference"/>
    <w:basedOn w:val="DefaultParagraphFont"/>
    <w:uiPriority w:val="99"/>
    <w:semiHidden/>
    <w:unhideWhenUsed/>
    <w:rsid w:val="004E0BE7"/>
    <w:rPr>
      <w:sz w:val="16"/>
      <w:szCs w:val="16"/>
    </w:rPr>
  </w:style>
  <w:style w:type="paragraph" w:styleId="CommentText">
    <w:name w:val="annotation text"/>
    <w:basedOn w:val="Normal"/>
    <w:link w:val="CommentTextChar"/>
    <w:uiPriority w:val="99"/>
    <w:semiHidden/>
    <w:unhideWhenUsed/>
    <w:rsid w:val="004E0BE7"/>
    <w:pPr>
      <w:spacing w:line="240" w:lineRule="auto"/>
    </w:pPr>
    <w:rPr>
      <w:sz w:val="20"/>
      <w:szCs w:val="20"/>
    </w:rPr>
  </w:style>
  <w:style w:type="character" w:customStyle="1" w:styleId="CommentTextChar">
    <w:name w:val="Comment Text Char"/>
    <w:basedOn w:val="DefaultParagraphFont"/>
    <w:link w:val="CommentText"/>
    <w:uiPriority w:val="99"/>
    <w:semiHidden/>
    <w:rsid w:val="004E0BE7"/>
    <w:rPr>
      <w:sz w:val="20"/>
      <w:szCs w:val="20"/>
    </w:rPr>
  </w:style>
  <w:style w:type="paragraph" w:styleId="CommentSubject">
    <w:name w:val="annotation subject"/>
    <w:basedOn w:val="CommentText"/>
    <w:next w:val="CommentText"/>
    <w:link w:val="CommentSubjectChar"/>
    <w:uiPriority w:val="99"/>
    <w:semiHidden/>
    <w:unhideWhenUsed/>
    <w:rsid w:val="004E0BE7"/>
    <w:rPr>
      <w:b/>
      <w:bCs/>
    </w:rPr>
  </w:style>
  <w:style w:type="character" w:customStyle="1" w:styleId="CommentSubjectChar">
    <w:name w:val="Comment Subject Char"/>
    <w:basedOn w:val="CommentTextChar"/>
    <w:link w:val="CommentSubject"/>
    <w:uiPriority w:val="99"/>
    <w:semiHidden/>
    <w:rsid w:val="004E0BE7"/>
    <w:rPr>
      <w:b/>
      <w:bCs/>
      <w:sz w:val="20"/>
      <w:szCs w:val="20"/>
    </w:rPr>
  </w:style>
  <w:style w:type="paragraph" w:styleId="Revision">
    <w:name w:val="Revision"/>
    <w:hidden/>
    <w:uiPriority w:val="99"/>
    <w:semiHidden/>
    <w:rsid w:val="004E0BE7"/>
    <w:pPr>
      <w:spacing w:after="0" w:line="240" w:lineRule="auto"/>
    </w:pPr>
  </w:style>
  <w:style w:type="paragraph" w:styleId="NoSpacing">
    <w:name w:val="No Spacing"/>
    <w:uiPriority w:val="1"/>
    <w:qFormat/>
    <w:rsid w:val="00F6725C"/>
    <w:pPr>
      <w:spacing w:after="0" w:line="240" w:lineRule="auto"/>
    </w:pPr>
  </w:style>
  <w:style w:type="paragraph" w:styleId="Header">
    <w:name w:val="header"/>
    <w:basedOn w:val="Normal"/>
    <w:link w:val="HeaderChar"/>
    <w:uiPriority w:val="99"/>
    <w:unhideWhenUsed/>
    <w:rsid w:val="003D3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024"/>
  </w:style>
  <w:style w:type="paragraph" w:styleId="Footer">
    <w:name w:val="footer"/>
    <w:basedOn w:val="Normal"/>
    <w:link w:val="FooterChar"/>
    <w:uiPriority w:val="99"/>
    <w:unhideWhenUsed/>
    <w:rsid w:val="003D3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024"/>
  </w:style>
  <w:style w:type="character" w:customStyle="1" w:styleId="ui-provider">
    <w:name w:val="ui-provider"/>
    <w:basedOn w:val="DefaultParagraphFont"/>
    <w:rsid w:val="00CB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57145">
      <w:bodyDiv w:val="1"/>
      <w:marLeft w:val="0"/>
      <w:marRight w:val="0"/>
      <w:marTop w:val="0"/>
      <w:marBottom w:val="0"/>
      <w:divBdr>
        <w:top w:val="none" w:sz="0" w:space="0" w:color="auto"/>
        <w:left w:val="none" w:sz="0" w:space="0" w:color="auto"/>
        <w:bottom w:val="none" w:sz="0" w:space="0" w:color="auto"/>
        <w:right w:val="none" w:sz="0" w:space="0" w:color="auto"/>
      </w:divBdr>
    </w:div>
    <w:div w:id="10959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srrecruitment@hmtreasur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4044/Changes_to_the_Civil_Service_Nationality_Rules_from_1_January_2021_-_Guidance_and_departmental_action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7414fb-287b-4659-a9fc-ef0dbd41dc8e">
      <UserInfo>
        <DisplayName>McGrowder, Sian - HMT</DisplayName>
        <AccountId>910</AccountId>
        <AccountType/>
      </UserInfo>
    </SharedWithUsers>
    <_activity xmlns="be2f4ff7-9192-4716-a1f9-a31266b7c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15" ma:contentTypeDescription="Create a new document." ma:contentTypeScope="" ma:versionID="60746de461fa2c85c1ed2248fa65b9fd">
  <xsd:schema xmlns:xsd="http://www.w3.org/2001/XMLSchema" xmlns:xs="http://www.w3.org/2001/XMLSchema" xmlns:p="http://schemas.microsoft.com/office/2006/metadata/properties" xmlns:ns3="be2f4ff7-9192-4716-a1f9-a31266b7c2ae" xmlns:ns4="ec7414fb-287b-4659-a9fc-ef0dbd41dc8e" targetNamespace="http://schemas.microsoft.com/office/2006/metadata/properties" ma:root="true" ma:fieldsID="41a2866a191df14dce940faa0d7e9052" ns3:_="" ns4:_="">
    <xsd:import namespace="be2f4ff7-9192-4716-a1f9-a31266b7c2ae"/>
    <xsd:import namespace="ec7414fb-287b-4659-a9fc-ef0dbd41dc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414fb-287b-4659-a9fc-ef0dbd41dc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2959A-B822-43DE-9063-1AD9698F0BFA}">
  <ds:schemaRefs>
    <ds:schemaRef ds:uri="http://schemas.openxmlformats.org/package/2006/metadata/core-properties"/>
    <ds:schemaRef ds:uri="be2f4ff7-9192-4716-a1f9-a31266b7c2ae"/>
    <ds:schemaRef ds:uri="http://schemas.microsoft.com/office/2006/documentManagement/types"/>
    <ds:schemaRef ds:uri="ec7414fb-287b-4659-a9fc-ef0dbd41dc8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A0BDBF5-F7D5-4724-906D-C269E3162453}">
  <ds:schemaRefs>
    <ds:schemaRef ds:uri="http://schemas.microsoft.com/sharepoint/v3/contenttype/forms"/>
  </ds:schemaRefs>
</ds:datastoreItem>
</file>

<file path=customXml/itemProps3.xml><?xml version="1.0" encoding="utf-8"?>
<ds:datastoreItem xmlns:ds="http://schemas.openxmlformats.org/officeDocument/2006/customXml" ds:itemID="{EB7DC814-FCAF-4E52-97C9-95C46F59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ec7414fb-287b-4659-a9fc-ef0dbd41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GSR Sandwich Student Placements Scheme 2023-24 Guidance Notes .docx</vt:lpstr>
    </vt:vector>
  </TitlesOfParts>
  <Company>HM Treasury</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GSR Sandwich Student Placements Scheme 2023-24 Guidance Notes .docx</dc:title>
  <dc:subject/>
  <dc:creator>Farnworth, Terryann - HMT</dc:creator>
  <cp:keywords/>
  <dc:description/>
  <cp:lastModifiedBy>Ward, Sarah - HMT</cp:lastModifiedBy>
  <cp:revision>3</cp:revision>
  <cp:lastPrinted>2022-09-20T22:30:00Z</cp:lastPrinted>
  <dcterms:created xsi:type="dcterms:W3CDTF">2023-09-27T10:03:00Z</dcterms:created>
  <dcterms:modified xsi:type="dcterms:W3CDTF">2023-09-27T10:03:00Z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0x010100358412BB65EEDA4E8125AD2DAF0C0B53</vt:lpwstr>
  </property>
  <property fmtid="{D5CDD505-2E9C-101B-9397-08002B2CF9AE}" pid="3" name="HMT_Group">
    <vt:lpwstr>2;#Economics|947aaa66-dd74-46b1-9cee-e42e6e0aa9c1</vt:lpwstr>
  </property>
  <property fmtid="{D5CDD505-2E9C-101B-9397-08002B2CF9AE}" pid="4" name="HMT_Category">
    <vt:lpwstr>12;#Corporate Document Types|9cae1664-647a-4060-a444-c5420aa89dfd</vt:lpwstr>
  </property>
  <property fmtid="{D5CDD505-2E9C-101B-9397-08002B2CF9AE}" pid="5" name="HMT_Classification">
    <vt:lpwstr>9;#Sensitive|e4b4762f-94f6-4901-a732-9ab10906c6ba</vt:lpwstr>
  </property>
  <property fmtid="{D5CDD505-2E9C-101B-9397-08002B2CF9AE}" pid="6" name="HMT_SubTeam">
    <vt:lpwstr/>
  </property>
  <property fmtid="{D5CDD505-2E9C-101B-9397-08002B2CF9AE}" pid="7" name="HMT_Review">
    <vt:bool>false</vt:bool>
  </property>
  <property fmtid="{D5CDD505-2E9C-101B-9397-08002B2CF9AE}" pid="8" name="HMT_DocumentType">
    <vt:lpwstr>10;#Other|c871d64c-a333-451d-b49a-28a9a74c0368</vt:lpwstr>
  </property>
  <property fmtid="{D5CDD505-2E9C-101B-9397-08002B2CF9AE}" pid="9" name="HMT_Team">
    <vt:lpwstr>26;#Government Economic ＆ Social Research Unit|e9698f9f-5a72-4686-bf1a-41d766a13c02</vt:lpwstr>
  </property>
  <property fmtid="{D5CDD505-2E9C-101B-9397-08002B2CF9AE}" pid="10" name="_dlc_DocIdItemGuid">
    <vt:lpwstr>9d1f8364-6934-41ea-9549-4dc9fb00ebae</vt:lpwstr>
  </property>
  <property fmtid="{D5CDD505-2E9C-101B-9397-08002B2CF9AE}" pid="11" name="MediaServiceImageTags">
    <vt:lpwstr/>
  </property>
</Properties>
</file>