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5CEF" w14:textId="77777777" w:rsidR="003318AE" w:rsidRPr="00BA744A" w:rsidRDefault="003318AE" w:rsidP="003318AE">
      <w:pPr>
        <w:spacing w:after="0"/>
        <w:jc w:val="center"/>
        <w:rPr>
          <w:rFonts w:eastAsia="Calibri"/>
          <w:sz w:val="26"/>
          <w:szCs w:val="26"/>
        </w:rPr>
      </w:pPr>
      <w:r w:rsidRPr="00BA744A">
        <w:rPr>
          <w:rFonts w:ascii="Calibri" w:eastAsia="Calibri" w:hAnsi="Calibri"/>
          <w:noProof/>
          <w:sz w:val="26"/>
          <w:szCs w:val="26"/>
          <w:lang w:eastAsia="en-GB"/>
        </w:rPr>
        <w:drawing>
          <wp:inline distT="0" distB="0" distL="0" distR="0" wp14:anchorId="1497D0DD" wp14:editId="1F346FDA">
            <wp:extent cx="4638675" cy="1276350"/>
            <wp:effectExtent l="0" t="0" r="9525" b="0"/>
            <wp:docPr id="8" name="Picture 3" descr="Master A4 with address for CH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A4 with address for CHX.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1276350"/>
                    </a:xfrm>
                    <a:prstGeom prst="rect">
                      <a:avLst/>
                    </a:prstGeom>
                    <a:noFill/>
                    <a:ln>
                      <a:noFill/>
                    </a:ln>
                  </pic:spPr>
                </pic:pic>
              </a:graphicData>
            </a:graphic>
          </wp:inline>
        </w:drawing>
      </w:r>
    </w:p>
    <w:p w14:paraId="77391097" w14:textId="77777777" w:rsidR="003318AE" w:rsidRPr="00BA744A" w:rsidRDefault="003318AE" w:rsidP="003318AE">
      <w:pPr>
        <w:spacing w:after="240"/>
        <w:rPr>
          <w:rFonts w:eastAsia="Calibri"/>
          <w:sz w:val="26"/>
          <w:szCs w:val="26"/>
        </w:rPr>
      </w:pPr>
    </w:p>
    <w:p w14:paraId="633E73E7" w14:textId="67B021E3" w:rsidR="003318AE" w:rsidRPr="00BA744A" w:rsidRDefault="00525143" w:rsidP="003318AE">
      <w:pPr>
        <w:spacing w:after="0"/>
        <w:jc w:val="right"/>
        <w:rPr>
          <w:rFonts w:eastAsia="Calibri"/>
          <w:sz w:val="26"/>
          <w:szCs w:val="26"/>
        </w:rPr>
      </w:pPr>
      <w:r>
        <w:rPr>
          <w:rFonts w:eastAsia="Calibri"/>
          <w:sz w:val="26"/>
          <w:szCs w:val="26"/>
        </w:rPr>
        <w:t xml:space="preserve">4 </w:t>
      </w:r>
      <w:r w:rsidR="00E7634F">
        <w:rPr>
          <w:rFonts w:eastAsia="Calibri"/>
          <w:sz w:val="26"/>
          <w:szCs w:val="26"/>
        </w:rPr>
        <w:t>November</w:t>
      </w:r>
      <w:r w:rsidR="003318AE" w:rsidRPr="00F7164F">
        <w:rPr>
          <w:rFonts w:eastAsia="Calibri"/>
          <w:sz w:val="26"/>
          <w:szCs w:val="22"/>
        </w:rPr>
        <w:t xml:space="preserve"> </w:t>
      </w:r>
      <w:r w:rsidR="003318AE" w:rsidRPr="00F7164F">
        <w:rPr>
          <w:rFonts w:eastAsia="Calibri"/>
          <w:sz w:val="26"/>
          <w:szCs w:val="26"/>
        </w:rPr>
        <w:t>2019</w:t>
      </w:r>
    </w:p>
    <w:p w14:paraId="6DF15947" w14:textId="77777777" w:rsidR="003318AE" w:rsidRPr="00BA744A" w:rsidRDefault="003318AE" w:rsidP="003318AE">
      <w:pPr>
        <w:spacing w:after="0"/>
        <w:jc w:val="both"/>
        <w:rPr>
          <w:rFonts w:eastAsia="Calibri"/>
          <w:sz w:val="26"/>
          <w:szCs w:val="26"/>
        </w:rPr>
      </w:pPr>
      <w:r w:rsidRPr="00BA744A">
        <w:rPr>
          <w:rFonts w:eastAsia="Calibri"/>
          <w:sz w:val="26"/>
          <w:szCs w:val="26"/>
        </w:rPr>
        <w:t>Mark Carney</w:t>
      </w:r>
    </w:p>
    <w:p w14:paraId="5EFAFC5E" w14:textId="77777777" w:rsidR="003318AE" w:rsidRPr="00BA744A" w:rsidRDefault="003318AE" w:rsidP="003318AE">
      <w:pPr>
        <w:spacing w:after="0"/>
        <w:jc w:val="both"/>
        <w:rPr>
          <w:rFonts w:eastAsia="Calibri"/>
          <w:sz w:val="26"/>
          <w:szCs w:val="26"/>
        </w:rPr>
      </w:pPr>
      <w:r w:rsidRPr="00BA744A">
        <w:rPr>
          <w:rFonts w:eastAsia="Calibri"/>
          <w:sz w:val="26"/>
          <w:szCs w:val="26"/>
        </w:rPr>
        <w:t xml:space="preserve">Governor </w:t>
      </w:r>
    </w:p>
    <w:p w14:paraId="5DB07A7D" w14:textId="77777777" w:rsidR="003318AE" w:rsidRPr="00BA744A" w:rsidRDefault="003318AE" w:rsidP="003318AE">
      <w:pPr>
        <w:spacing w:after="0"/>
        <w:jc w:val="both"/>
        <w:rPr>
          <w:rFonts w:eastAsia="Calibri"/>
          <w:sz w:val="26"/>
          <w:szCs w:val="26"/>
        </w:rPr>
      </w:pPr>
      <w:r w:rsidRPr="00BA744A">
        <w:rPr>
          <w:rFonts w:eastAsia="Calibri"/>
          <w:sz w:val="26"/>
          <w:szCs w:val="26"/>
        </w:rPr>
        <w:t xml:space="preserve">Bank of England </w:t>
      </w:r>
    </w:p>
    <w:p w14:paraId="5657ED2B" w14:textId="77777777" w:rsidR="003318AE" w:rsidRPr="00BA744A" w:rsidRDefault="003318AE" w:rsidP="003318AE">
      <w:pPr>
        <w:spacing w:after="0"/>
        <w:jc w:val="both"/>
        <w:rPr>
          <w:rFonts w:eastAsia="Calibri"/>
          <w:sz w:val="26"/>
          <w:szCs w:val="26"/>
        </w:rPr>
      </w:pPr>
      <w:r w:rsidRPr="00BA744A">
        <w:rPr>
          <w:rFonts w:eastAsia="Calibri"/>
          <w:sz w:val="26"/>
          <w:szCs w:val="26"/>
        </w:rPr>
        <w:t xml:space="preserve">Threadneedle Street </w:t>
      </w:r>
    </w:p>
    <w:p w14:paraId="063269B5" w14:textId="77777777" w:rsidR="003318AE" w:rsidRPr="00BA744A" w:rsidRDefault="003318AE" w:rsidP="003318AE">
      <w:pPr>
        <w:spacing w:after="0"/>
        <w:jc w:val="both"/>
        <w:rPr>
          <w:rFonts w:eastAsia="Calibri"/>
          <w:sz w:val="26"/>
          <w:szCs w:val="26"/>
        </w:rPr>
      </w:pPr>
      <w:r w:rsidRPr="00BA744A">
        <w:rPr>
          <w:rFonts w:eastAsia="Calibri"/>
          <w:sz w:val="26"/>
          <w:szCs w:val="26"/>
        </w:rPr>
        <w:t xml:space="preserve">London </w:t>
      </w:r>
    </w:p>
    <w:p w14:paraId="570E0B7C" w14:textId="77777777" w:rsidR="003318AE" w:rsidRPr="00BA744A" w:rsidRDefault="003318AE" w:rsidP="003318AE">
      <w:pPr>
        <w:spacing w:after="0"/>
        <w:jc w:val="both"/>
        <w:rPr>
          <w:rFonts w:eastAsia="Calibri"/>
          <w:sz w:val="26"/>
          <w:szCs w:val="26"/>
        </w:rPr>
      </w:pPr>
      <w:r w:rsidRPr="00BA744A">
        <w:rPr>
          <w:rFonts w:eastAsia="Calibri"/>
          <w:sz w:val="26"/>
          <w:szCs w:val="26"/>
        </w:rPr>
        <w:t>EC2R 8AH</w:t>
      </w:r>
    </w:p>
    <w:p w14:paraId="50DB7FDE" w14:textId="77777777" w:rsidR="003318AE" w:rsidRPr="00BA744A" w:rsidRDefault="003318AE" w:rsidP="003318AE">
      <w:pPr>
        <w:spacing w:after="0"/>
        <w:jc w:val="both"/>
        <w:rPr>
          <w:rFonts w:eastAsia="Calibri"/>
          <w:sz w:val="26"/>
          <w:szCs w:val="26"/>
        </w:rPr>
      </w:pPr>
    </w:p>
    <w:p w14:paraId="0FC5501A" w14:textId="77777777" w:rsidR="003318AE" w:rsidRPr="00BA744A" w:rsidRDefault="003318AE" w:rsidP="003318AE">
      <w:pPr>
        <w:spacing w:after="0"/>
        <w:jc w:val="both"/>
        <w:rPr>
          <w:rFonts w:eastAsia="Calibri"/>
          <w:sz w:val="26"/>
          <w:szCs w:val="26"/>
        </w:rPr>
      </w:pPr>
    </w:p>
    <w:p w14:paraId="1F9EB0DE" w14:textId="77777777" w:rsidR="003318AE" w:rsidRPr="00BA744A" w:rsidRDefault="003318AE" w:rsidP="003318AE">
      <w:pPr>
        <w:spacing w:after="0"/>
        <w:jc w:val="both"/>
        <w:rPr>
          <w:rFonts w:eastAsia="Calibri"/>
          <w:sz w:val="26"/>
          <w:szCs w:val="26"/>
        </w:rPr>
      </w:pPr>
    </w:p>
    <w:p w14:paraId="4E62D88F" w14:textId="5F429AAC" w:rsidR="00DA26E8" w:rsidRPr="00DA26E8" w:rsidRDefault="00DA26E8" w:rsidP="00AB1867">
      <w:pPr>
        <w:autoSpaceDE w:val="0"/>
        <w:autoSpaceDN w:val="0"/>
        <w:adjustRightInd w:val="0"/>
        <w:spacing w:after="0"/>
        <w:rPr>
          <w:rFonts w:eastAsia="Calibri" w:cs="Humanist777BT-LightB2"/>
          <w:bCs/>
          <w:sz w:val="26"/>
          <w:szCs w:val="26"/>
        </w:rPr>
      </w:pPr>
      <w:r w:rsidRPr="00DA26E8">
        <w:rPr>
          <w:rFonts w:eastAsia="Calibri" w:cs="Humanist777BT-LightB2"/>
          <w:bCs/>
          <w:sz w:val="26"/>
          <w:szCs w:val="26"/>
        </w:rPr>
        <w:t xml:space="preserve">Dear Mark, </w:t>
      </w:r>
    </w:p>
    <w:p w14:paraId="19349CBE" w14:textId="77777777" w:rsidR="00DA26E8" w:rsidRDefault="00DA26E8" w:rsidP="00AB1867">
      <w:pPr>
        <w:autoSpaceDE w:val="0"/>
        <w:autoSpaceDN w:val="0"/>
        <w:adjustRightInd w:val="0"/>
        <w:spacing w:after="0"/>
        <w:rPr>
          <w:rFonts w:eastAsia="Calibri" w:cs="Humanist777BT-LightB2"/>
          <w:b/>
          <w:sz w:val="26"/>
          <w:szCs w:val="26"/>
        </w:rPr>
      </w:pPr>
    </w:p>
    <w:p w14:paraId="1C7AFC5B" w14:textId="4AF905DD" w:rsidR="00AB1867" w:rsidRPr="00AB1867" w:rsidRDefault="00AB1867" w:rsidP="005D28A8">
      <w:pPr>
        <w:autoSpaceDE w:val="0"/>
        <w:autoSpaceDN w:val="0"/>
        <w:adjustRightInd w:val="0"/>
        <w:spacing w:after="0"/>
        <w:jc w:val="both"/>
        <w:rPr>
          <w:rFonts w:eastAsia="Calibri" w:cs="Humanist777BT-LightB2"/>
          <w:b/>
          <w:sz w:val="26"/>
          <w:szCs w:val="26"/>
        </w:rPr>
      </w:pPr>
      <w:r w:rsidRPr="00AB1867">
        <w:rPr>
          <w:rFonts w:eastAsia="Calibri" w:cs="Humanist777BT-LightB2"/>
          <w:b/>
          <w:sz w:val="26"/>
          <w:szCs w:val="26"/>
        </w:rPr>
        <w:t>RECOMMENDATIONS FOR THE PRUDENTIAL REGULATION COMMITTEE</w:t>
      </w:r>
    </w:p>
    <w:p w14:paraId="352FFA10" w14:textId="77777777" w:rsidR="00AB1867" w:rsidRPr="00AB1867" w:rsidRDefault="00AB1867" w:rsidP="00AB1867">
      <w:pPr>
        <w:autoSpaceDE w:val="0"/>
        <w:autoSpaceDN w:val="0"/>
        <w:adjustRightInd w:val="0"/>
        <w:rPr>
          <w:rFonts w:eastAsia="Calibri" w:cs="Humanist777BT-LightB2"/>
          <w:sz w:val="26"/>
          <w:szCs w:val="26"/>
        </w:rPr>
      </w:pPr>
    </w:p>
    <w:p w14:paraId="0C990AD6" w14:textId="25D185D2" w:rsidR="00AB1867" w:rsidRPr="00AB1867" w:rsidRDefault="00AB1867" w:rsidP="00AB1867">
      <w:pPr>
        <w:autoSpaceDE w:val="0"/>
        <w:autoSpaceDN w:val="0"/>
        <w:adjustRightInd w:val="0"/>
        <w:jc w:val="both"/>
        <w:rPr>
          <w:rFonts w:eastAsia="Calibri" w:cs="Humnst777 Lt BT"/>
          <w:sz w:val="26"/>
          <w:szCs w:val="26"/>
        </w:rPr>
      </w:pPr>
      <w:r w:rsidRPr="00AB1867">
        <w:rPr>
          <w:rFonts w:eastAsia="Calibri" w:cs="Humnst777 Lt BT"/>
          <w:sz w:val="26"/>
          <w:szCs w:val="26"/>
        </w:rPr>
        <w:t>The Bank of England Act 1998 requires the Treasury, at least once in each Parliament, to make recommendations to the Prudential Regulation Committee (PRC) about aspects of the economic policy of the government to which the PRC should have regard when considering how to advance the objectives of the Prudential Regulation Authority and when considering the application of the regulatory principles set out in the Financial Services and Markets Act 2000.</w:t>
      </w:r>
      <w:r w:rsidR="007E75A0" w:rsidRPr="007E75A0">
        <w:t xml:space="preserve"> </w:t>
      </w:r>
      <w:bookmarkStart w:id="0" w:name="_Hlk23441054"/>
      <w:r w:rsidR="007E75A0" w:rsidRPr="007E75A0">
        <w:rPr>
          <w:rFonts w:eastAsia="Calibri" w:cs="Humnst777 Lt BT"/>
          <w:sz w:val="26"/>
          <w:szCs w:val="26"/>
        </w:rPr>
        <w:t xml:space="preserve">This letter will also be presented to Parliament pursuant to section </w:t>
      </w:r>
      <w:r w:rsidR="007E75A0">
        <w:rPr>
          <w:rFonts w:eastAsia="Calibri" w:cs="Humnst777 Lt BT"/>
          <w:sz w:val="26"/>
          <w:szCs w:val="26"/>
        </w:rPr>
        <w:t>30B</w:t>
      </w:r>
      <w:r w:rsidR="007E75A0" w:rsidRPr="007E75A0">
        <w:rPr>
          <w:rFonts w:eastAsia="Calibri" w:cs="Humnst777 Lt BT"/>
          <w:sz w:val="26"/>
          <w:szCs w:val="26"/>
        </w:rPr>
        <w:t>(3) of the Bank of England Act 1998.</w:t>
      </w:r>
      <w:bookmarkEnd w:id="0"/>
    </w:p>
    <w:p w14:paraId="6641711B" w14:textId="77777777" w:rsidR="00AB1867" w:rsidRPr="00AB1867" w:rsidRDefault="00AB1867" w:rsidP="00AB1867">
      <w:pPr>
        <w:autoSpaceDE w:val="0"/>
        <w:autoSpaceDN w:val="0"/>
        <w:adjustRightInd w:val="0"/>
        <w:jc w:val="both"/>
        <w:rPr>
          <w:rFonts w:eastAsia="Calibri" w:cs="Humnst777 Lt BT"/>
          <w:sz w:val="26"/>
          <w:szCs w:val="26"/>
        </w:rPr>
      </w:pPr>
      <w:r w:rsidRPr="00AB1867">
        <w:rPr>
          <w:rFonts w:eastAsia="Calibri" w:cs="Humnst777 Lt BT"/>
          <w:sz w:val="26"/>
          <w:szCs w:val="26"/>
        </w:rPr>
        <w:t>The last letter to the PRC was sent by my predecessor on 8 March 2017 and so there has not yet been a letter in this Parliament. I am issuing this letter today to fulfil the Treasury’s statutory requirements detailed above. The Treasury will issue a further letter of recommendations at the next appropriate opportunity under the next Parliament.</w:t>
      </w:r>
    </w:p>
    <w:p w14:paraId="779D0FF1" w14:textId="67D953F7" w:rsidR="00AB1867" w:rsidRPr="00AB1867" w:rsidRDefault="00AB1867" w:rsidP="00AB1867">
      <w:pPr>
        <w:autoSpaceDE w:val="0"/>
        <w:autoSpaceDN w:val="0"/>
        <w:adjustRightInd w:val="0"/>
        <w:jc w:val="both"/>
        <w:rPr>
          <w:rFonts w:eastAsia="Calibri" w:cs="Humnst777 Lt BT"/>
          <w:sz w:val="26"/>
          <w:szCs w:val="26"/>
        </w:rPr>
      </w:pPr>
      <w:r w:rsidRPr="00AB1867">
        <w:rPr>
          <w:rFonts w:eastAsia="Calibri" w:cs="Humnst777 Lt BT"/>
          <w:sz w:val="26"/>
          <w:szCs w:val="26"/>
        </w:rPr>
        <w:t>I confirm that the government’s economic policy objective remains to achieve strong, sustainable and balanced growth. Price and financial stability are essential pre-requisites for</w:t>
      </w:r>
      <w:r w:rsidR="0077565F">
        <w:rPr>
          <w:rFonts w:eastAsia="Calibri" w:cs="Humnst777 Lt BT"/>
          <w:sz w:val="26"/>
          <w:szCs w:val="26"/>
        </w:rPr>
        <w:t xml:space="preserve"> </w:t>
      </w:r>
      <w:r w:rsidRPr="00AB1867">
        <w:rPr>
          <w:rFonts w:eastAsia="Calibri" w:cs="Humnst777 Lt BT"/>
          <w:sz w:val="26"/>
          <w:szCs w:val="26"/>
        </w:rPr>
        <w:t xml:space="preserve">strong, sustainable and balanced growth in all regions and sectors of the economy. </w:t>
      </w:r>
      <w:r w:rsidR="0067234C" w:rsidRPr="001919E4">
        <w:rPr>
          <w:sz w:val="26"/>
          <w:szCs w:val="26"/>
        </w:rPr>
        <w:t>It</w:t>
      </w:r>
      <w:r w:rsidR="0067234C">
        <w:rPr>
          <w:sz w:val="26"/>
          <w:szCs w:val="26"/>
        </w:rPr>
        <w:t xml:space="preserve"> is</w:t>
      </w:r>
      <w:r w:rsidR="0067234C" w:rsidRPr="001919E4">
        <w:rPr>
          <w:sz w:val="26"/>
          <w:szCs w:val="26"/>
        </w:rPr>
        <w:t xml:space="preserve"> important to have an open and competitive economy which allows free enterprise to flourish</w:t>
      </w:r>
      <w:r w:rsidR="0067234C">
        <w:rPr>
          <w:sz w:val="26"/>
          <w:szCs w:val="26"/>
        </w:rPr>
        <w:t xml:space="preserve">. </w:t>
      </w:r>
      <w:r w:rsidRPr="00AB1867">
        <w:rPr>
          <w:rFonts w:eastAsia="Calibri" w:cs="Humnst777 Lt BT"/>
          <w:sz w:val="26"/>
          <w:szCs w:val="26"/>
        </w:rPr>
        <w:t xml:space="preserve">The specification of the government’s economic strategy can be found in section A of the annex to this letter. The government is also committed to UK financial services being effectively regulated; </w:t>
      </w:r>
      <w:r w:rsidRPr="00AB1867">
        <w:rPr>
          <w:rFonts w:eastAsia="Calibri" w:cs="Humnst777 Lt BT"/>
          <w:sz w:val="26"/>
          <w:szCs w:val="26"/>
        </w:rPr>
        <w:lastRenderedPageBreak/>
        <w:t>securing the right balance between a financial sector that is globally competitive, works for consumers, and is secure over the long-term.</w:t>
      </w:r>
    </w:p>
    <w:p w14:paraId="5F798969" w14:textId="77777777" w:rsidR="00AB1867" w:rsidRPr="00AB1867" w:rsidRDefault="00AB1867" w:rsidP="00AB1867">
      <w:pPr>
        <w:autoSpaceDE w:val="0"/>
        <w:autoSpaceDN w:val="0"/>
        <w:adjustRightInd w:val="0"/>
        <w:jc w:val="both"/>
        <w:rPr>
          <w:rFonts w:eastAsia="Calibri" w:cs="Humnst777 Lt BT"/>
          <w:sz w:val="26"/>
          <w:szCs w:val="26"/>
        </w:rPr>
      </w:pPr>
      <w:r w:rsidRPr="00AB1867">
        <w:rPr>
          <w:rFonts w:eastAsia="Calibri" w:cs="Humnst777 Lt BT"/>
          <w:sz w:val="26"/>
          <w:szCs w:val="26"/>
        </w:rPr>
        <w:t>The PRC’s main contribution to this economic policy is by promoting the safety and soundness of firms, thereby maintaining and enhancing financial stability in the UK. The PRC should, as appropriate, work with the Financial Policy Committee, Monetary Policy Committee and the Financial Conduct Authority. A strong, stable and competitive financial system supports economic growth, facilitates productive investment and underpins the UK’s position as an important global financial centre.</w:t>
      </w:r>
    </w:p>
    <w:p w14:paraId="00AA1549" w14:textId="77777777" w:rsidR="00D44837" w:rsidRDefault="00AB1867" w:rsidP="007F62E4">
      <w:pPr>
        <w:spacing w:line="259" w:lineRule="auto"/>
        <w:jc w:val="both"/>
        <w:rPr>
          <w:rFonts w:eastAsia="Calibri"/>
          <w:sz w:val="26"/>
          <w:szCs w:val="26"/>
        </w:rPr>
      </w:pPr>
      <w:r w:rsidRPr="00AB1867">
        <w:rPr>
          <w:rFonts w:eastAsia="Calibri"/>
          <w:sz w:val="26"/>
          <w:szCs w:val="26"/>
        </w:rPr>
        <w:t>I am grateful to you and all the members of the PRC for your continuing good work and dedication.</w:t>
      </w:r>
    </w:p>
    <w:p w14:paraId="36EFBD58" w14:textId="77777777" w:rsidR="00D44837" w:rsidRDefault="00D44837" w:rsidP="007F62E4">
      <w:pPr>
        <w:spacing w:line="259" w:lineRule="auto"/>
        <w:jc w:val="both"/>
        <w:rPr>
          <w:rFonts w:eastAsia="Calibri"/>
          <w:sz w:val="26"/>
          <w:szCs w:val="26"/>
        </w:rPr>
      </w:pPr>
    </w:p>
    <w:p w14:paraId="5B227087" w14:textId="77777777" w:rsidR="00D44837" w:rsidRDefault="00D44837" w:rsidP="00D44837">
      <w:pPr>
        <w:spacing w:after="160" w:line="254" w:lineRule="auto"/>
        <w:jc w:val="center"/>
        <w:rPr>
          <w:rFonts w:eastAsia="Calibri"/>
          <w:b/>
          <w:caps/>
          <w:szCs w:val="28"/>
        </w:rPr>
      </w:pPr>
      <w:r>
        <w:rPr>
          <w:rFonts w:eastAsia="Calibri"/>
          <w:b/>
          <w:caps/>
          <w:szCs w:val="28"/>
        </w:rPr>
        <w:t>SAJID JAVID</w:t>
      </w:r>
    </w:p>
    <w:p w14:paraId="062B014F" w14:textId="17FF4466" w:rsidR="00AB1867" w:rsidRPr="007F62E4" w:rsidRDefault="00AB1867" w:rsidP="00D44837">
      <w:pPr>
        <w:spacing w:line="259" w:lineRule="auto"/>
        <w:jc w:val="center"/>
        <w:rPr>
          <w:rFonts w:eastAsia="Calibri"/>
          <w:sz w:val="26"/>
          <w:szCs w:val="26"/>
        </w:rPr>
      </w:pPr>
      <w:bookmarkStart w:id="1" w:name="_GoBack"/>
      <w:bookmarkEnd w:id="1"/>
      <w:r w:rsidRPr="00AB1867">
        <w:rPr>
          <w:rFonts w:eastAsia="Calibri" w:cs="Humanist777BT-LightB2"/>
          <w:sz w:val="26"/>
          <w:szCs w:val="26"/>
        </w:rPr>
        <w:br w:type="page"/>
      </w:r>
    </w:p>
    <w:p w14:paraId="3ADDEE38" w14:textId="77777777" w:rsidR="00AB1867" w:rsidRPr="00AB1867" w:rsidRDefault="00AB1867" w:rsidP="00AB1867">
      <w:pPr>
        <w:autoSpaceDE w:val="0"/>
        <w:autoSpaceDN w:val="0"/>
        <w:adjustRightInd w:val="0"/>
        <w:spacing w:after="0"/>
        <w:rPr>
          <w:rFonts w:eastAsia="Calibri" w:cs="Humanist777BT-LightB2"/>
          <w:b/>
          <w:bCs/>
          <w:sz w:val="26"/>
          <w:szCs w:val="26"/>
        </w:rPr>
      </w:pPr>
      <w:r w:rsidRPr="00AB1867">
        <w:rPr>
          <w:rFonts w:eastAsia="Calibri" w:cs="Humanist777BT-LightB2"/>
          <w:b/>
          <w:bCs/>
          <w:sz w:val="26"/>
          <w:szCs w:val="26"/>
        </w:rPr>
        <w:lastRenderedPageBreak/>
        <w:t xml:space="preserve">RECOMMENDATIONS FOR THE PRUDENTIAL REGULATION COMMITTEE </w:t>
      </w:r>
    </w:p>
    <w:p w14:paraId="6F08AEDC" w14:textId="77777777" w:rsidR="00AB1867" w:rsidRPr="00AB1867" w:rsidRDefault="00AB1867" w:rsidP="00AB1867">
      <w:pPr>
        <w:autoSpaceDE w:val="0"/>
        <w:autoSpaceDN w:val="0"/>
        <w:adjustRightInd w:val="0"/>
        <w:spacing w:after="0"/>
        <w:rPr>
          <w:rFonts w:eastAsia="Calibri" w:cs="Humanist777BT-LightB2"/>
          <w:sz w:val="26"/>
          <w:szCs w:val="26"/>
        </w:rPr>
      </w:pPr>
    </w:p>
    <w:p w14:paraId="3B2929EE" w14:textId="77777777" w:rsidR="00AB1867" w:rsidRPr="00AB1867" w:rsidRDefault="00AB1867" w:rsidP="00AB1867">
      <w:pPr>
        <w:autoSpaceDE w:val="0"/>
        <w:autoSpaceDN w:val="0"/>
        <w:adjustRightInd w:val="0"/>
        <w:spacing w:after="0"/>
        <w:rPr>
          <w:rFonts w:eastAsia="Calibri" w:cs="Humanist777BT-LightB2"/>
          <w:sz w:val="26"/>
          <w:szCs w:val="26"/>
        </w:rPr>
      </w:pPr>
      <w:r w:rsidRPr="00AB1867">
        <w:rPr>
          <w:rFonts w:eastAsia="Calibri" w:cs="Humanist777BT-LightB2"/>
          <w:sz w:val="26"/>
          <w:szCs w:val="26"/>
        </w:rPr>
        <w:t xml:space="preserve">The Financial Services and Markets Act 2000 (“the Act”) sets out the objectives of the Prudential Regulation Authority (“the PRA”). </w:t>
      </w:r>
    </w:p>
    <w:p w14:paraId="353A5A9D" w14:textId="77777777" w:rsidR="00AB1867" w:rsidRPr="00AB1867" w:rsidRDefault="00AB1867" w:rsidP="00AB1867">
      <w:pPr>
        <w:autoSpaceDE w:val="0"/>
        <w:autoSpaceDN w:val="0"/>
        <w:adjustRightInd w:val="0"/>
        <w:spacing w:after="0"/>
        <w:rPr>
          <w:rFonts w:eastAsia="Calibri" w:cs="Humanist777BT-LightB2"/>
          <w:sz w:val="26"/>
          <w:szCs w:val="26"/>
        </w:rPr>
      </w:pPr>
    </w:p>
    <w:p w14:paraId="1AB319FF" w14:textId="77777777" w:rsidR="00AB1867" w:rsidRPr="00AB1867" w:rsidRDefault="00AB1867" w:rsidP="00AB1867">
      <w:pPr>
        <w:autoSpaceDE w:val="0"/>
        <w:autoSpaceDN w:val="0"/>
        <w:adjustRightInd w:val="0"/>
        <w:spacing w:after="0"/>
        <w:rPr>
          <w:rFonts w:eastAsia="Calibri" w:cs="Humanist777BT-LightB2"/>
          <w:sz w:val="26"/>
          <w:szCs w:val="26"/>
        </w:rPr>
      </w:pPr>
      <w:r w:rsidRPr="00AB1867">
        <w:rPr>
          <w:rFonts w:eastAsia="Calibri" w:cs="Humanist777BT-LightB2"/>
          <w:sz w:val="26"/>
          <w:szCs w:val="26"/>
        </w:rPr>
        <w:t xml:space="preserve">The PRA has a single general objective of promoting the safety and soundness of the firms it regulates, through ensuring that firms’ business is carried on in a way which avoids any adverse effect on the stability of the UK financial system and minimising the risk they pose to financial stability. The PRA has an additional insurance objective of contributing to the securing of an appropriate degree of protection for those who are or may become policyholders. </w:t>
      </w:r>
    </w:p>
    <w:p w14:paraId="63F900C2" w14:textId="77777777" w:rsidR="00AB1867" w:rsidRPr="00AB1867" w:rsidRDefault="00AB1867" w:rsidP="00AB1867">
      <w:pPr>
        <w:autoSpaceDE w:val="0"/>
        <w:autoSpaceDN w:val="0"/>
        <w:adjustRightInd w:val="0"/>
        <w:spacing w:after="0"/>
        <w:rPr>
          <w:rFonts w:eastAsia="Calibri" w:cs="Humanist777BT-LightB2"/>
          <w:sz w:val="26"/>
          <w:szCs w:val="26"/>
        </w:rPr>
      </w:pPr>
    </w:p>
    <w:p w14:paraId="629F0A5C" w14:textId="77777777" w:rsidR="00AB1867" w:rsidRPr="00AB1867" w:rsidRDefault="00AB1867" w:rsidP="00AB1867">
      <w:pPr>
        <w:autoSpaceDE w:val="0"/>
        <w:autoSpaceDN w:val="0"/>
        <w:adjustRightInd w:val="0"/>
        <w:spacing w:after="0"/>
        <w:rPr>
          <w:rFonts w:eastAsia="Calibri" w:cs="Humanist777BT-LightB2"/>
          <w:sz w:val="26"/>
          <w:szCs w:val="26"/>
        </w:rPr>
      </w:pPr>
      <w:r w:rsidRPr="00AB1867">
        <w:rPr>
          <w:rFonts w:eastAsia="Calibri" w:cs="Humanist777BT-LightB2"/>
          <w:sz w:val="26"/>
          <w:szCs w:val="26"/>
        </w:rPr>
        <w:t>The PRA has a secondary competition objective which requires it, when discharging its general functions in a way that advances its objectives, so far as is reasonably possible, to act in a way which facilitates effective competition in the markets for services provided by the firms it regulates.</w:t>
      </w:r>
    </w:p>
    <w:p w14:paraId="0A5D5D3E" w14:textId="77777777" w:rsidR="00AB1867" w:rsidRPr="00AB1867" w:rsidRDefault="00AB1867" w:rsidP="00AB1867">
      <w:pPr>
        <w:autoSpaceDE w:val="0"/>
        <w:autoSpaceDN w:val="0"/>
        <w:adjustRightInd w:val="0"/>
        <w:spacing w:after="0"/>
        <w:rPr>
          <w:rFonts w:eastAsia="Calibri" w:cs="Humanist777BT-LightB2"/>
          <w:sz w:val="26"/>
          <w:szCs w:val="26"/>
        </w:rPr>
      </w:pPr>
    </w:p>
    <w:p w14:paraId="3ACEC3A1" w14:textId="77777777" w:rsidR="00AB1867" w:rsidRPr="00AB1867" w:rsidRDefault="00AB1867" w:rsidP="00E34C3D">
      <w:pPr>
        <w:autoSpaceDE w:val="0"/>
        <w:autoSpaceDN w:val="0"/>
        <w:adjustRightInd w:val="0"/>
        <w:rPr>
          <w:rFonts w:eastAsia="Calibri" w:cs="Humanist777BT-LightB2"/>
          <w:sz w:val="26"/>
          <w:szCs w:val="26"/>
        </w:rPr>
      </w:pPr>
      <w:r w:rsidRPr="00AB1867">
        <w:rPr>
          <w:rFonts w:eastAsia="Calibri" w:cs="Humanist777BT-LightB2"/>
          <w:sz w:val="26"/>
          <w:szCs w:val="26"/>
        </w:rPr>
        <w:t>In discharging its general functions, the PRA must also have regard to the regulatory principles set out in Section 3B of the Act, which are:</w:t>
      </w:r>
    </w:p>
    <w:p w14:paraId="2933C27E" w14:textId="77777777" w:rsidR="00AB1867" w:rsidRPr="00AB1867" w:rsidRDefault="00AB1867" w:rsidP="00AB1867">
      <w:pPr>
        <w:numPr>
          <w:ilvl w:val="0"/>
          <w:numId w:val="22"/>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the need to use the resources of each regulator in the most efficient and </w:t>
      </w:r>
      <w:proofErr w:type="spellStart"/>
      <w:r w:rsidRPr="00AB1867">
        <w:rPr>
          <w:rFonts w:eastAsia="Calibri" w:cs="Humanist777BT-LightB2"/>
          <w:sz w:val="26"/>
          <w:szCs w:val="26"/>
        </w:rPr>
        <w:t>economic</w:t>
      </w:r>
      <w:proofErr w:type="spellEnd"/>
      <w:r w:rsidRPr="00AB1867">
        <w:rPr>
          <w:rFonts w:eastAsia="Calibri" w:cs="Humanist777BT-LightB2"/>
          <w:sz w:val="26"/>
          <w:szCs w:val="26"/>
        </w:rPr>
        <w:t xml:space="preserve"> way;</w:t>
      </w:r>
    </w:p>
    <w:p w14:paraId="41B92ECB" w14:textId="77777777" w:rsidR="00AB1867" w:rsidRPr="00AB1867" w:rsidRDefault="00AB1867" w:rsidP="00AB1867">
      <w:pPr>
        <w:numPr>
          <w:ilvl w:val="0"/>
          <w:numId w:val="22"/>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 the principle that a burden or restriction which is imposed on a person, or on the carrying on of an activity, should be proportionate to the benefits, considered in general terms, which are expected to result from the imposition of that burden or restriction; </w:t>
      </w:r>
    </w:p>
    <w:p w14:paraId="78450579" w14:textId="77777777" w:rsidR="00AB1867" w:rsidRPr="00AB1867" w:rsidRDefault="00AB1867" w:rsidP="00AB1867">
      <w:pPr>
        <w:numPr>
          <w:ilvl w:val="0"/>
          <w:numId w:val="22"/>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the desirability of sustainable growth in the economy of the United Kingdom in the medium or long term; </w:t>
      </w:r>
    </w:p>
    <w:p w14:paraId="0AEFEA19" w14:textId="77777777" w:rsidR="00AB1867" w:rsidRPr="00AB1867" w:rsidRDefault="00AB1867" w:rsidP="00AB1867">
      <w:pPr>
        <w:numPr>
          <w:ilvl w:val="0"/>
          <w:numId w:val="22"/>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the general principle that consumers should take responsibility for their decisions; </w:t>
      </w:r>
    </w:p>
    <w:p w14:paraId="30F46D5E" w14:textId="77777777" w:rsidR="00AB1867" w:rsidRPr="00AB1867" w:rsidRDefault="00AB1867" w:rsidP="00AB1867">
      <w:pPr>
        <w:numPr>
          <w:ilvl w:val="0"/>
          <w:numId w:val="22"/>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the responsibilities of the senior management of persons subject to requirements imposed by or under this Act, including those affecting consumers, in relation to compliance with those requirements; </w:t>
      </w:r>
    </w:p>
    <w:p w14:paraId="2C14700A" w14:textId="77777777" w:rsidR="00AB1867" w:rsidRPr="00AB1867" w:rsidRDefault="00AB1867" w:rsidP="00AB1867">
      <w:pPr>
        <w:numPr>
          <w:ilvl w:val="0"/>
          <w:numId w:val="22"/>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the desirability where appropriate of each regulator exercising its functions in a way that recognises differences in the nature of, and objectives of, businesses carried on by different persons (including different kinds of person such as mutual societies and other kinds of business organisation) subject to requirements imposed by or under this Act; </w:t>
      </w:r>
    </w:p>
    <w:p w14:paraId="271AEEA6" w14:textId="77777777" w:rsidR="00AB1867" w:rsidRPr="00AB1867" w:rsidRDefault="00AB1867" w:rsidP="00AB1867">
      <w:pPr>
        <w:numPr>
          <w:ilvl w:val="0"/>
          <w:numId w:val="22"/>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the desirability in appropriate cases of each regulator publishing information relating to persons on whom requirements are imposed by or under this Act, or requiring such persons to publish information, as a means of contributing to the advancement by each regulator of its objectives; </w:t>
      </w:r>
    </w:p>
    <w:p w14:paraId="4F4226ED" w14:textId="77777777" w:rsidR="00AB1867" w:rsidRPr="00AB1867" w:rsidRDefault="00AB1867" w:rsidP="00AB1867">
      <w:pPr>
        <w:numPr>
          <w:ilvl w:val="0"/>
          <w:numId w:val="22"/>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lastRenderedPageBreak/>
        <w:t xml:space="preserve">the principle that the regulators should exercise their functions as transparently as possible. </w:t>
      </w:r>
    </w:p>
    <w:p w14:paraId="37DC3D05" w14:textId="77777777" w:rsidR="00AB1867" w:rsidRPr="00AB1867" w:rsidRDefault="00AB1867" w:rsidP="00AB1867">
      <w:pPr>
        <w:autoSpaceDE w:val="0"/>
        <w:autoSpaceDN w:val="0"/>
        <w:adjustRightInd w:val="0"/>
        <w:spacing w:after="0"/>
        <w:rPr>
          <w:rFonts w:eastAsia="Calibri" w:cs="Humanist777BT-LightB2"/>
          <w:sz w:val="26"/>
          <w:szCs w:val="26"/>
        </w:rPr>
      </w:pPr>
    </w:p>
    <w:p w14:paraId="171DCA60" w14:textId="77777777" w:rsidR="00AB1867" w:rsidRPr="00AB1867" w:rsidRDefault="00AB1867" w:rsidP="00AB1867">
      <w:pPr>
        <w:autoSpaceDE w:val="0"/>
        <w:autoSpaceDN w:val="0"/>
        <w:adjustRightInd w:val="0"/>
        <w:spacing w:after="0"/>
        <w:rPr>
          <w:rFonts w:eastAsia="Calibri" w:cs="Humanist777BT-LightB2"/>
          <w:sz w:val="26"/>
          <w:szCs w:val="26"/>
        </w:rPr>
      </w:pPr>
      <w:r w:rsidRPr="00AB1867">
        <w:rPr>
          <w:rFonts w:eastAsia="Calibri" w:cs="Humanist777BT-LightB2"/>
          <w:sz w:val="26"/>
          <w:szCs w:val="26"/>
        </w:rPr>
        <w:t xml:space="preserve">Section 30B of the Bank of England Act 1998 (“the 1998 Act”) allows the Treasury to make recommendations to the Prudential Regulation Committee (PRC) about aspects of the economic policy of Her Majesty’s government to which the Committee should have regard when considering— </w:t>
      </w:r>
    </w:p>
    <w:p w14:paraId="6CE98B61" w14:textId="77777777" w:rsidR="00AB1867" w:rsidRPr="00AB1867" w:rsidRDefault="00AB1867" w:rsidP="00AB1867">
      <w:pPr>
        <w:numPr>
          <w:ilvl w:val="0"/>
          <w:numId w:val="23"/>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how to advance the objectives of the PRA, and </w:t>
      </w:r>
    </w:p>
    <w:p w14:paraId="56950584" w14:textId="7480286F" w:rsidR="00AB1867" w:rsidRPr="00AB1867" w:rsidRDefault="00AB1867" w:rsidP="00AB1867">
      <w:pPr>
        <w:numPr>
          <w:ilvl w:val="0"/>
          <w:numId w:val="23"/>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the application of the regulatory principles in section 3B of the Financial Services and Markets Act 2000. </w:t>
      </w:r>
    </w:p>
    <w:p w14:paraId="2E018DC5" w14:textId="77777777" w:rsidR="00AB1867" w:rsidRPr="00AB1867" w:rsidRDefault="00AB1867" w:rsidP="00AB1867">
      <w:pPr>
        <w:autoSpaceDE w:val="0"/>
        <w:autoSpaceDN w:val="0"/>
        <w:adjustRightInd w:val="0"/>
        <w:spacing w:after="0"/>
        <w:rPr>
          <w:rFonts w:eastAsia="Calibri" w:cs="Humanist777BT-LightB2"/>
          <w:sz w:val="26"/>
          <w:szCs w:val="26"/>
        </w:rPr>
      </w:pPr>
    </w:p>
    <w:p w14:paraId="0CA878DD" w14:textId="77777777" w:rsidR="00AB1867" w:rsidRPr="00AB1867" w:rsidRDefault="00AB1867" w:rsidP="00AB1867">
      <w:pPr>
        <w:autoSpaceDE w:val="0"/>
        <w:autoSpaceDN w:val="0"/>
        <w:adjustRightInd w:val="0"/>
        <w:spacing w:after="0"/>
        <w:rPr>
          <w:rFonts w:eastAsia="Calibri" w:cs="Humanist777BT-LightB2"/>
          <w:sz w:val="26"/>
          <w:szCs w:val="26"/>
        </w:rPr>
      </w:pPr>
      <w:r w:rsidRPr="00AB1867">
        <w:rPr>
          <w:rFonts w:eastAsia="Calibri" w:cs="Humanist777BT-LightB2"/>
          <w:sz w:val="26"/>
          <w:szCs w:val="26"/>
        </w:rPr>
        <w:t>This document discharges the Treasury’s duties under section 30B of the 1998 Act.</w:t>
      </w:r>
    </w:p>
    <w:p w14:paraId="363175E6" w14:textId="77777777" w:rsidR="00AB1867" w:rsidRPr="00AB1867" w:rsidRDefault="00AB1867" w:rsidP="00AB1867">
      <w:pPr>
        <w:autoSpaceDE w:val="0"/>
        <w:autoSpaceDN w:val="0"/>
        <w:adjustRightInd w:val="0"/>
        <w:spacing w:after="0"/>
        <w:rPr>
          <w:rFonts w:eastAsia="Calibri" w:cs="Humanist777BT-LightB2"/>
          <w:sz w:val="26"/>
          <w:szCs w:val="26"/>
        </w:rPr>
      </w:pPr>
    </w:p>
    <w:p w14:paraId="2284DA90" w14:textId="77777777" w:rsidR="00AB1867" w:rsidRPr="00AB1867" w:rsidRDefault="00AB1867" w:rsidP="00AB1867">
      <w:pPr>
        <w:numPr>
          <w:ilvl w:val="0"/>
          <w:numId w:val="25"/>
        </w:numPr>
        <w:autoSpaceDE w:val="0"/>
        <w:autoSpaceDN w:val="0"/>
        <w:adjustRightInd w:val="0"/>
        <w:spacing w:after="0" w:line="259" w:lineRule="auto"/>
        <w:contextualSpacing/>
        <w:rPr>
          <w:rFonts w:eastAsia="Calibri" w:cs="Humanist777BT-LightB2"/>
          <w:b/>
          <w:bCs/>
          <w:sz w:val="26"/>
          <w:szCs w:val="26"/>
        </w:rPr>
      </w:pPr>
      <w:r w:rsidRPr="00AB1867">
        <w:rPr>
          <w:rFonts w:eastAsia="Calibri" w:cs="Humanist777BT-LightB2"/>
          <w:b/>
          <w:bCs/>
          <w:sz w:val="26"/>
          <w:szCs w:val="26"/>
        </w:rPr>
        <w:t xml:space="preserve">The government’s economic policy </w:t>
      </w:r>
    </w:p>
    <w:p w14:paraId="5DC19044" w14:textId="77777777" w:rsidR="00AB1867" w:rsidRPr="00AB1867" w:rsidRDefault="00AB1867" w:rsidP="00E34C3D">
      <w:pPr>
        <w:autoSpaceDE w:val="0"/>
        <w:autoSpaceDN w:val="0"/>
        <w:adjustRightInd w:val="0"/>
        <w:spacing w:after="0"/>
        <w:rPr>
          <w:rFonts w:eastAsia="Calibri" w:cs="Humanist777BT-LightB2"/>
          <w:sz w:val="26"/>
          <w:szCs w:val="26"/>
        </w:rPr>
      </w:pPr>
    </w:p>
    <w:p w14:paraId="65C86541" w14:textId="77777777" w:rsidR="00AB1867" w:rsidRPr="00AB1867" w:rsidRDefault="00AB1867" w:rsidP="00AB1867">
      <w:pPr>
        <w:autoSpaceDE w:val="0"/>
        <w:autoSpaceDN w:val="0"/>
        <w:adjustRightInd w:val="0"/>
        <w:spacing w:after="0"/>
        <w:ind w:left="60"/>
        <w:rPr>
          <w:rFonts w:eastAsia="Calibri" w:cs="Humanist777BT-LightB2"/>
          <w:sz w:val="26"/>
          <w:szCs w:val="26"/>
        </w:rPr>
      </w:pPr>
      <w:r w:rsidRPr="00AB1867">
        <w:rPr>
          <w:rFonts w:eastAsia="Calibri" w:cs="Humanist777BT-LightB2"/>
          <w:sz w:val="26"/>
          <w:szCs w:val="26"/>
        </w:rPr>
        <w:t xml:space="preserve">The government’s economic policy objective is to achieve strong, sustainable and balanced growth. Price and financial stability are essential pre-requisites for strong, sustainable and balanced growth in all regions and sectors of the UK economy. </w:t>
      </w:r>
    </w:p>
    <w:p w14:paraId="53E165AC" w14:textId="77777777" w:rsidR="00AB1867" w:rsidRPr="00AB1867" w:rsidRDefault="00AB1867" w:rsidP="00AB1867">
      <w:pPr>
        <w:autoSpaceDE w:val="0"/>
        <w:autoSpaceDN w:val="0"/>
        <w:adjustRightInd w:val="0"/>
        <w:spacing w:after="0"/>
        <w:rPr>
          <w:rFonts w:eastAsia="Calibri" w:cs="Humanist777BT-LightB2"/>
          <w:sz w:val="26"/>
          <w:szCs w:val="26"/>
        </w:rPr>
      </w:pPr>
    </w:p>
    <w:p w14:paraId="09066961" w14:textId="77777777" w:rsidR="00AB1867" w:rsidRPr="00AB1867" w:rsidRDefault="00AB1867" w:rsidP="00E34C3D">
      <w:pPr>
        <w:autoSpaceDE w:val="0"/>
        <w:autoSpaceDN w:val="0"/>
        <w:adjustRightInd w:val="0"/>
        <w:rPr>
          <w:rFonts w:eastAsia="Calibri" w:cs="Humanist777BT-LightB2"/>
          <w:sz w:val="26"/>
          <w:szCs w:val="26"/>
        </w:rPr>
      </w:pPr>
      <w:r w:rsidRPr="00AB1867">
        <w:rPr>
          <w:rFonts w:eastAsia="Calibri" w:cs="Humanist777BT-LightB2"/>
          <w:sz w:val="26"/>
          <w:szCs w:val="26"/>
        </w:rPr>
        <w:t xml:space="preserve">To achieve this objective, the government’s economic strategy consists of: </w:t>
      </w:r>
    </w:p>
    <w:p w14:paraId="5605654F" w14:textId="77777777" w:rsidR="00AB1867" w:rsidRPr="00AB1867" w:rsidRDefault="00AB1867" w:rsidP="00AB1867">
      <w:pPr>
        <w:numPr>
          <w:ilvl w:val="0"/>
          <w:numId w:val="24"/>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operationally independent monetary policy, responsible for maintaining price stability and supporting the economy; </w:t>
      </w:r>
    </w:p>
    <w:p w14:paraId="280C74F2" w14:textId="77777777" w:rsidR="00AB1867" w:rsidRPr="00AB1867" w:rsidRDefault="00AB1867" w:rsidP="00AB1867">
      <w:pPr>
        <w:numPr>
          <w:ilvl w:val="0"/>
          <w:numId w:val="24"/>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a credible fiscal policy, returning the public finances to health, while providing the flexibility to support the economy; </w:t>
      </w:r>
    </w:p>
    <w:p w14:paraId="00EF3B50" w14:textId="77777777" w:rsidR="00AB1867" w:rsidRPr="00AB1867" w:rsidRDefault="00AB1867" w:rsidP="00AB1867">
      <w:pPr>
        <w:numPr>
          <w:ilvl w:val="0"/>
          <w:numId w:val="24"/>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 xml:space="preserve">addressing long-term economic weaknesses in order to sustain high employment, raise productivity, and improve living standards for people across the UK; and </w:t>
      </w:r>
    </w:p>
    <w:p w14:paraId="74C325E7" w14:textId="77777777" w:rsidR="00AB1867" w:rsidRPr="00AB1867" w:rsidRDefault="00AB1867" w:rsidP="00AB1867">
      <w:pPr>
        <w:numPr>
          <w:ilvl w:val="0"/>
          <w:numId w:val="24"/>
        </w:numPr>
        <w:autoSpaceDE w:val="0"/>
        <w:autoSpaceDN w:val="0"/>
        <w:adjustRightInd w:val="0"/>
        <w:spacing w:after="0" w:line="259" w:lineRule="auto"/>
        <w:contextualSpacing/>
        <w:rPr>
          <w:rFonts w:eastAsia="Calibri" w:cs="Humanist777BT-LightB2"/>
          <w:sz w:val="26"/>
          <w:szCs w:val="26"/>
        </w:rPr>
      </w:pPr>
      <w:r w:rsidRPr="00AB1867">
        <w:rPr>
          <w:rFonts w:eastAsia="Calibri" w:cs="Humanist777BT-LightB2"/>
          <w:sz w:val="26"/>
          <w:szCs w:val="26"/>
        </w:rPr>
        <w:t>continuing to strengthen the financial system, improving the regulatory framework to reduce risks to the taxpayer and building resilience, so that it can provide finance and financial services to the real economy and realise better outcomes for consumers, supporting sustainable economic growth and encouraging productive investment.</w:t>
      </w:r>
    </w:p>
    <w:p w14:paraId="7D9217CF" w14:textId="77777777" w:rsidR="00AB1867" w:rsidRPr="00AB1867" w:rsidRDefault="00AB1867" w:rsidP="00AB1867">
      <w:pPr>
        <w:autoSpaceDE w:val="0"/>
        <w:autoSpaceDN w:val="0"/>
        <w:adjustRightInd w:val="0"/>
        <w:spacing w:after="0"/>
        <w:rPr>
          <w:rFonts w:eastAsia="Calibri" w:cs="Humanist777BT-LightB2"/>
          <w:sz w:val="26"/>
          <w:szCs w:val="26"/>
        </w:rPr>
      </w:pPr>
    </w:p>
    <w:p w14:paraId="7CBF6A2E" w14:textId="77777777" w:rsidR="00E2405D" w:rsidRDefault="00E2405D">
      <w:pPr>
        <w:spacing w:after="160" w:line="259" w:lineRule="auto"/>
        <w:rPr>
          <w:rFonts w:eastAsia="Calibri" w:cs="Humanist777BT-LightB2"/>
          <w:b/>
          <w:bCs/>
          <w:sz w:val="26"/>
          <w:szCs w:val="26"/>
        </w:rPr>
      </w:pPr>
      <w:r>
        <w:rPr>
          <w:rFonts w:eastAsia="Calibri" w:cs="Humanist777BT-LightB2"/>
          <w:b/>
          <w:bCs/>
          <w:sz w:val="26"/>
          <w:szCs w:val="26"/>
        </w:rPr>
        <w:br w:type="page"/>
      </w:r>
    </w:p>
    <w:p w14:paraId="68A8668B" w14:textId="5EBC66C5" w:rsidR="00AB1867" w:rsidRPr="00AB1867" w:rsidRDefault="00AB1867" w:rsidP="00AB1867">
      <w:pPr>
        <w:autoSpaceDE w:val="0"/>
        <w:autoSpaceDN w:val="0"/>
        <w:adjustRightInd w:val="0"/>
        <w:spacing w:after="0"/>
        <w:rPr>
          <w:rFonts w:eastAsia="Calibri" w:cs="Humanist777BT-LightB2"/>
          <w:b/>
          <w:bCs/>
          <w:sz w:val="26"/>
          <w:szCs w:val="26"/>
        </w:rPr>
      </w:pPr>
      <w:r w:rsidRPr="00AB1867">
        <w:rPr>
          <w:rFonts w:eastAsia="Calibri" w:cs="Humanist777BT-LightB2"/>
          <w:b/>
          <w:bCs/>
          <w:sz w:val="26"/>
          <w:szCs w:val="26"/>
        </w:rPr>
        <w:lastRenderedPageBreak/>
        <w:t>B. Matters about aspects of the government’s economic policy to which the Prudential Regulation Committee should have regard.</w:t>
      </w:r>
    </w:p>
    <w:p w14:paraId="1F72D690" w14:textId="77777777" w:rsidR="00AB1867" w:rsidRPr="005B7A40" w:rsidRDefault="00AB1867" w:rsidP="00AB1867">
      <w:pPr>
        <w:autoSpaceDE w:val="0"/>
        <w:autoSpaceDN w:val="0"/>
        <w:adjustRightInd w:val="0"/>
        <w:spacing w:after="0"/>
        <w:rPr>
          <w:rFonts w:eastAsia="Calibri" w:cs="Humanist777BT-LightB2"/>
          <w:sz w:val="16"/>
          <w:szCs w:val="16"/>
        </w:rPr>
      </w:pPr>
    </w:p>
    <w:p w14:paraId="139E13A7" w14:textId="77777777" w:rsidR="00AB1867" w:rsidRPr="00AB1867" w:rsidRDefault="00AB1867" w:rsidP="00AB1867">
      <w:pPr>
        <w:autoSpaceDE w:val="0"/>
        <w:autoSpaceDN w:val="0"/>
        <w:adjustRightInd w:val="0"/>
        <w:spacing w:after="0"/>
        <w:rPr>
          <w:rFonts w:eastAsia="Calibri" w:cs="Humanist777BT-LightB2"/>
          <w:sz w:val="26"/>
          <w:szCs w:val="26"/>
        </w:rPr>
      </w:pPr>
      <w:r w:rsidRPr="00AB1867">
        <w:rPr>
          <w:rFonts w:eastAsia="Calibri" w:cs="Humanist777BT-LightB2"/>
          <w:sz w:val="26"/>
          <w:szCs w:val="26"/>
        </w:rPr>
        <w:t>When the PRC considers how to advance the objectives of the PRA and apply the regulatory principles it should, where relevant and practical, take the following considerations into account, in their assessment of the costs, burdens and benefits of potential rules or policies.</w:t>
      </w:r>
    </w:p>
    <w:p w14:paraId="3264B021" w14:textId="77777777" w:rsidR="00AB1867" w:rsidRPr="005B7A40" w:rsidRDefault="00AB1867" w:rsidP="00AB1867">
      <w:pPr>
        <w:autoSpaceDE w:val="0"/>
        <w:autoSpaceDN w:val="0"/>
        <w:adjustRightInd w:val="0"/>
        <w:spacing w:after="0"/>
        <w:rPr>
          <w:rFonts w:eastAsia="Calibri" w:cs="Humanist777BT-LightB2"/>
          <w:sz w:val="16"/>
          <w:szCs w:val="16"/>
        </w:rPr>
      </w:pPr>
    </w:p>
    <w:p w14:paraId="5BC5C03F" w14:textId="77777777" w:rsidR="00AB1867" w:rsidRPr="00AB1867" w:rsidRDefault="00AB1867" w:rsidP="005B7A40">
      <w:pPr>
        <w:autoSpaceDE w:val="0"/>
        <w:autoSpaceDN w:val="0"/>
        <w:adjustRightInd w:val="0"/>
        <w:rPr>
          <w:rFonts w:eastAsia="Calibri" w:cs="Humanist777BT-LightB2"/>
          <w:sz w:val="26"/>
          <w:szCs w:val="26"/>
          <w:u w:val="single"/>
        </w:rPr>
      </w:pPr>
      <w:r w:rsidRPr="00AB1867">
        <w:rPr>
          <w:rFonts w:eastAsia="Calibri" w:cs="Humanist777BT-LightB2"/>
          <w:sz w:val="26"/>
          <w:szCs w:val="26"/>
          <w:u w:val="single"/>
        </w:rPr>
        <w:t>i. Competition</w:t>
      </w:r>
    </w:p>
    <w:p w14:paraId="4C6D1E0F" w14:textId="77777777" w:rsidR="00AB1867" w:rsidRPr="00AB1867" w:rsidRDefault="00AB1867" w:rsidP="005B7A40">
      <w:pPr>
        <w:spacing w:line="259" w:lineRule="auto"/>
        <w:rPr>
          <w:rFonts w:eastAsia="Calibri"/>
          <w:sz w:val="26"/>
          <w:szCs w:val="26"/>
        </w:rPr>
      </w:pPr>
      <w:r w:rsidRPr="00AB1867">
        <w:rPr>
          <w:rFonts w:eastAsia="Calibri"/>
          <w:sz w:val="26"/>
          <w:szCs w:val="26"/>
        </w:rPr>
        <w:t>The government is keen to see more competition in all sectors of the industry, particularly retail banking. This includes minimising barriers to entry and ensuring a diversity of business models within the industry.</w:t>
      </w:r>
    </w:p>
    <w:p w14:paraId="1126F1E1" w14:textId="77777777" w:rsidR="00AB1867" w:rsidRPr="00AB1867" w:rsidRDefault="00AB1867" w:rsidP="005B7A40">
      <w:pPr>
        <w:spacing w:line="259" w:lineRule="auto"/>
        <w:rPr>
          <w:rFonts w:eastAsia="Calibri"/>
          <w:sz w:val="26"/>
          <w:szCs w:val="26"/>
          <w:u w:val="single"/>
        </w:rPr>
      </w:pPr>
      <w:r w:rsidRPr="00AB1867">
        <w:rPr>
          <w:rFonts w:eastAsia="Calibri"/>
          <w:sz w:val="26"/>
          <w:szCs w:val="26"/>
          <w:u w:val="single"/>
        </w:rPr>
        <w:t>ii. Growth</w:t>
      </w:r>
    </w:p>
    <w:p w14:paraId="1E1A02B5" w14:textId="77777777" w:rsidR="00AB1867" w:rsidRPr="00AB1867" w:rsidRDefault="00AB1867" w:rsidP="005B7A40">
      <w:pPr>
        <w:spacing w:line="259" w:lineRule="auto"/>
        <w:rPr>
          <w:rFonts w:eastAsia="Calibri"/>
          <w:sz w:val="26"/>
          <w:szCs w:val="26"/>
        </w:rPr>
      </w:pPr>
      <w:r w:rsidRPr="00AB1867">
        <w:rPr>
          <w:rFonts w:eastAsia="Calibri"/>
          <w:sz w:val="26"/>
          <w:szCs w:val="26"/>
        </w:rPr>
        <w:t>The government wishes to ensure financial services markets make a positive contribution to sustainable economic growth in the UK economy in the medium and long term, through the facilitation of finance for productive investment and as a productive sector of the UK economy.</w:t>
      </w:r>
    </w:p>
    <w:p w14:paraId="66E6958B" w14:textId="77777777" w:rsidR="00AB1867" w:rsidRPr="00AB1867" w:rsidRDefault="00AB1867" w:rsidP="005B7A40">
      <w:pPr>
        <w:spacing w:line="259" w:lineRule="auto"/>
        <w:rPr>
          <w:rFonts w:eastAsia="Calibri"/>
          <w:sz w:val="26"/>
          <w:szCs w:val="26"/>
          <w:u w:val="single"/>
        </w:rPr>
      </w:pPr>
      <w:r w:rsidRPr="00AB1867">
        <w:rPr>
          <w:rFonts w:eastAsia="Calibri"/>
          <w:sz w:val="26"/>
          <w:szCs w:val="26"/>
          <w:u w:val="single"/>
        </w:rPr>
        <w:t xml:space="preserve">iii. Competitiveness </w:t>
      </w:r>
    </w:p>
    <w:p w14:paraId="3703F3C0" w14:textId="77777777" w:rsidR="00AB1867" w:rsidRPr="00AB1867" w:rsidRDefault="00AB1867" w:rsidP="005B7A40">
      <w:pPr>
        <w:spacing w:line="259" w:lineRule="auto"/>
        <w:rPr>
          <w:rFonts w:eastAsia="Calibri"/>
          <w:sz w:val="26"/>
          <w:szCs w:val="26"/>
        </w:rPr>
      </w:pPr>
      <w:r w:rsidRPr="00AB1867">
        <w:rPr>
          <w:rFonts w:eastAsia="Calibri"/>
          <w:sz w:val="26"/>
          <w:szCs w:val="26"/>
        </w:rPr>
        <w:t xml:space="preserve">The government wishes to ensure that the UK remains an attractive domicile for internationally active financial institutions, and that London retains its position as the leading international financial centre. The government considers that achieving this aim in a manner that is consistent with robust institutions and a resilient system will support its aims for sustainable economic growth. </w:t>
      </w:r>
    </w:p>
    <w:p w14:paraId="2DAAE910" w14:textId="77777777" w:rsidR="00AB1867" w:rsidRPr="00AB1867" w:rsidRDefault="00AB1867" w:rsidP="005B7A40">
      <w:pPr>
        <w:spacing w:line="259" w:lineRule="auto"/>
        <w:rPr>
          <w:rFonts w:eastAsia="Calibri"/>
          <w:sz w:val="26"/>
          <w:szCs w:val="26"/>
          <w:u w:val="single"/>
        </w:rPr>
      </w:pPr>
      <w:r w:rsidRPr="00AB1867">
        <w:rPr>
          <w:rFonts w:eastAsia="Calibri"/>
          <w:sz w:val="26"/>
          <w:szCs w:val="26"/>
          <w:u w:val="single"/>
        </w:rPr>
        <w:t xml:space="preserve">iv. Innovation </w:t>
      </w:r>
    </w:p>
    <w:p w14:paraId="10BBDC43" w14:textId="77777777" w:rsidR="00AB1867" w:rsidRPr="00AB1867" w:rsidRDefault="00AB1867" w:rsidP="005B7A40">
      <w:pPr>
        <w:spacing w:line="259" w:lineRule="auto"/>
        <w:rPr>
          <w:rFonts w:eastAsia="Calibri"/>
          <w:sz w:val="26"/>
          <w:szCs w:val="26"/>
        </w:rPr>
      </w:pPr>
      <w:r w:rsidRPr="00AB1867">
        <w:rPr>
          <w:rFonts w:eastAsia="Calibri"/>
          <w:sz w:val="26"/>
          <w:szCs w:val="26"/>
        </w:rPr>
        <w:t xml:space="preserve">The government is keen to see innovation in the financial services sector and how this can support the wider economy, through new methods of engaging with consumers of financial services and new ways of raising capital. This includes recognising differences in the nature and objectives of business models and ensuring burdens are proportionate. </w:t>
      </w:r>
    </w:p>
    <w:p w14:paraId="11FDBAD4" w14:textId="77777777" w:rsidR="00AB1867" w:rsidRPr="00AB1867" w:rsidRDefault="00AB1867" w:rsidP="005B7A40">
      <w:pPr>
        <w:spacing w:line="259" w:lineRule="auto"/>
        <w:rPr>
          <w:rFonts w:eastAsia="Calibri"/>
          <w:sz w:val="26"/>
          <w:szCs w:val="26"/>
          <w:u w:val="single"/>
        </w:rPr>
      </w:pPr>
      <w:r w:rsidRPr="00AB1867">
        <w:rPr>
          <w:rFonts w:eastAsia="Calibri"/>
          <w:sz w:val="26"/>
          <w:szCs w:val="26"/>
          <w:u w:val="single"/>
        </w:rPr>
        <w:t xml:space="preserve">v. Trade </w:t>
      </w:r>
    </w:p>
    <w:p w14:paraId="4DF50B3D" w14:textId="77777777" w:rsidR="00AB1867" w:rsidRPr="00AB1867" w:rsidRDefault="00AB1867" w:rsidP="005B7A40">
      <w:pPr>
        <w:spacing w:line="259" w:lineRule="auto"/>
        <w:rPr>
          <w:rFonts w:eastAsia="Calibri"/>
          <w:sz w:val="26"/>
          <w:szCs w:val="26"/>
        </w:rPr>
      </w:pPr>
      <w:r w:rsidRPr="00AB1867">
        <w:rPr>
          <w:rFonts w:eastAsia="Calibri"/>
          <w:sz w:val="26"/>
          <w:szCs w:val="26"/>
        </w:rPr>
        <w:t xml:space="preserve">The government aims to encourage trade and inward investment to the UK that can help boost productivity and growth across our economy. This can be supported by improved competition opening the UK to new ways of doing things and being seen as a good place to do business. </w:t>
      </w:r>
    </w:p>
    <w:p w14:paraId="4CBD1427" w14:textId="77777777" w:rsidR="00AB1867" w:rsidRPr="00AB1867" w:rsidRDefault="00AB1867" w:rsidP="005B7A40">
      <w:pPr>
        <w:spacing w:line="259" w:lineRule="auto"/>
        <w:rPr>
          <w:rFonts w:eastAsia="Calibri"/>
          <w:sz w:val="26"/>
          <w:szCs w:val="26"/>
          <w:u w:val="single"/>
        </w:rPr>
      </w:pPr>
      <w:r w:rsidRPr="00AB1867">
        <w:rPr>
          <w:rFonts w:eastAsia="Calibri"/>
          <w:sz w:val="26"/>
          <w:szCs w:val="26"/>
          <w:u w:val="single"/>
        </w:rPr>
        <w:t xml:space="preserve">vi. Better outcome for consumers </w:t>
      </w:r>
    </w:p>
    <w:p w14:paraId="6279E5BA" w14:textId="0B1BDAC4" w:rsidR="00B00780" w:rsidRPr="00E61D10" w:rsidRDefault="00AB1867" w:rsidP="005B7A40">
      <w:pPr>
        <w:spacing w:line="259" w:lineRule="auto"/>
        <w:rPr>
          <w:rFonts w:eastAsia="Calibri"/>
          <w:sz w:val="26"/>
          <w:szCs w:val="26"/>
        </w:rPr>
      </w:pPr>
      <w:r w:rsidRPr="00AB1867">
        <w:rPr>
          <w:rFonts w:eastAsia="Calibri"/>
          <w:sz w:val="26"/>
          <w:szCs w:val="26"/>
        </w:rPr>
        <w:t>The government wants to see financial services work in the best interests of the consumers and businesses they serve. This is supported by improved competition in financial services and the securing of an appropriate degree of protection for consumers, including policyholders.</w:t>
      </w:r>
    </w:p>
    <w:sectPr w:rsidR="00B00780" w:rsidRPr="00E61D1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5ED37" w14:textId="77777777" w:rsidR="004F4B16" w:rsidRDefault="004F4B16" w:rsidP="008E4F97">
      <w:pPr>
        <w:spacing w:after="0"/>
      </w:pPr>
      <w:r>
        <w:separator/>
      </w:r>
    </w:p>
  </w:endnote>
  <w:endnote w:type="continuationSeparator" w:id="0">
    <w:p w14:paraId="2D38CB8D" w14:textId="77777777" w:rsidR="004F4B16" w:rsidRDefault="004F4B16" w:rsidP="008E4F97">
      <w:pPr>
        <w:spacing w:after="0"/>
      </w:pPr>
      <w:r>
        <w:continuationSeparator/>
      </w:r>
    </w:p>
  </w:endnote>
  <w:endnote w:type="continuationNotice" w:id="1">
    <w:p w14:paraId="63D563DD" w14:textId="77777777" w:rsidR="004F4B16" w:rsidRDefault="004F4B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Humanist777BT-LightB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9983" w14:textId="77777777" w:rsidR="00636BBC" w:rsidRDefault="00636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F6FB" w14:textId="77777777" w:rsidR="00636BBC" w:rsidRDefault="00636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435B" w14:textId="77777777" w:rsidR="00636BBC" w:rsidRDefault="0063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3C4E" w14:textId="77777777" w:rsidR="004F4B16" w:rsidRDefault="004F4B16" w:rsidP="008E4F97">
      <w:pPr>
        <w:spacing w:after="0"/>
      </w:pPr>
      <w:r>
        <w:separator/>
      </w:r>
    </w:p>
  </w:footnote>
  <w:footnote w:type="continuationSeparator" w:id="0">
    <w:p w14:paraId="61DDED1D" w14:textId="77777777" w:rsidR="004F4B16" w:rsidRDefault="004F4B16" w:rsidP="008E4F97">
      <w:pPr>
        <w:spacing w:after="0"/>
      </w:pPr>
      <w:r>
        <w:continuationSeparator/>
      </w:r>
    </w:p>
  </w:footnote>
  <w:footnote w:type="continuationNotice" w:id="1">
    <w:p w14:paraId="015D23C6" w14:textId="77777777" w:rsidR="004F4B16" w:rsidRDefault="004F4B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BE9E" w14:textId="77777777" w:rsidR="00636BBC" w:rsidRDefault="0063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5D37" w14:textId="77777777" w:rsidR="009C6A34" w:rsidRDefault="009C6A34" w:rsidP="008004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42E1" w14:textId="77777777" w:rsidR="00636BBC" w:rsidRDefault="00636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D64"/>
    <w:multiLevelType w:val="hybridMultilevel"/>
    <w:tmpl w:val="575C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60C"/>
    <w:multiLevelType w:val="hybridMultilevel"/>
    <w:tmpl w:val="F202FD3A"/>
    <w:lvl w:ilvl="0" w:tplc="4A3089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37D6F"/>
    <w:multiLevelType w:val="hybridMultilevel"/>
    <w:tmpl w:val="B1BC1A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C25"/>
    <w:multiLevelType w:val="hybridMultilevel"/>
    <w:tmpl w:val="068EF594"/>
    <w:lvl w:ilvl="0" w:tplc="2FC4C9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E423A"/>
    <w:multiLevelType w:val="hybridMultilevel"/>
    <w:tmpl w:val="30103F1A"/>
    <w:lvl w:ilvl="0" w:tplc="882CAB0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9A17239"/>
    <w:multiLevelType w:val="hybridMultilevel"/>
    <w:tmpl w:val="89FA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93C7E"/>
    <w:multiLevelType w:val="hybridMultilevel"/>
    <w:tmpl w:val="D9A2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A2C27"/>
    <w:multiLevelType w:val="hybridMultilevel"/>
    <w:tmpl w:val="FF84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B4266"/>
    <w:multiLevelType w:val="hybridMultilevel"/>
    <w:tmpl w:val="16CA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18FE"/>
    <w:multiLevelType w:val="hybridMultilevel"/>
    <w:tmpl w:val="E27E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81C5D"/>
    <w:multiLevelType w:val="multilevel"/>
    <w:tmpl w:val="CAAA8F12"/>
    <w:lvl w:ilvl="0">
      <w:start w:val="1"/>
      <w:numFmt w:val="bullet"/>
      <w:pStyle w:val="ListBullet"/>
      <w:lvlText w:val=""/>
      <w:lvlJc w:val="left"/>
      <w:pPr>
        <w:tabs>
          <w:tab w:val="num" w:pos="1191"/>
        </w:tabs>
        <w:ind w:left="1191" w:hanging="454"/>
      </w:pPr>
      <w:rPr>
        <w:rFonts w:ascii="Symbol" w:hAnsi="Symbol" w:hint="default"/>
        <w:color w:val="auto"/>
        <w:sz w:val="16"/>
        <w:szCs w:val="16"/>
      </w:rPr>
    </w:lvl>
    <w:lvl w:ilvl="1">
      <w:start w:val="1"/>
      <w:numFmt w:val="bullet"/>
      <w:pStyle w:val="ListBullet2"/>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lvl>
    <w:lvl w:ilvl="4">
      <w:start w:val="1"/>
      <w:numFmt w:val="lowerLetter"/>
      <w:lvlText w:val="(%5)"/>
      <w:lvlJc w:val="left"/>
      <w:pPr>
        <w:tabs>
          <w:tab w:val="num" w:pos="2537"/>
        </w:tabs>
        <w:ind w:left="2537" w:hanging="360"/>
      </w:pPr>
    </w:lvl>
    <w:lvl w:ilvl="5">
      <w:start w:val="1"/>
      <w:numFmt w:val="lowerRoman"/>
      <w:lvlText w:val="(%6)"/>
      <w:lvlJc w:val="left"/>
      <w:pPr>
        <w:tabs>
          <w:tab w:val="num" w:pos="2897"/>
        </w:tabs>
        <w:ind w:left="2897" w:hanging="360"/>
      </w:pPr>
    </w:lvl>
    <w:lvl w:ilvl="6">
      <w:start w:val="1"/>
      <w:numFmt w:val="decimal"/>
      <w:lvlText w:val="%7."/>
      <w:lvlJc w:val="left"/>
      <w:pPr>
        <w:tabs>
          <w:tab w:val="num" w:pos="3257"/>
        </w:tabs>
        <w:ind w:left="3257" w:hanging="360"/>
      </w:pPr>
    </w:lvl>
    <w:lvl w:ilvl="7">
      <w:start w:val="1"/>
      <w:numFmt w:val="lowerLetter"/>
      <w:lvlText w:val="%8."/>
      <w:lvlJc w:val="left"/>
      <w:pPr>
        <w:tabs>
          <w:tab w:val="num" w:pos="3617"/>
        </w:tabs>
        <w:ind w:left="3617" w:hanging="360"/>
      </w:pPr>
    </w:lvl>
    <w:lvl w:ilvl="8">
      <w:start w:val="1"/>
      <w:numFmt w:val="lowerRoman"/>
      <w:lvlText w:val="%9."/>
      <w:lvlJc w:val="left"/>
      <w:pPr>
        <w:tabs>
          <w:tab w:val="num" w:pos="3977"/>
        </w:tabs>
        <w:ind w:left="3977" w:hanging="360"/>
      </w:pPr>
    </w:lvl>
  </w:abstractNum>
  <w:abstractNum w:abstractNumId="11" w15:restartNumberingAfterBreak="0">
    <w:nsid w:val="321928D9"/>
    <w:multiLevelType w:val="hybridMultilevel"/>
    <w:tmpl w:val="A2344698"/>
    <w:lvl w:ilvl="0" w:tplc="C5BE9CE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31D5"/>
    <w:multiLevelType w:val="hybridMultilevel"/>
    <w:tmpl w:val="CA56E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BA0198"/>
    <w:multiLevelType w:val="hybridMultilevel"/>
    <w:tmpl w:val="9630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96D1D"/>
    <w:multiLevelType w:val="hybridMultilevel"/>
    <w:tmpl w:val="A274E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B66D3"/>
    <w:multiLevelType w:val="hybridMultilevel"/>
    <w:tmpl w:val="E88A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A7AC5"/>
    <w:multiLevelType w:val="hybridMultilevel"/>
    <w:tmpl w:val="60BE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55B20"/>
    <w:multiLevelType w:val="hybridMultilevel"/>
    <w:tmpl w:val="726AAD64"/>
    <w:lvl w:ilvl="0" w:tplc="73641E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D467E"/>
    <w:multiLevelType w:val="hybridMultilevel"/>
    <w:tmpl w:val="09B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8733C"/>
    <w:multiLevelType w:val="hybridMultilevel"/>
    <w:tmpl w:val="C02A9EBE"/>
    <w:lvl w:ilvl="0" w:tplc="B6EC1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718A4"/>
    <w:multiLevelType w:val="hybridMultilevel"/>
    <w:tmpl w:val="DCA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D7054"/>
    <w:multiLevelType w:val="hybridMultilevel"/>
    <w:tmpl w:val="20DE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FA5AF1"/>
    <w:multiLevelType w:val="hybridMultilevel"/>
    <w:tmpl w:val="23EEA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F32AEC"/>
    <w:multiLevelType w:val="hybridMultilevel"/>
    <w:tmpl w:val="D86C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6"/>
  </w:num>
  <w:num w:numId="4">
    <w:abstractNumId w:val="8"/>
  </w:num>
  <w:num w:numId="5">
    <w:abstractNumId w:val="20"/>
  </w:num>
  <w:num w:numId="6">
    <w:abstractNumId w:val="18"/>
  </w:num>
  <w:num w:numId="7">
    <w:abstractNumId w:val="15"/>
  </w:num>
  <w:num w:numId="8">
    <w:abstractNumId w:val="14"/>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2"/>
  </w:num>
  <w:num w:numId="12">
    <w:abstractNumId w:val="0"/>
  </w:num>
  <w:num w:numId="13">
    <w:abstractNumId w:val="22"/>
  </w:num>
  <w:num w:numId="14">
    <w:abstractNumId w:val="16"/>
  </w:num>
  <w:num w:numId="15">
    <w:abstractNumId w:val="12"/>
  </w:num>
  <w:num w:numId="16">
    <w:abstractNumId w:val="3"/>
  </w:num>
  <w:num w:numId="17">
    <w:abstractNumId w:val="1"/>
  </w:num>
  <w:num w:numId="18">
    <w:abstractNumId w:val="17"/>
  </w:num>
  <w:num w:numId="19">
    <w:abstractNumId w:val="19"/>
  </w:num>
  <w:num w:numId="20">
    <w:abstractNumId w:val="2"/>
  </w:num>
  <w:num w:numId="21">
    <w:abstractNumId w:val="11"/>
  </w:num>
  <w:num w:numId="22">
    <w:abstractNumId w:val="7"/>
  </w:num>
  <w:num w:numId="23">
    <w:abstractNumId w:val="21"/>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03"/>
    <w:rsid w:val="000167B2"/>
    <w:rsid w:val="00016ACC"/>
    <w:rsid w:val="000235E7"/>
    <w:rsid w:val="00023DB6"/>
    <w:rsid w:val="0002597D"/>
    <w:rsid w:val="00032368"/>
    <w:rsid w:val="0003613F"/>
    <w:rsid w:val="00040C2F"/>
    <w:rsid w:val="00041CCE"/>
    <w:rsid w:val="00050E63"/>
    <w:rsid w:val="00050EF2"/>
    <w:rsid w:val="00060F60"/>
    <w:rsid w:val="0006378B"/>
    <w:rsid w:val="0006735A"/>
    <w:rsid w:val="000712DD"/>
    <w:rsid w:val="00085D8C"/>
    <w:rsid w:val="00087DEC"/>
    <w:rsid w:val="000B23D4"/>
    <w:rsid w:val="000B2C27"/>
    <w:rsid w:val="000B4EB7"/>
    <w:rsid w:val="000C0EB7"/>
    <w:rsid w:val="000C5BBB"/>
    <w:rsid w:val="000D1CE2"/>
    <w:rsid w:val="000D4C40"/>
    <w:rsid w:val="000E267B"/>
    <w:rsid w:val="000E53A5"/>
    <w:rsid w:val="000E5FDD"/>
    <w:rsid w:val="000F1F6B"/>
    <w:rsid w:val="000F3C8D"/>
    <w:rsid w:val="000F7821"/>
    <w:rsid w:val="00100589"/>
    <w:rsid w:val="00110941"/>
    <w:rsid w:val="00114DF3"/>
    <w:rsid w:val="00115D30"/>
    <w:rsid w:val="00123808"/>
    <w:rsid w:val="001273C5"/>
    <w:rsid w:val="00127F12"/>
    <w:rsid w:val="00137913"/>
    <w:rsid w:val="00155544"/>
    <w:rsid w:val="001611A0"/>
    <w:rsid w:val="00163C14"/>
    <w:rsid w:val="001719F9"/>
    <w:rsid w:val="001764BC"/>
    <w:rsid w:val="0018091A"/>
    <w:rsid w:val="00181CED"/>
    <w:rsid w:val="001829F1"/>
    <w:rsid w:val="00182F80"/>
    <w:rsid w:val="001A38BB"/>
    <w:rsid w:val="001C065C"/>
    <w:rsid w:val="001C3C15"/>
    <w:rsid w:val="001C515B"/>
    <w:rsid w:val="001C61DB"/>
    <w:rsid w:val="001D6FB4"/>
    <w:rsid w:val="00204DB2"/>
    <w:rsid w:val="00207BDF"/>
    <w:rsid w:val="00236602"/>
    <w:rsid w:val="00236FE4"/>
    <w:rsid w:val="002426FF"/>
    <w:rsid w:val="00252082"/>
    <w:rsid w:val="002527A0"/>
    <w:rsid w:val="0025493B"/>
    <w:rsid w:val="00262EFE"/>
    <w:rsid w:val="002761A2"/>
    <w:rsid w:val="00283585"/>
    <w:rsid w:val="00286649"/>
    <w:rsid w:val="002869AF"/>
    <w:rsid w:val="002873E5"/>
    <w:rsid w:val="00291351"/>
    <w:rsid w:val="00292D6C"/>
    <w:rsid w:val="002A5EA8"/>
    <w:rsid w:val="002B435A"/>
    <w:rsid w:val="002C14B6"/>
    <w:rsid w:val="002C2A3D"/>
    <w:rsid w:val="002C5A5B"/>
    <w:rsid w:val="002D5F74"/>
    <w:rsid w:val="002E1850"/>
    <w:rsid w:val="00301B48"/>
    <w:rsid w:val="00313B8E"/>
    <w:rsid w:val="00314CE9"/>
    <w:rsid w:val="00315A6D"/>
    <w:rsid w:val="003318AE"/>
    <w:rsid w:val="00335E12"/>
    <w:rsid w:val="00337A79"/>
    <w:rsid w:val="003456AA"/>
    <w:rsid w:val="0035402A"/>
    <w:rsid w:val="003564A0"/>
    <w:rsid w:val="00360E63"/>
    <w:rsid w:val="00366880"/>
    <w:rsid w:val="00380F04"/>
    <w:rsid w:val="003813C7"/>
    <w:rsid w:val="0038208F"/>
    <w:rsid w:val="00392685"/>
    <w:rsid w:val="0039387D"/>
    <w:rsid w:val="0039527F"/>
    <w:rsid w:val="003A2755"/>
    <w:rsid w:val="003A3E92"/>
    <w:rsid w:val="003B1D79"/>
    <w:rsid w:val="003C2E60"/>
    <w:rsid w:val="003C3238"/>
    <w:rsid w:val="003C7CCF"/>
    <w:rsid w:val="003D05EE"/>
    <w:rsid w:val="003D408E"/>
    <w:rsid w:val="003E0DCA"/>
    <w:rsid w:val="003F0482"/>
    <w:rsid w:val="003F162D"/>
    <w:rsid w:val="003F53B3"/>
    <w:rsid w:val="00410559"/>
    <w:rsid w:val="00415D46"/>
    <w:rsid w:val="004176B0"/>
    <w:rsid w:val="0044061D"/>
    <w:rsid w:val="00450820"/>
    <w:rsid w:val="00451066"/>
    <w:rsid w:val="00460665"/>
    <w:rsid w:val="00470C64"/>
    <w:rsid w:val="00483181"/>
    <w:rsid w:val="004927C8"/>
    <w:rsid w:val="00492D4F"/>
    <w:rsid w:val="004A3A4D"/>
    <w:rsid w:val="004A58B4"/>
    <w:rsid w:val="004A67C5"/>
    <w:rsid w:val="004B37A1"/>
    <w:rsid w:val="004B46C1"/>
    <w:rsid w:val="004C3712"/>
    <w:rsid w:val="004C6FE2"/>
    <w:rsid w:val="004D6394"/>
    <w:rsid w:val="004E7EF2"/>
    <w:rsid w:val="004F4B16"/>
    <w:rsid w:val="00501C30"/>
    <w:rsid w:val="005033A7"/>
    <w:rsid w:val="00511103"/>
    <w:rsid w:val="00520307"/>
    <w:rsid w:val="00523280"/>
    <w:rsid w:val="00525143"/>
    <w:rsid w:val="00525969"/>
    <w:rsid w:val="00533B80"/>
    <w:rsid w:val="005421FC"/>
    <w:rsid w:val="005534E3"/>
    <w:rsid w:val="00565E8C"/>
    <w:rsid w:val="0056729D"/>
    <w:rsid w:val="0056761C"/>
    <w:rsid w:val="00570DE0"/>
    <w:rsid w:val="005754A1"/>
    <w:rsid w:val="00576B3A"/>
    <w:rsid w:val="00583E82"/>
    <w:rsid w:val="005871B0"/>
    <w:rsid w:val="005A7E19"/>
    <w:rsid w:val="005B0603"/>
    <w:rsid w:val="005B3598"/>
    <w:rsid w:val="005B5F16"/>
    <w:rsid w:val="005B7A40"/>
    <w:rsid w:val="005C0A00"/>
    <w:rsid w:val="005C4520"/>
    <w:rsid w:val="005D121A"/>
    <w:rsid w:val="005D28A8"/>
    <w:rsid w:val="005D460A"/>
    <w:rsid w:val="005F1FC4"/>
    <w:rsid w:val="006007A7"/>
    <w:rsid w:val="00603D91"/>
    <w:rsid w:val="00604D71"/>
    <w:rsid w:val="00606717"/>
    <w:rsid w:val="0061658A"/>
    <w:rsid w:val="006261D2"/>
    <w:rsid w:val="00630241"/>
    <w:rsid w:val="00636BBC"/>
    <w:rsid w:val="00650039"/>
    <w:rsid w:val="0065558F"/>
    <w:rsid w:val="00656E88"/>
    <w:rsid w:val="0066434E"/>
    <w:rsid w:val="0066659C"/>
    <w:rsid w:val="0067234C"/>
    <w:rsid w:val="006728BC"/>
    <w:rsid w:val="00674C19"/>
    <w:rsid w:val="0067661E"/>
    <w:rsid w:val="0069364F"/>
    <w:rsid w:val="00693ADA"/>
    <w:rsid w:val="00697473"/>
    <w:rsid w:val="006B20E5"/>
    <w:rsid w:val="006B3DF8"/>
    <w:rsid w:val="006B649E"/>
    <w:rsid w:val="006C7B24"/>
    <w:rsid w:val="006D613F"/>
    <w:rsid w:val="006E553E"/>
    <w:rsid w:val="006F1F3F"/>
    <w:rsid w:val="006F3646"/>
    <w:rsid w:val="00700327"/>
    <w:rsid w:val="007020CD"/>
    <w:rsid w:val="0070306D"/>
    <w:rsid w:val="00706B6F"/>
    <w:rsid w:val="00725287"/>
    <w:rsid w:val="0074200E"/>
    <w:rsid w:val="00743305"/>
    <w:rsid w:val="007463C8"/>
    <w:rsid w:val="007509F7"/>
    <w:rsid w:val="00751218"/>
    <w:rsid w:val="00755FFA"/>
    <w:rsid w:val="0076503E"/>
    <w:rsid w:val="00771A23"/>
    <w:rsid w:val="0077565F"/>
    <w:rsid w:val="00781734"/>
    <w:rsid w:val="007828BC"/>
    <w:rsid w:val="00784C14"/>
    <w:rsid w:val="007A2273"/>
    <w:rsid w:val="007A5FFF"/>
    <w:rsid w:val="007A7E68"/>
    <w:rsid w:val="007B2483"/>
    <w:rsid w:val="007B36FF"/>
    <w:rsid w:val="007C06C1"/>
    <w:rsid w:val="007C27F0"/>
    <w:rsid w:val="007D1F1A"/>
    <w:rsid w:val="007D2174"/>
    <w:rsid w:val="007D3357"/>
    <w:rsid w:val="007D5AA1"/>
    <w:rsid w:val="007E1BD6"/>
    <w:rsid w:val="007E75A0"/>
    <w:rsid w:val="007F008C"/>
    <w:rsid w:val="007F501E"/>
    <w:rsid w:val="007F62E4"/>
    <w:rsid w:val="008004B9"/>
    <w:rsid w:val="00801F17"/>
    <w:rsid w:val="0080527A"/>
    <w:rsid w:val="008419E3"/>
    <w:rsid w:val="008527EA"/>
    <w:rsid w:val="00861916"/>
    <w:rsid w:val="008826B3"/>
    <w:rsid w:val="008917B4"/>
    <w:rsid w:val="008927FA"/>
    <w:rsid w:val="008A0151"/>
    <w:rsid w:val="008A51A9"/>
    <w:rsid w:val="008B17D8"/>
    <w:rsid w:val="008B1EFB"/>
    <w:rsid w:val="008B24D6"/>
    <w:rsid w:val="008B4F95"/>
    <w:rsid w:val="008B600F"/>
    <w:rsid w:val="008B7AF0"/>
    <w:rsid w:val="008C1E23"/>
    <w:rsid w:val="008C6F0D"/>
    <w:rsid w:val="008D1ED7"/>
    <w:rsid w:val="008E4F97"/>
    <w:rsid w:val="008E685D"/>
    <w:rsid w:val="008F4342"/>
    <w:rsid w:val="009076EC"/>
    <w:rsid w:val="00910261"/>
    <w:rsid w:val="00910CC8"/>
    <w:rsid w:val="00912182"/>
    <w:rsid w:val="009128C2"/>
    <w:rsid w:val="00921F2B"/>
    <w:rsid w:val="00924B62"/>
    <w:rsid w:val="00935C6A"/>
    <w:rsid w:val="009423B6"/>
    <w:rsid w:val="00952284"/>
    <w:rsid w:val="00960FF8"/>
    <w:rsid w:val="00982788"/>
    <w:rsid w:val="00996F89"/>
    <w:rsid w:val="009B2F1C"/>
    <w:rsid w:val="009B3575"/>
    <w:rsid w:val="009C6A34"/>
    <w:rsid w:val="009D6DD9"/>
    <w:rsid w:val="009F5B2E"/>
    <w:rsid w:val="00A0589B"/>
    <w:rsid w:val="00A1295A"/>
    <w:rsid w:val="00A145B5"/>
    <w:rsid w:val="00A145C5"/>
    <w:rsid w:val="00A16A95"/>
    <w:rsid w:val="00A16E20"/>
    <w:rsid w:val="00A2504C"/>
    <w:rsid w:val="00A265EA"/>
    <w:rsid w:val="00A30CD3"/>
    <w:rsid w:val="00A32206"/>
    <w:rsid w:val="00A32E90"/>
    <w:rsid w:val="00A35DA6"/>
    <w:rsid w:val="00A42E97"/>
    <w:rsid w:val="00A446E4"/>
    <w:rsid w:val="00A5325A"/>
    <w:rsid w:val="00A645A6"/>
    <w:rsid w:val="00A6502A"/>
    <w:rsid w:val="00A670BC"/>
    <w:rsid w:val="00A714D8"/>
    <w:rsid w:val="00A776B5"/>
    <w:rsid w:val="00A92022"/>
    <w:rsid w:val="00AA1DDA"/>
    <w:rsid w:val="00AA76CB"/>
    <w:rsid w:val="00AB1867"/>
    <w:rsid w:val="00AB2AD6"/>
    <w:rsid w:val="00AD2F31"/>
    <w:rsid w:val="00AD3AA6"/>
    <w:rsid w:val="00AE0D80"/>
    <w:rsid w:val="00AE4C52"/>
    <w:rsid w:val="00AF27BC"/>
    <w:rsid w:val="00AF795D"/>
    <w:rsid w:val="00B00780"/>
    <w:rsid w:val="00B21CF3"/>
    <w:rsid w:val="00B26C7E"/>
    <w:rsid w:val="00B314D7"/>
    <w:rsid w:val="00B45CF5"/>
    <w:rsid w:val="00B469EC"/>
    <w:rsid w:val="00B52504"/>
    <w:rsid w:val="00B53C11"/>
    <w:rsid w:val="00B54B1E"/>
    <w:rsid w:val="00B76D9F"/>
    <w:rsid w:val="00B76EB8"/>
    <w:rsid w:val="00B81BFE"/>
    <w:rsid w:val="00B85B14"/>
    <w:rsid w:val="00B85BC3"/>
    <w:rsid w:val="00B938BB"/>
    <w:rsid w:val="00B95B93"/>
    <w:rsid w:val="00BB4741"/>
    <w:rsid w:val="00BD1FCA"/>
    <w:rsid w:val="00BD4186"/>
    <w:rsid w:val="00BF11D9"/>
    <w:rsid w:val="00C10675"/>
    <w:rsid w:val="00C1201F"/>
    <w:rsid w:val="00C13CB3"/>
    <w:rsid w:val="00C147CB"/>
    <w:rsid w:val="00C220BE"/>
    <w:rsid w:val="00C31EA6"/>
    <w:rsid w:val="00C45A62"/>
    <w:rsid w:val="00C6066B"/>
    <w:rsid w:val="00C62270"/>
    <w:rsid w:val="00C62629"/>
    <w:rsid w:val="00C672A1"/>
    <w:rsid w:val="00C7029B"/>
    <w:rsid w:val="00C71FE1"/>
    <w:rsid w:val="00C72552"/>
    <w:rsid w:val="00C7451A"/>
    <w:rsid w:val="00C75638"/>
    <w:rsid w:val="00C811A2"/>
    <w:rsid w:val="00C97073"/>
    <w:rsid w:val="00CA509F"/>
    <w:rsid w:val="00CA561E"/>
    <w:rsid w:val="00CC4C4E"/>
    <w:rsid w:val="00CD2850"/>
    <w:rsid w:val="00CE2014"/>
    <w:rsid w:val="00CE5F2E"/>
    <w:rsid w:val="00CE5F54"/>
    <w:rsid w:val="00CF28BA"/>
    <w:rsid w:val="00CF3589"/>
    <w:rsid w:val="00CF547C"/>
    <w:rsid w:val="00CF6D2E"/>
    <w:rsid w:val="00CF7085"/>
    <w:rsid w:val="00D0557C"/>
    <w:rsid w:val="00D175F2"/>
    <w:rsid w:val="00D21D4E"/>
    <w:rsid w:val="00D26E33"/>
    <w:rsid w:val="00D34506"/>
    <w:rsid w:val="00D41893"/>
    <w:rsid w:val="00D43B11"/>
    <w:rsid w:val="00D44837"/>
    <w:rsid w:val="00D45A2D"/>
    <w:rsid w:val="00D47E2A"/>
    <w:rsid w:val="00D56267"/>
    <w:rsid w:val="00D60F8D"/>
    <w:rsid w:val="00D75DD1"/>
    <w:rsid w:val="00D77649"/>
    <w:rsid w:val="00DA26E8"/>
    <w:rsid w:val="00DB7767"/>
    <w:rsid w:val="00DC0C5E"/>
    <w:rsid w:val="00DC4618"/>
    <w:rsid w:val="00DC646F"/>
    <w:rsid w:val="00DD25DA"/>
    <w:rsid w:val="00DE22FF"/>
    <w:rsid w:val="00DE311E"/>
    <w:rsid w:val="00DE5D59"/>
    <w:rsid w:val="00DF2C6F"/>
    <w:rsid w:val="00DF6F93"/>
    <w:rsid w:val="00DF7DBE"/>
    <w:rsid w:val="00E15F3E"/>
    <w:rsid w:val="00E2405D"/>
    <w:rsid w:val="00E27840"/>
    <w:rsid w:val="00E30051"/>
    <w:rsid w:val="00E33967"/>
    <w:rsid w:val="00E34C3D"/>
    <w:rsid w:val="00E434B9"/>
    <w:rsid w:val="00E455B6"/>
    <w:rsid w:val="00E51A5F"/>
    <w:rsid w:val="00E61D10"/>
    <w:rsid w:val="00E65D27"/>
    <w:rsid w:val="00E70B46"/>
    <w:rsid w:val="00E71E05"/>
    <w:rsid w:val="00E7634F"/>
    <w:rsid w:val="00E841FB"/>
    <w:rsid w:val="00E84DDF"/>
    <w:rsid w:val="00E94B88"/>
    <w:rsid w:val="00EA7DB6"/>
    <w:rsid w:val="00EB0C24"/>
    <w:rsid w:val="00EB5684"/>
    <w:rsid w:val="00EC2A55"/>
    <w:rsid w:val="00ED2127"/>
    <w:rsid w:val="00EE2C7F"/>
    <w:rsid w:val="00EF1E6E"/>
    <w:rsid w:val="00EF51C7"/>
    <w:rsid w:val="00F007E1"/>
    <w:rsid w:val="00F00DF2"/>
    <w:rsid w:val="00F13026"/>
    <w:rsid w:val="00F204A8"/>
    <w:rsid w:val="00F24E9A"/>
    <w:rsid w:val="00F26DD5"/>
    <w:rsid w:val="00F2780C"/>
    <w:rsid w:val="00F41664"/>
    <w:rsid w:val="00F46E9C"/>
    <w:rsid w:val="00F500B1"/>
    <w:rsid w:val="00F516F4"/>
    <w:rsid w:val="00F54176"/>
    <w:rsid w:val="00F541BF"/>
    <w:rsid w:val="00F64DD2"/>
    <w:rsid w:val="00F819E8"/>
    <w:rsid w:val="00F87029"/>
    <w:rsid w:val="00FA3855"/>
    <w:rsid w:val="00FA56E5"/>
    <w:rsid w:val="00FC22FC"/>
    <w:rsid w:val="00FC2565"/>
    <w:rsid w:val="00FD730D"/>
    <w:rsid w:val="00FE3BC8"/>
    <w:rsid w:val="00FE47C2"/>
    <w:rsid w:val="00FF5B65"/>
    <w:rsid w:val="00FF79CB"/>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A6338"/>
  <w15:docId w15:val="{953A8ABF-A1C7-4034-89B0-B5F460D1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8AE"/>
    <w:pPr>
      <w:spacing w:after="120" w:line="240" w:lineRule="auto"/>
    </w:pPr>
    <w:rPr>
      <w:rFonts w:ascii="Humnst777 Lt BT" w:eastAsia="Times New Roman" w:hAnsi="Humnst777 Lt BT"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03"/>
    <w:pPr>
      <w:ind w:left="720"/>
      <w:contextualSpacing/>
    </w:pPr>
  </w:style>
  <w:style w:type="paragraph" w:styleId="ListBullet">
    <w:name w:val="List Bullet"/>
    <w:basedOn w:val="Normal"/>
    <w:uiPriority w:val="99"/>
    <w:unhideWhenUsed/>
    <w:rsid w:val="00F819E8"/>
    <w:pPr>
      <w:numPr>
        <w:numId w:val="9"/>
      </w:numPr>
      <w:spacing w:after="165" w:line="280" w:lineRule="atLeast"/>
    </w:pPr>
    <w:rPr>
      <w:lang w:eastAsia="en-GB"/>
    </w:rPr>
  </w:style>
  <w:style w:type="paragraph" w:styleId="ListBullet2">
    <w:name w:val="List Bullet 2"/>
    <w:basedOn w:val="Normal"/>
    <w:uiPriority w:val="99"/>
    <w:semiHidden/>
    <w:unhideWhenUsed/>
    <w:rsid w:val="00511103"/>
    <w:pPr>
      <w:numPr>
        <w:ilvl w:val="1"/>
        <w:numId w:val="9"/>
      </w:numPr>
      <w:spacing w:after="165" w:line="280" w:lineRule="atLeast"/>
    </w:pPr>
    <w:rPr>
      <w:lang w:eastAsia="en-GB"/>
    </w:rPr>
  </w:style>
  <w:style w:type="paragraph" w:styleId="ListBullet3">
    <w:name w:val="List Bullet 3"/>
    <w:basedOn w:val="Normal"/>
    <w:uiPriority w:val="99"/>
    <w:semiHidden/>
    <w:unhideWhenUsed/>
    <w:rsid w:val="00511103"/>
    <w:pPr>
      <w:numPr>
        <w:ilvl w:val="2"/>
        <w:numId w:val="9"/>
      </w:numPr>
      <w:spacing w:after="165" w:line="280" w:lineRule="atLeast"/>
    </w:pPr>
    <w:rPr>
      <w:lang w:eastAsia="en-GB"/>
    </w:rPr>
  </w:style>
  <w:style w:type="paragraph" w:styleId="BodyText3">
    <w:name w:val="Body Text 3"/>
    <w:basedOn w:val="Normal"/>
    <w:link w:val="BodyText3Char"/>
    <w:uiPriority w:val="99"/>
    <w:semiHidden/>
    <w:unhideWhenUsed/>
    <w:rsid w:val="00511103"/>
    <w:pPr>
      <w:spacing w:after="165" w:line="280" w:lineRule="atLeast"/>
    </w:pPr>
    <w:rPr>
      <w:lang w:eastAsia="en-GB"/>
    </w:rPr>
  </w:style>
  <w:style w:type="character" w:customStyle="1" w:styleId="BodyText3Char">
    <w:name w:val="Body Text 3 Char"/>
    <w:basedOn w:val="DefaultParagraphFont"/>
    <w:link w:val="BodyText3"/>
    <w:uiPriority w:val="99"/>
    <w:semiHidden/>
    <w:rsid w:val="00511103"/>
    <w:rPr>
      <w:rFonts w:ascii="Humnst777 Lt BT" w:hAnsi="Humnst777 Lt BT" w:cs="Times New Roman"/>
      <w:lang w:eastAsia="en-GB"/>
    </w:rPr>
  </w:style>
  <w:style w:type="character" w:styleId="CommentReference">
    <w:name w:val="annotation reference"/>
    <w:basedOn w:val="DefaultParagraphFont"/>
    <w:uiPriority w:val="99"/>
    <w:semiHidden/>
    <w:unhideWhenUsed/>
    <w:rsid w:val="004B37A1"/>
    <w:rPr>
      <w:sz w:val="16"/>
      <w:szCs w:val="16"/>
    </w:rPr>
  </w:style>
  <w:style w:type="paragraph" w:styleId="CommentText">
    <w:name w:val="annotation text"/>
    <w:basedOn w:val="Normal"/>
    <w:link w:val="CommentTextChar"/>
    <w:uiPriority w:val="99"/>
    <w:unhideWhenUsed/>
    <w:rsid w:val="00F819E8"/>
    <w:rPr>
      <w:sz w:val="20"/>
      <w:szCs w:val="20"/>
    </w:rPr>
  </w:style>
  <w:style w:type="character" w:customStyle="1" w:styleId="CommentTextChar">
    <w:name w:val="Comment Text Char"/>
    <w:basedOn w:val="DefaultParagraphFont"/>
    <w:link w:val="CommentText"/>
    <w:uiPriority w:val="99"/>
    <w:rsid w:val="004B37A1"/>
    <w:rPr>
      <w:sz w:val="20"/>
      <w:szCs w:val="20"/>
    </w:rPr>
  </w:style>
  <w:style w:type="paragraph" w:styleId="CommentSubject">
    <w:name w:val="annotation subject"/>
    <w:basedOn w:val="CommentText"/>
    <w:next w:val="CommentText"/>
    <w:link w:val="CommentSubjectChar"/>
    <w:uiPriority w:val="99"/>
    <w:semiHidden/>
    <w:unhideWhenUsed/>
    <w:rsid w:val="004B37A1"/>
    <w:rPr>
      <w:b/>
      <w:bCs/>
    </w:rPr>
  </w:style>
  <w:style w:type="character" w:customStyle="1" w:styleId="CommentSubjectChar">
    <w:name w:val="Comment Subject Char"/>
    <w:basedOn w:val="CommentTextChar"/>
    <w:link w:val="CommentSubject"/>
    <w:uiPriority w:val="99"/>
    <w:semiHidden/>
    <w:rsid w:val="004B37A1"/>
    <w:rPr>
      <w:b/>
      <w:bCs/>
      <w:sz w:val="20"/>
      <w:szCs w:val="20"/>
    </w:rPr>
  </w:style>
  <w:style w:type="paragraph" w:styleId="BalloonText">
    <w:name w:val="Balloon Text"/>
    <w:basedOn w:val="Normal"/>
    <w:link w:val="BalloonTextChar"/>
    <w:uiPriority w:val="99"/>
    <w:semiHidden/>
    <w:unhideWhenUsed/>
    <w:rsid w:val="004B37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A1"/>
    <w:rPr>
      <w:rFonts w:ascii="Segoe UI" w:hAnsi="Segoe UI" w:cs="Segoe UI"/>
      <w:sz w:val="18"/>
      <w:szCs w:val="18"/>
    </w:rPr>
  </w:style>
  <w:style w:type="paragraph" w:styleId="Revision">
    <w:name w:val="Revision"/>
    <w:hidden/>
    <w:uiPriority w:val="99"/>
    <w:semiHidden/>
    <w:rsid w:val="007509F7"/>
    <w:pPr>
      <w:spacing w:after="0" w:line="240" w:lineRule="auto"/>
    </w:pPr>
  </w:style>
  <w:style w:type="paragraph" w:styleId="Header">
    <w:name w:val="header"/>
    <w:basedOn w:val="Normal"/>
    <w:link w:val="HeaderChar"/>
    <w:uiPriority w:val="99"/>
    <w:unhideWhenUsed/>
    <w:rsid w:val="008E4F97"/>
    <w:pPr>
      <w:tabs>
        <w:tab w:val="center" w:pos="4513"/>
        <w:tab w:val="right" w:pos="9026"/>
      </w:tabs>
      <w:spacing w:after="0"/>
    </w:pPr>
  </w:style>
  <w:style w:type="character" w:customStyle="1" w:styleId="HeaderChar">
    <w:name w:val="Header Char"/>
    <w:basedOn w:val="DefaultParagraphFont"/>
    <w:link w:val="Header"/>
    <w:uiPriority w:val="99"/>
    <w:rsid w:val="008E4F97"/>
  </w:style>
  <w:style w:type="paragraph" w:styleId="Footer">
    <w:name w:val="footer"/>
    <w:basedOn w:val="Normal"/>
    <w:link w:val="FooterChar"/>
    <w:uiPriority w:val="99"/>
    <w:unhideWhenUsed/>
    <w:rsid w:val="008E4F97"/>
    <w:pPr>
      <w:tabs>
        <w:tab w:val="center" w:pos="4513"/>
        <w:tab w:val="right" w:pos="9026"/>
      </w:tabs>
      <w:spacing w:after="0"/>
    </w:pPr>
  </w:style>
  <w:style w:type="character" w:customStyle="1" w:styleId="FooterChar">
    <w:name w:val="Footer Char"/>
    <w:basedOn w:val="DefaultParagraphFont"/>
    <w:link w:val="Footer"/>
    <w:uiPriority w:val="99"/>
    <w:rsid w:val="008E4F97"/>
  </w:style>
  <w:style w:type="paragraph" w:customStyle="1" w:styleId="Footerempty">
    <w:name w:val="Footerempty"/>
    <w:basedOn w:val="Normal"/>
    <w:rsid w:val="0066659C"/>
    <w:pPr>
      <w:spacing w:before="120" w:after="0"/>
    </w:pPr>
    <w:rPr>
      <w:rFonts w:ascii="Times New Roman" w:eastAsiaTheme="majorEastAsia" w:hAnsi="Times New Roman"/>
      <w:color w:val="FFFFFF"/>
      <w:sz w:val="2"/>
    </w:rPr>
  </w:style>
  <w:style w:type="paragraph" w:styleId="FootnoteText">
    <w:name w:val="footnote text"/>
    <w:basedOn w:val="Normal"/>
    <w:link w:val="FootnoteTextChar"/>
    <w:uiPriority w:val="99"/>
    <w:semiHidden/>
    <w:unhideWhenUsed/>
    <w:rsid w:val="00B00780"/>
    <w:pPr>
      <w:spacing w:after="0"/>
    </w:pPr>
    <w:rPr>
      <w:sz w:val="20"/>
      <w:szCs w:val="20"/>
    </w:rPr>
  </w:style>
  <w:style w:type="character" w:customStyle="1" w:styleId="FootnoteTextChar">
    <w:name w:val="Footnote Text Char"/>
    <w:basedOn w:val="DefaultParagraphFont"/>
    <w:link w:val="FootnoteText"/>
    <w:uiPriority w:val="99"/>
    <w:semiHidden/>
    <w:rsid w:val="00B00780"/>
    <w:rPr>
      <w:sz w:val="20"/>
      <w:szCs w:val="20"/>
    </w:rPr>
  </w:style>
  <w:style w:type="character" w:styleId="FootnoteReference">
    <w:name w:val="footnote reference"/>
    <w:basedOn w:val="DefaultParagraphFont"/>
    <w:uiPriority w:val="99"/>
    <w:semiHidden/>
    <w:unhideWhenUsed/>
    <w:rsid w:val="00B00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243">
      <w:bodyDiv w:val="1"/>
      <w:marLeft w:val="0"/>
      <w:marRight w:val="0"/>
      <w:marTop w:val="0"/>
      <w:marBottom w:val="0"/>
      <w:divBdr>
        <w:top w:val="none" w:sz="0" w:space="0" w:color="auto"/>
        <w:left w:val="none" w:sz="0" w:space="0" w:color="auto"/>
        <w:bottom w:val="none" w:sz="0" w:space="0" w:color="auto"/>
        <w:right w:val="none" w:sz="0" w:space="0" w:color="auto"/>
      </w:divBdr>
    </w:div>
    <w:div w:id="58554751">
      <w:bodyDiv w:val="1"/>
      <w:marLeft w:val="0"/>
      <w:marRight w:val="0"/>
      <w:marTop w:val="0"/>
      <w:marBottom w:val="0"/>
      <w:divBdr>
        <w:top w:val="none" w:sz="0" w:space="0" w:color="auto"/>
        <w:left w:val="none" w:sz="0" w:space="0" w:color="auto"/>
        <w:bottom w:val="none" w:sz="0" w:space="0" w:color="auto"/>
        <w:right w:val="none" w:sz="0" w:space="0" w:color="auto"/>
      </w:divBdr>
    </w:div>
    <w:div w:id="222640265">
      <w:bodyDiv w:val="1"/>
      <w:marLeft w:val="0"/>
      <w:marRight w:val="0"/>
      <w:marTop w:val="0"/>
      <w:marBottom w:val="0"/>
      <w:divBdr>
        <w:top w:val="none" w:sz="0" w:space="0" w:color="auto"/>
        <w:left w:val="none" w:sz="0" w:space="0" w:color="auto"/>
        <w:bottom w:val="none" w:sz="0" w:space="0" w:color="auto"/>
        <w:right w:val="none" w:sz="0" w:space="0" w:color="auto"/>
      </w:divBdr>
    </w:div>
    <w:div w:id="262493096">
      <w:bodyDiv w:val="1"/>
      <w:marLeft w:val="0"/>
      <w:marRight w:val="0"/>
      <w:marTop w:val="0"/>
      <w:marBottom w:val="0"/>
      <w:divBdr>
        <w:top w:val="none" w:sz="0" w:space="0" w:color="auto"/>
        <w:left w:val="none" w:sz="0" w:space="0" w:color="auto"/>
        <w:bottom w:val="none" w:sz="0" w:space="0" w:color="auto"/>
        <w:right w:val="none" w:sz="0" w:space="0" w:color="auto"/>
      </w:divBdr>
    </w:div>
    <w:div w:id="286469097">
      <w:bodyDiv w:val="1"/>
      <w:marLeft w:val="0"/>
      <w:marRight w:val="0"/>
      <w:marTop w:val="0"/>
      <w:marBottom w:val="0"/>
      <w:divBdr>
        <w:top w:val="none" w:sz="0" w:space="0" w:color="auto"/>
        <w:left w:val="none" w:sz="0" w:space="0" w:color="auto"/>
        <w:bottom w:val="none" w:sz="0" w:space="0" w:color="auto"/>
        <w:right w:val="none" w:sz="0" w:space="0" w:color="auto"/>
      </w:divBdr>
    </w:div>
    <w:div w:id="548414930">
      <w:bodyDiv w:val="1"/>
      <w:marLeft w:val="0"/>
      <w:marRight w:val="0"/>
      <w:marTop w:val="0"/>
      <w:marBottom w:val="0"/>
      <w:divBdr>
        <w:top w:val="none" w:sz="0" w:space="0" w:color="auto"/>
        <w:left w:val="none" w:sz="0" w:space="0" w:color="auto"/>
        <w:bottom w:val="none" w:sz="0" w:space="0" w:color="auto"/>
        <w:right w:val="none" w:sz="0" w:space="0" w:color="auto"/>
      </w:divBdr>
    </w:div>
    <w:div w:id="624241460">
      <w:bodyDiv w:val="1"/>
      <w:marLeft w:val="0"/>
      <w:marRight w:val="0"/>
      <w:marTop w:val="0"/>
      <w:marBottom w:val="0"/>
      <w:divBdr>
        <w:top w:val="none" w:sz="0" w:space="0" w:color="auto"/>
        <w:left w:val="none" w:sz="0" w:space="0" w:color="auto"/>
        <w:bottom w:val="none" w:sz="0" w:space="0" w:color="auto"/>
        <w:right w:val="none" w:sz="0" w:space="0" w:color="auto"/>
      </w:divBdr>
    </w:div>
    <w:div w:id="969361416">
      <w:bodyDiv w:val="1"/>
      <w:marLeft w:val="0"/>
      <w:marRight w:val="0"/>
      <w:marTop w:val="0"/>
      <w:marBottom w:val="0"/>
      <w:divBdr>
        <w:top w:val="none" w:sz="0" w:space="0" w:color="auto"/>
        <w:left w:val="none" w:sz="0" w:space="0" w:color="auto"/>
        <w:bottom w:val="none" w:sz="0" w:space="0" w:color="auto"/>
        <w:right w:val="none" w:sz="0" w:space="0" w:color="auto"/>
      </w:divBdr>
    </w:div>
    <w:div w:id="1114397152">
      <w:bodyDiv w:val="1"/>
      <w:marLeft w:val="0"/>
      <w:marRight w:val="0"/>
      <w:marTop w:val="0"/>
      <w:marBottom w:val="0"/>
      <w:divBdr>
        <w:top w:val="none" w:sz="0" w:space="0" w:color="auto"/>
        <w:left w:val="none" w:sz="0" w:space="0" w:color="auto"/>
        <w:bottom w:val="none" w:sz="0" w:space="0" w:color="auto"/>
        <w:right w:val="none" w:sz="0" w:space="0" w:color="auto"/>
      </w:divBdr>
    </w:div>
    <w:div w:id="1239752761">
      <w:bodyDiv w:val="1"/>
      <w:marLeft w:val="0"/>
      <w:marRight w:val="0"/>
      <w:marTop w:val="0"/>
      <w:marBottom w:val="0"/>
      <w:divBdr>
        <w:top w:val="none" w:sz="0" w:space="0" w:color="auto"/>
        <w:left w:val="none" w:sz="0" w:space="0" w:color="auto"/>
        <w:bottom w:val="none" w:sz="0" w:space="0" w:color="auto"/>
        <w:right w:val="none" w:sz="0" w:space="0" w:color="auto"/>
      </w:divBdr>
    </w:div>
    <w:div w:id="1241981740">
      <w:bodyDiv w:val="1"/>
      <w:marLeft w:val="0"/>
      <w:marRight w:val="0"/>
      <w:marTop w:val="0"/>
      <w:marBottom w:val="0"/>
      <w:divBdr>
        <w:top w:val="none" w:sz="0" w:space="0" w:color="auto"/>
        <w:left w:val="none" w:sz="0" w:space="0" w:color="auto"/>
        <w:bottom w:val="none" w:sz="0" w:space="0" w:color="auto"/>
        <w:right w:val="none" w:sz="0" w:space="0" w:color="auto"/>
      </w:divBdr>
    </w:div>
    <w:div w:id="1357271349">
      <w:bodyDiv w:val="1"/>
      <w:marLeft w:val="0"/>
      <w:marRight w:val="0"/>
      <w:marTop w:val="0"/>
      <w:marBottom w:val="0"/>
      <w:divBdr>
        <w:top w:val="none" w:sz="0" w:space="0" w:color="auto"/>
        <w:left w:val="none" w:sz="0" w:space="0" w:color="auto"/>
        <w:bottom w:val="none" w:sz="0" w:space="0" w:color="auto"/>
        <w:right w:val="none" w:sz="0" w:space="0" w:color="auto"/>
      </w:divBdr>
    </w:div>
    <w:div w:id="1522430230">
      <w:bodyDiv w:val="1"/>
      <w:marLeft w:val="0"/>
      <w:marRight w:val="0"/>
      <w:marTop w:val="0"/>
      <w:marBottom w:val="0"/>
      <w:divBdr>
        <w:top w:val="none" w:sz="0" w:space="0" w:color="auto"/>
        <w:left w:val="none" w:sz="0" w:space="0" w:color="auto"/>
        <w:bottom w:val="none" w:sz="0" w:space="0" w:color="auto"/>
        <w:right w:val="none" w:sz="0" w:space="0" w:color="auto"/>
      </w:divBdr>
    </w:div>
    <w:div w:id="18785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79683C114FB419026962409716626" ma:contentTypeVersion="8" ma:contentTypeDescription="Create a new document." ma:contentTypeScope="" ma:versionID="cab1b10324d8450a535521184916f455">
  <xsd:schema xmlns:xsd="http://www.w3.org/2001/XMLSchema" xmlns:xs="http://www.w3.org/2001/XMLSchema" xmlns:p="http://schemas.microsoft.com/office/2006/metadata/properties" xmlns:ns3="62012b01-2280-49b6-bedb-0c50f6bb975a" targetNamespace="http://schemas.microsoft.com/office/2006/metadata/properties" ma:root="true" ma:fieldsID="c72ca75e89c40343acf8218f618ccc86" ns3:_="">
    <xsd:import namespace="62012b01-2280-49b6-bedb-0c50f6bb97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2b01-2280-49b6-bedb-0c50f6bb9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7508-A08C-4157-8BB1-E244F2C65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2b01-2280-49b6-bedb-0c50f6bb9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0A87D-6178-4F82-9B12-6918F4C48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28FBB-5F75-4AEA-A428-4BC55A08886C}">
  <ds:schemaRefs>
    <ds:schemaRef ds:uri="http://schemas.microsoft.com/sharepoint/v3/contenttype/forms"/>
  </ds:schemaRefs>
</ds:datastoreItem>
</file>

<file path=customXml/itemProps4.xml><?xml version="1.0" encoding="utf-8"?>
<ds:datastoreItem xmlns:ds="http://schemas.openxmlformats.org/officeDocument/2006/customXml" ds:itemID="{D728112F-652D-4BFD-AA4C-5071611C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Hemming-Brown, Dominic - HMT</dc:creator>
  <cp:keywords/>
  <dc:description/>
  <cp:lastModifiedBy>Keep, James - HMT</cp:lastModifiedBy>
  <cp:revision>3</cp:revision>
  <cp:lastPrinted>2018-10-24T13:05:00Z</cp:lastPrinted>
  <dcterms:created xsi:type="dcterms:W3CDTF">2019-11-04T18:43:00Z</dcterms:created>
  <dcterms:modified xsi:type="dcterms:W3CDTF">2019-11-04T18:45:00Z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0x01010083E79683C114FB419026962409716626</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4a254035-3b2e-4abf-b14d-825bbc381459</vt:lpwstr>
  </property>
  <property fmtid="{D5CDD505-2E9C-101B-9397-08002B2CF9AE}" pid="6" name="HMT_Group">
    <vt:lpwstr>1;#Financial Services|59fac2e4-0e4d-445e-9d2b-b7e636b82ddc</vt:lpwstr>
  </property>
  <property fmtid="{D5CDD505-2E9C-101B-9397-08002B2CF9AE}" pid="7" name="HMT_Topic">
    <vt:lpwstr>3940;#Regulators branch|b063e130-e804-4033-a8a9-5bb573f157cc</vt:lpwstr>
  </property>
  <property fmtid="{D5CDD505-2E9C-101B-9397-08002B2CF9AE}" pid="8" name="HMT_Category">
    <vt:lpwstr>4;#Policy Document Types|bd4325a7-7f6a-48f9-b0dc-cc3aef626e65</vt:lpwstr>
  </property>
  <property fmtid="{D5CDD505-2E9C-101B-9397-08002B2CF9AE}" pid="9" name="HMT_SubTeam">
    <vt:lpwstr/>
  </property>
  <property fmtid="{D5CDD505-2E9C-101B-9397-08002B2CF9AE}" pid="10" name="HMT_Classification">
    <vt:lpwstr>3;#Official|0c3401bb-744b-4660-997f-fc50d910db48</vt:lpwstr>
  </property>
  <property fmtid="{D5CDD505-2E9C-101B-9397-08002B2CF9AE}" pid="11" name="HMT_Theme">
    <vt:lpwstr>2568;#FSRS Regulatory Strategy|0ae535c1-65a7-426e-a4a9-317d158686b0</vt:lpwstr>
  </property>
  <property fmtid="{D5CDD505-2E9C-101B-9397-08002B2CF9AE}" pid="12" name="HMT_SubTopic">
    <vt:lpwstr>4285;#Projects|161bcc4f-5098-4d86-a879-f4d6f0e54ace</vt:lpwstr>
  </property>
  <property fmtid="{D5CDD505-2E9C-101B-9397-08002B2CF9AE}" pid="13" name="HMT_DocumentType">
    <vt:lpwstr>5;#Other|c235b5c2-f697-427b-a70a-43d69599f998</vt:lpwstr>
  </property>
  <property fmtid="{D5CDD505-2E9C-101B-9397-08002B2CF9AE}" pid="14" name="HMT_Team">
    <vt:lpwstr>3686;#Financial Services Regulatory Strategy|d4986f37-5038-4b81-8482-b17277eb2bc5</vt:lpwstr>
  </property>
  <property fmtid="{D5CDD505-2E9C-101B-9397-08002B2CF9AE}" pid="15" name="DocRef">
    <vt:lpwstr>Analytical 7894203</vt:lpwstr>
  </property>
  <property fmtid="{D5CDD505-2E9C-101B-9397-08002B2CF9AE}" pid="16" name="DocVer">
    <vt:lpwstr>Analytical 7894203v1</vt:lpwstr>
  </property>
</Properties>
</file>