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JOINT MINISTERIAL COMMITTEE (EU NEGOTIATIONS) COMMUNIQUE</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October 2019</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twentieth Joint Ministerial Committee (EU Negotiations) met today in St Andrews House in Edinburgh. The meeting was chaired by Michael Russell, Cabinet Secretary for Government Business and Constitutional Relations. </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attending Ministers were:</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UK Government: The Chancellor of the Duchy of Lancaster, Rt Hon Michael Gove MP; the Minister of State for Exiting the European Union, Lord Callanan; </w:t>
      </w:r>
      <w:r w:rsidDel="00000000" w:rsidR="00000000" w:rsidRPr="00000000">
        <w:rPr>
          <w:rFonts w:ascii="Times New Roman" w:cs="Times New Roman" w:eastAsia="Times New Roman" w:hAnsi="Times New Roman"/>
          <w:color w:val="000000"/>
          <w:sz w:val="24"/>
          <w:szCs w:val="24"/>
          <w:rtl w:val="0"/>
        </w:rPr>
        <w:t xml:space="preserve">The Parliamentary Under Secretary of State at the Northern Ireland Office</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Robin Walker MP.</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Secretary of State for Scotland, Rt Hon Alister Jack MP; and the Parliamentary Under Secretary of State for Wales, Kevin Foster MP, dialled in.</w:t>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From the Scottish Government: The Cabinet Secretary for Government Business and Constitutional Relations, Michael Russell MSP.</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Welsh Government: The Counsel General and Brexit Minister, Jeremy Miles AM.</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senior official from the Northern Ireland Civil Service attended the meeting due to the continued absence of a Northern Ireland Executive.</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Fonts w:ascii="Times New Roman" w:cs="Times New Roman" w:eastAsia="Times New Roman" w:hAnsi="Times New Roman"/>
          <w:sz w:val="24"/>
          <w:szCs w:val="24"/>
          <w:rtl w:val="0"/>
        </w:rPr>
        <w:t xml:space="preserve">The Committee discussed the UK’s exit from the EU, including developments on exit readiness and negotiations and the role of the devolved administrations in EU exit negotiations. The Committee also discussed domestic issues, including the joint work on common frameworks.</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