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35E54" w14:textId="6B7723B8" w:rsidR="00F01241" w:rsidRPr="004B7581" w:rsidRDefault="00691E0E" w:rsidP="004B7581">
      <w:pPr>
        <w:pStyle w:val="Heading1"/>
        <w:rPr>
          <w:b/>
          <w:sz w:val="40"/>
        </w:rPr>
      </w:pPr>
      <w:bookmarkStart w:id="0" w:name="_Hlk19729940"/>
      <w:r w:rsidRPr="004B7581">
        <w:rPr>
          <w:b/>
          <w:sz w:val="40"/>
        </w:rPr>
        <w:t>Draft Undertakings</w:t>
      </w:r>
    </w:p>
    <w:p w14:paraId="24BD8719" w14:textId="77777777" w:rsidR="00691E0E" w:rsidRPr="00691E0E" w:rsidRDefault="00691E0E" w:rsidP="004B7581"/>
    <w:bookmarkEnd w:id="0"/>
    <w:p w14:paraId="02468F8A" w14:textId="77777777" w:rsidR="00F01241" w:rsidRPr="00F01241" w:rsidRDefault="00F01241" w:rsidP="00941179">
      <w:pPr>
        <w:autoSpaceDE w:val="0"/>
        <w:autoSpaceDN w:val="0"/>
        <w:adjustRightInd w:val="0"/>
        <w:spacing w:after="0" w:line="240" w:lineRule="auto"/>
        <w:jc w:val="both"/>
        <w:rPr>
          <w:rFonts w:ascii="Cambria" w:hAnsi="Cambria" w:cs="Cambria"/>
          <w:color w:val="000000"/>
          <w:sz w:val="23"/>
          <w:szCs w:val="23"/>
        </w:rPr>
      </w:pPr>
      <w:r w:rsidRPr="00F01241">
        <w:rPr>
          <w:rFonts w:ascii="Cambria" w:hAnsi="Cambria" w:cs="Cambria"/>
          <w:b/>
          <w:bCs/>
          <w:color w:val="000000"/>
          <w:sz w:val="23"/>
          <w:szCs w:val="23"/>
        </w:rPr>
        <w:t xml:space="preserve">Enterprise Act 2002 Undertakings </w:t>
      </w:r>
    </w:p>
    <w:p w14:paraId="67FD5E7F" w14:textId="77777777" w:rsidR="00F01241" w:rsidRDefault="00F01241" w:rsidP="00941179">
      <w:pPr>
        <w:autoSpaceDE w:val="0"/>
        <w:autoSpaceDN w:val="0"/>
        <w:adjustRightInd w:val="0"/>
        <w:spacing w:after="0" w:line="240" w:lineRule="auto"/>
        <w:jc w:val="both"/>
        <w:rPr>
          <w:rFonts w:ascii="Cambria" w:hAnsi="Cambria" w:cs="Cambria"/>
          <w:b/>
          <w:bCs/>
          <w:color w:val="000000"/>
          <w:sz w:val="23"/>
          <w:szCs w:val="23"/>
        </w:rPr>
      </w:pPr>
    </w:p>
    <w:p w14:paraId="7E1F2546" w14:textId="0A6E68D4" w:rsidR="00F01241" w:rsidRPr="00F01241" w:rsidRDefault="00F01241" w:rsidP="00941179">
      <w:pPr>
        <w:autoSpaceDE w:val="0"/>
        <w:autoSpaceDN w:val="0"/>
        <w:adjustRightInd w:val="0"/>
        <w:spacing w:after="0" w:line="240" w:lineRule="auto"/>
        <w:jc w:val="both"/>
        <w:rPr>
          <w:rFonts w:ascii="Cambria" w:hAnsi="Cambria" w:cs="Cambria"/>
          <w:color w:val="000000"/>
          <w:sz w:val="19"/>
          <w:szCs w:val="19"/>
        </w:rPr>
      </w:pPr>
      <w:r w:rsidRPr="00F01241">
        <w:rPr>
          <w:rFonts w:ascii="Cambria" w:hAnsi="Cambria" w:cs="Cambria"/>
          <w:b/>
          <w:bCs/>
          <w:color w:val="000000"/>
          <w:sz w:val="23"/>
          <w:szCs w:val="23"/>
        </w:rPr>
        <w:t>A</w:t>
      </w:r>
      <w:r w:rsidRPr="00F01241">
        <w:rPr>
          <w:rFonts w:ascii="Cambria" w:hAnsi="Cambria" w:cs="Cambria"/>
          <w:b/>
          <w:bCs/>
          <w:color w:val="000000"/>
          <w:sz w:val="19"/>
          <w:szCs w:val="19"/>
        </w:rPr>
        <w:t xml:space="preserve">NTICIPATED </w:t>
      </w:r>
      <w:r w:rsidRPr="00F01241">
        <w:rPr>
          <w:rFonts w:ascii="Cambria" w:hAnsi="Cambria" w:cs="Cambria"/>
          <w:b/>
          <w:bCs/>
          <w:color w:val="000000"/>
          <w:sz w:val="23"/>
          <w:szCs w:val="23"/>
        </w:rPr>
        <w:t>A</w:t>
      </w:r>
      <w:r w:rsidRPr="00F01241">
        <w:rPr>
          <w:rFonts w:ascii="Cambria" w:hAnsi="Cambria" w:cs="Cambria"/>
          <w:b/>
          <w:bCs/>
          <w:color w:val="000000"/>
          <w:sz w:val="19"/>
          <w:szCs w:val="19"/>
        </w:rPr>
        <w:t>CQUISITION BY</w:t>
      </w:r>
      <w:r w:rsidR="00466CB8">
        <w:rPr>
          <w:rFonts w:ascii="Cambria" w:hAnsi="Cambria" w:cs="Cambria"/>
          <w:b/>
          <w:bCs/>
          <w:color w:val="000000"/>
          <w:sz w:val="19"/>
          <w:szCs w:val="19"/>
        </w:rPr>
        <w:t xml:space="preserve"> </w:t>
      </w:r>
      <w:r w:rsidR="00466CB8">
        <w:rPr>
          <w:rFonts w:ascii="Cambria" w:hAnsi="Cambria" w:cs="Cambria"/>
          <w:b/>
          <w:bCs/>
          <w:color w:val="000000"/>
          <w:sz w:val="23"/>
          <w:szCs w:val="23"/>
        </w:rPr>
        <w:t>C</w:t>
      </w:r>
      <w:r w:rsidR="00466CB8">
        <w:rPr>
          <w:rFonts w:ascii="Cambria" w:hAnsi="Cambria" w:cs="Cambria"/>
          <w:b/>
          <w:bCs/>
          <w:color w:val="000000"/>
          <w:sz w:val="19"/>
          <w:szCs w:val="19"/>
        </w:rPr>
        <w:t>ONNECT</w:t>
      </w:r>
      <w:r w:rsidR="00466CB8" w:rsidRPr="00F01241">
        <w:rPr>
          <w:rFonts w:ascii="Cambria" w:hAnsi="Cambria" w:cs="Cambria"/>
          <w:b/>
          <w:bCs/>
          <w:color w:val="000000"/>
          <w:sz w:val="19"/>
          <w:szCs w:val="19"/>
        </w:rPr>
        <w:t xml:space="preserve"> </w:t>
      </w:r>
      <w:r w:rsidR="00466CB8">
        <w:rPr>
          <w:rFonts w:ascii="Cambria" w:hAnsi="Cambria" w:cs="Cambria"/>
          <w:b/>
          <w:bCs/>
          <w:color w:val="000000"/>
          <w:sz w:val="19"/>
          <w:szCs w:val="19"/>
        </w:rPr>
        <w:t>BIDCO LIMITED</w:t>
      </w:r>
      <w:r w:rsidRPr="00F01241">
        <w:rPr>
          <w:rFonts w:ascii="Cambria" w:hAnsi="Cambria" w:cs="Cambria"/>
          <w:b/>
          <w:bCs/>
          <w:color w:val="000000"/>
          <w:sz w:val="19"/>
          <w:szCs w:val="19"/>
        </w:rPr>
        <w:t xml:space="preserve"> OF </w:t>
      </w:r>
      <w:r w:rsidR="00C9453F">
        <w:rPr>
          <w:rFonts w:ascii="Cambria" w:hAnsi="Cambria" w:cs="Cambria"/>
          <w:b/>
          <w:bCs/>
          <w:color w:val="000000"/>
          <w:sz w:val="23"/>
          <w:szCs w:val="23"/>
        </w:rPr>
        <w:t>I</w:t>
      </w:r>
      <w:r w:rsidR="00C9453F">
        <w:rPr>
          <w:rFonts w:ascii="Cambria" w:hAnsi="Cambria" w:cs="Cambria"/>
          <w:b/>
          <w:bCs/>
          <w:color w:val="000000"/>
          <w:sz w:val="19"/>
          <w:szCs w:val="19"/>
        </w:rPr>
        <w:t xml:space="preserve">NMARSAT </w:t>
      </w:r>
      <w:r w:rsidR="00C9453F" w:rsidRPr="00F01241">
        <w:rPr>
          <w:rFonts w:ascii="Cambria" w:hAnsi="Cambria" w:cs="Cambria"/>
          <w:b/>
          <w:bCs/>
          <w:color w:val="000000"/>
          <w:sz w:val="19"/>
          <w:szCs w:val="19"/>
        </w:rPr>
        <w:t>PLC</w:t>
      </w:r>
    </w:p>
    <w:p w14:paraId="0BE5D7EF" w14:textId="77777777" w:rsidR="00F01241" w:rsidRDefault="00F01241" w:rsidP="00941179">
      <w:pPr>
        <w:autoSpaceDE w:val="0"/>
        <w:autoSpaceDN w:val="0"/>
        <w:adjustRightInd w:val="0"/>
        <w:spacing w:after="0" w:line="240" w:lineRule="auto"/>
        <w:jc w:val="both"/>
        <w:rPr>
          <w:rFonts w:ascii="Cambria" w:hAnsi="Cambria" w:cs="Cambria"/>
          <w:b/>
          <w:bCs/>
          <w:color w:val="000000"/>
          <w:sz w:val="23"/>
          <w:szCs w:val="23"/>
        </w:rPr>
      </w:pPr>
    </w:p>
    <w:p w14:paraId="0B9995B6" w14:textId="5833FB86" w:rsidR="00F01241" w:rsidRDefault="00F01241" w:rsidP="00941179">
      <w:pPr>
        <w:autoSpaceDE w:val="0"/>
        <w:autoSpaceDN w:val="0"/>
        <w:adjustRightInd w:val="0"/>
        <w:spacing w:after="0" w:line="240" w:lineRule="auto"/>
        <w:jc w:val="both"/>
        <w:rPr>
          <w:rFonts w:ascii="Cambria" w:hAnsi="Cambria" w:cs="Cambria"/>
          <w:b/>
          <w:bCs/>
          <w:color w:val="000000"/>
          <w:sz w:val="19"/>
          <w:szCs w:val="19"/>
        </w:rPr>
      </w:pPr>
      <w:r w:rsidRPr="00F01241">
        <w:rPr>
          <w:rFonts w:ascii="Cambria" w:hAnsi="Cambria" w:cs="Cambria"/>
          <w:b/>
          <w:bCs/>
          <w:color w:val="000000"/>
          <w:sz w:val="23"/>
          <w:szCs w:val="23"/>
        </w:rPr>
        <w:t>U</w:t>
      </w:r>
      <w:r w:rsidRPr="00F01241">
        <w:rPr>
          <w:rFonts w:ascii="Cambria" w:hAnsi="Cambria" w:cs="Cambria"/>
          <w:b/>
          <w:bCs/>
          <w:color w:val="000000"/>
          <w:sz w:val="19"/>
          <w:szCs w:val="19"/>
        </w:rPr>
        <w:t xml:space="preserve">NDERTAKINGS GIVEN TO THE </w:t>
      </w:r>
      <w:r w:rsidRPr="00F01241">
        <w:rPr>
          <w:rFonts w:ascii="Cambria" w:hAnsi="Cambria" w:cs="Cambria"/>
          <w:b/>
          <w:bCs/>
          <w:color w:val="000000"/>
          <w:sz w:val="23"/>
          <w:szCs w:val="23"/>
        </w:rPr>
        <w:t>S</w:t>
      </w:r>
      <w:r w:rsidRPr="00F01241">
        <w:rPr>
          <w:rFonts w:ascii="Cambria" w:hAnsi="Cambria" w:cs="Cambria"/>
          <w:b/>
          <w:bCs/>
          <w:color w:val="000000"/>
          <w:sz w:val="19"/>
          <w:szCs w:val="19"/>
        </w:rPr>
        <w:t xml:space="preserve">ECRETARY OF </w:t>
      </w:r>
      <w:r w:rsidRPr="00F01241">
        <w:rPr>
          <w:rFonts w:ascii="Cambria" w:hAnsi="Cambria" w:cs="Cambria"/>
          <w:b/>
          <w:bCs/>
          <w:color w:val="000000"/>
          <w:sz w:val="23"/>
          <w:szCs w:val="23"/>
        </w:rPr>
        <w:t>S</w:t>
      </w:r>
      <w:r w:rsidRPr="00F01241">
        <w:rPr>
          <w:rFonts w:ascii="Cambria" w:hAnsi="Cambria" w:cs="Cambria"/>
          <w:b/>
          <w:bCs/>
          <w:color w:val="000000"/>
          <w:sz w:val="19"/>
          <w:szCs w:val="19"/>
        </w:rPr>
        <w:t xml:space="preserve">TATE FOR </w:t>
      </w:r>
      <w:r w:rsidR="00000C9C">
        <w:rPr>
          <w:rFonts w:ascii="Cambria" w:hAnsi="Cambria" w:cs="Cambria"/>
          <w:b/>
          <w:bCs/>
          <w:color w:val="000000"/>
          <w:sz w:val="23"/>
          <w:szCs w:val="23"/>
        </w:rPr>
        <w:t>D</w:t>
      </w:r>
      <w:r w:rsidRPr="00F01241">
        <w:rPr>
          <w:rFonts w:ascii="Cambria" w:hAnsi="Cambria" w:cs="Cambria"/>
          <w:b/>
          <w:bCs/>
          <w:color w:val="000000"/>
          <w:sz w:val="19"/>
          <w:szCs w:val="19"/>
        </w:rPr>
        <w:t>I</w:t>
      </w:r>
      <w:r w:rsidR="00000C9C">
        <w:rPr>
          <w:rFonts w:ascii="Cambria" w:hAnsi="Cambria" w:cs="Cambria"/>
          <w:b/>
          <w:bCs/>
          <w:color w:val="000000"/>
          <w:sz w:val="19"/>
          <w:szCs w:val="19"/>
        </w:rPr>
        <w:t xml:space="preserve">GITAL, </w:t>
      </w:r>
      <w:r w:rsidR="00684DB3">
        <w:rPr>
          <w:rFonts w:ascii="Cambria" w:hAnsi="Cambria" w:cs="Cambria"/>
          <w:b/>
          <w:bCs/>
          <w:color w:val="000000"/>
          <w:sz w:val="23"/>
          <w:szCs w:val="23"/>
        </w:rPr>
        <w:t>C</w:t>
      </w:r>
      <w:r w:rsidR="00684DB3">
        <w:rPr>
          <w:rFonts w:ascii="Cambria" w:hAnsi="Cambria" w:cs="Cambria"/>
          <w:b/>
          <w:bCs/>
          <w:color w:val="000000"/>
          <w:sz w:val="19"/>
          <w:szCs w:val="19"/>
        </w:rPr>
        <w:t xml:space="preserve">ULTURE, </w:t>
      </w:r>
      <w:r w:rsidR="00684DB3">
        <w:rPr>
          <w:rFonts w:ascii="Cambria" w:hAnsi="Cambria" w:cs="Cambria"/>
          <w:b/>
          <w:bCs/>
          <w:color w:val="000000"/>
          <w:sz w:val="23"/>
          <w:szCs w:val="23"/>
        </w:rPr>
        <w:t>M</w:t>
      </w:r>
      <w:r w:rsidR="00684DB3">
        <w:rPr>
          <w:rFonts w:ascii="Cambria" w:hAnsi="Cambria" w:cs="Cambria"/>
          <w:b/>
          <w:bCs/>
          <w:color w:val="000000"/>
          <w:sz w:val="19"/>
          <w:szCs w:val="19"/>
        </w:rPr>
        <w:t>EDIA</w:t>
      </w:r>
      <w:r>
        <w:rPr>
          <w:rFonts w:ascii="Cambria" w:hAnsi="Cambria" w:cs="Cambria"/>
          <w:b/>
          <w:bCs/>
          <w:color w:val="000000"/>
          <w:sz w:val="19"/>
          <w:szCs w:val="19"/>
        </w:rPr>
        <w:t xml:space="preserve"> </w:t>
      </w:r>
      <w:r w:rsidR="00EC79E5">
        <w:rPr>
          <w:rFonts w:ascii="Cambria" w:hAnsi="Cambria" w:cs="Cambria"/>
          <w:b/>
          <w:bCs/>
          <w:color w:val="000000"/>
          <w:sz w:val="19"/>
          <w:szCs w:val="19"/>
        </w:rPr>
        <w:t xml:space="preserve">AND </w:t>
      </w:r>
      <w:r w:rsidRPr="00F01241">
        <w:rPr>
          <w:rFonts w:ascii="Cambria" w:hAnsi="Cambria" w:cs="Cambria"/>
          <w:b/>
          <w:bCs/>
          <w:color w:val="000000"/>
          <w:sz w:val="23"/>
          <w:szCs w:val="23"/>
        </w:rPr>
        <w:t>S</w:t>
      </w:r>
      <w:r w:rsidR="00EC79E5">
        <w:rPr>
          <w:rFonts w:ascii="Cambria" w:hAnsi="Cambria" w:cs="Cambria"/>
          <w:b/>
          <w:bCs/>
          <w:color w:val="000000"/>
          <w:sz w:val="19"/>
          <w:szCs w:val="19"/>
        </w:rPr>
        <w:t>PORT</w:t>
      </w:r>
      <w:r w:rsidRPr="00F01241">
        <w:rPr>
          <w:rFonts w:ascii="Cambria" w:hAnsi="Cambria" w:cs="Cambria"/>
          <w:b/>
          <w:bCs/>
          <w:color w:val="000000"/>
          <w:sz w:val="19"/>
          <w:szCs w:val="19"/>
        </w:rPr>
        <w:t xml:space="preserve"> BY</w:t>
      </w:r>
    </w:p>
    <w:p w14:paraId="1E112F33" w14:textId="77777777" w:rsidR="00F01241" w:rsidRPr="00F01241" w:rsidRDefault="00F01241" w:rsidP="00941179">
      <w:pPr>
        <w:autoSpaceDE w:val="0"/>
        <w:autoSpaceDN w:val="0"/>
        <w:adjustRightInd w:val="0"/>
        <w:spacing w:after="0" w:line="240" w:lineRule="auto"/>
        <w:jc w:val="both"/>
        <w:rPr>
          <w:rFonts w:ascii="Cambria" w:hAnsi="Cambria" w:cs="Cambria"/>
          <w:b/>
          <w:bCs/>
          <w:color w:val="000000"/>
          <w:sz w:val="19"/>
          <w:szCs w:val="19"/>
        </w:rPr>
      </w:pPr>
      <w:r w:rsidRPr="00F01241">
        <w:rPr>
          <w:rFonts w:ascii="Cambria" w:hAnsi="Cambria" w:cs="Cambria"/>
          <w:b/>
          <w:bCs/>
          <w:color w:val="000000"/>
          <w:sz w:val="19"/>
          <w:szCs w:val="19"/>
        </w:rPr>
        <w:t xml:space="preserve"> </w:t>
      </w:r>
    </w:p>
    <w:p w14:paraId="5F8BA854" w14:textId="4C95DDD8" w:rsidR="00F01241" w:rsidRPr="008327C2" w:rsidRDefault="003C3163" w:rsidP="00941179">
      <w:pPr>
        <w:autoSpaceDE w:val="0"/>
        <w:autoSpaceDN w:val="0"/>
        <w:adjustRightInd w:val="0"/>
        <w:spacing w:after="0" w:line="240" w:lineRule="auto"/>
        <w:jc w:val="both"/>
        <w:rPr>
          <w:rFonts w:ascii="Cambria" w:hAnsi="Cambria" w:cs="Cambria"/>
          <w:b/>
          <w:bCs/>
          <w:color w:val="000000"/>
          <w:sz w:val="19"/>
          <w:szCs w:val="19"/>
        </w:rPr>
      </w:pPr>
      <w:r>
        <w:rPr>
          <w:rFonts w:ascii="Cambria" w:hAnsi="Cambria" w:cs="Cambria"/>
          <w:b/>
          <w:bCs/>
          <w:color w:val="000000"/>
          <w:sz w:val="23"/>
          <w:szCs w:val="23"/>
        </w:rPr>
        <w:t>C</w:t>
      </w:r>
      <w:r w:rsidR="008245D3">
        <w:rPr>
          <w:rFonts w:ascii="Cambria" w:hAnsi="Cambria" w:cs="Cambria"/>
          <w:b/>
          <w:bCs/>
          <w:color w:val="000000"/>
          <w:sz w:val="19"/>
          <w:szCs w:val="19"/>
        </w:rPr>
        <w:t>ON</w:t>
      </w:r>
      <w:r>
        <w:rPr>
          <w:rFonts w:ascii="Cambria" w:hAnsi="Cambria" w:cs="Cambria"/>
          <w:b/>
          <w:bCs/>
          <w:color w:val="000000"/>
          <w:sz w:val="19"/>
          <w:szCs w:val="19"/>
        </w:rPr>
        <w:t>NECT</w:t>
      </w:r>
      <w:r w:rsidR="00F01241" w:rsidRPr="00F01241">
        <w:rPr>
          <w:rFonts w:ascii="Cambria" w:hAnsi="Cambria" w:cs="Cambria"/>
          <w:b/>
          <w:bCs/>
          <w:color w:val="000000"/>
          <w:sz w:val="19"/>
          <w:szCs w:val="19"/>
        </w:rPr>
        <w:t xml:space="preserve"> </w:t>
      </w:r>
      <w:r w:rsidR="00336BCE">
        <w:rPr>
          <w:rFonts w:ascii="Cambria" w:hAnsi="Cambria" w:cs="Cambria"/>
          <w:b/>
          <w:bCs/>
          <w:color w:val="000000"/>
          <w:sz w:val="19"/>
          <w:szCs w:val="19"/>
        </w:rPr>
        <w:t xml:space="preserve">BIDCO </w:t>
      </w:r>
      <w:r w:rsidR="005A0E99">
        <w:rPr>
          <w:rFonts w:ascii="Cambria" w:hAnsi="Cambria" w:cs="Cambria"/>
          <w:b/>
          <w:bCs/>
          <w:color w:val="000000"/>
          <w:sz w:val="19"/>
          <w:szCs w:val="19"/>
        </w:rPr>
        <w:t>LIMITED</w:t>
      </w:r>
      <w:r w:rsidR="00C13983">
        <w:rPr>
          <w:rFonts w:ascii="Cambria" w:hAnsi="Cambria" w:cs="Cambria"/>
          <w:b/>
          <w:bCs/>
          <w:color w:val="000000"/>
          <w:sz w:val="19"/>
          <w:szCs w:val="19"/>
        </w:rPr>
        <w:t>, INCORPORATED AND REGISTERED IN GUERNSEY WITH COMPANY NUMBER 66187 WHOSE REGISTERED OFFICE IS AT REDWOOD HOUSE, ST JULIAN’S AVENUE, ST PETER PORT, GUE</w:t>
      </w:r>
      <w:r w:rsidR="00071B5C">
        <w:rPr>
          <w:rFonts w:ascii="Cambria" w:hAnsi="Cambria" w:cs="Cambria"/>
          <w:b/>
          <w:bCs/>
          <w:color w:val="000000"/>
          <w:sz w:val="19"/>
          <w:szCs w:val="19"/>
        </w:rPr>
        <w:t xml:space="preserve">RNSEY GY1 1WA </w:t>
      </w:r>
      <w:r w:rsidR="00056169" w:rsidRPr="00F01241">
        <w:rPr>
          <w:rFonts w:ascii="Cambria" w:hAnsi="Cambria" w:cs="Cambria"/>
          <w:b/>
          <w:bCs/>
          <w:color w:val="000000"/>
          <w:sz w:val="23"/>
          <w:szCs w:val="23"/>
        </w:rPr>
        <w:t>(</w:t>
      </w:r>
      <w:r w:rsidR="00056169">
        <w:rPr>
          <w:rFonts w:ascii="Cambria" w:hAnsi="Cambria" w:cs="Cambria"/>
          <w:b/>
          <w:bCs/>
          <w:color w:val="000000"/>
          <w:sz w:val="23"/>
          <w:szCs w:val="23"/>
        </w:rPr>
        <w:t>“</w:t>
      </w:r>
      <w:r w:rsidR="00071B5C">
        <w:rPr>
          <w:rFonts w:ascii="Cambria" w:hAnsi="Cambria" w:cs="Cambria"/>
          <w:b/>
          <w:bCs/>
          <w:color w:val="000000"/>
          <w:sz w:val="23"/>
          <w:szCs w:val="23"/>
        </w:rPr>
        <w:t>C</w:t>
      </w:r>
      <w:r w:rsidR="00071B5C">
        <w:rPr>
          <w:rFonts w:ascii="Cambria" w:hAnsi="Cambria" w:cs="Cambria"/>
          <w:b/>
          <w:bCs/>
          <w:color w:val="000000"/>
          <w:sz w:val="19"/>
          <w:szCs w:val="19"/>
        </w:rPr>
        <w:t>ONNECT</w:t>
      </w:r>
      <w:r w:rsidR="00071B5C" w:rsidRPr="00071B5C">
        <w:rPr>
          <w:rFonts w:ascii="Cambria" w:hAnsi="Cambria" w:cs="Cambria"/>
          <w:b/>
          <w:bCs/>
          <w:color w:val="000000"/>
          <w:sz w:val="23"/>
          <w:szCs w:val="23"/>
        </w:rPr>
        <w:t xml:space="preserve"> </w:t>
      </w:r>
      <w:r w:rsidR="00071B5C">
        <w:rPr>
          <w:rFonts w:ascii="Cambria" w:hAnsi="Cambria" w:cs="Cambria"/>
          <w:b/>
          <w:bCs/>
          <w:color w:val="000000"/>
          <w:sz w:val="23"/>
          <w:szCs w:val="23"/>
        </w:rPr>
        <w:t>B</w:t>
      </w:r>
      <w:r w:rsidR="00071B5C">
        <w:rPr>
          <w:rFonts w:ascii="Cambria" w:hAnsi="Cambria" w:cs="Cambria"/>
          <w:b/>
          <w:bCs/>
          <w:color w:val="000000"/>
          <w:sz w:val="19"/>
          <w:szCs w:val="19"/>
        </w:rPr>
        <w:t>IDCO</w:t>
      </w:r>
      <w:r w:rsidR="00056169">
        <w:rPr>
          <w:rFonts w:ascii="Cambria" w:hAnsi="Cambria" w:cs="Cambria"/>
          <w:b/>
          <w:bCs/>
          <w:color w:val="000000"/>
          <w:sz w:val="19"/>
          <w:szCs w:val="19"/>
        </w:rPr>
        <w:t>”</w:t>
      </w:r>
      <w:r w:rsidR="00056169" w:rsidRPr="00F01241">
        <w:rPr>
          <w:rFonts w:ascii="Cambria" w:hAnsi="Cambria" w:cs="Cambria"/>
          <w:b/>
          <w:bCs/>
          <w:color w:val="000000"/>
          <w:sz w:val="23"/>
          <w:szCs w:val="23"/>
        </w:rPr>
        <w:t>)</w:t>
      </w:r>
      <w:r w:rsidR="008C35A5">
        <w:rPr>
          <w:rFonts w:ascii="Cambria" w:hAnsi="Cambria" w:cs="Cambria"/>
          <w:b/>
          <w:bCs/>
          <w:color w:val="000000"/>
          <w:sz w:val="19"/>
          <w:szCs w:val="19"/>
        </w:rPr>
        <w:t xml:space="preserve">; </w:t>
      </w:r>
      <w:r w:rsidR="00F01241" w:rsidRPr="00F01241">
        <w:rPr>
          <w:rFonts w:ascii="Cambria" w:hAnsi="Cambria" w:cs="Cambria"/>
          <w:b/>
          <w:bCs/>
          <w:color w:val="000000"/>
          <w:sz w:val="19"/>
          <w:szCs w:val="19"/>
        </w:rPr>
        <w:t xml:space="preserve">AND </w:t>
      </w:r>
    </w:p>
    <w:p w14:paraId="0BC58745" w14:textId="040F19A5" w:rsidR="00F01241" w:rsidRPr="00F01241" w:rsidRDefault="00F01241" w:rsidP="00941179">
      <w:pPr>
        <w:jc w:val="both"/>
        <w:rPr>
          <w:rStyle w:val="SubtleReference"/>
          <w:rFonts w:ascii="Cambria" w:hAnsi="Cambria" w:cs="Cambria"/>
          <w:b/>
          <w:bCs/>
          <w:smallCaps w:val="0"/>
          <w:color w:val="000000"/>
          <w:sz w:val="23"/>
          <w:szCs w:val="23"/>
        </w:rPr>
      </w:pPr>
      <w:r>
        <w:rPr>
          <w:rFonts w:ascii="Cambria" w:hAnsi="Cambria" w:cs="Cambria"/>
          <w:b/>
          <w:bCs/>
          <w:color w:val="000000"/>
          <w:sz w:val="23"/>
          <w:szCs w:val="23"/>
        </w:rPr>
        <w:br/>
      </w:r>
      <w:r w:rsidR="00157EE3">
        <w:rPr>
          <w:rFonts w:ascii="Cambria" w:hAnsi="Cambria" w:cs="Cambria"/>
          <w:b/>
          <w:bCs/>
          <w:color w:val="000000"/>
          <w:sz w:val="23"/>
          <w:szCs w:val="23"/>
        </w:rPr>
        <w:t>I</w:t>
      </w:r>
      <w:r w:rsidR="00157EE3">
        <w:rPr>
          <w:rFonts w:ascii="Cambria" w:hAnsi="Cambria" w:cs="Cambria"/>
          <w:b/>
          <w:bCs/>
          <w:color w:val="000000"/>
          <w:sz w:val="19"/>
          <w:szCs w:val="19"/>
        </w:rPr>
        <w:t>N</w:t>
      </w:r>
      <w:r w:rsidR="00644689">
        <w:rPr>
          <w:rFonts w:ascii="Cambria" w:hAnsi="Cambria" w:cs="Cambria"/>
          <w:b/>
          <w:bCs/>
          <w:color w:val="000000"/>
          <w:sz w:val="19"/>
          <w:szCs w:val="19"/>
        </w:rPr>
        <w:t xml:space="preserve">MARSAT </w:t>
      </w:r>
      <w:r w:rsidRPr="00F01241">
        <w:rPr>
          <w:rFonts w:ascii="Cambria" w:hAnsi="Cambria" w:cs="Cambria"/>
          <w:b/>
          <w:bCs/>
          <w:color w:val="000000"/>
          <w:sz w:val="19"/>
          <w:szCs w:val="19"/>
        </w:rPr>
        <w:t>PLC</w:t>
      </w:r>
      <w:r w:rsidRPr="00F01241">
        <w:rPr>
          <w:rFonts w:ascii="Cambria" w:hAnsi="Cambria" w:cs="Cambria"/>
          <w:b/>
          <w:bCs/>
          <w:color w:val="000000"/>
          <w:sz w:val="23"/>
          <w:szCs w:val="23"/>
        </w:rPr>
        <w:t xml:space="preserve">, </w:t>
      </w:r>
      <w:r w:rsidRPr="00F01241">
        <w:rPr>
          <w:rFonts w:ascii="Cambria" w:hAnsi="Cambria" w:cs="Cambria"/>
          <w:b/>
          <w:bCs/>
          <w:color w:val="000000"/>
          <w:sz w:val="19"/>
          <w:szCs w:val="19"/>
        </w:rPr>
        <w:t xml:space="preserve">INCORPORATED </w:t>
      </w:r>
      <w:r w:rsidR="007E5A0E">
        <w:rPr>
          <w:rFonts w:ascii="Cambria" w:hAnsi="Cambria" w:cs="Cambria"/>
          <w:b/>
          <w:bCs/>
          <w:color w:val="000000"/>
          <w:sz w:val="19"/>
          <w:szCs w:val="19"/>
        </w:rPr>
        <w:t xml:space="preserve">AND REGISTERED </w:t>
      </w:r>
      <w:r w:rsidRPr="00F01241">
        <w:rPr>
          <w:rFonts w:ascii="Cambria" w:hAnsi="Cambria" w:cs="Cambria"/>
          <w:b/>
          <w:bCs/>
          <w:color w:val="000000"/>
          <w:sz w:val="19"/>
          <w:szCs w:val="19"/>
        </w:rPr>
        <w:t xml:space="preserve">IN </w:t>
      </w:r>
      <w:r w:rsidRPr="00F01241">
        <w:rPr>
          <w:rFonts w:ascii="Cambria" w:hAnsi="Cambria" w:cs="Cambria"/>
          <w:b/>
          <w:bCs/>
          <w:color w:val="000000"/>
          <w:sz w:val="23"/>
          <w:szCs w:val="23"/>
        </w:rPr>
        <w:t>E</w:t>
      </w:r>
      <w:r w:rsidRPr="00F01241">
        <w:rPr>
          <w:rFonts w:ascii="Cambria" w:hAnsi="Cambria" w:cs="Cambria"/>
          <w:b/>
          <w:bCs/>
          <w:color w:val="000000"/>
          <w:sz w:val="19"/>
          <w:szCs w:val="19"/>
        </w:rPr>
        <w:t xml:space="preserve">NGLAND AND </w:t>
      </w:r>
      <w:r w:rsidRPr="00F01241">
        <w:rPr>
          <w:rFonts w:ascii="Cambria" w:hAnsi="Cambria" w:cs="Cambria"/>
          <w:b/>
          <w:bCs/>
          <w:color w:val="000000"/>
          <w:sz w:val="23"/>
          <w:szCs w:val="23"/>
        </w:rPr>
        <w:t>W</w:t>
      </w:r>
      <w:r w:rsidRPr="00F01241">
        <w:rPr>
          <w:rFonts w:ascii="Cambria" w:hAnsi="Cambria" w:cs="Cambria"/>
          <w:b/>
          <w:bCs/>
          <w:color w:val="000000"/>
          <w:sz w:val="19"/>
          <w:szCs w:val="19"/>
        </w:rPr>
        <w:t xml:space="preserve">ALES </w:t>
      </w:r>
      <w:r w:rsidR="007E5A0E">
        <w:rPr>
          <w:rFonts w:ascii="Cambria" w:hAnsi="Cambria" w:cs="Cambria"/>
          <w:b/>
          <w:bCs/>
          <w:color w:val="000000"/>
          <w:sz w:val="19"/>
          <w:szCs w:val="19"/>
        </w:rPr>
        <w:t>WITH COMPANY NUMBER 0488</w:t>
      </w:r>
      <w:r w:rsidR="00056169">
        <w:rPr>
          <w:rFonts w:ascii="Cambria" w:hAnsi="Cambria" w:cs="Cambria"/>
          <w:b/>
          <w:bCs/>
          <w:color w:val="000000"/>
          <w:sz w:val="19"/>
          <w:szCs w:val="19"/>
        </w:rPr>
        <w:t xml:space="preserve">6072 </w:t>
      </w:r>
      <w:r w:rsidRPr="00F01241">
        <w:rPr>
          <w:rFonts w:ascii="Cambria" w:hAnsi="Cambria" w:cs="Cambria"/>
          <w:b/>
          <w:bCs/>
          <w:color w:val="000000"/>
          <w:sz w:val="19"/>
          <w:szCs w:val="19"/>
        </w:rPr>
        <w:t xml:space="preserve">WHOSE REGISTERED OFFICE IS AT </w:t>
      </w:r>
      <w:r w:rsidR="00056169">
        <w:rPr>
          <w:rFonts w:ascii="Cambria" w:hAnsi="Cambria" w:cs="Cambria"/>
          <w:b/>
          <w:bCs/>
          <w:color w:val="000000"/>
          <w:sz w:val="19"/>
          <w:szCs w:val="19"/>
        </w:rPr>
        <w:t xml:space="preserve">99 CITY ROAD, LONDON, EC1Y 1AX </w:t>
      </w:r>
      <w:r w:rsidR="00056169" w:rsidRPr="00F01241">
        <w:rPr>
          <w:rFonts w:ascii="Cambria" w:hAnsi="Cambria" w:cs="Cambria"/>
          <w:b/>
          <w:bCs/>
          <w:color w:val="000000"/>
          <w:sz w:val="23"/>
          <w:szCs w:val="23"/>
        </w:rPr>
        <w:t>(</w:t>
      </w:r>
      <w:r w:rsidR="00056169">
        <w:rPr>
          <w:rFonts w:ascii="Cambria" w:hAnsi="Cambria" w:cs="Cambria"/>
          <w:b/>
          <w:bCs/>
          <w:color w:val="000000"/>
          <w:sz w:val="23"/>
          <w:szCs w:val="23"/>
        </w:rPr>
        <w:t>“</w:t>
      </w:r>
      <w:r w:rsidR="00644689">
        <w:rPr>
          <w:rFonts w:ascii="Cambria" w:hAnsi="Cambria" w:cs="Cambria"/>
          <w:b/>
          <w:bCs/>
          <w:color w:val="000000"/>
          <w:sz w:val="23"/>
          <w:szCs w:val="23"/>
        </w:rPr>
        <w:t>I</w:t>
      </w:r>
      <w:r w:rsidR="00644689">
        <w:rPr>
          <w:rFonts w:ascii="Cambria" w:hAnsi="Cambria" w:cs="Cambria"/>
          <w:b/>
          <w:bCs/>
          <w:color w:val="000000"/>
          <w:sz w:val="19"/>
          <w:szCs w:val="19"/>
        </w:rPr>
        <w:t>NMARSAT</w:t>
      </w:r>
      <w:r w:rsidR="00056169">
        <w:rPr>
          <w:rFonts w:ascii="Cambria" w:hAnsi="Cambria" w:cs="Cambria"/>
          <w:b/>
          <w:bCs/>
          <w:color w:val="000000"/>
          <w:sz w:val="19"/>
          <w:szCs w:val="19"/>
        </w:rPr>
        <w:t>”</w:t>
      </w:r>
      <w:r w:rsidR="00056169" w:rsidRPr="00F01241">
        <w:rPr>
          <w:rFonts w:ascii="Cambria" w:hAnsi="Cambria" w:cs="Cambria"/>
          <w:b/>
          <w:bCs/>
          <w:color w:val="000000"/>
          <w:sz w:val="23"/>
          <w:szCs w:val="23"/>
        </w:rPr>
        <w:t>)</w:t>
      </w:r>
    </w:p>
    <w:p w14:paraId="33E312FF" w14:textId="77777777" w:rsidR="00F01241" w:rsidRPr="00F01241" w:rsidRDefault="00F01241" w:rsidP="00941179">
      <w:pPr>
        <w:autoSpaceDE w:val="0"/>
        <w:autoSpaceDN w:val="0"/>
        <w:adjustRightInd w:val="0"/>
        <w:spacing w:after="0" w:line="240" w:lineRule="auto"/>
        <w:jc w:val="both"/>
        <w:rPr>
          <w:rFonts w:ascii="Cambria" w:hAnsi="Cambria" w:cs="Cambria"/>
          <w:color w:val="000000"/>
          <w:sz w:val="24"/>
          <w:szCs w:val="24"/>
        </w:rPr>
      </w:pPr>
    </w:p>
    <w:p w14:paraId="295C8B91" w14:textId="77777777" w:rsidR="00F01241" w:rsidRPr="00F01241" w:rsidRDefault="00F01241" w:rsidP="00941179">
      <w:pPr>
        <w:autoSpaceDE w:val="0"/>
        <w:autoSpaceDN w:val="0"/>
        <w:adjustRightInd w:val="0"/>
        <w:spacing w:after="0" w:line="240" w:lineRule="auto"/>
        <w:jc w:val="both"/>
        <w:rPr>
          <w:rFonts w:ascii="Cambria" w:hAnsi="Cambria" w:cs="Cambria"/>
          <w:color w:val="000000"/>
          <w:sz w:val="23"/>
          <w:szCs w:val="23"/>
        </w:rPr>
      </w:pPr>
      <w:r w:rsidRPr="00F01241">
        <w:rPr>
          <w:rFonts w:ascii="Cambria" w:hAnsi="Cambria" w:cs="Cambria"/>
          <w:color w:val="000000"/>
          <w:sz w:val="23"/>
          <w:szCs w:val="23"/>
        </w:rPr>
        <w:t xml:space="preserve">WHEREAS: </w:t>
      </w:r>
    </w:p>
    <w:p w14:paraId="5E6305BA" w14:textId="77777777" w:rsidR="00F01241" w:rsidRDefault="00F01241" w:rsidP="00941179">
      <w:pPr>
        <w:autoSpaceDE w:val="0"/>
        <w:autoSpaceDN w:val="0"/>
        <w:adjustRightInd w:val="0"/>
        <w:spacing w:after="0" w:line="240" w:lineRule="auto"/>
        <w:jc w:val="both"/>
        <w:rPr>
          <w:rFonts w:ascii="Cambria" w:hAnsi="Cambria" w:cs="Cambria"/>
          <w:color w:val="000000"/>
        </w:rPr>
      </w:pPr>
    </w:p>
    <w:p w14:paraId="17DF986C" w14:textId="250EA9A9" w:rsidR="00F01241" w:rsidRPr="00C0215F" w:rsidRDefault="00F01241" w:rsidP="00941179">
      <w:pPr>
        <w:autoSpaceDE w:val="0"/>
        <w:autoSpaceDN w:val="0"/>
        <w:adjustRightInd w:val="0"/>
        <w:spacing w:after="0" w:line="240" w:lineRule="auto"/>
        <w:jc w:val="both"/>
        <w:rPr>
          <w:rFonts w:ascii="Cambria" w:hAnsi="Cambria" w:cs="Cambria"/>
          <w:color w:val="FF0000"/>
          <w:sz w:val="23"/>
          <w:szCs w:val="23"/>
        </w:rPr>
      </w:pPr>
      <w:r w:rsidRPr="00F01241">
        <w:rPr>
          <w:rFonts w:ascii="Cambria" w:hAnsi="Cambria" w:cs="Cambria"/>
          <w:color w:val="000000"/>
        </w:rPr>
        <w:t xml:space="preserve">(A) </w:t>
      </w:r>
      <w:r w:rsidRPr="00D174F3">
        <w:rPr>
          <w:rFonts w:ascii="Cambria" w:hAnsi="Cambria" w:cs="Cambria"/>
          <w:sz w:val="23"/>
          <w:szCs w:val="23"/>
        </w:rPr>
        <w:t xml:space="preserve">On </w:t>
      </w:r>
      <w:r w:rsidR="00D174F3" w:rsidRPr="00D174F3">
        <w:rPr>
          <w:rFonts w:ascii="Cambria" w:hAnsi="Cambria" w:cs="Cambria"/>
          <w:sz w:val="23"/>
          <w:szCs w:val="23"/>
        </w:rPr>
        <w:t>25 March 2019</w:t>
      </w:r>
      <w:r w:rsidR="00D174F3">
        <w:rPr>
          <w:rFonts w:ascii="Cambria" w:hAnsi="Cambria" w:cs="Cambria"/>
          <w:sz w:val="23"/>
          <w:szCs w:val="23"/>
        </w:rPr>
        <w:t xml:space="preserve"> Connect </w:t>
      </w:r>
      <w:proofErr w:type="spellStart"/>
      <w:r w:rsidR="00D174F3">
        <w:rPr>
          <w:rFonts w:ascii="Cambria" w:hAnsi="Cambria" w:cs="Cambria"/>
          <w:sz w:val="23"/>
          <w:szCs w:val="23"/>
        </w:rPr>
        <w:t>Bidco</w:t>
      </w:r>
      <w:proofErr w:type="spellEnd"/>
      <w:r w:rsidR="00D174F3">
        <w:rPr>
          <w:rFonts w:ascii="Cambria" w:hAnsi="Cambria" w:cs="Cambria"/>
          <w:sz w:val="23"/>
          <w:szCs w:val="23"/>
        </w:rPr>
        <w:t xml:space="preserve"> and Inmarsat announced </w:t>
      </w:r>
      <w:r w:rsidR="00C21FD2">
        <w:rPr>
          <w:rFonts w:ascii="Cambria" w:hAnsi="Cambria" w:cs="Cambria"/>
          <w:sz w:val="23"/>
          <w:szCs w:val="23"/>
        </w:rPr>
        <w:t xml:space="preserve">the proposed acquisition </w:t>
      </w:r>
      <w:r w:rsidR="00675C2B">
        <w:rPr>
          <w:rFonts w:ascii="Cambria" w:hAnsi="Cambria" w:cs="Cambria"/>
          <w:sz w:val="23"/>
          <w:szCs w:val="23"/>
        </w:rPr>
        <w:t xml:space="preserve">by Connect </w:t>
      </w:r>
      <w:proofErr w:type="spellStart"/>
      <w:r w:rsidR="00675C2B">
        <w:rPr>
          <w:rFonts w:ascii="Cambria" w:hAnsi="Cambria" w:cs="Cambria"/>
          <w:sz w:val="23"/>
          <w:szCs w:val="23"/>
        </w:rPr>
        <w:t>Bidco</w:t>
      </w:r>
      <w:proofErr w:type="spellEnd"/>
      <w:r w:rsidR="00675C2B">
        <w:rPr>
          <w:rFonts w:ascii="Cambria" w:hAnsi="Cambria" w:cs="Cambria"/>
          <w:sz w:val="23"/>
          <w:szCs w:val="23"/>
        </w:rPr>
        <w:t xml:space="preserve"> </w:t>
      </w:r>
      <w:r w:rsidR="00514DCB">
        <w:rPr>
          <w:rFonts w:ascii="Cambria" w:hAnsi="Cambria" w:cs="Cambria"/>
          <w:sz w:val="23"/>
          <w:szCs w:val="23"/>
        </w:rPr>
        <w:t xml:space="preserve">Limited </w:t>
      </w:r>
      <w:r w:rsidR="00675C2B">
        <w:rPr>
          <w:rFonts w:ascii="Cambria" w:hAnsi="Cambria" w:cs="Cambria"/>
          <w:sz w:val="23"/>
          <w:szCs w:val="23"/>
        </w:rPr>
        <w:t xml:space="preserve">of the entire issued and to be issued </w:t>
      </w:r>
      <w:r w:rsidR="00837340">
        <w:rPr>
          <w:rFonts w:ascii="Cambria" w:hAnsi="Cambria" w:cs="Cambria"/>
          <w:sz w:val="23"/>
          <w:szCs w:val="23"/>
        </w:rPr>
        <w:t>share capital of Inmarsat plc (the “</w:t>
      </w:r>
      <w:r w:rsidR="00837340">
        <w:rPr>
          <w:rFonts w:ascii="Cambria" w:hAnsi="Cambria" w:cs="Cambria"/>
          <w:b/>
          <w:sz w:val="23"/>
          <w:szCs w:val="23"/>
        </w:rPr>
        <w:t>Transaction</w:t>
      </w:r>
      <w:r w:rsidR="00837340">
        <w:rPr>
          <w:rFonts w:ascii="Cambria" w:hAnsi="Cambria" w:cs="Cambria"/>
          <w:sz w:val="23"/>
          <w:szCs w:val="23"/>
        </w:rPr>
        <w:t xml:space="preserve">”); </w:t>
      </w:r>
    </w:p>
    <w:p w14:paraId="77E737A1" w14:textId="77777777" w:rsidR="00F01241" w:rsidRPr="00F01241" w:rsidRDefault="00F01241" w:rsidP="00941179">
      <w:pPr>
        <w:autoSpaceDE w:val="0"/>
        <w:autoSpaceDN w:val="0"/>
        <w:adjustRightInd w:val="0"/>
        <w:spacing w:after="0" w:line="240" w:lineRule="auto"/>
        <w:jc w:val="both"/>
        <w:rPr>
          <w:rFonts w:ascii="Cambria" w:hAnsi="Cambria" w:cs="Cambria"/>
          <w:color w:val="FF0000"/>
          <w:sz w:val="23"/>
          <w:szCs w:val="23"/>
        </w:rPr>
      </w:pPr>
    </w:p>
    <w:p w14:paraId="7C4E17DE" w14:textId="762844AC" w:rsidR="00F01241" w:rsidRPr="00837340" w:rsidRDefault="00F01241" w:rsidP="00941179">
      <w:pPr>
        <w:autoSpaceDE w:val="0"/>
        <w:autoSpaceDN w:val="0"/>
        <w:adjustRightInd w:val="0"/>
        <w:spacing w:after="0" w:line="240" w:lineRule="auto"/>
        <w:jc w:val="both"/>
        <w:rPr>
          <w:rFonts w:ascii="Cambria" w:hAnsi="Cambria" w:cs="Cambria"/>
          <w:sz w:val="23"/>
          <w:szCs w:val="23"/>
        </w:rPr>
      </w:pPr>
      <w:r w:rsidRPr="00837340">
        <w:rPr>
          <w:rFonts w:ascii="Cambria" w:hAnsi="Cambria" w:cs="Cambria"/>
        </w:rPr>
        <w:t xml:space="preserve">(B) </w:t>
      </w:r>
      <w:r w:rsidRPr="00837340">
        <w:rPr>
          <w:rFonts w:ascii="Cambria" w:hAnsi="Cambria" w:cs="Cambria"/>
          <w:sz w:val="23"/>
          <w:szCs w:val="23"/>
        </w:rPr>
        <w:t xml:space="preserve">On </w:t>
      </w:r>
      <w:r w:rsidR="00837340">
        <w:rPr>
          <w:rFonts w:ascii="Cambria" w:hAnsi="Cambria" w:cs="Cambria"/>
          <w:sz w:val="23"/>
          <w:szCs w:val="23"/>
        </w:rPr>
        <w:t>2</w:t>
      </w:r>
      <w:r w:rsidR="00DD1E70">
        <w:rPr>
          <w:rFonts w:ascii="Cambria" w:hAnsi="Cambria" w:cs="Cambria"/>
          <w:sz w:val="23"/>
          <w:szCs w:val="23"/>
        </w:rPr>
        <w:t>2</w:t>
      </w:r>
      <w:r w:rsidR="00837340">
        <w:rPr>
          <w:rFonts w:ascii="Cambria" w:hAnsi="Cambria" w:cs="Cambria"/>
          <w:sz w:val="23"/>
          <w:szCs w:val="23"/>
        </w:rPr>
        <w:t xml:space="preserve"> July 2019 </w:t>
      </w:r>
      <w:r w:rsidRPr="00837340">
        <w:rPr>
          <w:rFonts w:ascii="Cambria" w:hAnsi="Cambria" w:cs="Cambria"/>
          <w:sz w:val="23"/>
          <w:szCs w:val="23"/>
        </w:rPr>
        <w:t>the Secretary of State issued a public</w:t>
      </w:r>
      <w:r w:rsidR="008E7567">
        <w:rPr>
          <w:rFonts w:ascii="Cambria" w:hAnsi="Cambria" w:cs="Cambria"/>
          <w:sz w:val="23"/>
          <w:szCs w:val="23"/>
        </w:rPr>
        <w:t xml:space="preserve"> interest </w:t>
      </w:r>
      <w:r w:rsidRPr="00837340">
        <w:rPr>
          <w:rFonts w:ascii="Cambria" w:hAnsi="Cambria" w:cs="Cambria"/>
          <w:sz w:val="23"/>
          <w:szCs w:val="23"/>
        </w:rPr>
        <w:t>intervention notice to the Competition and Markets Authority ("</w:t>
      </w:r>
      <w:r w:rsidRPr="00837340">
        <w:rPr>
          <w:rFonts w:ascii="Cambria" w:hAnsi="Cambria" w:cs="Cambria"/>
          <w:b/>
          <w:bCs/>
          <w:sz w:val="23"/>
          <w:szCs w:val="23"/>
        </w:rPr>
        <w:t>CMA</w:t>
      </w:r>
      <w:r w:rsidRPr="00837340">
        <w:rPr>
          <w:rFonts w:ascii="Cambria" w:hAnsi="Cambria" w:cs="Cambria"/>
          <w:sz w:val="23"/>
          <w:szCs w:val="23"/>
        </w:rPr>
        <w:t>") under section 42 of the Enterprise Act 2002 (the "</w:t>
      </w:r>
      <w:r w:rsidRPr="00837340">
        <w:rPr>
          <w:rFonts w:ascii="Cambria" w:hAnsi="Cambria" w:cs="Cambria"/>
          <w:b/>
          <w:bCs/>
          <w:sz w:val="23"/>
          <w:szCs w:val="23"/>
        </w:rPr>
        <w:t>Act</w:t>
      </w:r>
      <w:r w:rsidRPr="00837340">
        <w:rPr>
          <w:rFonts w:ascii="Cambria" w:hAnsi="Cambria" w:cs="Cambria"/>
          <w:sz w:val="23"/>
          <w:szCs w:val="23"/>
        </w:rPr>
        <w:t xml:space="preserve">"); </w:t>
      </w:r>
    </w:p>
    <w:p w14:paraId="5AF68D91" w14:textId="77777777" w:rsidR="00F01241" w:rsidRPr="00F01241" w:rsidRDefault="00F01241" w:rsidP="00941179">
      <w:pPr>
        <w:autoSpaceDE w:val="0"/>
        <w:autoSpaceDN w:val="0"/>
        <w:adjustRightInd w:val="0"/>
        <w:spacing w:after="0" w:line="240" w:lineRule="auto"/>
        <w:jc w:val="both"/>
        <w:rPr>
          <w:rFonts w:ascii="Cambria" w:hAnsi="Cambria" w:cs="Cambria"/>
          <w:color w:val="FF0000"/>
          <w:sz w:val="23"/>
          <w:szCs w:val="23"/>
        </w:rPr>
      </w:pPr>
    </w:p>
    <w:p w14:paraId="3FA1DF7F" w14:textId="28B851C5" w:rsidR="00F01241" w:rsidRPr="00086EF9" w:rsidRDefault="00F01241" w:rsidP="00941179">
      <w:pPr>
        <w:autoSpaceDE w:val="0"/>
        <w:autoSpaceDN w:val="0"/>
        <w:adjustRightInd w:val="0"/>
        <w:spacing w:after="0" w:line="240" w:lineRule="auto"/>
        <w:jc w:val="both"/>
        <w:rPr>
          <w:rFonts w:ascii="Cambria" w:hAnsi="Cambria" w:cs="Cambria"/>
          <w:sz w:val="23"/>
          <w:szCs w:val="23"/>
        </w:rPr>
      </w:pPr>
      <w:r w:rsidRPr="00086EF9">
        <w:rPr>
          <w:rFonts w:ascii="Cambria" w:hAnsi="Cambria" w:cs="Cambria"/>
        </w:rPr>
        <w:t xml:space="preserve">(C) </w:t>
      </w:r>
      <w:r w:rsidRPr="00086EF9">
        <w:rPr>
          <w:rFonts w:ascii="Cambria" w:hAnsi="Cambria" w:cs="Cambria"/>
          <w:sz w:val="23"/>
          <w:szCs w:val="23"/>
        </w:rPr>
        <w:t xml:space="preserve">On </w:t>
      </w:r>
      <w:r w:rsidR="00FA426E">
        <w:rPr>
          <w:rFonts w:ascii="Cambria" w:hAnsi="Cambria" w:cs="Cambria"/>
          <w:sz w:val="23"/>
          <w:szCs w:val="23"/>
        </w:rPr>
        <w:t>17</w:t>
      </w:r>
      <w:r w:rsidR="00DD1E70">
        <w:rPr>
          <w:rFonts w:ascii="Cambria" w:hAnsi="Cambria" w:cs="Cambria"/>
          <w:sz w:val="23"/>
          <w:szCs w:val="23"/>
        </w:rPr>
        <w:t xml:space="preserve"> September 2019</w:t>
      </w:r>
      <w:r w:rsidRPr="00086EF9">
        <w:rPr>
          <w:rFonts w:ascii="Cambria" w:hAnsi="Cambria" w:cs="Cambria"/>
          <w:sz w:val="23"/>
          <w:szCs w:val="23"/>
        </w:rPr>
        <w:t xml:space="preserve">, the CMA reported to the Secretary of State in accordance with section 44(2) of the Act, which was within the period specified by the Secretary of State, summarising representations received by it relating to the national security public interest consideration specified in the public </w:t>
      </w:r>
      <w:r w:rsidR="008E7567">
        <w:rPr>
          <w:rFonts w:ascii="Cambria" w:hAnsi="Cambria" w:cs="Cambria"/>
          <w:sz w:val="23"/>
          <w:szCs w:val="23"/>
        </w:rPr>
        <w:t xml:space="preserve">interest </w:t>
      </w:r>
      <w:r w:rsidRPr="00086EF9">
        <w:rPr>
          <w:rFonts w:ascii="Cambria" w:hAnsi="Cambria" w:cs="Cambria"/>
          <w:sz w:val="23"/>
          <w:szCs w:val="23"/>
        </w:rPr>
        <w:t xml:space="preserve">intervention notice; </w:t>
      </w:r>
    </w:p>
    <w:p w14:paraId="4007F396" w14:textId="77777777" w:rsidR="00F01241" w:rsidRPr="00F01241" w:rsidRDefault="00F01241" w:rsidP="00941179">
      <w:pPr>
        <w:autoSpaceDE w:val="0"/>
        <w:autoSpaceDN w:val="0"/>
        <w:adjustRightInd w:val="0"/>
        <w:spacing w:after="0" w:line="240" w:lineRule="auto"/>
        <w:jc w:val="both"/>
        <w:rPr>
          <w:rFonts w:ascii="Cambria" w:hAnsi="Cambria" w:cs="Cambria"/>
          <w:color w:val="FF0000"/>
          <w:sz w:val="23"/>
          <w:szCs w:val="23"/>
        </w:rPr>
      </w:pPr>
    </w:p>
    <w:p w14:paraId="0C18A347" w14:textId="77777777" w:rsidR="00F01241" w:rsidRPr="003E646C" w:rsidRDefault="00F01241" w:rsidP="00941179">
      <w:pPr>
        <w:autoSpaceDE w:val="0"/>
        <w:autoSpaceDN w:val="0"/>
        <w:adjustRightInd w:val="0"/>
        <w:spacing w:after="0" w:line="240" w:lineRule="auto"/>
        <w:jc w:val="both"/>
        <w:rPr>
          <w:rFonts w:ascii="Cambria" w:hAnsi="Cambria" w:cs="Cambria"/>
          <w:sz w:val="23"/>
          <w:szCs w:val="23"/>
        </w:rPr>
      </w:pPr>
      <w:r w:rsidRPr="003E646C">
        <w:rPr>
          <w:rFonts w:ascii="Cambria" w:hAnsi="Cambria" w:cs="Cambria"/>
        </w:rPr>
        <w:t xml:space="preserve">(D) </w:t>
      </w:r>
      <w:r w:rsidRPr="003E646C">
        <w:rPr>
          <w:rFonts w:ascii="Cambria" w:hAnsi="Cambria" w:cs="Cambria"/>
          <w:sz w:val="23"/>
          <w:szCs w:val="23"/>
        </w:rPr>
        <w:t xml:space="preserve">The Secretary of State has the power to refer the Transaction under section 45 of the Act to the chair of the CMA for the constitution of a group under Schedule 4 to the Enterprise and Regulatory Reform Act 2013 or may, instead of making such a reference, accept undertakings in lieu under paragraph 3(2) of Schedule 7 to the Act; and </w:t>
      </w:r>
    </w:p>
    <w:p w14:paraId="283C8FD8" w14:textId="77777777" w:rsidR="00F01241" w:rsidRPr="00F01241" w:rsidRDefault="00F01241" w:rsidP="00941179">
      <w:pPr>
        <w:autoSpaceDE w:val="0"/>
        <w:autoSpaceDN w:val="0"/>
        <w:adjustRightInd w:val="0"/>
        <w:spacing w:after="0" w:line="240" w:lineRule="auto"/>
        <w:jc w:val="both"/>
        <w:rPr>
          <w:rFonts w:ascii="Cambria" w:hAnsi="Cambria" w:cs="Cambria"/>
          <w:color w:val="FF0000"/>
          <w:sz w:val="23"/>
          <w:szCs w:val="23"/>
        </w:rPr>
      </w:pPr>
    </w:p>
    <w:p w14:paraId="36671C06" w14:textId="2238A571" w:rsidR="00F01241" w:rsidRPr="00317AF3" w:rsidRDefault="00F01241" w:rsidP="00941179">
      <w:pPr>
        <w:autoSpaceDE w:val="0"/>
        <w:autoSpaceDN w:val="0"/>
        <w:adjustRightInd w:val="0"/>
        <w:spacing w:after="0" w:line="240" w:lineRule="auto"/>
        <w:jc w:val="both"/>
        <w:rPr>
          <w:rFonts w:ascii="Cambria" w:hAnsi="Cambria" w:cs="Cambria"/>
          <w:sz w:val="23"/>
          <w:szCs w:val="23"/>
        </w:rPr>
      </w:pPr>
      <w:r w:rsidRPr="00317AF3">
        <w:rPr>
          <w:rFonts w:ascii="Cambria" w:hAnsi="Cambria" w:cs="Cambria"/>
        </w:rPr>
        <w:t xml:space="preserve">(E) </w:t>
      </w:r>
      <w:r w:rsidRPr="00317AF3">
        <w:rPr>
          <w:rFonts w:ascii="Cambria" w:hAnsi="Cambria" w:cs="Cambria"/>
          <w:sz w:val="23"/>
          <w:szCs w:val="23"/>
        </w:rPr>
        <w:t xml:space="preserve">The Secretary of State considers the undertakings given below by </w:t>
      </w:r>
      <w:r w:rsidR="00317AF3">
        <w:rPr>
          <w:rFonts w:ascii="Cambria" w:hAnsi="Cambria" w:cs="Cambria"/>
          <w:sz w:val="23"/>
          <w:szCs w:val="23"/>
        </w:rPr>
        <w:t xml:space="preserve">Connect </w:t>
      </w:r>
      <w:proofErr w:type="spellStart"/>
      <w:r w:rsidR="00317AF3">
        <w:rPr>
          <w:rFonts w:ascii="Cambria" w:hAnsi="Cambria" w:cs="Cambria"/>
          <w:sz w:val="23"/>
          <w:szCs w:val="23"/>
        </w:rPr>
        <w:t>Bidco</w:t>
      </w:r>
      <w:proofErr w:type="spellEnd"/>
      <w:r w:rsidR="00317AF3">
        <w:rPr>
          <w:rFonts w:ascii="Cambria" w:hAnsi="Cambria" w:cs="Cambria"/>
          <w:sz w:val="23"/>
          <w:szCs w:val="23"/>
        </w:rPr>
        <w:t xml:space="preserve"> </w:t>
      </w:r>
      <w:r w:rsidRPr="00317AF3">
        <w:rPr>
          <w:rFonts w:ascii="Cambria" w:hAnsi="Cambria" w:cs="Cambria"/>
          <w:sz w:val="23"/>
          <w:szCs w:val="23"/>
        </w:rPr>
        <w:t xml:space="preserve">and </w:t>
      </w:r>
      <w:r w:rsidR="00A73B12">
        <w:rPr>
          <w:rFonts w:ascii="Cambria" w:hAnsi="Cambria" w:cs="Cambria"/>
          <w:sz w:val="23"/>
          <w:szCs w:val="23"/>
        </w:rPr>
        <w:t xml:space="preserve">Inmarsat </w:t>
      </w:r>
      <w:r w:rsidRPr="00317AF3">
        <w:rPr>
          <w:rFonts w:ascii="Cambria" w:hAnsi="Cambria" w:cs="Cambria"/>
          <w:sz w:val="23"/>
          <w:szCs w:val="23"/>
        </w:rPr>
        <w:t xml:space="preserve">are appropriate to remedy, mitigate or prevent any of the effects adverse to the public interest within the meaning of section 58(1) of the Act which may be expected to result from the creation of the relevant merger situation, and the Secretary of State shall in consequence not make a reference to the chair of the CMA for the constitution of a group under Schedule 4 to the Enterprise and Regulatory Reform Act 2013. </w:t>
      </w:r>
    </w:p>
    <w:p w14:paraId="2CAAE1C1" w14:textId="77777777" w:rsidR="00F01241" w:rsidRPr="00F01241" w:rsidRDefault="00F01241" w:rsidP="00941179">
      <w:pPr>
        <w:autoSpaceDE w:val="0"/>
        <w:autoSpaceDN w:val="0"/>
        <w:adjustRightInd w:val="0"/>
        <w:spacing w:after="0" w:line="240" w:lineRule="auto"/>
        <w:jc w:val="both"/>
        <w:rPr>
          <w:rFonts w:ascii="Cambria" w:hAnsi="Cambria" w:cs="Cambria"/>
          <w:color w:val="FF0000"/>
          <w:sz w:val="23"/>
          <w:szCs w:val="23"/>
        </w:rPr>
      </w:pPr>
    </w:p>
    <w:p w14:paraId="662B1CF6" w14:textId="42D06476" w:rsidR="00941179" w:rsidRDefault="00A73B12" w:rsidP="00FF5AD8">
      <w:pPr>
        <w:spacing w:line="240" w:lineRule="auto"/>
        <w:jc w:val="both"/>
        <w:rPr>
          <w:rFonts w:ascii="Cambria" w:hAnsi="Cambria" w:cs="Cambria"/>
          <w:b/>
          <w:bCs/>
          <w:sz w:val="23"/>
          <w:szCs w:val="23"/>
        </w:rPr>
      </w:pPr>
      <w:r>
        <w:rPr>
          <w:rFonts w:ascii="Cambria" w:hAnsi="Cambria" w:cs="Cambria"/>
          <w:b/>
          <w:bCs/>
          <w:sz w:val="23"/>
          <w:szCs w:val="23"/>
        </w:rPr>
        <w:t xml:space="preserve">Connect </w:t>
      </w:r>
      <w:proofErr w:type="spellStart"/>
      <w:r>
        <w:rPr>
          <w:rFonts w:ascii="Cambria" w:hAnsi="Cambria" w:cs="Cambria"/>
          <w:b/>
          <w:bCs/>
          <w:sz w:val="23"/>
          <w:szCs w:val="23"/>
        </w:rPr>
        <w:t>Bi</w:t>
      </w:r>
      <w:r w:rsidR="00FC1802">
        <w:rPr>
          <w:rFonts w:ascii="Cambria" w:hAnsi="Cambria" w:cs="Cambria"/>
          <w:b/>
          <w:bCs/>
          <w:sz w:val="23"/>
          <w:szCs w:val="23"/>
        </w:rPr>
        <w:t>dco</w:t>
      </w:r>
      <w:proofErr w:type="spellEnd"/>
      <w:r w:rsidR="00FC1802">
        <w:rPr>
          <w:rFonts w:ascii="Cambria" w:hAnsi="Cambria" w:cs="Cambria"/>
          <w:b/>
          <w:bCs/>
          <w:sz w:val="23"/>
          <w:szCs w:val="23"/>
        </w:rPr>
        <w:t xml:space="preserve"> and Inmarsat </w:t>
      </w:r>
      <w:r w:rsidR="00F01241" w:rsidRPr="00A73B12">
        <w:rPr>
          <w:rFonts w:ascii="Cambria" w:hAnsi="Cambria" w:cs="Cambria"/>
          <w:b/>
          <w:bCs/>
          <w:sz w:val="23"/>
          <w:szCs w:val="23"/>
        </w:rPr>
        <w:t>therefore give to the Secretary of State the following undertakings for the purpose of remedying, mitigating or preventing any of the effects adverse to the public interest within the meaning of section 58(1) of the Act, which may be expected to result from the creation of this relevant merger situation.</w:t>
      </w:r>
    </w:p>
    <w:p w14:paraId="4FAACFAB" w14:textId="78B99668" w:rsidR="004C6A74" w:rsidRDefault="004C6A74" w:rsidP="00FF5AD8">
      <w:pPr>
        <w:spacing w:line="240" w:lineRule="auto"/>
        <w:jc w:val="both"/>
        <w:rPr>
          <w:rFonts w:ascii="Cambria" w:hAnsi="Cambria" w:cs="Cambria"/>
          <w:b/>
          <w:bCs/>
          <w:sz w:val="23"/>
          <w:szCs w:val="23"/>
        </w:rPr>
      </w:pPr>
    </w:p>
    <w:p w14:paraId="02CC00E2" w14:textId="77777777" w:rsidR="004C6A74" w:rsidRPr="00FF5AD8" w:rsidRDefault="004C6A74" w:rsidP="00FF5AD8">
      <w:pPr>
        <w:spacing w:line="240" w:lineRule="auto"/>
        <w:jc w:val="both"/>
        <w:rPr>
          <w:rFonts w:ascii="Cambria" w:hAnsi="Cambria" w:cs="Cambria"/>
          <w:b/>
          <w:bCs/>
          <w:sz w:val="23"/>
          <w:szCs w:val="23"/>
        </w:rPr>
      </w:pPr>
    </w:p>
    <w:p w14:paraId="2884ED80" w14:textId="357F5F39" w:rsidR="00F90D78" w:rsidRDefault="00961675" w:rsidP="00941179">
      <w:pPr>
        <w:pStyle w:val="Heading3"/>
        <w:numPr>
          <w:ilvl w:val="0"/>
          <w:numId w:val="2"/>
        </w:numPr>
        <w:jc w:val="both"/>
        <w:rPr>
          <w:rFonts w:ascii="Cambria" w:hAnsi="Cambria"/>
          <w:b/>
          <w:color w:val="auto"/>
          <w:sz w:val="23"/>
          <w:szCs w:val="23"/>
        </w:rPr>
      </w:pPr>
      <w:r>
        <w:rPr>
          <w:rFonts w:ascii="Cambria" w:hAnsi="Cambria"/>
          <w:b/>
          <w:color w:val="auto"/>
          <w:sz w:val="23"/>
          <w:szCs w:val="23"/>
        </w:rPr>
        <w:t xml:space="preserve"> </w:t>
      </w:r>
      <w:r>
        <w:rPr>
          <w:rFonts w:ascii="Cambria" w:hAnsi="Cambria"/>
          <w:b/>
          <w:color w:val="auto"/>
          <w:sz w:val="23"/>
          <w:szCs w:val="23"/>
        </w:rPr>
        <w:tab/>
      </w:r>
      <w:r w:rsidR="00203DEF" w:rsidRPr="00961675">
        <w:rPr>
          <w:rFonts w:ascii="Cambria" w:hAnsi="Cambria"/>
          <w:b/>
          <w:color w:val="auto"/>
          <w:sz w:val="23"/>
          <w:szCs w:val="23"/>
        </w:rPr>
        <w:t>INTERPRETATION</w:t>
      </w:r>
      <w:r w:rsidR="00A06F04">
        <w:rPr>
          <w:rFonts w:ascii="Cambria" w:hAnsi="Cambria"/>
          <w:b/>
          <w:color w:val="auto"/>
          <w:sz w:val="23"/>
          <w:szCs w:val="23"/>
        </w:rPr>
        <w:t xml:space="preserve"> AND DEFINITIONS</w:t>
      </w:r>
    </w:p>
    <w:p w14:paraId="30A9683D" w14:textId="5A2F7030" w:rsidR="00961675" w:rsidRPr="000A470F" w:rsidRDefault="00961675" w:rsidP="00941179">
      <w:pPr>
        <w:jc w:val="both"/>
        <w:rPr>
          <w:rFonts w:ascii="Cambria" w:hAnsi="Cambria"/>
          <w:b/>
          <w:sz w:val="23"/>
          <w:szCs w:val="23"/>
        </w:rPr>
      </w:pPr>
      <w:r>
        <w:br/>
      </w:r>
      <w:r w:rsidRPr="000A470F">
        <w:rPr>
          <w:rFonts w:ascii="Cambria" w:hAnsi="Cambria"/>
          <w:b/>
          <w:sz w:val="23"/>
          <w:szCs w:val="23"/>
        </w:rPr>
        <w:t>In these Undertakings:</w:t>
      </w:r>
    </w:p>
    <w:p w14:paraId="00B5676D" w14:textId="3B53E146" w:rsidR="00961675" w:rsidRDefault="004442C8" w:rsidP="00AF6A84">
      <w:pPr>
        <w:pStyle w:val="ListParagraph"/>
        <w:numPr>
          <w:ilvl w:val="1"/>
          <w:numId w:val="4"/>
        </w:numPr>
        <w:ind w:left="709" w:hanging="709"/>
        <w:jc w:val="both"/>
        <w:rPr>
          <w:rFonts w:ascii="Cambria" w:hAnsi="Cambria"/>
          <w:sz w:val="23"/>
          <w:szCs w:val="23"/>
        </w:rPr>
      </w:pPr>
      <w:bookmarkStart w:id="1" w:name="_Hlk19671086"/>
      <w:r w:rsidRPr="00156E80">
        <w:rPr>
          <w:rFonts w:ascii="Cambria" w:hAnsi="Cambria"/>
          <w:sz w:val="23"/>
          <w:szCs w:val="23"/>
        </w:rPr>
        <w:t>where reference is made to any company then in the event of any merger, joint venture or acquisition or internal re-organisation or sale either private or to the public, such reference shall</w:t>
      </w:r>
      <w:r w:rsidR="000C421D">
        <w:rPr>
          <w:rFonts w:ascii="Cambria" w:hAnsi="Cambria"/>
          <w:sz w:val="23"/>
          <w:szCs w:val="23"/>
        </w:rPr>
        <w:t xml:space="preserve">, subject to </w:t>
      </w:r>
      <w:r w:rsidR="000727F9">
        <w:rPr>
          <w:rFonts w:ascii="Cambria" w:hAnsi="Cambria"/>
          <w:sz w:val="23"/>
          <w:szCs w:val="23"/>
        </w:rPr>
        <w:t>c</w:t>
      </w:r>
      <w:r w:rsidR="000C421D">
        <w:rPr>
          <w:rFonts w:ascii="Cambria" w:hAnsi="Cambria"/>
          <w:sz w:val="23"/>
          <w:szCs w:val="23"/>
        </w:rPr>
        <w:t xml:space="preserve">lause 4.1 below, </w:t>
      </w:r>
      <w:r w:rsidRPr="00156E80">
        <w:rPr>
          <w:rFonts w:ascii="Cambria" w:hAnsi="Cambria"/>
          <w:sz w:val="23"/>
          <w:szCs w:val="23"/>
        </w:rPr>
        <w:t>be interpreted as applying to the equivalent or successor organisation in the new structure</w:t>
      </w:r>
      <w:r w:rsidR="00AE587F">
        <w:rPr>
          <w:rFonts w:ascii="Cambria" w:hAnsi="Cambria"/>
          <w:sz w:val="23"/>
          <w:szCs w:val="23"/>
        </w:rPr>
        <w:t>;</w:t>
      </w:r>
    </w:p>
    <w:p w14:paraId="570812D6" w14:textId="3E46CE3A" w:rsidR="00AF6A84" w:rsidRDefault="00AF6A84" w:rsidP="00AF6A84">
      <w:pPr>
        <w:pStyle w:val="ListParagraph"/>
        <w:ind w:left="0"/>
        <w:jc w:val="both"/>
        <w:rPr>
          <w:rFonts w:ascii="Cambria" w:hAnsi="Cambria"/>
          <w:sz w:val="23"/>
          <w:szCs w:val="23"/>
        </w:rPr>
      </w:pPr>
    </w:p>
    <w:p w14:paraId="6353F6E5" w14:textId="79D60A31" w:rsidR="000307D9" w:rsidRDefault="00AF6A84" w:rsidP="00941179">
      <w:pPr>
        <w:pStyle w:val="ListParagraph"/>
        <w:numPr>
          <w:ilvl w:val="1"/>
          <w:numId w:val="4"/>
        </w:numPr>
        <w:ind w:left="709" w:hanging="709"/>
        <w:jc w:val="both"/>
        <w:rPr>
          <w:rFonts w:ascii="Cambria" w:hAnsi="Cambria"/>
          <w:sz w:val="23"/>
          <w:szCs w:val="23"/>
        </w:rPr>
      </w:pPr>
      <w:r>
        <w:rPr>
          <w:rFonts w:ascii="Cambria" w:hAnsi="Cambria"/>
          <w:sz w:val="23"/>
          <w:szCs w:val="23"/>
        </w:rPr>
        <w:t>e</w:t>
      </w:r>
      <w:r w:rsidR="001C5710" w:rsidRPr="00AF6A84">
        <w:rPr>
          <w:rFonts w:ascii="Cambria" w:hAnsi="Cambria"/>
          <w:sz w:val="23"/>
          <w:szCs w:val="23"/>
        </w:rPr>
        <w:t>xcept where the context does not allow, the singular shall include the plural and the plural shall include the singular;</w:t>
      </w:r>
    </w:p>
    <w:p w14:paraId="2351F5BC" w14:textId="0253066D" w:rsidR="00AF6A84" w:rsidRDefault="00AF6A84" w:rsidP="00AF6A84">
      <w:pPr>
        <w:pStyle w:val="ListParagraph"/>
        <w:ind w:left="0"/>
        <w:jc w:val="both"/>
        <w:rPr>
          <w:rFonts w:ascii="Cambria" w:hAnsi="Cambria"/>
          <w:sz w:val="23"/>
          <w:szCs w:val="23"/>
        </w:rPr>
      </w:pPr>
    </w:p>
    <w:p w14:paraId="76DBAA96" w14:textId="223A1CA0" w:rsidR="008E7567" w:rsidRDefault="001C5710" w:rsidP="00F02D1F">
      <w:pPr>
        <w:pStyle w:val="ListParagraph"/>
        <w:numPr>
          <w:ilvl w:val="1"/>
          <w:numId w:val="4"/>
        </w:numPr>
        <w:ind w:left="709" w:hanging="709"/>
        <w:jc w:val="both"/>
        <w:rPr>
          <w:rFonts w:ascii="Cambria" w:hAnsi="Cambria"/>
          <w:sz w:val="23"/>
          <w:szCs w:val="23"/>
        </w:rPr>
      </w:pPr>
      <w:r w:rsidRPr="00AF6A84">
        <w:rPr>
          <w:rFonts w:ascii="Cambria" w:hAnsi="Cambria"/>
          <w:sz w:val="23"/>
          <w:szCs w:val="23"/>
        </w:rPr>
        <w:t xml:space="preserve">reference to a clause </w:t>
      </w:r>
      <w:r w:rsidR="00F74CBB">
        <w:rPr>
          <w:rFonts w:ascii="Cambria" w:hAnsi="Cambria"/>
          <w:sz w:val="23"/>
          <w:szCs w:val="23"/>
        </w:rPr>
        <w:t xml:space="preserve">is </w:t>
      </w:r>
      <w:r w:rsidRPr="00AF6A84">
        <w:rPr>
          <w:rFonts w:ascii="Cambria" w:hAnsi="Cambria"/>
          <w:sz w:val="23"/>
          <w:szCs w:val="23"/>
        </w:rPr>
        <w:t>a reference to a clause within these undertakings;</w:t>
      </w:r>
      <w:bookmarkEnd w:id="1"/>
    </w:p>
    <w:p w14:paraId="1CC765BB" w14:textId="77777777" w:rsidR="00AB56F5" w:rsidRDefault="00AB56F5" w:rsidP="00AB56F5">
      <w:pPr>
        <w:pStyle w:val="ListParagraph"/>
        <w:ind w:left="709"/>
        <w:jc w:val="both"/>
        <w:rPr>
          <w:rFonts w:ascii="Cambria" w:hAnsi="Cambria"/>
          <w:sz w:val="23"/>
          <w:szCs w:val="23"/>
        </w:rPr>
      </w:pPr>
    </w:p>
    <w:p w14:paraId="48CDE6D1" w14:textId="0F3FC724" w:rsidR="00303DBA" w:rsidRDefault="00303DBA" w:rsidP="00F02D1F">
      <w:pPr>
        <w:pStyle w:val="ListParagraph"/>
        <w:numPr>
          <w:ilvl w:val="1"/>
          <w:numId w:val="4"/>
        </w:numPr>
        <w:ind w:left="709" w:hanging="709"/>
        <w:jc w:val="both"/>
        <w:rPr>
          <w:rFonts w:ascii="Cambria" w:hAnsi="Cambria"/>
          <w:sz w:val="23"/>
          <w:szCs w:val="23"/>
        </w:rPr>
      </w:pPr>
      <w:r w:rsidRPr="00303DBA">
        <w:rPr>
          <w:rFonts w:ascii="Cambria" w:hAnsi="Cambria"/>
          <w:sz w:val="23"/>
          <w:szCs w:val="23"/>
        </w:rPr>
        <w:t>any obligation on a party to “procure” a certain outcome shall mean an obligation for that party to exercise, lawfully and in a manner that does not otherwise put such party in breach of any fiduciary duty, any voting rights and use any and all powers vested in it from time to time as a holder of securities, shareholder, director, officer and/or employee and attorney, or through any contractual arrangements, to ensure compliance with that obligation so far as it is reasonably able to do so, whether acting alone or (to the extent that he or it is lawfully able to contribute to ensuring such compliance collectively) acting with others, provided that such obligation shall not require the relevant party to take any action which would be materially prejudicial to the interests of that party or its subsidiaries nor shall it require that party to incur unreasonable or disproportionate costs to procure the relevant outcome</w:t>
      </w:r>
      <w:r>
        <w:rPr>
          <w:rFonts w:ascii="Cambria" w:hAnsi="Cambria"/>
          <w:sz w:val="23"/>
          <w:szCs w:val="23"/>
        </w:rPr>
        <w:t>;</w:t>
      </w:r>
    </w:p>
    <w:p w14:paraId="2A68EEA8" w14:textId="77777777" w:rsidR="00F02D1F" w:rsidRPr="00F02D1F" w:rsidRDefault="00F02D1F" w:rsidP="00F02D1F">
      <w:pPr>
        <w:pStyle w:val="ListParagraph"/>
        <w:ind w:left="709"/>
        <w:jc w:val="both"/>
        <w:rPr>
          <w:rFonts w:ascii="Cambria" w:hAnsi="Cambria"/>
          <w:sz w:val="23"/>
          <w:szCs w:val="23"/>
        </w:rPr>
      </w:pPr>
    </w:p>
    <w:p w14:paraId="1081BA12" w14:textId="51DCCA31" w:rsidR="00D83912" w:rsidRPr="003D2B2F" w:rsidRDefault="003B2FED">
      <w:pPr>
        <w:pStyle w:val="ListParagraph"/>
        <w:numPr>
          <w:ilvl w:val="1"/>
          <w:numId w:val="4"/>
        </w:numPr>
        <w:ind w:left="709" w:hanging="709"/>
        <w:jc w:val="both"/>
      </w:pPr>
      <w:r>
        <w:rPr>
          <w:rFonts w:ascii="Cambria" w:hAnsi="Cambria"/>
          <w:sz w:val="23"/>
          <w:szCs w:val="23"/>
        </w:rPr>
        <w:t>“</w:t>
      </w:r>
      <w:r w:rsidR="00F84AD0">
        <w:rPr>
          <w:rFonts w:ascii="Cambria" w:hAnsi="Cambria"/>
          <w:b/>
          <w:sz w:val="23"/>
          <w:szCs w:val="23"/>
        </w:rPr>
        <w:t>Board</w:t>
      </w:r>
      <w:r w:rsidR="00F84AD0">
        <w:rPr>
          <w:rFonts w:ascii="Cambria" w:hAnsi="Cambria"/>
          <w:sz w:val="23"/>
          <w:szCs w:val="23"/>
        </w:rPr>
        <w:t xml:space="preserve">” means </w:t>
      </w:r>
      <w:r w:rsidR="00581CC7">
        <w:rPr>
          <w:rFonts w:ascii="Cambria" w:hAnsi="Cambria"/>
          <w:sz w:val="23"/>
          <w:szCs w:val="23"/>
        </w:rPr>
        <w:t xml:space="preserve">the </w:t>
      </w:r>
      <w:r w:rsidR="00F84AD0">
        <w:rPr>
          <w:rFonts w:ascii="Cambria" w:hAnsi="Cambria"/>
          <w:sz w:val="23"/>
          <w:szCs w:val="23"/>
        </w:rPr>
        <w:t xml:space="preserve">board of directors of </w:t>
      </w:r>
      <w:r w:rsidR="00CE4251" w:rsidRPr="000C0A2B">
        <w:rPr>
          <w:rFonts w:ascii="Cambria" w:hAnsi="Cambria"/>
          <w:sz w:val="23"/>
          <w:szCs w:val="23"/>
        </w:rPr>
        <w:t xml:space="preserve">a </w:t>
      </w:r>
      <w:r w:rsidR="00F84AD0" w:rsidRPr="000C0A2B">
        <w:rPr>
          <w:rFonts w:ascii="Cambria" w:hAnsi="Cambria"/>
          <w:sz w:val="23"/>
          <w:szCs w:val="23"/>
        </w:rPr>
        <w:t>company</w:t>
      </w:r>
      <w:r w:rsidR="003D2B2F">
        <w:rPr>
          <w:rFonts w:ascii="Cambria" w:hAnsi="Cambria"/>
          <w:sz w:val="23"/>
          <w:szCs w:val="23"/>
        </w:rPr>
        <w:t>;</w:t>
      </w:r>
    </w:p>
    <w:p w14:paraId="7A4D3C2D" w14:textId="77777777" w:rsidR="003B2FED" w:rsidRDefault="003B2FED" w:rsidP="003B2FED">
      <w:pPr>
        <w:pStyle w:val="ListParagraph"/>
        <w:ind w:left="0"/>
        <w:jc w:val="both"/>
        <w:rPr>
          <w:rFonts w:ascii="Cambria" w:hAnsi="Cambria"/>
          <w:sz w:val="23"/>
          <w:szCs w:val="23"/>
        </w:rPr>
      </w:pPr>
    </w:p>
    <w:p w14:paraId="001901D5" w14:textId="43EC6034" w:rsidR="001C5710" w:rsidRPr="00B22FCD" w:rsidRDefault="00CE04CD" w:rsidP="00941179">
      <w:pPr>
        <w:pStyle w:val="ListParagraph"/>
        <w:numPr>
          <w:ilvl w:val="1"/>
          <w:numId w:val="4"/>
        </w:numPr>
        <w:ind w:left="709" w:hanging="709"/>
        <w:jc w:val="both"/>
        <w:rPr>
          <w:rFonts w:ascii="Cambria" w:hAnsi="Cambria"/>
          <w:sz w:val="23"/>
          <w:szCs w:val="23"/>
        </w:rPr>
      </w:pPr>
      <w:r w:rsidRPr="00B22FCD">
        <w:rPr>
          <w:rFonts w:ascii="Cambria" w:hAnsi="Cambria"/>
          <w:sz w:val="23"/>
          <w:szCs w:val="23"/>
        </w:rPr>
        <w:t>“</w:t>
      </w:r>
      <w:r w:rsidRPr="00B22FCD">
        <w:rPr>
          <w:rFonts w:ascii="Cambria" w:hAnsi="Cambria"/>
          <w:b/>
          <w:sz w:val="23"/>
          <w:szCs w:val="23"/>
        </w:rPr>
        <w:t>Classified</w:t>
      </w:r>
      <w:r w:rsidRPr="00B22FCD">
        <w:rPr>
          <w:rFonts w:ascii="Cambria" w:hAnsi="Cambria"/>
          <w:sz w:val="23"/>
          <w:szCs w:val="23"/>
        </w:rPr>
        <w:t xml:space="preserve">” means protectively marked in accordance with the system of protective marking defined in </w:t>
      </w:r>
      <w:r w:rsidR="00DF3BDB" w:rsidRPr="00B22FCD">
        <w:rPr>
          <w:rFonts w:ascii="Cambria" w:hAnsi="Cambria"/>
          <w:sz w:val="23"/>
          <w:szCs w:val="23"/>
        </w:rPr>
        <w:t xml:space="preserve">the </w:t>
      </w:r>
      <w:r w:rsidR="001556EA">
        <w:rPr>
          <w:rFonts w:ascii="Cambria" w:hAnsi="Cambria"/>
          <w:sz w:val="23"/>
          <w:szCs w:val="23"/>
        </w:rPr>
        <w:t>Cabinet Office ‘Government Security Classifications’ document as updated</w:t>
      </w:r>
      <w:r w:rsidR="001556EA">
        <w:rPr>
          <w:rStyle w:val="FootnoteReference"/>
          <w:rFonts w:ascii="Cambria" w:hAnsi="Cambria"/>
          <w:sz w:val="23"/>
          <w:szCs w:val="23"/>
        </w:rPr>
        <w:footnoteReference w:id="2"/>
      </w:r>
      <w:r w:rsidR="00DF3BDB" w:rsidRPr="00B22FCD">
        <w:rPr>
          <w:rFonts w:ascii="Cambria" w:hAnsi="Cambria"/>
          <w:sz w:val="23"/>
          <w:szCs w:val="23"/>
        </w:rPr>
        <w:t xml:space="preserve">; </w:t>
      </w:r>
    </w:p>
    <w:p w14:paraId="55B7F29B" w14:textId="77777777" w:rsidR="00B22FCD" w:rsidRDefault="00B22FCD" w:rsidP="00B22FCD">
      <w:pPr>
        <w:pStyle w:val="ListParagraph"/>
        <w:ind w:left="0"/>
        <w:jc w:val="both"/>
        <w:rPr>
          <w:rFonts w:ascii="Cambria" w:hAnsi="Cambria"/>
          <w:sz w:val="23"/>
          <w:szCs w:val="23"/>
        </w:rPr>
      </w:pPr>
    </w:p>
    <w:p w14:paraId="5188F8F4" w14:textId="3C48F3A6" w:rsidR="0025657A" w:rsidRDefault="0025657A" w:rsidP="00B22FCD">
      <w:pPr>
        <w:pStyle w:val="ListParagraph"/>
        <w:numPr>
          <w:ilvl w:val="1"/>
          <w:numId w:val="4"/>
        </w:numPr>
        <w:ind w:left="709" w:hanging="709"/>
        <w:jc w:val="both"/>
        <w:rPr>
          <w:rFonts w:ascii="Cambria" w:hAnsi="Cambria"/>
          <w:sz w:val="23"/>
          <w:szCs w:val="23"/>
        </w:rPr>
      </w:pPr>
      <w:r>
        <w:rPr>
          <w:rFonts w:ascii="Cambria" w:hAnsi="Cambria"/>
          <w:sz w:val="23"/>
          <w:szCs w:val="23"/>
        </w:rPr>
        <w:t>“</w:t>
      </w:r>
      <w:r w:rsidRPr="00B22FCD">
        <w:rPr>
          <w:rFonts w:ascii="Cambria" w:hAnsi="Cambria"/>
          <w:b/>
          <w:sz w:val="23"/>
          <w:szCs w:val="23"/>
        </w:rPr>
        <w:t>CMA</w:t>
      </w:r>
      <w:r>
        <w:rPr>
          <w:rFonts w:ascii="Cambria" w:hAnsi="Cambria"/>
          <w:sz w:val="23"/>
          <w:szCs w:val="23"/>
        </w:rPr>
        <w:t>” means the UK Competition and Markets Authority;</w:t>
      </w:r>
    </w:p>
    <w:p w14:paraId="0F96C136" w14:textId="77777777" w:rsidR="00B22FCD" w:rsidRDefault="00B22FCD" w:rsidP="00B22FCD">
      <w:pPr>
        <w:pStyle w:val="ListParagraph"/>
        <w:ind w:left="0"/>
        <w:jc w:val="both"/>
        <w:rPr>
          <w:rFonts w:ascii="Cambria" w:hAnsi="Cambria"/>
          <w:sz w:val="23"/>
          <w:szCs w:val="23"/>
        </w:rPr>
      </w:pPr>
    </w:p>
    <w:p w14:paraId="2D1439A6" w14:textId="2ED4CB08" w:rsidR="001A6B2D" w:rsidRDefault="00E45A6A" w:rsidP="00941179">
      <w:pPr>
        <w:pStyle w:val="ListParagraph"/>
        <w:numPr>
          <w:ilvl w:val="1"/>
          <w:numId w:val="4"/>
        </w:numPr>
        <w:ind w:left="709" w:hanging="709"/>
        <w:jc w:val="both"/>
        <w:rPr>
          <w:rFonts w:ascii="Cambria" w:hAnsi="Cambria"/>
          <w:sz w:val="23"/>
          <w:szCs w:val="23"/>
        </w:rPr>
      </w:pPr>
      <w:r>
        <w:rPr>
          <w:rFonts w:ascii="Cambria" w:hAnsi="Cambria"/>
          <w:b/>
          <w:bCs/>
          <w:sz w:val="23"/>
          <w:szCs w:val="23"/>
          <w:lang w:val="en-US"/>
        </w:rPr>
        <w:t>“</w:t>
      </w:r>
      <w:r w:rsidR="004D3D9F">
        <w:rPr>
          <w:rFonts w:ascii="Cambria" w:hAnsi="Cambria"/>
          <w:b/>
          <w:bCs/>
          <w:sz w:val="23"/>
          <w:szCs w:val="23"/>
          <w:lang w:val="en-US"/>
        </w:rPr>
        <w:t>Co-Investors</w:t>
      </w:r>
      <w:r w:rsidR="004D3D9F">
        <w:rPr>
          <w:rFonts w:ascii="Cambria" w:hAnsi="Cambria"/>
          <w:sz w:val="23"/>
          <w:szCs w:val="23"/>
          <w:lang w:val="en-US"/>
        </w:rPr>
        <w:t>" means each of the investors</w:t>
      </w:r>
      <w:r w:rsidR="000C421D">
        <w:rPr>
          <w:rFonts w:ascii="Cambria" w:hAnsi="Cambria"/>
          <w:sz w:val="23"/>
          <w:szCs w:val="23"/>
          <w:lang w:val="en-US"/>
        </w:rPr>
        <w:t xml:space="preserve"> (other than the Investing Funds)</w:t>
      </w:r>
      <w:r w:rsidR="004D3D9F">
        <w:rPr>
          <w:rFonts w:ascii="Cambria" w:hAnsi="Cambria"/>
          <w:sz w:val="23"/>
          <w:szCs w:val="23"/>
          <w:lang w:val="en-US"/>
        </w:rPr>
        <w:t xml:space="preserve"> who are, </w:t>
      </w:r>
      <w:r w:rsidR="00224D6B">
        <w:rPr>
          <w:rFonts w:ascii="Cambria" w:hAnsi="Cambria"/>
          <w:sz w:val="23"/>
          <w:szCs w:val="23"/>
          <w:lang w:val="en-US"/>
        </w:rPr>
        <w:t>from time to time</w:t>
      </w:r>
      <w:r w:rsidR="00B92288">
        <w:rPr>
          <w:rFonts w:ascii="Cambria" w:hAnsi="Cambria"/>
          <w:sz w:val="23"/>
          <w:szCs w:val="23"/>
          <w:lang w:val="en-US"/>
        </w:rPr>
        <w:t>,</w:t>
      </w:r>
      <w:r w:rsidR="00224D6B">
        <w:rPr>
          <w:rFonts w:ascii="Cambria" w:hAnsi="Cambria"/>
          <w:sz w:val="23"/>
          <w:szCs w:val="23"/>
          <w:lang w:val="en-US"/>
        </w:rPr>
        <w:t xml:space="preserve"> </w:t>
      </w:r>
      <w:r w:rsidR="004D3D9F">
        <w:rPr>
          <w:rFonts w:ascii="Cambria" w:hAnsi="Cambria"/>
          <w:sz w:val="23"/>
          <w:szCs w:val="23"/>
          <w:lang w:val="en-US"/>
        </w:rPr>
        <w:t xml:space="preserve">following a syndication process </w:t>
      </w:r>
      <w:r w:rsidR="00686415">
        <w:rPr>
          <w:rFonts w:ascii="Cambria" w:hAnsi="Cambria"/>
          <w:sz w:val="23"/>
          <w:szCs w:val="23"/>
          <w:lang w:val="en-US"/>
        </w:rPr>
        <w:t xml:space="preserve">by the </w:t>
      </w:r>
      <w:proofErr w:type="spellStart"/>
      <w:r w:rsidR="00686415">
        <w:rPr>
          <w:rFonts w:ascii="Cambria" w:hAnsi="Cambria"/>
          <w:sz w:val="23"/>
          <w:szCs w:val="23"/>
          <w:lang w:val="en-US"/>
        </w:rPr>
        <w:t>Apax</w:t>
      </w:r>
      <w:proofErr w:type="spellEnd"/>
      <w:r w:rsidR="00686415">
        <w:rPr>
          <w:rFonts w:ascii="Cambria" w:hAnsi="Cambria"/>
          <w:sz w:val="23"/>
          <w:szCs w:val="23"/>
          <w:lang w:val="en-US"/>
        </w:rPr>
        <w:t xml:space="preserve"> IX Fund and the WPGG Fund</w:t>
      </w:r>
      <w:r w:rsidR="00B92288">
        <w:rPr>
          <w:rFonts w:ascii="Cambria" w:hAnsi="Cambria"/>
          <w:sz w:val="23"/>
          <w:szCs w:val="23"/>
          <w:lang w:val="en-US"/>
        </w:rPr>
        <w:t>,</w:t>
      </w:r>
      <w:r w:rsidR="00686415">
        <w:rPr>
          <w:rFonts w:ascii="Cambria" w:hAnsi="Cambria"/>
          <w:sz w:val="23"/>
          <w:szCs w:val="23"/>
          <w:lang w:val="en-US"/>
        </w:rPr>
        <w:t xml:space="preserve"> </w:t>
      </w:r>
      <w:r w:rsidR="004D3D9F">
        <w:rPr>
          <w:rFonts w:ascii="Cambria" w:hAnsi="Cambria"/>
          <w:sz w:val="23"/>
          <w:szCs w:val="23"/>
          <w:lang w:val="en-US"/>
        </w:rPr>
        <w:t xml:space="preserve">indirectly invested in Connect </w:t>
      </w:r>
      <w:proofErr w:type="spellStart"/>
      <w:r w:rsidR="004D3D9F">
        <w:rPr>
          <w:rFonts w:ascii="Cambria" w:hAnsi="Cambria"/>
          <w:sz w:val="23"/>
          <w:szCs w:val="23"/>
          <w:lang w:val="en-US"/>
        </w:rPr>
        <w:t>Bidco</w:t>
      </w:r>
      <w:proofErr w:type="spellEnd"/>
      <w:r w:rsidR="00286C53">
        <w:rPr>
          <w:rFonts w:ascii="Cambria" w:hAnsi="Cambria"/>
          <w:sz w:val="23"/>
          <w:szCs w:val="23"/>
        </w:rPr>
        <w:t>;</w:t>
      </w:r>
    </w:p>
    <w:p w14:paraId="12CF62E5" w14:textId="77777777" w:rsidR="005A4D64" w:rsidRDefault="005A4D64" w:rsidP="000C0A2B">
      <w:pPr>
        <w:pStyle w:val="ListParagraph"/>
        <w:ind w:left="709"/>
        <w:jc w:val="both"/>
        <w:rPr>
          <w:rFonts w:ascii="Cambria" w:hAnsi="Cambria"/>
          <w:sz w:val="23"/>
          <w:szCs w:val="23"/>
        </w:rPr>
      </w:pPr>
    </w:p>
    <w:p w14:paraId="03A56E21" w14:textId="602601FF" w:rsidR="00427EAD" w:rsidRDefault="00427EAD" w:rsidP="00941179">
      <w:pPr>
        <w:pStyle w:val="ListParagraph"/>
        <w:numPr>
          <w:ilvl w:val="1"/>
          <w:numId w:val="4"/>
        </w:numPr>
        <w:ind w:left="709" w:hanging="709"/>
        <w:jc w:val="both"/>
        <w:rPr>
          <w:rFonts w:ascii="Cambria" w:hAnsi="Cambria"/>
          <w:sz w:val="23"/>
          <w:szCs w:val="23"/>
        </w:rPr>
      </w:pPr>
      <w:r>
        <w:rPr>
          <w:rFonts w:ascii="Cambria" w:hAnsi="Cambria"/>
          <w:sz w:val="23"/>
          <w:szCs w:val="23"/>
        </w:rPr>
        <w:t>“</w:t>
      </w:r>
      <w:r>
        <w:rPr>
          <w:rFonts w:ascii="Cambria" w:hAnsi="Cambria"/>
          <w:b/>
          <w:sz w:val="23"/>
          <w:szCs w:val="23"/>
        </w:rPr>
        <w:t>Consortium Members</w:t>
      </w:r>
      <w:r>
        <w:rPr>
          <w:rFonts w:ascii="Cambria" w:hAnsi="Cambria"/>
          <w:sz w:val="23"/>
          <w:szCs w:val="23"/>
        </w:rPr>
        <w:t xml:space="preserve">” </w:t>
      </w:r>
      <w:r w:rsidR="00460EA8">
        <w:rPr>
          <w:rFonts w:ascii="Cambria" w:hAnsi="Cambria"/>
          <w:sz w:val="23"/>
          <w:szCs w:val="23"/>
        </w:rPr>
        <w:t xml:space="preserve">means </w:t>
      </w:r>
      <w:r w:rsidR="00262DC9">
        <w:rPr>
          <w:rFonts w:ascii="Cambria" w:hAnsi="Cambria"/>
          <w:sz w:val="23"/>
          <w:szCs w:val="23"/>
        </w:rPr>
        <w:t xml:space="preserve">each member of the </w:t>
      </w:r>
      <w:r w:rsidR="00460EA8" w:rsidRPr="00866158">
        <w:rPr>
          <w:rFonts w:ascii="Cambria" w:hAnsi="Cambria"/>
          <w:sz w:val="23"/>
          <w:szCs w:val="23"/>
        </w:rPr>
        <w:t>consortium of investment funds</w:t>
      </w:r>
      <w:r w:rsidR="00460EA8">
        <w:rPr>
          <w:rFonts w:ascii="Cambria" w:hAnsi="Cambria"/>
          <w:sz w:val="23"/>
          <w:szCs w:val="23"/>
        </w:rPr>
        <w:t xml:space="preserve"> managed </w:t>
      </w:r>
      <w:r w:rsidR="00F70AD6">
        <w:rPr>
          <w:rFonts w:ascii="Cambria" w:hAnsi="Cambria"/>
          <w:sz w:val="23"/>
          <w:szCs w:val="23"/>
        </w:rPr>
        <w:t>and/or</w:t>
      </w:r>
      <w:r w:rsidR="00460EA8">
        <w:rPr>
          <w:rFonts w:ascii="Cambria" w:hAnsi="Cambria"/>
          <w:sz w:val="23"/>
          <w:szCs w:val="23"/>
        </w:rPr>
        <w:t xml:space="preserve"> advised by </w:t>
      </w:r>
      <w:r w:rsidR="00460EA8" w:rsidRPr="004F193C">
        <w:rPr>
          <w:rFonts w:ascii="Cambria" w:hAnsi="Cambria"/>
          <w:sz w:val="23"/>
          <w:szCs w:val="23"/>
        </w:rPr>
        <w:t xml:space="preserve">Warburg Pincus LLC, </w:t>
      </w:r>
      <w:proofErr w:type="spellStart"/>
      <w:r w:rsidR="00460EA8" w:rsidRPr="004F193C">
        <w:rPr>
          <w:rFonts w:ascii="Cambria" w:hAnsi="Cambria"/>
          <w:sz w:val="23"/>
          <w:szCs w:val="23"/>
        </w:rPr>
        <w:t>Apax</w:t>
      </w:r>
      <w:proofErr w:type="spellEnd"/>
      <w:r w:rsidR="00460EA8" w:rsidRPr="004F193C">
        <w:rPr>
          <w:rFonts w:ascii="Cambria" w:hAnsi="Cambria"/>
          <w:sz w:val="23"/>
          <w:szCs w:val="23"/>
        </w:rPr>
        <w:t xml:space="preserve"> Partners LLP, Canada Pension Plan Investment Board and Ontario Teachers’ Pension Plan Board </w:t>
      </w:r>
      <w:r w:rsidR="00460EA8" w:rsidRPr="00866158">
        <w:rPr>
          <w:rFonts w:ascii="Cambria" w:hAnsi="Cambria"/>
          <w:sz w:val="23"/>
          <w:szCs w:val="23"/>
        </w:rPr>
        <w:t>that will acquire</w:t>
      </w:r>
      <w:r w:rsidR="00460EA8">
        <w:rPr>
          <w:rFonts w:ascii="Cambria" w:hAnsi="Cambria"/>
          <w:sz w:val="23"/>
          <w:szCs w:val="23"/>
        </w:rPr>
        <w:t xml:space="preserve"> indirect</w:t>
      </w:r>
      <w:r w:rsidR="00460EA8" w:rsidRPr="00866158">
        <w:rPr>
          <w:rFonts w:ascii="Cambria" w:hAnsi="Cambria"/>
          <w:sz w:val="23"/>
          <w:szCs w:val="23"/>
        </w:rPr>
        <w:t xml:space="preserve"> control of Inmarsat as a result of the </w:t>
      </w:r>
      <w:r w:rsidR="00460EA8">
        <w:rPr>
          <w:rFonts w:ascii="Cambria" w:hAnsi="Cambria"/>
          <w:sz w:val="23"/>
          <w:szCs w:val="23"/>
        </w:rPr>
        <w:t>T</w:t>
      </w:r>
      <w:r w:rsidR="00460EA8" w:rsidRPr="00866158">
        <w:rPr>
          <w:rFonts w:ascii="Cambria" w:hAnsi="Cambria"/>
          <w:sz w:val="23"/>
          <w:szCs w:val="23"/>
        </w:rPr>
        <w:t>ransaction</w:t>
      </w:r>
      <w:r w:rsidR="00074744">
        <w:rPr>
          <w:rFonts w:ascii="Cambria" w:hAnsi="Cambria"/>
          <w:sz w:val="23"/>
          <w:szCs w:val="23"/>
        </w:rPr>
        <w:t>;</w:t>
      </w:r>
      <w:r w:rsidR="00F02879">
        <w:rPr>
          <w:rFonts w:ascii="Cambria" w:hAnsi="Cambria"/>
          <w:sz w:val="23"/>
          <w:szCs w:val="23"/>
        </w:rPr>
        <w:t xml:space="preserve"> </w:t>
      </w:r>
    </w:p>
    <w:p w14:paraId="3BE122CA" w14:textId="77777777" w:rsidR="00514DCB" w:rsidRPr="00514DCB" w:rsidRDefault="00514DCB" w:rsidP="00514DCB">
      <w:pPr>
        <w:pStyle w:val="ListParagraph"/>
        <w:rPr>
          <w:rFonts w:ascii="Cambria" w:hAnsi="Cambria"/>
          <w:sz w:val="23"/>
          <w:szCs w:val="23"/>
        </w:rPr>
      </w:pPr>
    </w:p>
    <w:p w14:paraId="1840ACF2" w14:textId="50A3D439" w:rsidR="00686415" w:rsidRDefault="00514DCB" w:rsidP="00F02D1F">
      <w:pPr>
        <w:pStyle w:val="ListParagraph"/>
        <w:numPr>
          <w:ilvl w:val="1"/>
          <w:numId w:val="4"/>
        </w:numPr>
        <w:ind w:left="709" w:hanging="709"/>
        <w:jc w:val="both"/>
        <w:rPr>
          <w:rFonts w:ascii="Cambria" w:hAnsi="Cambria"/>
          <w:sz w:val="23"/>
          <w:szCs w:val="23"/>
        </w:rPr>
      </w:pPr>
      <w:r w:rsidRPr="00CA4078">
        <w:rPr>
          <w:rFonts w:ascii="Cambria" w:hAnsi="Cambria"/>
          <w:b/>
          <w:sz w:val="23"/>
          <w:szCs w:val="23"/>
        </w:rPr>
        <w:lastRenderedPageBreak/>
        <w:t xml:space="preserve">“Connect </w:t>
      </w:r>
      <w:proofErr w:type="spellStart"/>
      <w:r w:rsidRPr="00CA4078">
        <w:rPr>
          <w:rFonts w:ascii="Cambria" w:hAnsi="Cambria"/>
          <w:b/>
          <w:sz w:val="23"/>
          <w:szCs w:val="23"/>
        </w:rPr>
        <w:t>Bidco</w:t>
      </w:r>
      <w:proofErr w:type="spellEnd"/>
      <w:r w:rsidRPr="00CA4078">
        <w:rPr>
          <w:rFonts w:ascii="Cambria" w:hAnsi="Cambria"/>
          <w:b/>
          <w:sz w:val="23"/>
          <w:szCs w:val="23"/>
        </w:rPr>
        <w:t xml:space="preserve">” </w:t>
      </w:r>
      <w:r>
        <w:rPr>
          <w:rFonts w:ascii="Cambria" w:hAnsi="Cambria"/>
          <w:sz w:val="23"/>
          <w:szCs w:val="23"/>
        </w:rPr>
        <w:t xml:space="preserve">means Connect </w:t>
      </w:r>
      <w:proofErr w:type="spellStart"/>
      <w:r>
        <w:rPr>
          <w:rFonts w:ascii="Cambria" w:hAnsi="Cambria"/>
          <w:sz w:val="23"/>
          <w:szCs w:val="23"/>
        </w:rPr>
        <w:t>Bidco</w:t>
      </w:r>
      <w:proofErr w:type="spellEnd"/>
      <w:r>
        <w:rPr>
          <w:rFonts w:ascii="Cambria" w:hAnsi="Cambria"/>
          <w:sz w:val="23"/>
          <w:szCs w:val="23"/>
        </w:rPr>
        <w:t xml:space="preserve"> Limited</w:t>
      </w:r>
      <w:r w:rsidR="00581CC7">
        <w:rPr>
          <w:rFonts w:ascii="Cambria" w:hAnsi="Cambria"/>
          <w:sz w:val="23"/>
          <w:szCs w:val="23"/>
        </w:rPr>
        <w:t>;</w:t>
      </w:r>
      <w:r>
        <w:rPr>
          <w:rFonts w:ascii="Cambria" w:hAnsi="Cambria"/>
          <w:sz w:val="23"/>
          <w:szCs w:val="23"/>
        </w:rPr>
        <w:t xml:space="preserve"> </w:t>
      </w:r>
    </w:p>
    <w:p w14:paraId="38117582" w14:textId="77777777" w:rsidR="00F02D1F" w:rsidRPr="00F02D1F" w:rsidRDefault="00F02D1F" w:rsidP="00F02D1F">
      <w:pPr>
        <w:pStyle w:val="ListParagraph"/>
        <w:ind w:left="709"/>
        <w:jc w:val="both"/>
        <w:rPr>
          <w:rFonts w:ascii="Cambria" w:hAnsi="Cambria"/>
          <w:sz w:val="23"/>
          <w:szCs w:val="23"/>
        </w:rPr>
      </w:pPr>
    </w:p>
    <w:p w14:paraId="0FE8CFCD" w14:textId="060C9123" w:rsidR="008C0417" w:rsidRDefault="005055D1" w:rsidP="008C0417">
      <w:pPr>
        <w:pStyle w:val="ListParagraph"/>
        <w:numPr>
          <w:ilvl w:val="1"/>
          <w:numId w:val="4"/>
        </w:numPr>
        <w:ind w:left="709" w:hanging="709"/>
        <w:jc w:val="both"/>
        <w:rPr>
          <w:rFonts w:ascii="Cambria" w:hAnsi="Cambria"/>
          <w:sz w:val="23"/>
          <w:szCs w:val="23"/>
        </w:rPr>
      </w:pPr>
      <w:r w:rsidRPr="007A798D">
        <w:rPr>
          <w:rFonts w:ascii="Cambria" w:hAnsi="Cambria"/>
          <w:sz w:val="23"/>
          <w:szCs w:val="23"/>
        </w:rPr>
        <w:t>“</w:t>
      </w:r>
      <w:r w:rsidRPr="007A798D">
        <w:rPr>
          <w:rFonts w:ascii="Cambria" w:hAnsi="Cambria"/>
          <w:b/>
          <w:sz w:val="23"/>
          <w:szCs w:val="23"/>
        </w:rPr>
        <w:t>Customer</w:t>
      </w:r>
      <w:r w:rsidRPr="007A798D">
        <w:rPr>
          <w:rFonts w:ascii="Cambria" w:hAnsi="Cambria"/>
          <w:sz w:val="23"/>
          <w:szCs w:val="23"/>
        </w:rPr>
        <w:t xml:space="preserve">” </w:t>
      </w:r>
      <w:r w:rsidR="0078353C" w:rsidRPr="007A798D">
        <w:rPr>
          <w:rFonts w:ascii="Cambria" w:hAnsi="Cambria"/>
          <w:sz w:val="23"/>
          <w:szCs w:val="23"/>
        </w:rPr>
        <w:t>refers</w:t>
      </w:r>
      <w:r w:rsidR="00BA04E6" w:rsidRPr="007A798D">
        <w:rPr>
          <w:rFonts w:ascii="Cambria" w:hAnsi="Cambria"/>
          <w:sz w:val="23"/>
          <w:szCs w:val="23"/>
        </w:rPr>
        <w:t xml:space="preserve"> </w:t>
      </w:r>
      <w:r w:rsidR="007A798D" w:rsidRPr="007A798D">
        <w:rPr>
          <w:rFonts w:ascii="Cambria" w:hAnsi="Cambria"/>
          <w:sz w:val="23"/>
          <w:szCs w:val="23"/>
        </w:rPr>
        <w:t xml:space="preserve">to </w:t>
      </w:r>
      <w:r w:rsidR="007A798D">
        <w:rPr>
          <w:rFonts w:ascii="Cambria" w:hAnsi="Cambria"/>
          <w:sz w:val="23"/>
          <w:szCs w:val="23"/>
        </w:rPr>
        <w:t>a</w:t>
      </w:r>
      <w:r w:rsidR="007A798D" w:rsidRPr="007A798D">
        <w:rPr>
          <w:rFonts w:ascii="Cambria" w:hAnsi="Cambria"/>
          <w:sz w:val="23"/>
          <w:szCs w:val="23"/>
        </w:rPr>
        <w:t xml:space="preserve"> situation where </w:t>
      </w:r>
      <w:r w:rsidRPr="007A798D">
        <w:rPr>
          <w:rFonts w:ascii="Cambria" w:hAnsi="Cambria"/>
          <w:sz w:val="23"/>
          <w:szCs w:val="23"/>
        </w:rPr>
        <w:t xml:space="preserve">the Ministry of Defence is either a </w:t>
      </w:r>
      <w:r w:rsidR="007A798D" w:rsidRPr="007A798D">
        <w:rPr>
          <w:rFonts w:ascii="Cambria" w:hAnsi="Cambria"/>
          <w:sz w:val="23"/>
          <w:szCs w:val="23"/>
        </w:rPr>
        <w:t>direct</w:t>
      </w:r>
      <w:r w:rsidRPr="007A798D">
        <w:rPr>
          <w:rFonts w:ascii="Cambria" w:hAnsi="Cambria"/>
          <w:sz w:val="23"/>
          <w:szCs w:val="23"/>
        </w:rPr>
        <w:t xml:space="preserve"> </w:t>
      </w:r>
      <w:r w:rsidR="007A798D" w:rsidRPr="007A798D">
        <w:rPr>
          <w:rFonts w:ascii="Cambria" w:hAnsi="Cambria"/>
          <w:sz w:val="23"/>
          <w:szCs w:val="23"/>
        </w:rPr>
        <w:t xml:space="preserve">purchaser of products or services </w:t>
      </w:r>
      <w:r w:rsidRPr="007A798D">
        <w:rPr>
          <w:rFonts w:ascii="Cambria" w:hAnsi="Cambria"/>
          <w:sz w:val="23"/>
          <w:szCs w:val="23"/>
        </w:rPr>
        <w:t>from Inmarsat</w:t>
      </w:r>
      <w:r w:rsidR="007A798D">
        <w:rPr>
          <w:rFonts w:ascii="Cambria" w:hAnsi="Cambria"/>
          <w:sz w:val="23"/>
          <w:szCs w:val="23"/>
        </w:rPr>
        <w:t xml:space="preserve"> </w:t>
      </w:r>
      <w:r w:rsidR="00F70AD6">
        <w:rPr>
          <w:rFonts w:ascii="Cambria" w:hAnsi="Cambria"/>
          <w:sz w:val="23"/>
          <w:szCs w:val="23"/>
        </w:rPr>
        <w:t xml:space="preserve">or a </w:t>
      </w:r>
      <w:r w:rsidRPr="007A798D">
        <w:rPr>
          <w:rFonts w:ascii="Cambria" w:hAnsi="Cambria"/>
          <w:sz w:val="23"/>
          <w:szCs w:val="23"/>
        </w:rPr>
        <w:t>UK Subsidiar</w:t>
      </w:r>
      <w:r w:rsidR="00FF5AD8">
        <w:rPr>
          <w:rFonts w:ascii="Cambria" w:hAnsi="Cambria"/>
          <w:sz w:val="23"/>
          <w:szCs w:val="23"/>
        </w:rPr>
        <w:t>y</w:t>
      </w:r>
      <w:r w:rsidRPr="007A798D">
        <w:rPr>
          <w:rFonts w:ascii="Cambria" w:hAnsi="Cambria"/>
          <w:sz w:val="23"/>
          <w:szCs w:val="23"/>
        </w:rPr>
        <w:t xml:space="preserve"> or </w:t>
      </w:r>
      <w:r w:rsidR="00686415">
        <w:rPr>
          <w:rFonts w:ascii="Cambria" w:hAnsi="Cambria"/>
          <w:sz w:val="23"/>
          <w:szCs w:val="23"/>
        </w:rPr>
        <w:t xml:space="preserve">is specified under </w:t>
      </w:r>
      <w:r w:rsidRPr="007A798D">
        <w:rPr>
          <w:rFonts w:ascii="Cambria" w:hAnsi="Cambria"/>
          <w:sz w:val="23"/>
          <w:szCs w:val="23"/>
        </w:rPr>
        <w:t>the</w:t>
      </w:r>
      <w:r w:rsidR="00686415">
        <w:rPr>
          <w:rFonts w:ascii="Cambria" w:hAnsi="Cambria"/>
          <w:sz w:val="23"/>
          <w:szCs w:val="23"/>
        </w:rPr>
        <w:t xml:space="preserve"> applicable contract as</w:t>
      </w:r>
      <w:r w:rsidRPr="007A798D">
        <w:rPr>
          <w:rFonts w:ascii="Cambria" w:hAnsi="Cambria"/>
          <w:sz w:val="23"/>
          <w:szCs w:val="23"/>
        </w:rPr>
        <w:t xml:space="preserve"> </w:t>
      </w:r>
      <w:r w:rsidR="00F70AD6">
        <w:rPr>
          <w:rFonts w:ascii="Cambria" w:hAnsi="Cambria"/>
          <w:sz w:val="23"/>
          <w:szCs w:val="23"/>
        </w:rPr>
        <w:t xml:space="preserve">the </w:t>
      </w:r>
      <w:r w:rsidRPr="007A798D">
        <w:rPr>
          <w:rFonts w:ascii="Cambria" w:hAnsi="Cambria"/>
          <w:sz w:val="23"/>
          <w:szCs w:val="23"/>
        </w:rPr>
        <w:t>ultimate user of products or services procured</w:t>
      </w:r>
      <w:r w:rsidR="007A798D" w:rsidRPr="007A798D">
        <w:rPr>
          <w:rFonts w:ascii="Cambria" w:hAnsi="Cambria"/>
          <w:sz w:val="23"/>
          <w:szCs w:val="23"/>
        </w:rPr>
        <w:t xml:space="preserve"> from Inmarsat</w:t>
      </w:r>
      <w:r w:rsidR="00F70AD6">
        <w:rPr>
          <w:rFonts w:ascii="Cambria" w:hAnsi="Cambria"/>
          <w:sz w:val="23"/>
          <w:szCs w:val="23"/>
        </w:rPr>
        <w:t xml:space="preserve"> or a</w:t>
      </w:r>
      <w:r w:rsidRPr="007A798D">
        <w:rPr>
          <w:rFonts w:ascii="Cambria" w:hAnsi="Cambria"/>
          <w:sz w:val="23"/>
          <w:szCs w:val="23"/>
        </w:rPr>
        <w:t xml:space="preserve"> </w:t>
      </w:r>
      <w:r w:rsidR="00FF5AD8">
        <w:rPr>
          <w:rFonts w:ascii="Cambria" w:hAnsi="Cambria"/>
          <w:sz w:val="23"/>
          <w:szCs w:val="23"/>
        </w:rPr>
        <w:t>UK Subsidiary</w:t>
      </w:r>
      <w:r w:rsidR="007A798D">
        <w:rPr>
          <w:rFonts w:ascii="Cambria" w:hAnsi="Cambria"/>
          <w:sz w:val="23"/>
          <w:szCs w:val="23"/>
        </w:rPr>
        <w:t xml:space="preserve"> </w:t>
      </w:r>
      <w:r w:rsidRPr="007A798D">
        <w:rPr>
          <w:rFonts w:ascii="Cambria" w:hAnsi="Cambria"/>
          <w:sz w:val="23"/>
          <w:szCs w:val="23"/>
        </w:rPr>
        <w:t>by a</w:t>
      </w:r>
      <w:r w:rsidR="007A798D" w:rsidRPr="007A798D">
        <w:rPr>
          <w:rFonts w:ascii="Cambria" w:hAnsi="Cambria"/>
          <w:sz w:val="23"/>
          <w:szCs w:val="23"/>
        </w:rPr>
        <w:t xml:space="preserve"> third party</w:t>
      </w:r>
      <w:r w:rsidRPr="007A798D">
        <w:rPr>
          <w:rFonts w:ascii="Cambria" w:hAnsi="Cambria"/>
          <w:sz w:val="23"/>
          <w:szCs w:val="23"/>
        </w:rPr>
        <w:t xml:space="preserve"> for the Ministry of Defence; </w:t>
      </w:r>
    </w:p>
    <w:p w14:paraId="39C77559" w14:textId="77777777" w:rsidR="008C0417" w:rsidRDefault="008C0417" w:rsidP="008C0417">
      <w:pPr>
        <w:pStyle w:val="ListParagraph"/>
        <w:ind w:left="709"/>
        <w:jc w:val="both"/>
        <w:rPr>
          <w:rFonts w:ascii="Cambria" w:hAnsi="Cambria"/>
          <w:sz w:val="23"/>
          <w:szCs w:val="23"/>
        </w:rPr>
      </w:pPr>
    </w:p>
    <w:p w14:paraId="0ACE9DEA" w14:textId="5E65DE8F" w:rsidR="001F7888" w:rsidRDefault="001F7888" w:rsidP="00941179">
      <w:pPr>
        <w:pStyle w:val="ListParagraph"/>
        <w:numPr>
          <w:ilvl w:val="1"/>
          <w:numId w:val="4"/>
        </w:numPr>
        <w:ind w:left="709" w:hanging="709"/>
        <w:jc w:val="both"/>
        <w:rPr>
          <w:rFonts w:ascii="Cambria" w:hAnsi="Cambria"/>
          <w:sz w:val="23"/>
          <w:szCs w:val="23"/>
        </w:rPr>
      </w:pPr>
      <w:r>
        <w:rPr>
          <w:rFonts w:ascii="Cambria" w:hAnsi="Cambria"/>
          <w:sz w:val="23"/>
          <w:szCs w:val="23"/>
        </w:rPr>
        <w:t>"</w:t>
      </w:r>
      <w:r w:rsidRPr="001F7888">
        <w:rPr>
          <w:rFonts w:ascii="Cambria" w:hAnsi="Cambria"/>
          <w:b/>
          <w:bCs/>
          <w:sz w:val="23"/>
          <w:szCs w:val="23"/>
        </w:rPr>
        <w:t>Distribution Agreement</w:t>
      </w:r>
      <w:r>
        <w:rPr>
          <w:rFonts w:ascii="Cambria" w:hAnsi="Cambria"/>
          <w:sz w:val="23"/>
          <w:szCs w:val="23"/>
        </w:rPr>
        <w:t xml:space="preserve">" means </w:t>
      </w:r>
      <w:r w:rsidR="00FF5AD8">
        <w:rPr>
          <w:rFonts w:ascii="Cambria" w:hAnsi="Cambria"/>
          <w:sz w:val="23"/>
          <w:szCs w:val="23"/>
        </w:rPr>
        <w:t>an</w:t>
      </w:r>
      <w:r w:rsidR="007A798D">
        <w:rPr>
          <w:rFonts w:ascii="Cambria" w:hAnsi="Cambria"/>
          <w:sz w:val="23"/>
          <w:szCs w:val="23"/>
        </w:rPr>
        <w:t xml:space="preserve"> agreement between </w:t>
      </w:r>
      <w:r w:rsidR="00FF5AD8">
        <w:rPr>
          <w:rFonts w:ascii="Cambria" w:hAnsi="Cambria"/>
          <w:sz w:val="23"/>
          <w:szCs w:val="23"/>
        </w:rPr>
        <w:t>a</w:t>
      </w:r>
      <w:r w:rsidR="007A798D">
        <w:rPr>
          <w:rFonts w:ascii="Cambria" w:hAnsi="Cambria"/>
          <w:sz w:val="23"/>
          <w:szCs w:val="23"/>
        </w:rPr>
        <w:t xml:space="preserve"> </w:t>
      </w:r>
      <w:r w:rsidR="00FF5AD8">
        <w:rPr>
          <w:rFonts w:ascii="Cambria" w:hAnsi="Cambria"/>
          <w:sz w:val="23"/>
          <w:szCs w:val="23"/>
        </w:rPr>
        <w:t>UK Subsidiary</w:t>
      </w:r>
      <w:r w:rsidR="007A798D">
        <w:rPr>
          <w:rFonts w:ascii="Cambria" w:hAnsi="Cambria"/>
          <w:sz w:val="23"/>
          <w:szCs w:val="23"/>
        </w:rPr>
        <w:t xml:space="preserve"> and </w:t>
      </w:r>
      <w:r w:rsidR="00FF5AD8">
        <w:rPr>
          <w:rFonts w:ascii="Cambria" w:hAnsi="Cambria"/>
          <w:sz w:val="23"/>
          <w:szCs w:val="23"/>
        </w:rPr>
        <w:t xml:space="preserve">a </w:t>
      </w:r>
      <w:r w:rsidR="007A798D">
        <w:rPr>
          <w:rFonts w:ascii="Cambria" w:hAnsi="Cambria"/>
          <w:sz w:val="23"/>
          <w:szCs w:val="23"/>
        </w:rPr>
        <w:t>third</w:t>
      </w:r>
      <w:r w:rsidR="00460EA8">
        <w:rPr>
          <w:rFonts w:ascii="Cambria" w:hAnsi="Cambria"/>
          <w:sz w:val="23"/>
          <w:szCs w:val="23"/>
        </w:rPr>
        <w:t>-</w:t>
      </w:r>
      <w:r w:rsidR="007A798D">
        <w:rPr>
          <w:rFonts w:ascii="Cambria" w:hAnsi="Cambria"/>
          <w:sz w:val="23"/>
          <w:szCs w:val="23"/>
        </w:rPr>
        <w:t>party distribution partner for the supply of Specified Services</w:t>
      </w:r>
      <w:r w:rsidR="00286C53">
        <w:rPr>
          <w:rFonts w:ascii="Cambria" w:hAnsi="Cambria"/>
          <w:sz w:val="23"/>
          <w:szCs w:val="23"/>
        </w:rPr>
        <w:t>;</w:t>
      </w:r>
      <w:r w:rsidR="007A798D">
        <w:rPr>
          <w:rFonts w:ascii="Cambria" w:hAnsi="Cambria"/>
          <w:sz w:val="23"/>
          <w:szCs w:val="23"/>
        </w:rPr>
        <w:t xml:space="preserve">  </w:t>
      </w:r>
    </w:p>
    <w:p w14:paraId="0396F7E8" w14:textId="77777777" w:rsidR="001F7888" w:rsidRDefault="001F7888" w:rsidP="001F7888">
      <w:pPr>
        <w:pStyle w:val="ListParagraph"/>
        <w:ind w:left="709"/>
        <w:jc w:val="both"/>
        <w:rPr>
          <w:rFonts w:ascii="Cambria" w:hAnsi="Cambria"/>
          <w:sz w:val="23"/>
          <w:szCs w:val="23"/>
        </w:rPr>
      </w:pPr>
    </w:p>
    <w:p w14:paraId="74386A57" w14:textId="21BF988F" w:rsidR="00D0595F" w:rsidRDefault="00D0595F" w:rsidP="00941179">
      <w:pPr>
        <w:pStyle w:val="ListParagraph"/>
        <w:numPr>
          <w:ilvl w:val="1"/>
          <w:numId w:val="4"/>
        </w:numPr>
        <w:ind w:left="709" w:hanging="709"/>
        <w:jc w:val="both"/>
        <w:rPr>
          <w:rFonts w:ascii="Cambria" w:hAnsi="Cambria"/>
          <w:sz w:val="23"/>
          <w:szCs w:val="23"/>
        </w:rPr>
      </w:pPr>
      <w:r>
        <w:rPr>
          <w:rFonts w:ascii="Cambria" w:hAnsi="Cambria"/>
          <w:sz w:val="23"/>
          <w:szCs w:val="23"/>
        </w:rPr>
        <w:t>“</w:t>
      </w:r>
      <w:r>
        <w:rPr>
          <w:rFonts w:ascii="Cambria" w:hAnsi="Cambria"/>
          <w:b/>
          <w:sz w:val="23"/>
          <w:szCs w:val="23"/>
        </w:rPr>
        <w:t>Director</w:t>
      </w:r>
      <w:r>
        <w:rPr>
          <w:rFonts w:ascii="Cambria" w:hAnsi="Cambria"/>
          <w:sz w:val="23"/>
          <w:szCs w:val="23"/>
        </w:rPr>
        <w:t xml:space="preserve">” means </w:t>
      </w:r>
      <w:r w:rsidR="00A145F6">
        <w:rPr>
          <w:rFonts w:ascii="Cambria" w:hAnsi="Cambria"/>
          <w:sz w:val="23"/>
          <w:szCs w:val="23"/>
        </w:rPr>
        <w:t xml:space="preserve">a director of the </w:t>
      </w:r>
      <w:r w:rsidR="00CE4251">
        <w:rPr>
          <w:rFonts w:ascii="Cambria" w:hAnsi="Cambria"/>
          <w:sz w:val="23"/>
          <w:szCs w:val="23"/>
        </w:rPr>
        <w:t>B</w:t>
      </w:r>
      <w:r w:rsidR="00A145F6">
        <w:rPr>
          <w:rFonts w:ascii="Cambria" w:hAnsi="Cambria"/>
          <w:sz w:val="23"/>
          <w:szCs w:val="23"/>
        </w:rPr>
        <w:t xml:space="preserve">oard </w:t>
      </w:r>
      <w:r w:rsidR="00CE4251">
        <w:rPr>
          <w:rFonts w:ascii="Cambria" w:hAnsi="Cambria"/>
          <w:sz w:val="23"/>
          <w:szCs w:val="23"/>
        </w:rPr>
        <w:t xml:space="preserve">who </w:t>
      </w:r>
      <w:r w:rsidR="00A145F6">
        <w:rPr>
          <w:rFonts w:ascii="Cambria" w:hAnsi="Cambria"/>
          <w:sz w:val="23"/>
          <w:szCs w:val="23"/>
        </w:rPr>
        <w:t xml:space="preserve">has voting </w:t>
      </w:r>
      <w:r w:rsidR="003D7908">
        <w:rPr>
          <w:rFonts w:ascii="Cambria" w:hAnsi="Cambria"/>
          <w:sz w:val="23"/>
          <w:szCs w:val="23"/>
        </w:rPr>
        <w:t>or decision</w:t>
      </w:r>
      <w:r w:rsidR="008E503C">
        <w:rPr>
          <w:rFonts w:ascii="Cambria" w:hAnsi="Cambria"/>
          <w:sz w:val="23"/>
          <w:szCs w:val="23"/>
        </w:rPr>
        <w:t xml:space="preserve">-making </w:t>
      </w:r>
      <w:r w:rsidR="003D7908">
        <w:rPr>
          <w:rFonts w:ascii="Cambria" w:hAnsi="Cambria"/>
          <w:sz w:val="23"/>
          <w:szCs w:val="23"/>
        </w:rPr>
        <w:t>rights irrespective of whether the individual is in an executive position</w:t>
      </w:r>
      <w:r w:rsidR="003E00B0">
        <w:rPr>
          <w:rFonts w:ascii="Cambria" w:hAnsi="Cambria"/>
          <w:sz w:val="23"/>
          <w:szCs w:val="23"/>
        </w:rPr>
        <w:t xml:space="preserve"> </w:t>
      </w:r>
      <w:r w:rsidR="003D7908">
        <w:rPr>
          <w:rFonts w:ascii="Cambria" w:hAnsi="Cambria"/>
          <w:sz w:val="23"/>
          <w:szCs w:val="23"/>
        </w:rPr>
        <w:t>o</w:t>
      </w:r>
      <w:r w:rsidR="005E13BE">
        <w:rPr>
          <w:rFonts w:ascii="Cambria" w:hAnsi="Cambria"/>
          <w:sz w:val="23"/>
          <w:szCs w:val="23"/>
        </w:rPr>
        <w:t>r</w:t>
      </w:r>
      <w:r w:rsidR="003D7908">
        <w:rPr>
          <w:rFonts w:ascii="Cambria" w:hAnsi="Cambria"/>
          <w:sz w:val="23"/>
          <w:szCs w:val="23"/>
        </w:rPr>
        <w:t xml:space="preserve"> not</w:t>
      </w:r>
      <w:r w:rsidR="00286C53">
        <w:rPr>
          <w:rFonts w:ascii="Cambria" w:hAnsi="Cambria"/>
          <w:sz w:val="23"/>
          <w:szCs w:val="23"/>
        </w:rPr>
        <w:t>;</w:t>
      </w:r>
      <w:r w:rsidR="003D7908">
        <w:rPr>
          <w:rFonts w:ascii="Cambria" w:hAnsi="Cambria"/>
          <w:sz w:val="23"/>
          <w:szCs w:val="23"/>
        </w:rPr>
        <w:t xml:space="preserve"> </w:t>
      </w:r>
      <w:r w:rsidR="00CE4251" w:rsidRPr="00CE4251">
        <w:rPr>
          <w:rFonts w:ascii="Cambria" w:hAnsi="Cambria"/>
          <w:sz w:val="23"/>
          <w:szCs w:val="23"/>
        </w:rPr>
        <w:t xml:space="preserve"> </w:t>
      </w:r>
    </w:p>
    <w:p w14:paraId="6FECA31D" w14:textId="77777777" w:rsidR="005055D1" w:rsidRDefault="005055D1" w:rsidP="005055D1">
      <w:pPr>
        <w:pStyle w:val="ListParagraph"/>
        <w:ind w:left="0"/>
        <w:jc w:val="both"/>
        <w:rPr>
          <w:rFonts w:ascii="Cambria" w:hAnsi="Cambria"/>
          <w:sz w:val="23"/>
          <w:szCs w:val="23"/>
        </w:rPr>
      </w:pPr>
    </w:p>
    <w:p w14:paraId="1C4DCEBC" w14:textId="283A4607" w:rsidR="005055D1" w:rsidRDefault="005055D1" w:rsidP="00941179">
      <w:pPr>
        <w:pStyle w:val="ListParagraph"/>
        <w:numPr>
          <w:ilvl w:val="1"/>
          <w:numId w:val="4"/>
        </w:numPr>
        <w:ind w:left="709" w:hanging="709"/>
        <w:jc w:val="both"/>
        <w:rPr>
          <w:rFonts w:ascii="Cambria" w:hAnsi="Cambria"/>
          <w:sz w:val="23"/>
          <w:szCs w:val="23"/>
        </w:rPr>
      </w:pPr>
      <w:r w:rsidRPr="000A470F">
        <w:rPr>
          <w:rFonts w:ascii="Cambria" w:hAnsi="Cambria"/>
          <w:sz w:val="23"/>
          <w:szCs w:val="23"/>
        </w:rPr>
        <w:t>“</w:t>
      </w:r>
      <w:r w:rsidRPr="000A470F">
        <w:rPr>
          <w:rFonts w:ascii="Cambria" w:hAnsi="Cambria"/>
          <w:b/>
          <w:sz w:val="23"/>
          <w:szCs w:val="23"/>
        </w:rPr>
        <w:t xml:space="preserve">Effective </w:t>
      </w:r>
      <w:r w:rsidR="007B6C04">
        <w:rPr>
          <w:rFonts w:ascii="Cambria" w:hAnsi="Cambria"/>
          <w:b/>
          <w:sz w:val="23"/>
          <w:szCs w:val="23"/>
        </w:rPr>
        <w:t>D</w:t>
      </w:r>
      <w:r w:rsidRPr="000A470F">
        <w:rPr>
          <w:rFonts w:ascii="Cambria" w:hAnsi="Cambria"/>
          <w:b/>
          <w:sz w:val="23"/>
          <w:szCs w:val="23"/>
        </w:rPr>
        <w:t>ate</w:t>
      </w:r>
      <w:r w:rsidRPr="000A470F">
        <w:rPr>
          <w:rFonts w:ascii="Cambria" w:hAnsi="Cambria"/>
          <w:sz w:val="23"/>
          <w:szCs w:val="23"/>
        </w:rPr>
        <w:t>” means the date on which these undertakings are accepted by the Secretary of State, except where the Transaction is not completed, in which case these undertakings shall not take effect until the date of such completion</w:t>
      </w:r>
      <w:r>
        <w:rPr>
          <w:rFonts w:ascii="Cambria" w:hAnsi="Cambria"/>
          <w:sz w:val="23"/>
          <w:szCs w:val="23"/>
        </w:rPr>
        <w:t xml:space="preserve">; </w:t>
      </w:r>
    </w:p>
    <w:p w14:paraId="5E9D4DC9" w14:textId="77777777" w:rsidR="00460EA8" w:rsidRDefault="00460EA8" w:rsidP="00297A9C">
      <w:pPr>
        <w:pStyle w:val="ListParagraph"/>
        <w:ind w:left="709"/>
        <w:jc w:val="both"/>
        <w:rPr>
          <w:rFonts w:ascii="Cambria" w:hAnsi="Cambria"/>
          <w:sz w:val="23"/>
          <w:szCs w:val="23"/>
        </w:rPr>
      </w:pPr>
    </w:p>
    <w:p w14:paraId="35E5735D" w14:textId="16F777D6" w:rsidR="00F02D1F" w:rsidRDefault="00460EA8" w:rsidP="00F02D1F">
      <w:pPr>
        <w:pStyle w:val="ListParagraph"/>
        <w:numPr>
          <w:ilvl w:val="1"/>
          <w:numId w:val="4"/>
        </w:numPr>
        <w:ind w:left="709" w:hanging="709"/>
        <w:jc w:val="both"/>
        <w:rPr>
          <w:rFonts w:ascii="Cambria" w:hAnsi="Cambria"/>
          <w:sz w:val="23"/>
          <w:szCs w:val="23"/>
        </w:rPr>
      </w:pPr>
      <w:r>
        <w:rPr>
          <w:rFonts w:ascii="Cambria" w:hAnsi="Cambria"/>
          <w:b/>
          <w:sz w:val="23"/>
          <w:szCs w:val="23"/>
        </w:rPr>
        <w:t>“</w:t>
      </w:r>
      <w:r w:rsidRPr="00460EA8">
        <w:rPr>
          <w:rFonts w:ascii="Cambria" w:hAnsi="Cambria"/>
          <w:b/>
          <w:sz w:val="23"/>
          <w:szCs w:val="23"/>
        </w:rPr>
        <w:t xml:space="preserve">Exit” </w:t>
      </w:r>
      <w:r w:rsidR="00F02D1F" w:rsidRPr="00460EA8">
        <w:rPr>
          <w:rFonts w:ascii="Cambria" w:hAnsi="Cambria"/>
          <w:sz w:val="23"/>
          <w:szCs w:val="23"/>
        </w:rPr>
        <w:t>means</w:t>
      </w:r>
      <w:r w:rsidR="00F02D1F">
        <w:rPr>
          <w:rFonts w:ascii="Cambria" w:hAnsi="Cambria"/>
          <w:sz w:val="23"/>
          <w:szCs w:val="23"/>
        </w:rPr>
        <w:t xml:space="preserve"> a Sale, an Asset Sale, an Exit Listing or a Merger, where:</w:t>
      </w:r>
    </w:p>
    <w:p w14:paraId="1BB79521" w14:textId="77777777" w:rsidR="00F02D1F" w:rsidRDefault="00F02D1F" w:rsidP="00F02D1F">
      <w:pPr>
        <w:pStyle w:val="ListParagraph"/>
        <w:ind w:left="709"/>
        <w:jc w:val="both"/>
        <w:rPr>
          <w:rFonts w:ascii="Cambria" w:hAnsi="Cambria"/>
          <w:sz w:val="23"/>
          <w:szCs w:val="23"/>
        </w:rPr>
      </w:pPr>
    </w:p>
    <w:p w14:paraId="092172C4" w14:textId="02212F06" w:rsidR="00F02D1F" w:rsidRDefault="00F02D1F" w:rsidP="00F02D1F">
      <w:pPr>
        <w:pStyle w:val="ListParagraph"/>
        <w:numPr>
          <w:ilvl w:val="2"/>
          <w:numId w:val="4"/>
        </w:numPr>
        <w:jc w:val="both"/>
        <w:rPr>
          <w:rFonts w:ascii="Cambria" w:hAnsi="Cambria"/>
          <w:sz w:val="23"/>
          <w:szCs w:val="23"/>
        </w:rPr>
      </w:pPr>
      <w:r>
        <w:rPr>
          <w:rFonts w:ascii="Cambria" w:hAnsi="Cambria"/>
          <w:sz w:val="23"/>
          <w:szCs w:val="23"/>
        </w:rPr>
        <w:t>“</w:t>
      </w:r>
      <w:r>
        <w:rPr>
          <w:rFonts w:ascii="Cambria" w:hAnsi="Cambria"/>
          <w:b/>
          <w:sz w:val="23"/>
          <w:szCs w:val="23"/>
        </w:rPr>
        <w:t>Sale</w:t>
      </w:r>
      <w:r>
        <w:rPr>
          <w:rFonts w:ascii="Cambria" w:hAnsi="Cambria"/>
          <w:sz w:val="23"/>
          <w:szCs w:val="23"/>
        </w:rPr>
        <w:t>” means</w:t>
      </w:r>
      <w:r w:rsidRPr="00460EA8">
        <w:rPr>
          <w:rFonts w:ascii="Cambria" w:hAnsi="Cambria"/>
          <w:sz w:val="23"/>
          <w:szCs w:val="23"/>
        </w:rPr>
        <w:t xml:space="preserve"> </w:t>
      </w:r>
      <w:r>
        <w:rPr>
          <w:rFonts w:ascii="Cambria" w:hAnsi="Cambria"/>
          <w:sz w:val="23"/>
          <w:szCs w:val="23"/>
        </w:rPr>
        <w:t>the direct or indirect sale of all or a majority of Inmarsat’</w:t>
      </w:r>
      <w:r w:rsidR="000727F9">
        <w:rPr>
          <w:rFonts w:ascii="Cambria" w:hAnsi="Cambria"/>
          <w:sz w:val="23"/>
          <w:szCs w:val="23"/>
        </w:rPr>
        <w:t>s</w:t>
      </w:r>
      <w:r>
        <w:rPr>
          <w:rFonts w:ascii="Cambria" w:hAnsi="Cambria"/>
          <w:sz w:val="23"/>
          <w:szCs w:val="23"/>
        </w:rPr>
        <w:t xml:space="preserve"> shares to a Third-Party Buyer or related Third</w:t>
      </w:r>
      <w:r w:rsidR="000727F9">
        <w:rPr>
          <w:rFonts w:ascii="Cambria" w:hAnsi="Cambria"/>
          <w:sz w:val="23"/>
          <w:szCs w:val="23"/>
        </w:rPr>
        <w:t>-</w:t>
      </w:r>
      <w:r>
        <w:rPr>
          <w:rFonts w:ascii="Cambria" w:hAnsi="Cambria"/>
          <w:sz w:val="23"/>
          <w:szCs w:val="23"/>
        </w:rPr>
        <w:t xml:space="preserve">Party Buyers, in either case, on arm’s length terms as part of a single transaction or a series of related transactions; </w:t>
      </w:r>
    </w:p>
    <w:p w14:paraId="581CD1D3" w14:textId="77777777" w:rsidR="00F02D1F" w:rsidRPr="00F02D1F" w:rsidRDefault="00F02D1F" w:rsidP="00F02D1F">
      <w:pPr>
        <w:pStyle w:val="ListParagraph"/>
        <w:ind w:left="1224"/>
        <w:jc w:val="both"/>
        <w:rPr>
          <w:rFonts w:ascii="Cambria" w:hAnsi="Cambria"/>
          <w:sz w:val="23"/>
          <w:szCs w:val="23"/>
        </w:rPr>
      </w:pPr>
    </w:p>
    <w:p w14:paraId="6F76D64E" w14:textId="4E15B19A" w:rsidR="00F02D1F" w:rsidRDefault="00F02D1F" w:rsidP="00F02D1F">
      <w:pPr>
        <w:pStyle w:val="ListParagraph"/>
        <w:numPr>
          <w:ilvl w:val="2"/>
          <w:numId w:val="4"/>
        </w:numPr>
        <w:jc w:val="both"/>
        <w:rPr>
          <w:rFonts w:ascii="Cambria" w:hAnsi="Cambria"/>
          <w:sz w:val="23"/>
          <w:szCs w:val="23"/>
        </w:rPr>
      </w:pPr>
      <w:r>
        <w:rPr>
          <w:rFonts w:ascii="Cambria" w:hAnsi="Cambria"/>
          <w:sz w:val="23"/>
          <w:szCs w:val="23"/>
        </w:rPr>
        <w:t>“</w:t>
      </w:r>
      <w:r>
        <w:rPr>
          <w:rFonts w:ascii="Cambria" w:hAnsi="Cambria"/>
          <w:b/>
          <w:sz w:val="23"/>
          <w:szCs w:val="23"/>
        </w:rPr>
        <w:t xml:space="preserve">Asset </w:t>
      </w:r>
      <w:r w:rsidRPr="00135A74">
        <w:rPr>
          <w:rFonts w:ascii="Cambria" w:hAnsi="Cambria"/>
          <w:b/>
          <w:sz w:val="23"/>
          <w:szCs w:val="23"/>
        </w:rPr>
        <w:t>Sale</w:t>
      </w:r>
      <w:r>
        <w:rPr>
          <w:rFonts w:ascii="Cambria" w:hAnsi="Cambria"/>
          <w:sz w:val="23"/>
          <w:szCs w:val="23"/>
        </w:rPr>
        <w:t xml:space="preserve">” means </w:t>
      </w:r>
      <w:r w:rsidRPr="00135A74">
        <w:rPr>
          <w:rFonts w:ascii="Cambria" w:hAnsi="Cambria"/>
          <w:sz w:val="23"/>
          <w:szCs w:val="23"/>
        </w:rPr>
        <w:t>a</w:t>
      </w:r>
      <w:r w:rsidRPr="008A67FE">
        <w:rPr>
          <w:rFonts w:ascii="Cambria" w:hAnsi="Cambria"/>
          <w:sz w:val="23"/>
          <w:szCs w:val="23"/>
        </w:rPr>
        <w:t xml:space="preserve"> sale of all or substantially all the Inmarsat Group’s business assets and undertakings to a single Third-Party Buyer or to one or more Third</w:t>
      </w:r>
      <w:r w:rsidR="002643CF">
        <w:rPr>
          <w:rFonts w:ascii="Cambria" w:hAnsi="Cambria"/>
          <w:sz w:val="23"/>
          <w:szCs w:val="23"/>
        </w:rPr>
        <w:t>-</w:t>
      </w:r>
      <w:r w:rsidRPr="008A67FE">
        <w:rPr>
          <w:rFonts w:ascii="Cambria" w:hAnsi="Cambria"/>
          <w:sz w:val="23"/>
          <w:szCs w:val="23"/>
        </w:rPr>
        <w:t>Party Buyers as part of a single transaction or series of connected transactions</w:t>
      </w:r>
      <w:r>
        <w:rPr>
          <w:rFonts w:ascii="Cambria" w:hAnsi="Cambria"/>
          <w:sz w:val="23"/>
          <w:szCs w:val="23"/>
        </w:rPr>
        <w:t>;</w:t>
      </w:r>
    </w:p>
    <w:p w14:paraId="1C00912F" w14:textId="77777777" w:rsidR="00F02D1F" w:rsidRPr="00297A9C" w:rsidRDefault="00F02D1F" w:rsidP="00F02D1F">
      <w:pPr>
        <w:pStyle w:val="ListParagraph"/>
        <w:ind w:left="1224"/>
        <w:jc w:val="both"/>
        <w:rPr>
          <w:rFonts w:ascii="Cambria" w:hAnsi="Cambria"/>
          <w:sz w:val="23"/>
          <w:szCs w:val="23"/>
        </w:rPr>
      </w:pPr>
    </w:p>
    <w:p w14:paraId="3D086EEA" w14:textId="240BD287" w:rsidR="00F02D1F" w:rsidRDefault="00F02D1F" w:rsidP="00F02D1F">
      <w:pPr>
        <w:pStyle w:val="ListParagraph"/>
        <w:numPr>
          <w:ilvl w:val="2"/>
          <w:numId w:val="4"/>
        </w:numPr>
        <w:jc w:val="both"/>
        <w:rPr>
          <w:rFonts w:ascii="Cambria" w:hAnsi="Cambria"/>
          <w:sz w:val="23"/>
          <w:szCs w:val="23"/>
        </w:rPr>
      </w:pPr>
      <w:r>
        <w:rPr>
          <w:rFonts w:ascii="Cambria" w:hAnsi="Cambria"/>
          <w:sz w:val="23"/>
          <w:szCs w:val="23"/>
        </w:rPr>
        <w:t>“</w:t>
      </w:r>
      <w:r>
        <w:rPr>
          <w:rFonts w:ascii="Cambria" w:hAnsi="Cambria"/>
          <w:b/>
          <w:sz w:val="23"/>
          <w:szCs w:val="23"/>
        </w:rPr>
        <w:t>Exit Listing</w:t>
      </w:r>
      <w:r>
        <w:rPr>
          <w:rFonts w:ascii="Cambria" w:hAnsi="Cambria"/>
          <w:sz w:val="23"/>
          <w:szCs w:val="23"/>
        </w:rPr>
        <w:t xml:space="preserve">” means the admission to listing of some or all of the ordinary issued share capital (or such other class of share capital which comprises the primary voting shares) of Inmarsat, Connect </w:t>
      </w:r>
      <w:proofErr w:type="spellStart"/>
      <w:r>
        <w:rPr>
          <w:rFonts w:ascii="Cambria" w:hAnsi="Cambria"/>
          <w:sz w:val="23"/>
          <w:szCs w:val="23"/>
        </w:rPr>
        <w:t>Bidco</w:t>
      </w:r>
      <w:proofErr w:type="spellEnd"/>
      <w:r>
        <w:rPr>
          <w:rFonts w:ascii="Cambria" w:hAnsi="Cambria"/>
          <w:sz w:val="23"/>
          <w:szCs w:val="23"/>
        </w:rPr>
        <w:t xml:space="preserve"> or any New Holding Company (such entity being the “</w:t>
      </w:r>
      <w:proofErr w:type="spellStart"/>
      <w:r>
        <w:rPr>
          <w:rFonts w:ascii="Cambria" w:hAnsi="Cambria"/>
          <w:b/>
          <w:sz w:val="23"/>
          <w:szCs w:val="23"/>
        </w:rPr>
        <w:t>ListCo</w:t>
      </w:r>
      <w:proofErr w:type="spellEnd"/>
      <w:r>
        <w:rPr>
          <w:rFonts w:ascii="Cambria" w:hAnsi="Cambria"/>
          <w:sz w:val="23"/>
          <w:szCs w:val="23"/>
        </w:rPr>
        <w:t xml:space="preserve">” for the purposes of this form of Exit) to trading on a recognised stock exchange, provided that upon such listing becoming effective none of </w:t>
      </w:r>
      <w:bookmarkStart w:id="2" w:name="_Hlk19709498"/>
      <w:r>
        <w:rPr>
          <w:rFonts w:ascii="Cambria" w:hAnsi="Cambria"/>
          <w:sz w:val="23"/>
          <w:szCs w:val="23"/>
        </w:rPr>
        <w:t>(</w:t>
      </w:r>
      <w:proofErr w:type="spellStart"/>
      <w:r>
        <w:rPr>
          <w:rFonts w:ascii="Cambria" w:hAnsi="Cambria"/>
          <w:sz w:val="23"/>
          <w:szCs w:val="23"/>
        </w:rPr>
        <w:t>i</w:t>
      </w:r>
      <w:proofErr w:type="spellEnd"/>
      <w:r>
        <w:rPr>
          <w:rFonts w:ascii="Cambria" w:hAnsi="Cambria"/>
          <w:sz w:val="23"/>
          <w:szCs w:val="23"/>
        </w:rPr>
        <w:t>) the Consortium (ii) any one Consortium</w:t>
      </w:r>
      <w:r w:rsidR="00055F45">
        <w:rPr>
          <w:rFonts w:ascii="Cambria" w:hAnsi="Cambria"/>
          <w:sz w:val="23"/>
          <w:szCs w:val="23"/>
        </w:rPr>
        <w:t xml:space="preserve"> Member</w:t>
      </w:r>
      <w:r>
        <w:rPr>
          <w:rFonts w:ascii="Cambria" w:hAnsi="Cambria"/>
          <w:sz w:val="23"/>
          <w:szCs w:val="23"/>
        </w:rPr>
        <w:t xml:space="preserve"> nor (iii) any Consortium </w:t>
      </w:r>
      <w:r w:rsidR="00055F45">
        <w:rPr>
          <w:rFonts w:ascii="Cambria" w:hAnsi="Cambria"/>
          <w:sz w:val="23"/>
          <w:szCs w:val="23"/>
        </w:rPr>
        <w:t xml:space="preserve">Members </w:t>
      </w:r>
      <w:r>
        <w:rPr>
          <w:rFonts w:ascii="Cambria" w:hAnsi="Cambria"/>
          <w:sz w:val="23"/>
          <w:szCs w:val="23"/>
        </w:rPr>
        <w:t xml:space="preserve">acting together, Controls the </w:t>
      </w:r>
      <w:proofErr w:type="spellStart"/>
      <w:r>
        <w:rPr>
          <w:rFonts w:ascii="Cambria" w:hAnsi="Cambria"/>
          <w:sz w:val="23"/>
          <w:szCs w:val="23"/>
        </w:rPr>
        <w:t>ListCo</w:t>
      </w:r>
      <w:bookmarkEnd w:id="2"/>
      <w:proofErr w:type="spellEnd"/>
      <w:r>
        <w:rPr>
          <w:rFonts w:ascii="Cambria" w:hAnsi="Cambria"/>
          <w:sz w:val="23"/>
          <w:szCs w:val="23"/>
        </w:rPr>
        <w:t>; and</w:t>
      </w:r>
    </w:p>
    <w:p w14:paraId="77B2DE5D" w14:textId="77777777" w:rsidR="00F02D1F" w:rsidRDefault="00F02D1F" w:rsidP="00F02D1F">
      <w:pPr>
        <w:pStyle w:val="ListParagraph"/>
        <w:ind w:left="1224"/>
        <w:jc w:val="both"/>
        <w:rPr>
          <w:rFonts w:ascii="Cambria" w:hAnsi="Cambria"/>
          <w:sz w:val="23"/>
          <w:szCs w:val="23"/>
        </w:rPr>
      </w:pPr>
    </w:p>
    <w:p w14:paraId="0793D529" w14:textId="3EF38ECC" w:rsidR="00F02D1F" w:rsidRPr="008A67FE" w:rsidRDefault="00F02D1F" w:rsidP="00F02D1F">
      <w:pPr>
        <w:pStyle w:val="ListParagraph"/>
        <w:numPr>
          <w:ilvl w:val="2"/>
          <w:numId w:val="4"/>
        </w:numPr>
        <w:jc w:val="both"/>
        <w:rPr>
          <w:rFonts w:ascii="Cambria" w:hAnsi="Cambria"/>
          <w:sz w:val="23"/>
          <w:szCs w:val="23"/>
        </w:rPr>
      </w:pPr>
      <w:r>
        <w:rPr>
          <w:rFonts w:ascii="Cambria" w:hAnsi="Cambria"/>
          <w:sz w:val="23"/>
          <w:szCs w:val="23"/>
        </w:rPr>
        <w:t>“</w:t>
      </w:r>
      <w:r w:rsidRPr="00DD3B23">
        <w:rPr>
          <w:rFonts w:ascii="Cambria" w:hAnsi="Cambria"/>
          <w:b/>
          <w:sz w:val="23"/>
          <w:szCs w:val="23"/>
        </w:rPr>
        <w:t>Merger</w:t>
      </w:r>
      <w:r>
        <w:rPr>
          <w:rFonts w:ascii="Cambria" w:hAnsi="Cambria"/>
          <w:sz w:val="23"/>
          <w:szCs w:val="23"/>
        </w:rPr>
        <w:t xml:space="preserve">” means </w:t>
      </w:r>
      <w:r w:rsidRPr="00DD3B23">
        <w:rPr>
          <w:rFonts w:ascii="Cambria" w:hAnsi="Cambria"/>
          <w:sz w:val="23"/>
          <w:szCs w:val="23"/>
        </w:rPr>
        <w:t>any</w:t>
      </w:r>
      <w:r>
        <w:rPr>
          <w:rFonts w:ascii="Cambria" w:hAnsi="Cambria"/>
          <w:sz w:val="23"/>
          <w:szCs w:val="23"/>
        </w:rPr>
        <w:t xml:space="preserve"> transaction or series of transactions, including but not limited to, an issue of shares in Connect </w:t>
      </w:r>
      <w:proofErr w:type="spellStart"/>
      <w:r>
        <w:rPr>
          <w:rFonts w:ascii="Cambria" w:hAnsi="Cambria"/>
          <w:sz w:val="23"/>
          <w:szCs w:val="23"/>
        </w:rPr>
        <w:t>Bidco</w:t>
      </w:r>
      <w:proofErr w:type="spellEnd"/>
      <w:r>
        <w:rPr>
          <w:rFonts w:ascii="Cambria" w:hAnsi="Cambria"/>
          <w:sz w:val="23"/>
          <w:szCs w:val="23"/>
        </w:rPr>
        <w:t xml:space="preserve"> (and/or in any New Holding Company) following which none of (</w:t>
      </w:r>
      <w:proofErr w:type="spellStart"/>
      <w:r>
        <w:rPr>
          <w:rFonts w:ascii="Cambria" w:hAnsi="Cambria"/>
          <w:sz w:val="23"/>
          <w:szCs w:val="23"/>
        </w:rPr>
        <w:t>i</w:t>
      </w:r>
      <w:proofErr w:type="spellEnd"/>
      <w:r>
        <w:rPr>
          <w:rFonts w:ascii="Cambria" w:hAnsi="Cambria"/>
          <w:sz w:val="23"/>
          <w:szCs w:val="23"/>
        </w:rPr>
        <w:t xml:space="preserve">) </w:t>
      </w:r>
      <w:r w:rsidRPr="002C3DA5">
        <w:rPr>
          <w:rFonts w:ascii="Cambria" w:hAnsi="Cambria"/>
          <w:sz w:val="23"/>
          <w:szCs w:val="23"/>
        </w:rPr>
        <w:t>the Consortium (ii) any one Consortium</w:t>
      </w:r>
      <w:r w:rsidR="00372B30">
        <w:rPr>
          <w:rFonts w:ascii="Cambria" w:hAnsi="Cambria"/>
          <w:sz w:val="23"/>
          <w:szCs w:val="23"/>
        </w:rPr>
        <w:t xml:space="preserve"> Member</w:t>
      </w:r>
      <w:r w:rsidRPr="002C3DA5">
        <w:rPr>
          <w:rFonts w:ascii="Cambria" w:hAnsi="Cambria"/>
          <w:sz w:val="23"/>
          <w:szCs w:val="23"/>
        </w:rPr>
        <w:t xml:space="preserve"> nor (iii) any Consortium </w:t>
      </w:r>
      <w:r w:rsidR="00372B30">
        <w:rPr>
          <w:rFonts w:ascii="Cambria" w:hAnsi="Cambria"/>
          <w:sz w:val="23"/>
          <w:szCs w:val="23"/>
        </w:rPr>
        <w:t xml:space="preserve">Members </w:t>
      </w:r>
      <w:r w:rsidRPr="002C3DA5">
        <w:rPr>
          <w:rFonts w:ascii="Cambria" w:hAnsi="Cambria"/>
          <w:sz w:val="23"/>
          <w:szCs w:val="23"/>
        </w:rPr>
        <w:t xml:space="preserve">acting together, </w:t>
      </w:r>
      <w:r>
        <w:rPr>
          <w:rFonts w:ascii="Cambria" w:hAnsi="Cambria"/>
          <w:sz w:val="23"/>
          <w:szCs w:val="23"/>
        </w:rPr>
        <w:t>C</w:t>
      </w:r>
      <w:r w:rsidRPr="002C3DA5">
        <w:rPr>
          <w:rFonts w:ascii="Cambria" w:hAnsi="Cambria"/>
          <w:sz w:val="23"/>
          <w:szCs w:val="23"/>
        </w:rPr>
        <w:t xml:space="preserve">ontrols the </w:t>
      </w:r>
      <w:r>
        <w:rPr>
          <w:rFonts w:ascii="Cambria" w:hAnsi="Cambria"/>
          <w:sz w:val="23"/>
          <w:szCs w:val="23"/>
        </w:rPr>
        <w:t>Inmarsat Group.</w:t>
      </w:r>
    </w:p>
    <w:p w14:paraId="4D654AAE" w14:textId="77777777" w:rsidR="00F02D1F" w:rsidRDefault="00F02D1F" w:rsidP="00F02D1F">
      <w:pPr>
        <w:pStyle w:val="ListParagraph"/>
        <w:ind w:left="1224"/>
        <w:jc w:val="both"/>
        <w:rPr>
          <w:rFonts w:ascii="Cambria" w:hAnsi="Cambria"/>
          <w:sz w:val="23"/>
          <w:szCs w:val="23"/>
        </w:rPr>
      </w:pPr>
    </w:p>
    <w:p w14:paraId="4BCE825C" w14:textId="726C715D" w:rsidR="00F02D1F" w:rsidRDefault="00F02D1F" w:rsidP="00F02D1F">
      <w:pPr>
        <w:pStyle w:val="ListParagraph"/>
        <w:ind w:left="1224"/>
        <w:jc w:val="both"/>
        <w:rPr>
          <w:rFonts w:ascii="Cambria" w:hAnsi="Cambria"/>
          <w:sz w:val="23"/>
          <w:szCs w:val="23"/>
        </w:rPr>
      </w:pPr>
      <w:r>
        <w:rPr>
          <w:rFonts w:ascii="Cambria" w:hAnsi="Cambria"/>
          <w:sz w:val="23"/>
          <w:szCs w:val="23"/>
        </w:rPr>
        <w:t>For the purposes of this definition of “</w:t>
      </w:r>
      <w:r w:rsidRPr="008A67FE">
        <w:rPr>
          <w:rFonts w:ascii="Cambria" w:hAnsi="Cambria"/>
          <w:b/>
          <w:sz w:val="23"/>
          <w:szCs w:val="23"/>
        </w:rPr>
        <w:t>Exit</w:t>
      </w:r>
      <w:r>
        <w:rPr>
          <w:rFonts w:ascii="Cambria" w:hAnsi="Cambria"/>
          <w:sz w:val="23"/>
          <w:szCs w:val="23"/>
        </w:rPr>
        <w:t xml:space="preserve">”: </w:t>
      </w:r>
    </w:p>
    <w:p w14:paraId="4545E516" w14:textId="77777777" w:rsidR="00F02D1F" w:rsidRPr="00F02D1F" w:rsidRDefault="00F02D1F" w:rsidP="00F02D1F">
      <w:pPr>
        <w:pStyle w:val="ListParagraph"/>
        <w:ind w:left="1224"/>
        <w:jc w:val="both"/>
        <w:rPr>
          <w:rFonts w:ascii="Cambria" w:hAnsi="Cambria"/>
          <w:sz w:val="23"/>
          <w:szCs w:val="23"/>
        </w:rPr>
      </w:pPr>
    </w:p>
    <w:p w14:paraId="2D940566" w14:textId="3AE814CB" w:rsidR="00F02D1F" w:rsidRDefault="00F02D1F" w:rsidP="00F02D1F">
      <w:pPr>
        <w:pStyle w:val="ListParagraph"/>
        <w:ind w:left="1224"/>
        <w:jc w:val="both"/>
        <w:rPr>
          <w:rFonts w:ascii="Cambria" w:hAnsi="Cambria"/>
          <w:sz w:val="23"/>
          <w:szCs w:val="23"/>
        </w:rPr>
      </w:pPr>
      <w:r>
        <w:rPr>
          <w:rFonts w:ascii="Cambria" w:hAnsi="Cambria"/>
          <w:sz w:val="23"/>
          <w:szCs w:val="23"/>
        </w:rPr>
        <w:t>“</w:t>
      </w:r>
      <w:r w:rsidRPr="008A67FE">
        <w:rPr>
          <w:rFonts w:ascii="Cambria" w:hAnsi="Cambria"/>
          <w:b/>
          <w:sz w:val="23"/>
          <w:szCs w:val="23"/>
        </w:rPr>
        <w:t>Control</w:t>
      </w:r>
      <w:r>
        <w:rPr>
          <w:rFonts w:ascii="Cambria" w:hAnsi="Cambria"/>
          <w:sz w:val="23"/>
          <w:szCs w:val="23"/>
        </w:rPr>
        <w:t xml:space="preserve">” </w:t>
      </w:r>
      <w:r w:rsidR="0007327B">
        <w:rPr>
          <w:rFonts w:ascii="Cambria" w:hAnsi="Cambria"/>
          <w:sz w:val="23"/>
          <w:szCs w:val="23"/>
        </w:rPr>
        <w:t>has the same meaning as in section 26 of the Act;</w:t>
      </w:r>
      <w:r>
        <w:rPr>
          <w:rFonts w:ascii="Cambria" w:hAnsi="Cambria"/>
          <w:sz w:val="23"/>
          <w:szCs w:val="23"/>
        </w:rPr>
        <w:t xml:space="preserve"> </w:t>
      </w:r>
    </w:p>
    <w:p w14:paraId="50E5F7CC" w14:textId="77777777" w:rsidR="00F02D1F" w:rsidRPr="00F02D1F" w:rsidRDefault="00F02D1F" w:rsidP="00F02D1F">
      <w:pPr>
        <w:pStyle w:val="ListParagraph"/>
        <w:ind w:left="1224"/>
        <w:jc w:val="both"/>
        <w:rPr>
          <w:rFonts w:ascii="Cambria" w:hAnsi="Cambria"/>
          <w:sz w:val="23"/>
          <w:szCs w:val="23"/>
        </w:rPr>
      </w:pPr>
    </w:p>
    <w:p w14:paraId="0138E4A7" w14:textId="6E1E7F27" w:rsidR="00F02D1F" w:rsidRDefault="00F02D1F" w:rsidP="00F02D1F">
      <w:pPr>
        <w:pStyle w:val="ListParagraph"/>
        <w:ind w:left="1224"/>
        <w:jc w:val="both"/>
        <w:rPr>
          <w:rFonts w:ascii="Cambria" w:hAnsi="Cambria"/>
          <w:sz w:val="23"/>
          <w:szCs w:val="23"/>
        </w:rPr>
      </w:pPr>
      <w:r w:rsidRPr="00460EA8">
        <w:rPr>
          <w:rFonts w:ascii="Cambria" w:hAnsi="Cambria"/>
          <w:sz w:val="23"/>
          <w:szCs w:val="23"/>
        </w:rPr>
        <w:t>“</w:t>
      </w:r>
      <w:r w:rsidRPr="00460EA8">
        <w:rPr>
          <w:rFonts w:ascii="Cambria" w:hAnsi="Cambria"/>
          <w:b/>
          <w:sz w:val="23"/>
          <w:szCs w:val="23"/>
        </w:rPr>
        <w:t>New Holding Company”</w:t>
      </w:r>
      <w:r w:rsidRPr="00460EA8">
        <w:rPr>
          <w:rFonts w:ascii="Cambria" w:hAnsi="Cambria"/>
          <w:sz w:val="23"/>
          <w:szCs w:val="23"/>
        </w:rPr>
        <w:t xml:space="preserve"> means any new holding company of Inmarsat or Connect </w:t>
      </w:r>
      <w:proofErr w:type="spellStart"/>
      <w:r w:rsidRPr="00460EA8">
        <w:rPr>
          <w:rFonts w:ascii="Cambria" w:hAnsi="Cambria"/>
          <w:sz w:val="23"/>
          <w:szCs w:val="23"/>
        </w:rPr>
        <w:t>Bidco</w:t>
      </w:r>
      <w:proofErr w:type="spellEnd"/>
      <w:r w:rsidRPr="00460EA8">
        <w:rPr>
          <w:rFonts w:ascii="Cambria" w:hAnsi="Cambria"/>
          <w:sz w:val="23"/>
          <w:szCs w:val="23"/>
        </w:rPr>
        <w:t xml:space="preserve"> formed for the purpose of facilitating </w:t>
      </w:r>
      <w:r>
        <w:rPr>
          <w:rFonts w:ascii="Cambria" w:hAnsi="Cambria"/>
          <w:sz w:val="23"/>
          <w:szCs w:val="23"/>
        </w:rPr>
        <w:t>an Exit; and</w:t>
      </w:r>
    </w:p>
    <w:p w14:paraId="2300E352" w14:textId="77777777" w:rsidR="00F02D1F" w:rsidRPr="00F02D1F" w:rsidRDefault="00F02D1F" w:rsidP="00F02D1F">
      <w:pPr>
        <w:pStyle w:val="ListParagraph"/>
        <w:ind w:left="1224"/>
        <w:jc w:val="both"/>
        <w:rPr>
          <w:rFonts w:ascii="Cambria" w:hAnsi="Cambria"/>
          <w:sz w:val="23"/>
          <w:szCs w:val="23"/>
        </w:rPr>
      </w:pPr>
    </w:p>
    <w:p w14:paraId="4AAB93E9" w14:textId="2A017507" w:rsidR="00460EA8" w:rsidRPr="00F02D1F" w:rsidRDefault="00F02D1F" w:rsidP="00F02D1F">
      <w:pPr>
        <w:pStyle w:val="ListParagraph"/>
        <w:ind w:left="1224"/>
        <w:jc w:val="both"/>
        <w:rPr>
          <w:rFonts w:ascii="Cambria" w:hAnsi="Cambria"/>
          <w:sz w:val="23"/>
          <w:szCs w:val="23"/>
        </w:rPr>
      </w:pPr>
      <w:r w:rsidRPr="008A67FE">
        <w:rPr>
          <w:rFonts w:ascii="Cambria" w:hAnsi="Cambria"/>
          <w:sz w:val="23"/>
          <w:szCs w:val="23"/>
        </w:rPr>
        <w:t>“</w:t>
      </w:r>
      <w:r w:rsidRPr="008A67FE">
        <w:rPr>
          <w:rFonts w:ascii="Cambria" w:hAnsi="Cambria"/>
          <w:b/>
          <w:sz w:val="23"/>
          <w:szCs w:val="23"/>
        </w:rPr>
        <w:t xml:space="preserve">Third-Party Buyer” </w:t>
      </w:r>
      <w:r w:rsidRPr="008A67FE">
        <w:rPr>
          <w:rFonts w:ascii="Cambria" w:hAnsi="Cambria"/>
          <w:sz w:val="23"/>
          <w:szCs w:val="23"/>
        </w:rPr>
        <w:t>means a bona fide purchaser that is not an a</w:t>
      </w:r>
      <w:r>
        <w:rPr>
          <w:rFonts w:ascii="Cambria" w:hAnsi="Cambria"/>
          <w:sz w:val="23"/>
          <w:szCs w:val="23"/>
        </w:rPr>
        <w:t>ffiliate of a Consortium Member.</w:t>
      </w:r>
    </w:p>
    <w:p w14:paraId="5F909196" w14:textId="77777777" w:rsidR="005055D1" w:rsidRDefault="005055D1" w:rsidP="005055D1">
      <w:pPr>
        <w:pStyle w:val="ListParagraph"/>
        <w:ind w:left="0"/>
        <w:jc w:val="both"/>
        <w:rPr>
          <w:rFonts w:ascii="Cambria" w:hAnsi="Cambria"/>
          <w:sz w:val="23"/>
          <w:szCs w:val="23"/>
        </w:rPr>
      </w:pPr>
    </w:p>
    <w:p w14:paraId="3A32199A" w14:textId="57E634BC" w:rsidR="00FF5AD8" w:rsidRDefault="00E34277" w:rsidP="00F02D1F">
      <w:pPr>
        <w:pStyle w:val="ListParagraph"/>
        <w:numPr>
          <w:ilvl w:val="1"/>
          <w:numId w:val="4"/>
        </w:numPr>
        <w:ind w:left="709" w:hanging="709"/>
        <w:jc w:val="both"/>
        <w:rPr>
          <w:rFonts w:ascii="Cambria" w:hAnsi="Cambria"/>
          <w:sz w:val="23"/>
          <w:szCs w:val="23"/>
        </w:rPr>
      </w:pPr>
      <w:r w:rsidRPr="000C0A2B">
        <w:rPr>
          <w:rFonts w:ascii="Cambria" w:hAnsi="Cambria"/>
          <w:sz w:val="23"/>
          <w:szCs w:val="23"/>
        </w:rPr>
        <w:t>“</w:t>
      </w:r>
      <w:r w:rsidRPr="000C0A2B">
        <w:rPr>
          <w:rFonts w:ascii="Cambria" w:hAnsi="Cambria"/>
          <w:b/>
          <w:sz w:val="23"/>
          <w:szCs w:val="23"/>
        </w:rPr>
        <w:t>Government Contractor</w:t>
      </w:r>
      <w:r w:rsidRPr="000C0A2B">
        <w:rPr>
          <w:rFonts w:ascii="Cambria" w:hAnsi="Cambria"/>
          <w:sz w:val="23"/>
          <w:szCs w:val="23"/>
        </w:rPr>
        <w:t>” means a government contractor within the meaning of section 12 of the Official Secrets Act 1989 which</w:t>
      </w:r>
      <w:r w:rsidR="008C0417">
        <w:rPr>
          <w:rFonts w:ascii="Cambria" w:hAnsi="Cambria"/>
          <w:sz w:val="23"/>
          <w:szCs w:val="23"/>
        </w:rPr>
        <w:t xml:space="preserve"> </w:t>
      </w:r>
      <w:r w:rsidR="00D33A8E" w:rsidRPr="008C0417">
        <w:rPr>
          <w:rFonts w:ascii="Cambria" w:hAnsi="Cambria"/>
          <w:sz w:val="23"/>
          <w:szCs w:val="23"/>
        </w:rPr>
        <w:t xml:space="preserve">provides, or is employed in the provision of, goods or services </w:t>
      </w:r>
      <w:r w:rsidR="007F1A1E" w:rsidRPr="008C0417">
        <w:rPr>
          <w:rFonts w:ascii="Cambria" w:hAnsi="Cambria"/>
          <w:sz w:val="23"/>
          <w:szCs w:val="23"/>
        </w:rPr>
        <w:t xml:space="preserve">to the Ministry of Defence </w:t>
      </w:r>
      <w:r w:rsidR="00D33A8E" w:rsidRPr="008C0417">
        <w:rPr>
          <w:rFonts w:ascii="Cambria" w:hAnsi="Cambria"/>
          <w:sz w:val="23"/>
          <w:szCs w:val="23"/>
        </w:rPr>
        <w:t xml:space="preserve">under </w:t>
      </w:r>
      <w:r w:rsidR="00545218">
        <w:rPr>
          <w:rFonts w:ascii="Cambria" w:hAnsi="Cambria"/>
          <w:sz w:val="23"/>
          <w:szCs w:val="23"/>
        </w:rPr>
        <w:t xml:space="preserve">a </w:t>
      </w:r>
      <w:r w:rsidR="00D33A8E" w:rsidRPr="008C0417">
        <w:rPr>
          <w:rFonts w:ascii="Cambria" w:hAnsi="Cambria"/>
          <w:sz w:val="23"/>
          <w:szCs w:val="23"/>
        </w:rPr>
        <w:t>Security Aspects Arrangement</w:t>
      </w:r>
      <w:r w:rsidR="002068FB" w:rsidRPr="008C0417">
        <w:rPr>
          <w:rFonts w:ascii="Cambria" w:hAnsi="Cambria"/>
          <w:sz w:val="23"/>
          <w:szCs w:val="23"/>
        </w:rPr>
        <w:t xml:space="preserve">; </w:t>
      </w:r>
    </w:p>
    <w:p w14:paraId="52ED4416" w14:textId="77777777" w:rsidR="00F02D1F" w:rsidRPr="00F02D1F" w:rsidRDefault="00F02D1F" w:rsidP="00F02D1F">
      <w:pPr>
        <w:pStyle w:val="ListParagraph"/>
        <w:ind w:left="709"/>
        <w:jc w:val="both"/>
        <w:rPr>
          <w:rFonts w:ascii="Cambria" w:hAnsi="Cambria"/>
          <w:sz w:val="23"/>
          <w:szCs w:val="23"/>
        </w:rPr>
      </w:pPr>
    </w:p>
    <w:p w14:paraId="699BDFA3" w14:textId="0F01969E" w:rsidR="00514DCB" w:rsidRDefault="00FF5AD8" w:rsidP="009D1264">
      <w:pPr>
        <w:pStyle w:val="ListParagraph"/>
        <w:numPr>
          <w:ilvl w:val="1"/>
          <w:numId w:val="4"/>
        </w:numPr>
        <w:ind w:left="709" w:hanging="709"/>
        <w:jc w:val="both"/>
        <w:rPr>
          <w:rFonts w:ascii="Cambria" w:hAnsi="Cambria"/>
          <w:sz w:val="23"/>
          <w:szCs w:val="23"/>
        </w:rPr>
      </w:pPr>
      <w:r w:rsidRPr="00CA4078">
        <w:rPr>
          <w:rFonts w:ascii="Cambria" w:hAnsi="Cambria"/>
          <w:b/>
          <w:sz w:val="23"/>
          <w:szCs w:val="23"/>
        </w:rPr>
        <w:t xml:space="preserve"> </w:t>
      </w:r>
      <w:r w:rsidR="00514DCB" w:rsidRPr="00CA4078">
        <w:rPr>
          <w:rFonts w:ascii="Cambria" w:hAnsi="Cambria"/>
          <w:b/>
          <w:sz w:val="23"/>
          <w:szCs w:val="23"/>
        </w:rPr>
        <w:t>“Inmarsat”</w:t>
      </w:r>
      <w:r w:rsidR="00514DCB">
        <w:rPr>
          <w:rFonts w:ascii="Cambria" w:hAnsi="Cambria"/>
          <w:sz w:val="23"/>
          <w:szCs w:val="23"/>
        </w:rPr>
        <w:t xml:space="preserve"> means Inmarsat plc;</w:t>
      </w:r>
    </w:p>
    <w:p w14:paraId="32833568" w14:textId="77777777" w:rsidR="00514DCB" w:rsidRDefault="00514DCB" w:rsidP="00514DCB">
      <w:pPr>
        <w:pStyle w:val="ListParagraph"/>
        <w:ind w:left="709"/>
        <w:jc w:val="both"/>
        <w:rPr>
          <w:rFonts w:ascii="Cambria" w:hAnsi="Cambria"/>
          <w:sz w:val="23"/>
          <w:szCs w:val="23"/>
        </w:rPr>
      </w:pPr>
    </w:p>
    <w:p w14:paraId="2C79A890" w14:textId="7E226AEA" w:rsidR="00CA4078" w:rsidRDefault="00514DCB" w:rsidP="00CA4078">
      <w:pPr>
        <w:pStyle w:val="ListParagraph"/>
        <w:numPr>
          <w:ilvl w:val="1"/>
          <w:numId w:val="4"/>
        </w:numPr>
        <w:spacing w:after="0"/>
        <w:ind w:left="709" w:hanging="709"/>
        <w:jc w:val="both"/>
        <w:rPr>
          <w:rFonts w:ascii="Cambria" w:hAnsi="Cambria"/>
          <w:sz w:val="23"/>
          <w:szCs w:val="23"/>
        </w:rPr>
      </w:pPr>
      <w:r w:rsidRPr="00CA4078">
        <w:rPr>
          <w:rFonts w:ascii="Cambria" w:hAnsi="Cambria"/>
          <w:b/>
          <w:sz w:val="23"/>
          <w:szCs w:val="23"/>
        </w:rPr>
        <w:t>“Inmarsat Group”</w:t>
      </w:r>
      <w:r>
        <w:rPr>
          <w:rFonts w:ascii="Cambria" w:hAnsi="Cambria"/>
          <w:sz w:val="23"/>
          <w:szCs w:val="23"/>
        </w:rPr>
        <w:t xml:space="preserve"> means Inmarsat </w:t>
      </w:r>
      <w:r w:rsidRPr="00514DCB">
        <w:rPr>
          <w:rFonts w:ascii="Cambria" w:hAnsi="Cambria"/>
          <w:sz w:val="23"/>
          <w:szCs w:val="23"/>
        </w:rPr>
        <w:t xml:space="preserve">and any subsidiary from time to time of </w:t>
      </w:r>
      <w:r>
        <w:rPr>
          <w:rFonts w:ascii="Cambria" w:hAnsi="Cambria"/>
          <w:sz w:val="23"/>
          <w:szCs w:val="23"/>
        </w:rPr>
        <w:t>Inmarsat</w:t>
      </w:r>
      <w:r w:rsidRPr="00514DCB">
        <w:rPr>
          <w:rFonts w:ascii="Cambria" w:hAnsi="Cambria"/>
          <w:sz w:val="23"/>
          <w:szCs w:val="23"/>
        </w:rPr>
        <w:t xml:space="preserve">, including subsidiaries created after the date of completion of the </w:t>
      </w:r>
      <w:r w:rsidR="00CE4251">
        <w:rPr>
          <w:rFonts w:ascii="Cambria" w:hAnsi="Cambria"/>
          <w:sz w:val="23"/>
          <w:szCs w:val="23"/>
        </w:rPr>
        <w:t>Transaction</w:t>
      </w:r>
      <w:r w:rsidRPr="00514DCB">
        <w:rPr>
          <w:rFonts w:ascii="Cambria" w:hAnsi="Cambria"/>
          <w:sz w:val="23"/>
          <w:szCs w:val="23"/>
        </w:rPr>
        <w:t>. A reference to a subsidiary means a subsidiary as defined in section 1159 of the Companies Act 2006</w:t>
      </w:r>
      <w:r w:rsidR="00CA4078">
        <w:rPr>
          <w:rFonts w:ascii="Cambria" w:hAnsi="Cambria"/>
          <w:sz w:val="23"/>
          <w:szCs w:val="23"/>
        </w:rPr>
        <w:t>;</w:t>
      </w:r>
      <w:r w:rsidR="00CE4251">
        <w:rPr>
          <w:rFonts w:ascii="Cambria" w:hAnsi="Cambria"/>
          <w:sz w:val="23"/>
          <w:szCs w:val="23"/>
        </w:rPr>
        <w:t xml:space="preserve"> </w:t>
      </w:r>
    </w:p>
    <w:p w14:paraId="0519EF89" w14:textId="77777777" w:rsidR="00CA4078" w:rsidRPr="00CA4078" w:rsidRDefault="00CA4078" w:rsidP="00CA4078">
      <w:pPr>
        <w:spacing w:after="0"/>
        <w:jc w:val="both"/>
        <w:rPr>
          <w:rFonts w:ascii="Cambria" w:hAnsi="Cambria"/>
          <w:sz w:val="23"/>
          <w:szCs w:val="23"/>
        </w:rPr>
      </w:pPr>
    </w:p>
    <w:p w14:paraId="4E9F59D4" w14:textId="45930E16" w:rsidR="00D61452" w:rsidRDefault="009D1264" w:rsidP="00CA4078">
      <w:pPr>
        <w:pStyle w:val="ListParagraph"/>
        <w:numPr>
          <w:ilvl w:val="1"/>
          <w:numId w:val="4"/>
        </w:numPr>
        <w:spacing w:after="0"/>
        <w:ind w:left="709" w:hanging="709"/>
        <w:jc w:val="both"/>
        <w:rPr>
          <w:rFonts w:ascii="Cambria" w:hAnsi="Cambria"/>
          <w:sz w:val="23"/>
          <w:szCs w:val="23"/>
        </w:rPr>
      </w:pPr>
      <w:bookmarkStart w:id="3" w:name="_Hlk19675069"/>
      <w:r w:rsidRPr="000A470F">
        <w:rPr>
          <w:rFonts w:ascii="Cambria" w:hAnsi="Cambria"/>
          <w:sz w:val="23"/>
          <w:szCs w:val="23"/>
        </w:rPr>
        <w:t>“</w:t>
      </w:r>
      <w:r w:rsidR="00D61452" w:rsidRPr="009D1264">
        <w:rPr>
          <w:rFonts w:ascii="Cambria" w:hAnsi="Cambria"/>
          <w:b/>
          <w:sz w:val="23"/>
          <w:szCs w:val="23"/>
        </w:rPr>
        <w:t>Investing Fund</w:t>
      </w:r>
      <w:r w:rsidR="00D61452" w:rsidRPr="009D1264">
        <w:rPr>
          <w:rFonts w:ascii="Cambria" w:hAnsi="Cambria"/>
          <w:sz w:val="23"/>
          <w:szCs w:val="23"/>
        </w:rPr>
        <w:t>” mean</w:t>
      </w:r>
      <w:r w:rsidR="005A26AB">
        <w:rPr>
          <w:rFonts w:ascii="Cambria" w:hAnsi="Cambria"/>
          <w:sz w:val="23"/>
          <w:szCs w:val="23"/>
        </w:rPr>
        <w:t>s</w:t>
      </w:r>
      <w:r>
        <w:rPr>
          <w:rFonts w:ascii="Cambria" w:hAnsi="Cambria"/>
          <w:sz w:val="23"/>
          <w:szCs w:val="23"/>
        </w:rPr>
        <w:t xml:space="preserve"> </w:t>
      </w:r>
      <w:r w:rsidR="00460EA8">
        <w:rPr>
          <w:rFonts w:ascii="Cambria" w:hAnsi="Cambria"/>
          <w:sz w:val="23"/>
          <w:szCs w:val="23"/>
        </w:rPr>
        <w:t xml:space="preserve">each of </w:t>
      </w:r>
      <w:r w:rsidR="00460EA8" w:rsidRPr="009D1264">
        <w:rPr>
          <w:rFonts w:ascii="Cambria" w:hAnsi="Cambria"/>
          <w:sz w:val="23"/>
          <w:szCs w:val="23"/>
        </w:rPr>
        <w:t xml:space="preserve">the four entities </w:t>
      </w:r>
      <w:r w:rsidR="00460EA8">
        <w:rPr>
          <w:rFonts w:ascii="Cambria" w:hAnsi="Cambria"/>
          <w:sz w:val="23"/>
          <w:szCs w:val="23"/>
        </w:rPr>
        <w:t xml:space="preserve">indirectly </w:t>
      </w:r>
      <w:r w:rsidR="00460EA8" w:rsidRPr="009D1264">
        <w:rPr>
          <w:rFonts w:ascii="Cambria" w:hAnsi="Cambria"/>
          <w:sz w:val="23"/>
          <w:szCs w:val="23"/>
        </w:rPr>
        <w:t>acquiring</w:t>
      </w:r>
      <w:r w:rsidR="00460EA8">
        <w:rPr>
          <w:rFonts w:ascii="Cambria" w:hAnsi="Cambria"/>
          <w:sz w:val="23"/>
          <w:szCs w:val="23"/>
        </w:rPr>
        <w:t xml:space="preserve"> an equity interest of up to</w:t>
      </w:r>
      <w:r w:rsidR="00460EA8" w:rsidRPr="009D1264">
        <w:rPr>
          <w:rFonts w:ascii="Cambria" w:hAnsi="Cambria"/>
          <w:sz w:val="23"/>
          <w:szCs w:val="23"/>
        </w:rPr>
        <w:t xml:space="preserve"> </w:t>
      </w:r>
      <w:r w:rsidR="00460EA8">
        <w:rPr>
          <w:rFonts w:ascii="Cambria" w:hAnsi="Cambria"/>
          <w:sz w:val="23"/>
          <w:szCs w:val="23"/>
        </w:rPr>
        <w:t>30</w:t>
      </w:r>
      <w:r w:rsidR="00460EA8" w:rsidRPr="009D1264">
        <w:rPr>
          <w:rFonts w:ascii="Cambria" w:hAnsi="Cambria"/>
          <w:sz w:val="23"/>
          <w:szCs w:val="23"/>
        </w:rPr>
        <w:t>%</w:t>
      </w:r>
      <w:r w:rsidR="00460EA8">
        <w:rPr>
          <w:rFonts w:ascii="Cambria" w:hAnsi="Cambria"/>
          <w:sz w:val="23"/>
          <w:szCs w:val="23"/>
        </w:rPr>
        <w:t xml:space="preserve"> together with voting rights of a maximum of 25%</w:t>
      </w:r>
      <w:r w:rsidR="00460EA8" w:rsidRPr="009D1264">
        <w:rPr>
          <w:rFonts w:ascii="Cambria" w:hAnsi="Cambria"/>
          <w:sz w:val="23"/>
          <w:szCs w:val="23"/>
        </w:rPr>
        <w:t xml:space="preserve"> </w:t>
      </w:r>
      <w:r w:rsidR="00460EA8">
        <w:rPr>
          <w:rFonts w:ascii="Cambria" w:hAnsi="Cambria"/>
          <w:sz w:val="23"/>
          <w:szCs w:val="23"/>
        </w:rPr>
        <w:t>in</w:t>
      </w:r>
      <w:r w:rsidR="00460EA8" w:rsidRPr="009D1264">
        <w:rPr>
          <w:rFonts w:ascii="Cambria" w:hAnsi="Cambria"/>
          <w:sz w:val="23"/>
          <w:szCs w:val="23"/>
        </w:rPr>
        <w:t xml:space="preserve"> Inmarsat as part of the Transaction, namely</w:t>
      </w:r>
      <w:r w:rsidR="00460EA8">
        <w:rPr>
          <w:rFonts w:ascii="Cambria" w:hAnsi="Cambria"/>
          <w:sz w:val="23"/>
          <w:szCs w:val="23"/>
        </w:rPr>
        <w:t xml:space="preserve"> the</w:t>
      </w:r>
      <w:r w:rsidR="00460EA8" w:rsidRPr="009D1264">
        <w:rPr>
          <w:rFonts w:ascii="Cambria" w:hAnsi="Cambria"/>
          <w:sz w:val="23"/>
          <w:szCs w:val="23"/>
        </w:rPr>
        <w:t xml:space="preserve"> </w:t>
      </w:r>
      <w:proofErr w:type="spellStart"/>
      <w:r w:rsidR="00460EA8">
        <w:rPr>
          <w:rFonts w:ascii="Cambria" w:hAnsi="Cambria"/>
          <w:sz w:val="23"/>
          <w:szCs w:val="23"/>
        </w:rPr>
        <w:t>Apax</w:t>
      </w:r>
      <w:proofErr w:type="spellEnd"/>
      <w:r w:rsidR="00460EA8">
        <w:rPr>
          <w:rFonts w:ascii="Cambria" w:hAnsi="Cambria"/>
          <w:sz w:val="23"/>
          <w:szCs w:val="23"/>
        </w:rPr>
        <w:t xml:space="preserve"> IX Fund, the WPGG Fund, Canada Pension Plan Investment Board and Ontario Teachers</w:t>
      </w:r>
      <w:r w:rsidR="005514E2">
        <w:rPr>
          <w:rFonts w:ascii="Cambria" w:hAnsi="Cambria"/>
          <w:sz w:val="23"/>
          <w:szCs w:val="23"/>
        </w:rPr>
        <w:t>’</w:t>
      </w:r>
      <w:r w:rsidR="00460EA8">
        <w:rPr>
          <w:rFonts w:ascii="Cambria" w:hAnsi="Cambria"/>
          <w:sz w:val="23"/>
          <w:szCs w:val="23"/>
        </w:rPr>
        <w:t xml:space="preserve"> </w:t>
      </w:r>
      <w:r w:rsidR="008875EF">
        <w:rPr>
          <w:rFonts w:ascii="Cambria" w:hAnsi="Cambria"/>
          <w:sz w:val="23"/>
          <w:szCs w:val="23"/>
        </w:rPr>
        <w:t xml:space="preserve">Pension </w:t>
      </w:r>
      <w:r w:rsidR="00460EA8">
        <w:rPr>
          <w:rFonts w:ascii="Cambria" w:hAnsi="Cambria"/>
          <w:sz w:val="23"/>
          <w:szCs w:val="23"/>
        </w:rPr>
        <w:t>Plan Board</w:t>
      </w:r>
      <w:r w:rsidR="002B2D69" w:rsidRPr="009D1264">
        <w:rPr>
          <w:rFonts w:ascii="Cambria" w:hAnsi="Cambria"/>
          <w:sz w:val="23"/>
          <w:szCs w:val="23"/>
        </w:rPr>
        <w:t xml:space="preserve">; </w:t>
      </w:r>
      <w:r w:rsidR="00CE4251">
        <w:rPr>
          <w:rFonts w:ascii="Cambria" w:hAnsi="Cambria"/>
          <w:sz w:val="23"/>
          <w:szCs w:val="23"/>
        </w:rPr>
        <w:t xml:space="preserve"> </w:t>
      </w:r>
    </w:p>
    <w:p w14:paraId="12335B40" w14:textId="77777777" w:rsidR="00460EA8" w:rsidRDefault="00460EA8" w:rsidP="00297A9C">
      <w:pPr>
        <w:pStyle w:val="ListParagraph"/>
        <w:spacing w:after="0"/>
        <w:ind w:left="709"/>
        <w:jc w:val="both"/>
        <w:rPr>
          <w:rFonts w:ascii="Cambria" w:hAnsi="Cambria"/>
          <w:sz w:val="23"/>
          <w:szCs w:val="23"/>
        </w:rPr>
      </w:pPr>
    </w:p>
    <w:p w14:paraId="6E7C39D3" w14:textId="50A77FF9" w:rsidR="00460EA8" w:rsidRDefault="00460EA8" w:rsidP="00CA4078">
      <w:pPr>
        <w:pStyle w:val="ListParagraph"/>
        <w:numPr>
          <w:ilvl w:val="1"/>
          <w:numId w:val="4"/>
        </w:numPr>
        <w:spacing w:after="0"/>
        <w:ind w:left="709" w:hanging="709"/>
        <w:jc w:val="both"/>
        <w:rPr>
          <w:rFonts w:ascii="Cambria" w:hAnsi="Cambria"/>
          <w:sz w:val="23"/>
          <w:szCs w:val="23"/>
        </w:rPr>
      </w:pPr>
      <w:r w:rsidRPr="00460EA8">
        <w:rPr>
          <w:rFonts w:ascii="Cambria" w:hAnsi="Cambria"/>
          <w:b/>
          <w:sz w:val="23"/>
          <w:szCs w:val="23"/>
        </w:rPr>
        <w:t>“Limited Partner Investors”</w:t>
      </w:r>
      <w:r w:rsidRPr="00460EA8">
        <w:rPr>
          <w:rFonts w:ascii="Cambria" w:hAnsi="Cambria"/>
          <w:sz w:val="23"/>
          <w:szCs w:val="23"/>
        </w:rPr>
        <w:t xml:space="preserve"> means the limited partners of each of the Investing Funds; </w:t>
      </w:r>
    </w:p>
    <w:p w14:paraId="60D682E9" w14:textId="4CBF4978" w:rsidR="009D1264" w:rsidRDefault="009D1264" w:rsidP="009D1264">
      <w:pPr>
        <w:pStyle w:val="ListParagraph"/>
        <w:ind w:left="0"/>
        <w:jc w:val="both"/>
        <w:rPr>
          <w:rFonts w:ascii="Cambria" w:hAnsi="Cambria"/>
          <w:sz w:val="23"/>
          <w:szCs w:val="23"/>
        </w:rPr>
      </w:pPr>
    </w:p>
    <w:p w14:paraId="20026A2F" w14:textId="3855A276" w:rsidR="00300239" w:rsidRPr="00136516" w:rsidRDefault="005A26AB" w:rsidP="00136516">
      <w:pPr>
        <w:pStyle w:val="ListParagraph"/>
        <w:numPr>
          <w:ilvl w:val="1"/>
          <w:numId w:val="4"/>
        </w:numPr>
        <w:spacing w:after="0"/>
        <w:ind w:left="709" w:hanging="709"/>
        <w:jc w:val="both"/>
        <w:rPr>
          <w:rFonts w:ascii="Cambria" w:hAnsi="Cambria"/>
          <w:sz w:val="23"/>
          <w:szCs w:val="23"/>
        </w:rPr>
      </w:pPr>
      <w:r w:rsidRPr="005A26AB">
        <w:rPr>
          <w:rFonts w:ascii="Cambria" w:hAnsi="Cambria"/>
          <w:sz w:val="23"/>
          <w:szCs w:val="23"/>
        </w:rPr>
        <w:t>“</w:t>
      </w:r>
      <w:r w:rsidRPr="005A26AB">
        <w:rPr>
          <w:rFonts w:ascii="Cambria" w:hAnsi="Cambria"/>
          <w:b/>
          <w:sz w:val="23"/>
          <w:szCs w:val="23"/>
        </w:rPr>
        <w:t>List X Area”</w:t>
      </w:r>
      <w:r w:rsidR="00300239" w:rsidRPr="005A26AB">
        <w:rPr>
          <w:rFonts w:ascii="Cambria" w:hAnsi="Cambria"/>
          <w:sz w:val="23"/>
          <w:szCs w:val="23"/>
        </w:rPr>
        <w:t xml:space="preserve"> means </w:t>
      </w:r>
      <w:r w:rsidR="009D71EA" w:rsidRPr="005A26AB">
        <w:rPr>
          <w:rFonts w:ascii="Cambria" w:hAnsi="Cambria"/>
          <w:sz w:val="23"/>
          <w:szCs w:val="23"/>
        </w:rPr>
        <w:t>any</w:t>
      </w:r>
      <w:r w:rsidR="00300239" w:rsidRPr="005A26AB">
        <w:rPr>
          <w:rFonts w:ascii="Cambria" w:hAnsi="Cambria"/>
          <w:sz w:val="23"/>
          <w:szCs w:val="23"/>
        </w:rPr>
        <w:t xml:space="preserve"> secure area </w:t>
      </w:r>
      <w:r w:rsidR="003D1F5D">
        <w:rPr>
          <w:rFonts w:ascii="Cambria" w:hAnsi="Cambria"/>
          <w:sz w:val="23"/>
          <w:szCs w:val="23"/>
        </w:rPr>
        <w:t xml:space="preserve">that has been approved to hold Sensitive Material </w:t>
      </w:r>
      <w:r w:rsidR="00300239" w:rsidRPr="005A26AB">
        <w:rPr>
          <w:rFonts w:ascii="Cambria" w:hAnsi="Cambria"/>
          <w:sz w:val="23"/>
          <w:szCs w:val="23"/>
        </w:rPr>
        <w:t xml:space="preserve">within the Inmarsat facilities at </w:t>
      </w:r>
      <w:r w:rsidR="00B55203">
        <w:rPr>
          <w:rFonts w:ascii="Cambria" w:hAnsi="Cambria"/>
          <w:sz w:val="23"/>
          <w:szCs w:val="23"/>
        </w:rPr>
        <w:t>99 City Road, Old Street, London, EC1Y 1AX,</w:t>
      </w:r>
      <w:r w:rsidR="008A39B2" w:rsidRPr="005A26AB">
        <w:rPr>
          <w:rFonts w:ascii="Cambria" w:hAnsi="Cambria"/>
          <w:sz w:val="23"/>
          <w:szCs w:val="23"/>
        </w:rPr>
        <w:t xml:space="preserve"> </w:t>
      </w:r>
      <w:r w:rsidR="00887C08">
        <w:rPr>
          <w:rFonts w:ascii="Cambria" w:hAnsi="Cambria"/>
          <w:sz w:val="23"/>
          <w:szCs w:val="23"/>
        </w:rPr>
        <w:t>or any additional</w:t>
      </w:r>
      <w:r w:rsidR="003D1F5D">
        <w:rPr>
          <w:rFonts w:ascii="Cambria" w:hAnsi="Cambria"/>
          <w:sz w:val="23"/>
          <w:szCs w:val="23"/>
        </w:rPr>
        <w:t xml:space="preserve"> Inmarsat</w:t>
      </w:r>
      <w:r w:rsidR="00887C08">
        <w:rPr>
          <w:rFonts w:ascii="Cambria" w:hAnsi="Cambria"/>
          <w:sz w:val="23"/>
          <w:szCs w:val="23"/>
        </w:rPr>
        <w:t xml:space="preserve"> facilit</w:t>
      </w:r>
      <w:r w:rsidR="005514E2">
        <w:rPr>
          <w:rFonts w:ascii="Cambria" w:hAnsi="Cambria"/>
          <w:sz w:val="23"/>
          <w:szCs w:val="23"/>
        </w:rPr>
        <w:t>y</w:t>
      </w:r>
      <w:r w:rsidR="00887C08">
        <w:rPr>
          <w:rFonts w:ascii="Cambria" w:hAnsi="Cambria"/>
          <w:sz w:val="23"/>
          <w:szCs w:val="23"/>
        </w:rPr>
        <w:t xml:space="preserve"> that </w:t>
      </w:r>
      <w:r w:rsidR="005514E2">
        <w:rPr>
          <w:rFonts w:ascii="Cambria" w:hAnsi="Cambria"/>
          <w:sz w:val="23"/>
          <w:szCs w:val="23"/>
        </w:rPr>
        <w:t>has</w:t>
      </w:r>
      <w:r w:rsidR="00887C08">
        <w:rPr>
          <w:rFonts w:ascii="Cambria" w:hAnsi="Cambria"/>
          <w:sz w:val="23"/>
          <w:szCs w:val="23"/>
        </w:rPr>
        <w:t xml:space="preserve"> been or </w:t>
      </w:r>
      <w:r w:rsidR="005514E2">
        <w:rPr>
          <w:rFonts w:ascii="Cambria" w:hAnsi="Cambria"/>
          <w:sz w:val="23"/>
          <w:szCs w:val="23"/>
        </w:rPr>
        <w:t>is</w:t>
      </w:r>
      <w:r w:rsidR="00887C08">
        <w:rPr>
          <w:rFonts w:ascii="Cambria" w:hAnsi="Cambria"/>
          <w:sz w:val="23"/>
          <w:szCs w:val="23"/>
        </w:rPr>
        <w:t xml:space="preserve">, subsequent to the </w:t>
      </w:r>
      <w:r w:rsidR="005622D6">
        <w:rPr>
          <w:rFonts w:ascii="Cambria" w:hAnsi="Cambria"/>
          <w:sz w:val="23"/>
          <w:szCs w:val="23"/>
        </w:rPr>
        <w:t>Effective Date</w:t>
      </w:r>
      <w:r w:rsidR="007A798D">
        <w:rPr>
          <w:rFonts w:ascii="Cambria" w:hAnsi="Cambria"/>
          <w:sz w:val="23"/>
          <w:szCs w:val="23"/>
        </w:rPr>
        <w:t>,</w:t>
      </w:r>
      <w:r w:rsidR="00887C08">
        <w:rPr>
          <w:rFonts w:ascii="Cambria" w:hAnsi="Cambria"/>
          <w:sz w:val="23"/>
          <w:szCs w:val="23"/>
        </w:rPr>
        <w:t xml:space="preserve"> granted List X status by </w:t>
      </w:r>
      <w:r w:rsidR="003D1F5D">
        <w:rPr>
          <w:rFonts w:ascii="Cambria" w:hAnsi="Cambria"/>
          <w:sz w:val="23"/>
          <w:szCs w:val="23"/>
        </w:rPr>
        <w:t xml:space="preserve">the </w:t>
      </w:r>
      <w:r w:rsidR="00887C08" w:rsidRPr="00887C08">
        <w:rPr>
          <w:rFonts w:ascii="Cambria" w:hAnsi="Cambria"/>
          <w:sz w:val="23"/>
          <w:szCs w:val="23"/>
        </w:rPr>
        <w:t xml:space="preserve">Defence Security and Assurance Services </w:t>
      </w:r>
      <w:r w:rsidR="00887C08">
        <w:rPr>
          <w:rFonts w:ascii="Cambria" w:hAnsi="Cambria"/>
          <w:sz w:val="23"/>
          <w:szCs w:val="23"/>
        </w:rPr>
        <w:t xml:space="preserve">in accordance with the </w:t>
      </w:r>
      <w:r w:rsidR="00887C08" w:rsidRPr="00E94E60">
        <w:rPr>
          <w:rFonts w:ascii="Cambria" w:hAnsi="Cambria"/>
          <w:sz w:val="23"/>
          <w:szCs w:val="23"/>
        </w:rPr>
        <w:t>Security Requirements for List X Contractors</w:t>
      </w:r>
      <w:r w:rsidR="008A39B2" w:rsidRPr="005A26AB">
        <w:rPr>
          <w:rFonts w:ascii="Cambria" w:hAnsi="Cambria"/>
          <w:sz w:val="23"/>
          <w:szCs w:val="23"/>
        </w:rPr>
        <w:t xml:space="preserve">; </w:t>
      </w:r>
      <w:r w:rsidR="003E5517">
        <w:rPr>
          <w:rFonts w:ascii="Cambria" w:hAnsi="Cambria"/>
          <w:sz w:val="23"/>
          <w:szCs w:val="23"/>
        </w:rPr>
        <w:t xml:space="preserve"> </w:t>
      </w:r>
    </w:p>
    <w:p w14:paraId="730BB675" w14:textId="53FE4423" w:rsidR="000F4425" w:rsidRDefault="000F4425" w:rsidP="000F4425">
      <w:pPr>
        <w:pStyle w:val="ListParagraph"/>
        <w:ind w:left="0"/>
        <w:jc w:val="both"/>
        <w:rPr>
          <w:rFonts w:ascii="Cambria" w:hAnsi="Cambria"/>
          <w:sz w:val="23"/>
          <w:szCs w:val="23"/>
        </w:rPr>
      </w:pPr>
    </w:p>
    <w:p w14:paraId="305D0F36" w14:textId="1349698F" w:rsidR="002A3C0E" w:rsidRDefault="002A3C0E" w:rsidP="00F02D1F">
      <w:pPr>
        <w:pStyle w:val="ListParagraph"/>
        <w:numPr>
          <w:ilvl w:val="1"/>
          <w:numId w:val="4"/>
        </w:numPr>
        <w:ind w:left="709" w:hanging="709"/>
        <w:jc w:val="both"/>
        <w:rPr>
          <w:rFonts w:ascii="Cambria" w:hAnsi="Cambria"/>
          <w:sz w:val="23"/>
          <w:szCs w:val="23"/>
        </w:rPr>
      </w:pPr>
      <w:r>
        <w:rPr>
          <w:rFonts w:ascii="Cambria" w:hAnsi="Cambria"/>
          <w:sz w:val="23"/>
          <w:szCs w:val="23"/>
        </w:rPr>
        <w:t>"</w:t>
      </w:r>
      <w:r w:rsidRPr="000C0A2B">
        <w:rPr>
          <w:rFonts w:ascii="Cambria" w:hAnsi="Cambria"/>
          <w:b/>
          <w:bCs/>
          <w:sz w:val="23"/>
          <w:szCs w:val="23"/>
        </w:rPr>
        <w:t>List X Contractor</w:t>
      </w:r>
      <w:r>
        <w:rPr>
          <w:rFonts w:ascii="Cambria" w:hAnsi="Cambria"/>
          <w:sz w:val="23"/>
          <w:szCs w:val="23"/>
        </w:rPr>
        <w:t xml:space="preserve">" means a government contractor granted List X status by the </w:t>
      </w:r>
      <w:r w:rsidRPr="00887C08">
        <w:rPr>
          <w:rFonts w:ascii="Cambria" w:hAnsi="Cambria"/>
          <w:sz w:val="23"/>
          <w:szCs w:val="23"/>
        </w:rPr>
        <w:t xml:space="preserve">Defence Security and Assurance Services </w:t>
      </w:r>
      <w:r>
        <w:rPr>
          <w:rFonts w:ascii="Cambria" w:hAnsi="Cambria"/>
          <w:sz w:val="23"/>
          <w:szCs w:val="23"/>
        </w:rPr>
        <w:t xml:space="preserve">in accordance with the </w:t>
      </w:r>
      <w:r w:rsidRPr="00E94E60">
        <w:rPr>
          <w:rFonts w:ascii="Cambria" w:hAnsi="Cambria"/>
          <w:sz w:val="23"/>
          <w:szCs w:val="23"/>
        </w:rPr>
        <w:t>Security Requirements for List X Contractors</w:t>
      </w:r>
      <w:r w:rsidRPr="005A26AB">
        <w:rPr>
          <w:rFonts w:ascii="Cambria" w:hAnsi="Cambria"/>
          <w:sz w:val="23"/>
          <w:szCs w:val="23"/>
        </w:rPr>
        <w:t xml:space="preserve">; </w:t>
      </w:r>
      <w:r>
        <w:rPr>
          <w:rFonts w:ascii="Cambria" w:hAnsi="Cambria"/>
          <w:sz w:val="23"/>
          <w:szCs w:val="23"/>
        </w:rPr>
        <w:t xml:space="preserve"> </w:t>
      </w:r>
    </w:p>
    <w:p w14:paraId="02634455" w14:textId="77777777" w:rsidR="00F02D1F" w:rsidRPr="00F02D1F" w:rsidRDefault="00F02D1F" w:rsidP="00F02D1F">
      <w:pPr>
        <w:pStyle w:val="ListParagraph"/>
        <w:ind w:left="709"/>
        <w:jc w:val="both"/>
        <w:rPr>
          <w:rFonts w:ascii="Cambria" w:hAnsi="Cambria"/>
          <w:sz w:val="23"/>
          <w:szCs w:val="23"/>
        </w:rPr>
      </w:pPr>
    </w:p>
    <w:p w14:paraId="2E37AEF7" w14:textId="3904990A" w:rsidR="002B5E2A" w:rsidRDefault="000F4425" w:rsidP="00F02D1F">
      <w:pPr>
        <w:pStyle w:val="ListParagraph"/>
        <w:numPr>
          <w:ilvl w:val="1"/>
          <w:numId w:val="4"/>
        </w:numPr>
        <w:ind w:left="709" w:hanging="709"/>
        <w:jc w:val="both"/>
        <w:rPr>
          <w:rFonts w:ascii="Cambria" w:hAnsi="Cambria"/>
          <w:sz w:val="23"/>
          <w:szCs w:val="23"/>
        </w:rPr>
      </w:pPr>
      <w:r>
        <w:rPr>
          <w:rFonts w:ascii="Cambria" w:hAnsi="Cambria"/>
          <w:sz w:val="23"/>
          <w:szCs w:val="23"/>
        </w:rPr>
        <w:t>“</w:t>
      </w:r>
      <w:r>
        <w:rPr>
          <w:rFonts w:ascii="Cambria" w:hAnsi="Cambria"/>
          <w:b/>
          <w:sz w:val="23"/>
          <w:szCs w:val="23"/>
        </w:rPr>
        <w:t>Ministry of Defence</w:t>
      </w:r>
      <w:r>
        <w:rPr>
          <w:rFonts w:ascii="Cambria" w:hAnsi="Cambria"/>
          <w:sz w:val="23"/>
          <w:szCs w:val="23"/>
        </w:rPr>
        <w:t>” means the UK Secretary of State for Defence;</w:t>
      </w:r>
      <w:bookmarkEnd w:id="3"/>
    </w:p>
    <w:p w14:paraId="006FD676" w14:textId="77777777" w:rsidR="00F02D1F" w:rsidRPr="00F02D1F" w:rsidRDefault="00F02D1F" w:rsidP="00F02D1F">
      <w:pPr>
        <w:pStyle w:val="ListParagraph"/>
        <w:ind w:left="709"/>
        <w:jc w:val="both"/>
        <w:rPr>
          <w:rFonts w:ascii="Cambria" w:hAnsi="Cambria"/>
          <w:sz w:val="23"/>
          <w:szCs w:val="23"/>
        </w:rPr>
      </w:pPr>
    </w:p>
    <w:p w14:paraId="46B87A46" w14:textId="6765E490" w:rsidR="002B5E2A" w:rsidRDefault="002B5E2A" w:rsidP="00941179">
      <w:pPr>
        <w:pStyle w:val="ListParagraph"/>
        <w:numPr>
          <w:ilvl w:val="1"/>
          <w:numId w:val="4"/>
        </w:numPr>
        <w:ind w:left="709" w:hanging="709"/>
        <w:jc w:val="both"/>
        <w:rPr>
          <w:rFonts w:ascii="Cambria" w:hAnsi="Cambria"/>
          <w:sz w:val="23"/>
          <w:szCs w:val="23"/>
        </w:rPr>
      </w:pPr>
      <w:r w:rsidRPr="002B5E2A">
        <w:rPr>
          <w:rFonts w:ascii="Cambria" w:hAnsi="Cambria"/>
          <w:b/>
          <w:sz w:val="23"/>
          <w:szCs w:val="23"/>
        </w:rPr>
        <w:t>“Notice”</w:t>
      </w:r>
      <w:r>
        <w:rPr>
          <w:rFonts w:ascii="Cambria" w:hAnsi="Cambria"/>
          <w:sz w:val="23"/>
          <w:szCs w:val="23"/>
        </w:rPr>
        <w:t xml:space="preserve"> means the notice period required for the </w:t>
      </w:r>
      <w:r w:rsidR="007A798D">
        <w:rPr>
          <w:rFonts w:ascii="Cambria" w:hAnsi="Cambria"/>
          <w:sz w:val="23"/>
          <w:szCs w:val="23"/>
        </w:rPr>
        <w:t>withdrawal</w:t>
      </w:r>
      <w:r>
        <w:rPr>
          <w:rFonts w:ascii="Cambria" w:hAnsi="Cambria"/>
          <w:sz w:val="23"/>
          <w:szCs w:val="23"/>
        </w:rPr>
        <w:t xml:space="preserve"> of </w:t>
      </w:r>
      <w:r w:rsidR="00E05150">
        <w:rPr>
          <w:rFonts w:ascii="Cambria" w:hAnsi="Cambria"/>
          <w:sz w:val="23"/>
          <w:szCs w:val="23"/>
        </w:rPr>
        <w:t xml:space="preserve">a </w:t>
      </w:r>
      <w:r>
        <w:rPr>
          <w:rFonts w:ascii="Cambria" w:hAnsi="Cambria"/>
          <w:sz w:val="23"/>
          <w:szCs w:val="23"/>
        </w:rPr>
        <w:t>Specified Service</w:t>
      </w:r>
      <w:r w:rsidR="007A798D">
        <w:rPr>
          <w:rFonts w:ascii="Cambria" w:hAnsi="Cambria"/>
          <w:sz w:val="23"/>
          <w:szCs w:val="23"/>
        </w:rPr>
        <w:t xml:space="preserve"> from operation</w:t>
      </w:r>
      <w:r w:rsidR="00996A0F">
        <w:rPr>
          <w:rFonts w:ascii="Cambria" w:hAnsi="Cambria"/>
          <w:sz w:val="23"/>
          <w:szCs w:val="23"/>
        </w:rPr>
        <w:t xml:space="preserve">, </w:t>
      </w:r>
      <w:r w:rsidR="00913BA8">
        <w:rPr>
          <w:rFonts w:ascii="Cambria" w:hAnsi="Cambria"/>
          <w:sz w:val="23"/>
          <w:szCs w:val="23"/>
        </w:rPr>
        <w:t>which will be</w:t>
      </w:r>
      <w:r>
        <w:rPr>
          <w:rFonts w:ascii="Cambria" w:hAnsi="Cambria"/>
          <w:sz w:val="23"/>
          <w:szCs w:val="23"/>
        </w:rPr>
        <w:t xml:space="preserve"> 12 months</w:t>
      </w:r>
      <w:r w:rsidR="00674A85">
        <w:rPr>
          <w:rFonts w:ascii="Cambria" w:hAnsi="Cambria"/>
          <w:sz w:val="23"/>
          <w:szCs w:val="23"/>
        </w:rPr>
        <w:t>,</w:t>
      </w:r>
      <w:r>
        <w:rPr>
          <w:rFonts w:ascii="Cambria" w:hAnsi="Cambria"/>
          <w:sz w:val="23"/>
          <w:szCs w:val="23"/>
        </w:rPr>
        <w:t xml:space="preserve"> or </w:t>
      </w:r>
      <w:r w:rsidR="00674A85">
        <w:rPr>
          <w:rFonts w:ascii="Cambria" w:hAnsi="Cambria"/>
          <w:sz w:val="23"/>
          <w:szCs w:val="23"/>
        </w:rPr>
        <w:t>such other</w:t>
      </w:r>
      <w:r>
        <w:rPr>
          <w:rFonts w:ascii="Cambria" w:hAnsi="Cambria"/>
          <w:sz w:val="23"/>
          <w:szCs w:val="23"/>
        </w:rPr>
        <w:t xml:space="preserve"> period provided</w:t>
      </w:r>
      <w:r w:rsidR="003E5517">
        <w:rPr>
          <w:rFonts w:ascii="Cambria" w:hAnsi="Cambria"/>
          <w:sz w:val="23"/>
          <w:szCs w:val="23"/>
        </w:rPr>
        <w:t xml:space="preserve"> for</w:t>
      </w:r>
      <w:r>
        <w:rPr>
          <w:rFonts w:ascii="Cambria" w:hAnsi="Cambria"/>
          <w:sz w:val="23"/>
          <w:szCs w:val="23"/>
        </w:rPr>
        <w:t xml:space="preserve"> in the </w:t>
      </w:r>
      <w:r w:rsidR="003D1F5D">
        <w:rPr>
          <w:rFonts w:ascii="Cambria" w:hAnsi="Cambria"/>
          <w:sz w:val="23"/>
          <w:szCs w:val="23"/>
        </w:rPr>
        <w:t xml:space="preserve">relevant </w:t>
      </w:r>
      <w:r w:rsidR="00286C53">
        <w:rPr>
          <w:rFonts w:ascii="Cambria" w:hAnsi="Cambria"/>
          <w:sz w:val="23"/>
          <w:szCs w:val="23"/>
        </w:rPr>
        <w:t>Distribution Agreement</w:t>
      </w:r>
      <w:r>
        <w:rPr>
          <w:rFonts w:ascii="Cambria" w:hAnsi="Cambria"/>
          <w:sz w:val="23"/>
          <w:szCs w:val="23"/>
        </w:rPr>
        <w:t>, whichever is the longer;</w:t>
      </w:r>
      <w:r w:rsidR="003E5517">
        <w:rPr>
          <w:rFonts w:ascii="Cambria" w:hAnsi="Cambria"/>
          <w:sz w:val="23"/>
          <w:szCs w:val="23"/>
        </w:rPr>
        <w:t xml:space="preserve"> </w:t>
      </w:r>
    </w:p>
    <w:p w14:paraId="0F7C9C74" w14:textId="77777777" w:rsidR="00DC2059" w:rsidRDefault="00DC2059" w:rsidP="00AB56F5">
      <w:pPr>
        <w:pStyle w:val="ListParagraph"/>
        <w:ind w:left="709"/>
        <w:jc w:val="both"/>
        <w:rPr>
          <w:rFonts w:ascii="Cambria" w:hAnsi="Cambria"/>
          <w:sz w:val="23"/>
          <w:szCs w:val="23"/>
        </w:rPr>
      </w:pPr>
    </w:p>
    <w:p w14:paraId="2520A966" w14:textId="263FE65B" w:rsidR="00DC2059" w:rsidRDefault="00DC2059" w:rsidP="00941179">
      <w:pPr>
        <w:pStyle w:val="ListParagraph"/>
        <w:numPr>
          <w:ilvl w:val="1"/>
          <w:numId w:val="4"/>
        </w:numPr>
        <w:ind w:left="709" w:hanging="709"/>
        <w:jc w:val="both"/>
        <w:rPr>
          <w:rFonts w:ascii="Cambria" w:hAnsi="Cambria"/>
          <w:sz w:val="23"/>
          <w:szCs w:val="23"/>
        </w:rPr>
      </w:pPr>
      <w:r w:rsidRPr="00DC2059">
        <w:rPr>
          <w:rFonts w:ascii="Cambria" w:hAnsi="Cambria"/>
          <w:sz w:val="23"/>
          <w:szCs w:val="23"/>
        </w:rPr>
        <w:t>“</w:t>
      </w:r>
      <w:r w:rsidRPr="00AB56F5">
        <w:rPr>
          <w:rFonts w:ascii="Cambria" w:hAnsi="Cambria"/>
          <w:b/>
          <w:sz w:val="23"/>
          <w:szCs w:val="23"/>
        </w:rPr>
        <w:t xml:space="preserve">Overall </w:t>
      </w:r>
      <w:r w:rsidRPr="00DC2059">
        <w:rPr>
          <w:rFonts w:ascii="Cambria" w:hAnsi="Cambria"/>
          <w:b/>
          <w:sz w:val="23"/>
          <w:szCs w:val="23"/>
        </w:rPr>
        <w:t>Control</w:t>
      </w:r>
      <w:r w:rsidRPr="00DC2059">
        <w:rPr>
          <w:rFonts w:ascii="Cambria" w:hAnsi="Cambria"/>
          <w:sz w:val="23"/>
          <w:szCs w:val="23"/>
        </w:rPr>
        <w:t>” means with respect to a person (a) ownership of more than 50% of the voting securities of such person, (b) the right to appoint, or cause the appointment of, more than 50% of the members of the board of directors (or similar governing body) of such person or (c) the right to manage, or direct the management of, on a discretionary basis, the business, affairs and/or assets of such person</w:t>
      </w:r>
      <w:r>
        <w:rPr>
          <w:rFonts w:ascii="Cambria" w:hAnsi="Cambria"/>
          <w:sz w:val="23"/>
          <w:szCs w:val="23"/>
        </w:rPr>
        <w:t>;</w:t>
      </w:r>
    </w:p>
    <w:p w14:paraId="768FD3F4" w14:textId="30DA2C40" w:rsidR="000F4425" w:rsidRDefault="000F4425" w:rsidP="000F4425">
      <w:pPr>
        <w:pStyle w:val="ListParagraph"/>
        <w:ind w:left="0"/>
        <w:jc w:val="both"/>
        <w:rPr>
          <w:rFonts w:ascii="Cambria" w:hAnsi="Cambria"/>
          <w:sz w:val="23"/>
          <w:szCs w:val="23"/>
        </w:rPr>
      </w:pPr>
    </w:p>
    <w:p w14:paraId="0AC14370" w14:textId="78FCFE7F" w:rsidR="000F4425" w:rsidRDefault="002F59A9" w:rsidP="00941179">
      <w:pPr>
        <w:pStyle w:val="ListParagraph"/>
        <w:numPr>
          <w:ilvl w:val="1"/>
          <w:numId w:val="4"/>
        </w:numPr>
        <w:ind w:left="709" w:hanging="709"/>
        <w:jc w:val="both"/>
        <w:rPr>
          <w:rFonts w:ascii="Cambria" w:hAnsi="Cambria"/>
          <w:sz w:val="23"/>
          <w:szCs w:val="23"/>
        </w:rPr>
      </w:pPr>
      <w:r>
        <w:rPr>
          <w:rFonts w:ascii="Cambria" w:hAnsi="Cambria"/>
          <w:sz w:val="23"/>
          <w:szCs w:val="23"/>
        </w:rPr>
        <w:t>“</w:t>
      </w:r>
      <w:r>
        <w:rPr>
          <w:rFonts w:ascii="Cambria" w:hAnsi="Cambria"/>
          <w:b/>
          <w:sz w:val="23"/>
          <w:szCs w:val="23"/>
        </w:rPr>
        <w:t>Secretary of State</w:t>
      </w:r>
      <w:r>
        <w:rPr>
          <w:rFonts w:ascii="Cambria" w:hAnsi="Cambria"/>
          <w:sz w:val="23"/>
          <w:szCs w:val="23"/>
        </w:rPr>
        <w:t>” means the UK Secretary of State for Digital, Culture, Media and Sport</w:t>
      </w:r>
      <w:r w:rsidR="00FA012D">
        <w:rPr>
          <w:rFonts w:ascii="Cambria" w:hAnsi="Cambria"/>
          <w:sz w:val="23"/>
          <w:szCs w:val="23"/>
        </w:rPr>
        <w:t>;</w:t>
      </w:r>
    </w:p>
    <w:p w14:paraId="1CBC52D6" w14:textId="5EA18DB8" w:rsidR="00FA012D" w:rsidRDefault="00FA012D" w:rsidP="00873057">
      <w:pPr>
        <w:pStyle w:val="ListParagraph"/>
        <w:ind w:left="0"/>
        <w:jc w:val="both"/>
        <w:rPr>
          <w:rFonts w:ascii="Cambria" w:hAnsi="Cambria"/>
          <w:sz w:val="23"/>
          <w:szCs w:val="23"/>
        </w:rPr>
      </w:pPr>
    </w:p>
    <w:p w14:paraId="5CECF181" w14:textId="17D21D1E" w:rsidR="00FA012D" w:rsidRPr="00286C53" w:rsidRDefault="00FA012D" w:rsidP="00286C53">
      <w:pPr>
        <w:pStyle w:val="ListParagraph"/>
        <w:numPr>
          <w:ilvl w:val="1"/>
          <w:numId w:val="4"/>
        </w:numPr>
        <w:ind w:left="709" w:hanging="709"/>
        <w:jc w:val="both"/>
        <w:rPr>
          <w:rFonts w:ascii="Cambria" w:hAnsi="Cambria"/>
          <w:sz w:val="23"/>
          <w:szCs w:val="23"/>
        </w:rPr>
      </w:pPr>
      <w:r>
        <w:rPr>
          <w:rFonts w:ascii="Cambria" w:hAnsi="Cambria"/>
          <w:sz w:val="23"/>
          <w:szCs w:val="23"/>
        </w:rPr>
        <w:t>“</w:t>
      </w:r>
      <w:r>
        <w:rPr>
          <w:rFonts w:ascii="Cambria" w:hAnsi="Cambria"/>
          <w:b/>
          <w:sz w:val="23"/>
          <w:szCs w:val="23"/>
        </w:rPr>
        <w:t>Security Aspects Arrangement</w:t>
      </w:r>
      <w:r>
        <w:rPr>
          <w:rFonts w:ascii="Cambria" w:hAnsi="Cambria"/>
          <w:sz w:val="23"/>
          <w:szCs w:val="23"/>
        </w:rPr>
        <w:t xml:space="preserve">” means </w:t>
      </w:r>
      <w:r w:rsidR="00674A85">
        <w:rPr>
          <w:rFonts w:ascii="Cambria" w:hAnsi="Cambria"/>
          <w:sz w:val="23"/>
          <w:szCs w:val="23"/>
        </w:rPr>
        <w:t xml:space="preserve">a </w:t>
      </w:r>
      <w:r>
        <w:rPr>
          <w:rFonts w:ascii="Cambria" w:hAnsi="Cambria"/>
          <w:sz w:val="23"/>
          <w:szCs w:val="23"/>
        </w:rPr>
        <w:t>contractual arrangement</w:t>
      </w:r>
      <w:r w:rsidR="003D1F5D">
        <w:rPr>
          <w:rFonts w:ascii="Cambria" w:hAnsi="Cambria"/>
          <w:sz w:val="23"/>
          <w:szCs w:val="23"/>
        </w:rPr>
        <w:t xml:space="preserve"> </w:t>
      </w:r>
      <w:r w:rsidR="003E5517">
        <w:rPr>
          <w:rFonts w:ascii="Cambria" w:hAnsi="Cambria"/>
          <w:sz w:val="23"/>
          <w:szCs w:val="23"/>
        </w:rPr>
        <w:t xml:space="preserve">entered into </w:t>
      </w:r>
      <w:r w:rsidR="00286C53">
        <w:rPr>
          <w:rFonts w:ascii="Cambria" w:hAnsi="Cambria"/>
          <w:sz w:val="23"/>
          <w:szCs w:val="23"/>
        </w:rPr>
        <w:t xml:space="preserve">between the Ministry of Defence and </w:t>
      </w:r>
      <w:r w:rsidR="00674A85">
        <w:rPr>
          <w:rFonts w:ascii="Cambria" w:hAnsi="Cambria"/>
          <w:sz w:val="23"/>
          <w:szCs w:val="23"/>
        </w:rPr>
        <w:t xml:space="preserve">a member of the </w:t>
      </w:r>
      <w:r w:rsidR="003D1F5D">
        <w:rPr>
          <w:rFonts w:ascii="Cambria" w:hAnsi="Cambria"/>
          <w:sz w:val="23"/>
          <w:szCs w:val="23"/>
        </w:rPr>
        <w:t>Inmarsat Group</w:t>
      </w:r>
      <w:r>
        <w:rPr>
          <w:rFonts w:ascii="Cambria" w:hAnsi="Cambria"/>
          <w:sz w:val="23"/>
          <w:szCs w:val="23"/>
        </w:rPr>
        <w:t xml:space="preserve"> which incorporate</w:t>
      </w:r>
      <w:r w:rsidR="00674A85">
        <w:rPr>
          <w:rFonts w:ascii="Cambria" w:hAnsi="Cambria"/>
          <w:sz w:val="23"/>
          <w:szCs w:val="23"/>
        </w:rPr>
        <w:t>s</w:t>
      </w:r>
      <w:r>
        <w:rPr>
          <w:rFonts w:ascii="Cambria" w:hAnsi="Cambria"/>
          <w:sz w:val="23"/>
          <w:szCs w:val="23"/>
        </w:rPr>
        <w:t xml:space="preserve"> DEFCON 659/A – Security Measures</w:t>
      </w:r>
      <w:r w:rsidR="00674A85">
        <w:rPr>
          <w:rFonts w:ascii="Cambria" w:hAnsi="Cambria"/>
          <w:sz w:val="23"/>
          <w:szCs w:val="23"/>
        </w:rPr>
        <w:t xml:space="preserve"> or</w:t>
      </w:r>
      <w:r>
        <w:rPr>
          <w:rFonts w:ascii="Cambria" w:hAnsi="Cambria"/>
          <w:sz w:val="23"/>
          <w:szCs w:val="23"/>
        </w:rPr>
        <w:t xml:space="preserve"> any specific, enhanced arrangement which concern</w:t>
      </w:r>
      <w:r w:rsidR="00674A85">
        <w:rPr>
          <w:rFonts w:ascii="Cambria" w:hAnsi="Cambria"/>
          <w:sz w:val="23"/>
          <w:szCs w:val="23"/>
        </w:rPr>
        <w:t>s</w:t>
      </w:r>
      <w:r>
        <w:rPr>
          <w:rFonts w:ascii="Cambria" w:hAnsi="Cambria"/>
          <w:sz w:val="23"/>
          <w:szCs w:val="23"/>
        </w:rPr>
        <w:t xml:space="preserve"> assets or information </w:t>
      </w:r>
      <w:r w:rsidR="00FE4D6D">
        <w:rPr>
          <w:rFonts w:ascii="Cambria" w:hAnsi="Cambria"/>
          <w:sz w:val="23"/>
          <w:szCs w:val="23"/>
        </w:rPr>
        <w:t xml:space="preserve">marked “Official-Sensitive” or Classified as </w:t>
      </w:r>
      <w:r w:rsidR="00FE4D6D" w:rsidRPr="00E94E60">
        <w:rPr>
          <w:rFonts w:ascii="Cambria" w:hAnsi="Cambria"/>
          <w:sz w:val="23"/>
          <w:szCs w:val="23"/>
        </w:rPr>
        <w:t>“</w:t>
      </w:r>
      <w:r w:rsidR="00FE4D6D">
        <w:rPr>
          <w:rFonts w:ascii="Cambria" w:hAnsi="Cambria"/>
          <w:sz w:val="23"/>
          <w:szCs w:val="23"/>
        </w:rPr>
        <w:t xml:space="preserve">Secret” or "Top Secret" </w:t>
      </w:r>
      <w:r w:rsidR="00FE4D6D" w:rsidRPr="00E94E60">
        <w:rPr>
          <w:rFonts w:ascii="Cambria" w:hAnsi="Cambria"/>
          <w:sz w:val="23"/>
          <w:szCs w:val="23"/>
        </w:rPr>
        <w:t>by an authorised UK government representative</w:t>
      </w:r>
      <w:r w:rsidR="00FE4D6D">
        <w:rPr>
          <w:rFonts w:ascii="Cambria" w:hAnsi="Cambria"/>
          <w:sz w:val="23"/>
          <w:szCs w:val="23"/>
        </w:rPr>
        <w:t xml:space="preserve">, </w:t>
      </w:r>
      <w:r>
        <w:rPr>
          <w:rFonts w:ascii="Cambria" w:hAnsi="Cambria"/>
          <w:sz w:val="23"/>
          <w:szCs w:val="23"/>
        </w:rPr>
        <w:t>and</w:t>
      </w:r>
      <w:r w:rsidRPr="00286C53">
        <w:rPr>
          <w:rFonts w:ascii="Cambria" w:hAnsi="Cambria"/>
          <w:sz w:val="23"/>
          <w:szCs w:val="23"/>
        </w:rPr>
        <w:t xml:space="preserve"> the Security Requirements for List X Contractors; </w:t>
      </w:r>
    </w:p>
    <w:p w14:paraId="4294AD98" w14:textId="3F0C1F56" w:rsidR="00FA012D" w:rsidRDefault="00FA012D" w:rsidP="00873057">
      <w:pPr>
        <w:pStyle w:val="ListParagraph"/>
        <w:ind w:left="0"/>
        <w:jc w:val="both"/>
        <w:rPr>
          <w:rFonts w:ascii="Cambria" w:hAnsi="Cambria"/>
          <w:sz w:val="23"/>
          <w:szCs w:val="23"/>
        </w:rPr>
      </w:pPr>
    </w:p>
    <w:p w14:paraId="4BE2CE99" w14:textId="489DEE23" w:rsidR="00873057" w:rsidRDefault="00873057" w:rsidP="00941179">
      <w:pPr>
        <w:pStyle w:val="ListParagraph"/>
        <w:numPr>
          <w:ilvl w:val="1"/>
          <w:numId w:val="4"/>
        </w:numPr>
        <w:ind w:left="709" w:hanging="709"/>
        <w:jc w:val="both"/>
        <w:rPr>
          <w:rFonts w:ascii="Cambria" w:hAnsi="Cambria"/>
          <w:sz w:val="23"/>
          <w:szCs w:val="23"/>
        </w:rPr>
      </w:pPr>
      <w:r>
        <w:rPr>
          <w:rFonts w:ascii="Cambria" w:hAnsi="Cambria"/>
          <w:sz w:val="23"/>
          <w:szCs w:val="23"/>
        </w:rPr>
        <w:t>“</w:t>
      </w:r>
      <w:r>
        <w:rPr>
          <w:rFonts w:ascii="Cambria" w:hAnsi="Cambria"/>
          <w:b/>
          <w:sz w:val="23"/>
          <w:szCs w:val="23"/>
        </w:rPr>
        <w:t xml:space="preserve">Security </w:t>
      </w:r>
      <w:r w:rsidR="003D1F5D">
        <w:rPr>
          <w:rFonts w:ascii="Cambria" w:hAnsi="Cambria"/>
          <w:b/>
          <w:sz w:val="23"/>
          <w:szCs w:val="23"/>
        </w:rPr>
        <w:t>U</w:t>
      </w:r>
      <w:r>
        <w:rPr>
          <w:rFonts w:ascii="Cambria" w:hAnsi="Cambria"/>
          <w:b/>
          <w:sz w:val="23"/>
          <w:szCs w:val="23"/>
        </w:rPr>
        <w:t>ndertakings</w:t>
      </w:r>
      <w:r>
        <w:rPr>
          <w:rFonts w:ascii="Cambria" w:hAnsi="Cambria"/>
          <w:sz w:val="23"/>
          <w:szCs w:val="23"/>
        </w:rPr>
        <w:t xml:space="preserve">” means the undertakings made in clause 2; </w:t>
      </w:r>
    </w:p>
    <w:p w14:paraId="3F401640" w14:textId="245DF9FC" w:rsidR="00873057" w:rsidRDefault="00873057" w:rsidP="00E94E60">
      <w:pPr>
        <w:pStyle w:val="ListParagraph"/>
        <w:ind w:left="0"/>
        <w:jc w:val="both"/>
        <w:rPr>
          <w:rFonts w:ascii="Cambria" w:hAnsi="Cambria"/>
          <w:sz w:val="23"/>
          <w:szCs w:val="23"/>
        </w:rPr>
      </w:pPr>
    </w:p>
    <w:p w14:paraId="1D822C97" w14:textId="53D4A5BE" w:rsidR="0047748B" w:rsidRDefault="00BB3929" w:rsidP="00941179">
      <w:pPr>
        <w:pStyle w:val="ListParagraph"/>
        <w:numPr>
          <w:ilvl w:val="1"/>
          <w:numId w:val="4"/>
        </w:numPr>
        <w:ind w:left="709" w:hanging="709"/>
        <w:jc w:val="both"/>
        <w:rPr>
          <w:rFonts w:ascii="Cambria" w:hAnsi="Cambria"/>
          <w:sz w:val="23"/>
          <w:szCs w:val="23"/>
        </w:rPr>
      </w:pPr>
      <w:r w:rsidRPr="00E94E60">
        <w:rPr>
          <w:rFonts w:ascii="Cambria" w:hAnsi="Cambria"/>
          <w:sz w:val="23"/>
          <w:szCs w:val="23"/>
        </w:rPr>
        <w:t>“</w:t>
      </w:r>
      <w:r w:rsidRPr="00E94E60">
        <w:rPr>
          <w:rFonts w:ascii="Cambria" w:hAnsi="Cambria"/>
          <w:b/>
          <w:sz w:val="23"/>
          <w:szCs w:val="23"/>
        </w:rPr>
        <w:t>Security Requirements for List X Contractors</w:t>
      </w:r>
      <w:r w:rsidRPr="00E94E60">
        <w:rPr>
          <w:rFonts w:ascii="Cambria" w:hAnsi="Cambria"/>
          <w:sz w:val="23"/>
          <w:szCs w:val="23"/>
        </w:rPr>
        <w:t xml:space="preserve">” means the Security Requirements for List X Contractors </w:t>
      </w:r>
      <w:r w:rsidR="007E1225">
        <w:rPr>
          <w:rFonts w:ascii="Cambria" w:hAnsi="Cambria"/>
          <w:sz w:val="23"/>
          <w:szCs w:val="23"/>
        </w:rPr>
        <w:t>v</w:t>
      </w:r>
      <w:r w:rsidRPr="00E94E60">
        <w:rPr>
          <w:rFonts w:ascii="Cambria" w:hAnsi="Cambria"/>
          <w:sz w:val="23"/>
          <w:szCs w:val="23"/>
        </w:rPr>
        <w:t>10.0</w:t>
      </w:r>
      <w:r w:rsidR="004A2016">
        <w:rPr>
          <w:rStyle w:val="FootnoteReference"/>
          <w:rFonts w:ascii="Cambria" w:hAnsi="Cambria"/>
          <w:sz w:val="23"/>
          <w:szCs w:val="23"/>
        </w:rPr>
        <w:footnoteReference w:id="3"/>
      </w:r>
      <w:r w:rsidRPr="00E94E60">
        <w:rPr>
          <w:rFonts w:ascii="Cambria" w:hAnsi="Cambria"/>
          <w:sz w:val="23"/>
          <w:szCs w:val="23"/>
        </w:rPr>
        <w:t xml:space="preserve"> or any updated version published by the UK Cabinet Office; </w:t>
      </w:r>
    </w:p>
    <w:p w14:paraId="34D1D87E" w14:textId="6E3620C5" w:rsidR="00E94E60" w:rsidRDefault="00E94E60" w:rsidP="00E94E60">
      <w:pPr>
        <w:pStyle w:val="ListParagraph"/>
        <w:ind w:left="0"/>
        <w:jc w:val="both"/>
        <w:rPr>
          <w:rFonts w:ascii="Cambria" w:hAnsi="Cambria"/>
          <w:sz w:val="23"/>
          <w:szCs w:val="23"/>
        </w:rPr>
      </w:pPr>
    </w:p>
    <w:p w14:paraId="6EC09F3A" w14:textId="5812E74A" w:rsidR="00625EE8" w:rsidRDefault="00625EE8" w:rsidP="00941179">
      <w:pPr>
        <w:pStyle w:val="ListParagraph"/>
        <w:numPr>
          <w:ilvl w:val="1"/>
          <w:numId w:val="4"/>
        </w:numPr>
        <w:ind w:left="709" w:hanging="709"/>
        <w:jc w:val="both"/>
        <w:rPr>
          <w:rFonts w:ascii="Cambria" w:hAnsi="Cambria"/>
          <w:sz w:val="23"/>
          <w:szCs w:val="23"/>
        </w:rPr>
      </w:pPr>
      <w:r w:rsidRPr="00E94E60">
        <w:rPr>
          <w:rFonts w:ascii="Cambria" w:hAnsi="Cambria"/>
          <w:sz w:val="23"/>
          <w:szCs w:val="23"/>
        </w:rPr>
        <w:t>“</w:t>
      </w:r>
      <w:r w:rsidRPr="00E94E60">
        <w:rPr>
          <w:rFonts w:ascii="Cambria" w:hAnsi="Cambria"/>
          <w:b/>
          <w:sz w:val="23"/>
          <w:szCs w:val="23"/>
        </w:rPr>
        <w:t>Sensitive Material</w:t>
      </w:r>
      <w:r w:rsidRPr="00E94E60">
        <w:rPr>
          <w:rFonts w:ascii="Cambria" w:hAnsi="Cambria"/>
          <w:sz w:val="23"/>
          <w:szCs w:val="23"/>
        </w:rPr>
        <w:t xml:space="preserve">” means </w:t>
      </w:r>
      <w:r w:rsidR="00140A7C" w:rsidRPr="00E94E60">
        <w:rPr>
          <w:rFonts w:ascii="Cambria" w:hAnsi="Cambria"/>
          <w:sz w:val="23"/>
          <w:szCs w:val="23"/>
        </w:rPr>
        <w:t>any UK government software, information, thing or documentation</w:t>
      </w:r>
      <w:r w:rsidR="00FE4D6D">
        <w:rPr>
          <w:rFonts w:ascii="Cambria" w:hAnsi="Cambria"/>
          <w:sz w:val="23"/>
          <w:szCs w:val="23"/>
        </w:rPr>
        <w:t xml:space="preserve"> </w:t>
      </w:r>
      <w:r w:rsidR="00303DBA">
        <w:rPr>
          <w:rFonts w:ascii="Cambria" w:hAnsi="Cambria"/>
          <w:sz w:val="23"/>
          <w:szCs w:val="23"/>
        </w:rPr>
        <w:t>provided pursuant to</w:t>
      </w:r>
      <w:r w:rsidR="00FE4D6D">
        <w:rPr>
          <w:rFonts w:ascii="Cambria" w:hAnsi="Cambria"/>
          <w:sz w:val="23"/>
          <w:szCs w:val="23"/>
        </w:rPr>
        <w:t xml:space="preserve"> a Security Aspects Arrangement</w:t>
      </w:r>
      <w:r w:rsidR="00140A7C" w:rsidRPr="00E94E60">
        <w:rPr>
          <w:rFonts w:ascii="Cambria" w:hAnsi="Cambria"/>
          <w:sz w:val="23"/>
          <w:szCs w:val="23"/>
        </w:rPr>
        <w:t xml:space="preserve">; </w:t>
      </w:r>
      <w:r w:rsidR="004C41D8" w:rsidRPr="00E94E60">
        <w:rPr>
          <w:rFonts w:ascii="Cambria" w:hAnsi="Cambria"/>
          <w:sz w:val="23"/>
          <w:szCs w:val="23"/>
        </w:rPr>
        <w:t xml:space="preserve"> </w:t>
      </w:r>
      <w:r w:rsidR="007C0FA0" w:rsidRPr="00E94E60">
        <w:rPr>
          <w:rFonts w:ascii="Cambria" w:hAnsi="Cambria"/>
          <w:i/>
          <w:sz w:val="23"/>
          <w:szCs w:val="23"/>
        </w:rPr>
        <w:t xml:space="preserve"> </w:t>
      </w:r>
      <w:r w:rsidRPr="00E94E60">
        <w:rPr>
          <w:rFonts w:ascii="Cambria" w:hAnsi="Cambria"/>
          <w:sz w:val="23"/>
          <w:szCs w:val="23"/>
        </w:rPr>
        <w:t xml:space="preserve"> </w:t>
      </w:r>
    </w:p>
    <w:p w14:paraId="57628A92" w14:textId="77777777" w:rsidR="00BC2124" w:rsidRDefault="00BC2124" w:rsidP="00BC2124">
      <w:pPr>
        <w:pStyle w:val="ListParagraph"/>
        <w:ind w:left="0"/>
        <w:jc w:val="both"/>
        <w:rPr>
          <w:rFonts w:ascii="Cambria" w:hAnsi="Cambria"/>
          <w:sz w:val="23"/>
          <w:szCs w:val="23"/>
        </w:rPr>
      </w:pPr>
    </w:p>
    <w:p w14:paraId="0098F0BD" w14:textId="7AAAD3EC" w:rsidR="00231333" w:rsidRDefault="00BC2124" w:rsidP="00D9240C">
      <w:pPr>
        <w:pStyle w:val="ListParagraph"/>
        <w:numPr>
          <w:ilvl w:val="1"/>
          <w:numId w:val="4"/>
        </w:numPr>
        <w:ind w:left="709" w:hanging="709"/>
        <w:jc w:val="both"/>
        <w:rPr>
          <w:rFonts w:ascii="Cambria" w:hAnsi="Cambria"/>
          <w:sz w:val="23"/>
          <w:szCs w:val="23"/>
        </w:rPr>
      </w:pPr>
      <w:r>
        <w:rPr>
          <w:rFonts w:ascii="Cambria" w:hAnsi="Cambria"/>
          <w:sz w:val="23"/>
          <w:szCs w:val="23"/>
        </w:rPr>
        <w:t>“</w:t>
      </w:r>
      <w:r>
        <w:rPr>
          <w:rFonts w:ascii="Cambria" w:hAnsi="Cambria"/>
          <w:b/>
          <w:sz w:val="23"/>
          <w:szCs w:val="23"/>
        </w:rPr>
        <w:t>Specified Services</w:t>
      </w:r>
      <w:r>
        <w:rPr>
          <w:rFonts w:ascii="Cambria" w:hAnsi="Cambria"/>
          <w:sz w:val="23"/>
          <w:szCs w:val="23"/>
        </w:rPr>
        <w:t>” mean</w:t>
      </w:r>
      <w:r w:rsidR="007640B7">
        <w:rPr>
          <w:rFonts w:ascii="Cambria" w:hAnsi="Cambria"/>
          <w:sz w:val="23"/>
          <w:szCs w:val="23"/>
        </w:rPr>
        <w:t xml:space="preserve">s </w:t>
      </w:r>
      <w:r w:rsidR="007C33FF">
        <w:rPr>
          <w:rFonts w:ascii="Cambria" w:hAnsi="Cambria"/>
          <w:sz w:val="23"/>
          <w:szCs w:val="23"/>
        </w:rPr>
        <w:t xml:space="preserve">the </w:t>
      </w:r>
      <w:proofErr w:type="spellStart"/>
      <w:r w:rsidR="007640B7">
        <w:rPr>
          <w:rFonts w:ascii="Cambria" w:hAnsi="Cambria"/>
          <w:sz w:val="23"/>
          <w:szCs w:val="23"/>
        </w:rPr>
        <w:t>Fleet</w:t>
      </w:r>
      <w:r w:rsidR="007C33FF">
        <w:rPr>
          <w:rFonts w:ascii="Cambria" w:hAnsi="Cambria"/>
          <w:sz w:val="23"/>
          <w:szCs w:val="23"/>
        </w:rPr>
        <w:t>Broadband</w:t>
      </w:r>
      <w:proofErr w:type="spellEnd"/>
      <w:r w:rsidR="007A798D">
        <w:rPr>
          <w:rFonts w:ascii="Cambria" w:hAnsi="Cambria"/>
          <w:sz w:val="23"/>
          <w:szCs w:val="23"/>
        </w:rPr>
        <w:t xml:space="preserve">, </w:t>
      </w:r>
      <w:r w:rsidR="007640B7">
        <w:rPr>
          <w:rFonts w:ascii="Cambria" w:hAnsi="Cambria"/>
          <w:sz w:val="23"/>
          <w:szCs w:val="23"/>
        </w:rPr>
        <w:t>BGAN</w:t>
      </w:r>
      <w:r w:rsidR="006C34AD">
        <w:rPr>
          <w:rFonts w:ascii="Cambria" w:hAnsi="Cambria"/>
          <w:sz w:val="23"/>
          <w:szCs w:val="23"/>
        </w:rPr>
        <w:t xml:space="preserve">, L-TAC and </w:t>
      </w:r>
      <w:proofErr w:type="spellStart"/>
      <w:r w:rsidR="007640B7">
        <w:rPr>
          <w:rFonts w:ascii="Cambria" w:hAnsi="Cambria"/>
          <w:sz w:val="23"/>
          <w:szCs w:val="23"/>
        </w:rPr>
        <w:t>SwiftBroadband</w:t>
      </w:r>
      <w:proofErr w:type="spellEnd"/>
      <w:r w:rsidR="007640B7">
        <w:rPr>
          <w:rFonts w:ascii="Cambria" w:hAnsi="Cambria"/>
          <w:sz w:val="23"/>
          <w:szCs w:val="23"/>
        </w:rPr>
        <w:t xml:space="preserve"> Services </w:t>
      </w:r>
      <w:r w:rsidR="006C34AD">
        <w:rPr>
          <w:rFonts w:ascii="Cambria" w:hAnsi="Cambria"/>
          <w:sz w:val="23"/>
          <w:szCs w:val="23"/>
        </w:rPr>
        <w:t xml:space="preserve">supplied by Inmarsat Group directly or indirectly to the </w:t>
      </w:r>
      <w:r w:rsidR="00D96AAF">
        <w:rPr>
          <w:rFonts w:ascii="Cambria" w:hAnsi="Cambria"/>
          <w:sz w:val="23"/>
          <w:szCs w:val="23"/>
        </w:rPr>
        <w:t>Ministry of Defence</w:t>
      </w:r>
      <w:r w:rsidR="00D9240C">
        <w:rPr>
          <w:rFonts w:ascii="Cambria" w:hAnsi="Cambria"/>
          <w:sz w:val="23"/>
          <w:szCs w:val="23"/>
        </w:rPr>
        <w:t>;</w:t>
      </w:r>
    </w:p>
    <w:p w14:paraId="32BD4082" w14:textId="2F67EBFE" w:rsidR="00122FF2" w:rsidRDefault="00122FF2" w:rsidP="00122FF2">
      <w:pPr>
        <w:pStyle w:val="ListParagraph"/>
        <w:ind w:left="0"/>
        <w:jc w:val="both"/>
        <w:rPr>
          <w:rFonts w:ascii="Cambria" w:hAnsi="Cambria"/>
          <w:sz w:val="23"/>
          <w:szCs w:val="23"/>
        </w:rPr>
      </w:pPr>
    </w:p>
    <w:p w14:paraId="7984FCA6" w14:textId="683FD99F" w:rsidR="00231333" w:rsidRDefault="00231333" w:rsidP="00941179">
      <w:pPr>
        <w:pStyle w:val="ListParagraph"/>
        <w:numPr>
          <w:ilvl w:val="1"/>
          <w:numId w:val="4"/>
        </w:numPr>
        <w:ind w:left="709" w:hanging="709"/>
        <w:jc w:val="both"/>
        <w:rPr>
          <w:rFonts w:ascii="Cambria" w:hAnsi="Cambria"/>
          <w:sz w:val="23"/>
          <w:szCs w:val="23"/>
        </w:rPr>
      </w:pPr>
      <w:r>
        <w:rPr>
          <w:rFonts w:ascii="Cambria" w:hAnsi="Cambria"/>
          <w:sz w:val="23"/>
          <w:szCs w:val="23"/>
        </w:rPr>
        <w:t>“</w:t>
      </w:r>
      <w:r w:rsidRPr="00D81D9C">
        <w:rPr>
          <w:rFonts w:ascii="Cambria" w:hAnsi="Cambria"/>
          <w:b/>
          <w:sz w:val="23"/>
          <w:szCs w:val="23"/>
        </w:rPr>
        <w:t>Transaction Parties</w:t>
      </w:r>
      <w:r>
        <w:rPr>
          <w:rFonts w:ascii="Cambria" w:hAnsi="Cambria"/>
          <w:sz w:val="23"/>
          <w:szCs w:val="23"/>
        </w:rPr>
        <w:t xml:space="preserve">” means Inmarsat and Connect </w:t>
      </w:r>
      <w:proofErr w:type="spellStart"/>
      <w:r>
        <w:rPr>
          <w:rFonts w:ascii="Cambria" w:hAnsi="Cambria"/>
          <w:sz w:val="23"/>
          <w:szCs w:val="23"/>
        </w:rPr>
        <w:t>Bidco</w:t>
      </w:r>
      <w:proofErr w:type="spellEnd"/>
      <w:r>
        <w:rPr>
          <w:rFonts w:ascii="Cambria" w:hAnsi="Cambria"/>
          <w:sz w:val="23"/>
          <w:szCs w:val="23"/>
        </w:rPr>
        <w:t xml:space="preserve">; </w:t>
      </w:r>
    </w:p>
    <w:p w14:paraId="07DDB591" w14:textId="77777777" w:rsidR="00231333" w:rsidRDefault="00231333" w:rsidP="00D81D9C">
      <w:pPr>
        <w:pStyle w:val="ListParagraph"/>
        <w:ind w:left="709"/>
        <w:jc w:val="both"/>
        <w:rPr>
          <w:rFonts w:ascii="Cambria" w:hAnsi="Cambria"/>
          <w:sz w:val="23"/>
          <w:szCs w:val="23"/>
        </w:rPr>
      </w:pPr>
    </w:p>
    <w:p w14:paraId="520BA40E" w14:textId="710F783F" w:rsidR="00D54FBB" w:rsidRDefault="00D54FBB" w:rsidP="00941179">
      <w:pPr>
        <w:pStyle w:val="ListParagraph"/>
        <w:numPr>
          <w:ilvl w:val="1"/>
          <w:numId w:val="4"/>
        </w:numPr>
        <w:ind w:left="709" w:hanging="709"/>
        <w:jc w:val="both"/>
        <w:rPr>
          <w:rFonts w:ascii="Cambria" w:hAnsi="Cambria"/>
          <w:sz w:val="23"/>
          <w:szCs w:val="23"/>
        </w:rPr>
      </w:pPr>
      <w:r w:rsidRPr="00122FF2">
        <w:rPr>
          <w:rFonts w:ascii="Cambria" w:hAnsi="Cambria"/>
          <w:sz w:val="23"/>
          <w:szCs w:val="23"/>
        </w:rPr>
        <w:t>“</w:t>
      </w:r>
      <w:r w:rsidR="009C47DB" w:rsidRPr="00122FF2">
        <w:rPr>
          <w:rFonts w:ascii="Cambria" w:hAnsi="Cambria"/>
          <w:b/>
          <w:sz w:val="23"/>
          <w:szCs w:val="23"/>
        </w:rPr>
        <w:t>UK</w:t>
      </w:r>
      <w:r w:rsidR="009C47DB" w:rsidRPr="00122FF2">
        <w:rPr>
          <w:rFonts w:ascii="Cambria" w:hAnsi="Cambria"/>
          <w:sz w:val="23"/>
          <w:szCs w:val="23"/>
        </w:rPr>
        <w:t xml:space="preserve">” means the </w:t>
      </w:r>
      <w:r w:rsidR="00A55E9B" w:rsidRPr="00A55E9B">
        <w:rPr>
          <w:rFonts w:ascii="Cambria" w:hAnsi="Cambria"/>
          <w:sz w:val="23"/>
          <w:szCs w:val="23"/>
        </w:rPr>
        <w:t>United Kingdom of Great Britain and Northern Irelan</w:t>
      </w:r>
      <w:r w:rsidR="00A55E9B">
        <w:rPr>
          <w:rFonts w:ascii="Cambria" w:hAnsi="Cambria"/>
          <w:sz w:val="23"/>
          <w:szCs w:val="23"/>
        </w:rPr>
        <w:t xml:space="preserve">d; </w:t>
      </w:r>
      <w:r w:rsidR="000839CB">
        <w:rPr>
          <w:rFonts w:ascii="Cambria" w:hAnsi="Cambria"/>
          <w:sz w:val="23"/>
          <w:szCs w:val="23"/>
        </w:rPr>
        <w:t xml:space="preserve">and </w:t>
      </w:r>
    </w:p>
    <w:p w14:paraId="503D7C66" w14:textId="62EFA848" w:rsidR="00122FF2" w:rsidRDefault="00122FF2" w:rsidP="00122FF2">
      <w:pPr>
        <w:pStyle w:val="ListParagraph"/>
        <w:ind w:left="0"/>
        <w:jc w:val="both"/>
        <w:rPr>
          <w:rFonts w:ascii="Cambria" w:hAnsi="Cambria"/>
          <w:sz w:val="23"/>
          <w:szCs w:val="23"/>
        </w:rPr>
      </w:pPr>
    </w:p>
    <w:p w14:paraId="4CD8356B" w14:textId="15DD017D" w:rsidR="001C7A2C" w:rsidRDefault="009C586F" w:rsidP="00941179">
      <w:pPr>
        <w:pStyle w:val="ListParagraph"/>
        <w:numPr>
          <w:ilvl w:val="1"/>
          <w:numId w:val="4"/>
        </w:numPr>
        <w:ind w:left="709" w:hanging="709"/>
        <w:jc w:val="both"/>
        <w:rPr>
          <w:rFonts w:ascii="Cambria" w:hAnsi="Cambria"/>
          <w:sz w:val="23"/>
          <w:szCs w:val="23"/>
        </w:rPr>
      </w:pPr>
      <w:r w:rsidRPr="00122FF2">
        <w:rPr>
          <w:rFonts w:ascii="Cambria" w:hAnsi="Cambria"/>
          <w:sz w:val="23"/>
          <w:szCs w:val="23"/>
        </w:rPr>
        <w:t>“</w:t>
      </w:r>
      <w:r w:rsidRPr="00122FF2">
        <w:rPr>
          <w:rFonts w:ascii="Cambria" w:hAnsi="Cambria"/>
          <w:b/>
          <w:sz w:val="23"/>
          <w:szCs w:val="23"/>
        </w:rPr>
        <w:t>UK Subsidiary</w:t>
      </w:r>
      <w:r w:rsidRPr="00122FF2">
        <w:rPr>
          <w:rFonts w:ascii="Cambria" w:hAnsi="Cambria"/>
          <w:sz w:val="23"/>
          <w:szCs w:val="23"/>
        </w:rPr>
        <w:t xml:space="preserve">” means </w:t>
      </w:r>
      <w:r w:rsidR="005E13BE">
        <w:rPr>
          <w:rFonts w:ascii="Cambria" w:hAnsi="Cambria"/>
          <w:sz w:val="23"/>
          <w:szCs w:val="23"/>
        </w:rPr>
        <w:t>a</w:t>
      </w:r>
      <w:r w:rsidR="003E5517">
        <w:rPr>
          <w:rFonts w:ascii="Cambria" w:hAnsi="Cambria"/>
          <w:sz w:val="23"/>
          <w:szCs w:val="23"/>
        </w:rPr>
        <w:t xml:space="preserve"> subsidiary </w:t>
      </w:r>
      <w:r w:rsidRPr="00122FF2">
        <w:rPr>
          <w:rFonts w:ascii="Cambria" w:hAnsi="Cambria"/>
          <w:sz w:val="23"/>
          <w:szCs w:val="23"/>
        </w:rPr>
        <w:t xml:space="preserve">of </w:t>
      </w:r>
      <w:r w:rsidR="00FA34C4" w:rsidRPr="00122FF2">
        <w:rPr>
          <w:rFonts w:ascii="Cambria" w:hAnsi="Cambria"/>
          <w:sz w:val="23"/>
          <w:szCs w:val="23"/>
        </w:rPr>
        <w:t>Inmarsat</w:t>
      </w:r>
      <w:r w:rsidR="003E5517">
        <w:rPr>
          <w:rFonts w:ascii="Cambria" w:hAnsi="Cambria"/>
          <w:sz w:val="23"/>
          <w:szCs w:val="23"/>
        </w:rPr>
        <w:t xml:space="preserve"> </w:t>
      </w:r>
      <w:r w:rsidR="00FA34C4" w:rsidRPr="00122FF2">
        <w:rPr>
          <w:rFonts w:ascii="Cambria" w:hAnsi="Cambria"/>
          <w:sz w:val="23"/>
          <w:szCs w:val="23"/>
        </w:rPr>
        <w:t xml:space="preserve">that </w:t>
      </w:r>
      <w:r w:rsidR="003E5517">
        <w:rPr>
          <w:rFonts w:ascii="Cambria" w:hAnsi="Cambria"/>
          <w:sz w:val="23"/>
          <w:szCs w:val="23"/>
        </w:rPr>
        <w:t>is</w:t>
      </w:r>
      <w:r w:rsidR="00FA34C4" w:rsidRPr="00122FF2">
        <w:rPr>
          <w:rFonts w:ascii="Cambria" w:hAnsi="Cambria"/>
          <w:sz w:val="23"/>
          <w:szCs w:val="23"/>
        </w:rPr>
        <w:t xml:space="preserve"> incorporate</w:t>
      </w:r>
      <w:r w:rsidR="003E5517">
        <w:rPr>
          <w:rFonts w:ascii="Cambria" w:hAnsi="Cambria"/>
          <w:sz w:val="23"/>
          <w:szCs w:val="23"/>
        </w:rPr>
        <w:t>d</w:t>
      </w:r>
      <w:r w:rsidR="00FA34C4" w:rsidRPr="00122FF2">
        <w:rPr>
          <w:rFonts w:ascii="Cambria" w:hAnsi="Cambria"/>
          <w:sz w:val="23"/>
          <w:szCs w:val="23"/>
        </w:rPr>
        <w:t xml:space="preserve"> in England and Wales </w:t>
      </w:r>
      <w:r w:rsidR="00AF05A0">
        <w:rPr>
          <w:rFonts w:ascii="Cambria" w:hAnsi="Cambria"/>
          <w:sz w:val="23"/>
          <w:szCs w:val="23"/>
        </w:rPr>
        <w:t xml:space="preserve">as </w:t>
      </w:r>
      <w:r w:rsidR="00FA34C4" w:rsidRPr="00122FF2">
        <w:rPr>
          <w:rFonts w:ascii="Cambria" w:hAnsi="Cambria"/>
          <w:sz w:val="23"/>
          <w:szCs w:val="23"/>
        </w:rPr>
        <w:t>at the Effective Date</w:t>
      </w:r>
      <w:r w:rsidR="000839CB">
        <w:rPr>
          <w:rFonts w:ascii="Cambria" w:hAnsi="Cambria"/>
          <w:sz w:val="23"/>
          <w:szCs w:val="23"/>
        </w:rPr>
        <w:t xml:space="preserve">. </w:t>
      </w:r>
    </w:p>
    <w:p w14:paraId="57D92945" w14:textId="08C8F0A8" w:rsidR="00297A1C" w:rsidRDefault="00297A1C" w:rsidP="00297A1C">
      <w:pPr>
        <w:pStyle w:val="ListParagraph"/>
        <w:ind w:left="0"/>
        <w:jc w:val="both"/>
        <w:rPr>
          <w:rFonts w:ascii="Cambria" w:hAnsi="Cambria"/>
          <w:sz w:val="23"/>
          <w:szCs w:val="23"/>
        </w:rPr>
      </w:pPr>
    </w:p>
    <w:p w14:paraId="27CF11A1" w14:textId="4AB8460B" w:rsidR="00AF05A0" w:rsidRDefault="00297A1C" w:rsidP="00286C53">
      <w:pPr>
        <w:pStyle w:val="ListParagraph"/>
        <w:keepNext/>
        <w:numPr>
          <w:ilvl w:val="0"/>
          <w:numId w:val="4"/>
        </w:numPr>
        <w:ind w:left="357" w:hanging="357"/>
        <w:jc w:val="both"/>
        <w:rPr>
          <w:rFonts w:ascii="Cambria" w:hAnsi="Cambria"/>
          <w:b/>
          <w:sz w:val="23"/>
          <w:szCs w:val="23"/>
        </w:rPr>
      </w:pPr>
      <w:r>
        <w:rPr>
          <w:rFonts w:ascii="Cambria" w:hAnsi="Cambria"/>
          <w:sz w:val="23"/>
          <w:szCs w:val="23"/>
        </w:rPr>
        <w:t xml:space="preserve">  </w:t>
      </w:r>
      <w:r>
        <w:rPr>
          <w:rFonts w:ascii="Cambria" w:hAnsi="Cambria"/>
          <w:sz w:val="23"/>
          <w:szCs w:val="23"/>
        </w:rPr>
        <w:tab/>
      </w:r>
      <w:r>
        <w:rPr>
          <w:rFonts w:ascii="Cambria" w:hAnsi="Cambria"/>
          <w:b/>
          <w:sz w:val="23"/>
          <w:szCs w:val="23"/>
        </w:rPr>
        <w:t>SECURITY UNDERTAKINGS</w:t>
      </w:r>
    </w:p>
    <w:p w14:paraId="1A63DFD3" w14:textId="77777777" w:rsidR="00AF05A0" w:rsidRPr="00AF05A0" w:rsidRDefault="00AF05A0" w:rsidP="00AF05A0">
      <w:pPr>
        <w:pStyle w:val="ListParagraph"/>
        <w:ind w:left="360"/>
        <w:jc w:val="both"/>
        <w:rPr>
          <w:rFonts w:ascii="Cambria" w:hAnsi="Cambria"/>
          <w:b/>
          <w:sz w:val="23"/>
          <w:szCs w:val="23"/>
        </w:rPr>
      </w:pPr>
    </w:p>
    <w:p w14:paraId="5AA3030A" w14:textId="77777777" w:rsidR="00D07517" w:rsidRDefault="00297A1C" w:rsidP="00FE625D">
      <w:pPr>
        <w:jc w:val="both"/>
        <w:rPr>
          <w:rFonts w:ascii="Cambria" w:hAnsi="Cambria"/>
          <w:sz w:val="23"/>
          <w:szCs w:val="23"/>
        </w:rPr>
      </w:pPr>
      <w:r w:rsidRPr="00FE625D">
        <w:rPr>
          <w:rFonts w:ascii="Cambria" w:hAnsi="Cambria"/>
          <w:sz w:val="23"/>
          <w:szCs w:val="23"/>
        </w:rPr>
        <w:t xml:space="preserve">Each of Inmarsat and Connect </w:t>
      </w:r>
      <w:proofErr w:type="spellStart"/>
      <w:r w:rsidRPr="00FE625D">
        <w:rPr>
          <w:rFonts w:ascii="Cambria" w:hAnsi="Cambria"/>
          <w:sz w:val="23"/>
          <w:szCs w:val="23"/>
        </w:rPr>
        <w:t>Bidco</w:t>
      </w:r>
      <w:proofErr w:type="spellEnd"/>
      <w:r w:rsidRPr="00FE625D">
        <w:rPr>
          <w:rFonts w:ascii="Cambria" w:hAnsi="Cambria"/>
          <w:sz w:val="23"/>
          <w:szCs w:val="23"/>
        </w:rPr>
        <w:t xml:space="preserve"> undertakes the following in respect of itself, and </w:t>
      </w:r>
    </w:p>
    <w:p w14:paraId="51E7B64F" w14:textId="2EA27566" w:rsidR="00D07517" w:rsidRPr="00AB56F5" w:rsidRDefault="00297A1C" w:rsidP="00AB56F5">
      <w:pPr>
        <w:pStyle w:val="ListParagraph"/>
        <w:numPr>
          <w:ilvl w:val="0"/>
          <w:numId w:val="20"/>
        </w:numPr>
        <w:jc w:val="both"/>
        <w:rPr>
          <w:rFonts w:ascii="Cambria" w:hAnsi="Cambria"/>
          <w:sz w:val="23"/>
          <w:szCs w:val="23"/>
        </w:rPr>
      </w:pPr>
      <w:r w:rsidRPr="00AB56F5">
        <w:rPr>
          <w:rFonts w:ascii="Cambria" w:hAnsi="Cambria"/>
          <w:sz w:val="23"/>
          <w:szCs w:val="23"/>
        </w:rPr>
        <w:t xml:space="preserve">in respect of </w:t>
      </w:r>
      <w:r w:rsidR="00224D6B" w:rsidRPr="00AB56F5">
        <w:rPr>
          <w:rFonts w:ascii="Cambria" w:hAnsi="Cambria"/>
          <w:sz w:val="23"/>
          <w:szCs w:val="23"/>
        </w:rPr>
        <w:t>any</w:t>
      </w:r>
      <w:r w:rsidR="00AF05A0" w:rsidRPr="00AB56F5">
        <w:rPr>
          <w:rFonts w:ascii="Cambria" w:hAnsi="Cambria"/>
          <w:sz w:val="23"/>
          <w:szCs w:val="23"/>
        </w:rPr>
        <w:t xml:space="preserve"> </w:t>
      </w:r>
      <w:r w:rsidRPr="00AB56F5">
        <w:rPr>
          <w:rFonts w:ascii="Cambria" w:hAnsi="Cambria"/>
          <w:sz w:val="23"/>
          <w:szCs w:val="23"/>
        </w:rPr>
        <w:t xml:space="preserve">obligations on Inmarsat, Connect </w:t>
      </w:r>
      <w:proofErr w:type="spellStart"/>
      <w:r w:rsidRPr="00AB56F5">
        <w:rPr>
          <w:rFonts w:ascii="Cambria" w:hAnsi="Cambria"/>
          <w:sz w:val="23"/>
          <w:szCs w:val="23"/>
        </w:rPr>
        <w:t>Bidco</w:t>
      </w:r>
      <w:proofErr w:type="spellEnd"/>
      <w:r w:rsidRPr="00AB56F5">
        <w:rPr>
          <w:rFonts w:ascii="Cambria" w:hAnsi="Cambria"/>
          <w:sz w:val="23"/>
          <w:szCs w:val="23"/>
        </w:rPr>
        <w:t xml:space="preserve"> undertakes to procure that</w:t>
      </w:r>
      <w:r w:rsidR="006C7281" w:rsidRPr="00AB56F5">
        <w:rPr>
          <w:rFonts w:ascii="Cambria" w:hAnsi="Cambria"/>
          <w:sz w:val="23"/>
          <w:szCs w:val="23"/>
        </w:rPr>
        <w:t xml:space="preserve"> Inmarsat complies with the relevant obligation</w:t>
      </w:r>
      <w:r w:rsidR="008875EF" w:rsidRPr="00AB56F5">
        <w:rPr>
          <w:rFonts w:ascii="Cambria" w:hAnsi="Cambria"/>
          <w:sz w:val="23"/>
          <w:szCs w:val="23"/>
        </w:rPr>
        <w:t xml:space="preserve">, </w:t>
      </w:r>
      <w:r w:rsidR="00D07517" w:rsidRPr="00AB56F5">
        <w:rPr>
          <w:rFonts w:ascii="Cambria" w:hAnsi="Cambria"/>
          <w:sz w:val="23"/>
          <w:szCs w:val="23"/>
        </w:rPr>
        <w:t>provided that in the event t</w:t>
      </w:r>
      <w:r w:rsidR="00372B30">
        <w:rPr>
          <w:rFonts w:ascii="Cambria" w:hAnsi="Cambria"/>
          <w:sz w:val="23"/>
          <w:szCs w:val="23"/>
        </w:rPr>
        <w:t xml:space="preserve">hat Connect </w:t>
      </w:r>
      <w:proofErr w:type="spellStart"/>
      <w:r w:rsidR="00372B30">
        <w:rPr>
          <w:rFonts w:ascii="Cambria" w:hAnsi="Cambria"/>
          <w:sz w:val="23"/>
          <w:szCs w:val="23"/>
        </w:rPr>
        <w:t>Bidco</w:t>
      </w:r>
      <w:proofErr w:type="spellEnd"/>
      <w:r w:rsidR="00372B30">
        <w:rPr>
          <w:rFonts w:ascii="Cambria" w:hAnsi="Cambria"/>
          <w:sz w:val="23"/>
          <w:szCs w:val="23"/>
        </w:rPr>
        <w:t xml:space="preserve"> no longer has Overall</w:t>
      </w:r>
      <w:r w:rsidR="00D07517" w:rsidRPr="00AB56F5">
        <w:rPr>
          <w:rFonts w:ascii="Cambria" w:hAnsi="Cambria"/>
          <w:sz w:val="23"/>
          <w:szCs w:val="23"/>
        </w:rPr>
        <w:t xml:space="preserve"> Control of Inmarsat, Connect </w:t>
      </w:r>
      <w:proofErr w:type="spellStart"/>
      <w:r w:rsidR="00D07517" w:rsidRPr="00AB56F5">
        <w:rPr>
          <w:rFonts w:ascii="Cambria" w:hAnsi="Cambria"/>
          <w:sz w:val="23"/>
          <w:szCs w:val="23"/>
        </w:rPr>
        <w:t>Bidco</w:t>
      </w:r>
      <w:proofErr w:type="spellEnd"/>
      <w:r w:rsidR="00D07517" w:rsidRPr="00AB56F5">
        <w:rPr>
          <w:rFonts w:ascii="Cambria" w:hAnsi="Cambria"/>
          <w:sz w:val="23"/>
          <w:szCs w:val="23"/>
        </w:rPr>
        <w:t xml:space="preserve"> undertakes </w:t>
      </w:r>
      <w:r w:rsidR="00372B30">
        <w:rPr>
          <w:rFonts w:ascii="Cambria" w:hAnsi="Cambria"/>
          <w:sz w:val="23"/>
          <w:szCs w:val="23"/>
        </w:rPr>
        <w:t xml:space="preserve">instead </w:t>
      </w:r>
      <w:r w:rsidR="00D07517" w:rsidRPr="00AB56F5">
        <w:rPr>
          <w:rFonts w:ascii="Cambria" w:hAnsi="Cambria"/>
          <w:sz w:val="23"/>
          <w:szCs w:val="23"/>
        </w:rPr>
        <w:t xml:space="preserve">to exercise its rights relating to Inmarsat (including by voting its shares) to seek to procure that Inmarsat complies with the relevant obligation, </w:t>
      </w:r>
      <w:r w:rsidR="008875EF" w:rsidRPr="00AB56F5">
        <w:rPr>
          <w:rFonts w:ascii="Cambria" w:hAnsi="Cambria"/>
          <w:sz w:val="23"/>
          <w:szCs w:val="23"/>
        </w:rPr>
        <w:t xml:space="preserve">and </w:t>
      </w:r>
    </w:p>
    <w:p w14:paraId="1E9A38E9" w14:textId="05DF73ED" w:rsidR="00297A1C" w:rsidRPr="00AB56F5" w:rsidRDefault="008875EF" w:rsidP="00AB56F5">
      <w:pPr>
        <w:pStyle w:val="ListParagraph"/>
        <w:numPr>
          <w:ilvl w:val="0"/>
          <w:numId w:val="20"/>
        </w:numPr>
        <w:jc w:val="both"/>
        <w:rPr>
          <w:rFonts w:ascii="Cambria" w:hAnsi="Cambria"/>
          <w:sz w:val="23"/>
          <w:szCs w:val="23"/>
        </w:rPr>
      </w:pPr>
      <w:r w:rsidRPr="00AB56F5">
        <w:rPr>
          <w:rFonts w:ascii="Cambria" w:hAnsi="Cambria"/>
          <w:sz w:val="23"/>
          <w:szCs w:val="23"/>
        </w:rPr>
        <w:t>in respect of any obligation on a</w:t>
      </w:r>
      <w:r w:rsidR="003D2B2F" w:rsidRPr="00AB56F5">
        <w:rPr>
          <w:rFonts w:ascii="Cambria" w:hAnsi="Cambria"/>
          <w:sz w:val="23"/>
          <w:szCs w:val="23"/>
        </w:rPr>
        <w:t>n</w:t>
      </w:r>
      <w:r w:rsidRPr="00AB56F5">
        <w:rPr>
          <w:rFonts w:ascii="Cambria" w:hAnsi="Cambria"/>
          <w:sz w:val="23"/>
          <w:szCs w:val="23"/>
        </w:rPr>
        <w:t xml:space="preserve"> Inmarsat Gro</w:t>
      </w:r>
      <w:r w:rsidR="003D2B2F" w:rsidRPr="00AB56F5">
        <w:rPr>
          <w:rFonts w:ascii="Cambria" w:hAnsi="Cambria"/>
          <w:sz w:val="23"/>
          <w:szCs w:val="23"/>
        </w:rPr>
        <w:t>u</w:t>
      </w:r>
      <w:r w:rsidRPr="00AB56F5">
        <w:rPr>
          <w:rFonts w:ascii="Cambria" w:hAnsi="Cambria"/>
          <w:sz w:val="23"/>
          <w:szCs w:val="23"/>
        </w:rPr>
        <w:t>p company, Inmarsat undertakes to procure that such company complies with the relevant obligation</w:t>
      </w:r>
      <w:r w:rsidR="00297A1C" w:rsidRPr="00AB56F5">
        <w:rPr>
          <w:rFonts w:ascii="Cambria" w:hAnsi="Cambria"/>
          <w:sz w:val="23"/>
          <w:szCs w:val="23"/>
        </w:rPr>
        <w:t xml:space="preserve">: </w:t>
      </w:r>
    </w:p>
    <w:p w14:paraId="4E4EE597" w14:textId="77777777" w:rsidR="00AB56F5" w:rsidRDefault="00AB56F5" w:rsidP="0020741B">
      <w:pPr>
        <w:pStyle w:val="ListParagraph"/>
        <w:ind w:left="0"/>
        <w:jc w:val="both"/>
        <w:rPr>
          <w:rFonts w:ascii="Cambria" w:hAnsi="Cambria"/>
          <w:sz w:val="23"/>
          <w:szCs w:val="23"/>
        </w:rPr>
      </w:pPr>
    </w:p>
    <w:p w14:paraId="2DDE3679" w14:textId="3446BBD4" w:rsidR="0048254D" w:rsidRDefault="0048254D" w:rsidP="0020741B">
      <w:pPr>
        <w:pStyle w:val="ListParagraph"/>
        <w:ind w:left="0"/>
        <w:jc w:val="both"/>
        <w:rPr>
          <w:rFonts w:ascii="Cambria" w:hAnsi="Cambria"/>
          <w:b/>
          <w:sz w:val="23"/>
          <w:szCs w:val="23"/>
        </w:rPr>
      </w:pPr>
      <w:r w:rsidRPr="003C2E0E">
        <w:rPr>
          <w:rFonts w:ascii="Cambria" w:hAnsi="Cambria"/>
          <w:b/>
          <w:sz w:val="23"/>
          <w:szCs w:val="23"/>
        </w:rPr>
        <w:t>Maintenance of strategic capabilities</w:t>
      </w:r>
      <w:r w:rsidR="00A144AF" w:rsidRPr="000948E5">
        <w:rPr>
          <w:rFonts w:ascii="Cambria" w:hAnsi="Cambria"/>
          <w:sz w:val="23"/>
          <w:szCs w:val="23"/>
        </w:rPr>
        <w:t xml:space="preserve"> </w:t>
      </w:r>
      <w:r w:rsidR="00C22A23">
        <w:rPr>
          <w:rFonts w:ascii="Cambria" w:hAnsi="Cambria"/>
          <w:b/>
          <w:sz w:val="23"/>
          <w:szCs w:val="23"/>
        </w:rPr>
        <w:t xml:space="preserve"> </w:t>
      </w:r>
    </w:p>
    <w:p w14:paraId="58D2AA02" w14:textId="77777777" w:rsidR="00136516" w:rsidRDefault="00136516" w:rsidP="0020741B">
      <w:pPr>
        <w:pStyle w:val="ListParagraph"/>
        <w:ind w:left="0"/>
        <w:jc w:val="both"/>
        <w:rPr>
          <w:rFonts w:ascii="Cambria" w:hAnsi="Cambria"/>
          <w:b/>
          <w:sz w:val="23"/>
          <w:szCs w:val="23"/>
        </w:rPr>
      </w:pPr>
    </w:p>
    <w:p w14:paraId="50A24D12" w14:textId="51831130" w:rsidR="003649E3" w:rsidRPr="000948E5" w:rsidRDefault="0078353C" w:rsidP="000948E5">
      <w:pPr>
        <w:pStyle w:val="ListParagraph"/>
        <w:numPr>
          <w:ilvl w:val="1"/>
          <w:numId w:val="4"/>
        </w:numPr>
        <w:ind w:left="709" w:hanging="709"/>
        <w:jc w:val="both"/>
        <w:rPr>
          <w:rFonts w:ascii="Cambria" w:hAnsi="Cambria"/>
          <w:sz w:val="23"/>
          <w:szCs w:val="23"/>
        </w:rPr>
      </w:pPr>
      <w:r w:rsidRPr="0078353C">
        <w:rPr>
          <w:rFonts w:ascii="Cambria" w:hAnsi="Cambria"/>
          <w:sz w:val="23"/>
          <w:szCs w:val="23"/>
        </w:rPr>
        <w:t xml:space="preserve">The </w:t>
      </w:r>
      <w:r w:rsidR="001F7888">
        <w:rPr>
          <w:rFonts w:ascii="Cambria" w:hAnsi="Cambria"/>
          <w:sz w:val="23"/>
          <w:szCs w:val="23"/>
        </w:rPr>
        <w:t xml:space="preserve">relevant members of the </w:t>
      </w:r>
      <w:r w:rsidRPr="0078353C">
        <w:rPr>
          <w:rFonts w:ascii="Cambria" w:hAnsi="Cambria"/>
          <w:sz w:val="23"/>
          <w:szCs w:val="23"/>
        </w:rPr>
        <w:t xml:space="preserve">Inmarsat </w:t>
      </w:r>
      <w:r w:rsidR="001F7888">
        <w:rPr>
          <w:rFonts w:ascii="Cambria" w:hAnsi="Cambria"/>
          <w:sz w:val="23"/>
          <w:szCs w:val="23"/>
        </w:rPr>
        <w:t>Group shall comply with their respective</w:t>
      </w:r>
      <w:r w:rsidRPr="0078353C">
        <w:rPr>
          <w:rFonts w:ascii="Cambria" w:hAnsi="Cambria"/>
          <w:sz w:val="23"/>
          <w:szCs w:val="23"/>
        </w:rPr>
        <w:t xml:space="preserve"> contractual obligations</w:t>
      </w:r>
      <w:r w:rsidR="00E554FF" w:rsidRPr="00E554FF">
        <w:rPr>
          <w:rFonts w:ascii="Cambria" w:hAnsi="Cambria"/>
          <w:sz w:val="23"/>
          <w:szCs w:val="23"/>
        </w:rPr>
        <w:t xml:space="preserve"> </w:t>
      </w:r>
      <w:r w:rsidRPr="000948E5">
        <w:rPr>
          <w:rFonts w:ascii="Cambria" w:hAnsi="Cambria"/>
          <w:sz w:val="23"/>
          <w:szCs w:val="23"/>
        </w:rPr>
        <w:t xml:space="preserve">under the </w:t>
      </w:r>
      <w:r w:rsidR="001F7888">
        <w:rPr>
          <w:rFonts w:ascii="Cambria" w:hAnsi="Cambria"/>
          <w:sz w:val="23"/>
          <w:szCs w:val="23"/>
        </w:rPr>
        <w:t>Distribution A</w:t>
      </w:r>
      <w:r w:rsidRPr="000948E5">
        <w:rPr>
          <w:rFonts w:ascii="Cambria" w:hAnsi="Cambria"/>
          <w:sz w:val="23"/>
          <w:szCs w:val="23"/>
        </w:rPr>
        <w:t xml:space="preserve">greements in force as at the Effective </w:t>
      </w:r>
      <w:r w:rsidRPr="000948E5">
        <w:rPr>
          <w:rFonts w:ascii="Cambria" w:hAnsi="Cambria"/>
          <w:sz w:val="23"/>
          <w:szCs w:val="23"/>
        </w:rPr>
        <w:lastRenderedPageBreak/>
        <w:t xml:space="preserve">Date insofar as </w:t>
      </w:r>
      <w:r w:rsidR="006A1D25">
        <w:rPr>
          <w:rFonts w:ascii="Cambria" w:hAnsi="Cambria"/>
          <w:sz w:val="23"/>
          <w:szCs w:val="23"/>
        </w:rPr>
        <w:t xml:space="preserve">such </w:t>
      </w:r>
      <w:r w:rsidRPr="000948E5">
        <w:rPr>
          <w:rFonts w:ascii="Cambria" w:hAnsi="Cambria"/>
          <w:sz w:val="23"/>
          <w:szCs w:val="23"/>
        </w:rPr>
        <w:t xml:space="preserve">contractual obligations have a material impact on the delivery of </w:t>
      </w:r>
      <w:r w:rsidR="005514E2">
        <w:rPr>
          <w:rFonts w:ascii="Cambria" w:hAnsi="Cambria"/>
          <w:sz w:val="23"/>
          <w:szCs w:val="23"/>
        </w:rPr>
        <w:t>the</w:t>
      </w:r>
      <w:r w:rsidR="00E554FF" w:rsidRPr="000948E5">
        <w:rPr>
          <w:rFonts w:ascii="Cambria" w:hAnsi="Cambria"/>
          <w:sz w:val="23"/>
          <w:szCs w:val="23"/>
        </w:rPr>
        <w:t xml:space="preserve"> </w:t>
      </w:r>
      <w:r w:rsidRPr="000948E5">
        <w:rPr>
          <w:rFonts w:ascii="Cambria" w:hAnsi="Cambria"/>
          <w:sz w:val="23"/>
          <w:szCs w:val="23"/>
        </w:rPr>
        <w:t>Specified Services to the Ministry of Defence</w:t>
      </w:r>
      <w:r w:rsidR="006A1D25">
        <w:rPr>
          <w:rFonts w:ascii="Cambria" w:hAnsi="Cambria"/>
          <w:sz w:val="23"/>
          <w:szCs w:val="23"/>
        </w:rPr>
        <w:t xml:space="preserve"> and </w:t>
      </w:r>
      <w:r w:rsidR="001F7888">
        <w:rPr>
          <w:rFonts w:ascii="Cambria" w:hAnsi="Cambria"/>
          <w:sz w:val="23"/>
          <w:szCs w:val="23"/>
        </w:rPr>
        <w:t>the relevant</w:t>
      </w:r>
      <w:r w:rsidR="006A1D25">
        <w:rPr>
          <w:rFonts w:ascii="Cambria" w:hAnsi="Cambria"/>
          <w:sz w:val="23"/>
          <w:szCs w:val="23"/>
        </w:rPr>
        <w:t xml:space="preserve"> </w:t>
      </w:r>
      <w:r w:rsidR="001F7888">
        <w:rPr>
          <w:rFonts w:ascii="Cambria" w:hAnsi="Cambria"/>
          <w:sz w:val="23"/>
          <w:szCs w:val="23"/>
        </w:rPr>
        <w:t>agreement remains</w:t>
      </w:r>
      <w:r w:rsidR="006A1D25">
        <w:rPr>
          <w:rFonts w:ascii="Cambria" w:hAnsi="Cambria"/>
          <w:sz w:val="23"/>
          <w:szCs w:val="23"/>
        </w:rPr>
        <w:t xml:space="preserve"> in force</w:t>
      </w:r>
      <w:r w:rsidRPr="000948E5">
        <w:rPr>
          <w:rFonts w:ascii="Cambria" w:hAnsi="Cambria"/>
          <w:sz w:val="23"/>
          <w:szCs w:val="23"/>
        </w:rPr>
        <w:t>.</w:t>
      </w:r>
      <w:r w:rsidR="002E31A4" w:rsidRPr="000948E5">
        <w:rPr>
          <w:rFonts w:ascii="Cambria" w:hAnsi="Cambria"/>
          <w:sz w:val="23"/>
          <w:szCs w:val="23"/>
        </w:rPr>
        <w:t xml:space="preserve"> </w:t>
      </w:r>
      <w:r w:rsidR="00E554FF" w:rsidRPr="000948E5">
        <w:rPr>
          <w:rFonts w:ascii="Cambria" w:hAnsi="Cambria"/>
          <w:sz w:val="23"/>
          <w:szCs w:val="23"/>
        </w:rPr>
        <w:t xml:space="preserve"> </w:t>
      </w:r>
    </w:p>
    <w:p w14:paraId="612C8038" w14:textId="77777777" w:rsidR="004C78F9" w:rsidRDefault="004C78F9" w:rsidP="004C78F9">
      <w:pPr>
        <w:pStyle w:val="ListParagraph"/>
        <w:ind w:left="709"/>
        <w:jc w:val="both"/>
        <w:rPr>
          <w:rFonts w:ascii="Cambria" w:hAnsi="Cambria"/>
          <w:sz w:val="23"/>
          <w:szCs w:val="23"/>
        </w:rPr>
      </w:pPr>
    </w:p>
    <w:p w14:paraId="488121E6" w14:textId="3D2F8F96" w:rsidR="004C78F9" w:rsidRDefault="009E4D45" w:rsidP="00BA5651">
      <w:pPr>
        <w:pStyle w:val="ListParagraph"/>
        <w:numPr>
          <w:ilvl w:val="1"/>
          <w:numId w:val="4"/>
        </w:numPr>
        <w:ind w:left="709" w:hanging="709"/>
        <w:jc w:val="both"/>
        <w:rPr>
          <w:rFonts w:ascii="Cambria" w:hAnsi="Cambria"/>
          <w:sz w:val="23"/>
          <w:szCs w:val="23"/>
        </w:rPr>
      </w:pPr>
      <w:r>
        <w:rPr>
          <w:rFonts w:ascii="Cambria" w:hAnsi="Cambria"/>
          <w:sz w:val="23"/>
          <w:szCs w:val="23"/>
        </w:rPr>
        <w:t xml:space="preserve">In the event that there is a material change to Inmarsat’s ability to </w:t>
      </w:r>
      <w:r w:rsidR="00E554FF">
        <w:rPr>
          <w:rFonts w:ascii="Cambria" w:hAnsi="Cambria"/>
          <w:sz w:val="23"/>
          <w:szCs w:val="23"/>
        </w:rPr>
        <w:t xml:space="preserve">continue to supply the Specified Services to the Ministry of Defence </w:t>
      </w:r>
      <w:r w:rsidR="00A144AF">
        <w:rPr>
          <w:rFonts w:ascii="Cambria" w:hAnsi="Cambria"/>
          <w:sz w:val="23"/>
          <w:szCs w:val="23"/>
        </w:rPr>
        <w:t>or to</w:t>
      </w:r>
      <w:r w:rsidR="00E554FF">
        <w:rPr>
          <w:rFonts w:ascii="Cambria" w:hAnsi="Cambria"/>
          <w:sz w:val="23"/>
          <w:szCs w:val="23"/>
        </w:rPr>
        <w:t xml:space="preserve"> comply with the associated Security Aspects Arrangements,</w:t>
      </w:r>
      <w:r>
        <w:rPr>
          <w:rFonts w:ascii="Cambria" w:hAnsi="Cambria"/>
          <w:sz w:val="23"/>
          <w:szCs w:val="23"/>
        </w:rPr>
        <w:t xml:space="preserve"> </w:t>
      </w:r>
      <w:r w:rsidR="006C7281">
        <w:rPr>
          <w:rFonts w:ascii="Cambria" w:hAnsi="Cambria"/>
          <w:sz w:val="23"/>
          <w:szCs w:val="23"/>
        </w:rPr>
        <w:t>Inmarsat</w:t>
      </w:r>
      <w:r>
        <w:rPr>
          <w:rFonts w:ascii="Cambria" w:hAnsi="Cambria"/>
          <w:sz w:val="23"/>
          <w:szCs w:val="23"/>
        </w:rPr>
        <w:t xml:space="preserve"> will notify the Ministry of Defence and provide:</w:t>
      </w:r>
    </w:p>
    <w:p w14:paraId="72025E10" w14:textId="77777777" w:rsidR="00136516" w:rsidRDefault="00136516" w:rsidP="00136516">
      <w:pPr>
        <w:pStyle w:val="ListParagraph"/>
        <w:ind w:left="709"/>
        <w:jc w:val="both"/>
        <w:rPr>
          <w:rFonts w:ascii="Cambria" w:hAnsi="Cambria"/>
          <w:sz w:val="23"/>
          <w:szCs w:val="23"/>
        </w:rPr>
      </w:pPr>
    </w:p>
    <w:p w14:paraId="145E0DFE" w14:textId="53B8767C" w:rsidR="009E4D45" w:rsidRPr="00C176BB" w:rsidRDefault="00C176BB" w:rsidP="00E554FF">
      <w:pPr>
        <w:pStyle w:val="ListParagraph"/>
        <w:numPr>
          <w:ilvl w:val="2"/>
          <w:numId w:val="4"/>
        </w:numPr>
        <w:tabs>
          <w:tab w:val="left" w:pos="1418"/>
        </w:tabs>
        <w:ind w:left="1440" w:hanging="720"/>
        <w:jc w:val="both"/>
        <w:rPr>
          <w:rFonts w:ascii="Cambria" w:hAnsi="Cambria"/>
          <w:sz w:val="23"/>
          <w:szCs w:val="23"/>
        </w:rPr>
      </w:pPr>
      <w:r w:rsidRPr="00C176BB">
        <w:rPr>
          <w:rFonts w:ascii="Cambria" w:hAnsi="Cambria"/>
          <w:sz w:val="23"/>
          <w:szCs w:val="23"/>
        </w:rPr>
        <w:t>D</w:t>
      </w:r>
      <w:r w:rsidR="009E4D45" w:rsidRPr="00C176BB">
        <w:rPr>
          <w:rFonts w:ascii="Cambria" w:hAnsi="Cambria"/>
          <w:sz w:val="23"/>
          <w:szCs w:val="23"/>
        </w:rPr>
        <w:t>etail of the material change;</w:t>
      </w:r>
    </w:p>
    <w:p w14:paraId="529E5B7B" w14:textId="77777777" w:rsidR="004C3677" w:rsidRPr="004C3677" w:rsidRDefault="004C3677" w:rsidP="00E554FF">
      <w:pPr>
        <w:pStyle w:val="ListParagraph"/>
        <w:tabs>
          <w:tab w:val="left" w:pos="1418"/>
        </w:tabs>
        <w:ind w:left="1440"/>
        <w:jc w:val="both"/>
        <w:rPr>
          <w:rFonts w:ascii="Cambria" w:hAnsi="Cambria"/>
          <w:sz w:val="23"/>
          <w:szCs w:val="23"/>
        </w:rPr>
      </w:pPr>
    </w:p>
    <w:p w14:paraId="16AEFFF7" w14:textId="043BC1DE" w:rsidR="004C3677" w:rsidRDefault="004C3677" w:rsidP="00E554FF">
      <w:pPr>
        <w:pStyle w:val="ListParagraph"/>
        <w:numPr>
          <w:ilvl w:val="2"/>
          <w:numId w:val="4"/>
        </w:numPr>
        <w:tabs>
          <w:tab w:val="left" w:pos="1418"/>
        </w:tabs>
        <w:ind w:left="1440" w:hanging="720"/>
        <w:jc w:val="both"/>
        <w:rPr>
          <w:rFonts w:ascii="Cambria" w:hAnsi="Cambria"/>
          <w:sz w:val="23"/>
          <w:szCs w:val="23"/>
        </w:rPr>
      </w:pPr>
      <w:r>
        <w:rPr>
          <w:rFonts w:ascii="Cambria" w:hAnsi="Cambria"/>
          <w:sz w:val="23"/>
          <w:szCs w:val="23"/>
        </w:rPr>
        <w:t xml:space="preserve">An assessment of the implications of the material </w:t>
      </w:r>
      <w:proofErr w:type="gramStart"/>
      <w:r>
        <w:rPr>
          <w:rFonts w:ascii="Cambria" w:hAnsi="Cambria"/>
          <w:sz w:val="23"/>
          <w:szCs w:val="23"/>
        </w:rPr>
        <w:t>change</w:t>
      </w:r>
      <w:proofErr w:type="gramEnd"/>
      <w:r>
        <w:rPr>
          <w:rFonts w:ascii="Cambria" w:hAnsi="Cambria"/>
          <w:sz w:val="23"/>
          <w:szCs w:val="23"/>
        </w:rPr>
        <w:t xml:space="preserve"> on Inmarsat’s </w:t>
      </w:r>
      <w:r w:rsidR="00E554FF">
        <w:rPr>
          <w:rFonts w:ascii="Cambria" w:hAnsi="Cambria"/>
          <w:sz w:val="23"/>
          <w:szCs w:val="23"/>
        </w:rPr>
        <w:t xml:space="preserve">ability to continue to supply the Specified Services to the Ministry of Defence </w:t>
      </w:r>
      <w:r w:rsidR="00A144AF">
        <w:rPr>
          <w:rFonts w:ascii="Cambria" w:hAnsi="Cambria"/>
          <w:sz w:val="23"/>
          <w:szCs w:val="23"/>
        </w:rPr>
        <w:t>or to</w:t>
      </w:r>
      <w:r w:rsidR="00E554FF">
        <w:rPr>
          <w:rFonts w:ascii="Cambria" w:hAnsi="Cambria"/>
          <w:sz w:val="23"/>
          <w:szCs w:val="23"/>
        </w:rPr>
        <w:t xml:space="preserve"> comply with the associated Security Aspects Arrangements;</w:t>
      </w:r>
    </w:p>
    <w:p w14:paraId="52EBB147" w14:textId="77777777" w:rsidR="004C3677" w:rsidRPr="004C3677" w:rsidRDefault="004C3677" w:rsidP="00E554FF">
      <w:pPr>
        <w:pStyle w:val="ListParagraph"/>
        <w:tabs>
          <w:tab w:val="left" w:pos="1418"/>
        </w:tabs>
        <w:ind w:left="1440"/>
        <w:jc w:val="both"/>
        <w:rPr>
          <w:rFonts w:ascii="Cambria" w:hAnsi="Cambria"/>
          <w:sz w:val="23"/>
          <w:szCs w:val="23"/>
        </w:rPr>
      </w:pPr>
    </w:p>
    <w:p w14:paraId="0FCC4E57" w14:textId="1FD775EE" w:rsidR="009E4D45" w:rsidRPr="00C176BB" w:rsidRDefault="004C3677" w:rsidP="00E554FF">
      <w:pPr>
        <w:pStyle w:val="ListParagraph"/>
        <w:numPr>
          <w:ilvl w:val="2"/>
          <w:numId w:val="4"/>
        </w:numPr>
        <w:tabs>
          <w:tab w:val="left" w:pos="1418"/>
        </w:tabs>
        <w:ind w:left="1440" w:hanging="720"/>
        <w:jc w:val="both"/>
        <w:rPr>
          <w:rFonts w:ascii="Cambria" w:hAnsi="Cambria"/>
          <w:sz w:val="23"/>
          <w:szCs w:val="23"/>
        </w:rPr>
      </w:pPr>
      <w:r>
        <w:rPr>
          <w:rFonts w:ascii="Cambria" w:hAnsi="Cambria"/>
          <w:sz w:val="23"/>
          <w:szCs w:val="23"/>
        </w:rPr>
        <w:t xml:space="preserve">The detail of arrangements to </w:t>
      </w:r>
      <w:r w:rsidR="008875EF">
        <w:rPr>
          <w:rFonts w:ascii="Cambria" w:hAnsi="Cambria"/>
          <w:sz w:val="23"/>
          <w:szCs w:val="23"/>
        </w:rPr>
        <w:t xml:space="preserve">be implemented to mitigate against any material adverse effects to the Ministry of Defence of such material change. </w:t>
      </w:r>
    </w:p>
    <w:p w14:paraId="60704DA9" w14:textId="77777777" w:rsidR="0067126B" w:rsidRDefault="0067126B" w:rsidP="003649E3">
      <w:pPr>
        <w:pStyle w:val="ListParagraph"/>
        <w:ind w:left="0"/>
        <w:jc w:val="both"/>
        <w:rPr>
          <w:rFonts w:ascii="Cambria" w:hAnsi="Cambria"/>
          <w:sz w:val="23"/>
          <w:szCs w:val="23"/>
        </w:rPr>
      </w:pPr>
    </w:p>
    <w:p w14:paraId="3428E668" w14:textId="314B322C" w:rsidR="009F59FA" w:rsidRDefault="008875EF" w:rsidP="00E131F0">
      <w:pPr>
        <w:pStyle w:val="ListParagraph"/>
        <w:numPr>
          <w:ilvl w:val="1"/>
          <w:numId w:val="4"/>
        </w:numPr>
        <w:ind w:left="709" w:hanging="709"/>
        <w:jc w:val="both"/>
        <w:rPr>
          <w:rFonts w:ascii="Cambria" w:hAnsi="Cambria"/>
          <w:sz w:val="23"/>
          <w:szCs w:val="23"/>
        </w:rPr>
      </w:pPr>
      <w:r>
        <w:rPr>
          <w:rFonts w:ascii="Cambria" w:hAnsi="Cambria"/>
          <w:sz w:val="23"/>
          <w:szCs w:val="23"/>
        </w:rPr>
        <w:t>The</w:t>
      </w:r>
      <w:r w:rsidR="001F7888">
        <w:rPr>
          <w:rFonts w:ascii="Cambria" w:hAnsi="Cambria"/>
          <w:sz w:val="23"/>
          <w:szCs w:val="23"/>
        </w:rPr>
        <w:t xml:space="preserve"> relevant members of the </w:t>
      </w:r>
      <w:r w:rsidR="00E131F0">
        <w:rPr>
          <w:rFonts w:ascii="Cambria" w:hAnsi="Cambria"/>
          <w:sz w:val="23"/>
          <w:szCs w:val="23"/>
        </w:rPr>
        <w:t xml:space="preserve">Inmarsat </w:t>
      </w:r>
      <w:r w:rsidR="001F7888">
        <w:rPr>
          <w:rFonts w:ascii="Cambria" w:hAnsi="Cambria"/>
          <w:sz w:val="23"/>
          <w:szCs w:val="23"/>
        </w:rPr>
        <w:t xml:space="preserve">Group </w:t>
      </w:r>
      <w:r>
        <w:rPr>
          <w:rFonts w:ascii="Cambria" w:hAnsi="Cambria"/>
          <w:sz w:val="23"/>
          <w:szCs w:val="23"/>
        </w:rPr>
        <w:t xml:space="preserve">will </w:t>
      </w:r>
      <w:r w:rsidR="00E131F0">
        <w:rPr>
          <w:rFonts w:ascii="Cambria" w:hAnsi="Cambria"/>
          <w:sz w:val="23"/>
          <w:szCs w:val="23"/>
        </w:rPr>
        <w:t>continue to offer to supply</w:t>
      </w:r>
      <w:r w:rsidR="006C7281">
        <w:rPr>
          <w:rFonts w:ascii="Cambria" w:hAnsi="Cambria"/>
          <w:sz w:val="23"/>
          <w:szCs w:val="23"/>
        </w:rPr>
        <w:t xml:space="preserve"> </w:t>
      </w:r>
      <w:r w:rsidR="00E131F0">
        <w:rPr>
          <w:rFonts w:ascii="Cambria" w:hAnsi="Cambria"/>
          <w:sz w:val="23"/>
          <w:szCs w:val="23"/>
        </w:rPr>
        <w:t xml:space="preserve">each of the Specified Services to the Ministry of Defence directly or through a </w:t>
      </w:r>
      <w:proofErr w:type="gramStart"/>
      <w:r w:rsidR="00E131F0">
        <w:rPr>
          <w:rFonts w:ascii="Cambria" w:hAnsi="Cambria"/>
          <w:sz w:val="23"/>
          <w:szCs w:val="23"/>
        </w:rPr>
        <w:t>third party</w:t>
      </w:r>
      <w:proofErr w:type="gramEnd"/>
      <w:r w:rsidR="00E131F0">
        <w:rPr>
          <w:rFonts w:ascii="Cambria" w:hAnsi="Cambria"/>
          <w:sz w:val="23"/>
          <w:szCs w:val="23"/>
        </w:rPr>
        <w:t xml:space="preserve"> </w:t>
      </w:r>
      <w:r w:rsidR="00E131F0" w:rsidRPr="005A33BA">
        <w:rPr>
          <w:rFonts w:ascii="Cambria" w:hAnsi="Cambria"/>
          <w:sz w:val="23"/>
          <w:szCs w:val="23"/>
        </w:rPr>
        <w:t>distribution partner</w:t>
      </w:r>
      <w:r w:rsidR="00E131F0">
        <w:rPr>
          <w:rFonts w:ascii="Cambria" w:hAnsi="Cambria"/>
          <w:sz w:val="23"/>
          <w:szCs w:val="23"/>
        </w:rPr>
        <w:t xml:space="preserve"> that has been approved by the Ministry of Defence, for so long as </w:t>
      </w:r>
      <w:r w:rsidR="001F7888">
        <w:rPr>
          <w:rFonts w:ascii="Cambria" w:hAnsi="Cambria"/>
          <w:sz w:val="23"/>
          <w:szCs w:val="23"/>
        </w:rPr>
        <w:t>such</w:t>
      </w:r>
      <w:r w:rsidR="00E131F0">
        <w:rPr>
          <w:rFonts w:ascii="Cambria" w:hAnsi="Cambria"/>
          <w:sz w:val="23"/>
          <w:szCs w:val="23"/>
        </w:rPr>
        <w:t xml:space="preserve"> </w:t>
      </w:r>
      <w:r w:rsidR="001F7888">
        <w:rPr>
          <w:rFonts w:ascii="Cambria" w:hAnsi="Cambria"/>
          <w:sz w:val="23"/>
          <w:szCs w:val="23"/>
        </w:rPr>
        <w:t>service</w:t>
      </w:r>
      <w:r w:rsidR="00E131F0">
        <w:rPr>
          <w:rFonts w:ascii="Cambria" w:hAnsi="Cambria"/>
          <w:sz w:val="23"/>
          <w:szCs w:val="23"/>
        </w:rPr>
        <w:t xml:space="preserve"> is operational, and the Ministry of Defence wishes to be a Customer, subject to the Ministry of Defence acting reasonably in negotiating</w:t>
      </w:r>
      <w:r w:rsidR="00EC133F">
        <w:rPr>
          <w:rFonts w:ascii="Cambria" w:hAnsi="Cambria"/>
          <w:sz w:val="23"/>
          <w:szCs w:val="23"/>
        </w:rPr>
        <w:t>,</w:t>
      </w:r>
      <w:r w:rsidR="00E131F0">
        <w:rPr>
          <w:rFonts w:ascii="Cambria" w:hAnsi="Cambria"/>
          <w:sz w:val="23"/>
          <w:szCs w:val="23"/>
        </w:rPr>
        <w:t xml:space="preserve"> and offering to place</w:t>
      </w:r>
      <w:r w:rsidR="00EC133F">
        <w:rPr>
          <w:rFonts w:ascii="Cambria" w:hAnsi="Cambria"/>
          <w:sz w:val="23"/>
          <w:szCs w:val="23"/>
        </w:rPr>
        <w:t>,</w:t>
      </w:r>
      <w:r w:rsidR="00E131F0">
        <w:rPr>
          <w:rFonts w:ascii="Cambria" w:hAnsi="Cambria"/>
          <w:sz w:val="23"/>
          <w:szCs w:val="23"/>
        </w:rPr>
        <w:t xml:space="preserve"> contracts.</w:t>
      </w:r>
    </w:p>
    <w:p w14:paraId="4A2524CE" w14:textId="77777777" w:rsidR="00E131F0" w:rsidRPr="00E131F0" w:rsidRDefault="00E131F0" w:rsidP="00E131F0">
      <w:pPr>
        <w:pStyle w:val="ListParagraph"/>
        <w:ind w:left="709"/>
        <w:jc w:val="both"/>
        <w:rPr>
          <w:rFonts w:ascii="Cambria" w:hAnsi="Cambria"/>
          <w:sz w:val="23"/>
          <w:szCs w:val="23"/>
        </w:rPr>
      </w:pPr>
    </w:p>
    <w:p w14:paraId="41B7F97F" w14:textId="2C37489D" w:rsidR="001F7888" w:rsidRDefault="00E131F0" w:rsidP="00AF05A0">
      <w:pPr>
        <w:pStyle w:val="ListParagraph"/>
        <w:numPr>
          <w:ilvl w:val="1"/>
          <w:numId w:val="4"/>
        </w:numPr>
        <w:ind w:left="709" w:hanging="709"/>
        <w:jc w:val="both"/>
        <w:rPr>
          <w:rFonts w:ascii="Cambria" w:hAnsi="Cambria"/>
          <w:sz w:val="23"/>
          <w:szCs w:val="23"/>
        </w:rPr>
      </w:pPr>
      <w:r>
        <w:rPr>
          <w:rFonts w:ascii="Cambria" w:hAnsi="Cambria"/>
          <w:sz w:val="23"/>
          <w:szCs w:val="23"/>
        </w:rPr>
        <w:t xml:space="preserve">Provided that the Ministry of Defence continues to be a Customer, </w:t>
      </w:r>
      <w:r w:rsidR="009F59FA" w:rsidRPr="00E131F0">
        <w:rPr>
          <w:rFonts w:ascii="Cambria" w:hAnsi="Cambria"/>
          <w:sz w:val="23"/>
          <w:szCs w:val="23"/>
        </w:rPr>
        <w:t xml:space="preserve">Inmarsat will refrain from issuing Notice </w:t>
      </w:r>
      <w:r w:rsidR="001F7888">
        <w:rPr>
          <w:rFonts w:ascii="Cambria" w:hAnsi="Cambria"/>
          <w:sz w:val="23"/>
          <w:szCs w:val="23"/>
        </w:rPr>
        <w:t>withdrawing</w:t>
      </w:r>
      <w:r w:rsidR="009F59FA" w:rsidRPr="00E131F0">
        <w:rPr>
          <w:rFonts w:ascii="Cambria" w:hAnsi="Cambria"/>
          <w:sz w:val="23"/>
          <w:szCs w:val="23"/>
        </w:rPr>
        <w:t xml:space="preserve"> any Specified Service for the period of three years from the </w:t>
      </w:r>
      <w:r w:rsidR="0065376B" w:rsidRPr="00E131F0">
        <w:rPr>
          <w:rFonts w:ascii="Cambria" w:hAnsi="Cambria"/>
          <w:sz w:val="23"/>
          <w:szCs w:val="23"/>
        </w:rPr>
        <w:t>Effective Date</w:t>
      </w:r>
      <w:r w:rsidR="009F59FA" w:rsidRPr="00E131F0">
        <w:rPr>
          <w:rFonts w:ascii="Cambria" w:hAnsi="Cambria"/>
          <w:sz w:val="23"/>
          <w:szCs w:val="23"/>
        </w:rPr>
        <w:t xml:space="preserve">. </w:t>
      </w:r>
    </w:p>
    <w:p w14:paraId="747D6AB4" w14:textId="77777777" w:rsidR="00902ED1" w:rsidRPr="00902ED1" w:rsidRDefault="00902ED1" w:rsidP="00902ED1">
      <w:pPr>
        <w:pStyle w:val="ListParagraph"/>
        <w:ind w:left="709"/>
        <w:jc w:val="both"/>
        <w:rPr>
          <w:rFonts w:ascii="Cambria" w:hAnsi="Cambria"/>
          <w:sz w:val="23"/>
          <w:szCs w:val="23"/>
        </w:rPr>
      </w:pPr>
    </w:p>
    <w:p w14:paraId="021AD007" w14:textId="5FE97145" w:rsidR="006C30F0" w:rsidRPr="00286C53" w:rsidRDefault="00AF05A0" w:rsidP="006C30F0">
      <w:pPr>
        <w:pStyle w:val="ListParagraph"/>
        <w:numPr>
          <w:ilvl w:val="1"/>
          <w:numId w:val="4"/>
        </w:numPr>
        <w:ind w:left="709" w:hanging="709"/>
        <w:jc w:val="both"/>
        <w:rPr>
          <w:rFonts w:ascii="Cambria" w:hAnsi="Cambria"/>
          <w:sz w:val="23"/>
          <w:szCs w:val="23"/>
        </w:rPr>
      </w:pPr>
      <w:r>
        <w:rPr>
          <w:rFonts w:ascii="Cambria" w:hAnsi="Cambria"/>
          <w:sz w:val="23"/>
          <w:szCs w:val="23"/>
        </w:rPr>
        <w:t>Provided that the Ministry of Defence continues to be a Customer,</w:t>
      </w:r>
      <w:r w:rsidR="00B41D90">
        <w:rPr>
          <w:rFonts w:ascii="Cambria" w:hAnsi="Cambria"/>
          <w:sz w:val="23"/>
          <w:szCs w:val="23"/>
        </w:rPr>
        <w:t xml:space="preserve"> directly or indirectly,</w:t>
      </w:r>
      <w:r>
        <w:rPr>
          <w:rFonts w:ascii="Cambria" w:hAnsi="Cambria"/>
          <w:sz w:val="23"/>
          <w:szCs w:val="23"/>
        </w:rPr>
        <w:t xml:space="preserve"> the Inmarsat Group </w:t>
      </w:r>
      <w:r w:rsidR="006C7281">
        <w:rPr>
          <w:rFonts w:ascii="Cambria" w:hAnsi="Cambria"/>
          <w:sz w:val="23"/>
          <w:szCs w:val="23"/>
        </w:rPr>
        <w:t xml:space="preserve">will </w:t>
      </w:r>
      <w:r>
        <w:rPr>
          <w:rFonts w:ascii="Cambria" w:hAnsi="Cambria"/>
          <w:sz w:val="23"/>
          <w:szCs w:val="23"/>
        </w:rPr>
        <w:t xml:space="preserve">contract to supply the Specified Services </w:t>
      </w:r>
      <w:r w:rsidR="006C30F0">
        <w:rPr>
          <w:rFonts w:ascii="Cambria" w:hAnsi="Cambria"/>
          <w:sz w:val="23"/>
          <w:szCs w:val="23"/>
        </w:rPr>
        <w:t xml:space="preserve">to the Ministry of Defence </w:t>
      </w:r>
      <w:r>
        <w:rPr>
          <w:rFonts w:ascii="Cambria" w:hAnsi="Cambria"/>
          <w:sz w:val="23"/>
          <w:szCs w:val="23"/>
        </w:rPr>
        <w:t xml:space="preserve">through </w:t>
      </w:r>
      <w:r w:rsidR="006C7281">
        <w:rPr>
          <w:rFonts w:ascii="Cambria" w:hAnsi="Cambria"/>
          <w:sz w:val="23"/>
          <w:szCs w:val="23"/>
        </w:rPr>
        <w:t>a contractual counterparty</w:t>
      </w:r>
      <w:r w:rsidR="008875EF">
        <w:rPr>
          <w:rFonts w:ascii="Cambria" w:hAnsi="Cambria"/>
          <w:sz w:val="23"/>
          <w:szCs w:val="23"/>
        </w:rPr>
        <w:t xml:space="preserve"> or counterparties</w:t>
      </w:r>
      <w:r w:rsidR="00FA5D6C" w:rsidRPr="00AF05A0">
        <w:rPr>
          <w:rFonts w:ascii="Cambria" w:hAnsi="Cambria"/>
          <w:sz w:val="23"/>
          <w:szCs w:val="23"/>
        </w:rPr>
        <w:t xml:space="preserve"> incorporated under the laws of England</w:t>
      </w:r>
      <w:r>
        <w:rPr>
          <w:rFonts w:ascii="Cambria" w:hAnsi="Cambria"/>
          <w:sz w:val="23"/>
          <w:szCs w:val="23"/>
        </w:rPr>
        <w:t xml:space="preserve"> and Wales</w:t>
      </w:r>
      <w:r w:rsidR="00FA5D6C" w:rsidRPr="00AF05A0">
        <w:rPr>
          <w:rFonts w:ascii="Cambria" w:hAnsi="Cambria"/>
          <w:sz w:val="23"/>
          <w:szCs w:val="23"/>
        </w:rPr>
        <w:t xml:space="preserve"> and registered at Companies House</w:t>
      </w:r>
      <w:r w:rsidR="00CC6E67">
        <w:rPr>
          <w:rFonts w:ascii="Cambria" w:hAnsi="Cambria"/>
          <w:sz w:val="23"/>
          <w:szCs w:val="23"/>
        </w:rPr>
        <w:t>, where the Ministry of Defence so requires</w:t>
      </w:r>
      <w:r w:rsidR="00FA5D6C" w:rsidRPr="00AF05A0">
        <w:rPr>
          <w:rFonts w:ascii="Cambria" w:hAnsi="Cambria"/>
          <w:sz w:val="23"/>
          <w:szCs w:val="23"/>
        </w:rPr>
        <w:t xml:space="preserve">. </w:t>
      </w:r>
    </w:p>
    <w:p w14:paraId="375E2088" w14:textId="49AA39D8" w:rsidR="000C0A2B" w:rsidRPr="000C0A2B" w:rsidRDefault="00193A99" w:rsidP="000C0A2B">
      <w:pPr>
        <w:jc w:val="both"/>
        <w:rPr>
          <w:rFonts w:ascii="Cambria" w:hAnsi="Cambria"/>
          <w:sz w:val="23"/>
          <w:szCs w:val="23"/>
        </w:rPr>
      </w:pPr>
      <w:r>
        <w:rPr>
          <w:rFonts w:ascii="Cambria" w:hAnsi="Cambria"/>
          <w:b/>
          <w:sz w:val="23"/>
          <w:szCs w:val="23"/>
        </w:rPr>
        <w:t xml:space="preserve">Protection and Exploitation of Information </w:t>
      </w:r>
    </w:p>
    <w:p w14:paraId="7C88C2CA" w14:textId="66A6428B" w:rsidR="000F47E6" w:rsidRDefault="00136516" w:rsidP="000F47E6">
      <w:pPr>
        <w:pStyle w:val="ListParagraph"/>
        <w:numPr>
          <w:ilvl w:val="1"/>
          <w:numId w:val="4"/>
        </w:numPr>
        <w:ind w:left="709" w:hanging="709"/>
        <w:jc w:val="both"/>
        <w:rPr>
          <w:rFonts w:ascii="Cambria" w:hAnsi="Cambria"/>
          <w:sz w:val="23"/>
          <w:szCs w:val="23"/>
        </w:rPr>
      </w:pPr>
      <w:r w:rsidRPr="000C0A2B">
        <w:rPr>
          <w:rFonts w:ascii="Cambria" w:hAnsi="Cambria"/>
          <w:sz w:val="23"/>
          <w:szCs w:val="23"/>
        </w:rPr>
        <w:t>Inmarsat will comply with, and maintain certification pursuant to</w:t>
      </w:r>
      <w:r>
        <w:rPr>
          <w:rFonts w:ascii="Cambria" w:hAnsi="Cambria"/>
          <w:sz w:val="23"/>
          <w:szCs w:val="23"/>
        </w:rPr>
        <w:t>,</w:t>
      </w:r>
      <w:r w:rsidRPr="000C0A2B">
        <w:rPr>
          <w:rFonts w:ascii="Cambria" w:hAnsi="Cambria"/>
          <w:sz w:val="23"/>
          <w:szCs w:val="23"/>
        </w:rPr>
        <w:t xml:space="preserve"> the Security Requirements for List X Contractors in respect of areas where Sensitive Material</w:t>
      </w:r>
      <w:r w:rsidR="008875EF">
        <w:rPr>
          <w:rFonts w:ascii="Cambria" w:hAnsi="Cambria"/>
          <w:sz w:val="23"/>
          <w:szCs w:val="23"/>
        </w:rPr>
        <w:t xml:space="preserve"> warranting Security Requirements for List X Contractors</w:t>
      </w:r>
      <w:r w:rsidRPr="000C0A2B">
        <w:rPr>
          <w:rFonts w:ascii="Cambria" w:hAnsi="Cambria"/>
          <w:sz w:val="23"/>
          <w:szCs w:val="23"/>
        </w:rPr>
        <w:t xml:space="preserve"> is used or stored and will continue to operate a consolidated set of security controls which are accredited under ISO 27001 and the Cyber Essentials scheme as modified or replaced from time to time.</w:t>
      </w:r>
    </w:p>
    <w:p w14:paraId="64239EAF" w14:textId="77777777" w:rsidR="000F47E6" w:rsidRDefault="000F47E6" w:rsidP="000F47E6">
      <w:pPr>
        <w:pStyle w:val="ListParagraph"/>
        <w:ind w:left="709"/>
        <w:jc w:val="both"/>
        <w:rPr>
          <w:rFonts w:ascii="Cambria" w:hAnsi="Cambria"/>
          <w:sz w:val="23"/>
          <w:szCs w:val="23"/>
        </w:rPr>
      </w:pPr>
    </w:p>
    <w:p w14:paraId="16B281F3" w14:textId="7BFA5222" w:rsidR="00063473" w:rsidRPr="00A31226" w:rsidRDefault="008875EF" w:rsidP="00A31226">
      <w:pPr>
        <w:pStyle w:val="ListParagraph"/>
        <w:numPr>
          <w:ilvl w:val="1"/>
          <w:numId w:val="4"/>
        </w:numPr>
        <w:ind w:left="709" w:hanging="709"/>
        <w:jc w:val="both"/>
        <w:rPr>
          <w:rFonts w:ascii="Cambria" w:hAnsi="Cambria"/>
          <w:sz w:val="23"/>
          <w:szCs w:val="23"/>
        </w:rPr>
      </w:pPr>
      <w:r>
        <w:rPr>
          <w:rFonts w:ascii="Cambria" w:hAnsi="Cambria"/>
          <w:sz w:val="23"/>
          <w:szCs w:val="23"/>
        </w:rPr>
        <w:t xml:space="preserve">The relevant members of the </w:t>
      </w:r>
      <w:r w:rsidR="000F47E6" w:rsidRPr="000F47E6">
        <w:rPr>
          <w:rFonts w:ascii="Cambria" w:hAnsi="Cambria"/>
          <w:sz w:val="23"/>
          <w:szCs w:val="23"/>
        </w:rPr>
        <w:t xml:space="preserve">Inmarsat </w:t>
      </w:r>
      <w:r>
        <w:rPr>
          <w:rFonts w:ascii="Cambria" w:hAnsi="Cambria"/>
          <w:sz w:val="23"/>
          <w:szCs w:val="23"/>
        </w:rPr>
        <w:t xml:space="preserve">Group </w:t>
      </w:r>
      <w:r w:rsidR="000F47E6" w:rsidRPr="000F47E6">
        <w:rPr>
          <w:rFonts w:ascii="Cambria" w:hAnsi="Cambria"/>
          <w:sz w:val="23"/>
          <w:szCs w:val="23"/>
        </w:rPr>
        <w:t xml:space="preserve">will </w:t>
      </w:r>
      <w:r w:rsidR="000F47E6">
        <w:rPr>
          <w:rFonts w:ascii="Cambria" w:hAnsi="Cambria"/>
          <w:sz w:val="23"/>
          <w:szCs w:val="23"/>
        </w:rPr>
        <w:t>comply with</w:t>
      </w:r>
      <w:r w:rsidR="000F47E6" w:rsidRPr="000F47E6">
        <w:rPr>
          <w:rFonts w:ascii="Cambria" w:hAnsi="Cambria"/>
          <w:sz w:val="23"/>
          <w:szCs w:val="23"/>
        </w:rPr>
        <w:t xml:space="preserve"> </w:t>
      </w:r>
      <w:r w:rsidR="00A31226">
        <w:rPr>
          <w:rFonts w:ascii="Cambria" w:hAnsi="Cambria"/>
          <w:sz w:val="23"/>
          <w:szCs w:val="23"/>
        </w:rPr>
        <w:t xml:space="preserve">the </w:t>
      </w:r>
      <w:r w:rsidR="000F47E6" w:rsidRPr="000F47E6">
        <w:rPr>
          <w:rFonts w:ascii="Cambria" w:hAnsi="Cambria"/>
          <w:sz w:val="23"/>
          <w:szCs w:val="23"/>
        </w:rPr>
        <w:t xml:space="preserve">applicable Security Aspects Arrangements </w:t>
      </w:r>
      <w:r w:rsidR="00A31226">
        <w:rPr>
          <w:rFonts w:ascii="Cambria" w:hAnsi="Cambria"/>
          <w:sz w:val="23"/>
          <w:szCs w:val="23"/>
        </w:rPr>
        <w:t xml:space="preserve">agreed </w:t>
      </w:r>
      <w:r w:rsidR="000F47E6" w:rsidRPr="000F47E6">
        <w:rPr>
          <w:rFonts w:ascii="Cambria" w:hAnsi="Cambria"/>
          <w:sz w:val="23"/>
          <w:szCs w:val="23"/>
        </w:rPr>
        <w:t xml:space="preserve">in respect of areas and matters relating to Sensitive Material </w:t>
      </w:r>
      <w:r w:rsidR="00A31226">
        <w:rPr>
          <w:rFonts w:ascii="Cambria" w:hAnsi="Cambria"/>
          <w:sz w:val="23"/>
          <w:szCs w:val="23"/>
        </w:rPr>
        <w:t xml:space="preserve">provided to Inmarsat Group by the Ministry of Defence in relation to the Specified Services </w:t>
      </w:r>
      <w:r>
        <w:rPr>
          <w:rFonts w:ascii="Cambria" w:hAnsi="Cambria"/>
          <w:sz w:val="23"/>
          <w:szCs w:val="23"/>
        </w:rPr>
        <w:t>or</w:t>
      </w:r>
      <w:r w:rsidR="000F47E6" w:rsidRPr="00A31226">
        <w:rPr>
          <w:rFonts w:ascii="Cambria" w:hAnsi="Cambria"/>
          <w:sz w:val="23"/>
          <w:szCs w:val="23"/>
        </w:rPr>
        <w:t xml:space="preserve"> other services provided by Inmarsat or its UK Subsidiaries as Government Contractors. </w:t>
      </w:r>
    </w:p>
    <w:p w14:paraId="61040A3F" w14:textId="77777777" w:rsidR="00A31226" w:rsidRPr="00A31226" w:rsidRDefault="00A31226" w:rsidP="00A31226">
      <w:pPr>
        <w:pStyle w:val="ListParagraph"/>
        <w:ind w:left="709"/>
        <w:jc w:val="both"/>
        <w:rPr>
          <w:rFonts w:ascii="Cambria" w:hAnsi="Cambria"/>
          <w:sz w:val="23"/>
          <w:szCs w:val="23"/>
        </w:rPr>
      </w:pPr>
    </w:p>
    <w:p w14:paraId="3FA01CB0" w14:textId="2CD08891" w:rsidR="00063473" w:rsidRDefault="008875EF" w:rsidP="00685CCB">
      <w:pPr>
        <w:pStyle w:val="ListParagraph"/>
        <w:numPr>
          <w:ilvl w:val="1"/>
          <w:numId w:val="4"/>
        </w:numPr>
        <w:ind w:left="709" w:hanging="709"/>
        <w:jc w:val="both"/>
        <w:rPr>
          <w:rFonts w:ascii="Cambria" w:hAnsi="Cambria"/>
          <w:sz w:val="23"/>
          <w:szCs w:val="23"/>
        </w:rPr>
      </w:pPr>
      <w:r>
        <w:rPr>
          <w:rFonts w:ascii="Cambria" w:hAnsi="Cambria"/>
          <w:sz w:val="23"/>
          <w:szCs w:val="23"/>
        </w:rPr>
        <w:t>For</w:t>
      </w:r>
      <w:r w:rsidR="000C0A2B" w:rsidRPr="00EC3E6C">
        <w:rPr>
          <w:rFonts w:ascii="Cambria" w:hAnsi="Cambria"/>
          <w:sz w:val="23"/>
          <w:szCs w:val="23"/>
        </w:rPr>
        <w:t xml:space="preserve"> so long as Inmarsat </w:t>
      </w:r>
      <w:r w:rsidR="000C0A2B">
        <w:rPr>
          <w:rFonts w:ascii="Cambria" w:hAnsi="Cambria"/>
          <w:sz w:val="23"/>
          <w:szCs w:val="23"/>
        </w:rPr>
        <w:t xml:space="preserve">Global Limited </w:t>
      </w:r>
      <w:r w:rsidR="000C0A2B" w:rsidRPr="00EC3E6C">
        <w:rPr>
          <w:rFonts w:ascii="Cambria" w:hAnsi="Cambria"/>
          <w:sz w:val="23"/>
          <w:szCs w:val="23"/>
        </w:rPr>
        <w:t>or any of its UK subsidiaries</w:t>
      </w:r>
      <w:r w:rsidR="00303DBA">
        <w:rPr>
          <w:rFonts w:ascii="Cambria" w:hAnsi="Cambria"/>
          <w:sz w:val="23"/>
          <w:szCs w:val="23"/>
        </w:rPr>
        <w:t xml:space="preserve"> (the “</w:t>
      </w:r>
      <w:r w:rsidR="00303DBA" w:rsidRPr="00AB56F5">
        <w:rPr>
          <w:rFonts w:ascii="Cambria" w:hAnsi="Cambria"/>
          <w:b/>
          <w:sz w:val="23"/>
          <w:szCs w:val="23"/>
        </w:rPr>
        <w:t>UK Group</w:t>
      </w:r>
      <w:r w:rsidR="00303DBA">
        <w:rPr>
          <w:rFonts w:ascii="Cambria" w:hAnsi="Cambria"/>
          <w:sz w:val="23"/>
          <w:szCs w:val="23"/>
        </w:rPr>
        <w:t>”)</w:t>
      </w:r>
      <w:r w:rsidR="000C0A2B" w:rsidRPr="00EC3E6C">
        <w:rPr>
          <w:rFonts w:ascii="Cambria" w:hAnsi="Cambria"/>
          <w:sz w:val="23"/>
          <w:szCs w:val="23"/>
        </w:rPr>
        <w:t xml:space="preserve"> </w:t>
      </w:r>
      <w:r w:rsidR="00FE4D6D">
        <w:rPr>
          <w:rFonts w:ascii="Cambria" w:hAnsi="Cambria"/>
          <w:sz w:val="23"/>
          <w:szCs w:val="23"/>
        </w:rPr>
        <w:t>holds or has access to Sensitive Material</w:t>
      </w:r>
      <w:r w:rsidR="000C0A2B">
        <w:rPr>
          <w:rFonts w:ascii="Cambria" w:hAnsi="Cambria"/>
          <w:sz w:val="23"/>
          <w:szCs w:val="23"/>
        </w:rPr>
        <w:t>:</w:t>
      </w:r>
    </w:p>
    <w:p w14:paraId="3451C19B" w14:textId="77777777" w:rsidR="00063473" w:rsidRPr="00063473" w:rsidRDefault="00063473" w:rsidP="00063473">
      <w:pPr>
        <w:pStyle w:val="ListParagraph"/>
        <w:ind w:left="709"/>
        <w:jc w:val="both"/>
        <w:rPr>
          <w:rFonts w:ascii="Cambria" w:hAnsi="Cambria"/>
          <w:sz w:val="23"/>
          <w:szCs w:val="23"/>
        </w:rPr>
      </w:pPr>
    </w:p>
    <w:p w14:paraId="0D6204AE" w14:textId="2029DDE6" w:rsidR="00E44F90" w:rsidRPr="00063473" w:rsidRDefault="00532E4F" w:rsidP="00063473">
      <w:pPr>
        <w:pStyle w:val="ListParagraph"/>
        <w:numPr>
          <w:ilvl w:val="2"/>
          <w:numId w:val="4"/>
        </w:numPr>
        <w:tabs>
          <w:tab w:val="left" w:pos="1418"/>
        </w:tabs>
        <w:ind w:left="1440" w:hanging="720"/>
        <w:jc w:val="both"/>
        <w:rPr>
          <w:rFonts w:ascii="Cambria" w:hAnsi="Cambria"/>
          <w:sz w:val="23"/>
          <w:szCs w:val="23"/>
        </w:rPr>
      </w:pPr>
      <w:r>
        <w:rPr>
          <w:rFonts w:ascii="Cambria" w:hAnsi="Cambria"/>
          <w:sz w:val="23"/>
          <w:szCs w:val="23"/>
        </w:rPr>
        <w:t>S</w:t>
      </w:r>
      <w:r w:rsidR="00303DBA">
        <w:rPr>
          <w:rFonts w:ascii="Cambria" w:hAnsi="Cambria"/>
          <w:sz w:val="23"/>
          <w:szCs w:val="23"/>
        </w:rPr>
        <w:t xml:space="preserve">uch </w:t>
      </w:r>
      <w:r w:rsidR="00EC6FBC" w:rsidRPr="00E44F90">
        <w:rPr>
          <w:rFonts w:ascii="Cambria" w:hAnsi="Cambria"/>
          <w:sz w:val="23"/>
          <w:szCs w:val="23"/>
        </w:rPr>
        <w:t xml:space="preserve">Sensitive Material will be handled </w:t>
      </w:r>
      <w:r w:rsidR="00303DBA">
        <w:rPr>
          <w:rFonts w:ascii="Cambria" w:hAnsi="Cambria"/>
          <w:sz w:val="23"/>
          <w:szCs w:val="23"/>
        </w:rPr>
        <w:t xml:space="preserve">by the applicable UK Group </w:t>
      </w:r>
      <w:r w:rsidR="00545218">
        <w:rPr>
          <w:rFonts w:ascii="Cambria" w:hAnsi="Cambria"/>
          <w:sz w:val="23"/>
          <w:szCs w:val="23"/>
        </w:rPr>
        <w:t>c</w:t>
      </w:r>
      <w:r w:rsidR="00303DBA">
        <w:rPr>
          <w:rFonts w:ascii="Cambria" w:hAnsi="Cambria"/>
          <w:sz w:val="23"/>
          <w:szCs w:val="23"/>
        </w:rPr>
        <w:t xml:space="preserve">ompanies </w:t>
      </w:r>
      <w:r w:rsidR="00EC6FBC" w:rsidRPr="00E44F90">
        <w:rPr>
          <w:rFonts w:ascii="Cambria" w:hAnsi="Cambria"/>
          <w:sz w:val="23"/>
          <w:szCs w:val="23"/>
        </w:rPr>
        <w:t>in</w:t>
      </w:r>
      <w:r w:rsidR="0057236B" w:rsidRPr="00E44F90">
        <w:rPr>
          <w:rFonts w:ascii="Cambria" w:hAnsi="Cambria"/>
          <w:sz w:val="23"/>
          <w:szCs w:val="23"/>
        </w:rPr>
        <w:t xml:space="preserve"> accordance with the relevant Security Aspects </w:t>
      </w:r>
      <w:r w:rsidR="00D96AAF" w:rsidRPr="00E44F90">
        <w:rPr>
          <w:rFonts w:ascii="Cambria" w:hAnsi="Cambria"/>
          <w:sz w:val="23"/>
          <w:szCs w:val="23"/>
        </w:rPr>
        <w:t xml:space="preserve">Arrangements, </w:t>
      </w:r>
      <w:r w:rsidR="00EC6FBC" w:rsidRPr="00E44F90">
        <w:rPr>
          <w:rFonts w:ascii="Cambria" w:hAnsi="Cambria"/>
          <w:sz w:val="23"/>
          <w:szCs w:val="23"/>
        </w:rPr>
        <w:t xml:space="preserve">and </w:t>
      </w:r>
      <w:r w:rsidR="00063473">
        <w:rPr>
          <w:rFonts w:ascii="Cambria" w:hAnsi="Cambria"/>
          <w:sz w:val="23"/>
          <w:szCs w:val="23"/>
        </w:rPr>
        <w:t>transfer</w:t>
      </w:r>
      <w:r w:rsidR="00A31226">
        <w:rPr>
          <w:rFonts w:ascii="Cambria" w:hAnsi="Cambria"/>
          <w:sz w:val="23"/>
          <w:szCs w:val="23"/>
        </w:rPr>
        <w:t>s</w:t>
      </w:r>
      <w:r w:rsidR="00063473">
        <w:rPr>
          <w:rFonts w:ascii="Cambria" w:hAnsi="Cambria"/>
          <w:sz w:val="23"/>
          <w:szCs w:val="23"/>
        </w:rPr>
        <w:t xml:space="preserve"> or disclosure</w:t>
      </w:r>
      <w:r w:rsidR="00A31226">
        <w:rPr>
          <w:rFonts w:ascii="Cambria" w:hAnsi="Cambria"/>
          <w:sz w:val="23"/>
          <w:szCs w:val="23"/>
        </w:rPr>
        <w:t>s</w:t>
      </w:r>
      <w:r w:rsidR="00063473">
        <w:rPr>
          <w:rFonts w:ascii="Cambria" w:hAnsi="Cambria"/>
          <w:sz w:val="23"/>
          <w:szCs w:val="23"/>
        </w:rPr>
        <w:t xml:space="preserve"> of Sensitive Material within the Inmarsat Group or to Connect </w:t>
      </w:r>
      <w:proofErr w:type="spellStart"/>
      <w:r w:rsidR="00063473">
        <w:rPr>
          <w:rFonts w:ascii="Cambria" w:hAnsi="Cambria"/>
          <w:sz w:val="23"/>
          <w:szCs w:val="23"/>
        </w:rPr>
        <w:t>Bidco</w:t>
      </w:r>
      <w:proofErr w:type="spellEnd"/>
      <w:r w:rsidR="00063473">
        <w:rPr>
          <w:rFonts w:ascii="Cambria" w:hAnsi="Cambria"/>
          <w:sz w:val="23"/>
          <w:szCs w:val="23"/>
        </w:rPr>
        <w:t xml:space="preserve">, any Consortium Member or </w:t>
      </w:r>
      <w:r w:rsidR="0003146E">
        <w:rPr>
          <w:rFonts w:ascii="Cambria" w:hAnsi="Cambria"/>
          <w:sz w:val="23"/>
          <w:szCs w:val="23"/>
        </w:rPr>
        <w:t xml:space="preserve">any </w:t>
      </w:r>
      <w:r w:rsidR="00063473">
        <w:rPr>
          <w:rFonts w:ascii="Cambria" w:hAnsi="Cambria"/>
          <w:sz w:val="23"/>
          <w:szCs w:val="23"/>
        </w:rPr>
        <w:t xml:space="preserve">third party will </w:t>
      </w:r>
      <w:r w:rsidR="00A31226">
        <w:rPr>
          <w:rFonts w:ascii="Cambria" w:hAnsi="Cambria"/>
          <w:sz w:val="23"/>
          <w:szCs w:val="23"/>
        </w:rPr>
        <w:t xml:space="preserve">not </w:t>
      </w:r>
      <w:r w:rsidR="00063473">
        <w:rPr>
          <w:rFonts w:ascii="Cambria" w:hAnsi="Cambria"/>
          <w:sz w:val="23"/>
          <w:szCs w:val="23"/>
        </w:rPr>
        <w:t xml:space="preserve">be made </w:t>
      </w:r>
      <w:r w:rsidR="00A31226">
        <w:rPr>
          <w:rFonts w:ascii="Cambria" w:hAnsi="Cambria"/>
          <w:sz w:val="23"/>
          <w:szCs w:val="23"/>
        </w:rPr>
        <w:t xml:space="preserve">other than </w:t>
      </w:r>
      <w:r w:rsidR="00063473">
        <w:rPr>
          <w:rFonts w:ascii="Cambria" w:hAnsi="Cambria"/>
          <w:sz w:val="23"/>
          <w:szCs w:val="23"/>
        </w:rPr>
        <w:t xml:space="preserve">in accordance with the provisions of the relevant agreement or </w:t>
      </w:r>
      <w:r w:rsidR="00D96AAF" w:rsidRPr="00063473">
        <w:rPr>
          <w:rFonts w:ascii="Cambria" w:hAnsi="Cambria"/>
          <w:sz w:val="23"/>
          <w:szCs w:val="23"/>
        </w:rPr>
        <w:t xml:space="preserve">otherwise with the written </w:t>
      </w:r>
      <w:r w:rsidR="007D6406" w:rsidRPr="00063473">
        <w:rPr>
          <w:rFonts w:ascii="Cambria" w:hAnsi="Cambria"/>
          <w:sz w:val="23"/>
          <w:szCs w:val="23"/>
        </w:rPr>
        <w:t>approval of the Ministry of Defence</w:t>
      </w:r>
      <w:r w:rsidR="00B33583" w:rsidRPr="00063473">
        <w:rPr>
          <w:rFonts w:ascii="Cambria" w:hAnsi="Cambria"/>
          <w:sz w:val="23"/>
          <w:szCs w:val="23"/>
        </w:rPr>
        <w:t xml:space="preserve">. </w:t>
      </w:r>
    </w:p>
    <w:p w14:paraId="1342925B" w14:textId="77777777" w:rsidR="00E44F90" w:rsidRDefault="00E44F90" w:rsidP="00E44F90">
      <w:pPr>
        <w:pStyle w:val="ListParagraph"/>
        <w:tabs>
          <w:tab w:val="left" w:pos="1418"/>
        </w:tabs>
        <w:ind w:left="1440"/>
        <w:jc w:val="both"/>
        <w:rPr>
          <w:rFonts w:ascii="Cambria" w:hAnsi="Cambria"/>
          <w:sz w:val="23"/>
          <w:szCs w:val="23"/>
        </w:rPr>
      </w:pPr>
    </w:p>
    <w:p w14:paraId="18CDB744" w14:textId="733A28B2" w:rsidR="00E44F90" w:rsidRDefault="003B37F1" w:rsidP="00E44F90">
      <w:pPr>
        <w:pStyle w:val="ListParagraph"/>
        <w:numPr>
          <w:ilvl w:val="2"/>
          <w:numId w:val="4"/>
        </w:numPr>
        <w:tabs>
          <w:tab w:val="left" w:pos="1418"/>
        </w:tabs>
        <w:ind w:left="1440" w:hanging="720"/>
        <w:jc w:val="both"/>
        <w:rPr>
          <w:rFonts w:ascii="Cambria" w:hAnsi="Cambria"/>
          <w:sz w:val="23"/>
          <w:szCs w:val="23"/>
        </w:rPr>
      </w:pPr>
      <w:r w:rsidRPr="00E44F90">
        <w:rPr>
          <w:rFonts w:ascii="Cambria" w:hAnsi="Cambria"/>
          <w:sz w:val="23"/>
          <w:szCs w:val="23"/>
        </w:rPr>
        <w:t xml:space="preserve">Only personnel with </w:t>
      </w:r>
      <w:r w:rsidR="00B33583" w:rsidRPr="00E44F90">
        <w:rPr>
          <w:rFonts w:ascii="Cambria" w:hAnsi="Cambria"/>
          <w:sz w:val="23"/>
          <w:szCs w:val="23"/>
        </w:rPr>
        <w:t>the relevant</w:t>
      </w:r>
      <w:r w:rsidRPr="00E44F90">
        <w:rPr>
          <w:rFonts w:ascii="Cambria" w:hAnsi="Cambria"/>
          <w:sz w:val="23"/>
          <w:szCs w:val="23"/>
        </w:rPr>
        <w:t xml:space="preserve"> clearance will have access to a List X Area, unless the Ministry of Defence has granted prior written approval</w:t>
      </w:r>
      <w:r w:rsidR="00D81D9C">
        <w:rPr>
          <w:rFonts w:ascii="Cambria" w:hAnsi="Cambria"/>
          <w:sz w:val="23"/>
          <w:szCs w:val="23"/>
        </w:rPr>
        <w:t xml:space="preserve"> for the relevant individual</w:t>
      </w:r>
      <w:r w:rsidRPr="00E44F90">
        <w:rPr>
          <w:rFonts w:ascii="Cambria" w:hAnsi="Cambria"/>
          <w:sz w:val="23"/>
          <w:szCs w:val="23"/>
        </w:rPr>
        <w:t xml:space="preserve">. </w:t>
      </w:r>
    </w:p>
    <w:p w14:paraId="3C3249FE" w14:textId="77777777" w:rsidR="00E44F90" w:rsidRDefault="00E44F90" w:rsidP="00E44F90">
      <w:pPr>
        <w:pStyle w:val="ListParagraph"/>
        <w:tabs>
          <w:tab w:val="left" w:pos="1418"/>
        </w:tabs>
        <w:ind w:left="1440"/>
        <w:jc w:val="both"/>
        <w:rPr>
          <w:rFonts w:ascii="Cambria" w:hAnsi="Cambria"/>
          <w:sz w:val="23"/>
          <w:szCs w:val="23"/>
        </w:rPr>
      </w:pPr>
    </w:p>
    <w:p w14:paraId="41A09292" w14:textId="59414020" w:rsidR="000F47E6" w:rsidRPr="00A31226" w:rsidRDefault="000C0A2B" w:rsidP="00A31226">
      <w:pPr>
        <w:pStyle w:val="ListParagraph"/>
        <w:numPr>
          <w:ilvl w:val="2"/>
          <w:numId w:val="4"/>
        </w:numPr>
        <w:tabs>
          <w:tab w:val="left" w:pos="1418"/>
        </w:tabs>
        <w:ind w:left="1440" w:hanging="720"/>
        <w:jc w:val="both"/>
        <w:rPr>
          <w:rFonts w:ascii="Cambria" w:hAnsi="Cambria"/>
          <w:sz w:val="23"/>
          <w:szCs w:val="23"/>
        </w:rPr>
      </w:pPr>
      <w:r w:rsidRPr="00E44F90">
        <w:rPr>
          <w:rFonts w:ascii="Cambria" w:hAnsi="Cambria"/>
          <w:sz w:val="23"/>
          <w:szCs w:val="23"/>
        </w:rPr>
        <w:t xml:space="preserve">The relevant </w:t>
      </w:r>
      <w:r w:rsidR="00303DBA">
        <w:rPr>
          <w:rFonts w:ascii="Cambria" w:hAnsi="Cambria"/>
          <w:sz w:val="23"/>
          <w:szCs w:val="23"/>
        </w:rPr>
        <w:t xml:space="preserve">UK </w:t>
      </w:r>
      <w:r w:rsidRPr="00E44F90">
        <w:rPr>
          <w:rFonts w:ascii="Cambria" w:hAnsi="Cambria"/>
          <w:sz w:val="23"/>
          <w:szCs w:val="23"/>
        </w:rPr>
        <w:t xml:space="preserve">Group companies will comply </w:t>
      </w:r>
      <w:r w:rsidR="00C03E4F" w:rsidRPr="00E44F90">
        <w:rPr>
          <w:rFonts w:ascii="Cambria" w:hAnsi="Cambria"/>
          <w:sz w:val="23"/>
          <w:szCs w:val="23"/>
        </w:rPr>
        <w:t>with the Cabinet Office guidance “</w:t>
      </w:r>
      <w:r w:rsidR="009B6288" w:rsidRPr="00E44F90">
        <w:rPr>
          <w:rFonts w:ascii="Cambria" w:hAnsi="Cambria"/>
          <w:i/>
          <w:sz w:val="23"/>
          <w:szCs w:val="23"/>
        </w:rPr>
        <w:t>Industrial Security – Departmental Responsibilities Version 10.1 May 2018</w:t>
      </w:r>
      <w:r w:rsidR="009B6288" w:rsidRPr="00E44F90">
        <w:rPr>
          <w:rFonts w:ascii="Cambria" w:hAnsi="Cambria"/>
          <w:sz w:val="23"/>
          <w:szCs w:val="23"/>
        </w:rPr>
        <w:t xml:space="preserve">” </w:t>
      </w:r>
      <w:r w:rsidR="00EC6FBC" w:rsidRPr="00E44F90">
        <w:rPr>
          <w:rFonts w:ascii="Cambria" w:hAnsi="Cambria"/>
          <w:sz w:val="23"/>
          <w:szCs w:val="23"/>
        </w:rPr>
        <w:t xml:space="preserve">as amended or replaced from time to time, </w:t>
      </w:r>
      <w:r w:rsidR="00624A41" w:rsidRPr="00E44F90">
        <w:rPr>
          <w:rFonts w:ascii="Cambria" w:hAnsi="Cambria"/>
          <w:sz w:val="23"/>
          <w:szCs w:val="23"/>
        </w:rPr>
        <w:t xml:space="preserve">in respect </w:t>
      </w:r>
      <w:r w:rsidR="00EC6FBC" w:rsidRPr="00E44F90">
        <w:rPr>
          <w:rFonts w:ascii="Cambria" w:hAnsi="Cambria"/>
          <w:sz w:val="23"/>
          <w:szCs w:val="23"/>
        </w:rPr>
        <w:t>to the handling of S</w:t>
      </w:r>
      <w:r w:rsidR="00624A41" w:rsidRPr="00E44F90">
        <w:rPr>
          <w:rFonts w:ascii="Cambria" w:hAnsi="Cambria"/>
          <w:sz w:val="23"/>
          <w:szCs w:val="23"/>
        </w:rPr>
        <w:t>ensitive Material</w:t>
      </w:r>
      <w:r w:rsidR="00063473">
        <w:rPr>
          <w:rFonts w:ascii="Cambria" w:hAnsi="Cambria"/>
          <w:sz w:val="23"/>
          <w:szCs w:val="23"/>
        </w:rPr>
        <w:t xml:space="preserve"> provided to </w:t>
      </w:r>
      <w:r w:rsidR="00A31226">
        <w:rPr>
          <w:rFonts w:ascii="Cambria" w:hAnsi="Cambria"/>
          <w:sz w:val="23"/>
          <w:szCs w:val="23"/>
        </w:rPr>
        <w:t xml:space="preserve">such </w:t>
      </w:r>
      <w:r w:rsidR="00063473">
        <w:rPr>
          <w:rFonts w:ascii="Cambria" w:hAnsi="Cambria"/>
          <w:sz w:val="23"/>
          <w:szCs w:val="23"/>
        </w:rPr>
        <w:t xml:space="preserve">Inmarsat </w:t>
      </w:r>
      <w:r w:rsidR="00A31226">
        <w:rPr>
          <w:rFonts w:ascii="Cambria" w:hAnsi="Cambria"/>
          <w:sz w:val="23"/>
          <w:szCs w:val="23"/>
        </w:rPr>
        <w:t xml:space="preserve">Group companies </w:t>
      </w:r>
      <w:r w:rsidR="00063473">
        <w:rPr>
          <w:rFonts w:ascii="Cambria" w:hAnsi="Cambria"/>
          <w:sz w:val="23"/>
          <w:szCs w:val="23"/>
        </w:rPr>
        <w:t>in connection with the Specified Services.</w:t>
      </w:r>
    </w:p>
    <w:p w14:paraId="541A1390" w14:textId="77777777" w:rsidR="00163B88" w:rsidRDefault="00163B88" w:rsidP="00163B88">
      <w:pPr>
        <w:pStyle w:val="ListParagraph"/>
        <w:ind w:left="0"/>
        <w:jc w:val="both"/>
        <w:rPr>
          <w:rFonts w:ascii="Cambria" w:hAnsi="Cambria"/>
          <w:sz w:val="23"/>
          <w:szCs w:val="23"/>
        </w:rPr>
      </w:pPr>
    </w:p>
    <w:p w14:paraId="78FEBE32" w14:textId="57309E14" w:rsidR="00B62627" w:rsidRPr="00EC3E6C" w:rsidRDefault="008875EF" w:rsidP="0059693F">
      <w:pPr>
        <w:pStyle w:val="ListParagraph"/>
        <w:numPr>
          <w:ilvl w:val="1"/>
          <w:numId w:val="4"/>
        </w:numPr>
        <w:ind w:left="709" w:hanging="709"/>
        <w:jc w:val="both"/>
        <w:rPr>
          <w:rFonts w:ascii="Cambria" w:hAnsi="Cambria"/>
          <w:sz w:val="23"/>
          <w:szCs w:val="23"/>
        </w:rPr>
      </w:pPr>
      <w:r>
        <w:rPr>
          <w:rFonts w:ascii="Cambria" w:hAnsi="Cambria"/>
          <w:sz w:val="23"/>
          <w:szCs w:val="23"/>
        </w:rPr>
        <w:t>For</w:t>
      </w:r>
      <w:r w:rsidR="00FF34B3" w:rsidRPr="00EC3E6C">
        <w:rPr>
          <w:rFonts w:ascii="Cambria" w:hAnsi="Cambria"/>
          <w:sz w:val="23"/>
          <w:szCs w:val="23"/>
        </w:rPr>
        <w:t xml:space="preserve"> so long as Inmarsat </w:t>
      </w:r>
      <w:r w:rsidR="00FD0E6E">
        <w:rPr>
          <w:rFonts w:ascii="Cambria" w:hAnsi="Cambria"/>
          <w:sz w:val="23"/>
          <w:szCs w:val="23"/>
        </w:rPr>
        <w:t xml:space="preserve">Global Limited </w:t>
      </w:r>
      <w:r w:rsidR="00FF34B3" w:rsidRPr="00EC3E6C">
        <w:rPr>
          <w:rFonts w:ascii="Cambria" w:hAnsi="Cambria"/>
          <w:sz w:val="23"/>
          <w:szCs w:val="23"/>
        </w:rPr>
        <w:t xml:space="preserve">or any of its UK subsidiaries is </w:t>
      </w:r>
      <w:r w:rsidR="00B1304F" w:rsidRPr="00B1304F">
        <w:rPr>
          <w:rFonts w:ascii="Cambria" w:hAnsi="Cambria"/>
          <w:sz w:val="23"/>
          <w:szCs w:val="23"/>
        </w:rPr>
        <w:t>contracted</w:t>
      </w:r>
      <w:r w:rsidR="00312A6E">
        <w:rPr>
          <w:rFonts w:ascii="Cambria" w:hAnsi="Cambria"/>
          <w:sz w:val="23"/>
          <w:szCs w:val="23"/>
        </w:rPr>
        <w:t xml:space="preserve"> </w:t>
      </w:r>
      <w:r w:rsidR="005D715A">
        <w:rPr>
          <w:rFonts w:ascii="Cambria" w:hAnsi="Cambria"/>
          <w:sz w:val="23"/>
          <w:szCs w:val="23"/>
        </w:rPr>
        <w:t xml:space="preserve">in the supply chain for the provision of </w:t>
      </w:r>
      <w:r w:rsidR="00F36A24">
        <w:rPr>
          <w:rFonts w:ascii="Cambria" w:hAnsi="Cambria"/>
          <w:sz w:val="23"/>
          <w:szCs w:val="23"/>
        </w:rPr>
        <w:t>Specified Services to the Ministry of Defence</w:t>
      </w:r>
      <w:r w:rsidR="00B6341B">
        <w:rPr>
          <w:rFonts w:ascii="Cambria" w:hAnsi="Cambria"/>
          <w:sz w:val="23"/>
          <w:szCs w:val="23"/>
        </w:rPr>
        <w:t xml:space="preserve"> and is a List X Contractor</w:t>
      </w:r>
      <w:r w:rsidR="007A1773" w:rsidRPr="00EC3E6C">
        <w:rPr>
          <w:rFonts w:ascii="Cambria" w:hAnsi="Cambria"/>
          <w:sz w:val="23"/>
          <w:szCs w:val="23"/>
        </w:rPr>
        <w:t xml:space="preserve">: </w:t>
      </w:r>
    </w:p>
    <w:p w14:paraId="168D3CB1" w14:textId="630EEA1E" w:rsidR="007A1773" w:rsidRDefault="007A1773" w:rsidP="00FF34B3">
      <w:pPr>
        <w:pStyle w:val="ListParagraph"/>
        <w:ind w:left="360"/>
        <w:jc w:val="both"/>
        <w:rPr>
          <w:rFonts w:ascii="Cambria" w:hAnsi="Cambria"/>
          <w:sz w:val="23"/>
          <w:szCs w:val="23"/>
        </w:rPr>
      </w:pPr>
    </w:p>
    <w:p w14:paraId="658C0CE8" w14:textId="3745EF81" w:rsidR="00A64365" w:rsidRDefault="00885FDB" w:rsidP="00941179">
      <w:pPr>
        <w:pStyle w:val="ListParagraph"/>
        <w:numPr>
          <w:ilvl w:val="0"/>
          <w:numId w:val="16"/>
        </w:numPr>
        <w:jc w:val="both"/>
        <w:rPr>
          <w:rFonts w:ascii="Cambria" w:hAnsi="Cambria"/>
          <w:sz w:val="23"/>
          <w:szCs w:val="23"/>
        </w:rPr>
      </w:pPr>
      <w:r w:rsidRPr="00FF34B3">
        <w:rPr>
          <w:rFonts w:ascii="Cambria" w:hAnsi="Cambria"/>
          <w:sz w:val="23"/>
          <w:szCs w:val="23"/>
        </w:rPr>
        <w:t xml:space="preserve">at least </w:t>
      </w:r>
      <w:r w:rsidR="006C2DEC" w:rsidRPr="00FF34B3">
        <w:rPr>
          <w:rFonts w:ascii="Cambria" w:hAnsi="Cambria"/>
          <w:sz w:val="23"/>
          <w:szCs w:val="23"/>
        </w:rPr>
        <w:t xml:space="preserve">50% </w:t>
      </w:r>
      <w:r w:rsidRPr="00FF34B3">
        <w:rPr>
          <w:rFonts w:ascii="Cambria" w:hAnsi="Cambria"/>
          <w:sz w:val="23"/>
          <w:szCs w:val="23"/>
        </w:rPr>
        <w:t xml:space="preserve">of the Directors on the </w:t>
      </w:r>
      <w:r w:rsidR="00F84AD0">
        <w:rPr>
          <w:rFonts w:ascii="Cambria" w:hAnsi="Cambria"/>
          <w:sz w:val="23"/>
          <w:szCs w:val="23"/>
        </w:rPr>
        <w:t xml:space="preserve">Board of </w:t>
      </w:r>
      <w:r w:rsidRPr="00FF34B3">
        <w:rPr>
          <w:rFonts w:ascii="Cambria" w:hAnsi="Cambria"/>
          <w:sz w:val="23"/>
          <w:szCs w:val="23"/>
        </w:rPr>
        <w:t xml:space="preserve">Inmarsat </w:t>
      </w:r>
      <w:r w:rsidR="00FD0E6E">
        <w:rPr>
          <w:rFonts w:ascii="Cambria" w:hAnsi="Cambria"/>
          <w:sz w:val="23"/>
          <w:szCs w:val="23"/>
        </w:rPr>
        <w:t>Global Limited</w:t>
      </w:r>
      <w:r w:rsidR="00887C08">
        <w:rPr>
          <w:rFonts w:ascii="Cambria" w:hAnsi="Cambria"/>
          <w:sz w:val="23"/>
          <w:szCs w:val="23"/>
        </w:rPr>
        <w:t xml:space="preserve"> </w:t>
      </w:r>
      <w:r w:rsidRPr="00FF34B3">
        <w:rPr>
          <w:rFonts w:ascii="Cambria" w:hAnsi="Cambria"/>
          <w:sz w:val="23"/>
          <w:szCs w:val="23"/>
        </w:rPr>
        <w:t>will be</w:t>
      </w:r>
      <w:r w:rsidR="00FF34B3">
        <w:rPr>
          <w:rFonts w:ascii="Cambria" w:hAnsi="Cambria"/>
          <w:sz w:val="23"/>
          <w:szCs w:val="23"/>
        </w:rPr>
        <w:t xml:space="preserve"> </w:t>
      </w:r>
      <w:r w:rsidR="0045178C">
        <w:rPr>
          <w:rFonts w:ascii="Cambria" w:hAnsi="Cambria"/>
          <w:sz w:val="23"/>
          <w:szCs w:val="23"/>
        </w:rPr>
        <w:t>British n</w:t>
      </w:r>
      <w:r w:rsidR="00FF34B3">
        <w:rPr>
          <w:rFonts w:ascii="Cambria" w:hAnsi="Cambria"/>
          <w:sz w:val="23"/>
          <w:szCs w:val="23"/>
        </w:rPr>
        <w:t>ationals and</w:t>
      </w:r>
      <w:r w:rsidRPr="00FF34B3">
        <w:rPr>
          <w:rFonts w:ascii="Cambria" w:hAnsi="Cambria"/>
          <w:sz w:val="23"/>
          <w:szCs w:val="23"/>
        </w:rPr>
        <w:t xml:space="preserve"> resident in the UK</w:t>
      </w:r>
      <w:r w:rsidR="00D2661A">
        <w:rPr>
          <w:rFonts w:ascii="Cambria" w:hAnsi="Cambria"/>
          <w:sz w:val="23"/>
          <w:szCs w:val="23"/>
        </w:rPr>
        <w:t>,</w:t>
      </w:r>
      <w:r w:rsidR="00AB3BEC" w:rsidRPr="00FF34B3">
        <w:rPr>
          <w:rFonts w:ascii="Cambria" w:hAnsi="Cambria"/>
          <w:sz w:val="23"/>
          <w:szCs w:val="23"/>
        </w:rPr>
        <w:t xml:space="preserve"> except insofar as the Ministry of Defence has separately agreed in writing</w:t>
      </w:r>
      <w:r w:rsidR="00FF34B3">
        <w:rPr>
          <w:rFonts w:ascii="Cambria" w:hAnsi="Cambria"/>
          <w:sz w:val="23"/>
          <w:szCs w:val="23"/>
        </w:rPr>
        <w:t xml:space="preserve">; </w:t>
      </w:r>
      <w:r w:rsidR="005B4587">
        <w:rPr>
          <w:rFonts w:ascii="Cambria" w:hAnsi="Cambria"/>
          <w:sz w:val="23"/>
          <w:szCs w:val="23"/>
        </w:rPr>
        <w:t xml:space="preserve">  </w:t>
      </w:r>
    </w:p>
    <w:p w14:paraId="18842D96" w14:textId="0D027D40" w:rsidR="00D2661A" w:rsidRDefault="00D2661A" w:rsidP="00D2661A">
      <w:pPr>
        <w:pStyle w:val="ListParagraph"/>
        <w:ind w:left="709"/>
        <w:jc w:val="both"/>
        <w:rPr>
          <w:rFonts w:ascii="Cambria" w:hAnsi="Cambria"/>
          <w:sz w:val="23"/>
          <w:szCs w:val="23"/>
        </w:rPr>
      </w:pPr>
    </w:p>
    <w:p w14:paraId="6E2CFA9A" w14:textId="5561C02A" w:rsidR="00D2661A" w:rsidRDefault="00CC6E67" w:rsidP="00941179">
      <w:pPr>
        <w:pStyle w:val="ListParagraph"/>
        <w:numPr>
          <w:ilvl w:val="0"/>
          <w:numId w:val="16"/>
        </w:numPr>
        <w:jc w:val="both"/>
        <w:rPr>
          <w:rFonts w:ascii="Cambria" w:hAnsi="Cambria"/>
          <w:sz w:val="23"/>
          <w:szCs w:val="23"/>
        </w:rPr>
      </w:pPr>
      <w:r>
        <w:rPr>
          <w:rFonts w:ascii="Cambria" w:hAnsi="Cambria"/>
          <w:sz w:val="23"/>
          <w:szCs w:val="23"/>
        </w:rPr>
        <w:t xml:space="preserve">if and when appointed, </w:t>
      </w:r>
      <w:r w:rsidR="00D2661A" w:rsidRPr="00FF34B3">
        <w:rPr>
          <w:rFonts w:ascii="Cambria" w:hAnsi="Cambria"/>
          <w:sz w:val="23"/>
          <w:szCs w:val="23"/>
        </w:rPr>
        <w:t xml:space="preserve">the </w:t>
      </w:r>
      <w:r w:rsidR="00D978D5">
        <w:rPr>
          <w:rFonts w:ascii="Cambria" w:hAnsi="Cambria"/>
          <w:sz w:val="23"/>
          <w:szCs w:val="23"/>
        </w:rPr>
        <w:t>C</w:t>
      </w:r>
      <w:r w:rsidR="00D978D5" w:rsidRPr="00FF34B3">
        <w:rPr>
          <w:rFonts w:ascii="Cambria" w:hAnsi="Cambria"/>
          <w:sz w:val="23"/>
          <w:szCs w:val="23"/>
        </w:rPr>
        <w:t xml:space="preserve">hairman </w:t>
      </w:r>
      <w:r w:rsidR="00D2661A" w:rsidRPr="00FF34B3">
        <w:rPr>
          <w:rFonts w:ascii="Cambria" w:hAnsi="Cambria"/>
          <w:sz w:val="23"/>
          <w:szCs w:val="23"/>
        </w:rPr>
        <w:t xml:space="preserve">of </w:t>
      </w:r>
      <w:r w:rsidR="00F84AD0">
        <w:rPr>
          <w:rFonts w:ascii="Cambria" w:hAnsi="Cambria"/>
          <w:sz w:val="23"/>
          <w:szCs w:val="23"/>
        </w:rPr>
        <w:t xml:space="preserve">the Board of </w:t>
      </w:r>
      <w:r w:rsidR="00D2661A" w:rsidRPr="00FF34B3">
        <w:rPr>
          <w:rFonts w:ascii="Cambria" w:hAnsi="Cambria"/>
          <w:sz w:val="23"/>
          <w:szCs w:val="23"/>
        </w:rPr>
        <w:t xml:space="preserve">Inmarsat </w:t>
      </w:r>
      <w:r w:rsidR="00FD0E6E">
        <w:rPr>
          <w:rFonts w:ascii="Cambria" w:hAnsi="Cambria"/>
          <w:sz w:val="23"/>
          <w:szCs w:val="23"/>
        </w:rPr>
        <w:t>Global Limited</w:t>
      </w:r>
      <w:r w:rsidR="00887C08">
        <w:rPr>
          <w:rFonts w:ascii="Cambria" w:hAnsi="Cambria"/>
          <w:sz w:val="23"/>
          <w:szCs w:val="23"/>
        </w:rPr>
        <w:t xml:space="preserve"> </w:t>
      </w:r>
      <w:r w:rsidR="00D2661A" w:rsidRPr="00FF34B3">
        <w:rPr>
          <w:rFonts w:ascii="Cambria" w:hAnsi="Cambria"/>
          <w:sz w:val="23"/>
          <w:szCs w:val="23"/>
        </w:rPr>
        <w:t xml:space="preserve">will be a British </w:t>
      </w:r>
      <w:r w:rsidR="001903A9">
        <w:rPr>
          <w:rFonts w:ascii="Cambria" w:hAnsi="Cambria"/>
          <w:sz w:val="23"/>
          <w:szCs w:val="23"/>
        </w:rPr>
        <w:t>n</w:t>
      </w:r>
      <w:r w:rsidR="00D2661A" w:rsidRPr="00FF34B3">
        <w:rPr>
          <w:rFonts w:ascii="Cambria" w:hAnsi="Cambria"/>
          <w:sz w:val="23"/>
          <w:szCs w:val="23"/>
        </w:rPr>
        <w:t>ational</w:t>
      </w:r>
      <w:r w:rsidR="00D9240C">
        <w:rPr>
          <w:rFonts w:ascii="Cambria" w:hAnsi="Cambria"/>
          <w:sz w:val="23"/>
          <w:szCs w:val="23"/>
        </w:rPr>
        <w:t>;</w:t>
      </w:r>
      <w:r>
        <w:rPr>
          <w:rFonts w:ascii="Cambria" w:hAnsi="Cambria"/>
          <w:sz w:val="23"/>
          <w:szCs w:val="23"/>
        </w:rPr>
        <w:t xml:space="preserve"> </w:t>
      </w:r>
    </w:p>
    <w:p w14:paraId="74FD9645" w14:textId="42B9207C" w:rsidR="00FF34B3" w:rsidRDefault="00FF34B3" w:rsidP="00FF34B3">
      <w:pPr>
        <w:pStyle w:val="ListParagraph"/>
        <w:ind w:left="709"/>
        <w:jc w:val="both"/>
        <w:rPr>
          <w:rFonts w:ascii="Cambria" w:hAnsi="Cambria"/>
          <w:sz w:val="23"/>
          <w:szCs w:val="23"/>
        </w:rPr>
      </w:pPr>
    </w:p>
    <w:p w14:paraId="4C86F025" w14:textId="36E183BE" w:rsidR="00456671" w:rsidRDefault="00456671" w:rsidP="00941179">
      <w:pPr>
        <w:pStyle w:val="ListParagraph"/>
        <w:numPr>
          <w:ilvl w:val="0"/>
          <w:numId w:val="16"/>
        </w:numPr>
        <w:jc w:val="both"/>
        <w:rPr>
          <w:rFonts w:ascii="Cambria" w:hAnsi="Cambria"/>
          <w:sz w:val="23"/>
          <w:szCs w:val="23"/>
        </w:rPr>
      </w:pPr>
      <w:r>
        <w:rPr>
          <w:rFonts w:ascii="Cambria" w:hAnsi="Cambria"/>
          <w:sz w:val="23"/>
          <w:szCs w:val="23"/>
        </w:rPr>
        <w:t>a sub-committee of the Board of Inmarsat</w:t>
      </w:r>
      <w:r w:rsidR="00FD0E6E">
        <w:rPr>
          <w:rFonts w:ascii="Cambria" w:hAnsi="Cambria"/>
          <w:sz w:val="23"/>
          <w:szCs w:val="23"/>
        </w:rPr>
        <w:t xml:space="preserve"> Global Limited</w:t>
      </w:r>
      <w:r w:rsidR="00CC6E67">
        <w:rPr>
          <w:rFonts w:ascii="Cambria" w:hAnsi="Cambria"/>
          <w:sz w:val="23"/>
          <w:szCs w:val="23"/>
        </w:rPr>
        <w:t xml:space="preserve"> or any relevant UK operating subsidiary</w:t>
      </w:r>
      <w:r w:rsidR="009E1893">
        <w:rPr>
          <w:rFonts w:ascii="Cambria" w:hAnsi="Cambria"/>
          <w:sz w:val="23"/>
          <w:szCs w:val="23"/>
        </w:rPr>
        <w:t xml:space="preserve">, </w:t>
      </w:r>
      <w:r w:rsidR="00821264">
        <w:rPr>
          <w:rFonts w:ascii="Cambria" w:hAnsi="Cambria"/>
          <w:sz w:val="23"/>
          <w:szCs w:val="23"/>
        </w:rPr>
        <w:t>comprised of</w:t>
      </w:r>
      <w:r w:rsidR="009E1893">
        <w:rPr>
          <w:rFonts w:ascii="Cambria" w:hAnsi="Cambria"/>
          <w:sz w:val="23"/>
          <w:szCs w:val="23"/>
        </w:rPr>
        <w:t xml:space="preserve"> a sufficient number of </w:t>
      </w:r>
      <w:r w:rsidR="00FB5E95">
        <w:rPr>
          <w:rFonts w:ascii="Cambria" w:hAnsi="Cambria"/>
          <w:sz w:val="23"/>
          <w:szCs w:val="23"/>
        </w:rPr>
        <w:t xml:space="preserve">directors who are UK security cleared British </w:t>
      </w:r>
      <w:r w:rsidR="0045178C">
        <w:rPr>
          <w:rFonts w:ascii="Cambria" w:hAnsi="Cambria"/>
          <w:sz w:val="23"/>
          <w:szCs w:val="23"/>
        </w:rPr>
        <w:t>nationals</w:t>
      </w:r>
      <w:r w:rsidR="00821264">
        <w:rPr>
          <w:rFonts w:ascii="Cambria" w:hAnsi="Cambria"/>
          <w:sz w:val="23"/>
          <w:szCs w:val="23"/>
        </w:rPr>
        <w:t>,</w:t>
      </w:r>
      <w:r w:rsidR="008875EF">
        <w:rPr>
          <w:rFonts w:ascii="Cambria" w:hAnsi="Cambria"/>
          <w:sz w:val="23"/>
          <w:szCs w:val="23"/>
        </w:rPr>
        <w:t xml:space="preserve"> will be authorised</w:t>
      </w:r>
      <w:r w:rsidR="00821264">
        <w:rPr>
          <w:rFonts w:ascii="Cambria" w:hAnsi="Cambria"/>
          <w:sz w:val="23"/>
          <w:szCs w:val="23"/>
        </w:rPr>
        <w:t xml:space="preserve"> </w:t>
      </w:r>
      <w:r w:rsidR="0004654C">
        <w:rPr>
          <w:rFonts w:ascii="Cambria" w:hAnsi="Cambria"/>
          <w:sz w:val="23"/>
          <w:szCs w:val="23"/>
        </w:rPr>
        <w:t xml:space="preserve">to make decisions on </w:t>
      </w:r>
      <w:r w:rsidR="00CC6E67">
        <w:rPr>
          <w:rFonts w:ascii="Cambria" w:hAnsi="Cambria"/>
          <w:sz w:val="23"/>
          <w:szCs w:val="23"/>
        </w:rPr>
        <w:t xml:space="preserve">issues </w:t>
      </w:r>
      <w:r w:rsidR="00D9240C">
        <w:rPr>
          <w:rFonts w:ascii="Cambria" w:hAnsi="Cambria"/>
          <w:sz w:val="23"/>
          <w:szCs w:val="23"/>
        </w:rPr>
        <w:t>concerning</w:t>
      </w:r>
      <w:r w:rsidR="00CC6E67">
        <w:rPr>
          <w:rFonts w:ascii="Cambria" w:hAnsi="Cambria"/>
          <w:sz w:val="23"/>
          <w:szCs w:val="23"/>
        </w:rPr>
        <w:t xml:space="preserve"> Sensitive Material</w:t>
      </w:r>
      <w:r w:rsidR="00B52917">
        <w:rPr>
          <w:rFonts w:ascii="Cambria" w:hAnsi="Cambria"/>
          <w:sz w:val="23"/>
          <w:szCs w:val="23"/>
        </w:rPr>
        <w:t xml:space="preserve"> should the need arise; </w:t>
      </w:r>
    </w:p>
    <w:p w14:paraId="102F6802" w14:textId="77777777" w:rsidR="0004654C" w:rsidRDefault="0004654C" w:rsidP="0004654C">
      <w:pPr>
        <w:pStyle w:val="ListParagraph"/>
        <w:ind w:left="1069"/>
        <w:jc w:val="both"/>
        <w:rPr>
          <w:rFonts w:ascii="Cambria" w:hAnsi="Cambria"/>
          <w:sz w:val="23"/>
          <w:szCs w:val="23"/>
        </w:rPr>
      </w:pPr>
    </w:p>
    <w:p w14:paraId="27339DC5" w14:textId="35665EA4" w:rsidR="004E4A01" w:rsidRDefault="00AC11B4" w:rsidP="00941179">
      <w:pPr>
        <w:pStyle w:val="ListParagraph"/>
        <w:numPr>
          <w:ilvl w:val="0"/>
          <w:numId w:val="16"/>
        </w:numPr>
        <w:jc w:val="both"/>
        <w:rPr>
          <w:rFonts w:ascii="Cambria" w:hAnsi="Cambria"/>
          <w:sz w:val="23"/>
          <w:szCs w:val="23"/>
        </w:rPr>
      </w:pPr>
      <w:r>
        <w:rPr>
          <w:rFonts w:ascii="Cambria" w:hAnsi="Cambria"/>
          <w:sz w:val="23"/>
          <w:szCs w:val="23"/>
        </w:rPr>
        <w:t xml:space="preserve">a </w:t>
      </w:r>
      <w:r w:rsidR="005335B0">
        <w:rPr>
          <w:rFonts w:ascii="Cambria" w:hAnsi="Cambria"/>
          <w:sz w:val="23"/>
          <w:szCs w:val="23"/>
        </w:rPr>
        <w:t xml:space="preserve">Board Level Contact </w:t>
      </w:r>
      <w:r w:rsidR="005D3B40">
        <w:rPr>
          <w:rFonts w:ascii="Cambria" w:hAnsi="Cambria"/>
          <w:sz w:val="23"/>
          <w:szCs w:val="23"/>
        </w:rPr>
        <w:t>who is a British national and a member of</w:t>
      </w:r>
      <w:r w:rsidR="00795EBB">
        <w:rPr>
          <w:rFonts w:ascii="Cambria" w:hAnsi="Cambria"/>
          <w:sz w:val="23"/>
          <w:szCs w:val="23"/>
        </w:rPr>
        <w:t xml:space="preserve"> </w:t>
      </w:r>
      <w:r w:rsidR="005D3B40">
        <w:rPr>
          <w:rFonts w:ascii="Cambria" w:hAnsi="Cambria"/>
          <w:sz w:val="23"/>
          <w:szCs w:val="23"/>
        </w:rPr>
        <w:t xml:space="preserve">the </w:t>
      </w:r>
      <w:r w:rsidR="001903A9">
        <w:rPr>
          <w:rFonts w:ascii="Cambria" w:hAnsi="Cambria"/>
          <w:sz w:val="23"/>
          <w:szCs w:val="23"/>
        </w:rPr>
        <w:t>Board</w:t>
      </w:r>
      <w:r w:rsidR="005546FC">
        <w:rPr>
          <w:rFonts w:ascii="Cambria" w:hAnsi="Cambria"/>
          <w:sz w:val="23"/>
          <w:szCs w:val="23"/>
        </w:rPr>
        <w:t xml:space="preserve"> of Inmarsat Global Limited</w:t>
      </w:r>
      <w:r w:rsidR="001903A9">
        <w:rPr>
          <w:rFonts w:ascii="Cambria" w:hAnsi="Cambria"/>
          <w:sz w:val="23"/>
          <w:szCs w:val="23"/>
        </w:rPr>
        <w:t xml:space="preserve"> will</w:t>
      </w:r>
      <w:r w:rsidR="00C56DC2">
        <w:rPr>
          <w:rFonts w:ascii="Cambria" w:hAnsi="Cambria"/>
          <w:sz w:val="23"/>
          <w:szCs w:val="23"/>
        </w:rPr>
        <w:t xml:space="preserve"> be appointed to</w:t>
      </w:r>
      <w:r w:rsidR="001903A9">
        <w:rPr>
          <w:rFonts w:ascii="Cambria" w:hAnsi="Cambria"/>
          <w:sz w:val="23"/>
          <w:szCs w:val="23"/>
        </w:rPr>
        <w:t xml:space="preserve"> have overall responsibility for </w:t>
      </w:r>
      <w:r w:rsidR="001903A9" w:rsidRPr="000C0A2B">
        <w:rPr>
          <w:rFonts w:ascii="Cambria" w:hAnsi="Cambria"/>
          <w:sz w:val="23"/>
          <w:szCs w:val="23"/>
        </w:rPr>
        <w:t xml:space="preserve">security </w:t>
      </w:r>
      <w:r w:rsidR="00795EBB" w:rsidRPr="000C0A2B">
        <w:rPr>
          <w:rFonts w:ascii="Cambria" w:hAnsi="Cambria"/>
          <w:sz w:val="23"/>
          <w:szCs w:val="23"/>
        </w:rPr>
        <w:t xml:space="preserve">in accordance with the </w:t>
      </w:r>
      <w:r w:rsidR="00AE4909" w:rsidRPr="000C0A2B">
        <w:rPr>
          <w:rFonts w:ascii="Cambria" w:hAnsi="Cambria"/>
          <w:sz w:val="23"/>
          <w:szCs w:val="23"/>
        </w:rPr>
        <w:t>Security Requirements for List X Contractors</w:t>
      </w:r>
      <w:r w:rsidR="00D81D9C">
        <w:rPr>
          <w:rFonts w:ascii="Cambria" w:hAnsi="Cambria"/>
          <w:sz w:val="23"/>
          <w:szCs w:val="23"/>
        </w:rPr>
        <w:t>.</w:t>
      </w:r>
      <w:r w:rsidR="00AE4909">
        <w:rPr>
          <w:rFonts w:ascii="Cambria" w:hAnsi="Cambria"/>
          <w:sz w:val="23"/>
          <w:szCs w:val="23"/>
        </w:rPr>
        <w:t xml:space="preserve"> </w:t>
      </w:r>
    </w:p>
    <w:p w14:paraId="30BC1C46" w14:textId="77777777" w:rsidR="001C1530" w:rsidRPr="003B3900" w:rsidRDefault="001C1530" w:rsidP="001C1530">
      <w:pPr>
        <w:pStyle w:val="ListParagraph"/>
        <w:ind w:left="0"/>
        <w:jc w:val="both"/>
        <w:rPr>
          <w:rFonts w:ascii="Cambria" w:hAnsi="Cambria"/>
          <w:sz w:val="23"/>
          <w:szCs w:val="23"/>
        </w:rPr>
      </w:pPr>
    </w:p>
    <w:p w14:paraId="4ABA6B66" w14:textId="74D6AA18" w:rsidR="00BC0BE1" w:rsidRDefault="00CF2E25" w:rsidP="001C1530">
      <w:pPr>
        <w:pStyle w:val="ListParagraph"/>
        <w:numPr>
          <w:ilvl w:val="1"/>
          <w:numId w:val="4"/>
        </w:numPr>
        <w:ind w:left="709" w:hanging="709"/>
        <w:jc w:val="both"/>
        <w:rPr>
          <w:rFonts w:ascii="Cambria" w:hAnsi="Cambria"/>
          <w:sz w:val="23"/>
          <w:szCs w:val="23"/>
        </w:rPr>
      </w:pPr>
      <w:bookmarkStart w:id="4" w:name="_Hlk19738413"/>
      <w:bookmarkStart w:id="5" w:name="_Hlk19738432"/>
      <w:r>
        <w:rPr>
          <w:rFonts w:ascii="Cambria" w:hAnsi="Cambria"/>
          <w:sz w:val="23"/>
          <w:szCs w:val="23"/>
        </w:rPr>
        <w:t>None</w:t>
      </w:r>
      <w:r w:rsidR="00B02A14">
        <w:rPr>
          <w:rFonts w:ascii="Cambria" w:hAnsi="Cambria"/>
          <w:sz w:val="23"/>
          <w:szCs w:val="23"/>
        </w:rPr>
        <w:t xml:space="preserve"> of the</w:t>
      </w:r>
      <w:r w:rsidR="00D926A5">
        <w:rPr>
          <w:rFonts w:ascii="Cambria" w:hAnsi="Cambria"/>
          <w:sz w:val="23"/>
          <w:szCs w:val="23"/>
        </w:rPr>
        <w:t xml:space="preserve"> </w:t>
      </w:r>
      <w:r w:rsidR="00FA369C">
        <w:rPr>
          <w:rFonts w:ascii="Cambria" w:hAnsi="Cambria"/>
          <w:sz w:val="23"/>
          <w:szCs w:val="23"/>
        </w:rPr>
        <w:t>Limited Partner Investors</w:t>
      </w:r>
      <w:r w:rsidR="00B02A14">
        <w:rPr>
          <w:rFonts w:ascii="Cambria" w:hAnsi="Cambria"/>
          <w:sz w:val="23"/>
          <w:szCs w:val="23"/>
        </w:rPr>
        <w:t>,</w:t>
      </w:r>
      <w:r w:rsidR="00C351D1">
        <w:rPr>
          <w:rFonts w:ascii="Cambria" w:hAnsi="Cambria"/>
          <w:sz w:val="23"/>
          <w:szCs w:val="23"/>
        </w:rPr>
        <w:t xml:space="preserve"> or </w:t>
      </w:r>
      <w:r w:rsidR="00B02A14">
        <w:rPr>
          <w:rFonts w:ascii="Cambria" w:hAnsi="Cambria"/>
          <w:sz w:val="23"/>
          <w:szCs w:val="23"/>
        </w:rPr>
        <w:t xml:space="preserve">the </w:t>
      </w:r>
      <w:r w:rsidR="00C351D1">
        <w:rPr>
          <w:rFonts w:ascii="Cambria" w:hAnsi="Cambria"/>
          <w:sz w:val="23"/>
          <w:szCs w:val="23"/>
        </w:rPr>
        <w:t>Co-Investors</w:t>
      </w:r>
      <w:r w:rsidR="00B02A14">
        <w:rPr>
          <w:rFonts w:ascii="Cambria" w:hAnsi="Cambria"/>
          <w:sz w:val="23"/>
          <w:szCs w:val="23"/>
        </w:rPr>
        <w:t>,</w:t>
      </w:r>
      <w:r w:rsidR="00C351D1">
        <w:rPr>
          <w:rFonts w:ascii="Cambria" w:hAnsi="Cambria"/>
          <w:sz w:val="23"/>
          <w:szCs w:val="23"/>
        </w:rPr>
        <w:t xml:space="preserve"> will have access to Inmarsat’s systems or be involved in the day-to-day operations of </w:t>
      </w:r>
      <w:r w:rsidR="001A6B2D">
        <w:rPr>
          <w:rFonts w:ascii="Cambria" w:hAnsi="Cambria"/>
          <w:sz w:val="23"/>
          <w:szCs w:val="23"/>
        </w:rPr>
        <w:t xml:space="preserve">the </w:t>
      </w:r>
      <w:r w:rsidR="00C351D1">
        <w:rPr>
          <w:rFonts w:ascii="Cambria" w:hAnsi="Cambria"/>
          <w:sz w:val="23"/>
          <w:szCs w:val="23"/>
        </w:rPr>
        <w:t>Inmarsat business.</w:t>
      </w:r>
      <w:r w:rsidR="00B02A14">
        <w:rPr>
          <w:rFonts w:ascii="Cambria" w:hAnsi="Cambria"/>
          <w:sz w:val="23"/>
          <w:szCs w:val="23"/>
        </w:rPr>
        <w:t xml:space="preserve"> </w:t>
      </w:r>
      <w:r w:rsidR="00FA369C">
        <w:rPr>
          <w:rFonts w:ascii="Cambria" w:hAnsi="Cambria"/>
          <w:sz w:val="23"/>
          <w:szCs w:val="23"/>
        </w:rPr>
        <w:t>Further, none of the Limited Partner Investors or the Co-Investors will have any information rights as regards Inmarsat, except to standard financial reporting information</w:t>
      </w:r>
      <w:r w:rsidR="00BD0BDE">
        <w:rPr>
          <w:rFonts w:ascii="Cambria" w:hAnsi="Cambria"/>
          <w:sz w:val="23"/>
          <w:szCs w:val="23"/>
        </w:rPr>
        <w:t xml:space="preserve">. For the avoidance of doubt, this </w:t>
      </w:r>
      <w:r>
        <w:rPr>
          <w:rFonts w:ascii="Cambria" w:hAnsi="Cambria"/>
          <w:sz w:val="23"/>
          <w:szCs w:val="23"/>
        </w:rPr>
        <w:t>obligation</w:t>
      </w:r>
      <w:r w:rsidR="00BD0BDE">
        <w:rPr>
          <w:rFonts w:ascii="Cambria" w:hAnsi="Cambria"/>
          <w:sz w:val="23"/>
          <w:szCs w:val="23"/>
        </w:rPr>
        <w:t xml:space="preserve"> </w:t>
      </w:r>
      <w:bookmarkEnd w:id="4"/>
      <w:bookmarkEnd w:id="5"/>
      <w:r>
        <w:rPr>
          <w:rFonts w:ascii="Cambria" w:hAnsi="Cambria"/>
          <w:sz w:val="23"/>
          <w:szCs w:val="23"/>
        </w:rPr>
        <w:t xml:space="preserve">only applies to the </w:t>
      </w:r>
      <w:r w:rsidR="00D978D5">
        <w:rPr>
          <w:rFonts w:ascii="Cambria" w:hAnsi="Cambria"/>
          <w:sz w:val="23"/>
          <w:szCs w:val="23"/>
        </w:rPr>
        <w:t xml:space="preserve">extent </w:t>
      </w:r>
      <w:r>
        <w:rPr>
          <w:rFonts w:ascii="Cambria" w:hAnsi="Cambria"/>
          <w:sz w:val="23"/>
          <w:szCs w:val="23"/>
        </w:rPr>
        <w:t>any Limited Partner Investor or Co-Investor has not acquired any right to manage or otherwise control the decision-making of Inmarsat.</w:t>
      </w:r>
      <w:r w:rsidR="00B02A14">
        <w:rPr>
          <w:rFonts w:ascii="Cambria" w:hAnsi="Cambria"/>
          <w:sz w:val="23"/>
          <w:szCs w:val="23"/>
        </w:rPr>
        <w:t xml:space="preserve"> </w:t>
      </w:r>
    </w:p>
    <w:p w14:paraId="425AD0AD" w14:textId="77777777" w:rsidR="00BC0BE1" w:rsidRDefault="00BC0BE1" w:rsidP="00BC0BE1">
      <w:pPr>
        <w:pStyle w:val="ListParagraph"/>
        <w:ind w:left="0"/>
        <w:jc w:val="both"/>
        <w:rPr>
          <w:rFonts w:ascii="Cambria" w:hAnsi="Cambria"/>
          <w:sz w:val="23"/>
          <w:szCs w:val="23"/>
        </w:rPr>
      </w:pPr>
    </w:p>
    <w:p w14:paraId="60037BD4" w14:textId="6A48414B" w:rsidR="005C007D" w:rsidRPr="00297A9C" w:rsidRDefault="00FA369C" w:rsidP="00297A9C">
      <w:pPr>
        <w:pStyle w:val="ListParagraph"/>
        <w:numPr>
          <w:ilvl w:val="1"/>
          <w:numId w:val="4"/>
        </w:numPr>
        <w:ind w:left="709" w:hanging="709"/>
        <w:jc w:val="both"/>
        <w:rPr>
          <w:rFonts w:ascii="Cambria" w:hAnsi="Cambria"/>
          <w:sz w:val="23"/>
          <w:szCs w:val="23"/>
        </w:rPr>
      </w:pPr>
      <w:r>
        <w:rPr>
          <w:rFonts w:ascii="Cambria" w:hAnsi="Cambria"/>
          <w:sz w:val="23"/>
          <w:szCs w:val="23"/>
        </w:rPr>
        <w:t>I</w:t>
      </w:r>
      <w:r w:rsidR="009D2B33">
        <w:rPr>
          <w:rFonts w:ascii="Cambria" w:hAnsi="Cambria"/>
          <w:sz w:val="23"/>
          <w:szCs w:val="23"/>
        </w:rPr>
        <w:t>nsofar as</w:t>
      </w:r>
      <w:r w:rsidR="001A6B2D">
        <w:rPr>
          <w:rFonts w:ascii="Cambria" w:hAnsi="Cambria"/>
          <w:sz w:val="23"/>
          <w:szCs w:val="23"/>
        </w:rPr>
        <w:t xml:space="preserve"> any directors, officers or authorised representatives of</w:t>
      </w:r>
      <w:r w:rsidR="009D2B33">
        <w:rPr>
          <w:rFonts w:ascii="Cambria" w:hAnsi="Cambria"/>
          <w:sz w:val="23"/>
          <w:szCs w:val="23"/>
        </w:rPr>
        <w:t xml:space="preserve"> Connect </w:t>
      </w:r>
      <w:proofErr w:type="spellStart"/>
      <w:r w:rsidR="009D2B33">
        <w:rPr>
          <w:rFonts w:ascii="Cambria" w:hAnsi="Cambria"/>
          <w:sz w:val="23"/>
          <w:szCs w:val="23"/>
        </w:rPr>
        <w:t>Bidco</w:t>
      </w:r>
      <w:proofErr w:type="spellEnd"/>
      <w:r w:rsidR="0003146E">
        <w:rPr>
          <w:rFonts w:ascii="Cambria" w:hAnsi="Cambria"/>
          <w:sz w:val="23"/>
          <w:szCs w:val="23"/>
        </w:rPr>
        <w:t xml:space="preserve">, other than those </w:t>
      </w:r>
      <w:r w:rsidR="00F6747E">
        <w:rPr>
          <w:rFonts w:ascii="Cambria" w:hAnsi="Cambria"/>
          <w:sz w:val="23"/>
          <w:szCs w:val="23"/>
        </w:rPr>
        <w:t>with appropriate UK security clearance</w:t>
      </w:r>
      <w:r w:rsidR="0003146E">
        <w:rPr>
          <w:rFonts w:ascii="Cambria" w:hAnsi="Cambria"/>
          <w:sz w:val="23"/>
          <w:szCs w:val="23"/>
        </w:rPr>
        <w:t>,</w:t>
      </w:r>
      <w:r w:rsidR="001A6B2D">
        <w:rPr>
          <w:rFonts w:ascii="Cambria" w:hAnsi="Cambria"/>
          <w:sz w:val="23"/>
          <w:szCs w:val="23"/>
        </w:rPr>
        <w:t xml:space="preserve"> </w:t>
      </w:r>
      <w:r w:rsidR="00BC4A1E">
        <w:rPr>
          <w:rFonts w:ascii="Cambria" w:hAnsi="Cambria"/>
          <w:sz w:val="23"/>
          <w:szCs w:val="23"/>
        </w:rPr>
        <w:t xml:space="preserve">have access to Inmarsat’s systems or are involved in day-to-day operations of </w:t>
      </w:r>
      <w:r w:rsidR="001A6B2D">
        <w:rPr>
          <w:rFonts w:ascii="Cambria" w:hAnsi="Cambria"/>
          <w:sz w:val="23"/>
          <w:szCs w:val="23"/>
        </w:rPr>
        <w:t xml:space="preserve">the </w:t>
      </w:r>
      <w:r w:rsidR="00C671F6">
        <w:rPr>
          <w:rFonts w:ascii="Cambria" w:hAnsi="Cambria"/>
          <w:sz w:val="23"/>
          <w:szCs w:val="23"/>
        </w:rPr>
        <w:t xml:space="preserve">Inmarsat business, </w:t>
      </w:r>
      <w:r w:rsidR="008C6CEA">
        <w:rPr>
          <w:rFonts w:ascii="Cambria" w:hAnsi="Cambria"/>
          <w:sz w:val="23"/>
          <w:szCs w:val="23"/>
        </w:rPr>
        <w:t xml:space="preserve">such access </w:t>
      </w:r>
      <w:r w:rsidR="00C05603">
        <w:rPr>
          <w:rFonts w:ascii="Cambria" w:hAnsi="Cambria"/>
          <w:sz w:val="23"/>
          <w:szCs w:val="23"/>
        </w:rPr>
        <w:t>will</w:t>
      </w:r>
      <w:r>
        <w:rPr>
          <w:rFonts w:ascii="Cambria" w:hAnsi="Cambria"/>
          <w:sz w:val="23"/>
          <w:szCs w:val="23"/>
        </w:rPr>
        <w:t xml:space="preserve"> be limited such that it will not </w:t>
      </w:r>
      <w:r w:rsidR="00C56DC2">
        <w:rPr>
          <w:rFonts w:ascii="Cambria" w:hAnsi="Cambria"/>
          <w:sz w:val="23"/>
          <w:szCs w:val="23"/>
        </w:rPr>
        <w:t xml:space="preserve">extend to </w:t>
      </w:r>
      <w:r w:rsidR="00C05603">
        <w:rPr>
          <w:rFonts w:ascii="Cambria" w:hAnsi="Cambria"/>
          <w:sz w:val="23"/>
          <w:szCs w:val="23"/>
        </w:rPr>
        <w:t>Sensitive Material</w:t>
      </w:r>
      <w:r w:rsidR="00664AA3">
        <w:rPr>
          <w:rFonts w:ascii="Cambria" w:hAnsi="Cambria"/>
          <w:sz w:val="23"/>
          <w:szCs w:val="23"/>
        </w:rPr>
        <w:t xml:space="preserve">. </w:t>
      </w:r>
      <w:r w:rsidR="008C6CEA">
        <w:rPr>
          <w:rFonts w:ascii="Cambria" w:hAnsi="Cambria"/>
          <w:sz w:val="23"/>
          <w:szCs w:val="23"/>
        </w:rPr>
        <w:t xml:space="preserve"> </w:t>
      </w:r>
    </w:p>
    <w:p w14:paraId="2CD47652" w14:textId="77777777" w:rsidR="00545052" w:rsidRDefault="00970E79" w:rsidP="00941179">
      <w:pPr>
        <w:jc w:val="both"/>
        <w:rPr>
          <w:rFonts w:ascii="Cambria" w:hAnsi="Cambria"/>
          <w:b/>
          <w:sz w:val="23"/>
          <w:szCs w:val="23"/>
        </w:rPr>
      </w:pPr>
      <w:r>
        <w:rPr>
          <w:rFonts w:ascii="Cambria" w:hAnsi="Cambria"/>
          <w:b/>
          <w:sz w:val="23"/>
          <w:szCs w:val="23"/>
        </w:rPr>
        <w:t xml:space="preserve">Compliance </w:t>
      </w:r>
    </w:p>
    <w:p w14:paraId="6F0B813B" w14:textId="70FDCDB5" w:rsidR="00970E79" w:rsidRDefault="00970E79" w:rsidP="00941179">
      <w:pPr>
        <w:pStyle w:val="ListParagraph"/>
        <w:numPr>
          <w:ilvl w:val="1"/>
          <w:numId w:val="4"/>
        </w:numPr>
        <w:ind w:left="709" w:hanging="709"/>
        <w:jc w:val="both"/>
        <w:rPr>
          <w:rFonts w:ascii="Cambria" w:hAnsi="Cambria"/>
          <w:sz w:val="23"/>
          <w:szCs w:val="23"/>
        </w:rPr>
      </w:pPr>
      <w:r w:rsidRPr="00545052">
        <w:rPr>
          <w:rFonts w:ascii="Cambria" w:hAnsi="Cambria"/>
          <w:sz w:val="23"/>
          <w:szCs w:val="23"/>
        </w:rPr>
        <w:t xml:space="preserve">Inmarsat will employ a security controller responsible for facilitating and overseeing compliance with </w:t>
      </w:r>
      <w:r w:rsidR="00FD0E6E">
        <w:rPr>
          <w:rFonts w:ascii="Cambria" w:hAnsi="Cambria"/>
          <w:sz w:val="23"/>
          <w:szCs w:val="23"/>
        </w:rPr>
        <w:t xml:space="preserve">the </w:t>
      </w:r>
      <w:r w:rsidRPr="00545052">
        <w:rPr>
          <w:rFonts w:ascii="Cambria" w:hAnsi="Cambria"/>
          <w:sz w:val="23"/>
          <w:szCs w:val="23"/>
        </w:rPr>
        <w:t xml:space="preserve">Security Requirements for </w:t>
      </w:r>
      <w:r w:rsidR="00302B74" w:rsidRPr="00545052">
        <w:rPr>
          <w:rFonts w:ascii="Cambria" w:hAnsi="Cambria"/>
          <w:sz w:val="23"/>
          <w:szCs w:val="23"/>
        </w:rPr>
        <w:t xml:space="preserve">List X Contractors </w:t>
      </w:r>
      <w:r w:rsidR="00D3408E" w:rsidRPr="00545052">
        <w:rPr>
          <w:rFonts w:ascii="Cambria" w:hAnsi="Cambria"/>
          <w:sz w:val="23"/>
          <w:szCs w:val="23"/>
        </w:rPr>
        <w:t>and the Security Undertakings</w:t>
      </w:r>
      <w:r w:rsidR="00AA6EC0">
        <w:rPr>
          <w:rFonts w:ascii="Cambria" w:hAnsi="Cambria"/>
          <w:sz w:val="23"/>
          <w:szCs w:val="23"/>
        </w:rPr>
        <w:t xml:space="preserve"> and facilitate information requests from the Ministry of Defence</w:t>
      </w:r>
      <w:r w:rsidR="00C455CA">
        <w:rPr>
          <w:rFonts w:ascii="Cambria" w:hAnsi="Cambria"/>
          <w:sz w:val="23"/>
          <w:szCs w:val="23"/>
        </w:rPr>
        <w:t xml:space="preserve"> made in accordance with clause</w:t>
      </w:r>
      <w:r w:rsidR="00D9240C">
        <w:rPr>
          <w:rFonts w:ascii="Cambria" w:hAnsi="Cambria"/>
          <w:sz w:val="23"/>
          <w:szCs w:val="23"/>
        </w:rPr>
        <w:t xml:space="preserve"> 2.18</w:t>
      </w:r>
      <w:r w:rsidR="00D3408E" w:rsidRPr="00545052">
        <w:rPr>
          <w:rFonts w:ascii="Cambria" w:hAnsi="Cambria"/>
          <w:sz w:val="23"/>
          <w:szCs w:val="23"/>
        </w:rPr>
        <w:t xml:space="preserve">.  Such security controller shall be a British </w:t>
      </w:r>
      <w:r w:rsidR="0045178C">
        <w:rPr>
          <w:rFonts w:ascii="Cambria" w:hAnsi="Cambria"/>
          <w:sz w:val="23"/>
          <w:szCs w:val="23"/>
        </w:rPr>
        <w:t>national</w:t>
      </w:r>
      <w:r w:rsidR="0045178C" w:rsidRPr="00545052">
        <w:rPr>
          <w:rFonts w:ascii="Cambria" w:hAnsi="Cambria"/>
          <w:sz w:val="23"/>
          <w:szCs w:val="23"/>
        </w:rPr>
        <w:t xml:space="preserve"> </w:t>
      </w:r>
      <w:r w:rsidR="00D3408E" w:rsidRPr="00545052">
        <w:rPr>
          <w:rFonts w:ascii="Cambria" w:hAnsi="Cambria"/>
          <w:sz w:val="23"/>
          <w:szCs w:val="23"/>
        </w:rPr>
        <w:t>with</w:t>
      </w:r>
      <w:r w:rsidR="00FD0E6E">
        <w:rPr>
          <w:rFonts w:ascii="Cambria" w:hAnsi="Cambria"/>
          <w:sz w:val="23"/>
          <w:szCs w:val="23"/>
        </w:rPr>
        <w:t xml:space="preserve"> </w:t>
      </w:r>
      <w:r w:rsidR="00C56DC2">
        <w:rPr>
          <w:rFonts w:ascii="Cambria" w:hAnsi="Cambria"/>
          <w:sz w:val="23"/>
          <w:szCs w:val="23"/>
        </w:rPr>
        <w:t>security</w:t>
      </w:r>
      <w:r w:rsidR="00FD0E6E">
        <w:rPr>
          <w:rFonts w:ascii="Cambria" w:hAnsi="Cambria"/>
          <w:sz w:val="23"/>
          <w:szCs w:val="23"/>
        </w:rPr>
        <w:t xml:space="preserve"> </w:t>
      </w:r>
      <w:r w:rsidR="0065376B">
        <w:rPr>
          <w:rFonts w:ascii="Cambria" w:hAnsi="Cambria"/>
          <w:sz w:val="23"/>
          <w:szCs w:val="23"/>
        </w:rPr>
        <w:t>clearance.</w:t>
      </w:r>
      <w:r w:rsidR="008C4962">
        <w:rPr>
          <w:rFonts w:ascii="Cambria" w:hAnsi="Cambria"/>
          <w:sz w:val="23"/>
          <w:szCs w:val="23"/>
        </w:rPr>
        <w:t xml:space="preserve"> </w:t>
      </w:r>
      <w:r w:rsidR="0045178C">
        <w:rPr>
          <w:rFonts w:ascii="Cambria" w:hAnsi="Cambria"/>
          <w:sz w:val="23"/>
          <w:szCs w:val="23"/>
        </w:rPr>
        <w:t xml:space="preserve"> </w:t>
      </w:r>
    </w:p>
    <w:p w14:paraId="000C0004" w14:textId="1549F12C" w:rsidR="00545052" w:rsidRDefault="00545052" w:rsidP="00545052">
      <w:pPr>
        <w:pStyle w:val="ListParagraph"/>
        <w:ind w:left="0"/>
        <w:jc w:val="both"/>
        <w:rPr>
          <w:rFonts w:ascii="Cambria" w:hAnsi="Cambria"/>
          <w:sz w:val="23"/>
          <w:szCs w:val="23"/>
        </w:rPr>
      </w:pPr>
    </w:p>
    <w:p w14:paraId="24CF0B71" w14:textId="53C9956F" w:rsidR="0013414C" w:rsidRDefault="0013414C" w:rsidP="00941179">
      <w:pPr>
        <w:pStyle w:val="ListParagraph"/>
        <w:numPr>
          <w:ilvl w:val="1"/>
          <w:numId w:val="4"/>
        </w:numPr>
        <w:ind w:left="709" w:hanging="709"/>
        <w:jc w:val="both"/>
        <w:rPr>
          <w:rFonts w:ascii="Cambria" w:hAnsi="Cambria"/>
          <w:sz w:val="23"/>
          <w:szCs w:val="23"/>
        </w:rPr>
      </w:pPr>
      <w:r w:rsidRPr="00545052">
        <w:rPr>
          <w:rFonts w:ascii="Cambria" w:hAnsi="Cambria"/>
          <w:sz w:val="23"/>
          <w:szCs w:val="23"/>
        </w:rPr>
        <w:tab/>
      </w:r>
      <w:r w:rsidR="00AE3946" w:rsidRPr="00545052">
        <w:rPr>
          <w:rFonts w:ascii="Cambria" w:hAnsi="Cambria"/>
          <w:sz w:val="23"/>
          <w:szCs w:val="23"/>
        </w:rPr>
        <w:t>If Inmarsat</w:t>
      </w:r>
      <w:r w:rsidR="00A8615B" w:rsidRPr="00545052">
        <w:rPr>
          <w:rFonts w:ascii="Cambria" w:hAnsi="Cambria"/>
          <w:sz w:val="23"/>
          <w:szCs w:val="23"/>
        </w:rPr>
        <w:t xml:space="preserve"> or</w:t>
      </w:r>
      <w:r w:rsidR="00AE3946" w:rsidRPr="00545052">
        <w:rPr>
          <w:rFonts w:ascii="Cambria" w:hAnsi="Cambria"/>
          <w:sz w:val="23"/>
          <w:szCs w:val="23"/>
        </w:rPr>
        <w:t xml:space="preserve"> Connect </w:t>
      </w:r>
      <w:proofErr w:type="spellStart"/>
      <w:r w:rsidR="00AE3946" w:rsidRPr="00545052">
        <w:rPr>
          <w:rFonts w:ascii="Cambria" w:hAnsi="Cambria"/>
          <w:sz w:val="23"/>
          <w:szCs w:val="23"/>
        </w:rPr>
        <w:t>Bidco</w:t>
      </w:r>
      <w:proofErr w:type="spellEnd"/>
      <w:r w:rsidR="00F70AD6">
        <w:rPr>
          <w:rFonts w:ascii="Cambria" w:hAnsi="Cambria"/>
          <w:sz w:val="23"/>
          <w:szCs w:val="23"/>
        </w:rPr>
        <w:t xml:space="preserve"> are</w:t>
      </w:r>
      <w:r w:rsidR="00AE3946" w:rsidRPr="00545052">
        <w:rPr>
          <w:rFonts w:ascii="Cambria" w:hAnsi="Cambria"/>
          <w:sz w:val="23"/>
          <w:szCs w:val="23"/>
        </w:rPr>
        <w:t xml:space="preserve"> </w:t>
      </w:r>
      <w:r w:rsidR="00995E81" w:rsidRPr="00545052">
        <w:rPr>
          <w:rFonts w:ascii="Cambria" w:hAnsi="Cambria"/>
          <w:sz w:val="23"/>
          <w:szCs w:val="23"/>
        </w:rPr>
        <w:t xml:space="preserve">unable to comply with any of the Security Undertakings, or become aware of any </w:t>
      </w:r>
      <w:r w:rsidR="008C4962">
        <w:rPr>
          <w:rFonts w:ascii="Cambria" w:hAnsi="Cambria"/>
          <w:sz w:val="23"/>
          <w:szCs w:val="23"/>
        </w:rPr>
        <w:t xml:space="preserve">material </w:t>
      </w:r>
      <w:r w:rsidR="00995E81" w:rsidRPr="00545052">
        <w:rPr>
          <w:rFonts w:ascii="Cambria" w:hAnsi="Cambria"/>
          <w:sz w:val="23"/>
          <w:szCs w:val="23"/>
        </w:rPr>
        <w:t>noncompliance, they will</w:t>
      </w:r>
      <w:r w:rsidR="00E20B9F" w:rsidRPr="00545052">
        <w:rPr>
          <w:rFonts w:ascii="Cambria" w:hAnsi="Cambria"/>
          <w:sz w:val="23"/>
          <w:szCs w:val="23"/>
        </w:rPr>
        <w:t xml:space="preserve">: notify the Ministry of Defence immediately; provide to the Ministry of Defence full reasons for the inability to comply or the non-compliance within </w:t>
      </w:r>
      <w:r w:rsidR="00FA369C">
        <w:rPr>
          <w:rFonts w:ascii="Cambria" w:hAnsi="Cambria"/>
          <w:sz w:val="23"/>
          <w:szCs w:val="23"/>
        </w:rPr>
        <w:t>two</w:t>
      </w:r>
      <w:r w:rsidR="00FA369C" w:rsidRPr="00545052">
        <w:rPr>
          <w:rFonts w:ascii="Cambria" w:hAnsi="Cambria"/>
          <w:sz w:val="23"/>
          <w:szCs w:val="23"/>
        </w:rPr>
        <w:t xml:space="preserve"> </w:t>
      </w:r>
      <w:r w:rsidR="00E20B9F" w:rsidRPr="00545052">
        <w:rPr>
          <w:rFonts w:ascii="Cambria" w:hAnsi="Cambria"/>
          <w:sz w:val="23"/>
          <w:szCs w:val="23"/>
        </w:rPr>
        <w:t>(</w:t>
      </w:r>
      <w:r w:rsidR="00FA369C">
        <w:rPr>
          <w:rFonts w:ascii="Cambria" w:hAnsi="Cambria"/>
          <w:sz w:val="23"/>
          <w:szCs w:val="23"/>
        </w:rPr>
        <w:t>2</w:t>
      </w:r>
      <w:r w:rsidR="00E20B9F" w:rsidRPr="00545052">
        <w:rPr>
          <w:rFonts w:ascii="Cambria" w:hAnsi="Cambria"/>
          <w:sz w:val="23"/>
          <w:szCs w:val="23"/>
        </w:rPr>
        <w:t>) month</w:t>
      </w:r>
      <w:r w:rsidR="00FA369C">
        <w:rPr>
          <w:rFonts w:ascii="Cambria" w:hAnsi="Cambria"/>
          <w:sz w:val="23"/>
          <w:szCs w:val="23"/>
        </w:rPr>
        <w:t>s</w:t>
      </w:r>
      <w:r w:rsidR="00E20B9F" w:rsidRPr="00545052">
        <w:rPr>
          <w:rFonts w:ascii="Cambria" w:hAnsi="Cambria"/>
          <w:sz w:val="23"/>
          <w:szCs w:val="23"/>
        </w:rPr>
        <w:t xml:space="preserve"> </w:t>
      </w:r>
      <w:r w:rsidR="008759FA" w:rsidRPr="00545052">
        <w:rPr>
          <w:rFonts w:ascii="Cambria" w:hAnsi="Cambria"/>
          <w:sz w:val="23"/>
          <w:szCs w:val="23"/>
        </w:rPr>
        <w:t xml:space="preserve">of becoming </w:t>
      </w:r>
      <w:r w:rsidR="007141A7" w:rsidRPr="00545052">
        <w:rPr>
          <w:rFonts w:ascii="Cambria" w:hAnsi="Cambria"/>
          <w:sz w:val="23"/>
          <w:szCs w:val="23"/>
        </w:rPr>
        <w:t xml:space="preserve">so </w:t>
      </w:r>
      <w:r w:rsidR="008759FA" w:rsidRPr="00545052">
        <w:rPr>
          <w:rFonts w:ascii="Cambria" w:hAnsi="Cambria"/>
          <w:sz w:val="23"/>
          <w:szCs w:val="23"/>
        </w:rPr>
        <w:t>aware; and use best endeavours to remedy any non-compliance as soon as possible</w:t>
      </w:r>
      <w:r w:rsidR="00EB7A02">
        <w:rPr>
          <w:rFonts w:ascii="Cambria" w:hAnsi="Cambria"/>
          <w:sz w:val="23"/>
          <w:szCs w:val="23"/>
        </w:rPr>
        <w:t>.</w:t>
      </w:r>
      <w:r w:rsidR="008759FA" w:rsidRPr="00545052">
        <w:rPr>
          <w:rFonts w:ascii="Cambria" w:hAnsi="Cambria"/>
          <w:sz w:val="23"/>
          <w:szCs w:val="23"/>
        </w:rPr>
        <w:t xml:space="preserve"> </w:t>
      </w:r>
    </w:p>
    <w:p w14:paraId="5AA39F71" w14:textId="77777777" w:rsidR="00AA6EC0" w:rsidRPr="00AA6EC0" w:rsidRDefault="00AA6EC0" w:rsidP="00AA6EC0">
      <w:pPr>
        <w:pStyle w:val="ListParagraph"/>
        <w:rPr>
          <w:rFonts w:ascii="Cambria" w:hAnsi="Cambria"/>
          <w:sz w:val="23"/>
          <w:szCs w:val="23"/>
        </w:rPr>
      </w:pPr>
    </w:p>
    <w:p w14:paraId="2A8565EB" w14:textId="6DF66B17" w:rsidR="00AA6EC0" w:rsidRPr="00AA6EC0" w:rsidRDefault="00AA6EC0" w:rsidP="00AA6EC0">
      <w:pPr>
        <w:pStyle w:val="ListParagraph"/>
        <w:numPr>
          <w:ilvl w:val="1"/>
          <w:numId w:val="4"/>
        </w:numPr>
        <w:ind w:left="709" w:hanging="709"/>
        <w:jc w:val="both"/>
        <w:rPr>
          <w:rFonts w:ascii="Cambria" w:hAnsi="Cambria"/>
          <w:sz w:val="23"/>
          <w:szCs w:val="23"/>
        </w:rPr>
      </w:pPr>
      <w:r>
        <w:rPr>
          <w:rFonts w:ascii="Cambria" w:hAnsi="Cambria"/>
          <w:sz w:val="23"/>
          <w:szCs w:val="23"/>
        </w:rPr>
        <w:t xml:space="preserve">The security controller will provide an annual compliance notice to the Ministry of Defence confirming that </w:t>
      </w:r>
      <w:r w:rsidR="00B41D90">
        <w:rPr>
          <w:rFonts w:ascii="Cambria" w:hAnsi="Cambria"/>
          <w:sz w:val="23"/>
          <w:szCs w:val="23"/>
        </w:rPr>
        <w:t>the Transaction Parties</w:t>
      </w:r>
      <w:r>
        <w:rPr>
          <w:rFonts w:ascii="Cambria" w:hAnsi="Cambria"/>
          <w:sz w:val="23"/>
          <w:szCs w:val="23"/>
        </w:rPr>
        <w:t xml:space="preserve"> </w:t>
      </w:r>
      <w:r w:rsidR="00B41D90">
        <w:rPr>
          <w:rFonts w:ascii="Cambria" w:hAnsi="Cambria"/>
          <w:sz w:val="23"/>
          <w:szCs w:val="23"/>
        </w:rPr>
        <w:t>have</w:t>
      </w:r>
      <w:r>
        <w:rPr>
          <w:rFonts w:ascii="Cambria" w:hAnsi="Cambria"/>
          <w:sz w:val="23"/>
          <w:szCs w:val="23"/>
        </w:rPr>
        <w:t xml:space="preserve"> undertaken and maintained all commitments within the Security Undertakings and providing further details and the outcome of any </w:t>
      </w:r>
      <w:r w:rsidR="00866158">
        <w:rPr>
          <w:rFonts w:ascii="Cambria" w:hAnsi="Cambria"/>
          <w:sz w:val="23"/>
          <w:szCs w:val="23"/>
        </w:rPr>
        <w:t>noncompliance notice issued in accordance with clause 2.</w:t>
      </w:r>
      <w:r w:rsidR="00C56DC2">
        <w:rPr>
          <w:rFonts w:ascii="Cambria" w:hAnsi="Cambria"/>
          <w:sz w:val="23"/>
          <w:szCs w:val="23"/>
        </w:rPr>
        <w:t>13</w:t>
      </w:r>
      <w:r w:rsidR="00866158">
        <w:rPr>
          <w:rFonts w:ascii="Cambria" w:hAnsi="Cambria"/>
          <w:sz w:val="23"/>
          <w:szCs w:val="23"/>
        </w:rPr>
        <w:t>.</w:t>
      </w:r>
    </w:p>
    <w:p w14:paraId="570AB700" w14:textId="74B75753" w:rsidR="00545052" w:rsidRDefault="00545052" w:rsidP="00545052">
      <w:pPr>
        <w:pStyle w:val="ListParagraph"/>
        <w:ind w:left="0"/>
        <w:jc w:val="both"/>
        <w:rPr>
          <w:rFonts w:ascii="Cambria" w:hAnsi="Cambria"/>
          <w:sz w:val="23"/>
          <w:szCs w:val="23"/>
        </w:rPr>
      </w:pPr>
    </w:p>
    <w:p w14:paraId="32721759" w14:textId="29BD3521" w:rsidR="00672B74" w:rsidRDefault="008C4962" w:rsidP="00941179">
      <w:pPr>
        <w:pStyle w:val="ListParagraph"/>
        <w:numPr>
          <w:ilvl w:val="1"/>
          <w:numId w:val="4"/>
        </w:numPr>
        <w:ind w:left="709" w:hanging="709"/>
        <w:jc w:val="both"/>
        <w:rPr>
          <w:rFonts w:ascii="Cambria" w:hAnsi="Cambria"/>
          <w:sz w:val="23"/>
          <w:szCs w:val="23"/>
        </w:rPr>
      </w:pPr>
      <w:r>
        <w:rPr>
          <w:rFonts w:ascii="Cambria" w:hAnsi="Cambria"/>
          <w:sz w:val="23"/>
          <w:szCs w:val="23"/>
        </w:rPr>
        <w:t xml:space="preserve">For the purposes of checking compliance with the Security Undertakings, </w:t>
      </w:r>
      <w:r w:rsidR="00BE2945">
        <w:rPr>
          <w:rFonts w:ascii="Cambria" w:hAnsi="Cambria"/>
          <w:sz w:val="23"/>
          <w:szCs w:val="23"/>
        </w:rPr>
        <w:t xml:space="preserve">authorised </w:t>
      </w:r>
      <w:r>
        <w:rPr>
          <w:rFonts w:ascii="Cambria" w:hAnsi="Cambria"/>
          <w:sz w:val="23"/>
          <w:szCs w:val="23"/>
        </w:rPr>
        <w:t xml:space="preserve">representatives of the </w:t>
      </w:r>
      <w:r w:rsidR="00D7309B" w:rsidRPr="00545052">
        <w:rPr>
          <w:rFonts w:ascii="Cambria" w:hAnsi="Cambria"/>
          <w:sz w:val="23"/>
          <w:szCs w:val="23"/>
        </w:rPr>
        <w:t>Ministry of Defence shall be entitled to enter and inspect any premises</w:t>
      </w:r>
      <w:r w:rsidR="000007DC">
        <w:rPr>
          <w:rFonts w:ascii="Cambria" w:hAnsi="Cambria"/>
          <w:sz w:val="23"/>
          <w:szCs w:val="23"/>
        </w:rPr>
        <w:t xml:space="preserve"> insofar as they are</w:t>
      </w:r>
      <w:r w:rsidR="00D7309B" w:rsidRPr="00545052">
        <w:rPr>
          <w:rFonts w:ascii="Cambria" w:hAnsi="Cambria"/>
          <w:sz w:val="23"/>
          <w:szCs w:val="23"/>
        </w:rPr>
        <w:t xml:space="preserve"> used by Inmarsat </w:t>
      </w:r>
      <w:r w:rsidR="000007DC">
        <w:rPr>
          <w:rFonts w:ascii="Cambria" w:hAnsi="Cambria"/>
          <w:sz w:val="23"/>
          <w:szCs w:val="23"/>
        </w:rPr>
        <w:t xml:space="preserve">to provide Specified Services to the Ministry of Defence </w:t>
      </w:r>
      <w:r w:rsidR="00FE2F13">
        <w:rPr>
          <w:rFonts w:ascii="Cambria" w:hAnsi="Cambria"/>
          <w:sz w:val="23"/>
          <w:szCs w:val="23"/>
        </w:rPr>
        <w:t xml:space="preserve">and </w:t>
      </w:r>
      <w:r w:rsidR="00D7309B" w:rsidRPr="00545052">
        <w:rPr>
          <w:rFonts w:ascii="Cambria" w:hAnsi="Cambria"/>
          <w:sz w:val="23"/>
          <w:szCs w:val="23"/>
        </w:rPr>
        <w:t xml:space="preserve">which </w:t>
      </w:r>
      <w:r w:rsidR="00FE2F13">
        <w:rPr>
          <w:rFonts w:ascii="Cambria" w:hAnsi="Cambria"/>
          <w:sz w:val="23"/>
          <w:szCs w:val="23"/>
        </w:rPr>
        <w:t xml:space="preserve">handle </w:t>
      </w:r>
      <w:r w:rsidR="00224D6B">
        <w:rPr>
          <w:rFonts w:ascii="Cambria" w:hAnsi="Cambria"/>
          <w:sz w:val="23"/>
          <w:szCs w:val="23"/>
        </w:rPr>
        <w:t>or</w:t>
      </w:r>
      <w:r w:rsidR="00FE2F13">
        <w:rPr>
          <w:rFonts w:ascii="Cambria" w:hAnsi="Cambria"/>
          <w:sz w:val="23"/>
          <w:szCs w:val="23"/>
        </w:rPr>
        <w:t xml:space="preserve"> </w:t>
      </w:r>
      <w:r w:rsidR="00B41D90">
        <w:rPr>
          <w:rFonts w:ascii="Cambria" w:hAnsi="Cambria"/>
          <w:sz w:val="23"/>
          <w:szCs w:val="23"/>
        </w:rPr>
        <w:t>have</w:t>
      </w:r>
      <w:r w:rsidR="00FE2F13">
        <w:rPr>
          <w:rFonts w:ascii="Cambria" w:hAnsi="Cambria"/>
          <w:sz w:val="23"/>
          <w:szCs w:val="23"/>
        </w:rPr>
        <w:t xml:space="preserve"> access</w:t>
      </w:r>
      <w:r w:rsidR="00D7309B" w:rsidRPr="00545052">
        <w:rPr>
          <w:rFonts w:ascii="Cambria" w:hAnsi="Cambria"/>
          <w:sz w:val="23"/>
          <w:szCs w:val="23"/>
        </w:rPr>
        <w:t xml:space="preserve"> </w:t>
      </w:r>
      <w:r w:rsidR="00B41D90">
        <w:rPr>
          <w:rFonts w:ascii="Cambria" w:hAnsi="Cambria"/>
          <w:sz w:val="23"/>
          <w:szCs w:val="23"/>
        </w:rPr>
        <w:t>to</w:t>
      </w:r>
      <w:r w:rsidR="00D7309B" w:rsidRPr="00545052">
        <w:rPr>
          <w:rFonts w:ascii="Cambria" w:hAnsi="Cambria"/>
          <w:sz w:val="23"/>
          <w:szCs w:val="23"/>
        </w:rPr>
        <w:t xml:space="preserve"> Sensitive Material</w:t>
      </w:r>
      <w:r w:rsidR="00B41D90">
        <w:rPr>
          <w:rFonts w:ascii="Cambria" w:hAnsi="Cambria"/>
          <w:sz w:val="23"/>
          <w:szCs w:val="23"/>
        </w:rPr>
        <w:t>,</w:t>
      </w:r>
      <w:r w:rsidR="00D7309B" w:rsidRPr="00545052">
        <w:rPr>
          <w:rFonts w:ascii="Cambria" w:hAnsi="Cambria"/>
          <w:sz w:val="23"/>
          <w:szCs w:val="23"/>
        </w:rPr>
        <w:t xml:space="preserve"> </w:t>
      </w:r>
      <w:r w:rsidR="00C27DD7" w:rsidRPr="00545052">
        <w:rPr>
          <w:rFonts w:ascii="Cambria" w:hAnsi="Cambria"/>
          <w:sz w:val="23"/>
          <w:szCs w:val="23"/>
        </w:rPr>
        <w:t>and inspect any document or thing in such premises which is concerned with such Sensitive Material, whether the visit is announced or unannounced.</w:t>
      </w:r>
      <w:r w:rsidR="00B41D90">
        <w:rPr>
          <w:rFonts w:ascii="Cambria" w:hAnsi="Cambria"/>
          <w:sz w:val="23"/>
          <w:szCs w:val="23"/>
        </w:rPr>
        <w:t xml:space="preserve"> </w:t>
      </w:r>
      <w:r w:rsidR="00C27DD7" w:rsidRPr="00545052">
        <w:rPr>
          <w:rFonts w:ascii="Cambria" w:hAnsi="Cambria"/>
          <w:sz w:val="23"/>
          <w:szCs w:val="23"/>
        </w:rPr>
        <w:t xml:space="preserve">Such representatives shall be entitled to access all such information as they may reasonably require and may remove from any premises any Sensitive Material that is being used or stored in breach of these </w:t>
      </w:r>
      <w:r w:rsidR="007721F3" w:rsidRPr="00545052">
        <w:rPr>
          <w:rFonts w:ascii="Cambria" w:hAnsi="Cambria"/>
          <w:sz w:val="23"/>
          <w:szCs w:val="23"/>
        </w:rPr>
        <w:t xml:space="preserve">Security </w:t>
      </w:r>
      <w:r w:rsidR="00C27DD7" w:rsidRPr="00545052">
        <w:rPr>
          <w:rFonts w:ascii="Cambria" w:hAnsi="Cambria"/>
          <w:sz w:val="23"/>
          <w:szCs w:val="23"/>
        </w:rPr>
        <w:t>Undertakings</w:t>
      </w:r>
      <w:r w:rsidR="000007DC">
        <w:rPr>
          <w:rFonts w:ascii="Cambria" w:hAnsi="Cambria"/>
          <w:sz w:val="23"/>
          <w:szCs w:val="23"/>
        </w:rPr>
        <w:t>, it being understood that these rights are limited to information used by Inmarsat to provide Specified Services to the Ministry of Defence.</w:t>
      </w:r>
      <w:r w:rsidR="00672B74" w:rsidRPr="00545052">
        <w:rPr>
          <w:rFonts w:ascii="Cambria" w:hAnsi="Cambria"/>
          <w:sz w:val="23"/>
          <w:szCs w:val="23"/>
        </w:rPr>
        <w:t xml:space="preserve"> </w:t>
      </w:r>
    </w:p>
    <w:p w14:paraId="1C7BAC1C" w14:textId="3CF5628A" w:rsidR="00545052" w:rsidRDefault="00545052" w:rsidP="00545052">
      <w:pPr>
        <w:pStyle w:val="ListParagraph"/>
        <w:ind w:left="0"/>
        <w:jc w:val="both"/>
        <w:rPr>
          <w:rFonts w:ascii="Cambria" w:hAnsi="Cambria"/>
          <w:sz w:val="23"/>
          <w:szCs w:val="23"/>
        </w:rPr>
      </w:pPr>
    </w:p>
    <w:p w14:paraId="1B0E3349" w14:textId="3B9BBC7F" w:rsidR="00F3418C" w:rsidRDefault="00672B74" w:rsidP="00941179">
      <w:pPr>
        <w:pStyle w:val="ListParagraph"/>
        <w:numPr>
          <w:ilvl w:val="1"/>
          <w:numId w:val="4"/>
        </w:numPr>
        <w:ind w:left="709" w:hanging="709"/>
        <w:jc w:val="both"/>
        <w:rPr>
          <w:rFonts w:ascii="Cambria" w:hAnsi="Cambria"/>
          <w:sz w:val="23"/>
          <w:szCs w:val="23"/>
        </w:rPr>
      </w:pPr>
      <w:r w:rsidRPr="00545052">
        <w:rPr>
          <w:rFonts w:ascii="Cambria" w:hAnsi="Cambria"/>
          <w:sz w:val="23"/>
          <w:szCs w:val="23"/>
        </w:rPr>
        <w:t xml:space="preserve">Inmarsat and Connect </w:t>
      </w:r>
      <w:proofErr w:type="spellStart"/>
      <w:r w:rsidRPr="00545052">
        <w:rPr>
          <w:rFonts w:ascii="Cambria" w:hAnsi="Cambria"/>
          <w:sz w:val="23"/>
          <w:szCs w:val="23"/>
        </w:rPr>
        <w:t>Bidco</w:t>
      </w:r>
      <w:proofErr w:type="spellEnd"/>
      <w:r w:rsidRPr="00545052">
        <w:rPr>
          <w:rFonts w:ascii="Cambria" w:hAnsi="Cambria"/>
          <w:sz w:val="23"/>
          <w:szCs w:val="23"/>
        </w:rPr>
        <w:t xml:space="preserve"> will take or refrain from taking such action as is reasonably necessary, in order to enable Inmarsat to comply with the Security Undertakings. </w:t>
      </w:r>
    </w:p>
    <w:p w14:paraId="323BB523" w14:textId="40DDCA1C" w:rsidR="00F3418C" w:rsidRDefault="00111B5F" w:rsidP="00941179">
      <w:pPr>
        <w:jc w:val="both"/>
        <w:rPr>
          <w:rFonts w:ascii="Cambria" w:hAnsi="Cambria"/>
          <w:b/>
          <w:sz w:val="23"/>
          <w:szCs w:val="23"/>
        </w:rPr>
      </w:pPr>
      <w:r>
        <w:rPr>
          <w:rFonts w:ascii="Cambria" w:hAnsi="Cambria"/>
          <w:b/>
          <w:sz w:val="23"/>
          <w:szCs w:val="23"/>
        </w:rPr>
        <w:t>Provision of Information</w:t>
      </w:r>
    </w:p>
    <w:p w14:paraId="0738B525" w14:textId="5ADCD419" w:rsidR="008759FA" w:rsidRDefault="00F3418C" w:rsidP="00207828">
      <w:pPr>
        <w:pStyle w:val="ListParagraph"/>
        <w:numPr>
          <w:ilvl w:val="1"/>
          <w:numId w:val="4"/>
        </w:numPr>
        <w:ind w:left="709" w:hanging="709"/>
        <w:jc w:val="both"/>
        <w:rPr>
          <w:rFonts w:ascii="Cambria" w:hAnsi="Cambria"/>
          <w:sz w:val="23"/>
          <w:szCs w:val="23"/>
        </w:rPr>
      </w:pPr>
      <w:r>
        <w:rPr>
          <w:rFonts w:ascii="Cambria" w:hAnsi="Cambria"/>
          <w:sz w:val="23"/>
          <w:szCs w:val="23"/>
        </w:rPr>
        <w:t>Inmarsat</w:t>
      </w:r>
      <w:r w:rsidR="005449A3">
        <w:rPr>
          <w:rFonts w:ascii="Cambria" w:hAnsi="Cambria"/>
          <w:sz w:val="23"/>
          <w:szCs w:val="23"/>
        </w:rPr>
        <w:t xml:space="preserve"> and </w:t>
      </w:r>
      <w:r>
        <w:rPr>
          <w:rFonts w:ascii="Cambria" w:hAnsi="Cambria"/>
          <w:sz w:val="23"/>
          <w:szCs w:val="23"/>
        </w:rPr>
        <w:t xml:space="preserve">Connect </w:t>
      </w:r>
      <w:proofErr w:type="spellStart"/>
      <w:r>
        <w:rPr>
          <w:rFonts w:ascii="Cambria" w:hAnsi="Cambria"/>
          <w:sz w:val="23"/>
          <w:szCs w:val="23"/>
        </w:rPr>
        <w:t>Bidco</w:t>
      </w:r>
      <w:proofErr w:type="spellEnd"/>
      <w:r>
        <w:rPr>
          <w:rFonts w:ascii="Cambria" w:hAnsi="Cambria"/>
          <w:sz w:val="23"/>
          <w:szCs w:val="23"/>
        </w:rPr>
        <w:t xml:space="preserve"> will </w:t>
      </w:r>
      <w:r w:rsidR="00A50118">
        <w:rPr>
          <w:rFonts w:ascii="Cambria" w:hAnsi="Cambria"/>
          <w:sz w:val="23"/>
          <w:szCs w:val="23"/>
        </w:rPr>
        <w:t xml:space="preserve">co-operate with the CMA and provide it with such information as it may reasonably require for the purpose of any of its functions under section 92 of the Act in relation to the Security Undertakings.  </w:t>
      </w:r>
      <w:r>
        <w:rPr>
          <w:rFonts w:ascii="Cambria" w:hAnsi="Cambria"/>
          <w:sz w:val="23"/>
          <w:szCs w:val="23"/>
        </w:rPr>
        <w:t xml:space="preserve"> </w:t>
      </w:r>
    </w:p>
    <w:p w14:paraId="5FBA9020" w14:textId="77777777" w:rsidR="00207828" w:rsidRDefault="00207828" w:rsidP="00207828">
      <w:pPr>
        <w:pStyle w:val="ListParagraph"/>
        <w:ind w:left="0"/>
        <w:jc w:val="both"/>
        <w:rPr>
          <w:rFonts w:ascii="Cambria" w:hAnsi="Cambria"/>
          <w:sz w:val="23"/>
          <w:szCs w:val="23"/>
        </w:rPr>
      </w:pPr>
    </w:p>
    <w:p w14:paraId="52F7DEE6" w14:textId="1E9A9A85" w:rsidR="005449A3" w:rsidRPr="00297A9C" w:rsidRDefault="00B01794" w:rsidP="008C4962">
      <w:pPr>
        <w:pStyle w:val="ListParagraph"/>
        <w:numPr>
          <w:ilvl w:val="1"/>
          <w:numId w:val="4"/>
        </w:numPr>
        <w:ind w:left="709" w:hanging="709"/>
        <w:jc w:val="both"/>
        <w:rPr>
          <w:rFonts w:ascii="Cambria" w:hAnsi="Cambria"/>
          <w:sz w:val="23"/>
          <w:szCs w:val="23"/>
        </w:rPr>
      </w:pPr>
      <w:r>
        <w:rPr>
          <w:rFonts w:ascii="Cambria" w:hAnsi="Cambria"/>
          <w:sz w:val="23"/>
          <w:szCs w:val="23"/>
        </w:rPr>
        <w:lastRenderedPageBreak/>
        <w:t xml:space="preserve">Inmarsat and Connect </w:t>
      </w:r>
      <w:proofErr w:type="spellStart"/>
      <w:r>
        <w:rPr>
          <w:rFonts w:ascii="Cambria" w:hAnsi="Cambria"/>
          <w:sz w:val="23"/>
          <w:szCs w:val="23"/>
        </w:rPr>
        <w:t>Bidco</w:t>
      </w:r>
      <w:proofErr w:type="spellEnd"/>
      <w:r>
        <w:rPr>
          <w:rFonts w:ascii="Cambria" w:hAnsi="Cambria"/>
          <w:sz w:val="23"/>
          <w:szCs w:val="23"/>
        </w:rPr>
        <w:t xml:space="preserve"> will provide the Ministry of Defence with such information as it may from time to time reasonably require to ascertain that they are fulfilling the Security Undertakings.  </w:t>
      </w:r>
    </w:p>
    <w:p w14:paraId="2121170D" w14:textId="77777777" w:rsidR="00D06912" w:rsidRDefault="00D06912" w:rsidP="00941179">
      <w:pPr>
        <w:jc w:val="both"/>
        <w:rPr>
          <w:rFonts w:ascii="Cambria" w:hAnsi="Cambria"/>
          <w:b/>
          <w:sz w:val="23"/>
          <w:szCs w:val="23"/>
        </w:rPr>
      </w:pPr>
    </w:p>
    <w:p w14:paraId="76FE65F7" w14:textId="605B1427" w:rsidR="00F37959" w:rsidRDefault="00111B5F" w:rsidP="00941179">
      <w:pPr>
        <w:jc w:val="both"/>
        <w:rPr>
          <w:rFonts w:ascii="Cambria" w:hAnsi="Cambria"/>
          <w:b/>
          <w:sz w:val="23"/>
          <w:szCs w:val="23"/>
        </w:rPr>
      </w:pPr>
      <w:r>
        <w:rPr>
          <w:rFonts w:ascii="Cambria" w:hAnsi="Cambria"/>
          <w:b/>
          <w:sz w:val="23"/>
          <w:szCs w:val="23"/>
        </w:rPr>
        <w:t xml:space="preserve">Directions from the CMA </w:t>
      </w:r>
    </w:p>
    <w:p w14:paraId="3B02D5CF" w14:textId="2C269F2F" w:rsidR="008061A8" w:rsidRPr="00297A9C" w:rsidRDefault="00B24D3E" w:rsidP="000C0A2B">
      <w:pPr>
        <w:pStyle w:val="ListParagraph"/>
        <w:numPr>
          <w:ilvl w:val="1"/>
          <w:numId w:val="4"/>
        </w:numPr>
        <w:ind w:left="709" w:hanging="709"/>
        <w:jc w:val="both"/>
        <w:rPr>
          <w:rFonts w:ascii="Cambria" w:hAnsi="Cambria"/>
          <w:sz w:val="23"/>
          <w:szCs w:val="23"/>
        </w:rPr>
      </w:pPr>
      <w:r w:rsidRPr="00FF767C">
        <w:rPr>
          <w:rFonts w:ascii="Cambria" w:hAnsi="Cambria"/>
          <w:sz w:val="23"/>
          <w:szCs w:val="23"/>
        </w:rPr>
        <w:t>Inmarsat</w:t>
      </w:r>
      <w:r w:rsidR="00D0517C" w:rsidRPr="00FF767C">
        <w:rPr>
          <w:rFonts w:ascii="Cambria" w:hAnsi="Cambria"/>
          <w:sz w:val="23"/>
          <w:szCs w:val="23"/>
        </w:rPr>
        <w:t xml:space="preserve"> and </w:t>
      </w:r>
      <w:r w:rsidR="00CF3B0D" w:rsidRPr="00FF767C">
        <w:rPr>
          <w:rFonts w:ascii="Cambria" w:hAnsi="Cambria"/>
          <w:sz w:val="23"/>
          <w:szCs w:val="23"/>
        </w:rPr>
        <w:t xml:space="preserve">Connect </w:t>
      </w:r>
      <w:proofErr w:type="spellStart"/>
      <w:r w:rsidR="00CF3B0D" w:rsidRPr="00FF767C">
        <w:rPr>
          <w:rFonts w:ascii="Cambria" w:hAnsi="Cambria"/>
          <w:sz w:val="23"/>
          <w:szCs w:val="23"/>
        </w:rPr>
        <w:t>Bidco</w:t>
      </w:r>
      <w:proofErr w:type="spellEnd"/>
      <w:r w:rsidR="00D0517C" w:rsidRPr="00FF767C">
        <w:rPr>
          <w:rFonts w:ascii="Cambria" w:hAnsi="Cambria"/>
          <w:sz w:val="23"/>
          <w:szCs w:val="23"/>
        </w:rPr>
        <w:t xml:space="preserve"> </w:t>
      </w:r>
      <w:r w:rsidR="00CF3B0D" w:rsidRPr="00FF767C">
        <w:rPr>
          <w:rFonts w:ascii="Cambria" w:hAnsi="Cambria"/>
          <w:sz w:val="23"/>
          <w:szCs w:val="23"/>
        </w:rPr>
        <w:t>will comply with such written directions as the CMA may from time to time give to take such steps within their competence as may be specified or described in the directions for the purpose of carrying out or securing compliance with these Security Undertakings.</w:t>
      </w:r>
      <w:r w:rsidR="00FF767C">
        <w:rPr>
          <w:rFonts w:ascii="Cambria" w:hAnsi="Cambria"/>
          <w:sz w:val="23"/>
          <w:szCs w:val="23"/>
        </w:rPr>
        <w:t xml:space="preserve">  </w:t>
      </w:r>
      <w:r w:rsidR="001F06FA" w:rsidRPr="00FF767C">
        <w:rPr>
          <w:rFonts w:ascii="Cambria" w:hAnsi="Cambria"/>
          <w:sz w:val="23"/>
          <w:szCs w:val="23"/>
        </w:rPr>
        <w:t xml:space="preserve"> </w:t>
      </w:r>
      <w:r w:rsidR="008061A8" w:rsidRPr="000C0A2B">
        <w:rPr>
          <w:rFonts w:ascii="Cambria" w:hAnsi="Cambria"/>
          <w:sz w:val="23"/>
          <w:szCs w:val="23"/>
        </w:rPr>
        <w:t xml:space="preserve">Inmarsat or Connect </w:t>
      </w:r>
      <w:proofErr w:type="spellStart"/>
      <w:r w:rsidR="008061A8" w:rsidRPr="000C0A2B">
        <w:rPr>
          <w:rFonts w:ascii="Cambria" w:hAnsi="Cambria"/>
          <w:sz w:val="23"/>
          <w:szCs w:val="23"/>
        </w:rPr>
        <w:t>Bidco</w:t>
      </w:r>
      <w:proofErr w:type="spellEnd"/>
      <w:r w:rsidR="008061A8" w:rsidRPr="000C0A2B">
        <w:rPr>
          <w:rFonts w:ascii="Cambria" w:hAnsi="Cambria"/>
          <w:sz w:val="23"/>
          <w:szCs w:val="23"/>
        </w:rPr>
        <w:t xml:space="preserve"> will do or refrain from doing anything so specified or described in such</w:t>
      </w:r>
      <w:r w:rsidR="008061A8">
        <w:rPr>
          <w:rFonts w:ascii="Cambria" w:hAnsi="Cambria"/>
          <w:sz w:val="23"/>
          <w:szCs w:val="23"/>
        </w:rPr>
        <w:t xml:space="preserve"> </w:t>
      </w:r>
      <w:r w:rsidR="008061A8" w:rsidRPr="000C0A2B">
        <w:rPr>
          <w:rFonts w:ascii="Cambria" w:hAnsi="Cambria"/>
          <w:sz w:val="23"/>
          <w:szCs w:val="23"/>
        </w:rPr>
        <w:t>written directions which they might be required by these Security Undertakings to</w:t>
      </w:r>
      <w:r w:rsidR="008061A8">
        <w:rPr>
          <w:rFonts w:ascii="Cambria" w:hAnsi="Cambria"/>
          <w:sz w:val="23"/>
          <w:szCs w:val="23"/>
        </w:rPr>
        <w:t xml:space="preserve"> </w:t>
      </w:r>
      <w:r w:rsidR="008061A8" w:rsidRPr="000C0A2B">
        <w:rPr>
          <w:rFonts w:ascii="Cambria" w:hAnsi="Cambria"/>
          <w:sz w:val="23"/>
          <w:szCs w:val="23"/>
        </w:rPr>
        <w:t>refrain from doing or to do.</w:t>
      </w:r>
      <w:r w:rsidR="000007DC">
        <w:rPr>
          <w:rFonts w:ascii="Cambria" w:hAnsi="Cambria"/>
          <w:sz w:val="23"/>
          <w:szCs w:val="23"/>
        </w:rPr>
        <w:t xml:space="preserve"> </w:t>
      </w:r>
    </w:p>
    <w:p w14:paraId="05D8A0E3" w14:textId="77777777" w:rsidR="00FD64C9" w:rsidRPr="00FD64C9" w:rsidRDefault="00FD64C9" w:rsidP="00FD64C9">
      <w:pPr>
        <w:pStyle w:val="ListParagraph"/>
        <w:ind w:left="0"/>
        <w:jc w:val="both"/>
        <w:rPr>
          <w:rFonts w:ascii="Cambria" w:hAnsi="Cambria"/>
          <w:sz w:val="23"/>
          <w:szCs w:val="23"/>
        </w:rPr>
      </w:pPr>
    </w:p>
    <w:p w14:paraId="62A869C3" w14:textId="20152647" w:rsidR="0024775E" w:rsidRPr="00822641" w:rsidRDefault="0024775E" w:rsidP="00822641">
      <w:pPr>
        <w:pStyle w:val="ListParagraph"/>
        <w:numPr>
          <w:ilvl w:val="0"/>
          <w:numId w:val="4"/>
        </w:numPr>
        <w:jc w:val="both"/>
        <w:rPr>
          <w:rFonts w:ascii="Cambria" w:hAnsi="Cambria"/>
          <w:b/>
          <w:sz w:val="23"/>
          <w:szCs w:val="23"/>
        </w:rPr>
      </w:pPr>
      <w:r w:rsidRPr="00822641">
        <w:rPr>
          <w:rFonts w:ascii="Cambria" w:hAnsi="Cambria"/>
          <w:b/>
          <w:sz w:val="23"/>
          <w:szCs w:val="23"/>
        </w:rPr>
        <w:tab/>
        <w:t xml:space="preserve">IMPLEMENTATION OF UNDERTAKINGS </w:t>
      </w:r>
    </w:p>
    <w:p w14:paraId="7148351A" w14:textId="77777777" w:rsidR="00500181" w:rsidRDefault="00500181" w:rsidP="00500181">
      <w:pPr>
        <w:pStyle w:val="ListParagraph"/>
        <w:ind w:left="0"/>
        <w:jc w:val="both"/>
        <w:rPr>
          <w:rFonts w:ascii="Cambria" w:hAnsi="Cambria"/>
          <w:sz w:val="23"/>
          <w:szCs w:val="23"/>
        </w:rPr>
      </w:pPr>
    </w:p>
    <w:p w14:paraId="05C7264E" w14:textId="40E6797A" w:rsidR="00111B5F" w:rsidRDefault="00BC76ED" w:rsidP="00941179">
      <w:pPr>
        <w:pStyle w:val="ListParagraph"/>
        <w:numPr>
          <w:ilvl w:val="1"/>
          <w:numId w:val="4"/>
        </w:numPr>
        <w:ind w:left="709" w:hanging="709"/>
        <w:jc w:val="both"/>
        <w:rPr>
          <w:rFonts w:ascii="Cambria" w:hAnsi="Cambria"/>
          <w:sz w:val="23"/>
          <w:szCs w:val="23"/>
        </w:rPr>
      </w:pPr>
      <w:r>
        <w:rPr>
          <w:rFonts w:ascii="Cambria" w:hAnsi="Cambria"/>
          <w:sz w:val="23"/>
          <w:szCs w:val="23"/>
        </w:rPr>
        <w:t>Inmarsat</w:t>
      </w:r>
      <w:r w:rsidR="00FF7644">
        <w:rPr>
          <w:rFonts w:ascii="Cambria" w:hAnsi="Cambria"/>
          <w:sz w:val="23"/>
          <w:szCs w:val="23"/>
        </w:rPr>
        <w:t xml:space="preserve"> </w:t>
      </w:r>
      <w:r w:rsidR="006101F2">
        <w:rPr>
          <w:rFonts w:ascii="Cambria" w:hAnsi="Cambria"/>
          <w:sz w:val="23"/>
          <w:szCs w:val="23"/>
        </w:rPr>
        <w:t xml:space="preserve">and </w:t>
      </w:r>
      <w:r w:rsidR="00F6016F">
        <w:rPr>
          <w:rFonts w:ascii="Cambria" w:hAnsi="Cambria"/>
          <w:sz w:val="23"/>
          <w:szCs w:val="23"/>
        </w:rPr>
        <w:t xml:space="preserve">Connect </w:t>
      </w:r>
      <w:proofErr w:type="spellStart"/>
      <w:r w:rsidR="00F6016F">
        <w:rPr>
          <w:rFonts w:ascii="Cambria" w:hAnsi="Cambria"/>
          <w:sz w:val="23"/>
          <w:szCs w:val="23"/>
        </w:rPr>
        <w:t>Bidco</w:t>
      </w:r>
      <w:proofErr w:type="spellEnd"/>
      <w:r w:rsidR="00F6016F">
        <w:rPr>
          <w:rFonts w:ascii="Cambria" w:hAnsi="Cambria"/>
          <w:sz w:val="23"/>
          <w:szCs w:val="23"/>
        </w:rPr>
        <w:t xml:space="preserve"> will implement the Security Undertakings as soon as possible and in any event within </w:t>
      </w:r>
      <w:r w:rsidR="00D53FF9">
        <w:rPr>
          <w:rFonts w:ascii="Cambria" w:hAnsi="Cambria"/>
          <w:sz w:val="23"/>
          <w:szCs w:val="23"/>
        </w:rPr>
        <w:t xml:space="preserve">five (5) working </w:t>
      </w:r>
      <w:r w:rsidR="00F6016F">
        <w:rPr>
          <w:rFonts w:ascii="Cambria" w:hAnsi="Cambria"/>
          <w:sz w:val="23"/>
          <w:szCs w:val="23"/>
        </w:rPr>
        <w:t xml:space="preserve">days of completion of the Transaction. </w:t>
      </w:r>
    </w:p>
    <w:p w14:paraId="37AFAEE6" w14:textId="77777777" w:rsidR="00500181" w:rsidRPr="00500181" w:rsidRDefault="00500181" w:rsidP="00500181">
      <w:pPr>
        <w:pStyle w:val="ListParagraph"/>
        <w:ind w:left="0"/>
        <w:jc w:val="both"/>
        <w:rPr>
          <w:rFonts w:ascii="Cambria" w:hAnsi="Cambria"/>
          <w:sz w:val="23"/>
          <w:szCs w:val="23"/>
        </w:rPr>
      </w:pPr>
    </w:p>
    <w:p w14:paraId="2DB551F0" w14:textId="019BDB78" w:rsidR="001472E1" w:rsidRDefault="001472E1" w:rsidP="00500181">
      <w:pPr>
        <w:pStyle w:val="ListParagraph"/>
        <w:numPr>
          <w:ilvl w:val="0"/>
          <w:numId w:val="4"/>
        </w:numPr>
        <w:jc w:val="both"/>
        <w:rPr>
          <w:rFonts w:ascii="Cambria" w:hAnsi="Cambria"/>
          <w:b/>
          <w:sz w:val="23"/>
          <w:szCs w:val="23"/>
        </w:rPr>
      </w:pPr>
      <w:r w:rsidRPr="003C2E0E">
        <w:rPr>
          <w:rFonts w:ascii="Cambria" w:hAnsi="Cambria"/>
          <w:b/>
          <w:sz w:val="23"/>
          <w:szCs w:val="23"/>
        </w:rPr>
        <w:tab/>
      </w:r>
      <w:r w:rsidR="000352C6">
        <w:rPr>
          <w:rFonts w:ascii="Cambria" w:hAnsi="Cambria"/>
          <w:b/>
          <w:sz w:val="23"/>
          <w:szCs w:val="23"/>
        </w:rPr>
        <w:t>TERM</w:t>
      </w:r>
      <w:r>
        <w:rPr>
          <w:rFonts w:ascii="Cambria" w:hAnsi="Cambria"/>
          <w:b/>
          <w:sz w:val="23"/>
          <w:szCs w:val="23"/>
        </w:rPr>
        <w:t xml:space="preserve"> OF UNDERTAKINGS </w:t>
      </w:r>
    </w:p>
    <w:p w14:paraId="43885FBE" w14:textId="12554C08" w:rsidR="001472E1" w:rsidRDefault="001472E1" w:rsidP="00500181">
      <w:pPr>
        <w:pStyle w:val="ListParagraph"/>
        <w:ind w:left="0"/>
        <w:jc w:val="both"/>
        <w:rPr>
          <w:rFonts w:ascii="Cambria" w:hAnsi="Cambria"/>
          <w:sz w:val="23"/>
          <w:szCs w:val="23"/>
        </w:rPr>
      </w:pPr>
    </w:p>
    <w:p w14:paraId="459D1C59" w14:textId="5266292E" w:rsidR="009D5759" w:rsidRDefault="001472E1" w:rsidP="00941179">
      <w:pPr>
        <w:pStyle w:val="ListParagraph"/>
        <w:numPr>
          <w:ilvl w:val="1"/>
          <w:numId w:val="4"/>
        </w:numPr>
        <w:ind w:left="709" w:hanging="709"/>
        <w:jc w:val="both"/>
        <w:rPr>
          <w:rFonts w:ascii="Cambria" w:hAnsi="Cambria"/>
          <w:sz w:val="23"/>
          <w:szCs w:val="23"/>
        </w:rPr>
      </w:pPr>
      <w:r>
        <w:rPr>
          <w:rFonts w:ascii="Cambria" w:hAnsi="Cambria"/>
          <w:sz w:val="23"/>
          <w:szCs w:val="23"/>
        </w:rPr>
        <w:t xml:space="preserve">These Undertakings shall take effect upon </w:t>
      </w:r>
      <w:r w:rsidR="009E6924">
        <w:rPr>
          <w:rFonts w:ascii="Cambria" w:hAnsi="Cambria"/>
          <w:sz w:val="23"/>
          <w:szCs w:val="23"/>
        </w:rPr>
        <w:t>the Effective Date and shall continue in force until they are released by the Secretary of State</w:t>
      </w:r>
      <w:r w:rsidR="00224D6B">
        <w:rPr>
          <w:rFonts w:ascii="Cambria" w:hAnsi="Cambria"/>
          <w:sz w:val="23"/>
          <w:szCs w:val="23"/>
        </w:rPr>
        <w:t xml:space="preserve"> or </w:t>
      </w:r>
      <w:r w:rsidR="00AA3843">
        <w:rPr>
          <w:rFonts w:ascii="Cambria" w:hAnsi="Cambria"/>
          <w:sz w:val="23"/>
          <w:szCs w:val="23"/>
        </w:rPr>
        <w:t xml:space="preserve">the </w:t>
      </w:r>
      <w:r w:rsidR="00297CD7">
        <w:rPr>
          <w:rFonts w:ascii="Cambria" w:hAnsi="Cambria"/>
          <w:sz w:val="23"/>
          <w:szCs w:val="23"/>
        </w:rPr>
        <w:t>Specified</w:t>
      </w:r>
      <w:r w:rsidR="00AA3843">
        <w:rPr>
          <w:rFonts w:ascii="Cambria" w:hAnsi="Cambria"/>
          <w:sz w:val="23"/>
          <w:szCs w:val="23"/>
        </w:rPr>
        <w:t xml:space="preserve"> Services have ceased to </w:t>
      </w:r>
      <w:r w:rsidR="008061A8">
        <w:rPr>
          <w:rFonts w:ascii="Cambria" w:hAnsi="Cambria"/>
          <w:sz w:val="23"/>
          <w:szCs w:val="23"/>
        </w:rPr>
        <w:t>be provided</w:t>
      </w:r>
      <w:r w:rsidR="00AA3843">
        <w:rPr>
          <w:rFonts w:ascii="Cambria" w:hAnsi="Cambria"/>
          <w:sz w:val="23"/>
          <w:szCs w:val="23"/>
        </w:rPr>
        <w:t>.</w:t>
      </w:r>
      <w:r w:rsidR="00262DC9">
        <w:rPr>
          <w:rFonts w:ascii="Cambria" w:hAnsi="Cambria"/>
          <w:sz w:val="23"/>
          <w:szCs w:val="23"/>
        </w:rPr>
        <w:t xml:space="preserve"> These Undertakings will cease to apply to Connect </w:t>
      </w:r>
      <w:proofErr w:type="spellStart"/>
      <w:r w:rsidR="00262DC9">
        <w:rPr>
          <w:rFonts w:ascii="Cambria" w:hAnsi="Cambria"/>
          <w:sz w:val="23"/>
          <w:szCs w:val="23"/>
        </w:rPr>
        <w:t>Bidco</w:t>
      </w:r>
      <w:proofErr w:type="spellEnd"/>
      <w:r w:rsidR="00262DC9">
        <w:rPr>
          <w:rFonts w:ascii="Cambria" w:hAnsi="Cambria"/>
          <w:sz w:val="23"/>
          <w:szCs w:val="23"/>
        </w:rPr>
        <w:t xml:space="preserve"> upon Exit</w:t>
      </w:r>
      <w:r w:rsidR="00B41D90">
        <w:rPr>
          <w:rFonts w:ascii="Cambria" w:hAnsi="Cambria"/>
          <w:sz w:val="23"/>
          <w:szCs w:val="23"/>
        </w:rPr>
        <w:t>.</w:t>
      </w:r>
      <w:r w:rsidR="000007DC">
        <w:rPr>
          <w:rFonts w:ascii="Cambria" w:hAnsi="Cambria"/>
          <w:sz w:val="23"/>
          <w:szCs w:val="23"/>
        </w:rPr>
        <w:t xml:space="preserve"> </w:t>
      </w:r>
    </w:p>
    <w:p w14:paraId="0032205E" w14:textId="77777777" w:rsidR="00500181" w:rsidRPr="00500181" w:rsidRDefault="00500181" w:rsidP="00500181">
      <w:pPr>
        <w:pStyle w:val="ListParagraph"/>
        <w:ind w:left="0"/>
        <w:jc w:val="both"/>
        <w:rPr>
          <w:rFonts w:ascii="Cambria" w:hAnsi="Cambria"/>
          <w:sz w:val="23"/>
          <w:szCs w:val="23"/>
        </w:rPr>
      </w:pPr>
    </w:p>
    <w:p w14:paraId="55CFB0B1" w14:textId="53C95748" w:rsidR="009D5759" w:rsidRDefault="009D5759" w:rsidP="00500181">
      <w:pPr>
        <w:pStyle w:val="ListParagraph"/>
        <w:numPr>
          <w:ilvl w:val="0"/>
          <w:numId w:val="4"/>
        </w:numPr>
        <w:jc w:val="both"/>
        <w:rPr>
          <w:rFonts w:ascii="Cambria" w:hAnsi="Cambria"/>
          <w:b/>
          <w:sz w:val="23"/>
          <w:szCs w:val="23"/>
        </w:rPr>
      </w:pPr>
      <w:r w:rsidRPr="003C2E0E">
        <w:rPr>
          <w:rFonts w:ascii="Cambria" w:hAnsi="Cambria"/>
          <w:b/>
          <w:sz w:val="23"/>
          <w:szCs w:val="23"/>
        </w:rPr>
        <w:tab/>
      </w:r>
      <w:r>
        <w:rPr>
          <w:rFonts w:ascii="Cambria" w:hAnsi="Cambria"/>
          <w:b/>
          <w:sz w:val="23"/>
          <w:szCs w:val="23"/>
        </w:rPr>
        <w:t xml:space="preserve">GOVERNING LAW  </w:t>
      </w:r>
    </w:p>
    <w:p w14:paraId="6275A1DE" w14:textId="7D6980EF" w:rsidR="009D5759" w:rsidRPr="00941179" w:rsidRDefault="009D5759" w:rsidP="00500181">
      <w:pPr>
        <w:pStyle w:val="ListParagraph"/>
        <w:ind w:left="0"/>
        <w:jc w:val="both"/>
        <w:rPr>
          <w:rFonts w:ascii="Cambria" w:hAnsi="Cambria"/>
          <w:sz w:val="23"/>
          <w:szCs w:val="23"/>
        </w:rPr>
      </w:pPr>
    </w:p>
    <w:p w14:paraId="53843993" w14:textId="52D110DB" w:rsidR="00941179" w:rsidRDefault="00941179" w:rsidP="00500181">
      <w:pPr>
        <w:pStyle w:val="ListParagraph"/>
        <w:numPr>
          <w:ilvl w:val="1"/>
          <w:numId w:val="4"/>
        </w:numPr>
        <w:ind w:left="709" w:hanging="709"/>
        <w:jc w:val="both"/>
        <w:rPr>
          <w:rFonts w:ascii="Cambria" w:hAnsi="Cambria"/>
          <w:sz w:val="23"/>
          <w:szCs w:val="23"/>
        </w:rPr>
      </w:pPr>
      <w:r w:rsidRPr="00941179">
        <w:rPr>
          <w:rFonts w:ascii="Cambria" w:hAnsi="Cambria"/>
          <w:sz w:val="23"/>
          <w:szCs w:val="23"/>
        </w:rPr>
        <w:t>These Undertakings shall be governed by and construed in accordance with the laws of England and each party hereby irrevocably submits to the exclusive jurisdiction of the English courts.</w:t>
      </w:r>
    </w:p>
    <w:p w14:paraId="0A98CF63" w14:textId="3E166ACD" w:rsidR="00E10377" w:rsidRDefault="00E10377" w:rsidP="00941179">
      <w:pPr>
        <w:jc w:val="both"/>
        <w:rPr>
          <w:rFonts w:ascii="Cambria" w:hAnsi="Cambria"/>
          <w:sz w:val="23"/>
          <w:szCs w:val="23"/>
        </w:rPr>
      </w:pPr>
    </w:p>
    <w:p w14:paraId="1F89BDFB" w14:textId="6024C0C3" w:rsidR="00E10377" w:rsidRDefault="00E10377" w:rsidP="00941179">
      <w:pPr>
        <w:jc w:val="both"/>
        <w:rPr>
          <w:rFonts w:ascii="Cambria" w:hAnsi="Cambria"/>
          <w:sz w:val="23"/>
          <w:szCs w:val="23"/>
        </w:rPr>
      </w:pPr>
      <w:r>
        <w:rPr>
          <w:rFonts w:ascii="Cambria" w:hAnsi="Cambria"/>
          <w:sz w:val="23"/>
          <w:szCs w:val="23"/>
        </w:rPr>
        <w:t xml:space="preserve">Signed </w:t>
      </w:r>
    </w:p>
    <w:p w14:paraId="7D03E568" w14:textId="1984CE8E" w:rsidR="00E10377" w:rsidRDefault="00E10377" w:rsidP="00941179">
      <w:pPr>
        <w:jc w:val="both"/>
        <w:rPr>
          <w:rFonts w:ascii="Cambria" w:hAnsi="Cambria"/>
          <w:sz w:val="23"/>
          <w:szCs w:val="23"/>
        </w:rPr>
      </w:pPr>
    </w:p>
    <w:p w14:paraId="16F4D629" w14:textId="032963EB" w:rsidR="00E10377" w:rsidRDefault="00E10377" w:rsidP="00941179">
      <w:pPr>
        <w:jc w:val="both"/>
        <w:rPr>
          <w:rFonts w:ascii="Cambria" w:hAnsi="Cambria"/>
          <w:sz w:val="23"/>
          <w:szCs w:val="23"/>
        </w:rPr>
      </w:pPr>
      <w:r>
        <w:rPr>
          <w:rFonts w:ascii="Cambria" w:hAnsi="Cambria"/>
          <w:sz w:val="23"/>
          <w:szCs w:val="23"/>
          <w:u w:val="single"/>
        </w:rPr>
        <w:t>For an</w:t>
      </w:r>
      <w:r w:rsidR="00C91F23">
        <w:rPr>
          <w:rFonts w:ascii="Cambria" w:hAnsi="Cambria"/>
          <w:sz w:val="23"/>
          <w:szCs w:val="23"/>
          <w:u w:val="single"/>
        </w:rPr>
        <w:t>d</w:t>
      </w:r>
      <w:r>
        <w:rPr>
          <w:rFonts w:ascii="Cambria" w:hAnsi="Cambria"/>
          <w:sz w:val="23"/>
          <w:szCs w:val="23"/>
          <w:u w:val="single"/>
        </w:rPr>
        <w:t xml:space="preserve"> on behalf of Inmarsat </w:t>
      </w:r>
    </w:p>
    <w:p w14:paraId="42C81829" w14:textId="1153B35D" w:rsidR="00C91F23" w:rsidRDefault="00C91F23" w:rsidP="00941179">
      <w:pPr>
        <w:jc w:val="both"/>
        <w:rPr>
          <w:rFonts w:ascii="Cambria" w:hAnsi="Cambria"/>
          <w:sz w:val="23"/>
          <w:szCs w:val="23"/>
        </w:rPr>
      </w:pPr>
    </w:p>
    <w:p w14:paraId="5314C1CA" w14:textId="5E5B3567" w:rsidR="00C91F23" w:rsidRDefault="00C91F23" w:rsidP="00941179">
      <w:pPr>
        <w:jc w:val="both"/>
        <w:rPr>
          <w:rFonts w:ascii="Cambria" w:hAnsi="Cambria"/>
          <w:sz w:val="23"/>
          <w:szCs w:val="23"/>
        </w:rPr>
      </w:pPr>
    </w:p>
    <w:p w14:paraId="6C1C9425" w14:textId="18F3B5C3" w:rsidR="00C91F23" w:rsidRDefault="00C91F23" w:rsidP="00941179">
      <w:pPr>
        <w:jc w:val="both"/>
        <w:rPr>
          <w:rFonts w:ascii="Cambria" w:hAnsi="Cambria"/>
          <w:sz w:val="23"/>
          <w:szCs w:val="23"/>
        </w:rPr>
      </w:pPr>
      <w:r>
        <w:rPr>
          <w:rFonts w:ascii="Cambria" w:hAnsi="Cambria"/>
          <w:sz w:val="23"/>
          <w:szCs w:val="23"/>
        </w:rPr>
        <w:t xml:space="preserve">Signed </w:t>
      </w:r>
    </w:p>
    <w:p w14:paraId="5890A705" w14:textId="406458F6" w:rsidR="00C91F23" w:rsidRDefault="00C91F23" w:rsidP="00941179">
      <w:pPr>
        <w:jc w:val="both"/>
        <w:rPr>
          <w:rFonts w:ascii="Cambria" w:hAnsi="Cambria"/>
          <w:sz w:val="23"/>
          <w:szCs w:val="23"/>
        </w:rPr>
      </w:pPr>
    </w:p>
    <w:p w14:paraId="64B5AFA7" w14:textId="65EADCE6" w:rsidR="00C91F23" w:rsidRDefault="00C91F23" w:rsidP="00941179">
      <w:pPr>
        <w:jc w:val="both"/>
        <w:rPr>
          <w:rFonts w:ascii="Cambria" w:hAnsi="Cambria"/>
          <w:sz w:val="23"/>
          <w:szCs w:val="23"/>
          <w:u w:val="single"/>
        </w:rPr>
      </w:pPr>
      <w:r>
        <w:rPr>
          <w:rFonts w:ascii="Cambria" w:hAnsi="Cambria"/>
          <w:sz w:val="23"/>
          <w:szCs w:val="23"/>
          <w:u w:val="single"/>
        </w:rPr>
        <w:t xml:space="preserve">For and on behalf of Connect </w:t>
      </w:r>
      <w:proofErr w:type="spellStart"/>
      <w:r>
        <w:rPr>
          <w:rFonts w:ascii="Cambria" w:hAnsi="Cambria"/>
          <w:sz w:val="23"/>
          <w:szCs w:val="23"/>
          <w:u w:val="single"/>
        </w:rPr>
        <w:t>Bidco</w:t>
      </w:r>
      <w:proofErr w:type="spellEnd"/>
      <w:r>
        <w:rPr>
          <w:rFonts w:ascii="Cambria" w:hAnsi="Cambria"/>
          <w:sz w:val="23"/>
          <w:szCs w:val="23"/>
          <w:u w:val="single"/>
        </w:rPr>
        <w:t xml:space="preserve"> </w:t>
      </w:r>
    </w:p>
    <w:p w14:paraId="3E1B5B96" w14:textId="59AAECD6" w:rsidR="00C91F23" w:rsidRPr="00C91F23" w:rsidRDefault="00C91F23" w:rsidP="00941179">
      <w:pPr>
        <w:jc w:val="both"/>
        <w:rPr>
          <w:rFonts w:ascii="Cambria" w:hAnsi="Cambria"/>
          <w:sz w:val="23"/>
          <w:szCs w:val="23"/>
          <w:u w:val="single"/>
        </w:rPr>
      </w:pPr>
    </w:p>
    <w:sectPr w:rsidR="00C91F23" w:rsidRPr="00C91F2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67852" w14:textId="77777777" w:rsidR="00890EF7" w:rsidRDefault="00890EF7" w:rsidP="00F01241">
      <w:pPr>
        <w:spacing w:after="0" w:line="240" w:lineRule="auto"/>
      </w:pPr>
      <w:r>
        <w:separator/>
      </w:r>
    </w:p>
  </w:endnote>
  <w:endnote w:type="continuationSeparator" w:id="0">
    <w:p w14:paraId="671A5008" w14:textId="77777777" w:rsidR="00890EF7" w:rsidRDefault="00890EF7" w:rsidP="00F01241">
      <w:pPr>
        <w:spacing w:after="0" w:line="240" w:lineRule="auto"/>
      </w:pPr>
      <w:r>
        <w:continuationSeparator/>
      </w:r>
    </w:p>
  </w:endnote>
  <w:endnote w:type="continuationNotice" w:id="1">
    <w:p w14:paraId="17BBA66E" w14:textId="77777777" w:rsidR="00890EF7" w:rsidRDefault="00890E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D29EF" w14:textId="77777777" w:rsidR="00CF5B7C" w:rsidRDefault="00CF5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5004035"/>
      <w:docPartObj>
        <w:docPartGallery w:val="Page Numbers (Bottom of Page)"/>
        <w:docPartUnique/>
      </w:docPartObj>
    </w:sdtPr>
    <w:sdtEndPr>
      <w:rPr>
        <w:noProof/>
      </w:rPr>
    </w:sdtEndPr>
    <w:sdtContent>
      <w:p w14:paraId="25DB9D7D" w14:textId="0947A67B" w:rsidR="004C6A74" w:rsidRDefault="004C6A74">
        <w:pPr>
          <w:pStyle w:val="Footer"/>
          <w:jc w:val="center"/>
        </w:pPr>
        <w:r>
          <w:fldChar w:fldCharType="begin"/>
        </w:r>
        <w:r>
          <w:instrText xml:space="preserve"> PAGE   \* MERGEFORMAT </w:instrText>
        </w:r>
        <w:r>
          <w:fldChar w:fldCharType="separate"/>
        </w:r>
        <w:r w:rsidR="00CF5B7C">
          <w:rPr>
            <w:noProof/>
          </w:rPr>
          <w:t>9</w:t>
        </w:r>
        <w:r>
          <w:rPr>
            <w:noProof/>
          </w:rPr>
          <w:fldChar w:fldCharType="end"/>
        </w:r>
      </w:p>
    </w:sdtContent>
  </w:sdt>
  <w:p w14:paraId="5F9F7887" w14:textId="4D67E57C" w:rsidR="00837D3A" w:rsidRDefault="00837D3A">
    <w:pPr>
      <w:pStyle w:val="Footer"/>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C7915" w14:textId="732CB0B5" w:rsidR="00837D3A" w:rsidRDefault="00AB56F5">
    <w:pPr>
      <w:pStyle w:val="Footer"/>
      <w:spacing w:line="20" w:lineRule="exact"/>
    </w:pPr>
    <w:r>
      <w:rPr>
        <w:noProof/>
        <w:lang w:eastAsia="en-GB"/>
      </w:rPr>
      <mc:AlternateContent>
        <mc:Choice Requires="wps">
          <w:drawing>
            <wp:inline distT="0" distB="0" distL="0" distR="0" wp14:anchorId="3233E2C3" wp14:editId="47E724D1">
              <wp:extent cx="2560320" cy="255905"/>
              <wp:effectExtent l="0" t="0" r="11430" b="107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F0E69" w14:textId="53FF968F" w:rsidR="00837D3A" w:rsidRDefault="00890EF7">
                          <w:pPr>
                            <w:pStyle w:val="MacPacTrailer"/>
                          </w:pPr>
                          <w:r>
                            <w:fldChar w:fldCharType="begin"/>
                          </w:r>
                          <w:r>
                            <w:instrText xml:space="preserve"> DOCPROPERTY  docId </w:instrText>
                          </w:r>
                          <w:r>
                            <w:fldChar w:fldCharType="separate"/>
                          </w:r>
                          <w:r w:rsidR="004E2010">
                            <w:t>LON53965448</w:t>
                          </w:r>
                          <w:r>
                            <w:fldChar w:fldCharType="end"/>
                          </w:r>
                          <w:r w:rsidR="00837D3A">
                            <w:fldChar w:fldCharType="begin"/>
                          </w:r>
                          <w:r w:rsidR="00837D3A">
                            <w:instrText xml:space="preserve"> IF </w:instrText>
                          </w:r>
                          <w:r>
                            <w:fldChar w:fldCharType="begin"/>
                          </w:r>
                          <w:r>
                            <w:instrText xml:space="preserve"> DOCPROPERTY  docIncludeVersion </w:instrText>
                          </w:r>
                          <w:r>
                            <w:fldChar w:fldCharType="separate"/>
                          </w:r>
                          <w:r w:rsidR="004E2010">
                            <w:instrText>true</w:instrText>
                          </w:r>
                          <w:r>
                            <w:fldChar w:fldCharType="end"/>
                          </w:r>
                          <w:r w:rsidR="00837D3A">
                            <w:instrText xml:space="preserve"> = true "/</w:instrText>
                          </w:r>
                          <w:r>
                            <w:fldChar w:fldCharType="begin"/>
                          </w:r>
                          <w:r>
                            <w:instrText xml:space="preserve"> DOCPROPERTY  docVersion </w:instrText>
                          </w:r>
                          <w:r>
                            <w:fldChar w:fldCharType="separate"/>
                          </w:r>
                          <w:r w:rsidR="004E2010">
                            <w:instrText>2</w:instrText>
                          </w:r>
                          <w:r>
                            <w:fldChar w:fldCharType="end"/>
                          </w:r>
                          <w:r w:rsidR="00837D3A">
                            <w:instrText>"</w:instrText>
                          </w:r>
                          <w:r w:rsidR="00837D3A">
                            <w:fldChar w:fldCharType="separate"/>
                          </w:r>
                          <w:r w:rsidR="004E2010">
                            <w:rPr>
                              <w:noProof/>
                            </w:rPr>
                            <w:t>/2</w:t>
                          </w:r>
                          <w:r w:rsidR="004E2010" w:rsidDel="004E2010">
                            <w:rPr>
                              <w:noProof/>
                            </w:rPr>
                            <w:t>1</w:t>
                          </w:r>
                          <w:r w:rsidR="00837D3A">
                            <w:fldChar w:fldCharType="end"/>
                          </w:r>
                          <w:r w:rsidR="00837D3A">
                            <w:t xml:space="preserve">   </w:t>
                          </w:r>
                          <w:r w:rsidR="00837D3A">
                            <w:fldChar w:fldCharType="begin"/>
                          </w:r>
                          <w:r w:rsidR="00837D3A">
                            <w:instrText xml:space="preserve"> IF </w:instrText>
                          </w:r>
                          <w:r>
                            <w:fldChar w:fldCharType="begin"/>
                          </w:r>
                          <w:r>
                            <w:instrText xml:space="preserve"> DOCPROPERTY  docIncludeCliMat </w:instrText>
                          </w:r>
                          <w:r>
                            <w:fldChar w:fldCharType="separate"/>
                          </w:r>
                          <w:r w:rsidR="004E2010">
                            <w:instrText>true</w:instrText>
                          </w:r>
                          <w:r>
                            <w:fldChar w:fldCharType="end"/>
                          </w:r>
                          <w:r w:rsidR="00837D3A">
                            <w:instrText xml:space="preserve"> = true </w:instrText>
                          </w:r>
                          <w:r>
                            <w:fldChar w:fldCharType="begin"/>
                          </w:r>
                          <w:r>
                            <w:instrText xml:space="preserve"> DOCPROPERTY  docCliMat </w:instrText>
                          </w:r>
                          <w:r>
                            <w:fldChar w:fldCharType="separate"/>
                          </w:r>
                          <w:r w:rsidR="004E2010">
                            <w:instrText>167227-0022</w:instrText>
                          </w:r>
                          <w:r>
                            <w:fldChar w:fldCharType="end"/>
                          </w:r>
                          <w:r w:rsidR="00837D3A">
                            <w:instrText xml:space="preserve">  </w:instrText>
                          </w:r>
                          <w:r w:rsidR="00837D3A">
                            <w:fldChar w:fldCharType="separate"/>
                          </w:r>
                          <w:r w:rsidR="004E2010">
                            <w:rPr>
                              <w:noProof/>
                            </w:rPr>
                            <w:t>167227-0022</w:t>
                          </w:r>
                          <w:r w:rsidR="00837D3A">
                            <w:fldChar w:fldCharType="end"/>
                          </w:r>
                        </w:p>
                        <w:p w14:paraId="0A289522" w14:textId="42684D0F" w:rsidR="00837D3A" w:rsidRDefault="00837D3A">
                          <w:pPr>
                            <w:pStyle w:val="MacPacTrailer"/>
                          </w:pPr>
                        </w:p>
                      </w:txbxContent>
                    </wps:txbx>
                    <wps:bodyPr rot="0" vert="horz" wrap="square" lIns="0" tIns="0" rIns="0" bIns="0" anchor="t" anchorCtr="0" upright="1">
                      <a:noAutofit/>
                    </wps:bodyPr>
                  </wps:wsp>
                </a:graphicData>
              </a:graphic>
            </wp:inline>
          </w:drawing>
        </mc:Choice>
        <mc:Fallback>
          <w:pict>
            <v:shapetype w14:anchorId="3233E2C3" id="_x0000_t202" coordsize="21600,21600" o:spt="202" path="m,l,21600r21600,l21600,xe">
              <v:stroke joinstyle="miter"/>
              <v:path gradientshapeok="t" o:connecttype="rect"/>
            </v:shapetype>
            <v:shape id="Text Box 1" o:spid="_x0000_s1026" type="#_x0000_t202" style="width:201.6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" filled="f" stroked="f">
              <v:textbox inset="0,0,0,0">
                <w:txbxContent>
                  <w:p w14:paraId="0B8F0E69" w14:textId="53FF968F" w:rsidR="00837D3A" w:rsidRDefault="00890EF7">
                    <w:pPr>
                      <w:pStyle w:val="MacPacTrailer"/>
                    </w:pPr>
                    <w:r>
                      <w:fldChar w:fldCharType="begin"/>
                    </w:r>
                    <w:r>
                      <w:instrText xml:space="preserve"> DOCPROPERTY  docId </w:instrText>
                    </w:r>
                    <w:r>
                      <w:fldChar w:fldCharType="separate"/>
                    </w:r>
                    <w:r w:rsidR="004E2010">
                      <w:t>LON53965448</w:t>
                    </w:r>
                    <w:r>
                      <w:fldChar w:fldCharType="end"/>
                    </w:r>
                    <w:r w:rsidR="00837D3A">
                      <w:fldChar w:fldCharType="begin"/>
                    </w:r>
                    <w:r w:rsidR="00837D3A">
                      <w:instrText xml:space="preserve"> IF </w:instrText>
                    </w:r>
                    <w:r>
                      <w:fldChar w:fldCharType="begin"/>
                    </w:r>
                    <w:r>
                      <w:instrText xml:space="preserve"> DOCPROPERTY  docIncludeVersion </w:instrText>
                    </w:r>
                    <w:r>
                      <w:fldChar w:fldCharType="separate"/>
                    </w:r>
                    <w:r w:rsidR="004E2010">
                      <w:instrText>true</w:instrText>
                    </w:r>
                    <w:r>
                      <w:fldChar w:fldCharType="end"/>
                    </w:r>
                    <w:r w:rsidR="00837D3A">
                      <w:instrText xml:space="preserve"> = true "/</w:instrText>
                    </w:r>
                    <w:r>
                      <w:fldChar w:fldCharType="begin"/>
                    </w:r>
                    <w:r>
                      <w:instrText xml:space="preserve"> DOCPROPERTY  docVersion </w:instrText>
                    </w:r>
                    <w:r>
                      <w:fldChar w:fldCharType="separate"/>
                    </w:r>
                    <w:r w:rsidR="004E2010">
                      <w:instrText>2</w:instrText>
                    </w:r>
                    <w:r>
                      <w:fldChar w:fldCharType="end"/>
                    </w:r>
                    <w:r w:rsidR="00837D3A">
                      <w:instrText>"</w:instrText>
                    </w:r>
                    <w:r w:rsidR="00837D3A">
                      <w:fldChar w:fldCharType="separate"/>
                    </w:r>
                    <w:r w:rsidR="004E2010">
                      <w:rPr>
                        <w:noProof/>
                      </w:rPr>
                      <w:t>/2</w:t>
                    </w:r>
                    <w:r w:rsidR="004E2010" w:rsidDel="004E2010">
                      <w:rPr>
                        <w:noProof/>
                      </w:rPr>
                      <w:t>1</w:t>
                    </w:r>
                    <w:r w:rsidR="00837D3A">
                      <w:fldChar w:fldCharType="end"/>
                    </w:r>
                    <w:r w:rsidR="00837D3A">
                      <w:t xml:space="preserve">   </w:t>
                    </w:r>
                    <w:r w:rsidR="00837D3A">
                      <w:fldChar w:fldCharType="begin"/>
                    </w:r>
                    <w:r w:rsidR="00837D3A">
                      <w:instrText xml:space="preserve"> IF </w:instrText>
                    </w:r>
                    <w:r>
                      <w:fldChar w:fldCharType="begin"/>
                    </w:r>
                    <w:r>
                      <w:instrText xml:space="preserve"> DOCPROPERTY  docIncludeCliMat </w:instrText>
                    </w:r>
                    <w:r>
                      <w:fldChar w:fldCharType="separate"/>
                    </w:r>
                    <w:r w:rsidR="004E2010">
                      <w:instrText>true</w:instrText>
                    </w:r>
                    <w:r>
                      <w:fldChar w:fldCharType="end"/>
                    </w:r>
                    <w:r w:rsidR="00837D3A">
                      <w:instrText xml:space="preserve"> = true </w:instrText>
                    </w:r>
                    <w:r>
                      <w:fldChar w:fldCharType="begin"/>
                    </w:r>
                    <w:r>
                      <w:instrText xml:space="preserve"> DOCPROPERTY  docCliMat </w:instrText>
                    </w:r>
                    <w:r>
                      <w:fldChar w:fldCharType="separate"/>
                    </w:r>
                    <w:r w:rsidR="004E2010">
                      <w:instrText>167227-0022</w:instrText>
                    </w:r>
                    <w:r>
                      <w:fldChar w:fldCharType="end"/>
                    </w:r>
                    <w:r w:rsidR="00837D3A">
                      <w:instrText xml:space="preserve">  </w:instrText>
                    </w:r>
                    <w:r w:rsidR="00837D3A">
                      <w:fldChar w:fldCharType="separate"/>
                    </w:r>
                    <w:r w:rsidR="004E2010">
                      <w:rPr>
                        <w:noProof/>
                      </w:rPr>
                      <w:t>167227-0022</w:t>
                    </w:r>
                    <w:r w:rsidR="00837D3A">
                      <w:fldChar w:fldCharType="end"/>
                    </w:r>
                  </w:p>
                  <w:p w14:paraId="0A289522" w14:textId="42684D0F" w:rsidR="00837D3A" w:rsidRDefault="00837D3A">
                    <w:pPr>
                      <w:pStyle w:val="MacPacTrailer"/>
                    </w:pP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0B2FF" w14:textId="77777777" w:rsidR="00890EF7" w:rsidRDefault="00890EF7" w:rsidP="00F01241">
      <w:pPr>
        <w:spacing w:after="0" w:line="240" w:lineRule="auto"/>
      </w:pPr>
      <w:r>
        <w:separator/>
      </w:r>
    </w:p>
  </w:footnote>
  <w:footnote w:type="continuationSeparator" w:id="0">
    <w:p w14:paraId="5785BA88" w14:textId="77777777" w:rsidR="00890EF7" w:rsidRDefault="00890EF7" w:rsidP="00F01241">
      <w:pPr>
        <w:spacing w:after="0" w:line="240" w:lineRule="auto"/>
      </w:pPr>
      <w:r>
        <w:continuationSeparator/>
      </w:r>
    </w:p>
  </w:footnote>
  <w:footnote w:type="continuationNotice" w:id="1">
    <w:p w14:paraId="20077B5C" w14:textId="77777777" w:rsidR="00890EF7" w:rsidRDefault="00890EF7">
      <w:pPr>
        <w:spacing w:after="0" w:line="240" w:lineRule="auto"/>
      </w:pPr>
    </w:p>
  </w:footnote>
  <w:footnote w:id="2">
    <w:p w14:paraId="63871075" w14:textId="57C5E95B" w:rsidR="007A798D" w:rsidRDefault="007A798D">
      <w:pPr>
        <w:pStyle w:val="FootnoteText"/>
      </w:pPr>
      <w:r w:rsidRPr="00AB56F5">
        <w:rPr>
          <w:rStyle w:val="FootnoteReference"/>
        </w:rPr>
        <w:footnoteRef/>
      </w:r>
      <w:r w:rsidRPr="00AB56F5">
        <w:t xml:space="preserve"> </w:t>
      </w:r>
      <w:hyperlink r:id="rId1" w:history="1">
        <w:r w:rsidRPr="00AB56F5">
          <w:rPr>
            <w:rStyle w:val="Hyperlink"/>
            <w:color w:val="auto"/>
          </w:rPr>
          <w:t>https://assets.publishing.service.gov.uk/government/uploads/system/uploads/attachment_data/file/715778/May-2018_Government-Security-Classifications-2.pdf</w:t>
        </w:r>
      </w:hyperlink>
    </w:p>
  </w:footnote>
  <w:footnote w:id="3">
    <w:p w14:paraId="1FE7565F" w14:textId="38B4C71A" w:rsidR="004A2016" w:rsidRPr="00051DCF" w:rsidRDefault="004A2016">
      <w:pPr>
        <w:pStyle w:val="FootnoteText"/>
        <w:rPr>
          <w:rFonts w:ascii="Cambria" w:hAnsi="Cambria"/>
        </w:rPr>
      </w:pPr>
      <w:r w:rsidRPr="00051DCF">
        <w:rPr>
          <w:rStyle w:val="FootnoteReference"/>
          <w:rFonts w:ascii="Cambria" w:hAnsi="Cambria"/>
        </w:rPr>
        <w:footnoteRef/>
      </w:r>
      <w:r w:rsidRPr="00051DCF">
        <w:rPr>
          <w:rFonts w:ascii="Cambria" w:hAnsi="Cambria"/>
        </w:rPr>
        <w:t xml:space="preserve"> </w:t>
      </w:r>
      <w:hyperlink r:id="rId2" w:history="1">
        <w:r w:rsidR="00FE625D" w:rsidRPr="00AB56F5">
          <w:rPr>
            <w:rStyle w:val="Hyperlink"/>
            <w:rFonts w:ascii="Cambria" w:hAnsi="Cambria"/>
            <w:color w:val="auto"/>
          </w:rPr>
          <w:t>https://assets.publishing.service.gov.uk/government/uploads/system/uploads/attachment_data/file/367514/Security_Requirements_for_List_X_Contractors.pdf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E5312" w14:textId="77777777" w:rsidR="00CF5B7C" w:rsidRDefault="00CF5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EA6FE" w14:textId="1A473F6E" w:rsidR="007A798D" w:rsidRPr="00866158" w:rsidRDefault="007A798D" w:rsidP="00866158">
    <w:pPr>
      <w:pStyle w:val="Heade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6158">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r w:rsidR="004C6A7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 CONSULTATION</w:t>
    </w:r>
  </w:p>
  <w:p w14:paraId="0842A3C2" w14:textId="0391DD70" w:rsidR="007A798D" w:rsidRDefault="00FE625D" w:rsidP="00FE625D">
    <w:pPr>
      <w:pStyle w:val="Header"/>
      <w:tabs>
        <w:tab w:val="left" w:pos="6728"/>
      </w:tabs>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517EC" w14:textId="77777777" w:rsidR="00CF5B7C" w:rsidRDefault="00CF5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7EEA9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376D6"/>
    <w:multiLevelType w:val="multilevel"/>
    <w:tmpl w:val="BC5A7C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7E7731"/>
    <w:multiLevelType w:val="hybridMultilevel"/>
    <w:tmpl w:val="EE62CA3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D7D76"/>
    <w:multiLevelType w:val="hybridMultilevel"/>
    <w:tmpl w:val="BE3EC76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964D29"/>
    <w:multiLevelType w:val="hybridMultilevel"/>
    <w:tmpl w:val="BA4468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DB5E0C"/>
    <w:multiLevelType w:val="hybridMultilevel"/>
    <w:tmpl w:val="92B2642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E6E03"/>
    <w:multiLevelType w:val="hybridMultilevel"/>
    <w:tmpl w:val="EC6ED2DC"/>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91F59"/>
    <w:multiLevelType w:val="hybridMultilevel"/>
    <w:tmpl w:val="A984DC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C210D5"/>
    <w:multiLevelType w:val="multilevel"/>
    <w:tmpl w:val="2F309A2C"/>
    <w:lvl w:ilvl="0">
      <w:start w:val="1"/>
      <w:numFmt w:val="decimal"/>
      <w:lvlText w:val="%1."/>
      <w:lvlJc w:val="left"/>
      <w:pPr>
        <w:ind w:left="360" w:hanging="360"/>
      </w:pPr>
      <w:rPr>
        <w:rFonts w:hint="default"/>
      </w:rPr>
    </w:lvl>
    <w:lvl w:ilvl="1">
      <w:start w:val="13"/>
      <w:numFmt w:val="decimal"/>
      <w:lvlText w:val="%1.%2."/>
      <w:lvlJc w:val="left"/>
      <w:pPr>
        <w:ind w:left="432" w:hanging="432"/>
      </w:pPr>
      <w:rPr>
        <w:rFonts w:hint="default"/>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6B1103"/>
    <w:multiLevelType w:val="hybridMultilevel"/>
    <w:tmpl w:val="F65A6878"/>
    <w:lvl w:ilvl="0" w:tplc="0A40BE8E">
      <w:numFmt w:val="bullet"/>
      <w:lvlText w:val="-"/>
      <w:lvlJc w:val="left"/>
      <w:pPr>
        <w:ind w:left="1080" w:hanging="360"/>
      </w:pPr>
      <w:rPr>
        <w:rFonts w:ascii="Cambria" w:eastAsiaTheme="minorHAnsi" w:hAnsi="Cambr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A51C74"/>
    <w:multiLevelType w:val="hybridMultilevel"/>
    <w:tmpl w:val="76B2E5EE"/>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742F85"/>
    <w:multiLevelType w:val="hybridMultilevel"/>
    <w:tmpl w:val="831AEC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5D825AF"/>
    <w:multiLevelType w:val="hybridMultilevel"/>
    <w:tmpl w:val="D40A389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D7E1D0E"/>
    <w:multiLevelType w:val="multilevel"/>
    <w:tmpl w:val="B54A6D0E"/>
    <w:lvl w:ilvl="0">
      <w:start w:val="2"/>
      <w:numFmt w:val="decimal"/>
      <w:lvlText w:val="%1"/>
      <w:lvlJc w:val="left"/>
      <w:pPr>
        <w:ind w:left="450" w:hanging="450"/>
      </w:pPr>
      <w:rPr>
        <w:rFonts w:hint="default"/>
      </w:rPr>
    </w:lvl>
    <w:lvl w:ilvl="1">
      <w:start w:val="3"/>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1E75921"/>
    <w:multiLevelType w:val="multilevel"/>
    <w:tmpl w:val="4498D69C"/>
    <w:lvl w:ilvl="0">
      <w:start w:val="1"/>
      <w:numFmt w:val="decimal"/>
      <w:lvlText w:val="%1."/>
      <w:lvlJc w:val="left"/>
      <w:pPr>
        <w:ind w:left="360" w:hanging="360"/>
      </w:pPr>
    </w:lvl>
    <w:lvl w:ilvl="1">
      <w:start w:val="1"/>
      <w:numFmt w:val="decimal"/>
      <w:lvlText w:val="%1.%2."/>
      <w:lvlJc w:val="left"/>
      <w:pPr>
        <w:ind w:left="43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3B3A1E"/>
    <w:multiLevelType w:val="hybridMultilevel"/>
    <w:tmpl w:val="9C7CAF26"/>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559501BF"/>
    <w:multiLevelType w:val="hybridMultilevel"/>
    <w:tmpl w:val="40E04EB2"/>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816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E8B2301"/>
    <w:multiLevelType w:val="hybridMultilevel"/>
    <w:tmpl w:val="4E128FB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DE45DC"/>
    <w:multiLevelType w:val="multilevel"/>
    <w:tmpl w:val="2F309A2C"/>
    <w:lvl w:ilvl="0">
      <w:start w:val="1"/>
      <w:numFmt w:val="decimal"/>
      <w:lvlText w:val="%1."/>
      <w:lvlJc w:val="left"/>
      <w:pPr>
        <w:ind w:left="360" w:hanging="360"/>
      </w:pPr>
      <w:rPr>
        <w:rFonts w:hint="default"/>
      </w:rPr>
    </w:lvl>
    <w:lvl w:ilvl="1">
      <w:start w:val="13"/>
      <w:numFmt w:val="decimal"/>
      <w:lvlText w:val="%1.%2."/>
      <w:lvlJc w:val="left"/>
      <w:pPr>
        <w:ind w:left="432" w:hanging="432"/>
      </w:pPr>
      <w:rPr>
        <w:rFonts w:hint="default"/>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1"/>
  </w:num>
  <w:num w:numId="3">
    <w:abstractNumId w:val="17"/>
  </w:num>
  <w:num w:numId="4">
    <w:abstractNumId w:val="1"/>
  </w:num>
  <w:num w:numId="5">
    <w:abstractNumId w:val="14"/>
  </w:num>
  <w:num w:numId="6">
    <w:abstractNumId w:val="19"/>
  </w:num>
  <w:num w:numId="7">
    <w:abstractNumId w:val="8"/>
  </w:num>
  <w:num w:numId="8">
    <w:abstractNumId w:val="18"/>
  </w:num>
  <w:num w:numId="9">
    <w:abstractNumId w:val="2"/>
  </w:num>
  <w:num w:numId="10">
    <w:abstractNumId w:val="5"/>
  </w:num>
  <w:num w:numId="11">
    <w:abstractNumId w:val="6"/>
  </w:num>
  <w:num w:numId="12">
    <w:abstractNumId w:val="10"/>
  </w:num>
  <w:num w:numId="13">
    <w:abstractNumId w:val="16"/>
  </w:num>
  <w:num w:numId="14">
    <w:abstractNumId w:val="12"/>
  </w:num>
  <w:num w:numId="15">
    <w:abstractNumId w:val="7"/>
  </w:num>
  <w:num w:numId="16">
    <w:abstractNumId w:val="15"/>
  </w:num>
  <w:num w:numId="17">
    <w:abstractNumId w:val="3"/>
  </w:num>
  <w:num w:numId="18">
    <w:abstractNumId w:val="13"/>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MTcxNrMwNDQ3tLRU0lEKTi0uzszPAykwrAUAd+ZnKywAAAA="/>
    <w:docVar w:name="ForteTempFile" w:val="C:\Users\s-sgibbons\AppData\Local\Temp\fe11419f-f286-4c80-aaf0-7eb234b7c5ac.docx"/>
    <w:docVar w:name="zzmp10LastTrailerInserted" w:val="^`~#mp!@T+C#⌊┘┪2=&gt;||řm}ƁO⌌ÆF⌒IåQp¾5⌒P⌓’±.⌃%ô!‚ÿÌ‰D!Áxt”w@⌘C»⌒‪.EQžWG¦bKM¦`}Þñî9”⌠9uì⌘ 6Ðu‚&gt;Õ°⌝©Cùê&lt;Pª&gt;ëžÐƄ¨ˠsòûÊV~ê&quot;⌙r¨V…zeƁŦ¶í%Óîøm‗⌡Xì‥⌄Þ¶’RßžI†ž¼{âÙ⌂?‚V\ÉƖ²d)+ˆ|⌉⌄ß@dE6ATMY011"/>
    <w:docVar w:name="zzmp10LastTrailerInserted_2832" w:val="^`~#mp!@T+C#⌊┘┪2=&gt;||řm}ƁO⌌ÆF⌒IåQp¾5⌒P⌓’±.⌃%ô!‚ÿÌ‰D!Áxt”w@⌘C»⌒‪.EQžWG¦bKM¦`}Þñî9”⌠9uì⌘ 6Ðu‚&gt;Õ°⌝©Cùê&lt;Pª&gt;ëžÐƄ¨ˠsòûÊV~ê&quot;⌙r¨V…zeƁŦ¶í%Óîøm‗⌡Xì‥⌄Þ¶’RßžI†ž¼{âÙ⌂?‚V\ÉƖ²d)+ˆ|⌉⌄ß@dE6ATMY011"/>
    <w:docVar w:name="zzmp10mSEGsValidated" w:val="1"/>
    <w:docVar w:name="zzmp10TP" w:val="266750"/>
    <w:docVar w:name="zzmpCompatibilityMode" w:val="15"/>
    <w:docVar w:name="zzmpLegacyTrailerRemoved" w:val="True"/>
  </w:docVars>
  <w:rsids>
    <w:rsidRoot w:val="00F01241"/>
    <w:rsid w:val="000007DC"/>
    <w:rsid w:val="00000C9C"/>
    <w:rsid w:val="0000530F"/>
    <w:rsid w:val="000139E3"/>
    <w:rsid w:val="00015FBE"/>
    <w:rsid w:val="000172EC"/>
    <w:rsid w:val="00017412"/>
    <w:rsid w:val="00026059"/>
    <w:rsid w:val="00026F71"/>
    <w:rsid w:val="000304ED"/>
    <w:rsid w:val="000307D9"/>
    <w:rsid w:val="0003146E"/>
    <w:rsid w:val="0003281C"/>
    <w:rsid w:val="0003421A"/>
    <w:rsid w:val="000352C6"/>
    <w:rsid w:val="00036A0F"/>
    <w:rsid w:val="00041C3C"/>
    <w:rsid w:val="000449A0"/>
    <w:rsid w:val="00045204"/>
    <w:rsid w:val="0004654C"/>
    <w:rsid w:val="00051DCF"/>
    <w:rsid w:val="00055436"/>
    <w:rsid w:val="00055F45"/>
    <w:rsid w:val="00056169"/>
    <w:rsid w:val="00056BF3"/>
    <w:rsid w:val="00060B2D"/>
    <w:rsid w:val="000613E7"/>
    <w:rsid w:val="00062FDC"/>
    <w:rsid w:val="00063473"/>
    <w:rsid w:val="00063C60"/>
    <w:rsid w:val="00071B5C"/>
    <w:rsid w:val="000727F9"/>
    <w:rsid w:val="0007327B"/>
    <w:rsid w:val="00074744"/>
    <w:rsid w:val="000839CB"/>
    <w:rsid w:val="00085EC2"/>
    <w:rsid w:val="00086EF9"/>
    <w:rsid w:val="000915BA"/>
    <w:rsid w:val="00094086"/>
    <w:rsid w:val="000948E5"/>
    <w:rsid w:val="000963F4"/>
    <w:rsid w:val="000A470F"/>
    <w:rsid w:val="000B1A9D"/>
    <w:rsid w:val="000B430E"/>
    <w:rsid w:val="000C0A2B"/>
    <w:rsid w:val="000C0B30"/>
    <w:rsid w:val="000C421D"/>
    <w:rsid w:val="000C6D06"/>
    <w:rsid w:val="000C7647"/>
    <w:rsid w:val="000D0A3B"/>
    <w:rsid w:val="000D0DE3"/>
    <w:rsid w:val="000D1C52"/>
    <w:rsid w:val="000D4A18"/>
    <w:rsid w:val="000E1DB5"/>
    <w:rsid w:val="000E7EFF"/>
    <w:rsid w:val="000F14A9"/>
    <w:rsid w:val="000F2592"/>
    <w:rsid w:val="000F4425"/>
    <w:rsid w:val="000F47E6"/>
    <w:rsid w:val="000F56FF"/>
    <w:rsid w:val="000F5A3E"/>
    <w:rsid w:val="000F68B4"/>
    <w:rsid w:val="000F7E2B"/>
    <w:rsid w:val="00100CC9"/>
    <w:rsid w:val="001011DA"/>
    <w:rsid w:val="00102588"/>
    <w:rsid w:val="0010733B"/>
    <w:rsid w:val="00111B5F"/>
    <w:rsid w:val="001144D8"/>
    <w:rsid w:val="00115357"/>
    <w:rsid w:val="001165C5"/>
    <w:rsid w:val="00116F85"/>
    <w:rsid w:val="001174B2"/>
    <w:rsid w:val="00117D4B"/>
    <w:rsid w:val="00122FF2"/>
    <w:rsid w:val="00127572"/>
    <w:rsid w:val="00127EFE"/>
    <w:rsid w:val="00131DA4"/>
    <w:rsid w:val="0013414C"/>
    <w:rsid w:val="00134580"/>
    <w:rsid w:val="00136516"/>
    <w:rsid w:val="00140A7C"/>
    <w:rsid w:val="001472E1"/>
    <w:rsid w:val="001507F4"/>
    <w:rsid w:val="00154C12"/>
    <w:rsid w:val="0015548E"/>
    <w:rsid w:val="001556EA"/>
    <w:rsid w:val="00156E80"/>
    <w:rsid w:val="00157EE3"/>
    <w:rsid w:val="00163B88"/>
    <w:rsid w:val="001777A3"/>
    <w:rsid w:val="00184D38"/>
    <w:rsid w:val="00184E9B"/>
    <w:rsid w:val="00185D03"/>
    <w:rsid w:val="001903A9"/>
    <w:rsid w:val="0019166A"/>
    <w:rsid w:val="00192421"/>
    <w:rsid w:val="00193A99"/>
    <w:rsid w:val="0019620E"/>
    <w:rsid w:val="001A0571"/>
    <w:rsid w:val="001A0624"/>
    <w:rsid w:val="001A2206"/>
    <w:rsid w:val="001A6B2D"/>
    <w:rsid w:val="001A6EC4"/>
    <w:rsid w:val="001C13A0"/>
    <w:rsid w:val="001C1525"/>
    <w:rsid w:val="001C1530"/>
    <w:rsid w:val="001C5710"/>
    <w:rsid w:val="001C7A2C"/>
    <w:rsid w:val="001C7D10"/>
    <w:rsid w:val="001D19CF"/>
    <w:rsid w:val="001D40D6"/>
    <w:rsid w:val="001D65AB"/>
    <w:rsid w:val="001D707C"/>
    <w:rsid w:val="001E08CF"/>
    <w:rsid w:val="001E1304"/>
    <w:rsid w:val="001E4C15"/>
    <w:rsid w:val="001F06FA"/>
    <w:rsid w:val="001F10B0"/>
    <w:rsid w:val="001F1428"/>
    <w:rsid w:val="001F2EEC"/>
    <w:rsid w:val="001F3C11"/>
    <w:rsid w:val="001F495A"/>
    <w:rsid w:val="001F62F3"/>
    <w:rsid w:val="001F7165"/>
    <w:rsid w:val="001F7888"/>
    <w:rsid w:val="001F7F6C"/>
    <w:rsid w:val="00203DEF"/>
    <w:rsid w:val="0020453B"/>
    <w:rsid w:val="00204A4C"/>
    <w:rsid w:val="002068FB"/>
    <w:rsid w:val="0020741B"/>
    <w:rsid w:val="00207828"/>
    <w:rsid w:val="00211A7D"/>
    <w:rsid w:val="002134B4"/>
    <w:rsid w:val="0021460B"/>
    <w:rsid w:val="0021756A"/>
    <w:rsid w:val="00224D6B"/>
    <w:rsid w:val="00231333"/>
    <w:rsid w:val="00235763"/>
    <w:rsid w:val="002430D1"/>
    <w:rsid w:val="0024775E"/>
    <w:rsid w:val="00247DD1"/>
    <w:rsid w:val="00247EB4"/>
    <w:rsid w:val="0025657A"/>
    <w:rsid w:val="00257B94"/>
    <w:rsid w:val="00262441"/>
    <w:rsid w:val="00262DC9"/>
    <w:rsid w:val="002643CF"/>
    <w:rsid w:val="002723E6"/>
    <w:rsid w:val="00274165"/>
    <w:rsid w:val="0028116E"/>
    <w:rsid w:val="002859CE"/>
    <w:rsid w:val="00286372"/>
    <w:rsid w:val="00286C53"/>
    <w:rsid w:val="00291A31"/>
    <w:rsid w:val="0029612C"/>
    <w:rsid w:val="0029758B"/>
    <w:rsid w:val="00297A1C"/>
    <w:rsid w:val="00297A9C"/>
    <w:rsid w:val="00297CD7"/>
    <w:rsid w:val="002A3C0E"/>
    <w:rsid w:val="002A4CF5"/>
    <w:rsid w:val="002A595E"/>
    <w:rsid w:val="002B18D7"/>
    <w:rsid w:val="002B2D69"/>
    <w:rsid w:val="002B5E2A"/>
    <w:rsid w:val="002B649E"/>
    <w:rsid w:val="002C1091"/>
    <w:rsid w:val="002C3CE6"/>
    <w:rsid w:val="002C6DC9"/>
    <w:rsid w:val="002D1A96"/>
    <w:rsid w:val="002D4F1A"/>
    <w:rsid w:val="002D5973"/>
    <w:rsid w:val="002D79F5"/>
    <w:rsid w:val="002E2478"/>
    <w:rsid w:val="002E31A4"/>
    <w:rsid w:val="002E6065"/>
    <w:rsid w:val="002E740F"/>
    <w:rsid w:val="002F59A9"/>
    <w:rsid w:val="002F5F9E"/>
    <w:rsid w:val="00300239"/>
    <w:rsid w:val="00302B74"/>
    <w:rsid w:val="00303DBA"/>
    <w:rsid w:val="00305057"/>
    <w:rsid w:val="00306DAB"/>
    <w:rsid w:val="0030753A"/>
    <w:rsid w:val="00310559"/>
    <w:rsid w:val="003106BA"/>
    <w:rsid w:val="00312A6E"/>
    <w:rsid w:val="00317517"/>
    <w:rsid w:val="00317AF3"/>
    <w:rsid w:val="00321160"/>
    <w:rsid w:val="00322903"/>
    <w:rsid w:val="003237CB"/>
    <w:rsid w:val="00324B86"/>
    <w:rsid w:val="00327836"/>
    <w:rsid w:val="00333703"/>
    <w:rsid w:val="00333D77"/>
    <w:rsid w:val="00336BCE"/>
    <w:rsid w:val="0033737F"/>
    <w:rsid w:val="00345F89"/>
    <w:rsid w:val="0034765C"/>
    <w:rsid w:val="00354D6F"/>
    <w:rsid w:val="00355E2F"/>
    <w:rsid w:val="00355F15"/>
    <w:rsid w:val="003611F9"/>
    <w:rsid w:val="0036341E"/>
    <w:rsid w:val="0036486D"/>
    <w:rsid w:val="003649E3"/>
    <w:rsid w:val="00372B30"/>
    <w:rsid w:val="0038265C"/>
    <w:rsid w:val="00382B79"/>
    <w:rsid w:val="00384831"/>
    <w:rsid w:val="003960D3"/>
    <w:rsid w:val="003971DA"/>
    <w:rsid w:val="003A2C0D"/>
    <w:rsid w:val="003A6E6F"/>
    <w:rsid w:val="003B2FED"/>
    <w:rsid w:val="003B37F1"/>
    <w:rsid w:val="003B3900"/>
    <w:rsid w:val="003C0A9B"/>
    <w:rsid w:val="003C0BEE"/>
    <w:rsid w:val="003C2E0E"/>
    <w:rsid w:val="003C3163"/>
    <w:rsid w:val="003C5DDB"/>
    <w:rsid w:val="003C6513"/>
    <w:rsid w:val="003D0835"/>
    <w:rsid w:val="003D1D86"/>
    <w:rsid w:val="003D1F5D"/>
    <w:rsid w:val="003D208C"/>
    <w:rsid w:val="003D2B2F"/>
    <w:rsid w:val="003D35BA"/>
    <w:rsid w:val="003D7908"/>
    <w:rsid w:val="003E00B0"/>
    <w:rsid w:val="003E5517"/>
    <w:rsid w:val="003E646C"/>
    <w:rsid w:val="003F2752"/>
    <w:rsid w:val="003F7BEA"/>
    <w:rsid w:val="004019B8"/>
    <w:rsid w:val="004052FB"/>
    <w:rsid w:val="004221A3"/>
    <w:rsid w:val="00422EFB"/>
    <w:rsid w:val="00425D6A"/>
    <w:rsid w:val="00426E72"/>
    <w:rsid w:val="00427187"/>
    <w:rsid w:val="00427EAD"/>
    <w:rsid w:val="0044351D"/>
    <w:rsid w:val="00443AF1"/>
    <w:rsid w:val="004442C8"/>
    <w:rsid w:val="00445DC6"/>
    <w:rsid w:val="0044723F"/>
    <w:rsid w:val="0045178C"/>
    <w:rsid w:val="00456671"/>
    <w:rsid w:val="00460EA8"/>
    <w:rsid w:val="00464F2E"/>
    <w:rsid w:val="00465BA3"/>
    <w:rsid w:val="00466CB8"/>
    <w:rsid w:val="0047081C"/>
    <w:rsid w:val="00475FEA"/>
    <w:rsid w:val="0047748B"/>
    <w:rsid w:val="00482272"/>
    <w:rsid w:val="0048254D"/>
    <w:rsid w:val="004827B9"/>
    <w:rsid w:val="0048621D"/>
    <w:rsid w:val="00486796"/>
    <w:rsid w:val="0049315C"/>
    <w:rsid w:val="00493CB5"/>
    <w:rsid w:val="00494ED7"/>
    <w:rsid w:val="00497CE4"/>
    <w:rsid w:val="004A2016"/>
    <w:rsid w:val="004B1628"/>
    <w:rsid w:val="004B5988"/>
    <w:rsid w:val="004B68C1"/>
    <w:rsid w:val="004B7581"/>
    <w:rsid w:val="004C20D2"/>
    <w:rsid w:val="004C3677"/>
    <w:rsid w:val="004C41D8"/>
    <w:rsid w:val="004C48AE"/>
    <w:rsid w:val="004C57B2"/>
    <w:rsid w:val="004C6A74"/>
    <w:rsid w:val="004C715B"/>
    <w:rsid w:val="004C7614"/>
    <w:rsid w:val="004C78F9"/>
    <w:rsid w:val="004D3D9F"/>
    <w:rsid w:val="004E1261"/>
    <w:rsid w:val="004E2010"/>
    <w:rsid w:val="004E2129"/>
    <w:rsid w:val="004E4A01"/>
    <w:rsid w:val="004F28DE"/>
    <w:rsid w:val="00500181"/>
    <w:rsid w:val="005055D1"/>
    <w:rsid w:val="00506EAD"/>
    <w:rsid w:val="00514DCB"/>
    <w:rsid w:val="00524303"/>
    <w:rsid w:val="0052509E"/>
    <w:rsid w:val="0052743D"/>
    <w:rsid w:val="005317AA"/>
    <w:rsid w:val="00531C07"/>
    <w:rsid w:val="005329BB"/>
    <w:rsid w:val="00532E4F"/>
    <w:rsid w:val="005335B0"/>
    <w:rsid w:val="005343C3"/>
    <w:rsid w:val="005449A3"/>
    <w:rsid w:val="00545052"/>
    <w:rsid w:val="00545218"/>
    <w:rsid w:val="005514E2"/>
    <w:rsid w:val="005546FC"/>
    <w:rsid w:val="0056086B"/>
    <w:rsid w:val="005608D0"/>
    <w:rsid w:val="005622D6"/>
    <w:rsid w:val="00566081"/>
    <w:rsid w:val="0057138A"/>
    <w:rsid w:val="0057236B"/>
    <w:rsid w:val="005736F6"/>
    <w:rsid w:val="00573781"/>
    <w:rsid w:val="00574A92"/>
    <w:rsid w:val="00581A82"/>
    <w:rsid w:val="00581CC7"/>
    <w:rsid w:val="005838FB"/>
    <w:rsid w:val="00584044"/>
    <w:rsid w:val="0058412E"/>
    <w:rsid w:val="00586A0A"/>
    <w:rsid w:val="0059305A"/>
    <w:rsid w:val="00593231"/>
    <w:rsid w:val="0059551B"/>
    <w:rsid w:val="0059693F"/>
    <w:rsid w:val="005A0E99"/>
    <w:rsid w:val="005A26AB"/>
    <w:rsid w:val="005A33BA"/>
    <w:rsid w:val="005A4D64"/>
    <w:rsid w:val="005A763D"/>
    <w:rsid w:val="005B0897"/>
    <w:rsid w:val="005B39C2"/>
    <w:rsid w:val="005B4587"/>
    <w:rsid w:val="005B7DA6"/>
    <w:rsid w:val="005C007D"/>
    <w:rsid w:val="005C63A7"/>
    <w:rsid w:val="005D3577"/>
    <w:rsid w:val="005D3B40"/>
    <w:rsid w:val="005D681B"/>
    <w:rsid w:val="005D715A"/>
    <w:rsid w:val="005E02ED"/>
    <w:rsid w:val="005E1395"/>
    <w:rsid w:val="005E13BE"/>
    <w:rsid w:val="005F7B62"/>
    <w:rsid w:val="00607093"/>
    <w:rsid w:val="006101F2"/>
    <w:rsid w:val="00614813"/>
    <w:rsid w:val="0061670D"/>
    <w:rsid w:val="00621C91"/>
    <w:rsid w:val="00624A41"/>
    <w:rsid w:val="00625D39"/>
    <w:rsid w:val="00625D7B"/>
    <w:rsid w:val="00625EE8"/>
    <w:rsid w:val="00631EC1"/>
    <w:rsid w:val="006325DB"/>
    <w:rsid w:val="00632EE1"/>
    <w:rsid w:val="00634A60"/>
    <w:rsid w:val="006408D2"/>
    <w:rsid w:val="0064149C"/>
    <w:rsid w:val="00642295"/>
    <w:rsid w:val="00644689"/>
    <w:rsid w:val="00645036"/>
    <w:rsid w:val="00653652"/>
    <w:rsid w:val="0065376B"/>
    <w:rsid w:val="00653833"/>
    <w:rsid w:val="00656A62"/>
    <w:rsid w:val="00664AA3"/>
    <w:rsid w:val="00664D5B"/>
    <w:rsid w:val="006665EA"/>
    <w:rsid w:val="0066724C"/>
    <w:rsid w:val="0066741F"/>
    <w:rsid w:val="006706A2"/>
    <w:rsid w:val="006706D3"/>
    <w:rsid w:val="00670C05"/>
    <w:rsid w:val="0067126B"/>
    <w:rsid w:val="00672B74"/>
    <w:rsid w:val="00673460"/>
    <w:rsid w:val="00674A85"/>
    <w:rsid w:val="00675C2B"/>
    <w:rsid w:val="00684DB3"/>
    <w:rsid w:val="00685CCB"/>
    <w:rsid w:val="00686415"/>
    <w:rsid w:val="00691E0E"/>
    <w:rsid w:val="006930EF"/>
    <w:rsid w:val="006966F8"/>
    <w:rsid w:val="00697211"/>
    <w:rsid w:val="006A1D25"/>
    <w:rsid w:val="006A4C39"/>
    <w:rsid w:val="006A7125"/>
    <w:rsid w:val="006A79DC"/>
    <w:rsid w:val="006B0EA2"/>
    <w:rsid w:val="006B18BB"/>
    <w:rsid w:val="006B292F"/>
    <w:rsid w:val="006B47FD"/>
    <w:rsid w:val="006B6DFF"/>
    <w:rsid w:val="006B726E"/>
    <w:rsid w:val="006B73A2"/>
    <w:rsid w:val="006C2DEC"/>
    <w:rsid w:val="006C30F0"/>
    <w:rsid w:val="006C3226"/>
    <w:rsid w:val="006C34AD"/>
    <w:rsid w:val="006C48AA"/>
    <w:rsid w:val="006C4CA1"/>
    <w:rsid w:val="006C7281"/>
    <w:rsid w:val="006D48B2"/>
    <w:rsid w:val="006D76E5"/>
    <w:rsid w:val="006E461D"/>
    <w:rsid w:val="006F0AE7"/>
    <w:rsid w:val="006F2500"/>
    <w:rsid w:val="006F28EC"/>
    <w:rsid w:val="006F2A0D"/>
    <w:rsid w:val="006F2C6E"/>
    <w:rsid w:val="006F4B1E"/>
    <w:rsid w:val="0070338F"/>
    <w:rsid w:val="007033B8"/>
    <w:rsid w:val="0070353F"/>
    <w:rsid w:val="00703642"/>
    <w:rsid w:val="007051A1"/>
    <w:rsid w:val="007102A2"/>
    <w:rsid w:val="00713A07"/>
    <w:rsid w:val="007141A7"/>
    <w:rsid w:val="00715C19"/>
    <w:rsid w:val="00717166"/>
    <w:rsid w:val="007302E9"/>
    <w:rsid w:val="0073228A"/>
    <w:rsid w:val="00735CCD"/>
    <w:rsid w:val="007377C3"/>
    <w:rsid w:val="00740582"/>
    <w:rsid w:val="00747033"/>
    <w:rsid w:val="0075192F"/>
    <w:rsid w:val="00753FDC"/>
    <w:rsid w:val="00754CD1"/>
    <w:rsid w:val="00760689"/>
    <w:rsid w:val="007640B7"/>
    <w:rsid w:val="00770140"/>
    <w:rsid w:val="007721F3"/>
    <w:rsid w:val="007734C2"/>
    <w:rsid w:val="00773C93"/>
    <w:rsid w:val="00780521"/>
    <w:rsid w:val="00781FFF"/>
    <w:rsid w:val="0078353C"/>
    <w:rsid w:val="00790104"/>
    <w:rsid w:val="00791F40"/>
    <w:rsid w:val="00795DB7"/>
    <w:rsid w:val="00795EBB"/>
    <w:rsid w:val="007960BE"/>
    <w:rsid w:val="007A00DE"/>
    <w:rsid w:val="007A1773"/>
    <w:rsid w:val="007A2025"/>
    <w:rsid w:val="007A2190"/>
    <w:rsid w:val="007A3E1F"/>
    <w:rsid w:val="007A6E95"/>
    <w:rsid w:val="007A798D"/>
    <w:rsid w:val="007B3D4F"/>
    <w:rsid w:val="007B6981"/>
    <w:rsid w:val="007B6C04"/>
    <w:rsid w:val="007C0FA0"/>
    <w:rsid w:val="007C33FF"/>
    <w:rsid w:val="007C44AB"/>
    <w:rsid w:val="007D0DCF"/>
    <w:rsid w:val="007D5DCA"/>
    <w:rsid w:val="007D6406"/>
    <w:rsid w:val="007D69E9"/>
    <w:rsid w:val="007E1225"/>
    <w:rsid w:val="007E25F2"/>
    <w:rsid w:val="007E5A0E"/>
    <w:rsid w:val="007F0FFB"/>
    <w:rsid w:val="007F1A1E"/>
    <w:rsid w:val="007F403B"/>
    <w:rsid w:val="007F4889"/>
    <w:rsid w:val="007F6E3C"/>
    <w:rsid w:val="008032F4"/>
    <w:rsid w:val="008061A8"/>
    <w:rsid w:val="00815327"/>
    <w:rsid w:val="00821264"/>
    <w:rsid w:val="00822641"/>
    <w:rsid w:val="008245D3"/>
    <w:rsid w:val="008271D2"/>
    <w:rsid w:val="00830F57"/>
    <w:rsid w:val="00831434"/>
    <w:rsid w:val="008327C2"/>
    <w:rsid w:val="00834122"/>
    <w:rsid w:val="0083424C"/>
    <w:rsid w:val="00837340"/>
    <w:rsid w:val="00837D3A"/>
    <w:rsid w:val="00841892"/>
    <w:rsid w:val="00844FC6"/>
    <w:rsid w:val="008515AB"/>
    <w:rsid w:val="00852DB1"/>
    <w:rsid w:val="0085324D"/>
    <w:rsid w:val="00862C99"/>
    <w:rsid w:val="008631C2"/>
    <w:rsid w:val="00866158"/>
    <w:rsid w:val="00872D81"/>
    <w:rsid w:val="00873057"/>
    <w:rsid w:val="008759FA"/>
    <w:rsid w:val="00875D7C"/>
    <w:rsid w:val="00880176"/>
    <w:rsid w:val="0088348C"/>
    <w:rsid w:val="00885FDB"/>
    <w:rsid w:val="008875A7"/>
    <w:rsid w:val="008875EF"/>
    <w:rsid w:val="00887C08"/>
    <w:rsid w:val="00890EF7"/>
    <w:rsid w:val="008A05B0"/>
    <w:rsid w:val="008A39B2"/>
    <w:rsid w:val="008A7FF8"/>
    <w:rsid w:val="008B2CFB"/>
    <w:rsid w:val="008B6611"/>
    <w:rsid w:val="008C0417"/>
    <w:rsid w:val="008C35A5"/>
    <w:rsid w:val="008C4962"/>
    <w:rsid w:val="008C5223"/>
    <w:rsid w:val="008C6CEA"/>
    <w:rsid w:val="008C75BC"/>
    <w:rsid w:val="008D2970"/>
    <w:rsid w:val="008D4219"/>
    <w:rsid w:val="008E0105"/>
    <w:rsid w:val="008E503C"/>
    <w:rsid w:val="008E64E9"/>
    <w:rsid w:val="008E7567"/>
    <w:rsid w:val="008F1526"/>
    <w:rsid w:val="008F163F"/>
    <w:rsid w:val="00902B62"/>
    <w:rsid w:val="00902ED1"/>
    <w:rsid w:val="00903D77"/>
    <w:rsid w:val="009044E6"/>
    <w:rsid w:val="009049A9"/>
    <w:rsid w:val="00905F5D"/>
    <w:rsid w:val="00913BA8"/>
    <w:rsid w:val="00916B0E"/>
    <w:rsid w:val="009175B6"/>
    <w:rsid w:val="00932354"/>
    <w:rsid w:val="00933202"/>
    <w:rsid w:val="00936C15"/>
    <w:rsid w:val="00936E1B"/>
    <w:rsid w:val="00937223"/>
    <w:rsid w:val="00937BB6"/>
    <w:rsid w:val="00941179"/>
    <w:rsid w:val="00942849"/>
    <w:rsid w:val="009467A5"/>
    <w:rsid w:val="00946BB4"/>
    <w:rsid w:val="00961675"/>
    <w:rsid w:val="00965320"/>
    <w:rsid w:val="00967498"/>
    <w:rsid w:val="00970E79"/>
    <w:rsid w:val="009741F0"/>
    <w:rsid w:val="00981770"/>
    <w:rsid w:val="00981AC3"/>
    <w:rsid w:val="0098221D"/>
    <w:rsid w:val="00982B4B"/>
    <w:rsid w:val="00991A5D"/>
    <w:rsid w:val="009938FE"/>
    <w:rsid w:val="0099395C"/>
    <w:rsid w:val="00995E81"/>
    <w:rsid w:val="00996A0F"/>
    <w:rsid w:val="009A35EB"/>
    <w:rsid w:val="009A435D"/>
    <w:rsid w:val="009B19F8"/>
    <w:rsid w:val="009B3E6D"/>
    <w:rsid w:val="009B6288"/>
    <w:rsid w:val="009B7089"/>
    <w:rsid w:val="009C2B4B"/>
    <w:rsid w:val="009C47DB"/>
    <w:rsid w:val="009C586F"/>
    <w:rsid w:val="009C6BF8"/>
    <w:rsid w:val="009D1264"/>
    <w:rsid w:val="009D2B33"/>
    <w:rsid w:val="009D483D"/>
    <w:rsid w:val="009D5206"/>
    <w:rsid w:val="009D5759"/>
    <w:rsid w:val="009D709D"/>
    <w:rsid w:val="009D71EA"/>
    <w:rsid w:val="009E06A2"/>
    <w:rsid w:val="009E1893"/>
    <w:rsid w:val="009E1C62"/>
    <w:rsid w:val="009E4487"/>
    <w:rsid w:val="009E4D45"/>
    <w:rsid w:val="009E4FE1"/>
    <w:rsid w:val="009E547F"/>
    <w:rsid w:val="009E67FD"/>
    <w:rsid w:val="009E6924"/>
    <w:rsid w:val="009F59FA"/>
    <w:rsid w:val="009F5D45"/>
    <w:rsid w:val="009F7C89"/>
    <w:rsid w:val="00A049D9"/>
    <w:rsid w:val="00A05905"/>
    <w:rsid w:val="00A06F04"/>
    <w:rsid w:val="00A144AF"/>
    <w:rsid w:val="00A145F6"/>
    <w:rsid w:val="00A2200A"/>
    <w:rsid w:val="00A23079"/>
    <w:rsid w:val="00A249F5"/>
    <w:rsid w:val="00A26FBD"/>
    <w:rsid w:val="00A27105"/>
    <w:rsid w:val="00A27D2E"/>
    <w:rsid w:val="00A30825"/>
    <w:rsid w:val="00A31226"/>
    <w:rsid w:val="00A33002"/>
    <w:rsid w:val="00A3349F"/>
    <w:rsid w:val="00A33940"/>
    <w:rsid w:val="00A35C58"/>
    <w:rsid w:val="00A41A97"/>
    <w:rsid w:val="00A41D76"/>
    <w:rsid w:val="00A42CBD"/>
    <w:rsid w:val="00A43216"/>
    <w:rsid w:val="00A4582D"/>
    <w:rsid w:val="00A4699C"/>
    <w:rsid w:val="00A50118"/>
    <w:rsid w:val="00A522DA"/>
    <w:rsid w:val="00A55E9B"/>
    <w:rsid w:val="00A56FBD"/>
    <w:rsid w:val="00A57F0C"/>
    <w:rsid w:val="00A615DA"/>
    <w:rsid w:val="00A626CA"/>
    <w:rsid w:val="00A64365"/>
    <w:rsid w:val="00A67E7F"/>
    <w:rsid w:val="00A72159"/>
    <w:rsid w:val="00A7237F"/>
    <w:rsid w:val="00A7249A"/>
    <w:rsid w:val="00A73B12"/>
    <w:rsid w:val="00A768EC"/>
    <w:rsid w:val="00A81CA9"/>
    <w:rsid w:val="00A8615B"/>
    <w:rsid w:val="00A914AC"/>
    <w:rsid w:val="00A95C55"/>
    <w:rsid w:val="00A96864"/>
    <w:rsid w:val="00A96A44"/>
    <w:rsid w:val="00A96A9A"/>
    <w:rsid w:val="00AA3419"/>
    <w:rsid w:val="00AA3843"/>
    <w:rsid w:val="00AA6EC0"/>
    <w:rsid w:val="00AB3BEC"/>
    <w:rsid w:val="00AB56F5"/>
    <w:rsid w:val="00AB7C5B"/>
    <w:rsid w:val="00AC11B4"/>
    <w:rsid w:val="00AC17E3"/>
    <w:rsid w:val="00AC203C"/>
    <w:rsid w:val="00AC37B6"/>
    <w:rsid w:val="00AD1435"/>
    <w:rsid w:val="00AD36E4"/>
    <w:rsid w:val="00AD3CEF"/>
    <w:rsid w:val="00AD5BD7"/>
    <w:rsid w:val="00AD62DC"/>
    <w:rsid w:val="00AE3946"/>
    <w:rsid w:val="00AE4909"/>
    <w:rsid w:val="00AE4F0F"/>
    <w:rsid w:val="00AE587F"/>
    <w:rsid w:val="00AE7BEE"/>
    <w:rsid w:val="00AF05A0"/>
    <w:rsid w:val="00AF095E"/>
    <w:rsid w:val="00AF6A84"/>
    <w:rsid w:val="00B01794"/>
    <w:rsid w:val="00B01C84"/>
    <w:rsid w:val="00B02A14"/>
    <w:rsid w:val="00B040D6"/>
    <w:rsid w:val="00B12F19"/>
    <w:rsid w:val="00B1304F"/>
    <w:rsid w:val="00B14375"/>
    <w:rsid w:val="00B154FE"/>
    <w:rsid w:val="00B1606F"/>
    <w:rsid w:val="00B1665B"/>
    <w:rsid w:val="00B22FCD"/>
    <w:rsid w:val="00B24D3E"/>
    <w:rsid w:val="00B31378"/>
    <w:rsid w:val="00B33583"/>
    <w:rsid w:val="00B3412D"/>
    <w:rsid w:val="00B35864"/>
    <w:rsid w:val="00B374BE"/>
    <w:rsid w:val="00B41CEB"/>
    <w:rsid w:val="00B41D90"/>
    <w:rsid w:val="00B52917"/>
    <w:rsid w:val="00B55203"/>
    <w:rsid w:val="00B60035"/>
    <w:rsid w:val="00B61827"/>
    <w:rsid w:val="00B62627"/>
    <w:rsid w:val="00B62734"/>
    <w:rsid w:val="00B6341B"/>
    <w:rsid w:val="00B70F09"/>
    <w:rsid w:val="00B755C3"/>
    <w:rsid w:val="00B76574"/>
    <w:rsid w:val="00B77D34"/>
    <w:rsid w:val="00B80B95"/>
    <w:rsid w:val="00B92288"/>
    <w:rsid w:val="00B92FB0"/>
    <w:rsid w:val="00BA04E6"/>
    <w:rsid w:val="00BA5651"/>
    <w:rsid w:val="00BA6007"/>
    <w:rsid w:val="00BA6C62"/>
    <w:rsid w:val="00BA7745"/>
    <w:rsid w:val="00BB1F66"/>
    <w:rsid w:val="00BB2193"/>
    <w:rsid w:val="00BB254A"/>
    <w:rsid w:val="00BB3929"/>
    <w:rsid w:val="00BB5FF0"/>
    <w:rsid w:val="00BC0080"/>
    <w:rsid w:val="00BC0BE1"/>
    <w:rsid w:val="00BC2124"/>
    <w:rsid w:val="00BC33D5"/>
    <w:rsid w:val="00BC4A1E"/>
    <w:rsid w:val="00BC4DE7"/>
    <w:rsid w:val="00BC76ED"/>
    <w:rsid w:val="00BD0BDE"/>
    <w:rsid w:val="00BE081D"/>
    <w:rsid w:val="00BE2945"/>
    <w:rsid w:val="00BE3A50"/>
    <w:rsid w:val="00BE4713"/>
    <w:rsid w:val="00BE4B03"/>
    <w:rsid w:val="00BE4CC0"/>
    <w:rsid w:val="00BE5F18"/>
    <w:rsid w:val="00BF292C"/>
    <w:rsid w:val="00BF4498"/>
    <w:rsid w:val="00BF7AEA"/>
    <w:rsid w:val="00C01496"/>
    <w:rsid w:val="00C01CE3"/>
    <w:rsid w:val="00C0215F"/>
    <w:rsid w:val="00C02871"/>
    <w:rsid w:val="00C03779"/>
    <w:rsid w:val="00C03E4F"/>
    <w:rsid w:val="00C05603"/>
    <w:rsid w:val="00C05AB9"/>
    <w:rsid w:val="00C13983"/>
    <w:rsid w:val="00C176BB"/>
    <w:rsid w:val="00C21DAC"/>
    <w:rsid w:val="00C21FD2"/>
    <w:rsid w:val="00C22A23"/>
    <w:rsid w:val="00C23267"/>
    <w:rsid w:val="00C24221"/>
    <w:rsid w:val="00C25BC5"/>
    <w:rsid w:val="00C27D45"/>
    <w:rsid w:val="00C27DD7"/>
    <w:rsid w:val="00C351D1"/>
    <w:rsid w:val="00C40E3A"/>
    <w:rsid w:val="00C41C5B"/>
    <w:rsid w:val="00C42BB4"/>
    <w:rsid w:val="00C455CA"/>
    <w:rsid w:val="00C46840"/>
    <w:rsid w:val="00C473B4"/>
    <w:rsid w:val="00C47DC9"/>
    <w:rsid w:val="00C56DC2"/>
    <w:rsid w:val="00C57D52"/>
    <w:rsid w:val="00C619A0"/>
    <w:rsid w:val="00C64C53"/>
    <w:rsid w:val="00C671F6"/>
    <w:rsid w:val="00C67ED3"/>
    <w:rsid w:val="00C7652F"/>
    <w:rsid w:val="00C77B72"/>
    <w:rsid w:val="00C77F21"/>
    <w:rsid w:val="00C80016"/>
    <w:rsid w:val="00C8592F"/>
    <w:rsid w:val="00C90A89"/>
    <w:rsid w:val="00C9155A"/>
    <w:rsid w:val="00C91F23"/>
    <w:rsid w:val="00C93822"/>
    <w:rsid w:val="00C93BCA"/>
    <w:rsid w:val="00C9453F"/>
    <w:rsid w:val="00C97B44"/>
    <w:rsid w:val="00C97D53"/>
    <w:rsid w:val="00CA16C2"/>
    <w:rsid w:val="00CA4078"/>
    <w:rsid w:val="00CA4129"/>
    <w:rsid w:val="00CA46E0"/>
    <w:rsid w:val="00CB0D76"/>
    <w:rsid w:val="00CB60B1"/>
    <w:rsid w:val="00CC486E"/>
    <w:rsid w:val="00CC6E67"/>
    <w:rsid w:val="00CC7CDB"/>
    <w:rsid w:val="00CD05FA"/>
    <w:rsid w:val="00CD0E41"/>
    <w:rsid w:val="00CD3B07"/>
    <w:rsid w:val="00CD490D"/>
    <w:rsid w:val="00CD649B"/>
    <w:rsid w:val="00CD7D7D"/>
    <w:rsid w:val="00CE04CD"/>
    <w:rsid w:val="00CE14AE"/>
    <w:rsid w:val="00CE4251"/>
    <w:rsid w:val="00CE5737"/>
    <w:rsid w:val="00CE6128"/>
    <w:rsid w:val="00CE7CCA"/>
    <w:rsid w:val="00CF2E25"/>
    <w:rsid w:val="00CF3B0D"/>
    <w:rsid w:val="00CF5B7C"/>
    <w:rsid w:val="00D038DA"/>
    <w:rsid w:val="00D04A28"/>
    <w:rsid w:val="00D0517C"/>
    <w:rsid w:val="00D0595F"/>
    <w:rsid w:val="00D05CB3"/>
    <w:rsid w:val="00D06912"/>
    <w:rsid w:val="00D07517"/>
    <w:rsid w:val="00D13142"/>
    <w:rsid w:val="00D16843"/>
    <w:rsid w:val="00D174F3"/>
    <w:rsid w:val="00D23F93"/>
    <w:rsid w:val="00D2661A"/>
    <w:rsid w:val="00D33A8E"/>
    <w:rsid w:val="00D33FA4"/>
    <w:rsid w:val="00D3408E"/>
    <w:rsid w:val="00D42F71"/>
    <w:rsid w:val="00D45698"/>
    <w:rsid w:val="00D53FF9"/>
    <w:rsid w:val="00D540E3"/>
    <w:rsid w:val="00D54FBB"/>
    <w:rsid w:val="00D61452"/>
    <w:rsid w:val="00D61CB5"/>
    <w:rsid w:val="00D65EE4"/>
    <w:rsid w:val="00D70C7D"/>
    <w:rsid w:val="00D71AAC"/>
    <w:rsid w:val="00D7309B"/>
    <w:rsid w:val="00D7506B"/>
    <w:rsid w:val="00D7535B"/>
    <w:rsid w:val="00D76BA0"/>
    <w:rsid w:val="00D80A47"/>
    <w:rsid w:val="00D814DB"/>
    <w:rsid w:val="00D81D9C"/>
    <w:rsid w:val="00D83912"/>
    <w:rsid w:val="00D9240C"/>
    <w:rsid w:val="00D926A5"/>
    <w:rsid w:val="00D96AAF"/>
    <w:rsid w:val="00D978D5"/>
    <w:rsid w:val="00DA07E7"/>
    <w:rsid w:val="00DA2D32"/>
    <w:rsid w:val="00DA3A70"/>
    <w:rsid w:val="00DA3FFA"/>
    <w:rsid w:val="00DA4A2D"/>
    <w:rsid w:val="00DA4B25"/>
    <w:rsid w:val="00DA5DD2"/>
    <w:rsid w:val="00DA63C5"/>
    <w:rsid w:val="00DB7720"/>
    <w:rsid w:val="00DC2059"/>
    <w:rsid w:val="00DC339C"/>
    <w:rsid w:val="00DC5413"/>
    <w:rsid w:val="00DD061B"/>
    <w:rsid w:val="00DD0ED0"/>
    <w:rsid w:val="00DD190F"/>
    <w:rsid w:val="00DD1E70"/>
    <w:rsid w:val="00DD230F"/>
    <w:rsid w:val="00DD2C30"/>
    <w:rsid w:val="00DD5031"/>
    <w:rsid w:val="00DD6DD4"/>
    <w:rsid w:val="00DE38B9"/>
    <w:rsid w:val="00DF025D"/>
    <w:rsid w:val="00DF23DF"/>
    <w:rsid w:val="00DF3BDB"/>
    <w:rsid w:val="00E05150"/>
    <w:rsid w:val="00E060E1"/>
    <w:rsid w:val="00E06D1C"/>
    <w:rsid w:val="00E07AA8"/>
    <w:rsid w:val="00E10377"/>
    <w:rsid w:val="00E131F0"/>
    <w:rsid w:val="00E158A0"/>
    <w:rsid w:val="00E20B9F"/>
    <w:rsid w:val="00E241FE"/>
    <w:rsid w:val="00E31449"/>
    <w:rsid w:val="00E34277"/>
    <w:rsid w:val="00E4151B"/>
    <w:rsid w:val="00E42AE0"/>
    <w:rsid w:val="00E44F90"/>
    <w:rsid w:val="00E4587B"/>
    <w:rsid w:val="00E45A6A"/>
    <w:rsid w:val="00E47D2E"/>
    <w:rsid w:val="00E50EB1"/>
    <w:rsid w:val="00E5422D"/>
    <w:rsid w:val="00E546DD"/>
    <w:rsid w:val="00E554FF"/>
    <w:rsid w:val="00E56435"/>
    <w:rsid w:val="00E641AF"/>
    <w:rsid w:val="00E65038"/>
    <w:rsid w:val="00E70B27"/>
    <w:rsid w:val="00E7155A"/>
    <w:rsid w:val="00E75F32"/>
    <w:rsid w:val="00E769A0"/>
    <w:rsid w:val="00E808BF"/>
    <w:rsid w:val="00E82210"/>
    <w:rsid w:val="00E847FC"/>
    <w:rsid w:val="00E869A2"/>
    <w:rsid w:val="00E94647"/>
    <w:rsid w:val="00E94E60"/>
    <w:rsid w:val="00E95F9A"/>
    <w:rsid w:val="00E965E9"/>
    <w:rsid w:val="00EA0617"/>
    <w:rsid w:val="00EA3A3D"/>
    <w:rsid w:val="00EA73B6"/>
    <w:rsid w:val="00EB1A1D"/>
    <w:rsid w:val="00EB7A02"/>
    <w:rsid w:val="00EB7BFE"/>
    <w:rsid w:val="00EC133F"/>
    <w:rsid w:val="00EC3E6C"/>
    <w:rsid w:val="00EC6FBC"/>
    <w:rsid w:val="00EC79E5"/>
    <w:rsid w:val="00ED2C9D"/>
    <w:rsid w:val="00ED705E"/>
    <w:rsid w:val="00ED79C7"/>
    <w:rsid w:val="00ED7A21"/>
    <w:rsid w:val="00EE0D83"/>
    <w:rsid w:val="00EF1D95"/>
    <w:rsid w:val="00EF1EA7"/>
    <w:rsid w:val="00F01102"/>
    <w:rsid w:val="00F01241"/>
    <w:rsid w:val="00F015A7"/>
    <w:rsid w:val="00F02879"/>
    <w:rsid w:val="00F02D1F"/>
    <w:rsid w:val="00F05EB6"/>
    <w:rsid w:val="00F1371D"/>
    <w:rsid w:val="00F164B3"/>
    <w:rsid w:val="00F24033"/>
    <w:rsid w:val="00F24B34"/>
    <w:rsid w:val="00F24F95"/>
    <w:rsid w:val="00F26394"/>
    <w:rsid w:val="00F278DB"/>
    <w:rsid w:val="00F31ABB"/>
    <w:rsid w:val="00F3418C"/>
    <w:rsid w:val="00F36A24"/>
    <w:rsid w:val="00F3731B"/>
    <w:rsid w:val="00F37959"/>
    <w:rsid w:val="00F46FA1"/>
    <w:rsid w:val="00F47A07"/>
    <w:rsid w:val="00F47EC7"/>
    <w:rsid w:val="00F549D4"/>
    <w:rsid w:val="00F5705A"/>
    <w:rsid w:val="00F57E2D"/>
    <w:rsid w:val="00F6016F"/>
    <w:rsid w:val="00F61D86"/>
    <w:rsid w:val="00F650B0"/>
    <w:rsid w:val="00F654A7"/>
    <w:rsid w:val="00F6747E"/>
    <w:rsid w:val="00F705E9"/>
    <w:rsid w:val="00F70AD6"/>
    <w:rsid w:val="00F7499B"/>
    <w:rsid w:val="00F74CBB"/>
    <w:rsid w:val="00F762A1"/>
    <w:rsid w:val="00F779C8"/>
    <w:rsid w:val="00F80E42"/>
    <w:rsid w:val="00F84AD0"/>
    <w:rsid w:val="00F90D78"/>
    <w:rsid w:val="00F919CE"/>
    <w:rsid w:val="00FA012D"/>
    <w:rsid w:val="00FA2787"/>
    <w:rsid w:val="00FA34C4"/>
    <w:rsid w:val="00FA369C"/>
    <w:rsid w:val="00FA39ED"/>
    <w:rsid w:val="00FA426E"/>
    <w:rsid w:val="00FA533A"/>
    <w:rsid w:val="00FA5D6C"/>
    <w:rsid w:val="00FA7E18"/>
    <w:rsid w:val="00FA7FF0"/>
    <w:rsid w:val="00FB3C0B"/>
    <w:rsid w:val="00FB5D40"/>
    <w:rsid w:val="00FB5E95"/>
    <w:rsid w:val="00FC1802"/>
    <w:rsid w:val="00FC1B88"/>
    <w:rsid w:val="00FD0E6E"/>
    <w:rsid w:val="00FD326A"/>
    <w:rsid w:val="00FD64C9"/>
    <w:rsid w:val="00FE2F13"/>
    <w:rsid w:val="00FE4D6D"/>
    <w:rsid w:val="00FE625D"/>
    <w:rsid w:val="00FE6BB7"/>
    <w:rsid w:val="00FF1734"/>
    <w:rsid w:val="00FF34B3"/>
    <w:rsid w:val="00FF5AD8"/>
    <w:rsid w:val="00FF7644"/>
    <w:rsid w:val="00FF767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E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3D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3D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3D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241"/>
  </w:style>
  <w:style w:type="paragraph" w:styleId="Footer">
    <w:name w:val="footer"/>
    <w:basedOn w:val="Normal"/>
    <w:link w:val="FooterChar"/>
    <w:uiPriority w:val="99"/>
    <w:unhideWhenUsed/>
    <w:rsid w:val="00F01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241"/>
  </w:style>
  <w:style w:type="paragraph" w:customStyle="1" w:styleId="Default">
    <w:name w:val="Default"/>
    <w:rsid w:val="00F01241"/>
    <w:pPr>
      <w:autoSpaceDE w:val="0"/>
      <w:autoSpaceDN w:val="0"/>
      <w:adjustRightInd w:val="0"/>
      <w:spacing w:after="0" w:line="240" w:lineRule="auto"/>
    </w:pPr>
    <w:rPr>
      <w:rFonts w:ascii="Arial" w:hAnsi="Arial" w:cs="Arial"/>
      <w:color w:val="000000"/>
      <w:sz w:val="24"/>
      <w:szCs w:val="24"/>
    </w:rPr>
  </w:style>
  <w:style w:type="character" w:styleId="SubtleReference">
    <w:name w:val="Subtle Reference"/>
    <w:basedOn w:val="DefaultParagraphFont"/>
    <w:uiPriority w:val="31"/>
    <w:qFormat/>
    <w:rsid w:val="00F01241"/>
    <w:rPr>
      <w:smallCaps/>
      <w:color w:val="5A5A5A" w:themeColor="text1" w:themeTint="A5"/>
    </w:rPr>
  </w:style>
  <w:style w:type="character" w:styleId="CommentReference">
    <w:name w:val="annotation reference"/>
    <w:basedOn w:val="DefaultParagraphFont"/>
    <w:uiPriority w:val="99"/>
    <w:semiHidden/>
    <w:unhideWhenUsed/>
    <w:rsid w:val="00F01241"/>
    <w:rPr>
      <w:sz w:val="16"/>
      <w:szCs w:val="16"/>
    </w:rPr>
  </w:style>
  <w:style w:type="paragraph" w:styleId="CommentText">
    <w:name w:val="annotation text"/>
    <w:basedOn w:val="Normal"/>
    <w:link w:val="CommentTextChar"/>
    <w:uiPriority w:val="99"/>
    <w:unhideWhenUsed/>
    <w:rsid w:val="00F01241"/>
    <w:pPr>
      <w:spacing w:line="240" w:lineRule="auto"/>
    </w:pPr>
    <w:rPr>
      <w:sz w:val="20"/>
      <w:szCs w:val="20"/>
    </w:rPr>
  </w:style>
  <w:style w:type="character" w:customStyle="1" w:styleId="CommentTextChar">
    <w:name w:val="Comment Text Char"/>
    <w:basedOn w:val="DefaultParagraphFont"/>
    <w:link w:val="CommentText"/>
    <w:uiPriority w:val="99"/>
    <w:rsid w:val="00F01241"/>
    <w:rPr>
      <w:sz w:val="20"/>
      <w:szCs w:val="20"/>
    </w:rPr>
  </w:style>
  <w:style w:type="paragraph" w:styleId="CommentSubject">
    <w:name w:val="annotation subject"/>
    <w:basedOn w:val="CommentText"/>
    <w:next w:val="CommentText"/>
    <w:link w:val="CommentSubjectChar"/>
    <w:uiPriority w:val="99"/>
    <w:semiHidden/>
    <w:unhideWhenUsed/>
    <w:rsid w:val="00F01241"/>
    <w:rPr>
      <w:b/>
      <w:bCs/>
    </w:rPr>
  </w:style>
  <w:style w:type="character" w:customStyle="1" w:styleId="CommentSubjectChar">
    <w:name w:val="Comment Subject Char"/>
    <w:basedOn w:val="CommentTextChar"/>
    <w:link w:val="CommentSubject"/>
    <w:uiPriority w:val="99"/>
    <w:semiHidden/>
    <w:rsid w:val="00F01241"/>
    <w:rPr>
      <w:b/>
      <w:bCs/>
      <w:sz w:val="20"/>
      <w:szCs w:val="20"/>
    </w:rPr>
  </w:style>
  <w:style w:type="paragraph" w:styleId="BalloonText">
    <w:name w:val="Balloon Text"/>
    <w:basedOn w:val="Normal"/>
    <w:link w:val="BalloonTextChar"/>
    <w:uiPriority w:val="99"/>
    <w:semiHidden/>
    <w:unhideWhenUsed/>
    <w:rsid w:val="00F01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241"/>
    <w:rPr>
      <w:rFonts w:ascii="Segoe UI" w:hAnsi="Segoe UI" w:cs="Segoe UI"/>
      <w:sz w:val="18"/>
      <w:szCs w:val="18"/>
    </w:rPr>
  </w:style>
  <w:style w:type="paragraph" w:styleId="ListParagraph">
    <w:name w:val="List Paragraph"/>
    <w:basedOn w:val="Normal"/>
    <w:uiPriority w:val="34"/>
    <w:qFormat/>
    <w:rsid w:val="00203DEF"/>
    <w:pPr>
      <w:ind w:left="720"/>
      <w:contextualSpacing/>
    </w:pPr>
  </w:style>
  <w:style w:type="character" w:customStyle="1" w:styleId="Heading1Char">
    <w:name w:val="Heading 1 Char"/>
    <w:basedOn w:val="DefaultParagraphFont"/>
    <w:link w:val="Heading1"/>
    <w:uiPriority w:val="9"/>
    <w:rsid w:val="00203D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3DE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03DEF"/>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155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56EA"/>
    <w:rPr>
      <w:sz w:val="20"/>
      <w:szCs w:val="20"/>
    </w:rPr>
  </w:style>
  <w:style w:type="character" w:styleId="FootnoteReference">
    <w:name w:val="footnote reference"/>
    <w:basedOn w:val="DefaultParagraphFont"/>
    <w:uiPriority w:val="99"/>
    <w:semiHidden/>
    <w:unhideWhenUsed/>
    <w:rsid w:val="001556EA"/>
    <w:rPr>
      <w:vertAlign w:val="superscript"/>
    </w:rPr>
  </w:style>
  <w:style w:type="character" w:styleId="Hyperlink">
    <w:name w:val="Hyperlink"/>
    <w:basedOn w:val="DefaultParagraphFont"/>
    <w:uiPriority w:val="99"/>
    <w:unhideWhenUsed/>
    <w:rsid w:val="001556EA"/>
    <w:rPr>
      <w:color w:val="0000FF"/>
      <w:u w:val="single"/>
    </w:rPr>
  </w:style>
  <w:style w:type="character" w:customStyle="1" w:styleId="UnresolvedMention1">
    <w:name w:val="Unresolved Mention1"/>
    <w:basedOn w:val="DefaultParagraphFont"/>
    <w:uiPriority w:val="99"/>
    <w:semiHidden/>
    <w:unhideWhenUsed/>
    <w:rsid w:val="00FE625D"/>
    <w:rPr>
      <w:color w:val="605E5C"/>
      <w:shd w:val="clear" w:color="auto" w:fill="E1DFDD"/>
    </w:rPr>
  </w:style>
  <w:style w:type="paragraph" w:customStyle="1" w:styleId="MacPacTrailer">
    <w:name w:val="MacPac Trailer"/>
    <w:rsid w:val="00837D3A"/>
    <w:pPr>
      <w:widowControl w:val="0"/>
      <w:spacing w:line="170" w:lineRule="exact"/>
    </w:pPr>
    <w:rPr>
      <w:sz w:val="14"/>
    </w:rPr>
  </w:style>
  <w:style w:type="character" w:styleId="PlaceholderText">
    <w:name w:val="Placeholder Text"/>
    <w:basedOn w:val="DefaultParagraphFont"/>
    <w:uiPriority w:val="99"/>
    <w:semiHidden/>
    <w:rsid w:val="00837D3A"/>
    <w:rPr>
      <w:color w:val="808080"/>
    </w:rPr>
  </w:style>
  <w:style w:type="paragraph" w:styleId="ListBullet">
    <w:name w:val="List Bullet"/>
    <w:basedOn w:val="Normal"/>
    <w:uiPriority w:val="99"/>
    <w:unhideWhenUsed/>
    <w:rsid w:val="00372B30"/>
    <w:pPr>
      <w:numPr>
        <w:numId w:val="19"/>
      </w:numPr>
      <w:contextualSpacing/>
    </w:pPr>
  </w:style>
  <w:style w:type="paragraph" w:styleId="EndnoteText">
    <w:name w:val="endnote text"/>
    <w:basedOn w:val="Normal"/>
    <w:link w:val="EndnoteTextChar"/>
    <w:uiPriority w:val="99"/>
    <w:semiHidden/>
    <w:unhideWhenUsed/>
    <w:rsid w:val="00AB56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56F5"/>
    <w:rPr>
      <w:sz w:val="20"/>
      <w:szCs w:val="20"/>
    </w:rPr>
  </w:style>
  <w:style w:type="character" w:styleId="EndnoteReference">
    <w:name w:val="endnote reference"/>
    <w:basedOn w:val="DefaultParagraphFont"/>
    <w:uiPriority w:val="99"/>
    <w:semiHidden/>
    <w:unhideWhenUsed/>
    <w:rsid w:val="00AB56F5"/>
    <w:rPr>
      <w:vertAlign w:val="superscript"/>
    </w:rPr>
  </w:style>
  <w:style w:type="paragraph" w:styleId="Revision">
    <w:name w:val="Revision"/>
    <w:hidden/>
    <w:uiPriority w:val="99"/>
    <w:semiHidden/>
    <w:rsid w:val="00DF02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367514/Security_Requirements_for_List_X_Contractors.pdf" TargetMode="External"/><Relationship Id="rId1" Type="http://schemas.openxmlformats.org/officeDocument/2006/relationships/hyperlink" Target="https://assets.publishing.service.gov.uk/government/uploads/system/uploads/attachment_data/file/715778/May-2018_Government-Security-Classifications-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AAA65-A491-4C61-A97C-D9E870BF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3212</Words>
  <Characters>18309</Characters>
  <Application>Microsoft Office Word</Application>
  <DocSecurity>0</DocSecurity>
  <Lines>152</Lines>
  <Paragraphs>42</Paragraphs>
  <ScaleCrop>false</ScaleCrop>
  <Company/>
  <LinksUpToDate>false</LinksUpToDate>
  <CharactersWithSpaces>21479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2021-01-25T11:24:00Z</dcterms:created>
  <dcterms:modified xsi:type="dcterms:W3CDTF">2021-01-25T11:24:00Z</dcterms:modified>
</cp:coreProperties>
</file>