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540"/>
        <w:jc w:val="right"/>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2">
      <w:pPr>
        <w:ind w:left="-54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03">
      <w:pPr>
        <w:ind w:left="-54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 FORMA FOR TRANSPARENCY INFORMATION ABOUT OUTSIDE APPOINTMENTS OR EMPLOYMENT TAKEN UP BY FORMER MEMBERS OF THE DEPARTMENT AT SCS1 AND SCS2 LEVEL AND EQUIVALENTS INCLUDING SPECIAL ADVISERS OF EQUIVALENT STANDING</w:t>
      </w:r>
      <w:r w:rsidDel="00000000" w:rsidR="00000000" w:rsidRPr="00000000">
        <w:rPr>
          <w:rtl w:val="0"/>
        </w:rPr>
      </w:r>
    </w:p>
    <w:p w:rsidR="00000000" w:rsidDel="00000000" w:rsidP="00000000" w:rsidRDefault="00000000" w:rsidRPr="00000000" w14:paraId="00000004">
      <w:pPr>
        <w:ind w:left="-540"/>
        <w:jc w:val="center"/>
        <w:rPr>
          <w:vertAlign w:val="baseline"/>
        </w:rPr>
      </w:pPr>
      <w:r w:rsidDel="00000000" w:rsidR="00000000" w:rsidRPr="00000000">
        <w:rPr>
          <w:rtl w:val="0"/>
        </w:rPr>
      </w:r>
    </w:p>
    <w:p w:rsidR="00000000" w:rsidDel="00000000" w:rsidP="00000000" w:rsidRDefault="00000000" w:rsidRPr="00000000" w14:paraId="00000005">
      <w:pPr>
        <w:ind w:hanging="540"/>
        <w:rPr>
          <w:vertAlign w:val="baseline"/>
        </w:rPr>
      </w:pPr>
      <w:r w:rsidDel="00000000" w:rsidR="00000000" w:rsidRPr="00000000">
        <w:rPr>
          <w:rtl w:val="0"/>
        </w:rPr>
      </w:r>
    </w:p>
    <w:p w:rsidR="00000000" w:rsidDel="00000000" w:rsidP="00000000" w:rsidRDefault="00000000" w:rsidRPr="00000000" w14:paraId="00000006">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Transparency about the advice given on individual applications under the Business Appointment Rules helps to ensure the maintenance of a high level of compliance.  </w:t>
      </w:r>
    </w:p>
    <w:p w:rsidR="00000000" w:rsidDel="00000000" w:rsidP="00000000" w:rsidRDefault="00000000" w:rsidRPr="00000000" w14:paraId="00000007">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8">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Rules require departments to publish on their websites summary information about the advice they give to applicants at SCS2 and SCS1 level and equivalents, including special advisers of equivalent standing.  </w:t>
      </w:r>
    </w:p>
    <w:p w:rsidR="00000000" w:rsidDel="00000000" w:rsidP="00000000" w:rsidRDefault="00000000" w:rsidRPr="00000000" w14:paraId="00000009">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A">
      <w:pPr>
        <w:numPr>
          <w:ilvl w:val="0"/>
          <w:numId w:val="1"/>
        </w:numPr>
        <w:ind w:left="360" w:hanging="360"/>
        <w:jc w:val="both"/>
        <w:rPr>
          <w:rFonts w:ascii="Arial" w:cs="Arial" w:eastAsia="Arial" w:hAnsi="Arial"/>
          <w:vertAlign w:val="baseline"/>
        </w:rPr>
      </w:pPr>
      <w:bookmarkStart w:colFirst="0" w:colLast="0" w:name="_heading=h.gjdgxs" w:id="0"/>
      <w:bookmarkEnd w:id="0"/>
      <w:r w:rsidDel="00000000" w:rsidR="00000000" w:rsidRPr="00000000">
        <w:rPr>
          <w:rFonts w:ascii="Arial" w:cs="Arial" w:eastAsia="Arial" w:hAnsi="Arial"/>
          <w:vertAlign w:val="baseline"/>
          <w:rtl w:val="0"/>
        </w:rPr>
        <w:t xml:space="preserve">This follows the approach adopted by the Advisory Committee on Business Appointments which publishes information on the advice it gives on applications from SCS3 level and above and equivalents, including special advisers of equivalent standing – see  </w:t>
      </w:r>
      <w:hyperlink r:id="rId7">
        <w:r w:rsidDel="00000000" w:rsidR="00000000" w:rsidRPr="00000000">
          <w:rPr>
            <w:rFonts w:ascii="Arial" w:cs="Arial" w:eastAsia="Arial" w:hAnsi="Arial"/>
            <w:color w:val="0000ff"/>
            <w:u w:val="single"/>
            <w:vertAlign w:val="baseline"/>
            <w:rtl w:val="0"/>
          </w:rPr>
          <w:t xml:space="preserve">http://acoba.independent.gov.uk/</w:t>
        </w:r>
      </w:hyperlink>
      <w:r w:rsidDel="00000000" w:rsidR="00000000" w:rsidRPr="00000000">
        <w:rPr>
          <w:rtl w:val="0"/>
        </w:rPr>
      </w:r>
    </w:p>
    <w:p w:rsidR="00000000" w:rsidDel="00000000" w:rsidP="00000000" w:rsidRDefault="00000000" w:rsidRPr="00000000" w14:paraId="0000000B">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C">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Published information should include the following details:</w:t>
      </w:r>
    </w:p>
    <w:p w:rsidR="00000000" w:rsidDel="00000000" w:rsidP="00000000" w:rsidRDefault="00000000" w:rsidRPr="00000000" w14:paraId="0000000D">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0E">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Full name of the applicant, and title of their former Civil Service role;</w:t>
      </w:r>
    </w:p>
    <w:p w:rsidR="00000000" w:rsidDel="00000000" w:rsidP="00000000" w:rsidRDefault="00000000" w:rsidRPr="00000000" w14:paraId="0000000F">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Date applicant left/retired from the Civil Service;</w:t>
      </w:r>
    </w:p>
    <w:p w:rsidR="00000000" w:rsidDel="00000000" w:rsidP="00000000" w:rsidRDefault="00000000" w:rsidRPr="00000000" w14:paraId="00000010">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The applicant’s new employment or appointment, including when taken up;</w:t>
      </w:r>
    </w:p>
    <w:p w:rsidR="00000000" w:rsidDel="00000000" w:rsidP="00000000" w:rsidRDefault="00000000" w:rsidRPr="00000000" w14:paraId="00000011">
      <w:pPr>
        <w:numPr>
          <w:ilvl w:val="1"/>
          <w:numId w:val="1"/>
        </w:numPr>
        <w:ind w:left="108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Summary of the department’s decision on the applicant’s application, including details of any waiting period or other conditions or restrictions applied.</w:t>
      </w:r>
    </w:p>
    <w:p w:rsidR="00000000" w:rsidDel="00000000" w:rsidP="00000000" w:rsidRDefault="00000000" w:rsidRPr="00000000" w14:paraId="00000012">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3">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Departments may wish to use the pro forma overleaf for this purpose.</w:t>
      </w:r>
    </w:p>
    <w:p w:rsidR="00000000" w:rsidDel="00000000" w:rsidP="00000000" w:rsidRDefault="00000000" w:rsidRPr="00000000" w14:paraId="00000014">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5">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It is important that departments do </w:t>
      </w:r>
      <w:r w:rsidDel="00000000" w:rsidR="00000000" w:rsidRPr="00000000">
        <w:rPr>
          <w:rFonts w:ascii="Arial" w:cs="Arial" w:eastAsia="Arial" w:hAnsi="Arial"/>
          <w:u w:val="single"/>
          <w:vertAlign w:val="baseline"/>
          <w:rtl w:val="0"/>
        </w:rPr>
        <w:t xml:space="preserve">not</w:t>
      </w:r>
      <w:r w:rsidDel="00000000" w:rsidR="00000000" w:rsidRPr="00000000">
        <w:rPr>
          <w:rFonts w:ascii="Arial" w:cs="Arial" w:eastAsia="Arial" w:hAnsi="Arial"/>
          <w:vertAlign w:val="baseline"/>
          <w:rtl w:val="0"/>
        </w:rPr>
        <w:t xml:space="preserve"> publish any information until the applicant has taken up the appointment or employment, or it has been publicly announced. </w:t>
      </w:r>
    </w:p>
    <w:p w:rsidR="00000000" w:rsidDel="00000000" w:rsidP="00000000" w:rsidRDefault="00000000" w:rsidRPr="00000000" w14:paraId="00000016">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7">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No information should be published where the applicant does not take up a proposed appointment or employment. </w:t>
      </w:r>
    </w:p>
    <w:p w:rsidR="00000000" w:rsidDel="00000000" w:rsidP="00000000" w:rsidRDefault="00000000" w:rsidRPr="00000000" w14:paraId="00000018">
      <w:pPr>
        <w:jc w:val="both"/>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9">
      <w:pPr>
        <w:numPr>
          <w:ilvl w:val="0"/>
          <w:numId w:val="1"/>
        </w:numPr>
        <w:ind w:left="360" w:hanging="360"/>
        <w:jc w:val="both"/>
        <w:rPr>
          <w:rFonts w:ascii="Arial" w:cs="Arial" w:eastAsia="Arial" w:hAnsi="Arial"/>
          <w:vertAlign w:val="baseline"/>
        </w:rPr>
      </w:pPr>
      <w:r w:rsidDel="00000000" w:rsidR="00000000" w:rsidRPr="00000000">
        <w:rPr>
          <w:rFonts w:ascii="Arial" w:cs="Arial" w:eastAsia="Arial" w:hAnsi="Arial"/>
          <w:vertAlign w:val="baseline"/>
          <w:rtl w:val="0"/>
        </w:rPr>
        <w:t xml:space="preserve">Applicants should be informed about publication and be given the opportunity to check the text before it goes live on the website. </w:t>
      </w:r>
    </w:p>
    <w:p w:rsidR="00000000" w:rsidDel="00000000" w:rsidP="00000000" w:rsidRDefault="00000000" w:rsidRPr="00000000" w14:paraId="0000001A">
      <w:pPr>
        <w:jc w:val="both"/>
        <w:rPr>
          <w:rFonts w:ascii="Arial" w:cs="Arial" w:eastAsia="Arial" w:hAnsi="Arial"/>
          <w:color w:val="000000"/>
          <w:vertAlign w:val="baseline"/>
        </w:rPr>
      </w:pPr>
      <w:r w:rsidDel="00000000" w:rsidR="00000000" w:rsidRPr="00000000">
        <w:rPr>
          <w:rtl w:val="0"/>
        </w:rPr>
      </w:r>
    </w:p>
    <w:p w:rsidR="00000000" w:rsidDel="00000000" w:rsidP="00000000" w:rsidRDefault="00000000" w:rsidRPr="00000000" w14:paraId="0000001B">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D">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E">
      <w:pPr>
        <w:jc w:val="both"/>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F">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0">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1">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2">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3">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4">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5">
      <w:pPr>
        <w:ind w:left="-540"/>
        <w:jc w:val="center"/>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PRO FORMA FOR TRANSPARENCY INFORMATION ABOUT OUTSIDE APPOINTMENTS OR EMPLOYMENT TAKEN UP BY FORMER MEMBERS OF THE DEPARTMENT AT SCS1 AND SCS2 LEVEL AND EQUIVALENTS (INCLUDING SPECIAL ADVISERS OF EQUIVALENT STANDING)</w:t>
      </w:r>
      <w:r w:rsidDel="00000000" w:rsidR="00000000" w:rsidRPr="00000000">
        <w:rPr>
          <w:rtl w:val="0"/>
        </w:rPr>
      </w:r>
    </w:p>
    <w:p w:rsidR="00000000" w:rsidDel="00000000" w:rsidP="00000000" w:rsidRDefault="00000000" w:rsidRPr="00000000" w14:paraId="00000026">
      <w:pPr>
        <w:ind w:left="-540"/>
        <w:jc w:val="center"/>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7">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8">
      <w:pPr>
        <w:ind w:left="-54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29">
      <w:pPr>
        <w:ind w:hanging="540"/>
        <w:rPr>
          <w:rFonts w:ascii="Arial" w:cs="Arial" w:eastAsia="Arial" w:hAnsi="Arial"/>
          <w:vertAlign w:val="baseline"/>
        </w:rPr>
      </w:pPr>
      <w:r w:rsidDel="00000000" w:rsidR="00000000" w:rsidRPr="00000000">
        <w:rPr>
          <w:rtl w:val="0"/>
        </w:rPr>
      </w:r>
    </w:p>
    <w:tbl>
      <w:tblPr>
        <w:tblStyle w:val="Table1"/>
        <w:tblW w:w="90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20"/>
        <w:gridCol w:w="4816"/>
        <w:tblGridChange w:id="0">
          <w:tblGrid>
            <w:gridCol w:w="4220"/>
            <w:gridCol w:w="4816"/>
          </w:tblGrid>
        </w:tblGridChange>
      </w:tblGrid>
      <w:tr>
        <w:tc>
          <w:tcPr>
            <w:vAlign w:val="top"/>
          </w:tcPr>
          <w:p w:rsidR="00000000" w:rsidDel="00000000" w:rsidP="00000000" w:rsidRDefault="00000000" w:rsidRPr="00000000" w14:paraId="0000002A">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Full Name of Applicant </w:t>
            </w:r>
          </w:p>
          <w:p w:rsidR="00000000" w:rsidDel="00000000" w:rsidP="00000000" w:rsidRDefault="00000000" w:rsidRPr="00000000" w14:paraId="0000002B">
            <w:pPr>
              <w:spacing w:after="240" w:before="24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C">
            <w:pPr>
              <w:spacing w:after="240" w:before="240" w:lineRule="auto"/>
              <w:rPr>
                <w:rFonts w:ascii="Arial" w:cs="Arial" w:eastAsia="Arial" w:hAnsi="Arial"/>
                <w:vertAlign w:val="baseline"/>
              </w:rPr>
            </w:pPr>
            <w:r w:rsidDel="00000000" w:rsidR="00000000" w:rsidRPr="00000000">
              <w:rPr>
                <w:rFonts w:ascii="Arial" w:cs="Arial" w:eastAsia="Arial" w:hAnsi="Arial"/>
                <w:rtl w:val="0"/>
              </w:rPr>
              <w:t xml:space="preserve">Mark Carvell</w:t>
            </w:r>
            <w:r w:rsidDel="00000000" w:rsidR="00000000" w:rsidRPr="00000000">
              <w:rPr>
                <w:rtl w:val="0"/>
              </w:rPr>
            </w:r>
          </w:p>
        </w:tc>
      </w:tr>
      <w:tr>
        <w:tc>
          <w:tcPr>
            <w:vAlign w:val="top"/>
          </w:tcPr>
          <w:p w:rsidR="00000000" w:rsidDel="00000000" w:rsidP="00000000" w:rsidRDefault="00000000" w:rsidRPr="00000000" w14:paraId="0000002D">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Title of Former Civil Service Role </w:t>
            </w:r>
          </w:p>
          <w:p w:rsidR="00000000" w:rsidDel="00000000" w:rsidP="00000000" w:rsidRDefault="00000000" w:rsidRPr="00000000" w14:paraId="0000002E">
            <w:pPr>
              <w:spacing w:after="240" w:before="24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2F">
            <w:pPr>
              <w:spacing w:after="80" w:before="80" w:lineRule="auto"/>
              <w:rPr>
                <w:rFonts w:ascii="Arial" w:cs="Arial" w:eastAsia="Arial" w:hAnsi="Arial"/>
                <w:vertAlign w:val="baseline"/>
              </w:rPr>
            </w:pPr>
            <w:r w:rsidDel="00000000" w:rsidR="00000000" w:rsidRPr="00000000">
              <w:rPr>
                <w:rFonts w:ascii="Arial" w:cs="Arial" w:eastAsia="Arial" w:hAnsi="Arial"/>
                <w:rtl w:val="0"/>
              </w:rPr>
              <w:t xml:space="preserve">Head of International Online Policy</w:t>
            </w:r>
            <w:r w:rsidDel="00000000" w:rsidR="00000000" w:rsidRPr="00000000">
              <w:rPr>
                <w:rtl w:val="0"/>
              </w:rPr>
            </w:r>
          </w:p>
        </w:tc>
      </w:tr>
      <w:tr>
        <w:tc>
          <w:tcPr>
            <w:vAlign w:val="top"/>
          </w:tcPr>
          <w:p w:rsidR="00000000" w:rsidDel="00000000" w:rsidP="00000000" w:rsidRDefault="00000000" w:rsidRPr="00000000" w14:paraId="00000030">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Date Left/Retired from the Civil Service </w:t>
            </w:r>
          </w:p>
          <w:p w:rsidR="00000000" w:rsidDel="00000000" w:rsidP="00000000" w:rsidRDefault="00000000" w:rsidRPr="00000000" w14:paraId="00000031">
            <w:pPr>
              <w:spacing w:after="240" w:before="24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2">
            <w:pPr>
              <w:spacing w:after="80" w:before="80" w:lineRule="auto"/>
              <w:rPr>
                <w:rFonts w:ascii="Arial" w:cs="Arial" w:eastAsia="Arial" w:hAnsi="Arial"/>
                <w:vertAlign w:val="baseline"/>
              </w:rPr>
            </w:pPr>
            <w:r w:rsidDel="00000000" w:rsidR="00000000" w:rsidRPr="00000000">
              <w:rPr>
                <w:rFonts w:ascii="Arial" w:cs="Arial" w:eastAsia="Arial" w:hAnsi="Arial"/>
                <w:rtl w:val="0"/>
              </w:rPr>
              <w:t xml:space="preserve">29 March 2019</w:t>
            </w:r>
            <w:r w:rsidDel="00000000" w:rsidR="00000000" w:rsidRPr="00000000">
              <w:rPr>
                <w:rtl w:val="0"/>
              </w:rPr>
            </w:r>
          </w:p>
        </w:tc>
      </w:tr>
      <w:tr>
        <w:tc>
          <w:tcPr>
            <w:vAlign w:val="top"/>
          </w:tcPr>
          <w:p w:rsidR="00000000" w:rsidDel="00000000" w:rsidP="00000000" w:rsidRDefault="00000000" w:rsidRPr="00000000" w14:paraId="00000033">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New Employer</w:t>
            </w:r>
          </w:p>
          <w:p w:rsidR="00000000" w:rsidDel="00000000" w:rsidP="00000000" w:rsidRDefault="00000000" w:rsidRPr="00000000" w14:paraId="00000034">
            <w:pPr>
              <w:spacing w:after="240" w:before="24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5">
            <w:pPr>
              <w:spacing w:after="80" w:before="80" w:lineRule="auto"/>
              <w:rPr>
                <w:rFonts w:ascii="Arial" w:cs="Arial" w:eastAsia="Arial" w:hAnsi="Arial"/>
                <w:vertAlign w:val="baseline"/>
              </w:rPr>
            </w:pPr>
            <w:r w:rsidDel="00000000" w:rsidR="00000000" w:rsidRPr="00000000">
              <w:rPr>
                <w:rFonts w:ascii="Arial" w:cs="Arial" w:eastAsia="Arial" w:hAnsi="Arial"/>
                <w:rtl w:val="0"/>
              </w:rPr>
              <w:t xml:space="preserve">EuroDIG Support Association (European Dialogue on Internet Governance)  </w:t>
            </w:r>
            <w:r w:rsidDel="00000000" w:rsidR="00000000" w:rsidRPr="00000000">
              <w:rPr>
                <w:rtl w:val="0"/>
              </w:rPr>
            </w:r>
          </w:p>
        </w:tc>
      </w:tr>
      <w:tr>
        <w:tc>
          <w:tcPr>
            <w:vAlign w:val="top"/>
          </w:tcPr>
          <w:p w:rsidR="00000000" w:rsidDel="00000000" w:rsidP="00000000" w:rsidRDefault="00000000" w:rsidRPr="00000000" w14:paraId="00000036">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New Appointment/Employment (including when taken up)</w:t>
            </w:r>
          </w:p>
          <w:p w:rsidR="00000000" w:rsidDel="00000000" w:rsidP="00000000" w:rsidRDefault="00000000" w:rsidRPr="00000000" w14:paraId="00000037">
            <w:pPr>
              <w:spacing w:after="240" w:before="240" w:lineRule="auto"/>
              <w:rPr>
                <w:rFonts w:ascii="Arial" w:cs="Arial" w:eastAsia="Arial" w:hAnsi="Arial"/>
                <w:vertAlign w:val="baseline"/>
              </w:rPr>
            </w:pPr>
            <w:r w:rsidDel="00000000" w:rsidR="00000000" w:rsidRPr="00000000">
              <w:rPr>
                <w:rtl w:val="0"/>
              </w:rPr>
            </w:r>
          </w:p>
        </w:tc>
        <w:tc>
          <w:tcPr>
            <w:vAlign w:val="top"/>
          </w:tcPr>
          <w:p w:rsidR="00000000" w:rsidDel="00000000" w:rsidP="00000000" w:rsidRDefault="00000000" w:rsidRPr="00000000" w14:paraId="00000038">
            <w:pPr>
              <w:spacing w:after="80" w:before="80" w:lineRule="auto"/>
              <w:rPr>
                <w:rFonts w:ascii="Arial" w:cs="Arial" w:eastAsia="Arial" w:hAnsi="Arial"/>
              </w:rPr>
            </w:pPr>
            <w:r w:rsidDel="00000000" w:rsidR="00000000" w:rsidRPr="00000000">
              <w:rPr>
                <w:rFonts w:ascii="Arial" w:cs="Arial" w:eastAsia="Arial" w:hAnsi="Arial"/>
                <w:rtl w:val="0"/>
              </w:rPr>
              <w:t xml:space="preserve">Chair of EuroDIG’s Intersessional Project on Digital Cooperation </w:t>
            </w:r>
          </w:p>
          <w:p w:rsidR="00000000" w:rsidDel="00000000" w:rsidP="00000000" w:rsidRDefault="00000000" w:rsidRPr="00000000" w14:paraId="00000039">
            <w:pPr>
              <w:spacing w:after="80" w:before="80" w:lineRule="auto"/>
              <w:rPr>
                <w:rFonts w:ascii="Arial" w:cs="Arial" w:eastAsia="Arial" w:hAnsi="Arial"/>
                <w:vertAlign w:val="baseline"/>
              </w:rPr>
            </w:pPr>
            <w:r w:rsidDel="00000000" w:rsidR="00000000" w:rsidRPr="00000000">
              <w:rPr>
                <w:rFonts w:ascii="Arial" w:cs="Arial" w:eastAsia="Arial" w:hAnsi="Arial"/>
                <w:rtl w:val="0"/>
              </w:rPr>
              <w:t xml:space="preserve"> Starting on 10 June 2019</w:t>
            </w:r>
            <w:r w:rsidDel="00000000" w:rsidR="00000000" w:rsidRPr="00000000">
              <w:rPr>
                <w:rtl w:val="0"/>
              </w:rPr>
            </w:r>
          </w:p>
          <w:p w:rsidR="00000000" w:rsidDel="00000000" w:rsidP="00000000" w:rsidRDefault="00000000" w:rsidRPr="00000000" w14:paraId="0000003A">
            <w:pPr>
              <w:rPr>
                <w:rFonts w:ascii="Arial" w:cs="Arial" w:eastAsia="Arial" w:hAnsi="Arial"/>
                <w:vertAlign w:val="baseline"/>
              </w:rPr>
            </w:pPr>
            <w:r w:rsidDel="00000000" w:rsidR="00000000" w:rsidRPr="00000000">
              <w:rPr>
                <w:rtl w:val="0"/>
              </w:rPr>
            </w:r>
          </w:p>
        </w:tc>
      </w:tr>
      <w:tr>
        <w:tc>
          <w:tcPr>
            <w:vAlign w:val="top"/>
          </w:tcPr>
          <w:p w:rsidR="00000000" w:rsidDel="00000000" w:rsidP="00000000" w:rsidRDefault="00000000" w:rsidRPr="00000000" w14:paraId="0000003B">
            <w:pPr>
              <w:spacing w:after="240" w:before="240" w:lineRule="auto"/>
              <w:rPr>
                <w:rFonts w:ascii="Arial" w:cs="Arial" w:eastAsia="Arial" w:hAnsi="Arial"/>
                <w:vertAlign w:val="baseline"/>
              </w:rPr>
            </w:pPr>
            <w:r w:rsidDel="00000000" w:rsidR="00000000" w:rsidRPr="00000000">
              <w:rPr>
                <w:rFonts w:ascii="Arial" w:cs="Arial" w:eastAsia="Arial" w:hAnsi="Arial"/>
                <w:vertAlign w:val="baseline"/>
                <w:rtl w:val="0"/>
              </w:rPr>
              <w:t xml:space="preserve">Department’s Decision on Application (including details of any waiting period or other conditions or restrictions applied)</w:t>
            </w:r>
          </w:p>
        </w:tc>
        <w:tc>
          <w:tcPr>
            <w:vAlign w:val="top"/>
          </w:tcPr>
          <w:p w:rsidR="00000000" w:rsidDel="00000000" w:rsidP="00000000" w:rsidRDefault="00000000" w:rsidRPr="00000000" w14:paraId="0000003C">
            <w:pPr>
              <w:spacing w:after="80" w:before="80" w:lineRule="auto"/>
              <w:rPr>
                <w:rFonts w:ascii="Arial" w:cs="Arial" w:eastAsia="Arial" w:hAnsi="Arial"/>
                <w:vertAlign w:val="baseline"/>
              </w:rPr>
            </w:pPr>
            <w:r w:rsidDel="00000000" w:rsidR="00000000" w:rsidRPr="00000000">
              <w:rPr>
                <w:rFonts w:ascii="Arial" w:cs="Arial" w:eastAsia="Arial" w:hAnsi="Arial"/>
                <w:rtl w:val="0"/>
              </w:rPr>
              <w:t xml:space="preserve">Mark may take up the appointment at EURODIG, but must not discuss any </w:t>
            </w:r>
            <w:r w:rsidDel="00000000" w:rsidR="00000000" w:rsidRPr="00000000">
              <w:rPr>
                <w:rFonts w:ascii="Arial" w:cs="Arial" w:eastAsia="Arial" w:hAnsi="Arial"/>
                <w:color w:val="222222"/>
                <w:highlight w:val="white"/>
                <w:rtl w:val="0"/>
              </w:rPr>
              <w:t xml:space="preserve">privileged or sensitive information he holds as a result of his time at DCMS.</w:t>
            </w:r>
            <w:r w:rsidDel="00000000" w:rsidR="00000000" w:rsidRPr="00000000">
              <w:rPr>
                <w:rtl w:val="0"/>
              </w:rPr>
            </w:r>
          </w:p>
          <w:p w:rsidR="00000000" w:rsidDel="00000000" w:rsidP="00000000" w:rsidRDefault="00000000" w:rsidRPr="00000000" w14:paraId="0000003D">
            <w:pPr>
              <w:ind w:left="175" w:hanging="175"/>
              <w:rPr>
                <w:rFonts w:ascii="Arial" w:cs="Arial" w:eastAsia="Arial" w:hAnsi="Arial"/>
                <w:b w:val="0"/>
                <w:vertAlign w:val="baseline"/>
              </w:rPr>
            </w:pPr>
            <w:r w:rsidDel="00000000" w:rsidR="00000000" w:rsidRPr="00000000">
              <w:rPr>
                <w:rtl w:val="0"/>
              </w:rPr>
            </w:r>
          </w:p>
        </w:tc>
      </w:tr>
    </w:tbl>
    <w:p w:rsidR="00000000" w:rsidDel="00000000" w:rsidP="00000000" w:rsidRDefault="00000000" w:rsidRPr="00000000" w14:paraId="0000003E">
      <w:pPr>
        <w:rPr>
          <w:rFonts w:ascii="Arial" w:cs="Arial" w:eastAsia="Arial" w:hAnsi="Arial"/>
          <w:vertAlign w:val="baseline"/>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pgMar w:bottom="1079" w:top="899" w:left="1800" w:right="128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next w:val="Head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Footer">
    <w:name w:val="Footer"/>
    <w:basedOn w:val="Normal"/>
    <w:next w:val="Footer"/>
    <w:autoRedefine w:val="0"/>
    <w:hidden w:val="0"/>
    <w:qFormat w:val="1"/>
    <w:pPr>
      <w:tabs>
        <w:tab w:val="center" w:leader="none" w:pos="4513"/>
        <w:tab w:val="right" w:leader="none" w:pos="9026"/>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GB" w:val="en-GB"/>
    </w:rPr>
  </w:style>
  <w:style w:type="character" w:styleId="FooterChar">
    <w:name w:val="Footer Char"/>
    <w:next w:val="FooterChar"/>
    <w:autoRedefine w:val="0"/>
    <w:hidden w:val="0"/>
    <w:qFormat w:val="0"/>
    <w:rPr>
      <w:w w:val="100"/>
      <w:position w:val="-1"/>
      <w:sz w:val="24"/>
      <w:szCs w:val="24"/>
      <w:effect w:val="none"/>
      <w:vertAlign w:val="baseline"/>
      <w:cs w:val="0"/>
      <w:em w:val="none"/>
      <w:lang/>
    </w:rPr>
  </w:style>
  <w:style w:type="character" w:styleId="FollowedHyperlink">
    <w:name w:val="FollowedHyperlink"/>
    <w:next w:val="FollowedHyperlink"/>
    <w:autoRedefine w:val="0"/>
    <w:hidden w:val="0"/>
    <w:qFormat w:val="1"/>
    <w:rPr>
      <w:color w:val="800080"/>
      <w:w w:val="100"/>
      <w:position w:val="-1"/>
      <w:u w:val="single"/>
      <w:effect w:val="none"/>
      <w:vertAlign w:val="baseline"/>
      <w:cs w:val="0"/>
      <w:em w:val="none"/>
      <w:lang/>
    </w:rPr>
  </w:style>
  <w:style w:type="paragraph" w:styleId="FootnoteText">
    <w:name w:val="Footnote Text"/>
    <w:basedOn w:val="Normal"/>
    <w:next w:val="FootnoteText"/>
    <w:autoRedefine w:val="0"/>
    <w:hidden w:val="0"/>
    <w:qFormat w:val="1"/>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GB" w:val="en-GB"/>
    </w:rPr>
  </w:style>
  <w:style w:type="character" w:styleId="FootnoteTextChar">
    <w:name w:val="Footnote Text Char"/>
    <w:basedOn w:val="DefaultParagraphFont"/>
    <w:next w:val="FootnoteTextChar"/>
    <w:autoRedefine w:val="0"/>
    <w:hidden w:val="0"/>
    <w:qFormat w:val="0"/>
    <w:rPr>
      <w:w w:val="100"/>
      <w:position w:val="-1"/>
      <w:effect w:val="none"/>
      <w:vertAlign w:val="baseline"/>
      <w:cs w:val="0"/>
      <w:em w:val="none"/>
      <w:lang/>
    </w:rPr>
  </w:style>
  <w:style w:type="character" w:styleId="FootnoteReference">
    <w:name w:val="Footnote Reference"/>
    <w:next w:val="FootnoteReference"/>
    <w:autoRedefine w:val="0"/>
    <w:hidden w:val="0"/>
    <w:qFormat w:val="1"/>
    <w:rPr>
      <w:w w:val="100"/>
      <w:position w:val="-1"/>
      <w:effect w:val="none"/>
      <w:vertAlign w:val="superscript"/>
      <w:cs w:val="0"/>
      <w:em w:val="none"/>
      <w:lang/>
    </w:rPr>
  </w:style>
  <w:style w:type="paragraph" w:styleId="NormalSpaced">
    <w:name w:val="Normal Spaced"/>
    <w:basedOn w:val="Normal"/>
    <w:next w:val="NormalSpaced"/>
    <w:autoRedefine w:val="0"/>
    <w:hidden w:val="0"/>
    <w:qFormat w:val="0"/>
    <w:pPr>
      <w:suppressAutoHyphens w:val="1"/>
      <w:spacing w:after="200" w:line="1" w:lineRule="atLeast"/>
      <w:ind w:leftChars="-1" w:rightChars="0" w:firstLineChars="-1"/>
      <w:textDirection w:val="btLr"/>
      <w:textAlignment w:val="top"/>
      <w:outlineLvl w:val="0"/>
    </w:pPr>
    <w:rPr>
      <w:rFonts w:ascii="Arial" w:hAnsi="Arial"/>
      <w:w w:val="100"/>
      <w:position w:val="-1"/>
      <w:sz w:val="24"/>
      <w:szCs w:val="24"/>
      <w:effect w:val="none"/>
      <w:vertAlign w:val="baseline"/>
      <w:cs w:val="0"/>
      <w:em w:val="none"/>
      <w:lang w:bidi="ar-SA" w:eastAsia="en-US" w:val="en-GB"/>
    </w:rPr>
  </w:style>
  <w:style w:type="paragraph" w:styleId="ListParagraph">
    <w:name w:val="List Paragraph"/>
    <w:basedOn w:val="Normal"/>
    <w:next w:val="ListParagraph"/>
    <w:autoRedefine w:val="0"/>
    <w:hidden w:val="0"/>
    <w:qFormat w:val="0"/>
    <w:pPr>
      <w:suppressAutoHyphens w:val="1"/>
      <w:spacing w:line="1" w:lineRule="atLeast"/>
      <w:ind w:left="720" w:leftChars="-1" w:rightChars="0" w:firstLineChars="-1"/>
      <w:textDirection w:val="btLr"/>
      <w:textAlignment w:val="top"/>
      <w:outlineLvl w:val="0"/>
    </w:pPr>
    <w:rPr>
      <w:rFonts w:ascii="Arial" w:hAnsi="Arial"/>
      <w:w w:val="100"/>
      <w:position w:val="-1"/>
      <w:sz w:val="24"/>
      <w:szCs w:val="20"/>
      <w:effect w:val="none"/>
      <w:vertAlign w:val="baseline"/>
      <w:cs w:val="0"/>
      <w:em w:val="none"/>
      <w:lang w:bidi="ar-SA" w:eastAsia="en-GB"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2.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coba.independent.gov.uk/" TargetMode="External"/><Relationship Id="rId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c1AocD/G1wiwN1+BEUUH9jHiA==">AMUW2mU9C0Hlvt+k1xK+L/NsqiyhVtoLlEubeElMMDq5XXaoUE/63CJ/0dmUzLLw6QZ3zyijhLoaaohUIZfX1HVM/LMz84X7ivW8Pj1uTO3EibJfmiym9Sa0kkVDpELXPWePVBpgMMW/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2017-06-05T15:46:00Z</dcterms:created>
  <dc:creator>Sally Pugh</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bjDocumentSecurityLabel">
    <vt:lpstr>UNCLASSIFIED</vt:lpstr>
  </property>
  <property fmtid="{D5CDD505-2E9C-101B-9397-08002B2CF9AE}" pid="4" name="Document Security Label">
    <vt:lpstr>UNCLASSIFIED</vt:lpstr>
  </property>
  <property fmtid="{D5CDD505-2E9C-101B-9397-08002B2CF9AE}" pid="5" name="bjDocumentSecurityXML">
    <vt:lpstr>&lt;label version="1.0"&gt;&lt;element uid="id_newpolicy" value=""/&gt;&lt;element uid="id_unclassified" value=""/&gt;&lt;/label&gt;</vt:lpstr>
  </property>
  <property fmtid="{D5CDD505-2E9C-101B-9397-08002B2CF9AE}" pid="6" name="bjDocumentSecurityPolicyProp">
    <vt:lpstr>UK</vt:lpstr>
  </property>
  <property fmtid="{D5CDD505-2E9C-101B-9397-08002B2CF9AE}" pid="7" name="bjDocumentSecurityPolicyPropID">
    <vt:lpstr>id_newpolicy</vt:lpstr>
  </property>
  <property fmtid="{D5CDD505-2E9C-101B-9397-08002B2CF9AE}" pid="8" name="bjDocumentSecurityProp1">
    <vt:lpstr>UNCLASSIFIED</vt:lpstr>
  </property>
  <property fmtid="{D5CDD505-2E9C-101B-9397-08002B2CF9AE}" pid="9" name="bjSecLabelProp1ID">
    <vt:lpstr>id_unclassified</vt:lpstr>
  </property>
  <property fmtid="{D5CDD505-2E9C-101B-9397-08002B2CF9AE}" pid="10" name="bjDocumentSecurityProp2">
    <vt:lpstr/>
  </property>
  <property fmtid="{D5CDD505-2E9C-101B-9397-08002B2CF9AE}" pid="11" name="bjSecLabelProp2ID">
    <vt:lpstr/>
  </property>
  <property fmtid="{D5CDD505-2E9C-101B-9397-08002B2CF9AE}" pid="12" name="bjDocumentSecurityProp3">
    <vt:lpstr/>
  </property>
  <property fmtid="{D5CDD505-2E9C-101B-9397-08002B2CF9AE}" pid="13" name="bjSecLabelProp3ID">
    <vt:lpstr/>
  </property>
  <property fmtid="{D5CDD505-2E9C-101B-9397-08002B2CF9AE}" pid="14" name="eGMS.protectiveMarking">
    <vt:lpstr/>
  </property>
  <property fmtid="{D5CDD505-2E9C-101B-9397-08002B2CF9AE}" pid="15" name="docIndexRef">
    <vt:lpstr>271218bb-9197-4e68-871e-7e9aa5209eab</vt:lpstr>
  </property>
  <property fmtid="{D5CDD505-2E9C-101B-9397-08002B2CF9AE}" pid="16" name="bjHeadersRemoved">
    <vt:lpstr>true</vt:lpstr>
  </property>
</Properties>
</file>