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A8DA" w14:textId="6C721734" w:rsidR="00F31873" w:rsidRDefault="000B2E38" w:rsidP="001F516D">
      <w:pPr>
        <w:pStyle w:val="Heading1"/>
        <w:ind w:right="1701"/>
      </w:pPr>
      <w:bookmarkStart w:id="0" w:name="_Toc513733839"/>
      <w:bookmarkStart w:id="1" w:name="_Toc513734078"/>
      <w:bookmarkStart w:id="2" w:name="_Toc513734163"/>
      <w:bookmarkStart w:id="3" w:name="_Toc513809294"/>
      <w:bookmarkStart w:id="4" w:name="_Toc514924182"/>
      <w:bookmarkStart w:id="5" w:name="_Toc528763481"/>
      <w:bookmarkStart w:id="6" w:name="_Toc2336323"/>
      <w:bookmarkStart w:id="7" w:name="_Toc2348743"/>
      <w:r w:rsidRPr="000B2E38">
        <w:t>Childcare providers and inspections</w:t>
      </w:r>
      <w:bookmarkEnd w:id="0"/>
      <w:bookmarkEnd w:id="1"/>
      <w:bookmarkEnd w:id="2"/>
      <w:bookmarkEnd w:id="3"/>
      <w:bookmarkEnd w:id="4"/>
      <w:bookmarkEnd w:id="5"/>
      <w:bookmarkEnd w:id="6"/>
      <w:bookmarkEnd w:id="7"/>
      <w:r w:rsidR="00AD0999">
        <w:t xml:space="preserve"> as at 31 March 2019</w:t>
      </w:r>
    </w:p>
    <w:p w14:paraId="4845B605" w14:textId="77777777" w:rsidR="00314584" w:rsidRDefault="00314584" w:rsidP="00314584">
      <w:pPr>
        <w:rPr>
          <w:lang w:eastAsia="en-GB"/>
        </w:rPr>
      </w:pPr>
      <w:r>
        <w:rPr>
          <w:lang w:eastAsia="en-GB"/>
        </w:rPr>
        <w:t>This release contains:</w:t>
      </w:r>
    </w:p>
    <w:p w14:paraId="3564BD5A" w14:textId="0620C0B0" w:rsidR="000B2E38" w:rsidRPr="00AC6E87" w:rsidRDefault="000B2E38" w:rsidP="00E21F8C">
      <w:pPr>
        <w:numPr>
          <w:ilvl w:val="0"/>
          <w:numId w:val="8"/>
        </w:numPr>
        <w:rPr>
          <w:rFonts w:eastAsia="Tahoma"/>
          <w:color w:val="auto"/>
        </w:rPr>
      </w:pPr>
      <w:r w:rsidRPr="00AC6E87">
        <w:rPr>
          <w:rFonts w:eastAsia="Tahoma"/>
          <w:color w:val="auto"/>
        </w:rPr>
        <w:t xml:space="preserve">The number of Ofsted registered childcare providers and places and their most recent inspection </w:t>
      </w:r>
      <w:r w:rsidRPr="00990B7D">
        <w:rPr>
          <w:rFonts w:eastAsia="Tahoma"/>
          <w:color w:val="auto"/>
        </w:rPr>
        <w:t xml:space="preserve">outcomes on 31 </w:t>
      </w:r>
      <w:r w:rsidR="00990B7D" w:rsidRPr="00990B7D">
        <w:rPr>
          <w:rFonts w:eastAsia="Tahoma"/>
          <w:color w:val="auto"/>
        </w:rPr>
        <w:t>March</w:t>
      </w:r>
      <w:r w:rsidR="006275F6" w:rsidRPr="00990B7D">
        <w:rPr>
          <w:rFonts w:eastAsia="Tahoma"/>
          <w:color w:val="auto"/>
        </w:rPr>
        <w:t xml:space="preserve"> </w:t>
      </w:r>
      <w:r w:rsidRPr="00990B7D">
        <w:rPr>
          <w:rFonts w:eastAsia="Tahoma"/>
          <w:color w:val="auto"/>
        </w:rPr>
        <w:t>201</w:t>
      </w:r>
      <w:r w:rsidR="00990B7D" w:rsidRPr="00990B7D">
        <w:rPr>
          <w:rFonts w:eastAsia="Tahoma"/>
          <w:color w:val="auto"/>
        </w:rPr>
        <w:t>9</w:t>
      </w:r>
      <w:r w:rsidRPr="00990B7D">
        <w:rPr>
          <w:rFonts w:eastAsia="Tahoma"/>
          <w:color w:val="auto"/>
        </w:rPr>
        <w:t>.</w:t>
      </w:r>
    </w:p>
    <w:p w14:paraId="2E234A29" w14:textId="2304C917" w:rsidR="19BABE16" w:rsidRPr="00AC6E87" w:rsidRDefault="19BABE16" w:rsidP="00767E5B">
      <w:pPr>
        <w:numPr>
          <w:ilvl w:val="0"/>
          <w:numId w:val="8"/>
        </w:numPr>
      </w:pPr>
      <w:r w:rsidRPr="00AC6E87">
        <w:rPr>
          <w:rFonts w:eastAsia="Tahoma"/>
          <w:color w:val="auto"/>
        </w:rPr>
        <w:t>The number of providers that have registered with Ofsted (joiners) and the number</w:t>
      </w:r>
      <w:r w:rsidR="00530987" w:rsidRPr="00AC6E87">
        <w:rPr>
          <w:rFonts w:eastAsia="Tahoma"/>
          <w:color w:val="auto"/>
        </w:rPr>
        <w:t xml:space="preserve"> </w:t>
      </w:r>
      <w:r w:rsidRPr="00AC6E87">
        <w:rPr>
          <w:rFonts w:eastAsia="Tahoma"/>
          <w:color w:val="auto"/>
        </w:rPr>
        <w:t xml:space="preserve">that have left (leavers) </w:t>
      </w:r>
      <w:r w:rsidRPr="00990B7D">
        <w:rPr>
          <w:rFonts w:eastAsia="Tahoma"/>
          <w:color w:val="auto"/>
        </w:rPr>
        <w:t xml:space="preserve">between 31 </w:t>
      </w:r>
      <w:r w:rsidR="00990B7D" w:rsidRPr="00990B7D">
        <w:rPr>
          <w:rFonts w:eastAsia="Tahoma"/>
          <w:color w:val="auto"/>
        </w:rPr>
        <w:t>December</w:t>
      </w:r>
      <w:r w:rsidRPr="00990B7D">
        <w:rPr>
          <w:rFonts w:eastAsia="Tahoma"/>
          <w:color w:val="auto"/>
        </w:rPr>
        <w:t xml:space="preserve"> </w:t>
      </w:r>
      <w:r w:rsidR="008E5338" w:rsidRPr="00990B7D">
        <w:rPr>
          <w:rFonts w:eastAsia="Tahoma"/>
          <w:color w:val="auto"/>
        </w:rPr>
        <w:t>2018</w:t>
      </w:r>
      <w:r w:rsidR="00391264" w:rsidRPr="00990B7D">
        <w:rPr>
          <w:rFonts w:eastAsia="Tahoma"/>
          <w:color w:val="auto"/>
        </w:rPr>
        <w:t xml:space="preserve"> </w:t>
      </w:r>
      <w:r w:rsidRPr="00990B7D">
        <w:rPr>
          <w:rFonts w:eastAsia="Tahoma"/>
          <w:color w:val="auto"/>
        </w:rPr>
        <w:t xml:space="preserve">and 31 </w:t>
      </w:r>
      <w:r w:rsidR="00990B7D" w:rsidRPr="00990B7D">
        <w:rPr>
          <w:rFonts w:eastAsia="Tahoma"/>
          <w:color w:val="auto"/>
        </w:rPr>
        <w:t>March 2019</w:t>
      </w:r>
      <w:r w:rsidRPr="00990B7D">
        <w:rPr>
          <w:rFonts w:eastAsia="Tahoma"/>
          <w:color w:val="auto"/>
        </w:rPr>
        <w:t>.</w: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209"/>
      </w:tblGrid>
      <w:tr w:rsidR="00935D35" w:rsidRPr="00AC6E87" w14:paraId="515DD0D3" w14:textId="77777777" w:rsidTr="00CD380A">
        <w:trPr>
          <w:trHeight w:val="1466"/>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22F9CF4A" w14:textId="77777777" w:rsidR="00D3722C" w:rsidRPr="00AC6E87" w:rsidRDefault="00D3722C" w:rsidP="00CF1B5F">
            <w:pPr>
              <w:rPr>
                <w:sz w:val="26"/>
                <w:szCs w:val="26"/>
              </w:rPr>
            </w:pPr>
            <w:r w:rsidRPr="00AC6E87">
              <w:rPr>
                <w:color w:val="auto"/>
                <w:szCs w:val="26"/>
              </w:rPr>
              <w:t>The number of childminders registered with Ofsted has continued to decrease.</w:t>
            </w:r>
          </w:p>
        </w:tc>
        <w:tc>
          <w:tcPr>
            <w:tcW w:w="0" w:type="auto"/>
            <w:tcBorders>
              <w:top w:val="single" w:sz="36" w:space="0" w:color="FFFFFF" w:themeColor="background1"/>
              <w:left w:val="single" w:sz="36" w:space="0" w:color="FFFFFF" w:themeColor="background1"/>
              <w:bottom w:val="nil"/>
              <w:right w:val="single" w:sz="12" w:space="0" w:color="FFFFFF" w:themeColor="background1"/>
            </w:tcBorders>
            <w:shd w:val="clear" w:color="auto" w:fill="auto"/>
          </w:tcPr>
          <w:p w14:paraId="64920885" w14:textId="6AA81FE4" w:rsidR="00D3722C" w:rsidRPr="00AC6E87" w:rsidRDefault="00D3722C" w:rsidP="00CF1B5F">
            <w:pPr>
              <w:rPr>
                <w:color w:val="auto"/>
              </w:rPr>
            </w:pPr>
            <w:r w:rsidRPr="00AC6E87">
              <w:rPr>
                <w:color w:val="auto"/>
              </w:rPr>
              <w:t xml:space="preserve">There </w:t>
            </w:r>
            <w:r w:rsidRPr="00B1409F">
              <w:rPr>
                <w:color w:val="auto"/>
              </w:rPr>
              <w:t xml:space="preserve">were </w:t>
            </w:r>
            <w:r w:rsidRPr="00B1409F">
              <w:rPr>
                <w:rFonts w:cs="Tahoma"/>
              </w:rPr>
              <w:t>39</w:t>
            </w:r>
            <w:r w:rsidRPr="0056313C">
              <w:rPr>
                <w:rFonts w:cs="Tahoma"/>
              </w:rPr>
              <w:t>,</w:t>
            </w:r>
            <w:r w:rsidR="00B1409F" w:rsidRPr="0056313C">
              <w:rPr>
                <w:rFonts w:cs="Tahoma"/>
              </w:rPr>
              <w:t>0</w:t>
            </w:r>
            <w:r w:rsidRPr="0056313C">
              <w:rPr>
                <w:rFonts w:cs="Tahoma"/>
              </w:rPr>
              <w:t xml:space="preserve">00 </w:t>
            </w:r>
            <w:r w:rsidRPr="0056313C">
              <w:rPr>
                <w:color w:val="auto"/>
              </w:rPr>
              <w:t xml:space="preserve">childminders registered with Ofsted on 31 </w:t>
            </w:r>
            <w:r w:rsidR="00B1409F" w:rsidRPr="0056313C">
              <w:rPr>
                <w:color w:val="auto"/>
              </w:rPr>
              <w:t>March</w:t>
            </w:r>
            <w:r w:rsidRPr="0056313C">
              <w:rPr>
                <w:color w:val="auto"/>
              </w:rPr>
              <w:t xml:space="preserve"> 201</w:t>
            </w:r>
            <w:r w:rsidR="00B1409F" w:rsidRPr="0056313C">
              <w:rPr>
                <w:color w:val="auto"/>
              </w:rPr>
              <w:t>9</w:t>
            </w:r>
            <w:r w:rsidRPr="0056313C">
              <w:rPr>
                <w:color w:val="auto"/>
              </w:rPr>
              <w:t xml:space="preserve">. </w:t>
            </w:r>
            <w:r w:rsidR="007B35B6">
              <w:rPr>
                <w:color w:val="auto"/>
              </w:rPr>
              <w:t>Numbers have been falling over an extended period</w:t>
            </w:r>
            <w:r w:rsidR="00F26441">
              <w:rPr>
                <w:color w:val="auto"/>
              </w:rPr>
              <w:t xml:space="preserve"> and </w:t>
            </w:r>
            <w:r w:rsidR="00B009AF">
              <w:rPr>
                <w:color w:val="auto"/>
              </w:rPr>
              <w:t>were</w:t>
            </w:r>
            <w:r w:rsidRPr="0056313C">
              <w:rPr>
                <w:color w:val="auto"/>
              </w:rPr>
              <w:t xml:space="preserve"> down by </w:t>
            </w:r>
            <w:r w:rsidR="00C62DB4" w:rsidRPr="0056313C">
              <w:t>8</w:t>
            </w:r>
            <w:r w:rsidRPr="0056313C">
              <w:rPr>
                <w:rFonts w:cs="Tahoma"/>
              </w:rPr>
              <w:t xml:space="preserve">00 </w:t>
            </w:r>
            <w:r w:rsidRPr="0056313C">
              <w:rPr>
                <w:color w:val="auto"/>
              </w:rPr>
              <w:t>(</w:t>
            </w:r>
            <w:r w:rsidR="00C62DB4" w:rsidRPr="0056313C">
              <w:rPr>
                <w:color w:val="auto"/>
              </w:rPr>
              <w:t>2</w:t>
            </w:r>
            <w:r w:rsidRPr="0056313C">
              <w:rPr>
                <w:color w:val="auto"/>
              </w:rPr>
              <w:t xml:space="preserve">%) since 31 </w:t>
            </w:r>
            <w:r w:rsidR="00C62DB4" w:rsidRPr="0056313C">
              <w:rPr>
                <w:color w:val="auto"/>
              </w:rPr>
              <w:t>December</w:t>
            </w:r>
            <w:r w:rsidRPr="0056313C">
              <w:rPr>
                <w:color w:val="auto"/>
              </w:rPr>
              <w:t xml:space="preserve"> 2018, and by </w:t>
            </w:r>
            <w:r w:rsidR="0056313C" w:rsidRPr="0056313C">
              <w:rPr>
                <w:color w:val="auto"/>
              </w:rPr>
              <w:t>9,000</w:t>
            </w:r>
            <w:r w:rsidRPr="0056313C">
              <w:rPr>
                <w:color w:val="auto"/>
              </w:rPr>
              <w:t xml:space="preserve"> (1</w:t>
            </w:r>
            <w:r w:rsidR="0056313C" w:rsidRPr="0056313C">
              <w:rPr>
                <w:color w:val="auto"/>
              </w:rPr>
              <w:t>9</w:t>
            </w:r>
            <w:r w:rsidRPr="0056313C">
              <w:rPr>
                <w:color w:val="auto"/>
              </w:rPr>
              <w:t>%)</w:t>
            </w:r>
            <w:r w:rsidRPr="00AC6E87">
              <w:rPr>
                <w:color w:val="auto"/>
              </w:rPr>
              <w:t xml:space="preserve"> since </w:t>
            </w:r>
            <w:r w:rsidR="00B5387D">
              <w:rPr>
                <w:color w:val="auto"/>
              </w:rPr>
              <w:t>31 August 2015</w:t>
            </w:r>
            <w:r w:rsidRPr="00AC6E87">
              <w:rPr>
                <w:color w:val="auto"/>
              </w:rPr>
              <w:t>.</w:t>
            </w:r>
            <w:r w:rsidR="00935D35">
              <w:rPr>
                <w:color w:val="auto"/>
              </w:rPr>
              <w:t xml:space="preserve"> </w:t>
            </w:r>
          </w:p>
        </w:tc>
      </w:tr>
      <w:tr w:rsidR="00935D35" w:rsidRPr="00AC6E87" w14:paraId="62A0043C" w14:textId="77777777" w:rsidTr="00172CBA">
        <w:trPr>
          <w:trHeight w:val="1192"/>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6935BC9B" w14:textId="598E0658" w:rsidR="00D3722C" w:rsidRPr="00AC6E87" w:rsidRDefault="00D3722C" w:rsidP="00CF1B5F">
            <w:r w:rsidRPr="00AC6E87">
              <w:t>The overall number of childcare places on the Early Years Register has remained fairly stable.</w:t>
            </w:r>
          </w:p>
        </w:tc>
        <w:tc>
          <w:tcPr>
            <w:tcW w:w="0" w:type="auto"/>
            <w:tcBorders>
              <w:top w:val="nil"/>
              <w:left w:val="single" w:sz="36" w:space="0" w:color="FFFFFF" w:themeColor="background1"/>
              <w:bottom w:val="nil"/>
              <w:right w:val="nil"/>
            </w:tcBorders>
            <w:shd w:val="clear" w:color="auto" w:fill="auto"/>
          </w:tcPr>
          <w:p w14:paraId="4D9184C9" w14:textId="1284F1B5" w:rsidR="00D3722C" w:rsidRPr="00AC6E87" w:rsidRDefault="00D3722C" w:rsidP="00CF1B5F">
            <w:pPr>
              <w:rPr>
                <w:sz w:val="22"/>
                <w:szCs w:val="22"/>
              </w:rPr>
            </w:pPr>
            <w:r w:rsidRPr="00AC6E87">
              <w:t xml:space="preserve">Despite the decreasing numbers of childminders, the number of childcare places has remained fairly stable, due to an increase in the number of places offered </w:t>
            </w:r>
            <w:r w:rsidR="00A13507">
              <w:t>at</w:t>
            </w:r>
            <w:r w:rsidRPr="00AC6E87">
              <w:t xml:space="preserve"> non-domestic premises.</w:t>
            </w:r>
          </w:p>
        </w:tc>
      </w:tr>
      <w:tr w:rsidR="00935D35" w:rsidRPr="0026196E" w14:paraId="3AB7AD6F" w14:textId="77777777" w:rsidTr="00CF1B5F">
        <w:trPr>
          <w:trHeight w:val="1546"/>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2FCF5D3F" w14:textId="77777777" w:rsidR="00D3722C" w:rsidRPr="00AC6E87" w:rsidRDefault="00D3722C" w:rsidP="00CF1B5F">
            <w:r w:rsidRPr="00AC6E87">
              <w:t>More than nine in 10 providers on the Early Years Register were judged good or outstanding.</w:t>
            </w:r>
          </w:p>
          <w:p w14:paraId="4138FF7F" w14:textId="77777777" w:rsidR="00D3722C" w:rsidRPr="00AC6E87" w:rsidRDefault="00D3722C" w:rsidP="00CF1B5F"/>
        </w:tc>
        <w:tc>
          <w:tcPr>
            <w:tcW w:w="0" w:type="auto"/>
            <w:tcBorders>
              <w:top w:val="nil"/>
              <w:left w:val="single" w:sz="36" w:space="0" w:color="FFFFFF" w:themeColor="background1"/>
              <w:bottom w:val="nil"/>
              <w:right w:val="nil"/>
            </w:tcBorders>
            <w:shd w:val="clear" w:color="auto" w:fill="auto"/>
          </w:tcPr>
          <w:p w14:paraId="42AE7B29" w14:textId="0F8C5DEA" w:rsidR="00D3722C" w:rsidRDefault="00D3722C" w:rsidP="00CF1B5F">
            <w:r w:rsidRPr="00AC6E87">
              <w:t xml:space="preserve">The proportion of childcare providers on the Early Years Register judged good or outstanding </w:t>
            </w:r>
            <w:r w:rsidRPr="00C00A98">
              <w:t>was 95%.</w:t>
            </w:r>
            <w:r w:rsidRPr="00C00A98">
              <w:rPr>
                <w:lang w:val="en"/>
              </w:rPr>
              <w:t xml:space="preserve"> This</w:t>
            </w:r>
            <w:r w:rsidRPr="00AC6E87">
              <w:rPr>
                <w:lang w:val="en"/>
              </w:rPr>
              <w:t xml:space="preserve"> has remained broadly the same </w:t>
            </w:r>
            <w:r w:rsidR="001E1FE7" w:rsidRPr="00A3507F">
              <w:rPr>
                <w:lang w:val="en"/>
              </w:rPr>
              <w:t xml:space="preserve">since </w:t>
            </w:r>
            <w:r w:rsidRPr="00A3507F">
              <w:rPr>
                <w:lang w:val="en"/>
              </w:rPr>
              <w:t xml:space="preserve">31 </w:t>
            </w:r>
            <w:r w:rsidR="00A3507F" w:rsidRPr="00A3507F">
              <w:rPr>
                <w:lang w:val="en"/>
              </w:rPr>
              <w:t>December</w:t>
            </w:r>
            <w:r w:rsidRPr="00A3507F">
              <w:rPr>
                <w:lang w:val="en"/>
              </w:rPr>
              <w:t xml:space="preserve"> 2018,</w:t>
            </w:r>
            <w:r w:rsidRPr="00AC6E87">
              <w:t xml:space="preserve"> but represents an increase </w:t>
            </w:r>
            <w:r w:rsidRPr="003B77B9">
              <w:t>of 1</w:t>
            </w:r>
            <w:r w:rsidR="003B77B9" w:rsidRPr="003B77B9">
              <w:t>1</w:t>
            </w:r>
            <w:r w:rsidRPr="003B77B9">
              <w:t xml:space="preserve"> percentage point</w:t>
            </w:r>
            <w:r w:rsidR="009B0B2D">
              <w:t>s</w:t>
            </w:r>
            <w:r w:rsidRPr="003B77B9">
              <w:t xml:space="preserve"> since </w:t>
            </w:r>
            <w:r w:rsidR="00B5387D">
              <w:t>31 August 2015</w:t>
            </w:r>
            <w:r w:rsidRPr="003B77B9">
              <w:t>.</w:t>
            </w:r>
          </w:p>
        </w:tc>
      </w:tr>
      <w:tr w:rsidR="00935D35" w:rsidRPr="0026196E" w14:paraId="70413F75" w14:textId="77777777" w:rsidTr="00CF1B5F">
        <w:trPr>
          <w:trHeight w:val="1611"/>
        </w:trPr>
        <w:tc>
          <w:tcPr>
            <w:tcW w:w="0" w:type="auto"/>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EEAF6" w:themeFill="accent1" w:themeFillTint="33"/>
          </w:tcPr>
          <w:p w14:paraId="3385577D" w14:textId="77777777" w:rsidR="00D3722C" w:rsidRPr="007C3785" w:rsidRDefault="00D3722C" w:rsidP="00CF1B5F">
            <w:r>
              <w:t>A higher proportion of non-domestic providers were judged outstanding, compared with childminders.</w:t>
            </w:r>
          </w:p>
        </w:tc>
        <w:tc>
          <w:tcPr>
            <w:tcW w:w="0" w:type="auto"/>
            <w:tcBorders>
              <w:top w:val="nil"/>
              <w:left w:val="single" w:sz="36" w:space="0" w:color="FFFFFF" w:themeColor="background1"/>
              <w:bottom w:val="nil"/>
              <w:right w:val="nil"/>
            </w:tcBorders>
            <w:shd w:val="clear" w:color="auto" w:fill="auto"/>
          </w:tcPr>
          <w:p w14:paraId="1D7A19EC" w14:textId="1E4AD910" w:rsidR="00D3722C" w:rsidRPr="007C3785" w:rsidRDefault="00D3722C" w:rsidP="00CF1B5F">
            <w:r w:rsidRPr="00B72013">
              <w:rPr>
                <w:rFonts w:cs="Tahoma"/>
                <w:szCs w:val="22"/>
              </w:rPr>
              <w:t>At their most recent inspection, 24% of non-domestic providers were judged outstanding, compared with 17% of childminders.</w:t>
            </w:r>
            <w:r>
              <w:rPr>
                <w:rFonts w:cs="Tahoma"/>
                <w:szCs w:val="22"/>
              </w:rPr>
              <w:t xml:space="preserve"> However, the proportion of providers judged either good or outstanding for these two provider types was </w:t>
            </w:r>
            <w:r w:rsidR="007A4A0A">
              <w:rPr>
                <w:rFonts w:cs="Tahoma"/>
                <w:szCs w:val="22"/>
              </w:rPr>
              <w:t>fairly</w:t>
            </w:r>
            <w:r>
              <w:rPr>
                <w:rFonts w:cs="Tahoma"/>
                <w:szCs w:val="22"/>
              </w:rPr>
              <w:t xml:space="preserve"> similar.</w:t>
            </w:r>
          </w:p>
        </w:tc>
      </w:tr>
    </w:tbl>
    <w:p w14:paraId="5A7A444F" w14:textId="49AF9BC2" w:rsidR="00626A0C" w:rsidRDefault="00A6799A" w:rsidP="00DD7AD2">
      <w:pPr>
        <w:pStyle w:val="Caption"/>
      </w:pPr>
      <w:bookmarkStart w:id="8" w:name="_Ref514672778"/>
      <w:r w:rsidRPr="00A6799A">
        <w:rPr>
          <w:sz w:val="22"/>
          <w:szCs w:val="22"/>
        </w:rPr>
        <w:t xml:space="preserve">Figure </w:t>
      </w:r>
      <w:r w:rsidR="00FD0A40">
        <w:rPr>
          <w:sz w:val="22"/>
          <w:szCs w:val="22"/>
        </w:rPr>
        <w:fldChar w:fldCharType="begin"/>
      </w:r>
      <w:r w:rsidR="00FD0A40">
        <w:rPr>
          <w:sz w:val="22"/>
          <w:szCs w:val="22"/>
        </w:rPr>
        <w:instrText xml:space="preserve"> SEQ Figure \* ARABIC </w:instrText>
      </w:r>
      <w:r w:rsidR="00FD0A40">
        <w:rPr>
          <w:sz w:val="22"/>
          <w:szCs w:val="22"/>
        </w:rPr>
        <w:fldChar w:fldCharType="separate"/>
      </w:r>
      <w:r w:rsidR="006A56EC">
        <w:rPr>
          <w:noProof/>
          <w:sz w:val="22"/>
          <w:szCs w:val="22"/>
        </w:rPr>
        <w:t>1</w:t>
      </w:r>
      <w:r w:rsidR="00FD0A40">
        <w:rPr>
          <w:sz w:val="22"/>
          <w:szCs w:val="22"/>
        </w:rPr>
        <w:fldChar w:fldCharType="end"/>
      </w:r>
      <w:bookmarkEnd w:id="8"/>
      <w:r w:rsidR="00F1199E" w:rsidRPr="00A6799A">
        <w:rPr>
          <w:sz w:val="22"/>
          <w:szCs w:val="22"/>
        </w:rPr>
        <w:t xml:space="preserve">: </w:t>
      </w:r>
      <w:r w:rsidR="004F734A" w:rsidRPr="00A6799A">
        <w:rPr>
          <w:sz w:val="22"/>
          <w:szCs w:val="22"/>
        </w:rPr>
        <w:t>Overall effectiveness of active early years registered providers at their most recent inspection over time</w:t>
      </w:r>
      <w:r w:rsidR="000F6B70">
        <w:t xml:space="preserve"> </w:t>
      </w:r>
    </w:p>
    <w:p w14:paraId="0D83B1F2" w14:textId="7D794016" w:rsidR="00FA2FE7" w:rsidRPr="00FA2FE7" w:rsidRDefault="00C4641A" w:rsidP="00C4641A">
      <w:pPr>
        <w:pStyle w:val="Caption"/>
        <w:spacing w:before="240"/>
        <w:jc w:val="center"/>
        <w:rPr>
          <w:lang w:eastAsia="en-GB"/>
        </w:rPr>
      </w:pPr>
      <w:r>
        <w:rPr>
          <w:noProof/>
        </w:rPr>
        <w:drawing>
          <wp:inline distT="0" distB="0" distL="0" distR="0" wp14:anchorId="2F9C96B0" wp14:editId="6E0CF961">
            <wp:extent cx="6115685" cy="2863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5685" cy="2863215"/>
                    </a:xfrm>
                    <a:prstGeom prst="rect">
                      <a:avLst/>
                    </a:prstGeom>
                  </pic:spPr>
                </pic:pic>
              </a:graphicData>
            </a:graphic>
          </wp:inline>
        </w:drawing>
      </w:r>
      <w:r w:rsidR="000A1841">
        <w:br w:type="page"/>
      </w:r>
    </w:p>
    <w:p w14:paraId="104E3A5A" w14:textId="77777777" w:rsidR="00BB4268" w:rsidRDefault="00BB4268" w:rsidP="00F0253C">
      <w:pPr>
        <w:pStyle w:val="Heading1"/>
      </w:pPr>
      <w:bookmarkStart w:id="9" w:name="_Toc500431980"/>
      <w:bookmarkStart w:id="10" w:name="_Toc513733840"/>
      <w:bookmarkStart w:id="11" w:name="_Toc513734079"/>
      <w:bookmarkStart w:id="12" w:name="_Toc513734164"/>
      <w:bookmarkStart w:id="13" w:name="_Toc513809295"/>
      <w:bookmarkStart w:id="14" w:name="_Toc514924183"/>
      <w:bookmarkStart w:id="15" w:name="_Toc528763482"/>
      <w:bookmarkStart w:id="16" w:name="_Toc2336324"/>
      <w:bookmarkStart w:id="17" w:name="_Toc2348744"/>
      <w:r>
        <w:lastRenderedPageBreak/>
        <w:t>Contents</w:t>
      </w:r>
      <w:bookmarkEnd w:id="9"/>
      <w:bookmarkEnd w:id="10"/>
      <w:bookmarkEnd w:id="11"/>
      <w:bookmarkEnd w:id="12"/>
      <w:bookmarkEnd w:id="13"/>
      <w:bookmarkEnd w:id="14"/>
      <w:bookmarkEnd w:id="15"/>
      <w:bookmarkEnd w:id="16"/>
      <w:bookmarkEnd w:id="17"/>
      <w:r w:rsidR="00F1199E">
        <w:t xml:space="preserve"> </w:t>
      </w:r>
    </w:p>
    <w:p w14:paraId="7F9DAE7A" w14:textId="1F38E5A8" w:rsidR="005E20C2" w:rsidRDefault="00593497" w:rsidP="00B45BB1">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p>
    <w:p w14:paraId="084C4E30" w14:textId="0D0CA1F4" w:rsidR="005E20C2" w:rsidRDefault="002A7C1C">
      <w:pPr>
        <w:pStyle w:val="TOC1"/>
        <w:rPr>
          <w:rFonts w:asciiTheme="minorHAnsi" w:eastAsiaTheme="minorEastAsia" w:hAnsiTheme="minorHAnsi" w:cstheme="minorBidi"/>
          <w:b w:val="0"/>
          <w:noProof/>
          <w:color w:val="auto"/>
          <w:sz w:val="22"/>
          <w:szCs w:val="22"/>
          <w:lang w:eastAsia="en-GB"/>
        </w:rPr>
      </w:pPr>
      <w:hyperlink w:anchor="_Toc2348746" w:history="1">
        <w:r w:rsidR="005E20C2" w:rsidRPr="003744C6">
          <w:rPr>
            <w:rStyle w:val="Hyperlink"/>
            <w:noProof/>
          </w:rPr>
          <w:t>Introduction</w:t>
        </w:r>
        <w:r w:rsidR="005E20C2">
          <w:rPr>
            <w:noProof/>
            <w:webHidden/>
          </w:rPr>
          <w:tab/>
        </w:r>
        <w:r w:rsidR="005E20C2">
          <w:rPr>
            <w:noProof/>
            <w:webHidden/>
          </w:rPr>
          <w:fldChar w:fldCharType="begin"/>
        </w:r>
        <w:r w:rsidR="005E20C2">
          <w:rPr>
            <w:noProof/>
            <w:webHidden/>
          </w:rPr>
          <w:instrText xml:space="preserve"> PAGEREF _Toc2348746 \h </w:instrText>
        </w:r>
        <w:r w:rsidR="005E20C2">
          <w:rPr>
            <w:noProof/>
            <w:webHidden/>
          </w:rPr>
        </w:r>
        <w:r w:rsidR="005E20C2">
          <w:rPr>
            <w:noProof/>
            <w:webHidden/>
          </w:rPr>
          <w:fldChar w:fldCharType="separate"/>
        </w:r>
        <w:r w:rsidR="006A56EC">
          <w:rPr>
            <w:noProof/>
            <w:webHidden/>
          </w:rPr>
          <w:t>3</w:t>
        </w:r>
        <w:r w:rsidR="005E20C2">
          <w:rPr>
            <w:noProof/>
            <w:webHidden/>
          </w:rPr>
          <w:fldChar w:fldCharType="end"/>
        </w:r>
      </w:hyperlink>
    </w:p>
    <w:p w14:paraId="7260313F" w14:textId="0062C4B5" w:rsidR="005E20C2" w:rsidRDefault="002A7C1C">
      <w:pPr>
        <w:pStyle w:val="TOC1"/>
        <w:rPr>
          <w:rFonts w:asciiTheme="minorHAnsi" w:eastAsiaTheme="minorEastAsia" w:hAnsiTheme="minorHAnsi" w:cstheme="minorBidi"/>
          <w:b w:val="0"/>
          <w:noProof/>
          <w:color w:val="auto"/>
          <w:sz w:val="22"/>
          <w:szCs w:val="22"/>
          <w:lang w:eastAsia="en-GB"/>
        </w:rPr>
      </w:pPr>
      <w:hyperlink w:anchor="_Toc2348747" w:history="1">
        <w:r w:rsidR="005E20C2" w:rsidRPr="003744C6">
          <w:rPr>
            <w:rStyle w:val="Hyperlink"/>
            <w:noProof/>
          </w:rPr>
          <w:t>Number of providers</w:t>
        </w:r>
        <w:r w:rsidR="005E20C2">
          <w:rPr>
            <w:noProof/>
            <w:webHidden/>
          </w:rPr>
          <w:tab/>
        </w:r>
        <w:r w:rsidR="005E20C2">
          <w:rPr>
            <w:noProof/>
            <w:webHidden/>
          </w:rPr>
          <w:fldChar w:fldCharType="begin"/>
        </w:r>
        <w:r w:rsidR="005E20C2">
          <w:rPr>
            <w:noProof/>
            <w:webHidden/>
          </w:rPr>
          <w:instrText xml:space="preserve"> PAGEREF _Toc2348747 \h </w:instrText>
        </w:r>
        <w:r w:rsidR="005E20C2">
          <w:rPr>
            <w:noProof/>
            <w:webHidden/>
          </w:rPr>
        </w:r>
        <w:r w:rsidR="005E20C2">
          <w:rPr>
            <w:noProof/>
            <w:webHidden/>
          </w:rPr>
          <w:fldChar w:fldCharType="separate"/>
        </w:r>
        <w:r w:rsidR="006A56EC">
          <w:rPr>
            <w:noProof/>
            <w:webHidden/>
          </w:rPr>
          <w:t>4</w:t>
        </w:r>
        <w:r w:rsidR="005E20C2">
          <w:rPr>
            <w:noProof/>
            <w:webHidden/>
          </w:rPr>
          <w:fldChar w:fldCharType="end"/>
        </w:r>
      </w:hyperlink>
    </w:p>
    <w:p w14:paraId="6F4E255C" w14:textId="565E7143" w:rsidR="005E20C2" w:rsidRDefault="002A7C1C">
      <w:pPr>
        <w:pStyle w:val="TOC1"/>
        <w:rPr>
          <w:rFonts w:asciiTheme="minorHAnsi" w:eastAsiaTheme="minorEastAsia" w:hAnsiTheme="minorHAnsi" w:cstheme="minorBidi"/>
          <w:b w:val="0"/>
          <w:noProof/>
          <w:color w:val="auto"/>
          <w:sz w:val="22"/>
          <w:szCs w:val="22"/>
          <w:lang w:eastAsia="en-GB"/>
        </w:rPr>
      </w:pPr>
      <w:hyperlink w:anchor="_Toc2348748" w:history="1">
        <w:r w:rsidR="005E20C2" w:rsidRPr="003744C6">
          <w:rPr>
            <w:rStyle w:val="Hyperlink"/>
            <w:noProof/>
          </w:rPr>
          <w:t>Number of places</w:t>
        </w:r>
        <w:r w:rsidR="005E20C2">
          <w:rPr>
            <w:noProof/>
            <w:webHidden/>
          </w:rPr>
          <w:tab/>
        </w:r>
        <w:r w:rsidR="005E20C2">
          <w:rPr>
            <w:noProof/>
            <w:webHidden/>
          </w:rPr>
          <w:fldChar w:fldCharType="begin"/>
        </w:r>
        <w:r w:rsidR="005E20C2">
          <w:rPr>
            <w:noProof/>
            <w:webHidden/>
          </w:rPr>
          <w:instrText xml:space="preserve"> PAGEREF _Toc2348748 \h </w:instrText>
        </w:r>
        <w:r w:rsidR="005E20C2">
          <w:rPr>
            <w:noProof/>
            <w:webHidden/>
          </w:rPr>
        </w:r>
        <w:r w:rsidR="005E20C2">
          <w:rPr>
            <w:noProof/>
            <w:webHidden/>
          </w:rPr>
          <w:fldChar w:fldCharType="separate"/>
        </w:r>
        <w:r w:rsidR="006A56EC">
          <w:rPr>
            <w:noProof/>
            <w:webHidden/>
          </w:rPr>
          <w:t>5</w:t>
        </w:r>
        <w:r w:rsidR="005E20C2">
          <w:rPr>
            <w:noProof/>
            <w:webHidden/>
          </w:rPr>
          <w:fldChar w:fldCharType="end"/>
        </w:r>
      </w:hyperlink>
    </w:p>
    <w:p w14:paraId="23FC34C8" w14:textId="30D04362" w:rsidR="005E20C2" w:rsidRDefault="002A7C1C">
      <w:pPr>
        <w:pStyle w:val="TOC1"/>
        <w:rPr>
          <w:rFonts w:asciiTheme="minorHAnsi" w:eastAsiaTheme="minorEastAsia" w:hAnsiTheme="minorHAnsi" w:cstheme="minorBidi"/>
          <w:b w:val="0"/>
          <w:noProof/>
          <w:color w:val="auto"/>
          <w:sz w:val="22"/>
          <w:szCs w:val="22"/>
          <w:lang w:eastAsia="en-GB"/>
        </w:rPr>
      </w:pPr>
      <w:hyperlink w:anchor="_Toc2348749" w:history="1">
        <w:r w:rsidR="005E20C2" w:rsidRPr="003744C6">
          <w:rPr>
            <w:rStyle w:val="Hyperlink"/>
            <w:noProof/>
          </w:rPr>
          <w:t>Inspection outcomes</w:t>
        </w:r>
        <w:r w:rsidR="005E20C2">
          <w:rPr>
            <w:noProof/>
            <w:webHidden/>
          </w:rPr>
          <w:tab/>
        </w:r>
        <w:r w:rsidR="005E20C2">
          <w:rPr>
            <w:noProof/>
            <w:webHidden/>
          </w:rPr>
          <w:fldChar w:fldCharType="begin"/>
        </w:r>
        <w:r w:rsidR="005E20C2">
          <w:rPr>
            <w:noProof/>
            <w:webHidden/>
          </w:rPr>
          <w:instrText xml:space="preserve"> PAGEREF _Toc2348749 \h </w:instrText>
        </w:r>
        <w:r w:rsidR="005E20C2">
          <w:rPr>
            <w:noProof/>
            <w:webHidden/>
          </w:rPr>
        </w:r>
        <w:r w:rsidR="005E20C2">
          <w:rPr>
            <w:noProof/>
            <w:webHidden/>
          </w:rPr>
          <w:fldChar w:fldCharType="separate"/>
        </w:r>
        <w:r w:rsidR="006A56EC">
          <w:rPr>
            <w:noProof/>
            <w:webHidden/>
          </w:rPr>
          <w:t>8</w:t>
        </w:r>
        <w:r w:rsidR="005E20C2">
          <w:rPr>
            <w:noProof/>
            <w:webHidden/>
          </w:rPr>
          <w:fldChar w:fldCharType="end"/>
        </w:r>
      </w:hyperlink>
    </w:p>
    <w:p w14:paraId="1D81A7F6" w14:textId="1C5EEFE3" w:rsidR="005E20C2" w:rsidRDefault="002A7C1C">
      <w:pPr>
        <w:pStyle w:val="TOC1"/>
        <w:rPr>
          <w:rFonts w:asciiTheme="minorHAnsi" w:eastAsiaTheme="minorEastAsia" w:hAnsiTheme="minorHAnsi" w:cstheme="minorBidi"/>
          <w:b w:val="0"/>
          <w:noProof/>
          <w:color w:val="auto"/>
          <w:sz w:val="22"/>
          <w:szCs w:val="22"/>
          <w:lang w:eastAsia="en-GB"/>
        </w:rPr>
      </w:pPr>
      <w:hyperlink w:anchor="_Toc2348750" w:history="1">
        <w:r w:rsidR="005E20C2" w:rsidRPr="003744C6">
          <w:rPr>
            <w:rStyle w:val="Hyperlink"/>
            <w:noProof/>
          </w:rPr>
          <w:t>Childminder agencies</w:t>
        </w:r>
        <w:r w:rsidR="005E20C2">
          <w:rPr>
            <w:noProof/>
            <w:webHidden/>
          </w:rPr>
          <w:tab/>
        </w:r>
        <w:r w:rsidR="005E20C2">
          <w:rPr>
            <w:noProof/>
            <w:webHidden/>
          </w:rPr>
          <w:fldChar w:fldCharType="begin"/>
        </w:r>
        <w:r w:rsidR="005E20C2">
          <w:rPr>
            <w:noProof/>
            <w:webHidden/>
          </w:rPr>
          <w:instrText xml:space="preserve"> PAGEREF _Toc2348750 \h </w:instrText>
        </w:r>
        <w:r w:rsidR="005E20C2">
          <w:rPr>
            <w:noProof/>
            <w:webHidden/>
          </w:rPr>
        </w:r>
        <w:r w:rsidR="005E20C2">
          <w:rPr>
            <w:noProof/>
            <w:webHidden/>
          </w:rPr>
          <w:fldChar w:fldCharType="separate"/>
        </w:r>
        <w:r w:rsidR="006A56EC">
          <w:rPr>
            <w:noProof/>
            <w:webHidden/>
          </w:rPr>
          <w:t>10</w:t>
        </w:r>
        <w:r w:rsidR="005E20C2">
          <w:rPr>
            <w:noProof/>
            <w:webHidden/>
          </w:rPr>
          <w:fldChar w:fldCharType="end"/>
        </w:r>
      </w:hyperlink>
    </w:p>
    <w:p w14:paraId="121550E7" w14:textId="1B3B6F9A" w:rsidR="005E20C2" w:rsidRDefault="002A7C1C">
      <w:pPr>
        <w:pStyle w:val="TOC1"/>
        <w:rPr>
          <w:rFonts w:asciiTheme="minorHAnsi" w:eastAsiaTheme="minorEastAsia" w:hAnsiTheme="minorHAnsi" w:cstheme="minorBidi"/>
          <w:b w:val="0"/>
          <w:noProof/>
          <w:color w:val="auto"/>
          <w:sz w:val="22"/>
          <w:szCs w:val="22"/>
          <w:lang w:eastAsia="en-GB"/>
        </w:rPr>
      </w:pPr>
      <w:hyperlink w:anchor="_Toc2348751" w:history="1">
        <w:r w:rsidR="005E20C2" w:rsidRPr="003744C6">
          <w:rPr>
            <w:rStyle w:val="Hyperlink"/>
            <w:noProof/>
          </w:rPr>
          <w:t>Early years provision in the schools sector</w:t>
        </w:r>
        <w:r w:rsidR="005E20C2">
          <w:rPr>
            <w:noProof/>
            <w:webHidden/>
          </w:rPr>
          <w:tab/>
        </w:r>
        <w:r w:rsidR="005E20C2">
          <w:rPr>
            <w:noProof/>
            <w:webHidden/>
          </w:rPr>
          <w:fldChar w:fldCharType="begin"/>
        </w:r>
        <w:r w:rsidR="005E20C2">
          <w:rPr>
            <w:noProof/>
            <w:webHidden/>
          </w:rPr>
          <w:instrText xml:space="preserve"> PAGEREF _Toc2348751 \h </w:instrText>
        </w:r>
        <w:r w:rsidR="005E20C2">
          <w:rPr>
            <w:noProof/>
            <w:webHidden/>
          </w:rPr>
        </w:r>
        <w:r w:rsidR="005E20C2">
          <w:rPr>
            <w:noProof/>
            <w:webHidden/>
          </w:rPr>
          <w:fldChar w:fldCharType="separate"/>
        </w:r>
        <w:r w:rsidR="006A56EC">
          <w:rPr>
            <w:noProof/>
            <w:webHidden/>
          </w:rPr>
          <w:t>11</w:t>
        </w:r>
        <w:r w:rsidR="005E20C2">
          <w:rPr>
            <w:noProof/>
            <w:webHidden/>
          </w:rPr>
          <w:fldChar w:fldCharType="end"/>
        </w:r>
      </w:hyperlink>
    </w:p>
    <w:p w14:paraId="56CD5ACD" w14:textId="5A99BA87" w:rsidR="005E20C2" w:rsidRDefault="002A7C1C">
      <w:pPr>
        <w:pStyle w:val="TOC1"/>
        <w:rPr>
          <w:rFonts w:asciiTheme="minorHAnsi" w:eastAsiaTheme="minorEastAsia" w:hAnsiTheme="minorHAnsi" w:cstheme="minorBidi"/>
          <w:b w:val="0"/>
          <w:noProof/>
          <w:color w:val="auto"/>
          <w:sz w:val="22"/>
          <w:szCs w:val="22"/>
          <w:lang w:eastAsia="en-GB"/>
        </w:rPr>
      </w:pPr>
      <w:hyperlink w:anchor="_Toc2348752" w:history="1">
        <w:r w:rsidR="005E20C2" w:rsidRPr="003744C6">
          <w:rPr>
            <w:rStyle w:val="Hyperlink"/>
            <w:noProof/>
          </w:rPr>
          <w:t>Notes</w:t>
        </w:r>
        <w:r w:rsidR="005E20C2">
          <w:rPr>
            <w:noProof/>
            <w:webHidden/>
          </w:rPr>
          <w:tab/>
        </w:r>
        <w:r w:rsidR="005E20C2">
          <w:rPr>
            <w:noProof/>
            <w:webHidden/>
          </w:rPr>
          <w:fldChar w:fldCharType="begin"/>
        </w:r>
        <w:r w:rsidR="005E20C2">
          <w:rPr>
            <w:noProof/>
            <w:webHidden/>
          </w:rPr>
          <w:instrText xml:space="preserve"> PAGEREF _Toc2348752 \h </w:instrText>
        </w:r>
        <w:r w:rsidR="005E20C2">
          <w:rPr>
            <w:noProof/>
            <w:webHidden/>
          </w:rPr>
        </w:r>
        <w:r w:rsidR="005E20C2">
          <w:rPr>
            <w:noProof/>
            <w:webHidden/>
          </w:rPr>
          <w:fldChar w:fldCharType="separate"/>
        </w:r>
        <w:r w:rsidR="006A56EC">
          <w:rPr>
            <w:noProof/>
            <w:webHidden/>
          </w:rPr>
          <w:t>12</w:t>
        </w:r>
        <w:r w:rsidR="005E20C2">
          <w:rPr>
            <w:noProof/>
            <w:webHidden/>
          </w:rPr>
          <w:fldChar w:fldCharType="end"/>
        </w:r>
      </w:hyperlink>
    </w:p>
    <w:p w14:paraId="1F213CBF" w14:textId="47079413" w:rsidR="005E20C2" w:rsidRDefault="002A7C1C">
      <w:pPr>
        <w:pStyle w:val="TOC1"/>
        <w:rPr>
          <w:rFonts w:asciiTheme="minorHAnsi" w:eastAsiaTheme="minorEastAsia" w:hAnsiTheme="minorHAnsi" w:cstheme="minorBidi"/>
          <w:b w:val="0"/>
          <w:noProof/>
          <w:color w:val="auto"/>
          <w:sz w:val="22"/>
          <w:szCs w:val="22"/>
          <w:lang w:eastAsia="en-GB"/>
        </w:rPr>
      </w:pPr>
      <w:hyperlink w:anchor="_Toc2348753" w:history="1">
        <w:r w:rsidR="005E20C2" w:rsidRPr="003744C6">
          <w:rPr>
            <w:rStyle w:val="Hyperlink"/>
            <w:noProof/>
          </w:rPr>
          <w:t>Glossary</w:t>
        </w:r>
        <w:r w:rsidR="005E20C2">
          <w:rPr>
            <w:noProof/>
            <w:webHidden/>
          </w:rPr>
          <w:tab/>
        </w:r>
        <w:r w:rsidR="005E20C2">
          <w:rPr>
            <w:noProof/>
            <w:webHidden/>
          </w:rPr>
          <w:fldChar w:fldCharType="begin"/>
        </w:r>
        <w:r w:rsidR="005E20C2">
          <w:rPr>
            <w:noProof/>
            <w:webHidden/>
          </w:rPr>
          <w:instrText xml:space="preserve"> PAGEREF _Toc2348753 \h </w:instrText>
        </w:r>
        <w:r w:rsidR="005E20C2">
          <w:rPr>
            <w:noProof/>
            <w:webHidden/>
          </w:rPr>
        </w:r>
        <w:r w:rsidR="005E20C2">
          <w:rPr>
            <w:noProof/>
            <w:webHidden/>
          </w:rPr>
          <w:fldChar w:fldCharType="separate"/>
        </w:r>
        <w:r w:rsidR="006A56EC">
          <w:rPr>
            <w:noProof/>
            <w:webHidden/>
          </w:rPr>
          <w:t>13</w:t>
        </w:r>
        <w:r w:rsidR="005E20C2">
          <w:rPr>
            <w:noProof/>
            <w:webHidden/>
          </w:rPr>
          <w:fldChar w:fldCharType="end"/>
        </w:r>
      </w:hyperlink>
    </w:p>
    <w:p w14:paraId="5C4A78BA" w14:textId="0D1B8D3A" w:rsidR="005E20C2" w:rsidRDefault="002A7C1C">
      <w:pPr>
        <w:pStyle w:val="TOC1"/>
        <w:rPr>
          <w:rFonts w:asciiTheme="minorHAnsi" w:eastAsiaTheme="minorEastAsia" w:hAnsiTheme="minorHAnsi" w:cstheme="minorBidi"/>
          <w:b w:val="0"/>
          <w:noProof/>
          <w:color w:val="auto"/>
          <w:sz w:val="22"/>
          <w:szCs w:val="22"/>
          <w:lang w:eastAsia="en-GB"/>
        </w:rPr>
      </w:pPr>
      <w:hyperlink w:anchor="_Toc2348755" w:history="1">
        <w:r w:rsidR="005E20C2" w:rsidRPr="003744C6">
          <w:rPr>
            <w:rStyle w:val="Hyperlink"/>
            <w:noProof/>
          </w:rPr>
          <w:t>Further information</w:t>
        </w:r>
        <w:r w:rsidR="005E20C2">
          <w:rPr>
            <w:noProof/>
            <w:webHidden/>
          </w:rPr>
          <w:tab/>
        </w:r>
        <w:r w:rsidR="005E20C2">
          <w:rPr>
            <w:noProof/>
            <w:webHidden/>
          </w:rPr>
          <w:fldChar w:fldCharType="begin"/>
        </w:r>
        <w:r w:rsidR="005E20C2">
          <w:rPr>
            <w:noProof/>
            <w:webHidden/>
          </w:rPr>
          <w:instrText xml:space="preserve"> PAGEREF _Toc2348755 \h </w:instrText>
        </w:r>
        <w:r w:rsidR="005E20C2">
          <w:rPr>
            <w:noProof/>
            <w:webHidden/>
          </w:rPr>
        </w:r>
        <w:r w:rsidR="005E20C2">
          <w:rPr>
            <w:noProof/>
            <w:webHidden/>
          </w:rPr>
          <w:fldChar w:fldCharType="separate"/>
        </w:r>
        <w:r w:rsidR="006A56EC">
          <w:rPr>
            <w:noProof/>
            <w:webHidden/>
          </w:rPr>
          <w:t>16</w:t>
        </w:r>
        <w:r w:rsidR="005E20C2">
          <w:rPr>
            <w:noProof/>
            <w:webHidden/>
          </w:rPr>
          <w:fldChar w:fldCharType="end"/>
        </w:r>
      </w:hyperlink>
    </w:p>
    <w:p w14:paraId="573011CC" w14:textId="75D84CE9" w:rsidR="00593497" w:rsidRDefault="00593497" w:rsidP="00F1199E">
      <w:pPr>
        <w:ind w:left="284"/>
      </w:pPr>
      <w:r>
        <w:rPr>
          <w:b/>
          <w:bCs/>
          <w:noProof/>
        </w:rPr>
        <w:fldChar w:fldCharType="end"/>
      </w:r>
    </w:p>
    <w:p w14:paraId="0F25D14B" w14:textId="77777777" w:rsidR="00F0253C" w:rsidRPr="00F0253C" w:rsidRDefault="00F0253C" w:rsidP="00F0253C">
      <w:pPr>
        <w:rPr>
          <w:lang w:eastAsia="en-GB"/>
        </w:rPr>
      </w:pPr>
    </w:p>
    <w:p w14:paraId="38DAE55E" w14:textId="77777777" w:rsidR="00F0253C" w:rsidRPr="00F0253C" w:rsidRDefault="008B35DE" w:rsidP="008B35DE">
      <w:pPr>
        <w:tabs>
          <w:tab w:val="left" w:pos="2420"/>
        </w:tabs>
        <w:rPr>
          <w:lang w:eastAsia="en-GB"/>
        </w:rPr>
      </w:pPr>
      <w:r>
        <w:rPr>
          <w:lang w:eastAsia="en-GB"/>
        </w:rPr>
        <w:tab/>
      </w:r>
    </w:p>
    <w:p w14:paraId="409E06B0" w14:textId="77777777" w:rsidR="00F0253C" w:rsidRPr="00F0253C" w:rsidRDefault="00F0253C" w:rsidP="00F0253C">
      <w:pPr>
        <w:rPr>
          <w:lang w:eastAsia="en-GB"/>
        </w:rPr>
      </w:pPr>
    </w:p>
    <w:p w14:paraId="097368FB" w14:textId="77777777" w:rsidR="00F0253C" w:rsidRPr="00F0253C" w:rsidRDefault="00F0253C" w:rsidP="00F0253C">
      <w:pPr>
        <w:rPr>
          <w:lang w:eastAsia="en-GB"/>
        </w:rPr>
      </w:pPr>
    </w:p>
    <w:p w14:paraId="2B8F0CE6" w14:textId="77777777" w:rsidR="00F0253C" w:rsidRPr="00F0253C" w:rsidRDefault="00F0253C" w:rsidP="00F0253C">
      <w:pPr>
        <w:rPr>
          <w:lang w:eastAsia="en-GB"/>
        </w:rPr>
      </w:pPr>
    </w:p>
    <w:p w14:paraId="29EE915F" w14:textId="77777777" w:rsidR="00F0253C" w:rsidRPr="00F0253C" w:rsidRDefault="00F0253C" w:rsidP="00F0253C">
      <w:pPr>
        <w:rPr>
          <w:lang w:eastAsia="en-GB"/>
        </w:rPr>
      </w:pPr>
    </w:p>
    <w:p w14:paraId="404BBDBB" w14:textId="77777777" w:rsidR="00F0253C" w:rsidRPr="00F0253C" w:rsidRDefault="00F0253C" w:rsidP="00F0253C">
      <w:pPr>
        <w:rPr>
          <w:lang w:eastAsia="en-GB"/>
        </w:rPr>
      </w:pPr>
    </w:p>
    <w:p w14:paraId="34BA8F11" w14:textId="77777777" w:rsidR="00F0253C" w:rsidRPr="00F0253C" w:rsidRDefault="00F0253C" w:rsidP="00F0253C">
      <w:pPr>
        <w:rPr>
          <w:lang w:eastAsia="en-GB"/>
        </w:rPr>
      </w:pPr>
    </w:p>
    <w:p w14:paraId="740F5ABC" w14:textId="77777777" w:rsidR="00F0253C" w:rsidRPr="00F0253C" w:rsidRDefault="00F0253C" w:rsidP="00F0253C">
      <w:pPr>
        <w:rPr>
          <w:lang w:eastAsia="en-GB"/>
        </w:rPr>
      </w:pPr>
    </w:p>
    <w:p w14:paraId="0C18DD27" w14:textId="77777777" w:rsidR="00F0253C" w:rsidRPr="00F0253C" w:rsidRDefault="00F0253C" w:rsidP="00F0253C">
      <w:pPr>
        <w:rPr>
          <w:lang w:eastAsia="en-GB"/>
        </w:rPr>
      </w:pPr>
    </w:p>
    <w:p w14:paraId="30E8E893" w14:textId="77777777" w:rsidR="00F0253C" w:rsidRPr="00F0253C" w:rsidRDefault="00F0253C" w:rsidP="00F0253C">
      <w:pPr>
        <w:rPr>
          <w:lang w:eastAsia="en-GB"/>
        </w:rPr>
      </w:pPr>
    </w:p>
    <w:p w14:paraId="722F2D36" w14:textId="77777777" w:rsidR="00F0253C" w:rsidRPr="00F0253C" w:rsidRDefault="00F0253C" w:rsidP="00F0253C">
      <w:pPr>
        <w:rPr>
          <w:lang w:eastAsia="en-GB"/>
        </w:rPr>
      </w:pPr>
    </w:p>
    <w:p w14:paraId="16E65A58" w14:textId="77777777" w:rsidR="00F0253C" w:rsidRPr="00F0253C" w:rsidRDefault="00F0253C" w:rsidP="00F0253C">
      <w:pPr>
        <w:rPr>
          <w:lang w:eastAsia="en-GB"/>
        </w:rPr>
      </w:pPr>
    </w:p>
    <w:p w14:paraId="1E24A0D6" w14:textId="77777777" w:rsidR="00F0253C" w:rsidRPr="00F0253C" w:rsidRDefault="00F0253C" w:rsidP="00F0253C">
      <w:pPr>
        <w:rPr>
          <w:lang w:eastAsia="en-GB"/>
        </w:rPr>
      </w:pPr>
    </w:p>
    <w:p w14:paraId="7E3AF46D" w14:textId="77777777" w:rsidR="00F0253C" w:rsidRPr="00F0253C" w:rsidRDefault="00F0253C" w:rsidP="00F0253C">
      <w:pPr>
        <w:rPr>
          <w:lang w:eastAsia="en-GB"/>
        </w:rPr>
      </w:pPr>
    </w:p>
    <w:p w14:paraId="36BFECC3" w14:textId="77777777" w:rsidR="00F0253C" w:rsidRPr="00F0253C" w:rsidRDefault="00F0253C" w:rsidP="00F0253C">
      <w:pPr>
        <w:rPr>
          <w:lang w:eastAsia="en-GB"/>
        </w:rPr>
      </w:pPr>
    </w:p>
    <w:p w14:paraId="7BEAD5B8" w14:textId="20574BBC" w:rsidR="00F0253C" w:rsidRDefault="00F0253C" w:rsidP="00F0253C">
      <w:pPr>
        <w:rPr>
          <w:lang w:eastAsia="en-GB"/>
        </w:rPr>
      </w:pPr>
    </w:p>
    <w:p w14:paraId="5001388C" w14:textId="59E3371D" w:rsidR="00A47001" w:rsidRDefault="00A47001" w:rsidP="00F0253C">
      <w:pPr>
        <w:rPr>
          <w:lang w:eastAsia="en-GB"/>
        </w:rPr>
      </w:pPr>
    </w:p>
    <w:p w14:paraId="7CC62EB8" w14:textId="59FB4B38" w:rsidR="00A47001" w:rsidRDefault="00A47001" w:rsidP="00F0253C">
      <w:pPr>
        <w:rPr>
          <w:lang w:eastAsia="en-GB"/>
        </w:rPr>
      </w:pPr>
    </w:p>
    <w:p w14:paraId="18817F49" w14:textId="3AFCC220" w:rsidR="00A47001" w:rsidRDefault="00A47001" w:rsidP="00F0253C">
      <w:pPr>
        <w:rPr>
          <w:lang w:eastAsia="en-GB"/>
        </w:rPr>
      </w:pPr>
    </w:p>
    <w:p w14:paraId="0DB01EB8" w14:textId="38972B32" w:rsidR="00A47001" w:rsidRDefault="00A47001" w:rsidP="00F0253C">
      <w:pPr>
        <w:rPr>
          <w:lang w:eastAsia="en-GB"/>
        </w:rPr>
      </w:pPr>
    </w:p>
    <w:p w14:paraId="1A60F967" w14:textId="154CAEE6" w:rsidR="00A47001" w:rsidRDefault="00A47001" w:rsidP="00F0253C">
      <w:pPr>
        <w:rPr>
          <w:lang w:eastAsia="en-GB"/>
        </w:rPr>
      </w:pPr>
    </w:p>
    <w:p w14:paraId="39DE7629" w14:textId="77777777" w:rsidR="00A47001" w:rsidRPr="00F0253C" w:rsidRDefault="00A47001" w:rsidP="00F0253C">
      <w:pPr>
        <w:rPr>
          <w:lang w:eastAsia="en-GB"/>
        </w:rPr>
      </w:pPr>
    </w:p>
    <w:p w14:paraId="13742B37" w14:textId="77777777" w:rsidR="00F0253C" w:rsidRPr="00F0253C" w:rsidRDefault="00F0253C" w:rsidP="00F0253C">
      <w:pPr>
        <w:rPr>
          <w:lang w:eastAsia="en-GB"/>
        </w:rPr>
      </w:pPr>
    </w:p>
    <w:p w14:paraId="6240647A" w14:textId="3F4F9261" w:rsidR="00F0253C" w:rsidRPr="009A6870" w:rsidRDefault="00F0253C" w:rsidP="00F0253C">
      <w:pPr>
        <w:pStyle w:val="Heading1"/>
      </w:pPr>
      <w:bookmarkStart w:id="18" w:name="_Toc500431981"/>
      <w:bookmarkStart w:id="19" w:name="_Toc513733841"/>
      <w:bookmarkStart w:id="20" w:name="_Toc513734080"/>
      <w:bookmarkStart w:id="21" w:name="_Toc513734165"/>
      <w:bookmarkStart w:id="22" w:name="_Toc513809296"/>
      <w:bookmarkStart w:id="23" w:name="_Toc514924184"/>
      <w:bookmarkStart w:id="24" w:name="_Toc528763483"/>
      <w:bookmarkStart w:id="25" w:name="_Toc2336325"/>
      <w:bookmarkStart w:id="26" w:name="_Toc2348745"/>
      <w:r w:rsidRPr="009A6870">
        <w:t>Acknowledgements</w:t>
      </w:r>
      <w:bookmarkEnd w:id="18"/>
      <w:bookmarkEnd w:id="19"/>
      <w:bookmarkEnd w:id="20"/>
      <w:bookmarkEnd w:id="21"/>
      <w:bookmarkEnd w:id="22"/>
      <w:bookmarkEnd w:id="23"/>
      <w:bookmarkEnd w:id="24"/>
      <w:bookmarkEnd w:id="25"/>
      <w:bookmarkEnd w:id="26"/>
    </w:p>
    <w:p w14:paraId="5B5B95B4" w14:textId="01A89FAD" w:rsidR="00F0253C" w:rsidRDefault="00D55615" w:rsidP="00190AC9">
      <w:r w:rsidRPr="00D55615">
        <w:t xml:space="preserve">Thanks to the following for their contribution to this statistical release: </w:t>
      </w:r>
      <w:r w:rsidR="003C05C1" w:rsidRPr="00D55615">
        <w:t xml:space="preserve">Lucy Conway, </w:t>
      </w:r>
      <w:r w:rsidRPr="00D55615">
        <w:t>Louis Noble, Tris</w:t>
      </w:r>
      <w:r w:rsidR="003D64C7">
        <w:t xml:space="preserve">tan Browne and </w:t>
      </w:r>
      <w:r w:rsidR="0043779F">
        <w:t>Helen Woodley</w:t>
      </w:r>
      <w:r w:rsidRPr="00D55615">
        <w:t>.</w:t>
      </w:r>
    </w:p>
    <w:p w14:paraId="638AFE1E" w14:textId="77777777" w:rsidR="005C1916" w:rsidRDefault="000B0459" w:rsidP="000B0459">
      <w:pPr>
        <w:pStyle w:val="Heading1"/>
      </w:pPr>
      <w:r w:rsidRPr="00F0253C">
        <w:br w:type="page"/>
      </w:r>
      <w:bookmarkStart w:id="27" w:name="_Toc2336326"/>
      <w:bookmarkStart w:id="28" w:name="_Toc2348746"/>
      <w:r w:rsidR="00F0253C">
        <w:lastRenderedPageBreak/>
        <w:t>Introduction</w:t>
      </w:r>
      <w:bookmarkEnd w:id="27"/>
      <w:bookmarkEnd w:id="28"/>
    </w:p>
    <w:p w14:paraId="6643BC08" w14:textId="3CB81BBD" w:rsidR="00E17878" w:rsidRDefault="00E17878" w:rsidP="00E17878">
      <w:pPr>
        <w:rPr>
          <w:rFonts w:cs="Tahoma"/>
        </w:rPr>
      </w:pPr>
      <w:r w:rsidRPr="00CB47D8">
        <w:rPr>
          <w:rFonts w:cs="Tahoma"/>
        </w:rPr>
        <w:t xml:space="preserve">The early years and childcare sector is primarily made up of private nurseries, pre-schools and childminders. </w:t>
      </w:r>
      <w:r w:rsidR="00141965">
        <w:rPr>
          <w:rFonts w:cs="Tahoma"/>
        </w:rPr>
        <w:t>Early years provision is</w:t>
      </w:r>
      <w:r w:rsidRPr="00CB47D8">
        <w:rPr>
          <w:rFonts w:cs="Tahoma"/>
        </w:rPr>
        <w:t xml:space="preserve"> </w:t>
      </w:r>
      <w:r>
        <w:rPr>
          <w:rFonts w:cs="Tahoma"/>
        </w:rPr>
        <w:t>categorised into</w:t>
      </w:r>
      <w:r w:rsidRPr="00CB47D8">
        <w:rPr>
          <w:rFonts w:cs="Tahoma"/>
        </w:rPr>
        <w:t xml:space="preserve"> four provider types:</w:t>
      </w:r>
    </w:p>
    <w:p w14:paraId="4F9177C4" w14:textId="77777777" w:rsidR="00594AF0" w:rsidRDefault="00594AF0" w:rsidP="00E17878">
      <w:pPr>
        <w:rPr>
          <w:rFonts w:cs="Tahoma"/>
        </w:rPr>
      </w:pPr>
    </w:p>
    <w:tbl>
      <w:tblPr>
        <w:tblW w:w="0" w:type="auto"/>
        <w:tblLook w:val="04A0" w:firstRow="1" w:lastRow="0" w:firstColumn="1" w:lastColumn="0" w:noHBand="0" w:noVBand="1"/>
      </w:tblPr>
      <w:tblGrid>
        <w:gridCol w:w="2483"/>
        <w:gridCol w:w="7148"/>
      </w:tblGrid>
      <w:tr w:rsidR="00594AF0" w:rsidRPr="00F563C3" w14:paraId="602FE346" w14:textId="77777777" w:rsidTr="00F563C3">
        <w:tc>
          <w:tcPr>
            <w:tcW w:w="2518" w:type="dxa"/>
            <w:tcBorders>
              <w:bottom w:val="single" w:sz="4" w:space="0" w:color="auto"/>
            </w:tcBorders>
            <w:shd w:val="clear" w:color="auto" w:fill="auto"/>
          </w:tcPr>
          <w:p w14:paraId="1AAC7385"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Type of provider</w:t>
            </w:r>
          </w:p>
        </w:tc>
        <w:tc>
          <w:tcPr>
            <w:tcW w:w="7329" w:type="dxa"/>
            <w:tcBorders>
              <w:bottom w:val="single" w:sz="4" w:space="0" w:color="auto"/>
            </w:tcBorders>
            <w:shd w:val="clear" w:color="auto" w:fill="auto"/>
          </w:tcPr>
          <w:p w14:paraId="64D87C92"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Description</w:t>
            </w:r>
          </w:p>
        </w:tc>
      </w:tr>
      <w:tr w:rsidR="00594AF0" w:rsidRPr="00F563C3" w14:paraId="63E9A2D7" w14:textId="77777777" w:rsidTr="00F563C3">
        <w:tc>
          <w:tcPr>
            <w:tcW w:w="2518" w:type="dxa"/>
            <w:tcBorders>
              <w:top w:val="single" w:sz="4" w:space="0" w:color="auto"/>
              <w:bottom w:val="single" w:sz="4" w:space="0" w:color="auto"/>
            </w:tcBorders>
            <w:shd w:val="clear" w:color="auto" w:fill="auto"/>
          </w:tcPr>
          <w:p w14:paraId="282EE666"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non-domestic premises</w:t>
            </w:r>
          </w:p>
        </w:tc>
        <w:tc>
          <w:tcPr>
            <w:tcW w:w="7329" w:type="dxa"/>
            <w:tcBorders>
              <w:top w:val="single" w:sz="4" w:space="0" w:color="auto"/>
              <w:bottom w:val="single" w:sz="4" w:space="0" w:color="auto"/>
            </w:tcBorders>
            <w:shd w:val="clear" w:color="auto" w:fill="auto"/>
          </w:tcPr>
          <w:p w14:paraId="2A499519" w14:textId="2FD2428B" w:rsidR="00594AF0" w:rsidRPr="00391744" w:rsidRDefault="00594AF0" w:rsidP="00F563C3">
            <w:pPr>
              <w:spacing w:after="240"/>
              <w:rPr>
                <w:rFonts w:eastAsia="Calibri" w:cs="Tahoma"/>
                <w:sz w:val="20"/>
                <w:szCs w:val="20"/>
              </w:rPr>
            </w:pPr>
            <w:r w:rsidRPr="00391744">
              <w:rPr>
                <w:rFonts w:eastAsia="Calibri" w:cs="Tahoma"/>
                <w:sz w:val="20"/>
                <w:szCs w:val="20"/>
              </w:rPr>
              <w:t>Nurseries, pre-schools, holiday clubs and other</w:t>
            </w:r>
            <w:r w:rsidR="00A922E6">
              <w:rPr>
                <w:rFonts w:eastAsia="Calibri" w:cs="Tahoma"/>
                <w:sz w:val="20"/>
                <w:szCs w:val="20"/>
              </w:rPr>
              <w:t xml:space="preserve"> group-based settings,</w:t>
            </w:r>
            <w:r w:rsidRPr="00391744">
              <w:rPr>
                <w:rFonts w:eastAsia="Calibri" w:cs="Tahoma"/>
                <w:sz w:val="20"/>
                <w:szCs w:val="20"/>
              </w:rPr>
              <w:t xml:space="preserve"> usually registered on the Early Years Register (EYR) because </w:t>
            </w:r>
            <w:r w:rsidR="00CA63F4" w:rsidRPr="00391744">
              <w:rPr>
                <w:rFonts w:eastAsia="Calibri" w:cs="Tahoma"/>
                <w:sz w:val="20"/>
                <w:szCs w:val="20"/>
              </w:rPr>
              <w:t xml:space="preserve">they look after children aged 0 to </w:t>
            </w:r>
            <w:r w:rsidRPr="00391744">
              <w:rPr>
                <w:rFonts w:eastAsia="Calibri" w:cs="Tahoma"/>
                <w:sz w:val="20"/>
                <w:szCs w:val="20"/>
              </w:rPr>
              <w:t>5.</w:t>
            </w:r>
          </w:p>
        </w:tc>
      </w:tr>
      <w:tr w:rsidR="00594AF0" w:rsidRPr="00F563C3" w14:paraId="38B1BEC2" w14:textId="77777777" w:rsidTr="00F563C3">
        <w:tc>
          <w:tcPr>
            <w:tcW w:w="2518" w:type="dxa"/>
            <w:tcBorders>
              <w:top w:val="single" w:sz="4" w:space="0" w:color="auto"/>
              <w:bottom w:val="single" w:sz="4" w:space="0" w:color="auto"/>
            </w:tcBorders>
            <w:shd w:val="clear" w:color="auto" w:fill="auto"/>
          </w:tcPr>
          <w:p w14:paraId="15190C3E"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Childminders</w:t>
            </w:r>
          </w:p>
        </w:tc>
        <w:tc>
          <w:tcPr>
            <w:tcW w:w="7329" w:type="dxa"/>
            <w:tcBorders>
              <w:top w:val="single" w:sz="4" w:space="0" w:color="auto"/>
              <w:bottom w:val="single" w:sz="4" w:space="0" w:color="auto"/>
            </w:tcBorders>
            <w:shd w:val="clear" w:color="auto" w:fill="auto"/>
          </w:tcPr>
          <w:p w14:paraId="7CF75CD8" w14:textId="30502D08" w:rsidR="00594AF0" w:rsidRPr="00391744" w:rsidRDefault="00D41B5B" w:rsidP="007A10BE">
            <w:pPr>
              <w:spacing w:after="240"/>
              <w:rPr>
                <w:rFonts w:eastAsia="Calibri" w:cs="Tahoma"/>
                <w:sz w:val="20"/>
                <w:szCs w:val="20"/>
              </w:rPr>
            </w:pPr>
            <w:r w:rsidRPr="00D41B5B">
              <w:rPr>
                <w:rFonts w:eastAsia="Calibri" w:cs="Tahoma"/>
                <w:sz w:val="20"/>
                <w:szCs w:val="20"/>
              </w:rPr>
              <w:t>People who look after one or more children they are not related to for payment or reward. The care takes place in a home that is not the child’s own.</w:t>
            </w:r>
            <w:r w:rsidR="00594AF0" w:rsidRPr="007B0390">
              <w:rPr>
                <w:rFonts w:eastAsia="Calibri" w:cs="Tahoma"/>
                <w:sz w:val="20"/>
                <w:szCs w:val="20"/>
              </w:rPr>
              <w:t xml:space="preserve"> The</w:t>
            </w:r>
            <w:r w:rsidR="00594AF0" w:rsidRPr="00391744">
              <w:rPr>
                <w:rFonts w:eastAsia="Calibri" w:cs="Tahoma"/>
                <w:sz w:val="20"/>
                <w:szCs w:val="20"/>
              </w:rPr>
              <w:t xml:space="preserve"> majority register on the EYR because </w:t>
            </w:r>
            <w:r w:rsidR="00CA63F4" w:rsidRPr="00391744">
              <w:rPr>
                <w:rFonts w:eastAsia="Calibri" w:cs="Tahoma"/>
                <w:sz w:val="20"/>
                <w:szCs w:val="20"/>
              </w:rPr>
              <w:t xml:space="preserve">they look after children aged 0 to 5, but those who look after 5 to </w:t>
            </w:r>
            <w:r w:rsidR="00594AF0" w:rsidRPr="00391744">
              <w:rPr>
                <w:rFonts w:eastAsia="Calibri" w:cs="Tahoma"/>
                <w:sz w:val="20"/>
                <w:szCs w:val="20"/>
              </w:rPr>
              <w:t>7 year olds need to register on the Childcare Register (CR).</w:t>
            </w:r>
          </w:p>
        </w:tc>
      </w:tr>
      <w:tr w:rsidR="00594AF0" w:rsidRPr="00F563C3" w14:paraId="675AC0B8" w14:textId="77777777" w:rsidTr="00F563C3">
        <w:tc>
          <w:tcPr>
            <w:tcW w:w="2518" w:type="dxa"/>
            <w:tcBorders>
              <w:top w:val="single" w:sz="4" w:space="0" w:color="auto"/>
              <w:bottom w:val="single" w:sz="4" w:space="0" w:color="auto"/>
            </w:tcBorders>
            <w:shd w:val="clear" w:color="auto" w:fill="auto"/>
          </w:tcPr>
          <w:p w14:paraId="15EFEEB9"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domestic premises</w:t>
            </w:r>
          </w:p>
        </w:tc>
        <w:tc>
          <w:tcPr>
            <w:tcW w:w="7329" w:type="dxa"/>
            <w:tcBorders>
              <w:top w:val="single" w:sz="4" w:space="0" w:color="auto"/>
              <w:bottom w:val="single" w:sz="4" w:space="0" w:color="auto"/>
            </w:tcBorders>
            <w:shd w:val="clear" w:color="auto" w:fill="auto"/>
          </w:tcPr>
          <w:p w14:paraId="30A5E54E" w14:textId="0ED3AD49" w:rsidR="00594AF0" w:rsidRPr="00391744" w:rsidRDefault="00594AF0" w:rsidP="007A10BE">
            <w:pPr>
              <w:spacing w:after="240"/>
              <w:rPr>
                <w:rFonts w:eastAsia="Calibri" w:cs="Tahoma"/>
                <w:sz w:val="20"/>
                <w:szCs w:val="20"/>
              </w:rPr>
            </w:pPr>
            <w:r w:rsidRPr="007B0390">
              <w:rPr>
                <w:rFonts w:eastAsia="Calibri" w:cs="Tahoma"/>
                <w:sz w:val="20"/>
                <w:szCs w:val="20"/>
              </w:rPr>
              <w:t>Where four or more people look after children together in</w:t>
            </w:r>
            <w:r w:rsidR="007A10BE" w:rsidRPr="007B0390">
              <w:rPr>
                <w:rFonts w:eastAsia="Calibri" w:cs="Tahoma"/>
                <w:sz w:val="20"/>
                <w:szCs w:val="20"/>
              </w:rPr>
              <w:t xml:space="preserve"> a home that is not the child’s</w:t>
            </w:r>
            <w:r w:rsidRPr="007B0390">
              <w:rPr>
                <w:rFonts w:eastAsia="Calibri" w:cs="Tahoma"/>
                <w:sz w:val="20"/>
                <w:szCs w:val="20"/>
              </w:rPr>
              <w:t>. The majority are registered on the EYR and some are registered on the CR, depending on the age of the children they look after.</w:t>
            </w:r>
          </w:p>
        </w:tc>
      </w:tr>
      <w:tr w:rsidR="00594AF0" w:rsidRPr="00F563C3" w14:paraId="13543A7D" w14:textId="77777777" w:rsidTr="00F563C3">
        <w:tc>
          <w:tcPr>
            <w:tcW w:w="2518" w:type="dxa"/>
            <w:tcBorders>
              <w:top w:val="single" w:sz="4" w:space="0" w:color="auto"/>
              <w:bottom w:val="single" w:sz="4" w:space="0" w:color="auto"/>
            </w:tcBorders>
            <w:shd w:val="clear" w:color="auto" w:fill="auto"/>
          </w:tcPr>
          <w:p w14:paraId="1FA03574" w14:textId="0AE7F883" w:rsidR="00594AF0" w:rsidRPr="007B0390" w:rsidRDefault="00594AF0" w:rsidP="00F563C3">
            <w:pPr>
              <w:spacing w:after="240"/>
              <w:rPr>
                <w:rFonts w:eastAsia="Calibri" w:cs="Tahoma"/>
                <w:sz w:val="20"/>
                <w:szCs w:val="20"/>
              </w:rPr>
            </w:pPr>
            <w:r w:rsidRPr="007B0390">
              <w:rPr>
                <w:rFonts w:eastAsia="Calibri" w:cs="Tahoma"/>
                <w:sz w:val="20"/>
                <w:szCs w:val="20"/>
              </w:rPr>
              <w:t>Home childcarers</w:t>
            </w:r>
            <w:r w:rsidR="00142E3E" w:rsidRPr="007B0390">
              <w:rPr>
                <w:rFonts w:eastAsia="Calibri" w:cs="Tahoma"/>
                <w:sz w:val="20"/>
                <w:szCs w:val="20"/>
              </w:rPr>
              <w:t xml:space="preserve"> (nannies)</w:t>
            </w:r>
          </w:p>
        </w:tc>
        <w:tc>
          <w:tcPr>
            <w:tcW w:w="7329" w:type="dxa"/>
            <w:tcBorders>
              <w:top w:val="single" w:sz="4" w:space="0" w:color="auto"/>
              <w:bottom w:val="single" w:sz="4" w:space="0" w:color="auto"/>
            </w:tcBorders>
            <w:shd w:val="clear" w:color="auto" w:fill="auto"/>
          </w:tcPr>
          <w:p w14:paraId="602F581D" w14:textId="11172ACE" w:rsidR="00594AF0" w:rsidRPr="007B0390" w:rsidRDefault="00142E3E" w:rsidP="00F563C3">
            <w:pPr>
              <w:spacing w:after="240"/>
              <w:rPr>
                <w:rFonts w:eastAsia="Calibri" w:cs="Tahoma"/>
                <w:sz w:val="20"/>
                <w:szCs w:val="20"/>
              </w:rPr>
            </w:pPr>
            <w:r w:rsidRPr="007B0390">
              <w:rPr>
                <w:rFonts w:eastAsia="Calibri" w:cs="Tahoma"/>
                <w:sz w:val="20"/>
                <w:szCs w:val="20"/>
              </w:rPr>
              <w:t xml:space="preserve">Individuals </w:t>
            </w:r>
            <w:r w:rsidR="00CA63F4" w:rsidRPr="007B0390">
              <w:rPr>
                <w:rFonts w:eastAsia="Calibri" w:cs="Tahoma"/>
                <w:sz w:val="20"/>
                <w:szCs w:val="20"/>
              </w:rPr>
              <w:t xml:space="preserve">who care for children aged 0 to </w:t>
            </w:r>
            <w:r w:rsidR="00594AF0" w:rsidRPr="007B0390">
              <w:rPr>
                <w:rFonts w:eastAsia="Calibri" w:cs="Tahoma"/>
                <w:sz w:val="20"/>
                <w:szCs w:val="20"/>
              </w:rPr>
              <w:t>18 wholly or mainly in the child’s own home. They are not required to register with Ofsted</w:t>
            </w:r>
            <w:r w:rsidR="00584E91">
              <w:rPr>
                <w:rFonts w:eastAsia="Calibri" w:cs="Tahoma"/>
                <w:sz w:val="20"/>
                <w:szCs w:val="20"/>
              </w:rPr>
              <w:t>. Though they</w:t>
            </w:r>
            <w:r w:rsidR="00594AF0" w:rsidRPr="007B0390">
              <w:rPr>
                <w:rFonts w:eastAsia="Calibri" w:cs="Tahoma"/>
                <w:sz w:val="20"/>
                <w:szCs w:val="20"/>
              </w:rPr>
              <w:t xml:space="preserve"> may choose to do so on the Voluntary Childcare Register (VCR).</w:t>
            </w:r>
          </w:p>
        </w:tc>
      </w:tr>
    </w:tbl>
    <w:p w14:paraId="21547ABE" w14:textId="77777777" w:rsidR="00E17878" w:rsidRDefault="00E17878" w:rsidP="00E17878">
      <w:pPr>
        <w:rPr>
          <w:rFonts w:cs="Tahoma"/>
        </w:rPr>
      </w:pPr>
    </w:p>
    <w:p w14:paraId="40F5A0BE" w14:textId="1C895622" w:rsidR="00E17878" w:rsidRDefault="00E17878" w:rsidP="00E17878">
      <w:r w:rsidRPr="00CB47D8">
        <w:rPr>
          <w:rFonts w:cs="Tahoma"/>
        </w:rPr>
        <w:t>Childcare on non-domestic premises and childminders make up the majority of early years provision re</w:t>
      </w:r>
      <w:r>
        <w:rPr>
          <w:rFonts w:cs="Tahoma"/>
        </w:rPr>
        <w:t>gistered with Ofsted.</w:t>
      </w:r>
      <w:r w:rsidRPr="000D4E5A">
        <w:t xml:space="preserve"> </w:t>
      </w:r>
      <w:r>
        <w:t xml:space="preserve">Further </w:t>
      </w:r>
      <w:r w:rsidRPr="000F2FD2">
        <w:t>information about provider types is available in th</w:t>
      </w:r>
      <w:r w:rsidR="00F84A74">
        <w:t xml:space="preserve">e </w:t>
      </w:r>
      <w:hyperlink w:anchor="_Glossary" w:history="1">
        <w:r w:rsidR="00F84A74" w:rsidRPr="00F84A74">
          <w:rPr>
            <w:rStyle w:val="Hyperlink"/>
          </w:rPr>
          <w:t>Glossary</w:t>
        </w:r>
      </w:hyperlink>
      <w:r w:rsidRPr="000F2FD2">
        <w:t>.</w:t>
      </w:r>
    </w:p>
    <w:p w14:paraId="5BBA1D02" w14:textId="0DF7BA95" w:rsidR="00A27AF0" w:rsidRDefault="00A27AF0" w:rsidP="00E17878">
      <w:pPr>
        <w:rPr>
          <w:rFonts w:cs="Tahoma"/>
        </w:rPr>
      </w:pPr>
    </w:p>
    <w:p w14:paraId="73BDAC55" w14:textId="701678F0" w:rsidR="00A27AF0" w:rsidRDefault="00A27AF0" w:rsidP="00E17878">
      <w:pPr>
        <w:rPr>
          <w:rFonts w:cs="Tahoma"/>
        </w:rPr>
      </w:pPr>
      <w:r>
        <w:rPr>
          <w:rFonts w:cs="Tahoma"/>
        </w:rPr>
        <w:t>Chi</w:t>
      </w:r>
      <w:r w:rsidR="007E13D2">
        <w:rPr>
          <w:rFonts w:cs="Tahoma"/>
        </w:rPr>
        <w:t xml:space="preserve">ldminders </w:t>
      </w:r>
      <w:r w:rsidR="00FC312B">
        <w:rPr>
          <w:rFonts w:cs="Tahoma"/>
        </w:rPr>
        <w:t>have the option to either</w:t>
      </w:r>
      <w:r w:rsidR="007E13D2">
        <w:rPr>
          <w:rFonts w:cs="Tahoma"/>
        </w:rPr>
        <w:t xml:space="preserve"> register with Ofsted or a childminder agency</w:t>
      </w:r>
      <w:r w:rsidR="00C11711">
        <w:rPr>
          <w:rFonts w:cs="Tahoma"/>
        </w:rPr>
        <w:t>. Childminder agencies</w:t>
      </w:r>
      <w:r w:rsidR="00EB426E">
        <w:rPr>
          <w:rFonts w:cs="Tahoma"/>
        </w:rPr>
        <w:t xml:space="preserve"> have the responsibility of inspecting the childminders registered with them. </w:t>
      </w:r>
      <w:r w:rsidR="00EC714E">
        <w:rPr>
          <w:rFonts w:cs="Tahoma"/>
        </w:rPr>
        <w:t xml:space="preserve">More information about childminder agencies is provided in the </w:t>
      </w:r>
      <w:r w:rsidR="00933FA8">
        <w:rPr>
          <w:rFonts w:cs="Tahoma"/>
        </w:rPr>
        <w:t>‘</w:t>
      </w:r>
      <w:hyperlink w:anchor="_Childminder_agencies" w:history="1">
        <w:r w:rsidR="00933FA8" w:rsidRPr="00D04524">
          <w:rPr>
            <w:rStyle w:val="Hyperlink"/>
            <w:rFonts w:cs="Tahoma"/>
          </w:rPr>
          <w:t>Childminder agencies</w:t>
        </w:r>
      </w:hyperlink>
      <w:r w:rsidR="00FC312B">
        <w:rPr>
          <w:rFonts w:cs="Tahoma"/>
        </w:rPr>
        <w:t>’</w:t>
      </w:r>
      <w:r w:rsidR="00933FA8">
        <w:rPr>
          <w:rFonts w:cs="Tahoma"/>
        </w:rPr>
        <w:t xml:space="preserve"> section.</w:t>
      </w:r>
    </w:p>
    <w:p w14:paraId="2A246B12" w14:textId="77777777" w:rsidR="00E17878" w:rsidRDefault="00E17878" w:rsidP="00E17878">
      <w:pPr>
        <w:rPr>
          <w:rFonts w:cs="Tahoma"/>
        </w:rPr>
      </w:pPr>
    </w:p>
    <w:p w14:paraId="53C68CD4" w14:textId="3CAF358A" w:rsidR="00C335D5" w:rsidRPr="009A3C3D" w:rsidRDefault="00C335D5" w:rsidP="00972B5B">
      <w:pPr>
        <w:rPr>
          <w:rStyle w:val="Hyperlink"/>
        </w:rPr>
      </w:pPr>
      <w:r w:rsidRPr="009A3C3D">
        <w:rPr>
          <w:rFonts w:cs="Tahoma"/>
        </w:rPr>
        <w:t>Childcare in early years also occurs in the schools sector.</w:t>
      </w:r>
      <w:r w:rsidR="00985C10">
        <w:rPr>
          <w:rFonts w:cs="Tahoma"/>
        </w:rPr>
        <w:t xml:space="preserve"> </w:t>
      </w:r>
      <w:r w:rsidRPr="005B020F">
        <w:rPr>
          <w:rFonts w:cs="Tahoma"/>
        </w:rPr>
        <w:t xml:space="preserve">This takes place in </w:t>
      </w:r>
      <w:r w:rsidR="00660769" w:rsidRPr="005B020F">
        <w:rPr>
          <w:rFonts w:cs="Tahoma"/>
        </w:rPr>
        <w:t>state-funded nurser</w:t>
      </w:r>
      <w:r w:rsidR="00B96909">
        <w:rPr>
          <w:rFonts w:cs="Tahoma"/>
        </w:rPr>
        <w:t>y schools</w:t>
      </w:r>
      <w:r w:rsidR="00660769" w:rsidRPr="005B020F">
        <w:rPr>
          <w:rFonts w:cs="Tahoma"/>
        </w:rPr>
        <w:t>,</w:t>
      </w:r>
      <w:r w:rsidR="00B96909">
        <w:rPr>
          <w:rFonts w:cs="Tahoma"/>
        </w:rPr>
        <w:t xml:space="preserve"> and</w:t>
      </w:r>
      <w:r w:rsidRPr="005B020F">
        <w:rPr>
          <w:rFonts w:cs="Tahoma"/>
        </w:rPr>
        <w:t xml:space="preserve"> early years provision within </w:t>
      </w:r>
      <w:r w:rsidR="00295DBB" w:rsidRPr="005B020F">
        <w:rPr>
          <w:rFonts w:cs="Tahoma"/>
        </w:rPr>
        <w:t>state-funded</w:t>
      </w:r>
      <w:r w:rsidRPr="005B020F">
        <w:rPr>
          <w:rFonts w:cs="Tahoma"/>
        </w:rPr>
        <w:t xml:space="preserve"> schools and independent schools.</w:t>
      </w:r>
      <w:r w:rsidR="00E360EC">
        <w:rPr>
          <w:rFonts w:cs="Tahoma"/>
        </w:rPr>
        <w:t xml:space="preserve"> </w:t>
      </w:r>
      <w:r w:rsidR="00731446">
        <w:rPr>
          <w:rFonts w:cs="Tahoma"/>
        </w:rPr>
        <w:t>Since May 2015, c</w:t>
      </w:r>
      <w:r w:rsidR="00985C10">
        <w:rPr>
          <w:rFonts w:cs="Tahoma"/>
        </w:rPr>
        <w:t>hildcare on non-domestic premises</w:t>
      </w:r>
      <w:r w:rsidR="00731446">
        <w:rPr>
          <w:rFonts w:cs="Tahoma"/>
        </w:rPr>
        <w:t xml:space="preserve"> that are part of a school</w:t>
      </w:r>
      <w:r w:rsidR="00985C10">
        <w:rPr>
          <w:rFonts w:cs="Tahoma"/>
        </w:rPr>
        <w:t xml:space="preserve"> are not required to register on the EYR</w:t>
      </w:r>
      <w:r w:rsidR="00731446">
        <w:rPr>
          <w:rFonts w:cs="Tahoma"/>
        </w:rPr>
        <w:t xml:space="preserve"> if they are </w:t>
      </w:r>
      <w:r w:rsidR="009D5653">
        <w:rPr>
          <w:rFonts w:cs="Tahoma"/>
        </w:rPr>
        <w:t xml:space="preserve">only </w:t>
      </w:r>
      <w:r w:rsidR="00731446">
        <w:rPr>
          <w:rFonts w:cs="Tahoma"/>
        </w:rPr>
        <w:t xml:space="preserve">looking after children aged </w:t>
      </w:r>
      <w:r w:rsidR="00E35DDC">
        <w:rPr>
          <w:rFonts w:cs="Tahoma"/>
        </w:rPr>
        <w:t>two</w:t>
      </w:r>
      <w:r w:rsidR="00731446">
        <w:rPr>
          <w:rFonts w:cs="Tahoma"/>
        </w:rPr>
        <w:t xml:space="preserve"> and over. </w:t>
      </w:r>
      <w:r w:rsidR="00525E0A">
        <w:rPr>
          <w:rFonts w:cs="Tahoma"/>
        </w:rPr>
        <w:t>For more information, see</w:t>
      </w:r>
      <w:r w:rsidR="00E360EC">
        <w:rPr>
          <w:rFonts w:cs="Tahoma"/>
        </w:rPr>
        <w:t xml:space="preserve"> the ‘</w:t>
      </w:r>
      <w:hyperlink w:anchor="_Early_years_provision" w:history="1">
        <w:r w:rsidR="00E360EC" w:rsidRPr="00322B06">
          <w:rPr>
            <w:rStyle w:val="Hyperlink"/>
            <w:rFonts w:cs="Tahoma"/>
          </w:rPr>
          <w:t>Early years provision in the schools sector</w:t>
        </w:r>
      </w:hyperlink>
      <w:r w:rsidR="00E360EC">
        <w:rPr>
          <w:rFonts w:cs="Tahoma"/>
        </w:rPr>
        <w:t>’ section of this document.</w:t>
      </w:r>
      <w:r w:rsidR="00972B5B">
        <w:rPr>
          <w:rFonts w:cs="Tahoma"/>
        </w:rPr>
        <w:t xml:space="preserve"> </w:t>
      </w:r>
    </w:p>
    <w:p w14:paraId="031581C1" w14:textId="77777777" w:rsidR="00C335D5" w:rsidRPr="009A3C3D" w:rsidRDefault="00C335D5" w:rsidP="00C335D5"/>
    <w:p w14:paraId="7F6B96BB" w14:textId="31BBE838" w:rsidR="00010009" w:rsidRDefault="00F0253C" w:rsidP="00F0253C">
      <w:r>
        <w:rPr>
          <w:color w:val="FF0000"/>
        </w:rPr>
        <w:br/>
      </w:r>
    </w:p>
    <w:p w14:paraId="10C8691D" w14:textId="77777777" w:rsidR="00010009" w:rsidRDefault="00010009">
      <w:r>
        <w:br w:type="page"/>
      </w:r>
    </w:p>
    <w:p w14:paraId="5D828D93" w14:textId="4EDCA006" w:rsidR="00F0253C" w:rsidRDefault="00E17878" w:rsidP="00FB5731">
      <w:pPr>
        <w:pStyle w:val="Heading1"/>
        <w:tabs>
          <w:tab w:val="center" w:pos="4815"/>
        </w:tabs>
      </w:pPr>
      <w:bookmarkStart w:id="29" w:name="_Toc2336327"/>
      <w:bookmarkStart w:id="30" w:name="_Toc2348747"/>
      <w:r w:rsidRPr="00E17878">
        <w:lastRenderedPageBreak/>
        <w:t>Number of providers</w:t>
      </w:r>
      <w:bookmarkEnd w:id="29"/>
      <w:bookmarkEnd w:id="30"/>
      <w:r w:rsidR="00FB5731">
        <w:tab/>
      </w:r>
    </w:p>
    <w:p w14:paraId="747E342A" w14:textId="77777777" w:rsidR="00FB5731" w:rsidRPr="00AA1CAE" w:rsidRDefault="00FB5731" w:rsidP="00FB5731">
      <w:pPr>
        <w:rPr>
          <w:rFonts w:cs="Tahoma"/>
          <w:b/>
        </w:rPr>
      </w:pPr>
      <w:r w:rsidRPr="00AA1CAE">
        <w:rPr>
          <w:rFonts w:cs="Tahoma"/>
          <w:b/>
        </w:rPr>
        <w:t>Changes in provider numbers, by provider type</w:t>
      </w:r>
    </w:p>
    <w:p w14:paraId="28A42173" w14:textId="7E6D4483" w:rsidR="00E17878" w:rsidRPr="001F0DC6" w:rsidRDefault="00E17878" w:rsidP="00E17878">
      <w:pPr>
        <w:rPr>
          <w:rFonts w:cs="Tahoma"/>
        </w:rPr>
      </w:pPr>
      <w:r w:rsidRPr="00AA1CAE">
        <w:rPr>
          <w:rFonts w:cs="Tahoma"/>
        </w:rPr>
        <w:t xml:space="preserve">There </w:t>
      </w:r>
      <w:r w:rsidRPr="00322687">
        <w:rPr>
          <w:rFonts w:cs="Tahoma"/>
        </w:rPr>
        <w:t xml:space="preserve">were </w:t>
      </w:r>
      <w:r w:rsidR="00365501" w:rsidRPr="00322687">
        <w:rPr>
          <w:rFonts w:cs="Tahoma"/>
        </w:rPr>
        <w:t>7</w:t>
      </w:r>
      <w:r w:rsidR="00322687" w:rsidRPr="00322687">
        <w:rPr>
          <w:rFonts w:cs="Tahoma"/>
        </w:rPr>
        <w:t>6</w:t>
      </w:r>
      <w:r w:rsidR="00AA1CAE" w:rsidRPr="00322687">
        <w:rPr>
          <w:rFonts w:cs="Tahoma"/>
        </w:rPr>
        <w:t>,</w:t>
      </w:r>
      <w:r w:rsidR="00322687" w:rsidRPr="00322687">
        <w:rPr>
          <w:rFonts w:cs="Tahoma"/>
        </w:rPr>
        <w:t>6</w:t>
      </w:r>
      <w:r w:rsidR="00365501" w:rsidRPr="00322687">
        <w:rPr>
          <w:rFonts w:cs="Tahoma"/>
        </w:rPr>
        <w:t>00</w:t>
      </w:r>
      <w:r w:rsidRPr="00322687">
        <w:rPr>
          <w:rFonts w:cs="Tahoma"/>
        </w:rPr>
        <w:t xml:space="preserve"> childcare providers</w:t>
      </w:r>
      <w:r w:rsidRPr="001F0DC6">
        <w:rPr>
          <w:rFonts w:cs="Tahoma"/>
        </w:rPr>
        <w:t xml:space="preserve"> registered with Ofsted </w:t>
      </w:r>
      <w:r w:rsidRPr="00A9735B">
        <w:rPr>
          <w:rFonts w:cs="Tahoma"/>
        </w:rPr>
        <w:t xml:space="preserve">on 31 </w:t>
      </w:r>
      <w:r w:rsidR="00A9735B" w:rsidRPr="00A9735B">
        <w:rPr>
          <w:rFonts w:cs="Tahoma"/>
        </w:rPr>
        <w:t>March 2019</w:t>
      </w:r>
      <w:r w:rsidR="00C15D45" w:rsidRPr="00A9735B">
        <w:rPr>
          <w:rFonts w:cs="Tahoma"/>
        </w:rPr>
        <w:t>,</w:t>
      </w:r>
      <w:r w:rsidR="00183E19" w:rsidRPr="00183E19">
        <w:rPr>
          <w:rFonts w:cs="Tahoma"/>
        </w:rPr>
        <w:t xml:space="preserve"> </w:t>
      </w:r>
      <w:r w:rsidR="00183E19" w:rsidRPr="003A36D8">
        <w:rPr>
          <w:rFonts w:cs="Tahoma"/>
        </w:rPr>
        <w:t xml:space="preserve">down by </w:t>
      </w:r>
      <w:r w:rsidR="00C5395C" w:rsidRPr="00E54456">
        <w:rPr>
          <w:rFonts w:cs="Tahoma"/>
        </w:rPr>
        <w:t>1</w:t>
      </w:r>
      <w:r w:rsidR="00AA1CAE" w:rsidRPr="00E54456">
        <w:rPr>
          <w:rFonts w:cs="Tahoma"/>
        </w:rPr>
        <w:t>% (</w:t>
      </w:r>
      <w:r w:rsidR="00E54456" w:rsidRPr="00E54456">
        <w:rPr>
          <w:rFonts w:cs="Tahoma"/>
        </w:rPr>
        <w:t>600</w:t>
      </w:r>
      <w:r w:rsidR="00183E19" w:rsidRPr="00E54456">
        <w:rPr>
          <w:rFonts w:cs="Tahoma"/>
        </w:rPr>
        <w:t xml:space="preserve">) </w:t>
      </w:r>
      <w:r w:rsidRPr="00E54456">
        <w:rPr>
          <w:rFonts w:cs="Tahoma"/>
        </w:rPr>
        <w:t xml:space="preserve">since 31 </w:t>
      </w:r>
      <w:r w:rsidR="00E54456" w:rsidRPr="00E54456">
        <w:rPr>
          <w:rFonts w:cs="Tahoma"/>
        </w:rPr>
        <w:t>December</w:t>
      </w:r>
      <w:r w:rsidR="00BF26F5" w:rsidRPr="00E54456">
        <w:rPr>
          <w:rFonts w:cs="Tahoma"/>
        </w:rPr>
        <w:t xml:space="preserve"> 2018</w:t>
      </w:r>
      <w:bookmarkStart w:id="31" w:name="_Ref517186245"/>
      <w:r w:rsidR="009C7F7C" w:rsidRPr="00E54456">
        <w:rPr>
          <w:rStyle w:val="FootnoteReference"/>
          <w:rFonts w:cs="Tahoma"/>
        </w:rPr>
        <w:footnoteReference w:id="2"/>
      </w:r>
      <w:bookmarkEnd w:id="31"/>
      <w:r w:rsidR="00C15D45" w:rsidRPr="00E54456">
        <w:rPr>
          <w:rFonts w:cs="Tahoma"/>
        </w:rPr>
        <w:t>.</w:t>
      </w:r>
      <w:r w:rsidRPr="00AA1CAE">
        <w:rPr>
          <w:rFonts w:cs="Tahoma"/>
        </w:rPr>
        <w:t xml:space="preserve"> </w:t>
      </w:r>
      <w:r w:rsidR="00556F14">
        <w:rPr>
          <w:rFonts w:cs="Tahoma"/>
        </w:rPr>
        <w:t xml:space="preserve">Since </w:t>
      </w:r>
      <w:r w:rsidR="00332021">
        <w:rPr>
          <w:rFonts w:cs="Tahoma"/>
        </w:rPr>
        <w:t>31 August 2015</w:t>
      </w:r>
      <w:r w:rsidR="00556F14">
        <w:rPr>
          <w:rFonts w:cs="Tahoma"/>
        </w:rPr>
        <w:t xml:space="preserve">, the number of providers has </w:t>
      </w:r>
      <w:r w:rsidR="00556F14" w:rsidRPr="00780B04">
        <w:rPr>
          <w:rFonts w:cs="Tahoma"/>
        </w:rPr>
        <w:t>fallen by 1</w:t>
      </w:r>
      <w:r w:rsidR="00780B04" w:rsidRPr="00780B04">
        <w:rPr>
          <w:rFonts w:cs="Tahoma"/>
        </w:rPr>
        <w:t>2</w:t>
      </w:r>
      <w:r w:rsidR="00556F14" w:rsidRPr="00780B04">
        <w:rPr>
          <w:rFonts w:cs="Tahoma"/>
        </w:rPr>
        <w:t>%</w:t>
      </w:r>
      <w:r w:rsidR="001656B5">
        <w:rPr>
          <w:rFonts w:cs="Tahoma"/>
        </w:rPr>
        <w:t xml:space="preserve">, although </w:t>
      </w:r>
      <w:r w:rsidR="0083396E">
        <w:rPr>
          <w:rFonts w:cs="Tahoma"/>
        </w:rPr>
        <w:t>number</w:t>
      </w:r>
      <w:r w:rsidR="0006239B">
        <w:rPr>
          <w:rFonts w:cs="Tahoma"/>
        </w:rPr>
        <w:t>s</w:t>
      </w:r>
      <w:r w:rsidR="0083396E">
        <w:rPr>
          <w:rFonts w:cs="Tahoma"/>
        </w:rPr>
        <w:t xml:space="preserve"> ha</w:t>
      </w:r>
      <w:r w:rsidR="0006239B">
        <w:rPr>
          <w:rFonts w:cs="Tahoma"/>
        </w:rPr>
        <w:t>ve</w:t>
      </w:r>
      <w:r w:rsidR="0083396E">
        <w:rPr>
          <w:rFonts w:cs="Tahoma"/>
        </w:rPr>
        <w:t xml:space="preserve"> been falling</w:t>
      </w:r>
      <w:r w:rsidR="002636AE">
        <w:rPr>
          <w:rFonts w:cs="Tahoma"/>
        </w:rPr>
        <w:t xml:space="preserve"> </w:t>
      </w:r>
      <w:r w:rsidR="0068163A">
        <w:rPr>
          <w:rFonts w:cs="Tahoma"/>
        </w:rPr>
        <w:t>over a much longer period</w:t>
      </w:r>
      <w:r w:rsidR="00CA511D">
        <w:rPr>
          <w:rStyle w:val="FootnoteReference"/>
          <w:rFonts w:cs="Tahoma"/>
        </w:rPr>
        <w:footnoteReference w:id="3"/>
      </w:r>
      <w:r w:rsidR="00556F14" w:rsidRPr="00780B04">
        <w:rPr>
          <w:rFonts w:cs="Tahoma"/>
        </w:rPr>
        <w:t>.</w:t>
      </w:r>
      <w:r w:rsidR="00556F14">
        <w:rPr>
          <w:rFonts w:cs="Tahoma"/>
        </w:rPr>
        <w:t xml:space="preserve"> </w:t>
      </w:r>
      <w:r w:rsidR="00674E0C">
        <w:rPr>
          <w:rFonts w:cs="Tahoma"/>
        </w:rPr>
        <w:t>Most of this overall decrease is due to a substantial fall in the number of childminders.</w:t>
      </w:r>
      <w:r w:rsidR="00556F14">
        <w:rPr>
          <w:rFonts w:cs="Tahoma"/>
        </w:rPr>
        <w:t xml:space="preserve"> </w:t>
      </w:r>
    </w:p>
    <w:p w14:paraId="3BA40BB9" w14:textId="77777777" w:rsidR="00E17878" w:rsidRPr="00D55A70" w:rsidRDefault="00E17878" w:rsidP="00E17878">
      <w:pPr>
        <w:rPr>
          <w:rFonts w:cs="Tahoma"/>
        </w:rPr>
      </w:pPr>
    </w:p>
    <w:p w14:paraId="1F6294F8" w14:textId="29C9844C" w:rsidR="00E17878" w:rsidRPr="00C16FC5" w:rsidRDefault="00E17878" w:rsidP="00E21F8C">
      <w:pPr>
        <w:numPr>
          <w:ilvl w:val="0"/>
          <w:numId w:val="9"/>
        </w:numPr>
        <w:rPr>
          <w:rFonts w:cs="Tahoma"/>
        </w:rPr>
      </w:pPr>
      <w:r w:rsidRPr="008F1906">
        <w:rPr>
          <w:rFonts w:cs="Tahoma"/>
          <w:b/>
        </w:rPr>
        <w:t>Childminders</w:t>
      </w:r>
      <w:r w:rsidRPr="00B20FDF">
        <w:rPr>
          <w:rFonts w:cs="Tahoma"/>
          <w:b/>
        </w:rPr>
        <w:t>:</w:t>
      </w:r>
      <w:r w:rsidRPr="00B20FDF">
        <w:rPr>
          <w:rFonts w:cs="Tahoma"/>
        </w:rPr>
        <w:t xml:space="preserve"> </w:t>
      </w:r>
      <w:r w:rsidR="00AA1CAE" w:rsidRPr="00B20FDF">
        <w:rPr>
          <w:rFonts w:cs="Tahoma"/>
        </w:rPr>
        <w:t>39,</w:t>
      </w:r>
      <w:r w:rsidR="008F1906" w:rsidRPr="00B20FDF">
        <w:rPr>
          <w:rFonts w:cs="Tahoma"/>
        </w:rPr>
        <w:t>0</w:t>
      </w:r>
      <w:r w:rsidR="00BE6E47" w:rsidRPr="00B20FDF">
        <w:rPr>
          <w:rFonts w:cs="Tahoma"/>
        </w:rPr>
        <w:t>00</w:t>
      </w:r>
      <w:r w:rsidRPr="00B20FDF">
        <w:rPr>
          <w:rFonts w:cs="Tahoma"/>
        </w:rPr>
        <w:t xml:space="preserve"> providers on 31 </w:t>
      </w:r>
      <w:r w:rsidR="008F1906" w:rsidRPr="00B20FDF">
        <w:rPr>
          <w:rFonts w:cs="Tahoma"/>
        </w:rPr>
        <w:t>March</w:t>
      </w:r>
      <w:r w:rsidR="0038151D" w:rsidRPr="00B20FDF">
        <w:rPr>
          <w:rFonts w:cs="Tahoma"/>
        </w:rPr>
        <w:t xml:space="preserve"> 201</w:t>
      </w:r>
      <w:r w:rsidR="008F1906" w:rsidRPr="00B20FDF">
        <w:rPr>
          <w:rFonts w:cs="Tahoma"/>
        </w:rPr>
        <w:t>9</w:t>
      </w:r>
      <w:r w:rsidRPr="00B20FDF">
        <w:rPr>
          <w:rFonts w:cs="Tahoma"/>
        </w:rPr>
        <w:t>, down</w:t>
      </w:r>
      <w:r w:rsidR="004200FF" w:rsidRPr="00B20FDF">
        <w:rPr>
          <w:rFonts w:cs="Tahoma"/>
        </w:rPr>
        <w:t xml:space="preserve"> by</w:t>
      </w:r>
      <w:r w:rsidRPr="00B20FDF">
        <w:rPr>
          <w:rFonts w:cs="Tahoma"/>
        </w:rPr>
        <w:t xml:space="preserve"> </w:t>
      </w:r>
      <w:r w:rsidR="00B20FDF" w:rsidRPr="00B20FDF">
        <w:rPr>
          <w:rFonts w:cs="Tahoma"/>
        </w:rPr>
        <w:t>800</w:t>
      </w:r>
      <w:r w:rsidRPr="00B20FDF">
        <w:rPr>
          <w:rFonts w:cs="Tahoma"/>
        </w:rPr>
        <w:t xml:space="preserve"> since 31 </w:t>
      </w:r>
      <w:r w:rsidR="00B20FDF" w:rsidRPr="005C1671">
        <w:rPr>
          <w:rFonts w:cs="Tahoma"/>
        </w:rPr>
        <w:t>December</w:t>
      </w:r>
      <w:r w:rsidR="00BF26F5" w:rsidRPr="005C1671">
        <w:rPr>
          <w:rFonts w:cs="Tahoma"/>
        </w:rPr>
        <w:t xml:space="preserve"> 2018</w:t>
      </w:r>
      <w:r w:rsidRPr="005C1671">
        <w:rPr>
          <w:rFonts w:cs="Tahoma"/>
        </w:rPr>
        <w:t xml:space="preserve">. This continues a downward trend, with </w:t>
      </w:r>
      <w:r w:rsidR="00674E0C">
        <w:rPr>
          <w:rFonts w:cs="Tahoma"/>
        </w:rPr>
        <w:t>9,000 (</w:t>
      </w:r>
      <w:r w:rsidR="00D55A70" w:rsidRPr="005C1671">
        <w:rPr>
          <w:rFonts w:cs="Tahoma"/>
        </w:rPr>
        <w:t>1</w:t>
      </w:r>
      <w:r w:rsidR="005C1671" w:rsidRPr="005C1671">
        <w:rPr>
          <w:rFonts w:cs="Tahoma"/>
        </w:rPr>
        <w:t>9</w:t>
      </w:r>
      <w:r w:rsidRPr="005C1671">
        <w:rPr>
          <w:rFonts w:cs="Tahoma"/>
        </w:rPr>
        <w:t>%</w:t>
      </w:r>
      <w:r w:rsidR="00674E0C">
        <w:rPr>
          <w:rFonts w:cs="Tahoma"/>
        </w:rPr>
        <w:t>)</w:t>
      </w:r>
      <w:r w:rsidRPr="005C1671">
        <w:rPr>
          <w:rFonts w:cs="Tahoma"/>
        </w:rPr>
        <w:t xml:space="preserve"> fewer providers than</w:t>
      </w:r>
      <w:r w:rsidR="00B64914" w:rsidRPr="005C1671">
        <w:rPr>
          <w:rFonts w:cs="Tahoma"/>
        </w:rPr>
        <w:t xml:space="preserve"> on 3</w:t>
      </w:r>
      <w:r w:rsidRPr="005C1671">
        <w:rPr>
          <w:rFonts w:cs="Tahoma"/>
        </w:rPr>
        <w:t>1 August 201</w:t>
      </w:r>
      <w:r w:rsidR="00D55A70" w:rsidRPr="005C1671">
        <w:rPr>
          <w:rFonts w:cs="Tahoma"/>
        </w:rPr>
        <w:t>5</w:t>
      </w:r>
      <w:r w:rsidRPr="005C1671">
        <w:rPr>
          <w:rFonts w:cs="Tahoma"/>
        </w:rPr>
        <w:t>.</w:t>
      </w:r>
    </w:p>
    <w:p w14:paraId="23F9C2FD" w14:textId="77777777" w:rsidR="00E17878" w:rsidRPr="00C16FC5" w:rsidRDefault="00E17878" w:rsidP="00E17878">
      <w:pPr>
        <w:ind w:left="720"/>
        <w:rPr>
          <w:rFonts w:cs="Tahoma"/>
        </w:rPr>
      </w:pPr>
    </w:p>
    <w:p w14:paraId="3FBA3608" w14:textId="56BAE219" w:rsidR="00E17878" w:rsidRPr="00C16FC5" w:rsidRDefault="00E17878" w:rsidP="00E21F8C">
      <w:pPr>
        <w:numPr>
          <w:ilvl w:val="0"/>
          <w:numId w:val="9"/>
        </w:numPr>
        <w:rPr>
          <w:rFonts w:cs="Tahoma"/>
        </w:rPr>
      </w:pPr>
      <w:r w:rsidRPr="00D55A70">
        <w:rPr>
          <w:rFonts w:cs="Tahoma"/>
          <w:b/>
        </w:rPr>
        <w:t xml:space="preserve">Childcare on non-domestic </w:t>
      </w:r>
      <w:r w:rsidRPr="005827B5">
        <w:rPr>
          <w:rFonts w:cs="Tahoma"/>
          <w:b/>
        </w:rPr>
        <w:t>premises:</w:t>
      </w:r>
      <w:r w:rsidRPr="005827B5">
        <w:rPr>
          <w:rFonts w:cs="Tahoma"/>
        </w:rPr>
        <w:t xml:space="preserve"> </w:t>
      </w:r>
      <w:r w:rsidR="00D55A70" w:rsidRPr="005827B5">
        <w:rPr>
          <w:rFonts w:cs="Tahoma"/>
        </w:rPr>
        <w:t>27,</w:t>
      </w:r>
      <w:r w:rsidR="005827B5" w:rsidRPr="005827B5">
        <w:rPr>
          <w:rFonts w:cs="Tahoma"/>
        </w:rPr>
        <w:t>3</w:t>
      </w:r>
      <w:r w:rsidR="00BE6E47" w:rsidRPr="005827B5">
        <w:rPr>
          <w:rFonts w:cs="Tahoma"/>
        </w:rPr>
        <w:t>00</w:t>
      </w:r>
      <w:r w:rsidRPr="005827B5">
        <w:rPr>
          <w:rFonts w:cs="Tahoma"/>
        </w:rPr>
        <w:t xml:space="preserve"> providers on 31 </w:t>
      </w:r>
      <w:r w:rsidR="005827B5" w:rsidRPr="005827B5">
        <w:rPr>
          <w:rFonts w:cs="Tahoma"/>
        </w:rPr>
        <w:t>March 2019</w:t>
      </w:r>
      <w:r w:rsidRPr="005827B5">
        <w:rPr>
          <w:rFonts w:cs="Tahoma"/>
        </w:rPr>
        <w:t xml:space="preserve">, </w:t>
      </w:r>
      <w:r w:rsidR="0047714D">
        <w:rPr>
          <w:rFonts w:cs="Tahoma"/>
        </w:rPr>
        <w:t>up by</w:t>
      </w:r>
      <w:r w:rsidR="00CB6FDC" w:rsidRPr="005827B5">
        <w:rPr>
          <w:rFonts w:cs="Tahoma"/>
        </w:rPr>
        <w:t xml:space="preserve"> fewer than </w:t>
      </w:r>
      <w:r w:rsidR="00A84112" w:rsidRPr="005827B5">
        <w:rPr>
          <w:rFonts w:cs="Tahoma"/>
        </w:rPr>
        <w:t>100</w:t>
      </w:r>
      <w:r w:rsidR="00D55A70" w:rsidRPr="005827B5">
        <w:rPr>
          <w:rFonts w:cs="Tahoma"/>
        </w:rPr>
        <w:t xml:space="preserve"> providers</w:t>
      </w:r>
      <w:r w:rsidR="004D1860" w:rsidRPr="005827B5">
        <w:rPr>
          <w:rFonts w:cs="Tahoma"/>
        </w:rPr>
        <w:t xml:space="preserve"> </w:t>
      </w:r>
      <w:r w:rsidRPr="005827B5">
        <w:rPr>
          <w:rFonts w:cs="Tahoma"/>
        </w:rPr>
        <w:t xml:space="preserve">since 31 </w:t>
      </w:r>
      <w:r w:rsidR="00A84112" w:rsidRPr="005827B5">
        <w:rPr>
          <w:rFonts w:cs="Tahoma"/>
        </w:rPr>
        <w:t>December</w:t>
      </w:r>
      <w:r w:rsidR="00BF26F5" w:rsidRPr="005827B5">
        <w:rPr>
          <w:rFonts w:cs="Tahoma"/>
        </w:rPr>
        <w:t xml:space="preserve"> 2018</w:t>
      </w:r>
      <w:r w:rsidRPr="005827B5">
        <w:rPr>
          <w:rFonts w:cs="Tahoma"/>
        </w:rPr>
        <w:t xml:space="preserve">. Numbers are fairly stable over time, having decreased by just </w:t>
      </w:r>
      <w:r w:rsidR="00D55A70" w:rsidRPr="005827B5">
        <w:rPr>
          <w:rFonts w:cs="Tahoma"/>
        </w:rPr>
        <w:t>1</w:t>
      </w:r>
      <w:r w:rsidRPr="005827B5">
        <w:rPr>
          <w:rFonts w:cs="Tahoma"/>
        </w:rPr>
        <w:t>% since</w:t>
      </w:r>
      <w:r w:rsidRPr="00D55A70">
        <w:rPr>
          <w:rFonts w:cs="Tahoma"/>
        </w:rPr>
        <w:t xml:space="preserve"> </w:t>
      </w:r>
      <w:r w:rsidR="00D55A70" w:rsidRPr="00D55A70">
        <w:rPr>
          <w:rFonts w:cs="Tahoma"/>
        </w:rPr>
        <w:t>31 August 2015</w:t>
      </w:r>
      <w:r w:rsidRPr="00D55A70">
        <w:rPr>
          <w:rFonts w:cs="Tahoma"/>
        </w:rPr>
        <w:t>.</w:t>
      </w:r>
    </w:p>
    <w:p w14:paraId="65B7ADBE" w14:textId="77777777" w:rsidR="00E17878" w:rsidRPr="001638CF" w:rsidRDefault="00E17878" w:rsidP="00E17878">
      <w:pPr>
        <w:pStyle w:val="ListParagraph"/>
        <w:rPr>
          <w:rFonts w:cs="Tahoma"/>
        </w:rPr>
      </w:pPr>
    </w:p>
    <w:p w14:paraId="52912DE2" w14:textId="35780FF6" w:rsidR="00E17878" w:rsidRDefault="00E17878" w:rsidP="00E21F8C">
      <w:pPr>
        <w:numPr>
          <w:ilvl w:val="0"/>
          <w:numId w:val="9"/>
        </w:numPr>
        <w:rPr>
          <w:rFonts w:cs="Tahoma"/>
        </w:rPr>
      </w:pPr>
      <w:r w:rsidRPr="0003306E">
        <w:rPr>
          <w:rFonts w:cs="Tahoma"/>
          <w:b/>
        </w:rPr>
        <w:t>Home childcarers:</w:t>
      </w:r>
      <w:r w:rsidRPr="0003306E">
        <w:rPr>
          <w:rFonts w:cs="Tahoma"/>
        </w:rPr>
        <w:t xml:space="preserve"> </w:t>
      </w:r>
      <w:r w:rsidR="005329FF" w:rsidRPr="0003306E">
        <w:rPr>
          <w:rFonts w:cs="Tahoma"/>
        </w:rPr>
        <w:t>10,</w:t>
      </w:r>
      <w:r w:rsidR="00025044" w:rsidRPr="0003306E">
        <w:rPr>
          <w:rFonts w:cs="Tahoma"/>
        </w:rPr>
        <w:t>1</w:t>
      </w:r>
      <w:r w:rsidR="00BE6E47" w:rsidRPr="0003306E">
        <w:rPr>
          <w:rFonts w:cs="Tahoma"/>
        </w:rPr>
        <w:t>00</w:t>
      </w:r>
      <w:r w:rsidRPr="0003306E">
        <w:rPr>
          <w:rFonts w:cs="Tahoma"/>
        </w:rPr>
        <w:t xml:space="preserve"> providers on 31 </w:t>
      </w:r>
      <w:r w:rsidR="00025044" w:rsidRPr="0003306E">
        <w:rPr>
          <w:rFonts w:cs="Tahoma"/>
        </w:rPr>
        <w:t>March</w:t>
      </w:r>
      <w:r w:rsidR="0038151D" w:rsidRPr="0003306E">
        <w:rPr>
          <w:rFonts w:cs="Tahoma"/>
        </w:rPr>
        <w:t xml:space="preserve"> 201</w:t>
      </w:r>
      <w:r w:rsidR="00025044" w:rsidRPr="0003306E">
        <w:rPr>
          <w:rFonts w:cs="Tahoma"/>
        </w:rPr>
        <w:t>9</w:t>
      </w:r>
      <w:r w:rsidRPr="0003306E">
        <w:rPr>
          <w:rFonts w:cs="Tahoma"/>
        </w:rPr>
        <w:t xml:space="preserve">, </w:t>
      </w:r>
      <w:r w:rsidR="00FC6C63" w:rsidRPr="0003306E">
        <w:rPr>
          <w:rFonts w:cs="Tahoma"/>
        </w:rPr>
        <w:t>an increase of fewer than 100</w:t>
      </w:r>
      <w:r w:rsidR="005329FF" w:rsidRPr="0003306E">
        <w:rPr>
          <w:rFonts w:cs="Tahoma"/>
        </w:rPr>
        <w:t xml:space="preserve"> </w:t>
      </w:r>
      <w:r w:rsidRPr="0003306E">
        <w:rPr>
          <w:rFonts w:cs="Tahoma"/>
        </w:rPr>
        <w:t xml:space="preserve">since 31 </w:t>
      </w:r>
      <w:r w:rsidR="0003306E" w:rsidRPr="0003306E">
        <w:rPr>
          <w:rFonts w:cs="Tahoma"/>
        </w:rPr>
        <w:t>December</w:t>
      </w:r>
      <w:r w:rsidR="00BF26F5" w:rsidRPr="0003306E">
        <w:rPr>
          <w:rFonts w:cs="Tahoma"/>
        </w:rPr>
        <w:t xml:space="preserve"> 2018</w:t>
      </w:r>
      <w:r w:rsidRPr="0003306E">
        <w:rPr>
          <w:rFonts w:cs="Tahoma"/>
        </w:rPr>
        <w:t>.</w:t>
      </w:r>
      <w:r w:rsidR="00453669">
        <w:rPr>
          <w:rFonts w:cs="Tahoma"/>
        </w:rPr>
        <w:t xml:space="preserve"> </w:t>
      </w:r>
      <w:r w:rsidR="00336E2F" w:rsidRPr="0003306E">
        <w:rPr>
          <w:rFonts w:cs="Tahoma"/>
        </w:rPr>
        <w:t xml:space="preserve">Although </w:t>
      </w:r>
      <w:r w:rsidR="00674E0C">
        <w:rPr>
          <w:rFonts w:cs="Tahoma"/>
        </w:rPr>
        <w:t>the</w:t>
      </w:r>
      <w:r w:rsidR="00336E2F" w:rsidRPr="0003306E">
        <w:rPr>
          <w:rFonts w:cs="Tahoma"/>
        </w:rPr>
        <w:t xml:space="preserve"> </w:t>
      </w:r>
      <w:r w:rsidR="00DF3567" w:rsidRPr="0003306E">
        <w:rPr>
          <w:rFonts w:cs="Tahoma"/>
        </w:rPr>
        <w:t>n</w:t>
      </w:r>
      <w:r w:rsidR="00BD4442" w:rsidRPr="0003306E">
        <w:rPr>
          <w:rFonts w:cs="Tahoma"/>
        </w:rPr>
        <w:t xml:space="preserve">umber </w:t>
      </w:r>
      <w:r w:rsidR="00F12BBC" w:rsidRPr="0003306E">
        <w:rPr>
          <w:rFonts w:cs="Tahoma"/>
        </w:rPr>
        <w:t xml:space="preserve">of home childcarers </w:t>
      </w:r>
      <w:r w:rsidR="00674E0C" w:rsidRPr="0003306E">
        <w:rPr>
          <w:rFonts w:cs="Tahoma"/>
        </w:rPr>
        <w:t>ha</w:t>
      </w:r>
      <w:r w:rsidR="00674E0C">
        <w:rPr>
          <w:rFonts w:cs="Tahoma"/>
        </w:rPr>
        <w:t>s</w:t>
      </w:r>
      <w:r w:rsidR="00674E0C" w:rsidRPr="0003306E">
        <w:rPr>
          <w:rFonts w:cs="Tahoma"/>
        </w:rPr>
        <w:t xml:space="preserve"> </w:t>
      </w:r>
      <w:r w:rsidR="00BD4442" w:rsidRPr="0003306E">
        <w:rPr>
          <w:rFonts w:cs="Tahoma"/>
        </w:rPr>
        <w:t>fluctuated</w:t>
      </w:r>
      <w:r w:rsidR="00DF3567" w:rsidRPr="0003306E">
        <w:rPr>
          <w:rFonts w:cs="Tahoma"/>
        </w:rPr>
        <w:t xml:space="preserve"> </w:t>
      </w:r>
      <w:r w:rsidR="004A16EC" w:rsidRPr="0003306E">
        <w:rPr>
          <w:rFonts w:cs="Tahoma"/>
        </w:rPr>
        <w:t>over time</w:t>
      </w:r>
      <w:r w:rsidR="00F6142C" w:rsidRPr="0003306E">
        <w:rPr>
          <w:rFonts w:cs="Tahoma"/>
        </w:rPr>
        <w:t xml:space="preserve">, </w:t>
      </w:r>
      <w:r w:rsidR="00B758FC" w:rsidRPr="0003306E">
        <w:rPr>
          <w:rFonts w:cs="Tahoma"/>
        </w:rPr>
        <w:t>the</w:t>
      </w:r>
      <w:r w:rsidR="00B758FC">
        <w:rPr>
          <w:rFonts w:cs="Tahoma"/>
        </w:rPr>
        <w:t>re</w:t>
      </w:r>
      <w:r w:rsidR="00B758FC" w:rsidRPr="0003306E">
        <w:rPr>
          <w:rFonts w:cs="Tahoma"/>
        </w:rPr>
        <w:t xml:space="preserve"> </w:t>
      </w:r>
      <w:r w:rsidR="004A16EC" w:rsidRPr="0003306E">
        <w:rPr>
          <w:rFonts w:cs="Tahoma"/>
        </w:rPr>
        <w:t>are now</w:t>
      </w:r>
      <w:r w:rsidR="00B53566" w:rsidRPr="0003306E">
        <w:rPr>
          <w:rFonts w:cs="Tahoma"/>
        </w:rPr>
        <w:t xml:space="preserve"> 1</w:t>
      </w:r>
      <w:r w:rsidR="0003306E" w:rsidRPr="0003306E">
        <w:rPr>
          <w:rFonts w:cs="Tahoma"/>
        </w:rPr>
        <w:t>1</w:t>
      </w:r>
      <w:r w:rsidR="00B53566" w:rsidRPr="0003306E">
        <w:rPr>
          <w:rFonts w:cs="Tahoma"/>
        </w:rPr>
        <w:t xml:space="preserve">% </w:t>
      </w:r>
      <w:r w:rsidR="00B758FC">
        <w:rPr>
          <w:rFonts w:cs="Tahoma"/>
        </w:rPr>
        <w:t>fewer</w:t>
      </w:r>
      <w:r w:rsidR="00B758FC" w:rsidRPr="0003306E">
        <w:rPr>
          <w:rFonts w:cs="Tahoma"/>
        </w:rPr>
        <w:t xml:space="preserve"> </w:t>
      </w:r>
      <w:r w:rsidR="00B53566" w:rsidRPr="0003306E">
        <w:rPr>
          <w:rFonts w:cs="Tahoma"/>
        </w:rPr>
        <w:t xml:space="preserve">than </w:t>
      </w:r>
      <w:r w:rsidR="00B758FC" w:rsidRPr="0003306E">
        <w:rPr>
          <w:rFonts w:cs="Tahoma"/>
        </w:rPr>
        <w:t>the</w:t>
      </w:r>
      <w:r w:rsidR="00B758FC">
        <w:rPr>
          <w:rFonts w:cs="Tahoma"/>
        </w:rPr>
        <w:t xml:space="preserve">re </w:t>
      </w:r>
      <w:r w:rsidR="004A16EC">
        <w:rPr>
          <w:rFonts w:cs="Tahoma"/>
        </w:rPr>
        <w:t>were on</w:t>
      </w:r>
      <w:r w:rsidR="00B53566">
        <w:rPr>
          <w:rFonts w:cs="Tahoma"/>
        </w:rPr>
        <w:t xml:space="preserve"> 31 August 2015.</w:t>
      </w:r>
      <w:r w:rsidR="005B7C90">
        <w:rPr>
          <w:rFonts w:cs="Tahoma"/>
        </w:rPr>
        <w:t xml:space="preserve"> </w:t>
      </w:r>
    </w:p>
    <w:p w14:paraId="269A2B78" w14:textId="77777777" w:rsidR="008A55E5" w:rsidRPr="00FB5731" w:rsidRDefault="008A55E5" w:rsidP="008A55E5">
      <w:pPr>
        <w:pStyle w:val="ListParagraph"/>
        <w:rPr>
          <w:rFonts w:cs="Tahoma"/>
          <w:b/>
        </w:rPr>
      </w:pPr>
    </w:p>
    <w:p w14:paraId="60E1D321" w14:textId="369680B8" w:rsidR="00337614" w:rsidRDefault="0066319B" w:rsidP="00135974">
      <w:pPr>
        <w:numPr>
          <w:ilvl w:val="0"/>
          <w:numId w:val="9"/>
        </w:numPr>
        <w:rPr>
          <w:rFonts w:cs="Tahoma"/>
        </w:rPr>
      </w:pPr>
      <w:r w:rsidRPr="004E2735">
        <w:rPr>
          <w:rFonts w:cs="Tahoma"/>
          <w:b/>
        </w:rPr>
        <w:t>Childcare</w:t>
      </w:r>
      <w:r w:rsidR="008A55E5" w:rsidRPr="004E2735">
        <w:rPr>
          <w:rFonts w:cs="Tahoma"/>
          <w:b/>
        </w:rPr>
        <w:t xml:space="preserve"> on domestic premises:</w:t>
      </w:r>
      <w:r w:rsidR="003C7593" w:rsidRPr="004E2735">
        <w:rPr>
          <w:rFonts w:cs="Tahoma"/>
        </w:rPr>
        <w:t xml:space="preserve"> 200 </w:t>
      </w:r>
      <w:r w:rsidR="00A43D2C" w:rsidRPr="004E2735">
        <w:rPr>
          <w:rFonts w:cs="Tahoma"/>
        </w:rPr>
        <w:t xml:space="preserve">providers </w:t>
      </w:r>
      <w:r w:rsidR="003C7593" w:rsidRPr="004E2735">
        <w:rPr>
          <w:rFonts w:cs="Tahoma"/>
        </w:rPr>
        <w:t xml:space="preserve">on 31 </w:t>
      </w:r>
      <w:r w:rsidR="0008597C" w:rsidRPr="004E2735">
        <w:rPr>
          <w:rFonts w:cs="Tahoma"/>
        </w:rPr>
        <w:t>March</w:t>
      </w:r>
      <w:r w:rsidR="003C7593" w:rsidRPr="004E2735">
        <w:rPr>
          <w:rFonts w:cs="Tahoma"/>
        </w:rPr>
        <w:t xml:space="preserve"> 201</w:t>
      </w:r>
      <w:r w:rsidR="0008597C" w:rsidRPr="004E2735">
        <w:rPr>
          <w:rFonts w:cs="Tahoma"/>
        </w:rPr>
        <w:t>9</w:t>
      </w:r>
      <w:r w:rsidR="003C7593" w:rsidRPr="004E2735">
        <w:rPr>
          <w:rFonts w:cs="Tahoma"/>
        </w:rPr>
        <w:t xml:space="preserve">. Due to the small numbers, these are not </w:t>
      </w:r>
      <w:r w:rsidR="003C7593" w:rsidRPr="005874ED">
        <w:rPr>
          <w:rFonts w:cs="Tahoma"/>
        </w:rPr>
        <w:t xml:space="preserve">included in </w:t>
      </w:r>
      <w:r w:rsidR="005874ED" w:rsidRPr="005874ED">
        <w:rPr>
          <w:rFonts w:cs="Tahoma"/>
        </w:rPr>
        <w:fldChar w:fldCharType="begin"/>
      </w:r>
      <w:r w:rsidR="005874ED" w:rsidRPr="005874ED">
        <w:rPr>
          <w:rFonts w:cs="Tahoma"/>
        </w:rPr>
        <w:instrText xml:space="preserve"> REF _Ref516667122 \h  \* MERGEFORMAT </w:instrText>
      </w:r>
      <w:r w:rsidR="005874ED" w:rsidRPr="005874ED">
        <w:rPr>
          <w:rFonts w:cs="Tahoma"/>
        </w:rPr>
      </w:r>
      <w:r w:rsidR="005874ED" w:rsidRPr="005874ED">
        <w:rPr>
          <w:rFonts w:cs="Tahoma"/>
        </w:rPr>
        <w:fldChar w:fldCharType="separate"/>
      </w:r>
      <w:r w:rsidR="006A56EC" w:rsidRPr="006A56EC">
        <w:t xml:space="preserve">Figure </w:t>
      </w:r>
      <w:r w:rsidR="006A56EC" w:rsidRPr="006A56EC">
        <w:rPr>
          <w:noProof/>
        </w:rPr>
        <w:t>2</w:t>
      </w:r>
      <w:r w:rsidR="005874ED" w:rsidRPr="005874ED">
        <w:rPr>
          <w:rFonts w:cs="Tahoma"/>
        </w:rPr>
        <w:fldChar w:fldCharType="end"/>
      </w:r>
      <w:r w:rsidR="003C7593" w:rsidRPr="005874ED">
        <w:rPr>
          <w:rFonts w:cs="Tahoma"/>
        </w:rPr>
        <w:t>.</w:t>
      </w:r>
      <w:r w:rsidR="008A55E5" w:rsidRPr="004E2735">
        <w:rPr>
          <w:rFonts w:cs="Tahoma"/>
        </w:rPr>
        <w:t xml:space="preserve"> </w:t>
      </w:r>
    </w:p>
    <w:p w14:paraId="76885A0E" w14:textId="77777777" w:rsidR="004E2735" w:rsidRPr="004E2735" w:rsidRDefault="004E2735" w:rsidP="001466E4">
      <w:pPr>
        <w:ind w:left="720"/>
        <w:rPr>
          <w:rFonts w:cs="Tahoma"/>
        </w:rPr>
      </w:pPr>
    </w:p>
    <w:p w14:paraId="0BA8F861" w14:textId="6B10A899" w:rsidR="00DE4548" w:rsidRDefault="00337614" w:rsidP="00DE4548">
      <w:pPr>
        <w:rPr>
          <w:noProof/>
        </w:rPr>
      </w:pPr>
      <w:bookmarkStart w:id="32" w:name="_Ref516667122"/>
      <w:r w:rsidRPr="00337614">
        <w:rPr>
          <w:b/>
          <w:sz w:val="22"/>
          <w:szCs w:val="22"/>
        </w:rPr>
        <w:t xml:space="preserve">Figure </w:t>
      </w:r>
      <w:r w:rsidR="00FD0A40">
        <w:rPr>
          <w:b/>
          <w:sz w:val="22"/>
          <w:szCs w:val="22"/>
        </w:rPr>
        <w:fldChar w:fldCharType="begin"/>
      </w:r>
      <w:r w:rsidR="00FD0A40">
        <w:rPr>
          <w:b/>
          <w:sz w:val="22"/>
          <w:szCs w:val="22"/>
        </w:rPr>
        <w:instrText xml:space="preserve"> SEQ Figure \* ARABIC </w:instrText>
      </w:r>
      <w:r w:rsidR="00FD0A40">
        <w:rPr>
          <w:b/>
          <w:sz w:val="22"/>
          <w:szCs w:val="22"/>
        </w:rPr>
        <w:fldChar w:fldCharType="separate"/>
      </w:r>
      <w:r w:rsidR="006A56EC">
        <w:rPr>
          <w:b/>
          <w:noProof/>
          <w:sz w:val="22"/>
          <w:szCs w:val="22"/>
        </w:rPr>
        <w:t>2</w:t>
      </w:r>
      <w:r w:rsidR="00FD0A40">
        <w:rPr>
          <w:b/>
          <w:sz w:val="22"/>
          <w:szCs w:val="22"/>
        </w:rPr>
        <w:fldChar w:fldCharType="end"/>
      </w:r>
      <w:bookmarkEnd w:id="32"/>
      <w:r w:rsidRPr="00337614">
        <w:rPr>
          <w:b/>
          <w:sz w:val="22"/>
          <w:szCs w:val="22"/>
        </w:rPr>
        <w:t xml:space="preserve">: </w:t>
      </w:r>
      <w:r w:rsidR="00355728">
        <w:rPr>
          <w:b/>
          <w:sz w:val="22"/>
          <w:szCs w:val="22"/>
        </w:rPr>
        <w:t>C</w:t>
      </w:r>
      <w:r w:rsidRPr="00337614">
        <w:rPr>
          <w:b/>
          <w:sz w:val="22"/>
          <w:szCs w:val="22"/>
        </w:rPr>
        <w:t>hildcare providers registered with Ofsted on any register over time, by provider type</w:t>
      </w:r>
      <w:r w:rsidR="003442F3" w:rsidRPr="003442F3">
        <w:rPr>
          <w:noProof/>
        </w:rPr>
        <w:t xml:space="preserve"> </w:t>
      </w:r>
    </w:p>
    <w:p w14:paraId="474154A1" w14:textId="657A886C" w:rsidR="00126365" w:rsidRDefault="00A725BE" w:rsidP="00713871">
      <w:pPr>
        <w:jc w:val="center"/>
        <w:rPr>
          <w:rFonts w:cs="Tahoma"/>
          <w:b/>
        </w:rPr>
      </w:pPr>
      <w:r w:rsidRPr="00A725BE">
        <w:rPr>
          <w:noProof/>
        </w:rPr>
        <w:drawing>
          <wp:inline distT="0" distB="0" distL="0" distR="0" wp14:anchorId="28D09651" wp14:editId="49AA6249">
            <wp:extent cx="4840853" cy="281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850"/>
                    <a:stretch/>
                  </pic:blipFill>
                  <pic:spPr bwMode="auto">
                    <a:xfrm>
                      <a:off x="0" y="0"/>
                      <a:ext cx="4841884" cy="2820001"/>
                    </a:xfrm>
                    <a:prstGeom prst="rect">
                      <a:avLst/>
                    </a:prstGeom>
                    <a:ln>
                      <a:noFill/>
                    </a:ln>
                    <a:extLst>
                      <a:ext uri="{53640926-AAD7-44D8-BBD7-CCE9431645EC}">
                        <a14:shadowObscured xmlns:a14="http://schemas.microsoft.com/office/drawing/2010/main"/>
                      </a:ext>
                    </a:extLst>
                  </pic:spPr>
                </pic:pic>
              </a:graphicData>
            </a:graphic>
          </wp:inline>
        </w:drawing>
      </w:r>
    </w:p>
    <w:p w14:paraId="63EA19BA" w14:textId="3F2F82AD" w:rsidR="00BB0928" w:rsidRPr="00FB5731" w:rsidRDefault="00B14819" w:rsidP="00FB5731">
      <w:pPr>
        <w:rPr>
          <w:rFonts w:cs="Tahoma"/>
          <w:b/>
        </w:rPr>
      </w:pPr>
      <w:r>
        <w:rPr>
          <w:rFonts w:cs="Tahoma"/>
          <w:b/>
        </w:rPr>
        <w:br w:type="page"/>
      </w:r>
      <w:r w:rsidR="00BB0928">
        <w:rPr>
          <w:rFonts w:cs="Tahoma"/>
          <w:b/>
        </w:rPr>
        <w:lastRenderedPageBreak/>
        <w:t>Childminder movement in the sector over time</w:t>
      </w:r>
    </w:p>
    <w:p w14:paraId="206F09B9" w14:textId="2A4D8E46" w:rsidR="00BB0928" w:rsidRDefault="00B86EAD" w:rsidP="00361B2F">
      <w:pPr>
        <w:rPr>
          <w:lang w:val="en"/>
        </w:rPr>
      </w:pPr>
      <w:r>
        <w:rPr>
          <w:lang w:val="en"/>
        </w:rPr>
        <w:t>The</w:t>
      </w:r>
      <w:r w:rsidR="00632A03">
        <w:rPr>
          <w:lang w:val="en"/>
        </w:rPr>
        <w:t xml:space="preserve"> decline in the number of childminders is due to </w:t>
      </w:r>
      <w:r w:rsidR="00361B2F">
        <w:rPr>
          <w:lang w:val="en"/>
        </w:rPr>
        <w:t xml:space="preserve">a trend of </w:t>
      </w:r>
      <w:r w:rsidR="00632A03">
        <w:rPr>
          <w:lang w:val="en"/>
        </w:rPr>
        <w:t>more providers leaving than joining the childcare sector</w:t>
      </w:r>
      <w:r w:rsidR="00CE6D23" w:rsidRPr="00772A6E">
        <w:rPr>
          <w:lang w:val="en"/>
        </w:rPr>
        <w:t>, even though the number of childminders leaving is</w:t>
      </w:r>
      <w:r w:rsidR="006A0790" w:rsidRPr="00772A6E">
        <w:rPr>
          <w:lang w:val="en"/>
        </w:rPr>
        <w:t xml:space="preserve"> decreasing compared with previous years</w:t>
      </w:r>
      <w:r w:rsidR="00721790" w:rsidRPr="00772A6E">
        <w:rPr>
          <w:lang w:val="en"/>
        </w:rPr>
        <w:t xml:space="preserve"> (</w:t>
      </w:r>
      <w:r w:rsidR="00772A6E" w:rsidRPr="00772A6E">
        <w:rPr>
          <w:lang w:val="en"/>
        </w:rPr>
        <w:fldChar w:fldCharType="begin"/>
      </w:r>
      <w:r w:rsidR="00772A6E" w:rsidRPr="00772A6E">
        <w:rPr>
          <w:lang w:val="en"/>
        </w:rPr>
        <w:instrText xml:space="preserve"> REF _Ref4072425 \h </w:instrText>
      </w:r>
      <w:r w:rsidR="00772A6E">
        <w:rPr>
          <w:lang w:val="en"/>
        </w:rPr>
        <w:instrText xml:space="preserve"> \* MERGEFORMAT </w:instrText>
      </w:r>
      <w:r w:rsidR="00772A6E" w:rsidRPr="00772A6E">
        <w:rPr>
          <w:lang w:val="en"/>
        </w:rPr>
      </w:r>
      <w:r w:rsidR="00772A6E" w:rsidRPr="00772A6E">
        <w:rPr>
          <w:lang w:val="en"/>
        </w:rPr>
        <w:fldChar w:fldCharType="separate"/>
      </w:r>
      <w:r w:rsidR="006A56EC" w:rsidRPr="006A56EC">
        <w:t xml:space="preserve">Figure </w:t>
      </w:r>
      <w:r w:rsidR="006A56EC" w:rsidRPr="006A56EC">
        <w:rPr>
          <w:noProof/>
        </w:rPr>
        <w:t>3</w:t>
      </w:r>
      <w:r w:rsidR="00772A6E" w:rsidRPr="00772A6E">
        <w:rPr>
          <w:lang w:val="en"/>
        </w:rPr>
        <w:fldChar w:fldCharType="end"/>
      </w:r>
      <w:r w:rsidR="00721790" w:rsidRPr="00772A6E">
        <w:rPr>
          <w:lang w:val="en"/>
        </w:rPr>
        <w:t>)</w:t>
      </w:r>
      <w:r w:rsidR="00361B2F" w:rsidRPr="00772A6E">
        <w:rPr>
          <w:lang w:val="en"/>
        </w:rPr>
        <w:t>.</w:t>
      </w:r>
    </w:p>
    <w:p w14:paraId="7A4F707A" w14:textId="2138FAAC" w:rsidR="00AD5485" w:rsidRDefault="00AD5485" w:rsidP="00AD5485">
      <w:pPr>
        <w:rPr>
          <w:b/>
          <w:sz w:val="22"/>
          <w:szCs w:val="22"/>
        </w:rPr>
      </w:pPr>
    </w:p>
    <w:p w14:paraId="6108E063" w14:textId="78ECEEB8" w:rsidR="00CE7515" w:rsidRPr="00CE7515" w:rsidRDefault="00CE7515" w:rsidP="00CE7515">
      <w:pPr>
        <w:pStyle w:val="Caption"/>
        <w:keepNext/>
        <w:rPr>
          <w:sz w:val="22"/>
          <w:szCs w:val="22"/>
        </w:rPr>
      </w:pPr>
      <w:bookmarkStart w:id="33" w:name="_Ref4072425"/>
      <w:r w:rsidRPr="00CE7515">
        <w:rPr>
          <w:sz w:val="22"/>
          <w:szCs w:val="22"/>
        </w:rPr>
        <w:t xml:space="preserve">Figure </w:t>
      </w:r>
      <w:r w:rsidR="00FD0A40">
        <w:rPr>
          <w:sz w:val="22"/>
          <w:szCs w:val="22"/>
        </w:rPr>
        <w:fldChar w:fldCharType="begin"/>
      </w:r>
      <w:r w:rsidR="00FD0A40">
        <w:rPr>
          <w:sz w:val="22"/>
          <w:szCs w:val="22"/>
        </w:rPr>
        <w:instrText xml:space="preserve"> SEQ Figure \* ARABIC </w:instrText>
      </w:r>
      <w:r w:rsidR="00FD0A40">
        <w:rPr>
          <w:sz w:val="22"/>
          <w:szCs w:val="22"/>
        </w:rPr>
        <w:fldChar w:fldCharType="separate"/>
      </w:r>
      <w:r w:rsidR="006A56EC">
        <w:rPr>
          <w:noProof/>
          <w:sz w:val="22"/>
          <w:szCs w:val="22"/>
        </w:rPr>
        <w:t>3</w:t>
      </w:r>
      <w:r w:rsidR="00FD0A40">
        <w:rPr>
          <w:sz w:val="22"/>
          <w:szCs w:val="22"/>
        </w:rPr>
        <w:fldChar w:fldCharType="end"/>
      </w:r>
      <w:bookmarkEnd w:id="33"/>
      <w:r w:rsidRPr="00CE7515">
        <w:rPr>
          <w:sz w:val="22"/>
          <w:szCs w:val="22"/>
        </w:rPr>
        <w:t xml:space="preserve">: Childminder movement within successive </w:t>
      </w:r>
      <w:r w:rsidR="00E33E06">
        <w:rPr>
          <w:sz w:val="22"/>
          <w:szCs w:val="22"/>
        </w:rPr>
        <w:t>January</w:t>
      </w:r>
      <w:r w:rsidRPr="00CE7515">
        <w:rPr>
          <w:sz w:val="22"/>
          <w:szCs w:val="22"/>
        </w:rPr>
        <w:t xml:space="preserve"> to </w:t>
      </w:r>
      <w:r w:rsidR="00E33E06">
        <w:rPr>
          <w:sz w:val="22"/>
          <w:szCs w:val="22"/>
        </w:rPr>
        <w:t>March</w:t>
      </w:r>
      <w:r w:rsidRPr="00CE7515">
        <w:rPr>
          <w:sz w:val="22"/>
          <w:szCs w:val="22"/>
        </w:rPr>
        <w:t xml:space="preserve"> periods</w:t>
      </w:r>
      <w:r w:rsidRPr="00CE7515">
        <w:rPr>
          <w:sz w:val="22"/>
          <w:szCs w:val="22"/>
          <w:vertAlign w:val="superscript"/>
        </w:rPr>
        <w:t>1</w:t>
      </w:r>
    </w:p>
    <w:p w14:paraId="79F644B9" w14:textId="4B053D7F" w:rsidR="003E0A08" w:rsidRDefault="001851C3" w:rsidP="00557E0A">
      <w:pPr>
        <w:jc w:val="center"/>
        <w:rPr>
          <w:b/>
          <w:sz w:val="22"/>
          <w:szCs w:val="22"/>
        </w:rPr>
      </w:pPr>
      <w:r>
        <w:rPr>
          <w:noProof/>
        </w:rPr>
        <w:drawing>
          <wp:inline distT="0" distB="0" distL="0" distR="0" wp14:anchorId="231512D8" wp14:editId="402AF049">
            <wp:extent cx="6115685" cy="3160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685" cy="3160395"/>
                    </a:xfrm>
                    <a:prstGeom prst="rect">
                      <a:avLst/>
                    </a:prstGeom>
                  </pic:spPr>
                </pic:pic>
              </a:graphicData>
            </a:graphic>
          </wp:inline>
        </w:drawing>
      </w:r>
    </w:p>
    <w:p w14:paraId="47B64FA5" w14:textId="6C678ACA" w:rsidR="00155C3B" w:rsidRPr="00371BEC" w:rsidRDefault="00CE76FB" w:rsidP="003E0A08">
      <w:pPr>
        <w:pStyle w:val="ListParagraph"/>
        <w:numPr>
          <w:ilvl w:val="0"/>
          <w:numId w:val="17"/>
        </w:numPr>
        <w:rPr>
          <w:rFonts w:cs="Tahoma"/>
          <w:sz w:val="16"/>
          <w:szCs w:val="16"/>
        </w:rPr>
      </w:pPr>
      <w:r w:rsidRPr="00371BEC">
        <w:rPr>
          <w:rFonts w:cs="Tahoma"/>
          <w:sz w:val="16"/>
          <w:szCs w:val="16"/>
        </w:rPr>
        <w:t xml:space="preserve">Data refers </w:t>
      </w:r>
      <w:r w:rsidR="003E0A08" w:rsidRPr="00371BEC">
        <w:rPr>
          <w:rFonts w:cs="Tahoma"/>
          <w:sz w:val="16"/>
          <w:szCs w:val="16"/>
        </w:rPr>
        <w:t xml:space="preserve">to </w:t>
      </w:r>
      <w:r w:rsidRPr="00371BEC">
        <w:rPr>
          <w:rFonts w:cs="Tahoma"/>
          <w:sz w:val="16"/>
          <w:szCs w:val="16"/>
        </w:rPr>
        <w:t>childminders</w:t>
      </w:r>
      <w:r w:rsidR="008D3AC3" w:rsidRPr="00371BEC">
        <w:rPr>
          <w:rFonts w:cs="Tahoma"/>
          <w:sz w:val="16"/>
          <w:szCs w:val="16"/>
        </w:rPr>
        <w:t>’</w:t>
      </w:r>
      <w:r w:rsidRPr="00371BEC">
        <w:rPr>
          <w:rFonts w:cs="Tahoma"/>
          <w:sz w:val="16"/>
          <w:szCs w:val="16"/>
        </w:rPr>
        <w:t xml:space="preserve"> </w:t>
      </w:r>
      <w:r w:rsidR="00297633" w:rsidRPr="00371BEC">
        <w:rPr>
          <w:rFonts w:cs="Tahoma"/>
          <w:sz w:val="16"/>
          <w:szCs w:val="16"/>
        </w:rPr>
        <w:t>movement between</w:t>
      </w:r>
      <w:r w:rsidR="00B064CD" w:rsidRPr="00371BEC">
        <w:rPr>
          <w:rFonts w:cs="Tahoma"/>
          <w:sz w:val="16"/>
          <w:szCs w:val="16"/>
        </w:rPr>
        <w:t xml:space="preserve"> </w:t>
      </w:r>
      <w:r w:rsidR="009B3F37">
        <w:rPr>
          <w:rFonts w:cs="Tahoma"/>
          <w:sz w:val="16"/>
          <w:szCs w:val="16"/>
        </w:rPr>
        <w:t>1 January</w:t>
      </w:r>
      <w:r w:rsidR="008A46A4" w:rsidRPr="00371BEC">
        <w:rPr>
          <w:rFonts w:cs="Tahoma"/>
          <w:sz w:val="16"/>
          <w:szCs w:val="16"/>
        </w:rPr>
        <w:t xml:space="preserve"> </w:t>
      </w:r>
      <w:r w:rsidR="009B42CF" w:rsidRPr="00371BEC">
        <w:rPr>
          <w:rFonts w:cs="Tahoma"/>
          <w:sz w:val="16"/>
          <w:szCs w:val="16"/>
        </w:rPr>
        <w:t xml:space="preserve">and 31 </w:t>
      </w:r>
      <w:r w:rsidR="00C62D93" w:rsidRPr="00371BEC">
        <w:rPr>
          <w:rFonts w:cs="Tahoma"/>
          <w:sz w:val="16"/>
          <w:szCs w:val="16"/>
        </w:rPr>
        <w:t>March</w:t>
      </w:r>
      <w:r w:rsidR="009B42CF" w:rsidRPr="00371BEC">
        <w:rPr>
          <w:rFonts w:cs="Tahoma"/>
          <w:sz w:val="16"/>
          <w:szCs w:val="16"/>
        </w:rPr>
        <w:t xml:space="preserve"> </w:t>
      </w:r>
      <w:r w:rsidR="008A46A4" w:rsidRPr="00371BEC">
        <w:rPr>
          <w:rFonts w:cs="Tahoma"/>
          <w:sz w:val="16"/>
          <w:szCs w:val="16"/>
        </w:rPr>
        <w:t>in each year</w:t>
      </w:r>
      <w:r w:rsidR="00AB4CF6" w:rsidRPr="00371BEC">
        <w:rPr>
          <w:rFonts w:cs="Tahoma"/>
          <w:sz w:val="16"/>
          <w:szCs w:val="16"/>
        </w:rPr>
        <w:t>.</w:t>
      </w:r>
    </w:p>
    <w:p w14:paraId="7E422276" w14:textId="77777777" w:rsidR="007E30A3" w:rsidRPr="007E30A3" w:rsidRDefault="007E30A3" w:rsidP="007E30A3">
      <w:pPr>
        <w:pStyle w:val="ListParagraph"/>
        <w:ind w:left="360"/>
        <w:rPr>
          <w:rFonts w:cs="Tahoma"/>
          <w:sz w:val="20"/>
          <w:szCs w:val="20"/>
        </w:rPr>
      </w:pPr>
    </w:p>
    <w:p w14:paraId="4DD106FC" w14:textId="334FB30D" w:rsidR="00BF15CB" w:rsidRDefault="00F97497" w:rsidP="00361B2F">
      <w:pPr>
        <w:rPr>
          <w:rFonts w:cs="Tahoma"/>
        </w:rPr>
      </w:pPr>
      <w:r>
        <w:rPr>
          <w:rFonts w:cs="Tahoma"/>
        </w:rPr>
        <w:t>Since the previous</w:t>
      </w:r>
      <w:r w:rsidR="00454532">
        <w:rPr>
          <w:rFonts w:cs="Tahoma"/>
        </w:rPr>
        <w:t xml:space="preserve"> </w:t>
      </w:r>
      <w:r w:rsidR="00454532" w:rsidRPr="00BB69C1">
        <w:rPr>
          <w:rFonts w:cs="Tahoma"/>
        </w:rPr>
        <w:t xml:space="preserve">official statistics (31 </w:t>
      </w:r>
      <w:r w:rsidR="00F10CF1" w:rsidRPr="00BB69C1">
        <w:rPr>
          <w:rFonts w:cs="Tahoma"/>
        </w:rPr>
        <w:t>December</w:t>
      </w:r>
      <w:r w:rsidR="00454532" w:rsidRPr="00BB69C1">
        <w:rPr>
          <w:rFonts w:cs="Tahoma"/>
        </w:rPr>
        <w:t xml:space="preserve"> 2018)</w:t>
      </w:r>
      <w:r w:rsidR="00B222DE" w:rsidRPr="00BB69C1">
        <w:rPr>
          <w:rFonts w:cs="Tahoma"/>
        </w:rPr>
        <w:t xml:space="preserve"> </w:t>
      </w:r>
      <w:r w:rsidR="00CE52C6" w:rsidRPr="00BB69C1">
        <w:rPr>
          <w:rFonts w:cs="Tahoma"/>
        </w:rPr>
        <w:t>1,</w:t>
      </w:r>
      <w:r w:rsidR="00B11E19" w:rsidRPr="00BB69C1">
        <w:rPr>
          <w:rFonts w:cs="Tahoma"/>
        </w:rPr>
        <w:t>3</w:t>
      </w:r>
      <w:r w:rsidR="00CE52C6" w:rsidRPr="00BB69C1">
        <w:rPr>
          <w:rFonts w:cs="Tahoma"/>
        </w:rPr>
        <w:t>00</w:t>
      </w:r>
      <w:r w:rsidR="00BF15CB" w:rsidRPr="00BB69C1">
        <w:rPr>
          <w:rFonts w:cs="Tahoma"/>
        </w:rPr>
        <w:t xml:space="preserve"> </w:t>
      </w:r>
      <w:r w:rsidR="006A0790" w:rsidRPr="00BB69C1">
        <w:rPr>
          <w:rFonts w:cs="Tahoma"/>
        </w:rPr>
        <w:t>childminders</w:t>
      </w:r>
      <w:r w:rsidR="00BF15CB" w:rsidRPr="00BB69C1">
        <w:rPr>
          <w:rFonts w:cs="Tahoma"/>
        </w:rPr>
        <w:t xml:space="preserve"> </w:t>
      </w:r>
      <w:r w:rsidR="00454532" w:rsidRPr="00BB69C1">
        <w:rPr>
          <w:rFonts w:cs="Tahoma"/>
        </w:rPr>
        <w:t xml:space="preserve">have </w:t>
      </w:r>
      <w:r w:rsidR="00BF15CB" w:rsidRPr="00BB69C1">
        <w:rPr>
          <w:rFonts w:cs="Tahoma"/>
        </w:rPr>
        <w:t xml:space="preserve">left the </w:t>
      </w:r>
      <w:r w:rsidR="00091A49">
        <w:rPr>
          <w:rFonts w:cs="Tahoma"/>
        </w:rPr>
        <w:t xml:space="preserve">childcare </w:t>
      </w:r>
      <w:r w:rsidR="00BF15CB" w:rsidRPr="00BB69C1">
        <w:rPr>
          <w:rFonts w:cs="Tahoma"/>
        </w:rPr>
        <w:t xml:space="preserve">sector and </w:t>
      </w:r>
      <w:r w:rsidR="00B11E19" w:rsidRPr="00BB69C1">
        <w:rPr>
          <w:rFonts w:cs="Tahoma"/>
        </w:rPr>
        <w:t>5</w:t>
      </w:r>
      <w:r w:rsidR="00CE52C6" w:rsidRPr="00BB69C1">
        <w:rPr>
          <w:rFonts w:cs="Tahoma"/>
        </w:rPr>
        <w:t xml:space="preserve">00 </w:t>
      </w:r>
      <w:r w:rsidR="00BF15CB" w:rsidRPr="00BB69C1">
        <w:rPr>
          <w:rFonts w:cs="Tahoma"/>
        </w:rPr>
        <w:t xml:space="preserve">joined – a net decrease of </w:t>
      </w:r>
      <w:r w:rsidR="00BB69C1" w:rsidRPr="00BB69C1">
        <w:rPr>
          <w:rFonts w:cs="Tahoma"/>
        </w:rPr>
        <w:t>8</w:t>
      </w:r>
      <w:r w:rsidR="00CE52C6" w:rsidRPr="00BB69C1">
        <w:rPr>
          <w:rFonts w:cs="Tahoma"/>
        </w:rPr>
        <w:t>00</w:t>
      </w:r>
      <w:r w:rsidR="003D6AA9" w:rsidRPr="00BB69C1">
        <w:rPr>
          <w:rStyle w:val="FootnoteReference"/>
          <w:rFonts w:cs="Tahoma"/>
        </w:rPr>
        <w:footnoteReference w:id="4"/>
      </w:r>
      <w:r w:rsidR="00BF15CB" w:rsidRPr="00BB69C1">
        <w:rPr>
          <w:rFonts w:cs="Tahoma"/>
        </w:rPr>
        <w:t xml:space="preserve">. </w:t>
      </w:r>
      <w:r w:rsidR="00BF15CB" w:rsidRPr="00BB69C1">
        <w:t>The</w:t>
      </w:r>
      <w:r w:rsidR="00BF15CB" w:rsidRPr="005C35AF">
        <w:t xml:space="preserve"> childminders who left during this period had </w:t>
      </w:r>
      <w:r w:rsidR="00BF15CB" w:rsidRPr="00793191">
        <w:t xml:space="preserve">been </w:t>
      </w:r>
      <w:r w:rsidR="00BF15CB" w:rsidRPr="006E7E83">
        <w:t>registered for around nine years on average (</w:t>
      </w:r>
      <w:r w:rsidR="00BF15CB" w:rsidRPr="006E7E83">
        <w:rPr>
          <w:rFonts w:cs="Tahoma"/>
        </w:rPr>
        <w:t>based on the assumption that the</w:t>
      </w:r>
      <w:r w:rsidR="00F37CE6" w:rsidRPr="006E7E83">
        <w:rPr>
          <w:rFonts w:cs="Tahoma"/>
        </w:rPr>
        <w:t xml:space="preserve"> exact date they</w:t>
      </w:r>
      <w:r w:rsidR="00BF15CB" w:rsidRPr="006E7E83">
        <w:rPr>
          <w:rFonts w:cs="Tahoma"/>
        </w:rPr>
        <w:t xml:space="preserve"> left the register </w:t>
      </w:r>
      <w:r w:rsidR="00B23AE7" w:rsidRPr="006E7E83">
        <w:rPr>
          <w:rFonts w:cs="Tahoma"/>
        </w:rPr>
        <w:t>was</w:t>
      </w:r>
      <w:r w:rsidR="00BF15CB" w:rsidRPr="006E7E83">
        <w:rPr>
          <w:rFonts w:cs="Tahoma"/>
        </w:rPr>
        <w:t xml:space="preserve"> 31 </w:t>
      </w:r>
      <w:r w:rsidR="00BB69C1" w:rsidRPr="006E7E83">
        <w:rPr>
          <w:rFonts w:cs="Tahoma"/>
        </w:rPr>
        <w:t>March</w:t>
      </w:r>
      <w:r w:rsidR="00BF15CB" w:rsidRPr="006E7E83">
        <w:rPr>
          <w:rFonts w:cs="Tahoma"/>
        </w:rPr>
        <w:t xml:space="preserve"> 201</w:t>
      </w:r>
      <w:r w:rsidR="00BB69C1" w:rsidRPr="006E7E83">
        <w:rPr>
          <w:rFonts w:cs="Tahoma"/>
        </w:rPr>
        <w:t>9</w:t>
      </w:r>
      <w:r w:rsidR="00BF15CB" w:rsidRPr="006E7E83">
        <w:rPr>
          <w:rFonts w:cs="Tahoma"/>
        </w:rPr>
        <w:t>).</w:t>
      </w:r>
    </w:p>
    <w:p w14:paraId="7B04F4CD" w14:textId="476D8C00" w:rsidR="006D41ED" w:rsidRDefault="006D41ED" w:rsidP="00E17878">
      <w:pPr>
        <w:rPr>
          <w:rFonts w:cs="Tahoma"/>
        </w:rPr>
      </w:pPr>
      <w:bookmarkStart w:id="34" w:name="_Ref514658822"/>
      <w:bookmarkEnd w:id="34"/>
    </w:p>
    <w:p w14:paraId="5BC6BBB9" w14:textId="6DE30B51" w:rsidR="00126365" w:rsidRDefault="006356DA" w:rsidP="00C06DC4">
      <w:pPr>
        <w:rPr>
          <w:rFonts w:cs="Tahoma"/>
        </w:rPr>
      </w:pPr>
      <w:r w:rsidRPr="00421CAD">
        <w:rPr>
          <w:rFonts w:cs="Tahoma"/>
        </w:rPr>
        <w:t>Whil</w:t>
      </w:r>
      <w:r>
        <w:rPr>
          <w:rFonts w:cs="Tahoma"/>
        </w:rPr>
        <w:t>e</w:t>
      </w:r>
      <w:r w:rsidRPr="00421CAD">
        <w:rPr>
          <w:rFonts w:cs="Tahoma"/>
        </w:rPr>
        <w:t xml:space="preserve"> </w:t>
      </w:r>
      <w:r w:rsidR="00C06DC4" w:rsidRPr="00421CAD">
        <w:rPr>
          <w:rFonts w:cs="Tahoma"/>
        </w:rPr>
        <w:t xml:space="preserve">the number of childminder leavers has </w:t>
      </w:r>
      <w:r w:rsidR="004860B7" w:rsidRPr="00421CAD">
        <w:rPr>
          <w:rFonts w:cs="Tahoma"/>
        </w:rPr>
        <w:t>gradually decreased</w:t>
      </w:r>
      <w:r w:rsidR="00C06DC4" w:rsidRPr="00421CAD">
        <w:rPr>
          <w:rFonts w:cs="Tahoma"/>
        </w:rPr>
        <w:t xml:space="preserve"> over time, the</w:t>
      </w:r>
      <w:r w:rsidR="00C06DC4" w:rsidRPr="00703CC0">
        <w:rPr>
          <w:rFonts w:cs="Tahoma"/>
        </w:rPr>
        <w:t xml:space="preserve"> number of joiners is much lower for the current reporting period (</w:t>
      </w:r>
      <w:r w:rsidR="00EF3349">
        <w:rPr>
          <w:rFonts w:cs="Tahoma"/>
        </w:rPr>
        <w:t>1 January 2019</w:t>
      </w:r>
      <w:r w:rsidR="00636710" w:rsidRPr="00703CC0">
        <w:rPr>
          <w:rFonts w:cs="Tahoma"/>
        </w:rPr>
        <w:t xml:space="preserve"> </w:t>
      </w:r>
      <w:r w:rsidR="00C06DC4" w:rsidRPr="00703CC0">
        <w:rPr>
          <w:rFonts w:cs="Tahoma"/>
        </w:rPr>
        <w:t xml:space="preserve">to 31 </w:t>
      </w:r>
      <w:r w:rsidR="003A1B9D" w:rsidRPr="00703CC0">
        <w:rPr>
          <w:rFonts w:cs="Tahoma"/>
        </w:rPr>
        <w:t>March</w:t>
      </w:r>
      <w:r w:rsidR="00C06DC4" w:rsidRPr="00703CC0">
        <w:rPr>
          <w:rFonts w:cs="Tahoma"/>
        </w:rPr>
        <w:t xml:space="preserve"> 201</w:t>
      </w:r>
      <w:r w:rsidR="003A1B9D" w:rsidRPr="00703CC0">
        <w:rPr>
          <w:rFonts w:cs="Tahoma"/>
        </w:rPr>
        <w:t>9</w:t>
      </w:r>
      <w:r w:rsidR="00C06DC4" w:rsidRPr="00703CC0">
        <w:rPr>
          <w:rFonts w:cs="Tahoma"/>
        </w:rPr>
        <w:t xml:space="preserve">) than </w:t>
      </w:r>
      <w:r w:rsidR="0057755F" w:rsidRPr="00703CC0">
        <w:rPr>
          <w:rFonts w:cs="Tahoma"/>
        </w:rPr>
        <w:t xml:space="preserve">it has been over the previous </w:t>
      </w:r>
      <w:r w:rsidR="00B25CC1" w:rsidRPr="00703CC0">
        <w:rPr>
          <w:rFonts w:cs="Tahoma"/>
        </w:rPr>
        <w:t>three</w:t>
      </w:r>
      <w:r w:rsidR="0057755F" w:rsidRPr="00703CC0">
        <w:rPr>
          <w:rFonts w:cs="Tahoma"/>
        </w:rPr>
        <w:t xml:space="preserve"> years</w:t>
      </w:r>
      <w:r w:rsidR="00C06DC4" w:rsidRPr="00703CC0">
        <w:rPr>
          <w:rFonts w:cs="Tahoma"/>
        </w:rPr>
        <w:t xml:space="preserve">. For instance, between </w:t>
      </w:r>
      <w:r w:rsidR="00364798">
        <w:rPr>
          <w:rFonts w:cs="Tahoma"/>
        </w:rPr>
        <w:t>1 January 2016</w:t>
      </w:r>
      <w:r w:rsidR="00C06DC4" w:rsidRPr="00703CC0">
        <w:rPr>
          <w:rFonts w:cs="Tahoma"/>
        </w:rPr>
        <w:t xml:space="preserve"> and 31 </w:t>
      </w:r>
      <w:r w:rsidR="00716FD1" w:rsidRPr="00703CC0">
        <w:rPr>
          <w:rFonts w:cs="Tahoma"/>
        </w:rPr>
        <w:t>March</w:t>
      </w:r>
      <w:r w:rsidR="00C06DC4" w:rsidRPr="00703CC0">
        <w:rPr>
          <w:rFonts w:cs="Tahoma"/>
        </w:rPr>
        <w:t xml:space="preserve"> 201</w:t>
      </w:r>
      <w:r w:rsidR="00E34A11" w:rsidRPr="00703CC0">
        <w:rPr>
          <w:rFonts w:cs="Tahoma"/>
        </w:rPr>
        <w:t>6</w:t>
      </w:r>
      <w:r w:rsidR="00C06DC4" w:rsidRPr="00703CC0">
        <w:rPr>
          <w:rFonts w:cs="Tahoma"/>
        </w:rPr>
        <w:t xml:space="preserve"> there were </w:t>
      </w:r>
      <w:r w:rsidR="0036097A" w:rsidRPr="00703CC0">
        <w:rPr>
          <w:rFonts w:cs="Tahoma"/>
        </w:rPr>
        <w:t>9</w:t>
      </w:r>
      <w:r w:rsidR="007802EB" w:rsidRPr="00703CC0">
        <w:rPr>
          <w:rFonts w:cs="Tahoma"/>
        </w:rPr>
        <w:t>00</w:t>
      </w:r>
      <w:r w:rsidR="00C06DC4" w:rsidRPr="00703CC0">
        <w:rPr>
          <w:rFonts w:cs="Tahoma"/>
        </w:rPr>
        <w:t xml:space="preserve"> joiners – </w:t>
      </w:r>
      <w:r w:rsidR="0036097A" w:rsidRPr="00703CC0">
        <w:rPr>
          <w:rFonts w:cs="Tahoma"/>
        </w:rPr>
        <w:t>almost</w:t>
      </w:r>
      <w:r w:rsidR="00C06DC4" w:rsidRPr="00703CC0">
        <w:rPr>
          <w:rFonts w:cs="Tahoma"/>
        </w:rPr>
        <w:t xml:space="preserve"> double the number seen for this release (</w:t>
      </w:r>
      <w:r w:rsidR="00716FD1" w:rsidRPr="00703CC0">
        <w:rPr>
          <w:rFonts w:cs="Tahoma"/>
        </w:rPr>
        <w:t>5</w:t>
      </w:r>
      <w:r w:rsidR="00C06DC4" w:rsidRPr="00703CC0">
        <w:rPr>
          <w:rFonts w:cs="Tahoma"/>
        </w:rPr>
        <w:t>00).</w:t>
      </w:r>
    </w:p>
    <w:p w14:paraId="3171A772" w14:textId="7AD0E226" w:rsidR="00126365" w:rsidRDefault="00126365">
      <w:pPr>
        <w:rPr>
          <w:rFonts w:cs="Tahoma"/>
        </w:rPr>
      </w:pPr>
    </w:p>
    <w:p w14:paraId="614B6604" w14:textId="77777777" w:rsidR="0084218E" w:rsidRDefault="0084218E">
      <w:pPr>
        <w:rPr>
          <w:b/>
          <w:color w:val="auto"/>
          <w:sz w:val="32"/>
          <w:szCs w:val="32"/>
          <w:lang w:eastAsia="en-GB"/>
        </w:rPr>
      </w:pPr>
      <w:bookmarkStart w:id="35" w:name="_Toc483925853"/>
      <w:bookmarkStart w:id="36" w:name="_Toc483925901"/>
      <w:bookmarkStart w:id="37" w:name="_Toc508963533"/>
      <w:bookmarkStart w:id="38" w:name="_Toc2336328"/>
      <w:bookmarkStart w:id="39" w:name="_Toc2348748"/>
      <w:r>
        <w:br w:type="page"/>
      </w:r>
    </w:p>
    <w:bookmarkEnd w:id="35"/>
    <w:bookmarkEnd w:id="36"/>
    <w:bookmarkEnd w:id="37"/>
    <w:bookmarkEnd w:id="38"/>
    <w:bookmarkEnd w:id="39"/>
    <w:p w14:paraId="59064968" w14:textId="173402D8" w:rsidR="00BB648B" w:rsidRDefault="004148DD" w:rsidP="00BB648B">
      <w:pPr>
        <w:pStyle w:val="Heading1"/>
      </w:pPr>
      <w:r>
        <w:lastRenderedPageBreak/>
        <w:t>Registers and places</w:t>
      </w:r>
    </w:p>
    <w:p w14:paraId="2CB355DA" w14:textId="291D00C7" w:rsidR="00274D8A" w:rsidRDefault="00274D8A" w:rsidP="00274D8A">
      <w:r w:rsidRPr="00D70E67">
        <w:t xml:space="preserve">On </w:t>
      </w:r>
      <w:r w:rsidRPr="008A710A">
        <w:t xml:space="preserve">31 </w:t>
      </w:r>
      <w:r w:rsidR="008A710A" w:rsidRPr="008A710A">
        <w:t>March</w:t>
      </w:r>
      <w:r w:rsidRPr="008A710A">
        <w:t xml:space="preserve"> </w:t>
      </w:r>
      <w:r w:rsidRPr="000B4B19">
        <w:t>201</w:t>
      </w:r>
      <w:r w:rsidR="008A710A" w:rsidRPr="000B4B19">
        <w:t>9</w:t>
      </w:r>
      <w:r w:rsidRPr="000B4B19">
        <w:t xml:space="preserve">, </w:t>
      </w:r>
      <w:r w:rsidR="00053D61" w:rsidRPr="000B4B19">
        <w:t>8</w:t>
      </w:r>
      <w:r w:rsidR="000B4B19" w:rsidRPr="000B4B19">
        <w:t>0</w:t>
      </w:r>
      <w:r w:rsidRPr="000B4B19">
        <w:t xml:space="preserve">% </w:t>
      </w:r>
      <w:r w:rsidR="005127D2" w:rsidRPr="000B4B19">
        <w:t>(6</w:t>
      </w:r>
      <w:r w:rsidR="00BE5CC0" w:rsidRPr="000B4B19">
        <w:t>1</w:t>
      </w:r>
      <w:r w:rsidR="005127D2" w:rsidRPr="000B4B19">
        <w:t>,</w:t>
      </w:r>
      <w:r w:rsidR="00BE5CC0" w:rsidRPr="000B4B19">
        <w:t>7</w:t>
      </w:r>
      <w:r w:rsidR="005127D2" w:rsidRPr="000B4B19">
        <w:t xml:space="preserve">00) </w:t>
      </w:r>
      <w:r w:rsidRPr="000B4B19">
        <w:t>of Ofsted</w:t>
      </w:r>
      <w:r w:rsidRPr="00EC0A7F">
        <w:t xml:space="preserve"> registered childcare providers were on the Early Years Register (EYR</w:t>
      </w:r>
      <w:r w:rsidRPr="00772A6E">
        <w:rPr>
          <w:rFonts w:cs="Tahoma"/>
        </w:rPr>
        <w:t>)</w:t>
      </w:r>
      <w:r w:rsidR="001B6777" w:rsidRPr="00772A6E">
        <w:rPr>
          <w:rFonts w:cs="Tahoma"/>
        </w:rPr>
        <w:t xml:space="preserve"> (</w:t>
      </w:r>
      <w:r w:rsidR="00D40E64" w:rsidRPr="00772A6E">
        <w:rPr>
          <w:rFonts w:cs="Tahoma"/>
        </w:rPr>
        <w:fldChar w:fldCharType="begin"/>
      </w:r>
      <w:r w:rsidR="00D40E64" w:rsidRPr="00772A6E">
        <w:rPr>
          <w:rFonts w:cs="Tahoma"/>
        </w:rPr>
        <w:instrText xml:space="preserve"> REF _Ref11228273 \h  \* MERGEFORMAT </w:instrText>
      </w:r>
      <w:r w:rsidR="00D40E64" w:rsidRPr="00772A6E">
        <w:rPr>
          <w:rFonts w:cs="Tahoma"/>
        </w:rPr>
      </w:r>
      <w:r w:rsidR="00D40E64" w:rsidRPr="00772A6E">
        <w:rPr>
          <w:rFonts w:cs="Tahoma"/>
        </w:rPr>
        <w:fldChar w:fldCharType="separate"/>
      </w:r>
      <w:r w:rsidR="006A56EC" w:rsidRPr="006A56EC">
        <w:rPr>
          <w:rFonts w:cs="Tahoma"/>
        </w:rPr>
        <w:t xml:space="preserve">Figure </w:t>
      </w:r>
      <w:r w:rsidR="006A56EC" w:rsidRPr="006A56EC">
        <w:rPr>
          <w:rFonts w:cs="Tahoma"/>
          <w:noProof/>
        </w:rPr>
        <w:t>4</w:t>
      </w:r>
      <w:r w:rsidR="00D40E64" w:rsidRPr="00772A6E">
        <w:rPr>
          <w:rFonts w:cs="Tahoma"/>
        </w:rPr>
        <w:fldChar w:fldCharType="end"/>
      </w:r>
      <w:r w:rsidR="001B6777" w:rsidRPr="00772A6E">
        <w:rPr>
          <w:rFonts w:cs="Tahoma"/>
        </w:rPr>
        <w:t>)</w:t>
      </w:r>
      <w:r w:rsidRPr="00772A6E">
        <w:rPr>
          <w:rFonts w:cs="Tahoma"/>
        </w:rPr>
        <w:t>.</w:t>
      </w:r>
      <w:r w:rsidRPr="00772A6E">
        <w:rPr>
          <w:rFonts w:cs="Tahoma"/>
          <w:color w:val="FF0000"/>
        </w:rPr>
        <w:t xml:space="preserve"> </w:t>
      </w:r>
      <w:r w:rsidRPr="00772A6E">
        <w:rPr>
          <w:rFonts w:cs="Tahoma"/>
        </w:rPr>
        <w:t>The</w:t>
      </w:r>
      <w:r w:rsidRPr="00D40E64">
        <w:rPr>
          <w:sz w:val="28"/>
        </w:rPr>
        <w:t xml:space="preserve"> </w:t>
      </w:r>
      <w:r w:rsidRPr="00E63070">
        <w:t xml:space="preserve">remaining </w:t>
      </w:r>
      <w:r w:rsidR="00E63070" w:rsidRPr="00E63070">
        <w:t>20</w:t>
      </w:r>
      <w:r w:rsidRPr="00E63070">
        <w:t>%</w:t>
      </w:r>
      <w:r w:rsidRPr="00EC0A7F">
        <w:t xml:space="preserve"> were not on the EYR and so only appear</w:t>
      </w:r>
      <w:r>
        <w:t>ed</w:t>
      </w:r>
      <w:r w:rsidRPr="00EC0A7F">
        <w:t xml:space="preserve"> on the voluntary (VCR)</w:t>
      </w:r>
      <w:r>
        <w:t xml:space="preserve"> and/</w:t>
      </w:r>
      <w:r w:rsidRPr="00EC0A7F">
        <w:t>or compulsory (CCR) parts of the Childcare Register</w:t>
      </w:r>
      <w:r w:rsidR="00BA029E">
        <w:t xml:space="preserve"> (CR)</w:t>
      </w:r>
      <w:r w:rsidRPr="00EC0A7F">
        <w:t>.</w:t>
      </w:r>
      <w:r>
        <w:t xml:space="preserve"> More information about the different register types is available in the</w:t>
      </w:r>
      <w:r w:rsidR="00A30A80">
        <w:t xml:space="preserve"> </w:t>
      </w:r>
      <w:hyperlink w:anchor="_Glossary" w:history="1">
        <w:r w:rsidR="00A30A80" w:rsidRPr="00A30A80">
          <w:rPr>
            <w:rStyle w:val="Hyperlink"/>
          </w:rPr>
          <w:t>Glossary</w:t>
        </w:r>
      </w:hyperlink>
      <w:r w:rsidRPr="000F2FD2">
        <w:t>.</w:t>
      </w:r>
    </w:p>
    <w:p w14:paraId="6C410310" w14:textId="151F6E08" w:rsidR="005D0CF2" w:rsidRDefault="005D0CF2" w:rsidP="00274D8A"/>
    <w:p w14:paraId="17FCA743" w14:textId="1C3AB6A0" w:rsidR="00FD0A40" w:rsidRDefault="00FD0A40" w:rsidP="00D40E64">
      <w:bookmarkStart w:id="40" w:name="_Ref11228273"/>
      <w:r w:rsidRPr="00D40E64">
        <w:rPr>
          <w:b/>
          <w:sz w:val="22"/>
          <w:szCs w:val="22"/>
        </w:rPr>
        <w:t xml:space="preserve">Figure </w:t>
      </w:r>
      <w:r w:rsidRPr="00D40E64">
        <w:rPr>
          <w:b/>
          <w:sz w:val="22"/>
          <w:szCs w:val="22"/>
        </w:rPr>
        <w:fldChar w:fldCharType="begin"/>
      </w:r>
      <w:r w:rsidRPr="00D40E64">
        <w:rPr>
          <w:b/>
          <w:sz w:val="22"/>
          <w:szCs w:val="22"/>
        </w:rPr>
        <w:instrText xml:space="preserve"> SEQ Figure \* ARABIC </w:instrText>
      </w:r>
      <w:r w:rsidRPr="00D40E64">
        <w:rPr>
          <w:b/>
          <w:sz w:val="22"/>
          <w:szCs w:val="22"/>
        </w:rPr>
        <w:fldChar w:fldCharType="separate"/>
      </w:r>
      <w:r w:rsidR="006A56EC">
        <w:rPr>
          <w:b/>
          <w:noProof/>
          <w:sz w:val="22"/>
          <w:szCs w:val="22"/>
        </w:rPr>
        <w:t>4</w:t>
      </w:r>
      <w:r w:rsidRPr="00D40E64">
        <w:rPr>
          <w:b/>
          <w:sz w:val="22"/>
          <w:szCs w:val="22"/>
        </w:rPr>
        <w:fldChar w:fldCharType="end"/>
      </w:r>
      <w:bookmarkEnd w:id="40"/>
      <w:r w:rsidRPr="00D40E64">
        <w:rPr>
          <w:b/>
          <w:sz w:val="22"/>
          <w:szCs w:val="22"/>
        </w:rPr>
        <w:t>:</w:t>
      </w:r>
      <w:r w:rsidR="00D40E64" w:rsidRPr="00D40E64">
        <w:rPr>
          <w:b/>
          <w:sz w:val="22"/>
          <w:szCs w:val="22"/>
        </w:rPr>
        <w:t xml:space="preserve"> </w:t>
      </w:r>
      <w:r w:rsidRPr="00D40E64">
        <w:rPr>
          <w:rFonts w:cs="Tahoma"/>
          <w:b/>
          <w:sz w:val="22"/>
          <w:szCs w:val="22"/>
        </w:rPr>
        <w:t>Venn diagram of Ofsted registered providers by the different registers for childcare</w:t>
      </w:r>
      <w:r w:rsidRPr="00D40E64">
        <w:rPr>
          <w:rFonts w:cs="Tahoma"/>
          <w:b/>
          <w:sz w:val="22"/>
          <w:szCs w:val="22"/>
          <w:vertAlign w:val="superscript"/>
        </w:rPr>
        <w:t>1</w:t>
      </w:r>
    </w:p>
    <w:p w14:paraId="65B716DB" w14:textId="43D5FB39" w:rsidR="00BF15CB" w:rsidRPr="00060C82" w:rsidRDefault="00607251" w:rsidP="00060C82">
      <w:pPr>
        <w:jc w:val="center"/>
      </w:pPr>
      <w:r>
        <w:rPr>
          <w:noProof/>
        </w:rPr>
        <w:drawing>
          <wp:inline distT="0" distB="0" distL="0" distR="0" wp14:anchorId="03138218" wp14:editId="2572C757">
            <wp:extent cx="5593412" cy="32099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8420" cy="3212799"/>
                    </a:xfrm>
                    <a:prstGeom prst="rect">
                      <a:avLst/>
                    </a:prstGeom>
                  </pic:spPr>
                </pic:pic>
              </a:graphicData>
            </a:graphic>
          </wp:inline>
        </w:drawing>
      </w:r>
    </w:p>
    <w:p w14:paraId="14581E2E" w14:textId="40D9D82B" w:rsidR="00EE6AB5" w:rsidRPr="00F96D07" w:rsidRDefault="00060C82" w:rsidP="00A46B17">
      <w:pPr>
        <w:rPr>
          <w:rFonts w:cs="Tahoma"/>
          <w:sz w:val="16"/>
          <w:szCs w:val="16"/>
        </w:rPr>
      </w:pPr>
      <w:r w:rsidRPr="00F96D07">
        <w:rPr>
          <w:rFonts w:cs="Tahoma"/>
          <w:sz w:val="16"/>
          <w:szCs w:val="16"/>
        </w:rPr>
        <w:t>1.</w:t>
      </w:r>
      <w:r w:rsidR="00EE6AB5" w:rsidRPr="00F96D07">
        <w:rPr>
          <w:rFonts w:cs="Tahoma"/>
          <w:sz w:val="16"/>
          <w:szCs w:val="16"/>
        </w:rPr>
        <w:t xml:space="preserve"> Numbers are rounded to the nearest 100.</w:t>
      </w:r>
    </w:p>
    <w:p w14:paraId="483A27EF" w14:textId="77777777" w:rsidR="003A2351" w:rsidRDefault="003A2351" w:rsidP="003A2351"/>
    <w:p w14:paraId="56688956" w14:textId="77777777" w:rsidR="001B1E17" w:rsidRDefault="00B3371E" w:rsidP="00B3371E">
      <w:pPr>
        <w:rPr>
          <w:lang w:eastAsia="en-GB"/>
        </w:rPr>
      </w:pPr>
      <w:r>
        <w:rPr>
          <w:lang w:eastAsia="en-GB"/>
        </w:rPr>
        <w:t xml:space="preserve">Places data is reported for </w:t>
      </w:r>
      <w:r w:rsidRPr="00E63070">
        <w:rPr>
          <w:lang w:eastAsia="en-GB"/>
        </w:rPr>
        <w:t xml:space="preserve">the </w:t>
      </w:r>
      <w:r w:rsidR="00411205" w:rsidRPr="00E63070">
        <w:rPr>
          <w:lang w:eastAsia="en-GB"/>
        </w:rPr>
        <w:t>6</w:t>
      </w:r>
      <w:r w:rsidR="00E63070" w:rsidRPr="00E63070">
        <w:rPr>
          <w:lang w:eastAsia="en-GB"/>
        </w:rPr>
        <w:t>1</w:t>
      </w:r>
      <w:r w:rsidR="00411205" w:rsidRPr="00E63070">
        <w:rPr>
          <w:lang w:eastAsia="en-GB"/>
        </w:rPr>
        <w:t>,</w:t>
      </w:r>
      <w:r w:rsidR="00E63070" w:rsidRPr="00E63070">
        <w:rPr>
          <w:lang w:eastAsia="en-GB"/>
        </w:rPr>
        <w:t>7</w:t>
      </w:r>
      <w:r w:rsidR="00411205" w:rsidRPr="00E63070">
        <w:rPr>
          <w:lang w:eastAsia="en-GB"/>
        </w:rPr>
        <w:t xml:space="preserve">00 </w:t>
      </w:r>
      <w:r w:rsidRPr="00E63070">
        <w:rPr>
          <w:lang w:eastAsia="en-GB"/>
        </w:rPr>
        <w:t>providers</w:t>
      </w:r>
      <w:r>
        <w:rPr>
          <w:lang w:eastAsia="en-GB"/>
        </w:rPr>
        <w:t xml:space="preserve"> registered on the EYR, with a high proportion of </w:t>
      </w:r>
      <w:r w:rsidRPr="00BD1E47">
        <w:rPr>
          <w:lang w:eastAsia="en-GB"/>
        </w:rPr>
        <w:t>these (</w:t>
      </w:r>
      <w:r w:rsidR="00BD1E47" w:rsidRPr="00BD1E47">
        <w:rPr>
          <w:lang w:eastAsia="en-GB"/>
        </w:rPr>
        <w:t>89</w:t>
      </w:r>
      <w:r w:rsidRPr="00BD1E47">
        <w:rPr>
          <w:lang w:eastAsia="en-GB"/>
        </w:rPr>
        <w:t>%) also</w:t>
      </w:r>
      <w:r>
        <w:rPr>
          <w:lang w:eastAsia="en-GB"/>
        </w:rPr>
        <w:t xml:space="preserve"> being registered on the CR. </w:t>
      </w:r>
    </w:p>
    <w:p w14:paraId="30301B5D" w14:textId="77777777" w:rsidR="001B1E17" w:rsidRDefault="001B1E17" w:rsidP="00B3371E">
      <w:pPr>
        <w:rPr>
          <w:lang w:eastAsia="en-GB"/>
        </w:rPr>
      </w:pPr>
    </w:p>
    <w:p w14:paraId="2F8F745D" w14:textId="6D7CA870" w:rsidR="00B3371E" w:rsidRPr="00625F9C" w:rsidRDefault="00B3371E" w:rsidP="00B3371E">
      <w:pPr>
        <w:rPr>
          <w:lang w:eastAsia="en-GB"/>
        </w:rPr>
      </w:pPr>
      <w:r>
        <w:rPr>
          <w:lang w:eastAsia="en-GB"/>
        </w:rPr>
        <w:t>When considering places data</w:t>
      </w:r>
      <w:r w:rsidR="00FF59FB">
        <w:rPr>
          <w:lang w:eastAsia="en-GB"/>
        </w:rPr>
        <w:t>,</w:t>
      </w:r>
      <w:r>
        <w:rPr>
          <w:lang w:eastAsia="en-GB"/>
        </w:rPr>
        <w:t xml:space="preserve"> it is important to note it covers all places for children</w:t>
      </w:r>
      <w:r w:rsidR="007A0BF5">
        <w:rPr>
          <w:lang w:eastAsia="en-GB"/>
        </w:rPr>
        <w:t xml:space="preserve"> </w:t>
      </w:r>
      <w:r w:rsidR="00991D26">
        <w:rPr>
          <w:lang w:eastAsia="en-GB"/>
        </w:rPr>
        <w:t>up to the age of eight</w:t>
      </w:r>
      <w:r w:rsidR="00D54E06">
        <w:rPr>
          <w:lang w:eastAsia="en-GB"/>
        </w:rPr>
        <w:t xml:space="preserve"> in providers registered on the EYR</w:t>
      </w:r>
      <w:r w:rsidR="00D22E77">
        <w:rPr>
          <w:lang w:eastAsia="en-GB"/>
        </w:rPr>
        <w:t xml:space="preserve">. This </w:t>
      </w:r>
      <w:r w:rsidR="00271E62">
        <w:rPr>
          <w:lang w:eastAsia="en-GB"/>
        </w:rPr>
        <w:t>encompasses</w:t>
      </w:r>
      <w:r>
        <w:rPr>
          <w:lang w:eastAsia="en-GB"/>
        </w:rPr>
        <w:t xml:space="preserve"> all EYR </w:t>
      </w:r>
      <w:r w:rsidR="003B71EA">
        <w:rPr>
          <w:lang w:eastAsia="en-GB"/>
        </w:rPr>
        <w:t xml:space="preserve">places for </w:t>
      </w:r>
      <w:r w:rsidR="00507524">
        <w:rPr>
          <w:lang w:eastAsia="en-GB"/>
        </w:rPr>
        <w:t xml:space="preserve">children under five </w:t>
      </w:r>
      <w:r>
        <w:rPr>
          <w:lang w:eastAsia="en-GB"/>
        </w:rPr>
        <w:t xml:space="preserve">and CCR </w:t>
      </w:r>
      <w:r w:rsidR="003B71EA">
        <w:rPr>
          <w:lang w:eastAsia="en-GB"/>
        </w:rPr>
        <w:t>places for</w:t>
      </w:r>
      <w:r>
        <w:rPr>
          <w:lang w:eastAsia="en-GB"/>
        </w:rPr>
        <w:t xml:space="preserve"> </w:t>
      </w:r>
      <w:r w:rsidR="00507524">
        <w:rPr>
          <w:lang w:eastAsia="en-GB"/>
        </w:rPr>
        <w:t>five</w:t>
      </w:r>
      <w:r w:rsidR="00AA7580">
        <w:rPr>
          <w:lang w:eastAsia="en-GB"/>
        </w:rPr>
        <w:t>-</w:t>
      </w:r>
      <w:r w:rsidR="00507524">
        <w:rPr>
          <w:lang w:eastAsia="en-GB"/>
        </w:rPr>
        <w:t xml:space="preserve"> </w:t>
      </w:r>
      <w:r w:rsidR="00F65AC3">
        <w:rPr>
          <w:lang w:eastAsia="en-GB"/>
        </w:rPr>
        <w:t>to</w:t>
      </w:r>
      <w:r>
        <w:rPr>
          <w:lang w:eastAsia="en-GB"/>
        </w:rPr>
        <w:t xml:space="preserve"> </w:t>
      </w:r>
      <w:r w:rsidR="00507524">
        <w:rPr>
          <w:lang w:eastAsia="en-GB"/>
        </w:rPr>
        <w:t>seven</w:t>
      </w:r>
      <w:r w:rsidR="001D03B2">
        <w:rPr>
          <w:lang w:eastAsia="en-GB"/>
        </w:rPr>
        <w:t>-year</w:t>
      </w:r>
      <w:r w:rsidR="00D511A1">
        <w:rPr>
          <w:lang w:eastAsia="en-GB"/>
        </w:rPr>
        <w:t>-</w:t>
      </w:r>
      <w:r w:rsidR="00FB566A">
        <w:rPr>
          <w:lang w:eastAsia="en-GB"/>
        </w:rPr>
        <w:t>olds</w:t>
      </w:r>
      <w:r w:rsidR="00C912FF">
        <w:rPr>
          <w:lang w:eastAsia="en-GB"/>
        </w:rPr>
        <w:t xml:space="preserve"> in these providers</w:t>
      </w:r>
      <w:r>
        <w:rPr>
          <w:lang w:eastAsia="en-GB"/>
        </w:rPr>
        <w:t>. For more methodo</w:t>
      </w:r>
      <w:r w:rsidR="00271E62">
        <w:rPr>
          <w:lang w:eastAsia="en-GB"/>
        </w:rPr>
        <w:t>lo</w:t>
      </w:r>
      <w:r>
        <w:rPr>
          <w:lang w:eastAsia="en-GB"/>
        </w:rPr>
        <w:t xml:space="preserve">gical notes on places data, please see </w:t>
      </w:r>
      <w:r w:rsidR="007945EF">
        <w:rPr>
          <w:lang w:eastAsia="en-GB"/>
        </w:rPr>
        <w:t>the</w:t>
      </w:r>
      <w:r>
        <w:rPr>
          <w:lang w:eastAsia="en-GB"/>
        </w:rPr>
        <w:t xml:space="preserve"> methodology and quality report</w:t>
      </w:r>
      <w:r w:rsidR="007945EF">
        <w:rPr>
          <w:lang w:eastAsia="en-GB"/>
        </w:rPr>
        <w:t xml:space="preserve"> which accompanies this release</w:t>
      </w:r>
      <w:r>
        <w:rPr>
          <w:lang w:eastAsia="en-GB"/>
        </w:rPr>
        <w:t xml:space="preserve">.   </w:t>
      </w:r>
    </w:p>
    <w:p w14:paraId="21E658DD" w14:textId="7A48FB61" w:rsidR="00615459" w:rsidRDefault="0044263C" w:rsidP="0044263C">
      <w:pPr>
        <w:rPr>
          <w:rFonts w:cs="Tahoma"/>
          <w:b/>
        </w:rPr>
      </w:pPr>
      <w:r>
        <w:br/>
      </w:r>
      <w:r w:rsidRPr="000C04CB">
        <w:rPr>
          <w:rFonts w:cs="Tahoma"/>
          <w:b/>
        </w:rPr>
        <w:t xml:space="preserve">Providers and places </w:t>
      </w:r>
    </w:p>
    <w:p w14:paraId="3133DEDF" w14:textId="2B211132" w:rsidR="00615459" w:rsidRDefault="00615459" w:rsidP="00615459">
      <w:pPr>
        <w:rPr>
          <w:rFonts w:cs="Tahoma"/>
          <w:bCs/>
        </w:rPr>
      </w:pPr>
      <w:r w:rsidRPr="007045B6">
        <w:rPr>
          <w:rFonts w:cs="Tahoma"/>
          <w:bCs/>
        </w:rPr>
        <w:t xml:space="preserve">Despite decreasing numbers of </w:t>
      </w:r>
      <w:r>
        <w:rPr>
          <w:rFonts w:cs="Tahoma"/>
          <w:bCs/>
        </w:rPr>
        <w:t>childminder</w:t>
      </w:r>
      <w:r w:rsidRPr="007045B6">
        <w:rPr>
          <w:rFonts w:cs="Tahoma"/>
          <w:bCs/>
        </w:rPr>
        <w:t xml:space="preserve">s, the number of childcare places has remained </w:t>
      </w:r>
      <w:r w:rsidRPr="00142EE0">
        <w:rPr>
          <w:rFonts w:cs="Tahoma"/>
          <w:bCs/>
        </w:rPr>
        <w:t xml:space="preserve">broadly stable </w:t>
      </w:r>
      <w:r w:rsidRPr="000C0AFA">
        <w:rPr>
          <w:rFonts w:cs="Tahoma"/>
          <w:bCs/>
        </w:rPr>
        <w:t xml:space="preserve">since </w:t>
      </w:r>
      <w:r w:rsidR="000C0AFA" w:rsidRPr="000C0AFA">
        <w:rPr>
          <w:rFonts w:cs="Tahoma"/>
          <w:bCs/>
        </w:rPr>
        <w:t xml:space="preserve">August </w:t>
      </w:r>
      <w:r w:rsidR="000C0AFA" w:rsidRPr="00513EEB">
        <w:rPr>
          <w:rFonts w:cs="Tahoma"/>
          <w:bCs/>
        </w:rPr>
        <w:t>2015</w:t>
      </w:r>
      <w:r w:rsidRPr="00513EEB">
        <w:rPr>
          <w:rFonts w:cs="Tahoma"/>
          <w:bCs/>
        </w:rPr>
        <w:t xml:space="preserve"> (</w:t>
      </w:r>
      <w:r w:rsidR="00513EEB" w:rsidRPr="00513EEB">
        <w:rPr>
          <w:rFonts w:cs="Tahoma"/>
          <w:bCs/>
        </w:rPr>
        <w:fldChar w:fldCharType="begin"/>
      </w:r>
      <w:r w:rsidR="00513EEB" w:rsidRPr="00513EEB">
        <w:rPr>
          <w:rFonts w:cs="Tahoma"/>
          <w:bCs/>
        </w:rPr>
        <w:instrText xml:space="preserve"> REF _Ref11228487 \h </w:instrText>
      </w:r>
      <w:r w:rsidR="00513EEB">
        <w:rPr>
          <w:rFonts w:cs="Tahoma"/>
          <w:bCs/>
        </w:rPr>
        <w:instrText xml:space="preserve"> \* MERGEFORMAT </w:instrText>
      </w:r>
      <w:r w:rsidR="00513EEB" w:rsidRPr="00513EEB">
        <w:rPr>
          <w:rFonts w:cs="Tahoma"/>
          <w:bCs/>
        </w:rPr>
      </w:r>
      <w:r w:rsidR="00513EEB" w:rsidRPr="00513EEB">
        <w:rPr>
          <w:rFonts w:cs="Tahoma"/>
          <w:bCs/>
        </w:rPr>
        <w:fldChar w:fldCharType="separate"/>
      </w:r>
      <w:r w:rsidR="006A56EC" w:rsidRPr="006A56EC">
        <w:t xml:space="preserve">Figure </w:t>
      </w:r>
      <w:r w:rsidR="006A56EC" w:rsidRPr="006A56EC">
        <w:rPr>
          <w:noProof/>
        </w:rPr>
        <w:t>5</w:t>
      </w:r>
      <w:r w:rsidR="00513EEB" w:rsidRPr="00513EEB">
        <w:rPr>
          <w:rFonts w:cs="Tahoma"/>
          <w:bCs/>
        </w:rPr>
        <w:fldChar w:fldCharType="end"/>
      </w:r>
      <w:r w:rsidRPr="00513EEB">
        <w:rPr>
          <w:rFonts w:cs="Tahoma"/>
          <w:bCs/>
        </w:rPr>
        <w:t>).</w:t>
      </w:r>
      <w:r w:rsidRPr="009B2D0F">
        <w:rPr>
          <w:rFonts w:cs="Tahoma"/>
          <w:bCs/>
        </w:rPr>
        <w:t xml:space="preserve"> </w:t>
      </w:r>
      <w:r w:rsidR="00B412A1">
        <w:rPr>
          <w:rFonts w:cs="Tahoma"/>
          <w:bCs/>
        </w:rPr>
        <w:t>C</w:t>
      </w:r>
      <w:r w:rsidRPr="00142EE0">
        <w:rPr>
          <w:rFonts w:cs="Tahoma"/>
          <w:bCs/>
        </w:rPr>
        <w:t>hildminder places decreased</w:t>
      </w:r>
      <w:r>
        <w:rPr>
          <w:rFonts w:cs="Tahoma"/>
          <w:bCs/>
        </w:rPr>
        <w:t xml:space="preserve"> slightly</w:t>
      </w:r>
      <w:r w:rsidRPr="00142EE0">
        <w:rPr>
          <w:rFonts w:cs="Tahoma"/>
          <w:bCs/>
        </w:rPr>
        <w:t xml:space="preserve"> between </w:t>
      </w:r>
      <w:r w:rsidR="005C0D4A" w:rsidRPr="005C0D4A">
        <w:rPr>
          <w:rFonts w:cs="Tahoma"/>
          <w:bCs/>
        </w:rPr>
        <w:t>December 2018</w:t>
      </w:r>
      <w:r w:rsidR="000C0AFA" w:rsidRPr="005C0D4A">
        <w:rPr>
          <w:rFonts w:cs="Tahoma"/>
          <w:bCs/>
        </w:rPr>
        <w:t xml:space="preserve"> and </w:t>
      </w:r>
      <w:r w:rsidR="005C0D4A" w:rsidRPr="005C0D4A">
        <w:rPr>
          <w:rFonts w:cs="Tahoma"/>
          <w:bCs/>
        </w:rPr>
        <w:t>March 2019</w:t>
      </w:r>
      <w:r w:rsidR="009612B3">
        <w:rPr>
          <w:rFonts w:cs="Tahoma"/>
          <w:bCs/>
        </w:rPr>
        <w:t>.</w:t>
      </w:r>
      <w:r w:rsidR="005C74A6">
        <w:rPr>
          <w:rFonts w:cs="Tahoma"/>
          <w:bCs/>
        </w:rPr>
        <w:t xml:space="preserve"> However,</w:t>
      </w:r>
      <w:r w:rsidRPr="005C0D4A">
        <w:rPr>
          <w:rFonts w:cs="Tahoma"/>
          <w:bCs/>
        </w:rPr>
        <w:t xml:space="preserve"> there</w:t>
      </w:r>
      <w:r w:rsidRPr="00142EE0">
        <w:rPr>
          <w:rFonts w:cs="Tahoma"/>
          <w:bCs/>
        </w:rPr>
        <w:t xml:space="preserve"> was a large increase in the number of places offered by childcare on non-domestic premises</w:t>
      </w:r>
      <w:r w:rsidR="00875A78">
        <w:rPr>
          <w:rFonts w:cs="Tahoma"/>
          <w:bCs/>
        </w:rPr>
        <w:t>. This meant that the overall number of places increased by</w:t>
      </w:r>
      <w:r w:rsidR="00CA5889">
        <w:rPr>
          <w:rFonts w:cs="Tahoma"/>
          <w:bCs/>
        </w:rPr>
        <w:t xml:space="preserve"> </w:t>
      </w:r>
      <w:r w:rsidR="00CA5889" w:rsidRPr="00FD476F">
        <w:rPr>
          <w:rFonts w:cs="Tahoma"/>
          <w:bCs/>
        </w:rPr>
        <w:t>around</w:t>
      </w:r>
      <w:r w:rsidR="00875A78" w:rsidRPr="00FD476F">
        <w:rPr>
          <w:rFonts w:cs="Tahoma"/>
          <w:bCs/>
        </w:rPr>
        <w:t xml:space="preserve"> </w:t>
      </w:r>
      <w:r w:rsidR="00FD476F" w:rsidRPr="00FD476F">
        <w:rPr>
          <w:rFonts w:cs="Tahoma"/>
          <w:bCs/>
        </w:rPr>
        <w:t>3,200</w:t>
      </w:r>
      <w:r w:rsidR="00875A78" w:rsidRPr="00FD476F">
        <w:rPr>
          <w:rFonts w:cs="Tahoma"/>
          <w:bCs/>
        </w:rPr>
        <w:t xml:space="preserve"> (</w:t>
      </w:r>
      <w:r w:rsidR="00281748" w:rsidRPr="00FD476F">
        <w:rPr>
          <w:rFonts w:cs="Tahoma"/>
          <w:bCs/>
        </w:rPr>
        <w:t>less than 1%)</w:t>
      </w:r>
      <w:r w:rsidR="00875A78" w:rsidRPr="00FD476F">
        <w:rPr>
          <w:rFonts w:cs="Tahoma"/>
          <w:bCs/>
        </w:rPr>
        <w:t xml:space="preserve"> since </w:t>
      </w:r>
      <w:r w:rsidR="00FD476F" w:rsidRPr="00FD476F">
        <w:rPr>
          <w:rFonts w:cs="Tahoma"/>
          <w:bCs/>
        </w:rPr>
        <w:t>December</w:t>
      </w:r>
      <w:r w:rsidR="00875A78" w:rsidRPr="00FD476F">
        <w:rPr>
          <w:rFonts w:cs="Tahoma"/>
          <w:bCs/>
        </w:rPr>
        <w:t xml:space="preserve"> 2018</w:t>
      </w:r>
      <w:r w:rsidRPr="00FD476F">
        <w:rPr>
          <w:rFonts w:cs="Tahoma"/>
          <w:bCs/>
        </w:rPr>
        <w:t>.</w:t>
      </w:r>
      <w:r w:rsidRPr="000C0AFA">
        <w:rPr>
          <w:rFonts w:cs="Tahoma"/>
          <w:bCs/>
        </w:rPr>
        <w:t xml:space="preserve"> </w:t>
      </w:r>
      <w:r w:rsidRPr="00A24D62">
        <w:rPr>
          <w:rFonts w:cs="Tahoma"/>
          <w:bCs/>
        </w:rPr>
        <w:t xml:space="preserve">On 31 </w:t>
      </w:r>
      <w:r w:rsidR="00FD476F" w:rsidRPr="00A24D62">
        <w:rPr>
          <w:rFonts w:cs="Tahoma"/>
          <w:bCs/>
        </w:rPr>
        <w:t>March</w:t>
      </w:r>
      <w:r w:rsidRPr="00A24D62">
        <w:rPr>
          <w:rFonts w:cs="Tahoma"/>
          <w:bCs/>
        </w:rPr>
        <w:t xml:space="preserve"> 201</w:t>
      </w:r>
      <w:r w:rsidR="00FD476F" w:rsidRPr="00A24D62">
        <w:rPr>
          <w:rFonts w:cs="Tahoma"/>
          <w:bCs/>
        </w:rPr>
        <w:t>9</w:t>
      </w:r>
      <w:r w:rsidRPr="00A24D62">
        <w:rPr>
          <w:rFonts w:cs="Tahoma"/>
          <w:bCs/>
        </w:rPr>
        <w:t>, there were 1.3 million</w:t>
      </w:r>
      <w:r w:rsidRPr="00C236BB">
        <w:rPr>
          <w:rFonts w:cs="Tahoma"/>
          <w:bCs/>
        </w:rPr>
        <w:t xml:space="preserve"> childcare</w:t>
      </w:r>
      <w:r w:rsidRPr="008553EE">
        <w:rPr>
          <w:rFonts w:cs="Tahoma"/>
          <w:bCs/>
        </w:rPr>
        <w:t xml:space="preserve"> places </w:t>
      </w:r>
      <w:r>
        <w:rPr>
          <w:rFonts w:cs="Tahoma"/>
          <w:bCs/>
        </w:rPr>
        <w:t>offered by</w:t>
      </w:r>
      <w:r w:rsidRPr="008553EE">
        <w:rPr>
          <w:rFonts w:cs="Tahoma"/>
          <w:bCs/>
        </w:rPr>
        <w:t xml:space="preserve"> providers on the EYR.</w:t>
      </w:r>
    </w:p>
    <w:p w14:paraId="58970B1C" w14:textId="4C29B642" w:rsidR="0044263C" w:rsidRDefault="0044263C" w:rsidP="00263B09">
      <w:r w:rsidRPr="007009DF">
        <w:lastRenderedPageBreak/>
        <w:t>Looking at the number of childcare places by provider type</w:t>
      </w:r>
      <w:r w:rsidRPr="007009DF">
        <w:rPr>
          <w:rStyle w:val="FootnoteReference"/>
        </w:rPr>
        <w:footnoteReference w:id="5"/>
      </w:r>
      <w:r>
        <w:t>,</w:t>
      </w:r>
      <w:r w:rsidRPr="007009DF">
        <w:t xml:space="preserve"> </w:t>
      </w:r>
      <w:r>
        <w:t>on</w:t>
      </w:r>
      <w:r w:rsidRPr="007009DF">
        <w:t xml:space="preserve"> 31 </w:t>
      </w:r>
      <w:r w:rsidR="00A24D62">
        <w:t>March</w:t>
      </w:r>
      <w:r w:rsidRPr="007009DF">
        <w:t xml:space="preserve"> 201</w:t>
      </w:r>
      <w:r w:rsidR="00A24D62">
        <w:t>9</w:t>
      </w:r>
      <w:r w:rsidRPr="007009DF">
        <w:t>:</w:t>
      </w:r>
      <w:bookmarkStart w:id="41" w:name="_Toc454376418"/>
    </w:p>
    <w:p w14:paraId="7741E5DA" w14:textId="77777777" w:rsidR="00263B09" w:rsidRPr="008257DF" w:rsidRDefault="00263B09" w:rsidP="00263B09">
      <w:pPr>
        <w:rPr>
          <w:rFonts w:cs="Tahoma"/>
          <w:color w:val="FF0000"/>
        </w:rPr>
      </w:pPr>
    </w:p>
    <w:p w14:paraId="3592167A" w14:textId="68C9A3A0" w:rsidR="0044263C" w:rsidRPr="003E278F" w:rsidRDefault="0044263C" w:rsidP="00E21F8C">
      <w:pPr>
        <w:numPr>
          <w:ilvl w:val="0"/>
          <w:numId w:val="10"/>
        </w:numPr>
        <w:contextualSpacing/>
        <w:rPr>
          <w:rFonts w:cs="Tahoma"/>
        </w:rPr>
      </w:pPr>
      <w:r w:rsidRPr="003E278F">
        <w:rPr>
          <w:rFonts w:cs="Tahoma"/>
          <w:b/>
        </w:rPr>
        <w:t>Childcare on non-</w:t>
      </w:r>
      <w:r w:rsidRPr="00F42794">
        <w:rPr>
          <w:rFonts w:cs="Tahoma"/>
          <w:b/>
        </w:rPr>
        <w:t>domestic premises:</w:t>
      </w:r>
      <w:r w:rsidRPr="00F42794">
        <w:rPr>
          <w:rFonts w:cs="Tahoma"/>
        </w:rPr>
        <w:t xml:space="preserve"> offered </w:t>
      </w:r>
      <w:r w:rsidR="007B552D" w:rsidRPr="00F42794">
        <w:rPr>
          <w:rFonts w:cs="Tahoma"/>
        </w:rPr>
        <w:t>81</w:t>
      </w:r>
      <w:r w:rsidRPr="00F42794">
        <w:rPr>
          <w:rFonts w:cs="Tahoma"/>
        </w:rPr>
        <w:t>% (</w:t>
      </w:r>
      <w:r w:rsidR="007B552D" w:rsidRPr="00F42794">
        <w:rPr>
          <w:rFonts w:cs="Tahoma"/>
        </w:rPr>
        <w:t>1.1</w:t>
      </w:r>
      <w:r w:rsidRPr="00F42794">
        <w:rPr>
          <w:rFonts w:cs="Tahoma"/>
        </w:rPr>
        <w:t xml:space="preserve"> million) of all childcare places,</w:t>
      </w:r>
      <w:r w:rsidRPr="00F42794">
        <w:t xml:space="preserve"> which is an increase of </w:t>
      </w:r>
      <w:r w:rsidR="00B91A48" w:rsidRPr="00F42794">
        <w:t>two</w:t>
      </w:r>
      <w:r w:rsidRPr="00F42794">
        <w:t xml:space="preserve"> percentage point</w:t>
      </w:r>
      <w:r w:rsidR="00B91A48" w:rsidRPr="00F42794">
        <w:t>s</w:t>
      </w:r>
      <w:r w:rsidRPr="00F42794">
        <w:t xml:space="preserve"> since</w:t>
      </w:r>
      <w:r w:rsidRPr="000C0AFA">
        <w:t xml:space="preserve"> </w:t>
      </w:r>
      <w:r w:rsidR="000C0AFA" w:rsidRPr="000C0AFA">
        <w:t>August 2015</w:t>
      </w:r>
      <w:r w:rsidRPr="000C0AFA">
        <w:rPr>
          <w:rFonts w:cs="Tahoma"/>
        </w:rPr>
        <w:t>.</w:t>
      </w:r>
      <w:r w:rsidR="0090058E">
        <w:rPr>
          <w:rFonts w:cs="Tahoma"/>
        </w:rPr>
        <w:t xml:space="preserve"> </w:t>
      </w:r>
      <w:r w:rsidR="00170C1F">
        <w:rPr>
          <w:rFonts w:cs="Tahoma"/>
        </w:rPr>
        <w:t xml:space="preserve">On average each provider offered </w:t>
      </w:r>
      <w:r w:rsidR="000B3C35">
        <w:rPr>
          <w:rFonts w:cs="Tahoma"/>
        </w:rPr>
        <w:t>44</w:t>
      </w:r>
      <w:r w:rsidR="00170C1F">
        <w:rPr>
          <w:rFonts w:cs="Tahoma"/>
        </w:rPr>
        <w:t xml:space="preserve"> places.</w:t>
      </w:r>
    </w:p>
    <w:p w14:paraId="40750FFA" w14:textId="77777777" w:rsidR="0044263C" w:rsidRPr="003E278F" w:rsidRDefault="0044263C" w:rsidP="0044263C">
      <w:pPr>
        <w:ind w:left="720"/>
        <w:rPr>
          <w:rFonts w:cs="Tahoma"/>
        </w:rPr>
      </w:pPr>
    </w:p>
    <w:p w14:paraId="454DC05F" w14:textId="2E5423AD" w:rsidR="00DA1E2B" w:rsidRPr="000C0AFA" w:rsidRDefault="0044263C" w:rsidP="00E21F8C">
      <w:pPr>
        <w:numPr>
          <w:ilvl w:val="0"/>
          <w:numId w:val="10"/>
        </w:numPr>
        <w:contextualSpacing/>
        <w:rPr>
          <w:rFonts w:cs="Tahoma"/>
        </w:rPr>
      </w:pPr>
      <w:r w:rsidRPr="000C0AFA">
        <w:rPr>
          <w:rFonts w:cs="Tahoma"/>
          <w:b/>
        </w:rPr>
        <w:t>Childminders:</w:t>
      </w:r>
      <w:r w:rsidRPr="000C0AFA">
        <w:rPr>
          <w:rFonts w:cs="Tahoma"/>
        </w:rPr>
        <w:t xml:space="preserve"> </w:t>
      </w:r>
      <w:r w:rsidRPr="002F4AE9">
        <w:rPr>
          <w:rFonts w:cs="Tahoma"/>
        </w:rPr>
        <w:t xml:space="preserve">offered </w:t>
      </w:r>
      <w:r w:rsidR="00D62BA1" w:rsidRPr="002F4AE9">
        <w:rPr>
          <w:rFonts w:cs="Tahoma"/>
        </w:rPr>
        <w:t>1</w:t>
      </w:r>
      <w:r w:rsidR="00024588" w:rsidRPr="002F4AE9">
        <w:rPr>
          <w:rFonts w:cs="Tahoma"/>
        </w:rPr>
        <w:t>8</w:t>
      </w:r>
      <w:r w:rsidRPr="002F4AE9">
        <w:rPr>
          <w:rFonts w:cs="Tahoma"/>
        </w:rPr>
        <w:t>% (</w:t>
      </w:r>
      <w:r w:rsidR="00AA3331" w:rsidRPr="002F4AE9">
        <w:rPr>
          <w:rFonts w:cs="Tahoma"/>
        </w:rPr>
        <w:t>24</w:t>
      </w:r>
      <w:r w:rsidR="002F4AE9" w:rsidRPr="002F4AE9">
        <w:rPr>
          <w:rFonts w:cs="Tahoma"/>
        </w:rPr>
        <w:t>0,700</w:t>
      </w:r>
      <w:r w:rsidRPr="002F4AE9">
        <w:rPr>
          <w:rFonts w:cs="Tahoma"/>
        </w:rPr>
        <w:t xml:space="preserve">) of all places, a decrease of </w:t>
      </w:r>
      <w:r w:rsidR="00231959">
        <w:rPr>
          <w:rFonts w:cs="Tahoma"/>
        </w:rPr>
        <w:t>two</w:t>
      </w:r>
      <w:r w:rsidRPr="002F4AE9">
        <w:rPr>
          <w:rFonts w:cs="Tahoma"/>
        </w:rPr>
        <w:t xml:space="preserve"> percentage point</w:t>
      </w:r>
      <w:r w:rsidR="00231959">
        <w:rPr>
          <w:rFonts w:cs="Tahoma"/>
        </w:rPr>
        <w:t>s</w:t>
      </w:r>
      <w:r w:rsidRPr="002F4AE9">
        <w:rPr>
          <w:rFonts w:cs="Tahoma"/>
        </w:rPr>
        <w:t xml:space="preserve"> since August 201</w:t>
      </w:r>
      <w:r w:rsidR="000C0AFA" w:rsidRPr="002F4AE9">
        <w:rPr>
          <w:rFonts w:cs="Tahoma"/>
        </w:rPr>
        <w:t>5</w:t>
      </w:r>
      <w:r w:rsidRPr="002F4AE9">
        <w:rPr>
          <w:rFonts w:cs="Tahoma"/>
        </w:rPr>
        <w:t>.</w:t>
      </w:r>
      <w:r w:rsidR="00170C1F">
        <w:rPr>
          <w:rFonts w:cs="Tahoma"/>
        </w:rPr>
        <w:t xml:space="preserve"> </w:t>
      </w:r>
      <w:r w:rsidR="00394D53">
        <w:rPr>
          <w:rFonts w:cs="Tahoma"/>
        </w:rPr>
        <w:t>The average number of places offered by c</w:t>
      </w:r>
      <w:r w:rsidR="008170E9">
        <w:rPr>
          <w:rFonts w:cs="Tahoma"/>
        </w:rPr>
        <w:t>hildminders was 6.5</w:t>
      </w:r>
      <w:r w:rsidR="00321256">
        <w:rPr>
          <w:rStyle w:val="FootnoteReference"/>
          <w:rFonts w:cs="Tahoma"/>
        </w:rPr>
        <w:footnoteReference w:id="6"/>
      </w:r>
      <w:r w:rsidR="008170E9">
        <w:rPr>
          <w:rFonts w:cs="Tahoma"/>
        </w:rPr>
        <w:t xml:space="preserve">. </w:t>
      </w:r>
    </w:p>
    <w:p w14:paraId="0794284E" w14:textId="77777777" w:rsidR="00DA1E2B" w:rsidRDefault="00DA1E2B" w:rsidP="00DA1E2B">
      <w:pPr>
        <w:pStyle w:val="ListParagraph"/>
        <w:rPr>
          <w:rFonts w:cs="Tahoma"/>
          <w:b/>
        </w:rPr>
      </w:pPr>
    </w:p>
    <w:p w14:paraId="3EFE389B" w14:textId="6463A597" w:rsidR="0044263C" w:rsidRPr="00DA1E2B" w:rsidRDefault="0044263C" w:rsidP="00E21F8C">
      <w:pPr>
        <w:numPr>
          <w:ilvl w:val="0"/>
          <w:numId w:val="10"/>
        </w:numPr>
        <w:contextualSpacing/>
        <w:rPr>
          <w:rFonts w:cs="Tahoma"/>
        </w:rPr>
      </w:pPr>
      <w:r w:rsidRPr="00DA1E2B">
        <w:rPr>
          <w:rFonts w:cs="Tahoma"/>
          <w:b/>
        </w:rPr>
        <w:t>Childcare on domestic premises:</w:t>
      </w:r>
      <w:r w:rsidRPr="00DA1E2B">
        <w:rPr>
          <w:rFonts w:cs="Tahoma"/>
        </w:rPr>
        <w:t xml:space="preserve"> </w:t>
      </w:r>
      <w:r w:rsidRPr="00E7084F">
        <w:rPr>
          <w:rFonts w:cs="Tahoma"/>
        </w:rPr>
        <w:t xml:space="preserve">offered </w:t>
      </w:r>
      <w:r w:rsidR="00C236BB" w:rsidRPr="001C3784">
        <w:rPr>
          <w:rFonts w:cs="Tahoma"/>
        </w:rPr>
        <w:t>less than 1</w:t>
      </w:r>
      <w:r w:rsidRPr="001C3784">
        <w:rPr>
          <w:rFonts w:cs="Tahoma"/>
        </w:rPr>
        <w:t>% (</w:t>
      </w:r>
      <w:r w:rsidR="000C0AFA" w:rsidRPr="001C3784">
        <w:rPr>
          <w:rFonts w:cs="Tahoma"/>
        </w:rPr>
        <w:t>4,8</w:t>
      </w:r>
      <w:r w:rsidR="00C236BB" w:rsidRPr="001C3784">
        <w:rPr>
          <w:rFonts w:cs="Tahoma"/>
        </w:rPr>
        <w:t>00</w:t>
      </w:r>
      <w:r w:rsidRPr="001C3784">
        <w:rPr>
          <w:rFonts w:cs="Tahoma"/>
        </w:rPr>
        <w:t>) of places.</w:t>
      </w:r>
      <w:r w:rsidR="00996522" w:rsidRPr="00DA1E2B">
        <w:rPr>
          <w:rFonts w:cs="Tahoma"/>
        </w:rPr>
        <w:t xml:space="preserve"> These are not shown</w:t>
      </w:r>
      <w:r w:rsidR="00996522" w:rsidRPr="00513EEB">
        <w:rPr>
          <w:rFonts w:cs="Tahoma"/>
        </w:rPr>
        <w:t xml:space="preserve"> in </w:t>
      </w:r>
      <w:r w:rsidR="00513EEB" w:rsidRPr="00513EEB">
        <w:rPr>
          <w:rFonts w:cs="Tahoma"/>
        </w:rPr>
        <w:fldChar w:fldCharType="begin"/>
      </w:r>
      <w:r w:rsidR="00513EEB" w:rsidRPr="00513EEB">
        <w:rPr>
          <w:rFonts w:cs="Tahoma"/>
        </w:rPr>
        <w:instrText xml:space="preserve"> REF _Ref11228487 \h </w:instrText>
      </w:r>
      <w:r w:rsidR="00513EEB">
        <w:rPr>
          <w:rFonts w:cs="Tahoma"/>
        </w:rPr>
        <w:instrText xml:space="preserve"> \* MERGEFORMAT </w:instrText>
      </w:r>
      <w:r w:rsidR="00513EEB" w:rsidRPr="00513EEB">
        <w:rPr>
          <w:rFonts w:cs="Tahoma"/>
        </w:rPr>
      </w:r>
      <w:r w:rsidR="00513EEB" w:rsidRPr="00513EEB">
        <w:rPr>
          <w:rFonts w:cs="Tahoma"/>
        </w:rPr>
        <w:fldChar w:fldCharType="separate"/>
      </w:r>
      <w:r w:rsidR="006A56EC" w:rsidRPr="006A56EC">
        <w:t xml:space="preserve">Figure </w:t>
      </w:r>
      <w:r w:rsidR="006A56EC" w:rsidRPr="006A56EC">
        <w:rPr>
          <w:noProof/>
        </w:rPr>
        <w:t>5</w:t>
      </w:r>
      <w:r w:rsidR="00513EEB" w:rsidRPr="00513EEB">
        <w:rPr>
          <w:rFonts w:cs="Tahoma"/>
        </w:rPr>
        <w:fldChar w:fldCharType="end"/>
      </w:r>
      <w:r w:rsidR="00996522" w:rsidRPr="00DA1E2B">
        <w:rPr>
          <w:rFonts w:cs="Tahoma"/>
        </w:rPr>
        <w:t xml:space="preserve"> due to the </w:t>
      </w:r>
      <w:r w:rsidR="00712699">
        <w:rPr>
          <w:rFonts w:cs="Tahoma"/>
        </w:rPr>
        <w:t xml:space="preserve">relatively </w:t>
      </w:r>
      <w:r w:rsidR="00996522" w:rsidRPr="00DA1E2B">
        <w:rPr>
          <w:rFonts w:cs="Tahoma"/>
        </w:rPr>
        <w:t>small number of places offered.</w:t>
      </w:r>
      <w:r w:rsidR="002900D8">
        <w:rPr>
          <w:rFonts w:cs="Tahoma"/>
        </w:rPr>
        <w:t xml:space="preserve"> On average each provider offered </w:t>
      </w:r>
      <w:r w:rsidR="00365095">
        <w:rPr>
          <w:rFonts w:cs="Tahoma"/>
        </w:rPr>
        <w:t>2</w:t>
      </w:r>
      <w:r w:rsidR="00C87424">
        <w:rPr>
          <w:rFonts w:cs="Tahoma"/>
        </w:rPr>
        <w:t>2</w:t>
      </w:r>
      <w:r w:rsidR="00CB45D2">
        <w:rPr>
          <w:rFonts w:cs="Tahoma"/>
        </w:rPr>
        <w:t xml:space="preserve"> places.</w:t>
      </w:r>
    </w:p>
    <w:p w14:paraId="5DC107EC" w14:textId="77777777" w:rsidR="002A10DD" w:rsidRDefault="002A10DD" w:rsidP="00CE7515">
      <w:pPr>
        <w:pStyle w:val="Caption"/>
        <w:keepNext/>
        <w:rPr>
          <w:sz w:val="22"/>
          <w:szCs w:val="22"/>
        </w:rPr>
      </w:pPr>
      <w:bookmarkStart w:id="42" w:name="_Ref4072530"/>
      <w:bookmarkEnd w:id="41"/>
    </w:p>
    <w:p w14:paraId="01DDDA03" w14:textId="4991FECB" w:rsidR="00373BD1" w:rsidRPr="00373BD1" w:rsidRDefault="00373BD1" w:rsidP="00373BD1">
      <w:pPr>
        <w:pStyle w:val="Caption"/>
        <w:keepNext/>
        <w:rPr>
          <w:sz w:val="22"/>
          <w:szCs w:val="22"/>
        </w:rPr>
      </w:pPr>
      <w:bookmarkStart w:id="43" w:name="_Ref11228487"/>
      <w:bookmarkEnd w:id="42"/>
      <w:r w:rsidRPr="00373BD1">
        <w:rPr>
          <w:sz w:val="22"/>
          <w:szCs w:val="22"/>
        </w:rPr>
        <w:t xml:space="preserve">Figure </w:t>
      </w:r>
      <w:r w:rsidRPr="00373BD1">
        <w:rPr>
          <w:sz w:val="22"/>
          <w:szCs w:val="22"/>
        </w:rPr>
        <w:fldChar w:fldCharType="begin"/>
      </w:r>
      <w:r w:rsidRPr="00373BD1">
        <w:rPr>
          <w:sz w:val="22"/>
          <w:szCs w:val="22"/>
        </w:rPr>
        <w:instrText xml:space="preserve"> SEQ Figure \* ARABIC </w:instrText>
      </w:r>
      <w:r w:rsidRPr="00373BD1">
        <w:rPr>
          <w:sz w:val="22"/>
          <w:szCs w:val="22"/>
        </w:rPr>
        <w:fldChar w:fldCharType="separate"/>
      </w:r>
      <w:r w:rsidR="006A56EC">
        <w:rPr>
          <w:noProof/>
          <w:sz w:val="22"/>
          <w:szCs w:val="22"/>
        </w:rPr>
        <w:t>5</w:t>
      </w:r>
      <w:r w:rsidRPr="00373BD1">
        <w:rPr>
          <w:sz w:val="22"/>
          <w:szCs w:val="22"/>
        </w:rPr>
        <w:fldChar w:fldCharType="end"/>
      </w:r>
      <w:bookmarkEnd w:id="43"/>
      <w:r w:rsidRPr="00373BD1">
        <w:rPr>
          <w:sz w:val="22"/>
          <w:szCs w:val="22"/>
        </w:rPr>
        <w:t>: Childcare providers and places on the Early Years Register over time, by provider type</w:t>
      </w:r>
      <w:r w:rsidRPr="00373BD1">
        <w:rPr>
          <w:sz w:val="22"/>
          <w:szCs w:val="22"/>
          <w:vertAlign w:val="superscript"/>
        </w:rPr>
        <w:t>1</w:t>
      </w:r>
    </w:p>
    <w:p w14:paraId="2A79F53A" w14:textId="741EDCF7" w:rsidR="006A065A" w:rsidRPr="00767B56" w:rsidRDefault="004E395E" w:rsidP="00847AD9">
      <w:pPr>
        <w:jc w:val="center"/>
        <w:rPr>
          <w:b/>
          <w:noProof/>
          <w:lang w:eastAsia="en-GB"/>
        </w:rPr>
      </w:pPr>
      <w:r>
        <w:rPr>
          <w:noProof/>
        </w:rPr>
        <w:drawing>
          <wp:inline distT="0" distB="0" distL="0" distR="0" wp14:anchorId="5F0FE511" wp14:editId="2941570B">
            <wp:extent cx="6450583" cy="32289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50583" cy="3228975"/>
                    </a:xfrm>
                    <a:prstGeom prst="rect">
                      <a:avLst/>
                    </a:prstGeom>
                  </pic:spPr>
                </pic:pic>
              </a:graphicData>
            </a:graphic>
          </wp:inline>
        </w:drawing>
      </w:r>
    </w:p>
    <w:p w14:paraId="1275DA03" w14:textId="0A9EB2C5" w:rsidR="00B162D0" w:rsidRPr="00F96D07" w:rsidRDefault="005927FC" w:rsidP="00E21F8C">
      <w:pPr>
        <w:pStyle w:val="ListParagraph"/>
        <w:numPr>
          <w:ilvl w:val="0"/>
          <w:numId w:val="15"/>
        </w:numPr>
        <w:rPr>
          <w:sz w:val="16"/>
          <w:szCs w:val="20"/>
          <w:lang w:eastAsia="en-GB"/>
        </w:rPr>
      </w:pPr>
      <w:r w:rsidRPr="00F96D07">
        <w:rPr>
          <w:sz w:val="16"/>
          <w:szCs w:val="20"/>
          <w:lang w:eastAsia="en-GB"/>
        </w:rPr>
        <w:t xml:space="preserve">Places data from August 2018 onwards is recorded in an updated administrative system and captures slightly more childcare places than previously. </w:t>
      </w:r>
    </w:p>
    <w:p w14:paraId="0E7392E3" w14:textId="77777777" w:rsidR="00ED7C14" w:rsidRDefault="00ED7C14" w:rsidP="005F5E09">
      <w:pPr>
        <w:rPr>
          <w:lang w:eastAsia="en-GB"/>
        </w:rPr>
      </w:pPr>
    </w:p>
    <w:p w14:paraId="632B181F" w14:textId="624BA867" w:rsidR="00236BC8" w:rsidRPr="008257DF" w:rsidRDefault="00236BC8" w:rsidP="00236BC8">
      <w:pPr>
        <w:rPr>
          <w:rFonts w:cs="Tahoma"/>
          <w:bCs/>
          <w:color w:val="FF0000"/>
        </w:rPr>
      </w:pPr>
      <w:r>
        <w:rPr>
          <w:rFonts w:cs="Tahoma"/>
          <w:bCs/>
        </w:rPr>
        <w:t>C</w:t>
      </w:r>
      <w:r w:rsidRPr="000C04CB">
        <w:rPr>
          <w:rFonts w:cs="Tahoma"/>
          <w:bCs/>
        </w:rPr>
        <w:t>hildminder prov</w:t>
      </w:r>
      <w:r>
        <w:rPr>
          <w:rFonts w:cs="Tahoma"/>
          <w:bCs/>
        </w:rPr>
        <w:t xml:space="preserve">ider numbers </w:t>
      </w:r>
      <w:r w:rsidR="00215534">
        <w:rPr>
          <w:rFonts w:cs="Tahoma"/>
          <w:bCs/>
        </w:rPr>
        <w:t xml:space="preserve">on the EYR </w:t>
      </w:r>
      <w:r>
        <w:rPr>
          <w:rFonts w:cs="Tahoma"/>
          <w:bCs/>
        </w:rPr>
        <w:t xml:space="preserve">have decreased </w:t>
      </w:r>
      <w:r w:rsidRPr="00B87BD1">
        <w:rPr>
          <w:rFonts w:cs="Tahoma"/>
          <w:bCs/>
        </w:rPr>
        <w:t xml:space="preserve">by </w:t>
      </w:r>
      <w:r w:rsidR="0041083A" w:rsidRPr="00B87BD1">
        <w:rPr>
          <w:rFonts w:cs="Tahoma"/>
          <w:bCs/>
        </w:rPr>
        <w:t>1</w:t>
      </w:r>
      <w:r w:rsidR="00B87BD1" w:rsidRPr="00B87BD1">
        <w:rPr>
          <w:rFonts w:cs="Tahoma"/>
          <w:bCs/>
        </w:rPr>
        <w:t>9</w:t>
      </w:r>
      <w:r w:rsidRPr="00B87BD1">
        <w:rPr>
          <w:rFonts w:cs="Tahoma"/>
          <w:bCs/>
        </w:rPr>
        <w:t xml:space="preserve">% since </w:t>
      </w:r>
      <w:r w:rsidR="0041083A" w:rsidRPr="00B87BD1">
        <w:rPr>
          <w:rFonts w:cs="Tahoma"/>
          <w:bCs/>
        </w:rPr>
        <w:t>31 August 2015</w:t>
      </w:r>
      <w:r w:rsidRPr="00B87BD1">
        <w:rPr>
          <w:rFonts w:cs="Tahoma"/>
          <w:bCs/>
        </w:rPr>
        <w:t>,</w:t>
      </w:r>
      <w:r w:rsidRPr="000C04CB">
        <w:rPr>
          <w:rFonts w:cs="Tahoma"/>
          <w:bCs/>
        </w:rPr>
        <w:t xml:space="preserve"> </w:t>
      </w:r>
      <w:r>
        <w:rPr>
          <w:rFonts w:cs="Tahoma"/>
          <w:bCs/>
        </w:rPr>
        <w:t xml:space="preserve">but the number of </w:t>
      </w:r>
      <w:r w:rsidRPr="000C04CB">
        <w:rPr>
          <w:rFonts w:cs="Tahoma"/>
          <w:bCs/>
        </w:rPr>
        <w:t xml:space="preserve">places offered by childminders </w:t>
      </w:r>
      <w:r w:rsidRPr="008832FB">
        <w:rPr>
          <w:rFonts w:cs="Tahoma"/>
          <w:bCs/>
        </w:rPr>
        <w:t xml:space="preserve">has only decreased by </w:t>
      </w:r>
      <w:r w:rsidR="008832FB" w:rsidRPr="008832FB">
        <w:rPr>
          <w:rFonts w:cs="Tahoma"/>
          <w:bCs/>
        </w:rPr>
        <w:t>7</w:t>
      </w:r>
      <w:r w:rsidRPr="008832FB">
        <w:rPr>
          <w:rFonts w:cs="Tahoma"/>
          <w:bCs/>
        </w:rPr>
        <w:t>%. This</w:t>
      </w:r>
      <w:r w:rsidRPr="000C04CB">
        <w:rPr>
          <w:rFonts w:cs="Tahoma"/>
          <w:bCs/>
        </w:rPr>
        <w:t xml:space="preserve"> means that </w:t>
      </w:r>
      <w:r w:rsidR="005F0309">
        <w:rPr>
          <w:rFonts w:cs="Tahoma"/>
          <w:bCs/>
        </w:rPr>
        <w:t xml:space="preserve">the </w:t>
      </w:r>
      <w:r w:rsidRPr="000C04CB">
        <w:rPr>
          <w:rFonts w:cs="Tahoma"/>
          <w:bCs/>
        </w:rPr>
        <w:t>individual childminder</w:t>
      </w:r>
      <w:r w:rsidR="00337614">
        <w:rPr>
          <w:rFonts w:cs="Tahoma"/>
          <w:bCs/>
        </w:rPr>
        <w:t>s</w:t>
      </w:r>
      <w:r w:rsidRPr="000C04CB">
        <w:rPr>
          <w:rFonts w:cs="Tahoma"/>
          <w:bCs/>
        </w:rPr>
        <w:t xml:space="preserve"> </w:t>
      </w:r>
      <w:r w:rsidR="00337614">
        <w:rPr>
          <w:rFonts w:cs="Tahoma"/>
          <w:bCs/>
        </w:rPr>
        <w:t xml:space="preserve">are </w:t>
      </w:r>
      <w:r w:rsidR="00A14944">
        <w:rPr>
          <w:rFonts w:cs="Tahoma"/>
          <w:bCs/>
        </w:rPr>
        <w:t xml:space="preserve">each </w:t>
      </w:r>
      <w:r w:rsidRPr="000C04CB">
        <w:rPr>
          <w:rFonts w:cs="Tahoma"/>
          <w:bCs/>
        </w:rPr>
        <w:t>offering a higher number of places</w:t>
      </w:r>
      <w:r w:rsidR="00E01155" w:rsidRPr="00E01155">
        <w:rPr>
          <w:rFonts w:cs="Tahoma"/>
          <w:bCs/>
        </w:rPr>
        <w:t xml:space="preserve"> </w:t>
      </w:r>
      <w:r w:rsidR="00E01155" w:rsidRPr="000C04CB">
        <w:rPr>
          <w:rFonts w:cs="Tahoma"/>
          <w:bCs/>
        </w:rPr>
        <w:t>on average,</w:t>
      </w:r>
      <w:r w:rsidRPr="000C04CB">
        <w:rPr>
          <w:rFonts w:cs="Tahoma"/>
          <w:bCs/>
        </w:rPr>
        <w:t xml:space="preserve"> even though there are fewer childminders and </w:t>
      </w:r>
      <w:r w:rsidR="005F0309">
        <w:rPr>
          <w:rFonts w:cs="Tahoma"/>
          <w:bCs/>
        </w:rPr>
        <w:t xml:space="preserve">fewer </w:t>
      </w:r>
      <w:r w:rsidRPr="000C04CB">
        <w:rPr>
          <w:rFonts w:cs="Tahoma"/>
          <w:bCs/>
        </w:rPr>
        <w:t>places</w:t>
      </w:r>
      <w:r w:rsidR="005F0309">
        <w:rPr>
          <w:rFonts w:cs="Tahoma"/>
          <w:bCs/>
        </w:rPr>
        <w:t xml:space="preserve"> offered by childminders</w:t>
      </w:r>
      <w:r w:rsidRPr="000C04CB">
        <w:rPr>
          <w:rFonts w:cs="Tahoma"/>
          <w:bCs/>
        </w:rPr>
        <w:t xml:space="preserve"> overall.</w:t>
      </w:r>
      <w:r w:rsidRPr="008257DF">
        <w:rPr>
          <w:rFonts w:cs="Tahoma"/>
          <w:bCs/>
          <w:color w:val="FF0000"/>
        </w:rPr>
        <w:t xml:space="preserve"> </w:t>
      </w:r>
      <w:r w:rsidRPr="000C04CB">
        <w:rPr>
          <w:rFonts w:cs="Tahoma"/>
          <w:bCs/>
          <w:color w:val="FF0000"/>
        </w:rPr>
        <w:br/>
      </w:r>
    </w:p>
    <w:p w14:paraId="588EE73C" w14:textId="49D1CC24" w:rsidR="0009391B" w:rsidRDefault="0009391B" w:rsidP="0009391B">
      <w:pPr>
        <w:pStyle w:val="Heading1"/>
      </w:pPr>
      <w:bookmarkStart w:id="44" w:name="_Inspection_outcomes"/>
      <w:bookmarkStart w:id="45" w:name="_Toc476064990"/>
      <w:bookmarkStart w:id="46" w:name="_Toc483925854"/>
      <w:bookmarkStart w:id="47" w:name="_Toc483925902"/>
      <w:bookmarkStart w:id="48" w:name="_Toc508963534"/>
      <w:bookmarkStart w:id="49" w:name="_Toc2336329"/>
      <w:bookmarkStart w:id="50" w:name="_Toc2348749"/>
      <w:bookmarkEnd w:id="44"/>
      <w:r w:rsidRPr="00C03505">
        <w:lastRenderedPageBreak/>
        <w:t>Inspection outcomes</w:t>
      </w:r>
      <w:bookmarkEnd w:id="45"/>
      <w:bookmarkEnd w:id="46"/>
      <w:bookmarkEnd w:id="47"/>
      <w:bookmarkEnd w:id="48"/>
      <w:bookmarkEnd w:id="49"/>
      <w:bookmarkEnd w:id="50"/>
      <w:r w:rsidRPr="00C03505">
        <w:t xml:space="preserve"> </w:t>
      </w:r>
    </w:p>
    <w:p w14:paraId="7D49DDE8" w14:textId="080E6E3E" w:rsidR="00437775" w:rsidRPr="00ED2891" w:rsidRDefault="00437775" w:rsidP="00437775">
      <w:pPr>
        <w:rPr>
          <w:rFonts w:cs="Tahoma"/>
          <w:bCs/>
          <w:highlight w:val="yellow"/>
        </w:rPr>
      </w:pPr>
      <w:r w:rsidRPr="00ED2891">
        <w:rPr>
          <w:rFonts w:cs="Tahoma"/>
          <w:bCs/>
        </w:rPr>
        <w:t>New providers joining the E</w:t>
      </w:r>
      <w:r>
        <w:rPr>
          <w:rFonts w:cs="Tahoma"/>
          <w:bCs/>
        </w:rPr>
        <w:t xml:space="preserve">arly </w:t>
      </w:r>
      <w:r w:rsidRPr="00ED2891">
        <w:rPr>
          <w:rFonts w:cs="Tahoma"/>
          <w:bCs/>
        </w:rPr>
        <w:t>Y</w:t>
      </w:r>
      <w:r>
        <w:rPr>
          <w:rFonts w:cs="Tahoma"/>
          <w:bCs/>
        </w:rPr>
        <w:t xml:space="preserve">ears </w:t>
      </w:r>
      <w:r w:rsidRPr="00ED2891">
        <w:rPr>
          <w:rFonts w:cs="Tahoma"/>
          <w:bCs/>
        </w:rPr>
        <w:t>R</w:t>
      </w:r>
      <w:r>
        <w:rPr>
          <w:rFonts w:cs="Tahoma"/>
          <w:bCs/>
        </w:rPr>
        <w:t>egister (EYR)</w:t>
      </w:r>
      <w:r w:rsidRPr="00ED2891">
        <w:rPr>
          <w:rFonts w:cs="Tahoma"/>
          <w:bCs/>
        </w:rPr>
        <w:t xml:space="preserve"> are normally inspected within 30 months of registration.</w:t>
      </w:r>
      <w:r w:rsidR="003C2980">
        <w:rPr>
          <w:rFonts w:cs="Tahoma"/>
          <w:bCs/>
        </w:rPr>
        <w:t xml:space="preserve"> </w:t>
      </w:r>
      <w:r w:rsidR="003C2980" w:rsidRPr="00500725">
        <w:rPr>
          <w:color w:val="auto"/>
          <w:lang w:val="en"/>
        </w:rPr>
        <w:t>The ‘</w:t>
      </w:r>
      <w:hyperlink r:id="rId18" w:history="1">
        <w:r w:rsidR="003C2980" w:rsidRPr="00500725">
          <w:rPr>
            <w:rStyle w:val="Hyperlink"/>
            <w:color w:val="auto"/>
            <w:lang w:val="en"/>
          </w:rPr>
          <w:t>Being inspected as a childminder or childcare provider</w:t>
        </w:r>
      </w:hyperlink>
      <w:r w:rsidR="003C2980" w:rsidRPr="00500725">
        <w:rPr>
          <w:color w:val="auto"/>
          <w:lang w:val="en"/>
        </w:rPr>
        <w:t>’</w:t>
      </w:r>
      <w:r w:rsidR="003C2980">
        <w:rPr>
          <w:lang w:val="en"/>
        </w:rPr>
        <w:t xml:space="preserve"> guidance (</w:t>
      </w:r>
      <w:hyperlink r:id="rId19" w:history="1">
        <w:r w:rsidR="003C2980">
          <w:rPr>
            <w:rStyle w:val="Hyperlink"/>
            <w:lang w:val="en"/>
          </w:rPr>
          <w:t>www.gov.uk/ofsted-inspection-childcare-provider</w:t>
        </w:r>
      </w:hyperlink>
      <w:r w:rsidR="003C2980">
        <w:rPr>
          <w:lang w:val="en"/>
        </w:rPr>
        <w:t>) provides more information about inspection.</w:t>
      </w:r>
      <w:r w:rsidRPr="00ED2891">
        <w:rPr>
          <w:rFonts w:cs="Tahoma"/>
          <w:bCs/>
        </w:rPr>
        <w:t xml:space="preserve"> </w:t>
      </w:r>
      <w:r w:rsidRPr="00350FC8">
        <w:rPr>
          <w:rFonts w:cs="Tahoma"/>
          <w:bCs/>
        </w:rPr>
        <w:t xml:space="preserve">On 31 </w:t>
      </w:r>
      <w:r w:rsidR="00F5563F" w:rsidRPr="00350FC8">
        <w:rPr>
          <w:rFonts w:cs="Tahoma"/>
          <w:bCs/>
        </w:rPr>
        <w:t>March</w:t>
      </w:r>
      <w:r w:rsidRPr="00350FC8">
        <w:rPr>
          <w:rFonts w:cs="Tahoma"/>
          <w:bCs/>
        </w:rPr>
        <w:t xml:space="preserve"> 201</w:t>
      </w:r>
      <w:r w:rsidR="00F5563F" w:rsidRPr="00350FC8">
        <w:rPr>
          <w:rFonts w:cs="Tahoma"/>
          <w:bCs/>
        </w:rPr>
        <w:t>9</w:t>
      </w:r>
      <w:r w:rsidRPr="00350FC8">
        <w:rPr>
          <w:rFonts w:cs="Tahoma"/>
          <w:bCs/>
        </w:rPr>
        <w:t xml:space="preserve">, </w:t>
      </w:r>
      <w:r w:rsidR="007D1314" w:rsidRPr="00350FC8">
        <w:rPr>
          <w:rFonts w:cs="Tahoma"/>
        </w:rPr>
        <w:t>5</w:t>
      </w:r>
      <w:r w:rsidR="005F61B6" w:rsidRPr="00350FC8">
        <w:rPr>
          <w:rFonts w:cs="Tahoma"/>
        </w:rPr>
        <w:t>0</w:t>
      </w:r>
      <w:r w:rsidR="007D1314" w:rsidRPr="00350FC8">
        <w:rPr>
          <w:rFonts w:cs="Tahoma"/>
        </w:rPr>
        <w:t>,</w:t>
      </w:r>
      <w:r w:rsidR="005F61B6" w:rsidRPr="00350FC8">
        <w:rPr>
          <w:rFonts w:cs="Tahoma"/>
        </w:rPr>
        <w:t>8</w:t>
      </w:r>
      <w:r w:rsidR="006245E8" w:rsidRPr="00350FC8">
        <w:rPr>
          <w:rFonts w:cs="Tahoma"/>
        </w:rPr>
        <w:t>00 (82</w:t>
      </w:r>
      <w:r w:rsidR="007D1314" w:rsidRPr="00350FC8">
        <w:rPr>
          <w:rFonts w:cs="Tahoma"/>
        </w:rPr>
        <w:t xml:space="preserve">%) </w:t>
      </w:r>
      <w:r w:rsidRPr="00350FC8">
        <w:rPr>
          <w:rFonts w:cs="Tahoma"/>
          <w:bCs/>
        </w:rPr>
        <w:t>providers</w:t>
      </w:r>
      <w:r w:rsidRPr="001C5BAE">
        <w:rPr>
          <w:rFonts w:cs="Tahoma"/>
          <w:bCs/>
        </w:rPr>
        <w:t xml:space="preserve"> on the EYR had</w:t>
      </w:r>
      <w:r w:rsidR="00797C74">
        <w:rPr>
          <w:rFonts w:cs="Tahoma"/>
          <w:bCs/>
        </w:rPr>
        <w:t xml:space="preserve"> </w:t>
      </w:r>
      <w:r w:rsidR="007D1314">
        <w:rPr>
          <w:rFonts w:cs="Tahoma"/>
          <w:bCs/>
        </w:rPr>
        <w:t xml:space="preserve">received a full </w:t>
      </w:r>
      <w:r w:rsidR="007D1314" w:rsidRPr="001338BA">
        <w:rPr>
          <w:rFonts w:cs="Tahoma"/>
          <w:bCs/>
        </w:rPr>
        <w:t>inspection</w:t>
      </w:r>
      <w:r w:rsidRPr="001338BA">
        <w:rPr>
          <w:rFonts w:cs="Tahoma"/>
          <w:bCs/>
        </w:rPr>
        <w:t>.</w:t>
      </w:r>
      <w:r w:rsidR="00645907" w:rsidRPr="001338BA">
        <w:rPr>
          <w:rStyle w:val="FootnoteReference"/>
          <w:rFonts w:cs="Tahoma"/>
          <w:bCs/>
        </w:rPr>
        <w:footnoteReference w:id="7"/>
      </w:r>
      <w:r w:rsidRPr="001338BA">
        <w:rPr>
          <w:rFonts w:cs="Tahoma"/>
          <w:bCs/>
        </w:rPr>
        <w:t xml:space="preserve"> </w:t>
      </w:r>
      <w:r w:rsidR="00DD263D" w:rsidRPr="001338BA">
        <w:rPr>
          <w:rFonts w:cs="Tahoma"/>
          <w:bCs/>
        </w:rPr>
        <w:t>Most of the providers that have</w:t>
      </w:r>
      <w:r w:rsidR="00A81A35" w:rsidRPr="001338BA">
        <w:rPr>
          <w:rFonts w:cs="Tahoma"/>
          <w:bCs/>
        </w:rPr>
        <w:t xml:space="preserve"> not yet </w:t>
      </w:r>
      <w:r w:rsidR="00BC3E5A" w:rsidRPr="001338BA">
        <w:rPr>
          <w:rFonts w:cs="Tahoma"/>
          <w:bCs/>
        </w:rPr>
        <w:t xml:space="preserve">been </w:t>
      </w:r>
      <w:r w:rsidR="00A81A35" w:rsidRPr="001338BA">
        <w:rPr>
          <w:rFonts w:cs="Tahoma"/>
          <w:bCs/>
        </w:rPr>
        <w:t>inspected</w:t>
      </w:r>
      <w:r w:rsidR="009B1E35" w:rsidRPr="001338BA">
        <w:rPr>
          <w:rFonts w:cs="Tahoma"/>
          <w:bCs/>
        </w:rPr>
        <w:t xml:space="preserve"> </w:t>
      </w:r>
      <w:r w:rsidR="00A81A35" w:rsidRPr="001338BA">
        <w:rPr>
          <w:rFonts w:cs="Tahoma"/>
          <w:bCs/>
        </w:rPr>
        <w:t>joined the EYR within the last two years.</w:t>
      </w:r>
      <w:r w:rsidR="009D001E">
        <w:rPr>
          <w:rFonts w:cs="Tahoma"/>
          <w:bCs/>
        </w:rPr>
        <w:t xml:space="preserve"> </w:t>
      </w:r>
    </w:p>
    <w:p w14:paraId="15D309D1" w14:textId="77777777" w:rsidR="00437775" w:rsidRPr="008257DF" w:rsidRDefault="00437775" w:rsidP="00437775">
      <w:pPr>
        <w:rPr>
          <w:rFonts w:cs="Tahoma"/>
          <w:bCs/>
          <w:color w:val="FF0000"/>
        </w:rPr>
      </w:pPr>
    </w:p>
    <w:p w14:paraId="5C2C4634" w14:textId="742C809C" w:rsidR="003D22F1" w:rsidRDefault="00437775" w:rsidP="00DD5F4A">
      <w:pPr>
        <w:rPr>
          <w:rFonts w:cs="Tahoma"/>
        </w:rPr>
      </w:pPr>
      <w:r w:rsidRPr="00ED2891">
        <w:rPr>
          <w:rFonts w:cs="Tahoma"/>
          <w:b/>
        </w:rPr>
        <w:t>Proportion of providers on the EYR judged good or outstanding</w:t>
      </w:r>
      <w:r w:rsidRPr="00ED2891">
        <w:rPr>
          <w:rFonts w:cs="Tahoma"/>
        </w:rPr>
        <w:t xml:space="preserve"> </w:t>
      </w:r>
      <w:r w:rsidRPr="00ED2891">
        <w:rPr>
          <w:rFonts w:cs="Tahoma"/>
          <w:highlight w:val="yellow"/>
        </w:rPr>
        <w:br/>
      </w:r>
      <w:r w:rsidRPr="00BE569E">
        <w:rPr>
          <w:rFonts w:cs="Tahoma"/>
        </w:rPr>
        <w:t xml:space="preserve">On 31 </w:t>
      </w:r>
      <w:r w:rsidR="00BE569E" w:rsidRPr="00BE569E">
        <w:rPr>
          <w:rFonts w:cs="Tahoma"/>
        </w:rPr>
        <w:t>March</w:t>
      </w:r>
      <w:r w:rsidRPr="00BE569E">
        <w:rPr>
          <w:rFonts w:cs="Tahoma"/>
        </w:rPr>
        <w:t xml:space="preserve"> 201</w:t>
      </w:r>
      <w:r w:rsidR="00BE569E" w:rsidRPr="00BE569E">
        <w:rPr>
          <w:rFonts w:cs="Tahoma"/>
        </w:rPr>
        <w:t>9</w:t>
      </w:r>
      <w:r w:rsidRPr="00BE569E">
        <w:rPr>
          <w:rFonts w:cs="Tahoma"/>
        </w:rPr>
        <w:t>, 9</w:t>
      </w:r>
      <w:r w:rsidR="00BD7F3F" w:rsidRPr="00BE569E">
        <w:rPr>
          <w:rFonts w:cs="Tahoma"/>
        </w:rPr>
        <w:t>5</w:t>
      </w:r>
      <w:r w:rsidRPr="00BE569E">
        <w:rPr>
          <w:rFonts w:cs="Tahoma"/>
        </w:rPr>
        <w:t>% of childcare</w:t>
      </w:r>
      <w:r w:rsidRPr="007B0390">
        <w:rPr>
          <w:rFonts w:cs="Tahoma"/>
        </w:rPr>
        <w:t xml:space="preserve"> providers on the </w:t>
      </w:r>
      <w:r w:rsidR="0089141F" w:rsidRPr="007B0390">
        <w:rPr>
          <w:rFonts w:cs="Tahoma"/>
        </w:rPr>
        <w:t>EYR</w:t>
      </w:r>
      <w:r w:rsidRPr="007B0390">
        <w:rPr>
          <w:rFonts w:cs="Tahoma"/>
        </w:rPr>
        <w:t xml:space="preserve"> were judged </w:t>
      </w:r>
      <w:r w:rsidR="00A52CB4">
        <w:rPr>
          <w:rFonts w:cs="Tahoma"/>
        </w:rPr>
        <w:t>either</w:t>
      </w:r>
      <w:r w:rsidRPr="007B0390">
        <w:rPr>
          <w:rFonts w:cs="Tahoma"/>
        </w:rPr>
        <w:t xml:space="preserve"> good or </w:t>
      </w:r>
      <w:r w:rsidRPr="000120AC">
        <w:rPr>
          <w:rFonts w:cs="Tahoma"/>
        </w:rPr>
        <w:t>outstanding</w:t>
      </w:r>
      <w:r w:rsidR="00691023" w:rsidRPr="000120AC">
        <w:rPr>
          <w:rFonts w:cs="Tahoma"/>
        </w:rPr>
        <w:t xml:space="preserve"> </w:t>
      </w:r>
      <w:r w:rsidR="00A52CB4" w:rsidRPr="000120AC">
        <w:rPr>
          <w:rFonts w:cs="Tahoma"/>
        </w:rPr>
        <w:t>at their most recent inspection</w:t>
      </w:r>
      <w:r w:rsidRPr="000120AC">
        <w:rPr>
          <w:rFonts w:cs="Tahoma"/>
        </w:rPr>
        <w:t>.</w:t>
      </w:r>
      <w:r w:rsidR="00E64922" w:rsidRPr="000120AC">
        <w:rPr>
          <w:rFonts w:cs="Tahoma"/>
        </w:rPr>
        <w:t xml:space="preserve"> </w:t>
      </w:r>
      <w:r w:rsidR="00E64922" w:rsidRPr="000120AC">
        <w:rPr>
          <w:lang w:val="en"/>
        </w:rPr>
        <w:t xml:space="preserve">This </w:t>
      </w:r>
      <w:r w:rsidR="0061238B" w:rsidRPr="000120AC">
        <w:rPr>
          <w:lang w:val="en"/>
        </w:rPr>
        <w:t>has</w:t>
      </w:r>
      <w:r w:rsidR="00193B63" w:rsidRPr="000120AC">
        <w:rPr>
          <w:lang w:val="en"/>
        </w:rPr>
        <w:t xml:space="preserve"> not </w:t>
      </w:r>
      <w:r w:rsidR="0061238B" w:rsidRPr="000120AC">
        <w:rPr>
          <w:lang w:val="en"/>
        </w:rPr>
        <w:t>changed since</w:t>
      </w:r>
      <w:r w:rsidR="00E64922" w:rsidRPr="000120AC">
        <w:rPr>
          <w:lang w:val="en"/>
        </w:rPr>
        <w:t xml:space="preserve"> 31 </w:t>
      </w:r>
      <w:r w:rsidR="000120AC" w:rsidRPr="000120AC">
        <w:rPr>
          <w:lang w:val="en"/>
        </w:rPr>
        <w:t>December</w:t>
      </w:r>
      <w:r w:rsidR="00E64922" w:rsidRPr="000120AC">
        <w:rPr>
          <w:lang w:val="en"/>
        </w:rPr>
        <w:t xml:space="preserve"> 2018</w:t>
      </w:r>
      <w:r w:rsidRPr="000120AC">
        <w:rPr>
          <w:rFonts w:cs="Tahoma"/>
        </w:rPr>
        <w:t xml:space="preserve">, </w:t>
      </w:r>
      <w:r w:rsidR="00E64922" w:rsidRPr="000120AC">
        <w:rPr>
          <w:rFonts w:cs="Tahoma"/>
        </w:rPr>
        <w:t xml:space="preserve">but is </w:t>
      </w:r>
      <w:r w:rsidRPr="000120AC">
        <w:rPr>
          <w:rFonts w:cs="Tahoma"/>
        </w:rPr>
        <w:t xml:space="preserve">a substantial increase from </w:t>
      </w:r>
      <w:r w:rsidR="006245E8" w:rsidRPr="000120AC">
        <w:rPr>
          <w:rFonts w:cs="Tahoma"/>
        </w:rPr>
        <w:t>31 August 2015</w:t>
      </w:r>
      <w:r w:rsidR="00675F90">
        <w:rPr>
          <w:rFonts w:cs="Tahoma"/>
        </w:rPr>
        <w:t>,</w:t>
      </w:r>
      <w:r w:rsidRPr="000120AC">
        <w:rPr>
          <w:rFonts w:cs="Tahoma"/>
        </w:rPr>
        <w:t xml:space="preserve"> when the proportion was </w:t>
      </w:r>
      <w:r w:rsidR="006245E8" w:rsidRPr="000120AC">
        <w:rPr>
          <w:rFonts w:cs="Tahoma"/>
        </w:rPr>
        <w:t>85</w:t>
      </w:r>
      <w:r w:rsidRPr="000120AC">
        <w:rPr>
          <w:rFonts w:cs="Tahoma"/>
        </w:rPr>
        <w:t>%</w:t>
      </w:r>
      <w:r w:rsidR="00465E8D" w:rsidRPr="000120AC">
        <w:rPr>
          <w:rFonts w:cs="Tahoma"/>
        </w:rPr>
        <w:t xml:space="preserve"> </w:t>
      </w:r>
      <w:r w:rsidR="00465E8D" w:rsidRPr="00513EEB">
        <w:rPr>
          <w:rFonts w:cs="Tahoma"/>
        </w:rPr>
        <w:t>(</w:t>
      </w:r>
      <w:r w:rsidR="00513EEB" w:rsidRPr="00513EEB">
        <w:rPr>
          <w:rFonts w:cs="Tahoma"/>
        </w:rPr>
        <w:fldChar w:fldCharType="begin"/>
      </w:r>
      <w:r w:rsidR="00513EEB" w:rsidRPr="00513EEB">
        <w:rPr>
          <w:rFonts w:cs="Tahoma"/>
        </w:rPr>
        <w:instrText xml:space="preserve"> REF _Ref514672778 \h </w:instrText>
      </w:r>
      <w:r w:rsidR="00513EEB">
        <w:rPr>
          <w:rFonts w:cs="Tahoma"/>
        </w:rPr>
        <w:instrText xml:space="preserve"> \* MERGEFORMAT </w:instrText>
      </w:r>
      <w:r w:rsidR="00513EEB" w:rsidRPr="00513EEB">
        <w:rPr>
          <w:rFonts w:cs="Tahoma"/>
        </w:rPr>
      </w:r>
      <w:r w:rsidR="00513EEB" w:rsidRPr="00513EEB">
        <w:rPr>
          <w:rFonts w:cs="Tahoma"/>
        </w:rPr>
        <w:fldChar w:fldCharType="separate"/>
      </w:r>
      <w:r w:rsidR="006A56EC" w:rsidRPr="006A56EC">
        <w:t xml:space="preserve">Figure </w:t>
      </w:r>
      <w:r w:rsidR="006A56EC" w:rsidRPr="006A56EC">
        <w:rPr>
          <w:noProof/>
        </w:rPr>
        <w:t>1</w:t>
      </w:r>
      <w:r w:rsidR="00513EEB" w:rsidRPr="00513EEB">
        <w:rPr>
          <w:rFonts w:cs="Tahoma"/>
        </w:rPr>
        <w:fldChar w:fldCharType="end"/>
      </w:r>
      <w:r w:rsidR="00465E8D" w:rsidRPr="00513EEB">
        <w:rPr>
          <w:rFonts w:cs="Tahoma"/>
        </w:rPr>
        <w:t>)</w:t>
      </w:r>
      <w:r w:rsidRPr="00513EEB">
        <w:rPr>
          <w:rFonts w:cs="Tahoma"/>
        </w:rPr>
        <w:t>.</w:t>
      </w:r>
      <w:r w:rsidRPr="007B0390">
        <w:rPr>
          <w:rFonts w:cs="Tahoma"/>
        </w:rPr>
        <w:t xml:space="preserve"> </w:t>
      </w:r>
    </w:p>
    <w:p w14:paraId="1900077A" w14:textId="77777777" w:rsidR="00CF154A" w:rsidRDefault="00CF154A" w:rsidP="00DD5F4A">
      <w:pPr>
        <w:rPr>
          <w:rFonts w:cs="Tahoma"/>
        </w:rPr>
      </w:pPr>
    </w:p>
    <w:p w14:paraId="0E12F271" w14:textId="6BB34C91" w:rsidR="00263B09" w:rsidRPr="00727CE9" w:rsidRDefault="00437775" w:rsidP="008D5219">
      <w:pPr>
        <w:spacing w:after="240"/>
        <w:rPr>
          <w:rFonts w:cs="Tahoma"/>
        </w:rPr>
      </w:pPr>
      <w:r w:rsidRPr="00727CE9">
        <w:rPr>
          <w:rFonts w:cs="Tahoma"/>
        </w:rPr>
        <w:t xml:space="preserve">Looking at the two main provider types </w:t>
      </w:r>
      <w:r>
        <w:rPr>
          <w:rFonts w:cs="Tahoma"/>
        </w:rPr>
        <w:t>on</w:t>
      </w:r>
      <w:r w:rsidRPr="00727CE9">
        <w:rPr>
          <w:rFonts w:cs="Tahoma"/>
        </w:rPr>
        <w:t xml:space="preserve"> 31 </w:t>
      </w:r>
      <w:r w:rsidR="000120AC" w:rsidRPr="00513EEB">
        <w:rPr>
          <w:rFonts w:cs="Tahoma"/>
        </w:rPr>
        <w:t>March</w:t>
      </w:r>
      <w:r w:rsidR="003A4C8B" w:rsidRPr="00513EEB">
        <w:rPr>
          <w:rFonts w:cs="Tahoma"/>
        </w:rPr>
        <w:t xml:space="preserve"> </w:t>
      </w:r>
      <w:r w:rsidRPr="00513EEB">
        <w:rPr>
          <w:rFonts w:cs="Tahoma"/>
        </w:rPr>
        <w:t>201</w:t>
      </w:r>
      <w:r w:rsidR="000120AC" w:rsidRPr="00513EEB">
        <w:rPr>
          <w:rFonts w:cs="Tahoma"/>
        </w:rPr>
        <w:t>9</w:t>
      </w:r>
      <w:r w:rsidRPr="00513EEB">
        <w:rPr>
          <w:rFonts w:cs="Tahoma"/>
        </w:rPr>
        <w:t xml:space="preserve"> (</w:t>
      </w:r>
      <w:r w:rsidR="00513EEB" w:rsidRPr="00513EEB">
        <w:rPr>
          <w:rFonts w:cs="Tahoma"/>
        </w:rPr>
        <w:fldChar w:fldCharType="begin"/>
      </w:r>
      <w:r w:rsidR="00513EEB" w:rsidRPr="00513EEB">
        <w:rPr>
          <w:rFonts w:cs="Tahoma"/>
        </w:rPr>
        <w:instrText xml:space="preserve"> REF _Ref11228614 \h </w:instrText>
      </w:r>
      <w:r w:rsidR="00513EEB">
        <w:rPr>
          <w:rFonts w:cs="Tahoma"/>
        </w:rPr>
        <w:instrText xml:space="preserve"> \* MERGEFORMAT </w:instrText>
      </w:r>
      <w:r w:rsidR="00513EEB" w:rsidRPr="00513EEB">
        <w:rPr>
          <w:rFonts w:cs="Tahoma"/>
        </w:rPr>
      </w:r>
      <w:r w:rsidR="00513EEB" w:rsidRPr="00513EEB">
        <w:rPr>
          <w:rFonts w:cs="Tahoma"/>
        </w:rPr>
        <w:fldChar w:fldCharType="separate"/>
      </w:r>
      <w:r w:rsidR="006A56EC" w:rsidRPr="006A56EC">
        <w:t xml:space="preserve">Figure </w:t>
      </w:r>
      <w:r w:rsidR="006A56EC" w:rsidRPr="006A56EC">
        <w:rPr>
          <w:noProof/>
        </w:rPr>
        <w:t>6</w:t>
      </w:r>
      <w:r w:rsidR="00513EEB" w:rsidRPr="00513EEB">
        <w:rPr>
          <w:rFonts w:cs="Tahoma"/>
        </w:rPr>
        <w:fldChar w:fldCharType="end"/>
      </w:r>
      <w:r w:rsidRPr="00513EEB">
        <w:rPr>
          <w:rFonts w:cs="Tahoma"/>
        </w:rPr>
        <w:t>)</w:t>
      </w:r>
      <w:r w:rsidRPr="00513EEB">
        <w:rPr>
          <w:rStyle w:val="FootnoteReference"/>
          <w:rFonts w:cs="Tahoma"/>
        </w:rPr>
        <w:t xml:space="preserve"> </w:t>
      </w:r>
      <w:bookmarkStart w:id="51" w:name="_Ref2938600"/>
      <w:r w:rsidRPr="00513EEB">
        <w:rPr>
          <w:rStyle w:val="FootnoteReference"/>
          <w:rFonts w:cs="Tahoma"/>
        </w:rPr>
        <w:footnoteReference w:id="8"/>
      </w:r>
      <w:bookmarkEnd w:id="51"/>
      <w:r w:rsidRPr="00513EEB">
        <w:rPr>
          <w:rFonts w:cs="Tahoma"/>
        </w:rPr>
        <w:t>:</w:t>
      </w:r>
      <w:r w:rsidRPr="00727CE9">
        <w:rPr>
          <w:rFonts w:cs="Tahoma"/>
        </w:rPr>
        <w:t xml:space="preserve"> </w:t>
      </w:r>
    </w:p>
    <w:p w14:paraId="679D611F" w14:textId="2D7D4F2E" w:rsidR="00437775" w:rsidRPr="00E437A1" w:rsidRDefault="00437775" w:rsidP="00E21F8C">
      <w:pPr>
        <w:numPr>
          <w:ilvl w:val="0"/>
          <w:numId w:val="11"/>
        </w:numPr>
        <w:rPr>
          <w:rFonts w:cs="Tahoma"/>
        </w:rPr>
      </w:pPr>
      <w:r w:rsidRPr="00BC6053">
        <w:rPr>
          <w:rFonts w:cs="Tahoma"/>
          <w:b/>
        </w:rPr>
        <w:t xml:space="preserve">Childcare on non-domestic </w:t>
      </w:r>
      <w:r w:rsidRPr="00FF21FB">
        <w:rPr>
          <w:rFonts w:cs="Tahoma"/>
          <w:b/>
        </w:rPr>
        <w:t>premises:</w:t>
      </w:r>
      <w:r w:rsidRPr="00FF21FB">
        <w:rPr>
          <w:rFonts w:cs="Tahoma"/>
        </w:rPr>
        <w:t xml:space="preserve"> </w:t>
      </w:r>
      <w:r w:rsidR="00BC6053" w:rsidRPr="00FF21FB">
        <w:rPr>
          <w:rFonts w:cs="Tahoma"/>
        </w:rPr>
        <w:t>9</w:t>
      </w:r>
      <w:r w:rsidR="00FF21FB" w:rsidRPr="00FF21FB">
        <w:rPr>
          <w:rFonts w:cs="Tahoma"/>
        </w:rPr>
        <w:t>7</w:t>
      </w:r>
      <w:r w:rsidRPr="00FF21FB">
        <w:rPr>
          <w:rFonts w:cs="Tahoma"/>
        </w:rPr>
        <w:t>% were</w:t>
      </w:r>
      <w:r w:rsidRPr="00BC6053">
        <w:rPr>
          <w:rFonts w:cs="Tahoma"/>
        </w:rPr>
        <w:t xml:space="preserve"> </w:t>
      </w:r>
      <w:r w:rsidR="00CB3933">
        <w:rPr>
          <w:rFonts w:cs="Tahoma"/>
        </w:rPr>
        <w:t>good</w:t>
      </w:r>
      <w:r w:rsidRPr="00BC6053">
        <w:rPr>
          <w:rFonts w:cs="Tahoma"/>
        </w:rPr>
        <w:t xml:space="preserve"> or </w:t>
      </w:r>
      <w:r w:rsidR="00CB3933">
        <w:rPr>
          <w:rFonts w:cs="Tahoma"/>
        </w:rPr>
        <w:t>o</w:t>
      </w:r>
      <w:r w:rsidR="005A4A45">
        <w:rPr>
          <w:rFonts w:cs="Tahoma"/>
        </w:rPr>
        <w:t>utstanding</w:t>
      </w:r>
      <w:r w:rsidR="009E2A30" w:rsidRPr="00BC6053">
        <w:rPr>
          <w:rFonts w:cs="Tahoma"/>
        </w:rPr>
        <w:t xml:space="preserve"> at their </w:t>
      </w:r>
      <w:r w:rsidR="009E2A30" w:rsidRPr="00E437A1">
        <w:rPr>
          <w:rFonts w:cs="Tahoma"/>
        </w:rPr>
        <w:t>most recent inspection,</w:t>
      </w:r>
      <w:r w:rsidRPr="00E437A1">
        <w:rPr>
          <w:rFonts w:cs="Tahoma"/>
        </w:rPr>
        <w:t xml:space="preserve"> </w:t>
      </w:r>
      <w:r w:rsidR="0004055A" w:rsidRPr="00E437A1">
        <w:rPr>
          <w:rFonts w:cs="Tahoma"/>
        </w:rPr>
        <w:t xml:space="preserve">a slight increase from 96% </w:t>
      </w:r>
      <w:r w:rsidR="00B56B67">
        <w:rPr>
          <w:rFonts w:cs="Tahoma"/>
        </w:rPr>
        <w:t>o</w:t>
      </w:r>
      <w:r w:rsidR="00B56B67" w:rsidRPr="00E437A1">
        <w:rPr>
          <w:rFonts w:cs="Tahoma"/>
        </w:rPr>
        <w:t xml:space="preserve">n </w:t>
      </w:r>
      <w:r w:rsidR="0004055A" w:rsidRPr="00E437A1">
        <w:rPr>
          <w:rFonts w:cs="Tahoma"/>
        </w:rPr>
        <w:t>31 December</w:t>
      </w:r>
      <w:r w:rsidR="00EB6D8F" w:rsidRPr="00E437A1">
        <w:rPr>
          <w:rFonts w:cs="Tahoma"/>
        </w:rPr>
        <w:t xml:space="preserve"> </w:t>
      </w:r>
      <w:r w:rsidR="00146D7F" w:rsidRPr="00E437A1">
        <w:rPr>
          <w:rFonts w:cs="Tahoma"/>
        </w:rPr>
        <w:t>2018</w:t>
      </w:r>
      <w:r w:rsidRPr="00E437A1">
        <w:rPr>
          <w:rFonts w:cs="Tahoma"/>
        </w:rPr>
        <w:t xml:space="preserve">. This was made up of </w:t>
      </w:r>
      <w:r w:rsidR="00BC6053" w:rsidRPr="00E437A1">
        <w:rPr>
          <w:rFonts w:cs="Tahoma"/>
        </w:rPr>
        <w:t>73</w:t>
      </w:r>
      <w:r w:rsidRPr="00E437A1">
        <w:rPr>
          <w:rFonts w:cs="Tahoma"/>
        </w:rPr>
        <w:t xml:space="preserve">% of childcare on non-domestic premises judged good and </w:t>
      </w:r>
      <w:r w:rsidR="00BC6053" w:rsidRPr="00E437A1">
        <w:rPr>
          <w:rFonts w:cs="Tahoma"/>
        </w:rPr>
        <w:t>24</w:t>
      </w:r>
      <w:r w:rsidRPr="00E437A1">
        <w:rPr>
          <w:rFonts w:cs="Tahoma"/>
        </w:rPr>
        <w:t xml:space="preserve">% outstanding. </w:t>
      </w:r>
    </w:p>
    <w:p w14:paraId="1BA3D79A" w14:textId="77777777" w:rsidR="00437775" w:rsidRPr="00727CE9" w:rsidRDefault="00437775" w:rsidP="00437775">
      <w:pPr>
        <w:rPr>
          <w:rFonts w:cs="Tahoma"/>
        </w:rPr>
      </w:pPr>
    </w:p>
    <w:p w14:paraId="7792F3A7" w14:textId="77777777" w:rsidR="00AC3459" w:rsidRDefault="00437775" w:rsidP="009471E4">
      <w:pPr>
        <w:numPr>
          <w:ilvl w:val="0"/>
          <w:numId w:val="11"/>
        </w:numPr>
        <w:rPr>
          <w:rFonts w:cs="Tahoma"/>
        </w:rPr>
      </w:pPr>
      <w:r w:rsidRPr="002A1125">
        <w:rPr>
          <w:rFonts w:cs="Tahoma"/>
          <w:b/>
        </w:rPr>
        <w:t>Childminders:</w:t>
      </w:r>
      <w:r w:rsidRPr="002A1125">
        <w:rPr>
          <w:rFonts w:cs="Tahoma"/>
        </w:rPr>
        <w:t xml:space="preserve"> </w:t>
      </w:r>
      <w:r w:rsidR="00BC6053" w:rsidRPr="002A1125">
        <w:rPr>
          <w:rFonts w:cs="Tahoma"/>
        </w:rPr>
        <w:t>95</w:t>
      </w:r>
      <w:r w:rsidRPr="002A1125">
        <w:rPr>
          <w:rFonts w:cs="Tahoma"/>
        </w:rPr>
        <w:t xml:space="preserve">% were good or outstanding, </w:t>
      </w:r>
      <w:r w:rsidR="007C105C" w:rsidRPr="002A1125">
        <w:rPr>
          <w:rFonts w:cs="Tahoma"/>
        </w:rPr>
        <w:t xml:space="preserve">the same proportion </w:t>
      </w:r>
      <w:r w:rsidR="002A1125" w:rsidRPr="002A1125">
        <w:rPr>
          <w:rFonts w:cs="Tahoma"/>
        </w:rPr>
        <w:t>as the end of December</w:t>
      </w:r>
      <w:r w:rsidR="00EC6BC2" w:rsidRPr="002A1125">
        <w:rPr>
          <w:rFonts w:cs="Tahoma"/>
        </w:rPr>
        <w:t xml:space="preserve"> 2018</w:t>
      </w:r>
      <w:r w:rsidR="0033655B" w:rsidRPr="002A1125">
        <w:rPr>
          <w:rFonts w:cs="Tahoma"/>
        </w:rPr>
        <w:t xml:space="preserve">. </w:t>
      </w:r>
      <w:r w:rsidRPr="002A1125">
        <w:rPr>
          <w:rFonts w:cs="Tahoma"/>
        </w:rPr>
        <w:t xml:space="preserve">This was made up of 78% of childminders judged good and </w:t>
      </w:r>
      <w:r w:rsidR="00BC6053" w:rsidRPr="002A1125">
        <w:rPr>
          <w:rFonts w:cs="Tahoma"/>
        </w:rPr>
        <w:t>17</w:t>
      </w:r>
      <w:r w:rsidRPr="002A1125">
        <w:rPr>
          <w:rFonts w:cs="Tahoma"/>
        </w:rPr>
        <w:t>% judged outstanding.</w:t>
      </w:r>
    </w:p>
    <w:p w14:paraId="01634CE3" w14:textId="1FCF6AEE" w:rsidR="00513EEB" w:rsidRPr="00513EEB" w:rsidRDefault="00513EEB" w:rsidP="00513EEB">
      <w:pPr>
        <w:pStyle w:val="Caption"/>
        <w:keepNext/>
        <w:rPr>
          <w:sz w:val="22"/>
          <w:szCs w:val="22"/>
        </w:rPr>
      </w:pPr>
      <w:bookmarkStart w:id="52" w:name="_Ref11228614"/>
      <w:r w:rsidRPr="00513EEB">
        <w:rPr>
          <w:sz w:val="22"/>
          <w:szCs w:val="22"/>
        </w:rPr>
        <w:lastRenderedPageBreak/>
        <w:t xml:space="preserve">Figure </w:t>
      </w:r>
      <w:r w:rsidRPr="00513EEB">
        <w:rPr>
          <w:sz w:val="22"/>
          <w:szCs w:val="22"/>
        </w:rPr>
        <w:fldChar w:fldCharType="begin"/>
      </w:r>
      <w:r w:rsidRPr="00513EEB">
        <w:rPr>
          <w:sz w:val="22"/>
          <w:szCs w:val="22"/>
        </w:rPr>
        <w:instrText xml:space="preserve"> SEQ Figure \* ARABIC </w:instrText>
      </w:r>
      <w:r w:rsidRPr="00513EEB">
        <w:rPr>
          <w:sz w:val="22"/>
          <w:szCs w:val="22"/>
        </w:rPr>
        <w:fldChar w:fldCharType="separate"/>
      </w:r>
      <w:r w:rsidR="006A56EC">
        <w:rPr>
          <w:noProof/>
          <w:sz w:val="22"/>
          <w:szCs w:val="22"/>
        </w:rPr>
        <w:t>6</w:t>
      </w:r>
      <w:r w:rsidRPr="00513EEB">
        <w:rPr>
          <w:sz w:val="22"/>
          <w:szCs w:val="22"/>
        </w:rPr>
        <w:fldChar w:fldCharType="end"/>
      </w:r>
      <w:bookmarkEnd w:id="52"/>
      <w:r w:rsidRPr="00513EEB">
        <w:rPr>
          <w:sz w:val="22"/>
          <w:szCs w:val="22"/>
        </w:rPr>
        <w:t>: Percentage of childminders and non-domestic providers judged good or outstanding at their most recent full inspection over time</w:t>
      </w:r>
    </w:p>
    <w:p w14:paraId="47293286" w14:textId="3B7DEB31" w:rsidR="00C81CCC" w:rsidRDefault="00263B09" w:rsidP="00146D7F">
      <w:pPr>
        <w:jc w:val="center"/>
        <w:rPr>
          <w:lang w:eastAsia="en-GB"/>
        </w:rPr>
      </w:pPr>
      <w:r w:rsidRPr="00263B09">
        <w:rPr>
          <w:noProof/>
        </w:rPr>
        <w:drawing>
          <wp:inline distT="0" distB="0" distL="0" distR="0" wp14:anchorId="68B48DA4" wp14:editId="30192389">
            <wp:extent cx="5402311" cy="31337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4399"/>
                    <a:stretch/>
                  </pic:blipFill>
                  <pic:spPr bwMode="auto">
                    <a:xfrm>
                      <a:off x="0" y="0"/>
                      <a:ext cx="5402311" cy="3133725"/>
                    </a:xfrm>
                    <a:prstGeom prst="rect">
                      <a:avLst/>
                    </a:prstGeom>
                    <a:ln>
                      <a:noFill/>
                    </a:ln>
                    <a:extLst>
                      <a:ext uri="{53640926-AAD7-44D8-BBD7-CCE9431645EC}">
                        <a14:shadowObscured xmlns:a14="http://schemas.microsoft.com/office/drawing/2010/main"/>
                      </a:ext>
                    </a:extLst>
                  </pic:spPr>
                </pic:pic>
              </a:graphicData>
            </a:graphic>
          </wp:inline>
        </w:drawing>
      </w:r>
    </w:p>
    <w:p w14:paraId="3522C2E7" w14:textId="77777777" w:rsidR="00933B4C" w:rsidRDefault="00933B4C" w:rsidP="004376CA">
      <w:pPr>
        <w:tabs>
          <w:tab w:val="left" w:pos="2349"/>
        </w:tabs>
        <w:rPr>
          <w:rFonts w:cs="Tahoma"/>
          <w:b/>
        </w:rPr>
      </w:pPr>
    </w:p>
    <w:p w14:paraId="705A1BBC" w14:textId="3D0C4410" w:rsidR="004376CA" w:rsidRPr="00F12F58" w:rsidRDefault="004376CA" w:rsidP="004376CA">
      <w:pPr>
        <w:tabs>
          <w:tab w:val="left" w:pos="2349"/>
        </w:tabs>
        <w:rPr>
          <w:rFonts w:cs="Tahoma"/>
          <w:b/>
        </w:rPr>
      </w:pPr>
      <w:r w:rsidRPr="00F12F58">
        <w:rPr>
          <w:rFonts w:cs="Tahoma"/>
          <w:b/>
        </w:rPr>
        <w:t>Changes in the proportion of childminders judged good or outstanding</w:t>
      </w:r>
    </w:p>
    <w:p w14:paraId="6EF17094" w14:textId="590CED8C" w:rsidR="004376CA" w:rsidRPr="00F12F58" w:rsidRDefault="004376CA" w:rsidP="004376CA">
      <w:pPr>
        <w:rPr>
          <w:rFonts w:cs="Tahoma"/>
        </w:rPr>
      </w:pPr>
      <w:r>
        <w:rPr>
          <w:rFonts w:cs="Tahoma"/>
        </w:rPr>
        <w:t>Since the</w:t>
      </w:r>
      <w:r w:rsidRPr="00F12F58">
        <w:rPr>
          <w:rFonts w:cs="Tahoma"/>
        </w:rPr>
        <w:t xml:space="preserve"> beginning of August 2016</w:t>
      </w:r>
      <w:r>
        <w:rPr>
          <w:rFonts w:cs="Tahoma"/>
        </w:rPr>
        <w:t>,</w:t>
      </w:r>
      <w:r w:rsidRPr="00F12F58">
        <w:rPr>
          <w:rFonts w:cs="Tahoma"/>
        </w:rPr>
        <w:t xml:space="preserve"> Ofsted </w:t>
      </w:r>
      <w:r>
        <w:rPr>
          <w:rFonts w:cs="Tahoma"/>
        </w:rPr>
        <w:t xml:space="preserve">has </w:t>
      </w:r>
      <w:r w:rsidRPr="00F12F58">
        <w:rPr>
          <w:rFonts w:cs="Tahoma"/>
        </w:rPr>
        <w:t>prioritis</w:t>
      </w:r>
      <w:r>
        <w:rPr>
          <w:rFonts w:cs="Tahoma"/>
        </w:rPr>
        <w:t>ed inspections for</w:t>
      </w:r>
      <w:r w:rsidRPr="00F12F58">
        <w:rPr>
          <w:rFonts w:cs="Tahoma"/>
        </w:rPr>
        <w:t xml:space="preserve"> childminders </w:t>
      </w:r>
      <w:r w:rsidRPr="005945E9">
        <w:rPr>
          <w:rFonts w:cs="Tahoma"/>
        </w:rPr>
        <w:t xml:space="preserve">who had </w:t>
      </w:r>
      <w:r w:rsidR="0054045E" w:rsidRPr="005945E9">
        <w:rPr>
          <w:rFonts w:cs="Tahoma"/>
        </w:rPr>
        <w:t>previously been</w:t>
      </w:r>
      <w:r w:rsidRPr="005945E9">
        <w:rPr>
          <w:rFonts w:cs="Tahoma"/>
        </w:rPr>
        <w:t xml:space="preserve"> judged requires improvement (RI) or inadequate.</w:t>
      </w:r>
      <w:r w:rsidR="003D79CA" w:rsidRPr="005945E9">
        <w:rPr>
          <w:rFonts w:cs="Tahoma"/>
        </w:rPr>
        <w:t xml:space="preserve"> </w:t>
      </w:r>
      <w:r w:rsidRPr="005945E9">
        <w:rPr>
          <w:rFonts w:cs="Tahoma"/>
        </w:rPr>
        <w:t xml:space="preserve">On 31 </w:t>
      </w:r>
      <w:r w:rsidR="00657345" w:rsidRPr="005945E9">
        <w:rPr>
          <w:rFonts w:cs="Tahoma"/>
        </w:rPr>
        <w:t>March</w:t>
      </w:r>
      <w:r w:rsidRPr="005945E9">
        <w:rPr>
          <w:rFonts w:cs="Tahoma"/>
        </w:rPr>
        <w:t xml:space="preserve"> 201</w:t>
      </w:r>
      <w:r w:rsidR="00657345" w:rsidRPr="005945E9">
        <w:rPr>
          <w:rFonts w:cs="Tahoma"/>
        </w:rPr>
        <w:t>9</w:t>
      </w:r>
      <w:r w:rsidRPr="005945E9">
        <w:rPr>
          <w:rFonts w:cs="Tahoma"/>
        </w:rPr>
        <w:t xml:space="preserve">, </w:t>
      </w:r>
      <w:r w:rsidR="00332A5C" w:rsidRPr="005945E9">
        <w:rPr>
          <w:rFonts w:cs="Tahoma"/>
        </w:rPr>
        <w:t>9</w:t>
      </w:r>
      <w:r w:rsidR="00ED0DF9" w:rsidRPr="005945E9">
        <w:rPr>
          <w:rFonts w:cs="Tahoma"/>
        </w:rPr>
        <w:t>2</w:t>
      </w:r>
      <w:r w:rsidRPr="005945E9">
        <w:rPr>
          <w:rFonts w:cs="Tahoma"/>
        </w:rPr>
        <w:t>% of</w:t>
      </w:r>
      <w:r w:rsidRPr="0033655B">
        <w:rPr>
          <w:rFonts w:cs="Tahoma"/>
        </w:rPr>
        <w:t xml:space="preserve"> childminders who</w:t>
      </w:r>
      <w:r w:rsidRPr="00BF207E">
        <w:rPr>
          <w:rFonts w:cs="Tahoma"/>
        </w:rPr>
        <w:t xml:space="preserve"> </w:t>
      </w:r>
      <w:r w:rsidR="0099253F">
        <w:rPr>
          <w:rFonts w:cs="Tahoma"/>
        </w:rPr>
        <w:t xml:space="preserve">were </w:t>
      </w:r>
      <w:r w:rsidRPr="00BF207E">
        <w:rPr>
          <w:rFonts w:cs="Tahoma"/>
        </w:rPr>
        <w:t>previously</w:t>
      </w:r>
      <w:r w:rsidR="0099253F">
        <w:rPr>
          <w:rFonts w:cs="Tahoma"/>
        </w:rPr>
        <w:t xml:space="preserve"> judged</w:t>
      </w:r>
      <w:r w:rsidRPr="00BF207E">
        <w:rPr>
          <w:rFonts w:cs="Tahoma"/>
        </w:rPr>
        <w:t xml:space="preserve"> RI or inadequate</w:t>
      </w:r>
      <w:r>
        <w:rPr>
          <w:rFonts w:cs="Tahoma"/>
        </w:rPr>
        <w:t xml:space="preserve">, </w:t>
      </w:r>
      <w:r w:rsidRPr="00BF207E">
        <w:rPr>
          <w:rFonts w:cs="Tahoma"/>
        </w:rPr>
        <w:t>improved to good or outstanding</w:t>
      </w:r>
      <w:r w:rsidR="0099253F">
        <w:rPr>
          <w:rFonts w:cs="Tahoma"/>
        </w:rPr>
        <w:t xml:space="preserve"> at their most recent inspection</w:t>
      </w:r>
      <w:r w:rsidRPr="00BF207E">
        <w:rPr>
          <w:rFonts w:cs="Tahoma"/>
        </w:rPr>
        <w:t>.</w:t>
      </w:r>
      <w:r w:rsidR="001B174A">
        <w:rPr>
          <w:rFonts w:cs="Tahoma"/>
        </w:rPr>
        <w:t xml:space="preserve"> </w:t>
      </w:r>
    </w:p>
    <w:p w14:paraId="3F78BFFF" w14:textId="77777777" w:rsidR="004376CA" w:rsidRPr="00F12F58" w:rsidRDefault="004376CA" w:rsidP="004376CA">
      <w:pPr>
        <w:rPr>
          <w:rFonts w:cs="Tahoma"/>
          <w:highlight w:val="yellow"/>
        </w:rPr>
      </w:pPr>
    </w:p>
    <w:p w14:paraId="364C1AC6" w14:textId="5E421DC3" w:rsidR="004376CA" w:rsidRDefault="00CF5D45" w:rsidP="00D53580">
      <w:pPr>
        <w:rPr>
          <w:rFonts w:cs="Tahoma"/>
        </w:rPr>
      </w:pPr>
      <w:r>
        <w:rPr>
          <w:rFonts w:cs="Tahoma"/>
        </w:rPr>
        <w:t xml:space="preserve">The quality of those leaving the sector </w:t>
      </w:r>
      <w:r w:rsidR="00994003">
        <w:rPr>
          <w:rFonts w:cs="Tahoma"/>
        </w:rPr>
        <w:t xml:space="preserve">may have </w:t>
      </w:r>
      <w:r w:rsidR="007C35A2">
        <w:rPr>
          <w:rFonts w:cs="Tahoma"/>
        </w:rPr>
        <w:t xml:space="preserve">also </w:t>
      </w:r>
      <w:r w:rsidR="00994003">
        <w:rPr>
          <w:rFonts w:cs="Tahoma"/>
        </w:rPr>
        <w:t xml:space="preserve">contributed to the </w:t>
      </w:r>
      <w:r w:rsidR="00104CD0">
        <w:rPr>
          <w:rFonts w:cs="Tahoma"/>
        </w:rPr>
        <w:t xml:space="preserve">rise </w:t>
      </w:r>
      <w:r w:rsidR="007D04E2">
        <w:rPr>
          <w:rFonts w:cs="Tahoma"/>
        </w:rPr>
        <w:t>in good or outstanding providers</w:t>
      </w:r>
      <w:r w:rsidR="00307BC3">
        <w:rPr>
          <w:rFonts w:cs="Tahoma"/>
        </w:rPr>
        <w:t>. P</w:t>
      </w:r>
      <w:r w:rsidR="004376CA" w:rsidRPr="006634A4">
        <w:rPr>
          <w:rFonts w:cs="Tahoma"/>
        </w:rPr>
        <w:t xml:space="preserve">roviders leaving the sector are more likely to have </w:t>
      </w:r>
      <w:r w:rsidR="003A4C8B">
        <w:rPr>
          <w:rFonts w:cs="Tahoma"/>
        </w:rPr>
        <w:t xml:space="preserve">been judged </w:t>
      </w:r>
      <w:r w:rsidR="00701254">
        <w:rPr>
          <w:rFonts w:cs="Tahoma"/>
        </w:rPr>
        <w:t>r</w:t>
      </w:r>
      <w:r w:rsidR="003A4C8B">
        <w:rPr>
          <w:rFonts w:cs="Tahoma"/>
        </w:rPr>
        <w:t xml:space="preserve">equires </w:t>
      </w:r>
      <w:r w:rsidR="00701254">
        <w:rPr>
          <w:rFonts w:cs="Tahoma"/>
        </w:rPr>
        <w:t>i</w:t>
      </w:r>
      <w:r w:rsidR="003A4C8B">
        <w:rPr>
          <w:rFonts w:cs="Tahoma"/>
        </w:rPr>
        <w:t>mprovement</w:t>
      </w:r>
      <w:r w:rsidR="004376CA" w:rsidRPr="006634A4">
        <w:rPr>
          <w:rFonts w:cs="Tahoma"/>
        </w:rPr>
        <w:t xml:space="preserve"> or inadequate </w:t>
      </w:r>
      <w:r w:rsidR="003A4C8B">
        <w:rPr>
          <w:rFonts w:cs="Tahoma"/>
        </w:rPr>
        <w:t xml:space="preserve">at their </w:t>
      </w:r>
      <w:r w:rsidR="00EE788A">
        <w:rPr>
          <w:rFonts w:cs="Tahoma"/>
        </w:rPr>
        <w:t>most recent inspection</w:t>
      </w:r>
      <w:r w:rsidR="003A4C8B">
        <w:rPr>
          <w:rFonts w:cs="Tahoma"/>
        </w:rPr>
        <w:t>,</w:t>
      </w:r>
      <w:r w:rsidR="004376CA" w:rsidRPr="006634A4">
        <w:rPr>
          <w:rFonts w:cs="Tahoma"/>
        </w:rPr>
        <w:t xml:space="preserve"> than those that remain.</w:t>
      </w:r>
      <w:r w:rsidR="00593935" w:rsidRPr="006634A4">
        <w:rPr>
          <w:rFonts w:cs="Tahoma"/>
        </w:rPr>
        <w:t xml:space="preserve"> </w:t>
      </w:r>
      <w:r w:rsidR="00F757DE">
        <w:rPr>
          <w:rFonts w:cs="Tahoma"/>
        </w:rPr>
        <w:t>Of the p</w:t>
      </w:r>
      <w:r w:rsidR="00D722AE">
        <w:rPr>
          <w:rFonts w:cs="Tahoma"/>
        </w:rPr>
        <w:t xml:space="preserve">roviders </w:t>
      </w:r>
      <w:r w:rsidR="00761850">
        <w:rPr>
          <w:rFonts w:cs="Tahoma"/>
        </w:rPr>
        <w:t>inspected s</w:t>
      </w:r>
      <w:r w:rsidR="00593935" w:rsidRPr="006634A4">
        <w:rPr>
          <w:rFonts w:cs="Tahoma"/>
        </w:rPr>
        <w:t xml:space="preserve">ince </w:t>
      </w:r>
      <w:r w:rsidR="00593935" w:rsidRPr="00055021">
        <w:rPr>
          <w:rFonts w:cs="Tahoma"/>
        </w:rPr>
        <w:t>September 201</w:t>
      </w:r>
      <w:r w:rsidR="00AE08FC" w:rsidRPr="00055021">
        <w:rPr>
          <w:rFonts w:cs="Tahoma"/>
        </w:rPr>
        <w:t>5</w:t>
      </w:r>
      <w:r w:rsidR="004E7068">
        <w:rPr>
          <w:rFonts w:cs="Tahoma"/>
        </w:rPr>
        <w:t>,</w:t>
      </w:r>
      <w:r w:rsidR="00C2461D">
        <w:rPr>
          <w:rFonts w:cs="Tahoma"/>
        </w:rPr>
        <w:t xml:space="preserve"> who then left the sector</w:t>
      </w:r>
      <w:r w:rsidR="00593935" w:rsidRPr="00055021">
        <w:rPr>
          <w:rFonts w:cs="Tahoma"/>
        </w:rPr>
        <w:t>, 2</w:t>
      </w:r>
      <w:r w:rsidR="00EB42E7" w:rsidRPr="00055021">
        <w:rPr>
          <w:rFonts w:cs="Tahoma"/>
        </w:rPr>
        <w:t>0</w:t>
      </w:r>
      <w:r w:rsidR="00593935" w:rsidRPr="00055021">
        <w:rPr>
          <w:rFonts w:cs="Tahoma"/>
        </w:rPr>
        <w:t xml:space="preserve">% </w:t>
      </w:r>
      <w:r w:rsidR="00593935" w:rsidRPr="006634A4">
        <w:rPr>
          <w:rFonts w:cs="Tahoma"/>
        </w:rPr>
        <w:t xml:space="preserve">were judged </w:t>
      </w:r>
      <w:r w:rsidR="000F3C98">
        <w:rPr>
          <w:rFonts w:cs="Tahoma"/>
        </w:rPr>
        <w:t>r</w:t>
      </w:r>
      <w:r w:rsidR="00A92C39">
        <w:rPr>
          <w:rFonts w:cs="Tahoma"/>
        </w:rPr>
        <w:t xml:space="preserve">equires </w:t>
      </w:r>
      <w:r w:rsidR="000F3C98">
        <w:rPr>
          <w:rFonts w:cs="Tahoma"/>
        </w:rPr>
        <w:t>i</w:t>
      </w:r>
      <w:r w:rsidR="00A92C39">
        <w:rPr>
          <w:rFonts w:cs="Tahoma"/>
        </w:rPr>
        <w:t>mprovement</w:t>
      </w:r>
      <w:r w:rsidR="00A92C39" w:rsidRPr="006634A4">
        <w:rPr>
          <w:rFonts w:cs="Tahoma"/>
        </w:rPr>
        <w:t xml:space="preserve"> </w:t>
      </w:r>
      <w:r w:rsidR="00593935" w:rsidRPr="006634A4">
        <w:rPr>
          <w:rFonts w:cs="Tahoma"/>
        </w:rPr>
        <w:t>or inadequate</w:t>
      </w:r>
      <w:r w:rsidR="00771022">
        <w:rPr>
          <w:rFonts w:cs="Tahoma"/>
        </w:rPr>
        <w:t xml:space="preserve"> at their most recent EYR inspection</w:t>
      </w:r>
      <w:r w:rsidR="00A92C39">
        <w:rPr>
          <w:rFonts w:cs="Tahoma"/>
        </w:rPr>
        <w:t xml:space="preserve">, compared with </w:t>
      </w:r>
      <w:r w:rsidR="00A92C39" w:rsidRPr="00A42EBC">
        <w:rPr>
          <w:rFonts w:cs="Tahoma"/>
        </w:rPr>
        <w:t xml:space="preserve">only </w:t>
      </w:r>
      <w:r w:rsidR="003E10E6" w:rsidRPr="00A42EBC">
        <w:rPr>
          <w:rFonts w:cs="Tahoma"/>
        </w:rPr>
        <w:t>5</w:t>
      </w:r>
      <w:r w:rsidR="00A92C39" w:rsidRPr="00A42EBC">
        <w:rPr>
          <w:rFonts w:cs="Tahoma"/>
        </w:rPr>
        <w:t>%</w:t>
      </w:r>
      <w:r w:rsidR="00A92C39">
        <w:rPr>
          <w:rFonts w:cs="Tahoma"/>
        </w:rPr>
        <w:t xml:space="preserve"> of all active providers</w:t>
      </w:r>
      <w:r w:rsidR="00E34FAD" w:rsidRPr="006634A4">
        <w:rPr>
          <w:rFonts w:cs="Tahoma"/>
        </w:rPr>
        <w:t>.</w:t>
      </w:r>
    </w:p>
    <w:p w14:paraId="6AA184AF" w14:textId="3B959A74" w:rsidR="003A4C8B" w:rsidRPr="000E47F3" w:rsidRDefault="003A4C8B" w:rsidP="00D53580">
      <w:pPr>
        <w:rPr>
          <w:rFonts w:cs="Tahoma"/>
          <w:b/>
        </w:rPr>
      </w:pPr>
    </w:p>
    <w:p w14:paraId="7CCC3A96" w14:textId="05F60E22" w:rsidR="004376CA" w:rsidRPr="000E47F3" w:rsidRDefault="004376CA" w:rsidP="004376CA">
      <w:pPr>
        <w:rPr>
          <w:rFonts w:cs="Tahoma"/>
          <w:b/>
        </w:rPr>
      </w:pPr>
      <w:r w:rsidRPr="000E47F3">
        <w:rPr>
          <w:rFonts w:cs="Tahoma"/>
          <w:b/>
        </w:rPr>
        <w:t>Changes in the proportion of childcare on non-domestic premises judged good or outstanding</w:t>
      </w:r>
    </w:p>
    <w:p w14:paraId="41F079AA" w14:textId="0400CA0C" w:rsidR="004376CA" w:rsidRPr="005845EB" w:rsidRDefault="004376CA" w:rsidP="004376CA">
      <w:pPr>
        <w:rPr>
          <w:rFonts w:cs="Tahoma"/>
          <w:highlight w:val="yellow"/>
        </w:rPr>
      </w:pPr>
      <w:r w:rsidRPr="005845EB">
        <w:rPr>
          <w:rFonts w:cs="Tahoma"/>
        </w:rPr>
        <w:t xml:space="preserve">Over time, the proportion of childcare on non-domestic premises judged good or outstanding has </w:t>
      </w:r>
      <w:r w:rsidR="00CB0549">
        <w:rPr>
          <w:rFonts w:cs="Tahoma"/>
        </w:rPr>
        <w:t>increased</w:t>
      </w:r>
      <w:r>
        <w:rPr>
          <w:rFonts w:cs="Tahoma"/>
        </w:rPr>
        <w:t xml:space="preserve">. </w:t>
      </w:r>
      <w:r w:rsidRPr="005845EB">
        <w:rPr>
          <w:rFonts w:cs="Tahoma"/>
        </w:rPr>
        <w:t xml:space="preserve">Part of this increase can be </w:t>
      </w:r>
      <w:r>
        <w:rPr>
          <w:rFonts w:cs="Tahoma"/>
        </w:rPr>
        <w:t>attributed to</w:t>
      </w:r>
      <w:r w:rsidRPr="005845EB">
        <w:rPr>
          <w:rFonts w:cs="Tahoma"/>
        </w:rPr>
        <w:t xml:space="preserve"> a change in the childcare inspection policy. </w:t>
      </w:r>
      <w:r w:rsidDel="005B7C1E">
        <w:rPr>
          <w:rFonts w:cs="Tahoma"/>
        </w:rPr>
        <w:t>Since</w:t>
      </w:r>
      <w:r w:rsidRPr="005845EB" w:rsidDel="005B7C1E">
        <w:rPr>
          <w:rFonts w:cs="Tahoma"/>
        </w:rPr>
        <w:t xml:space="preserve"> November 2013, </w:t>
      </w:r>
      <w:r w:rsidRPr="005845EB" w:rsidDel="00F141E1">
        <w:rPr>
          <w:rFonts w:cs="Tahoma"/>
        </w:rPr>
        <w:t>a</w:t>
      </w:r>
      <w:r w:rsidRPr="005845EB">
        <w:rPr>
          <w:rFonts w:cs="Tahoma"/>
        </w:rPr>
        <w:t>ll childcare on non-domestic premises judged requires improvement must be re-inspected within 12 months.</w:t>
      </w:r>
      <w:r w:rsidRPr="005845EB">
        <w:rPr>
          <w:rStyle w:val="FootnoteReference"/>
          <w:rFonts w:cs="Tahoma"/>
        </w:rPr>
        <w:footnoteReference w:id="9"/>
      </w:r>
      <w:r w:rsidRPr="005845EB">
        <w:rPr>
          <w:rFonts w:cs="Tahoma"/>
        </w:rPr>
        <w:t xml:space="preserve"> This means that non-domestic providers have had more opportunity to demonstrate improvement than they did previously. </w:t>
      </w:r>
    </w:p>
    <w:p w14:paraId="41783B43" w14:textId="77777777" w:rsidR="004376CA" w:rsidRPr="00CA37E1" w:rsidRDefault="004376CA" w:rsidP="004376CA">
      <w:pPr>
        <w:rPr>
          <w:b/>
          <w:highlight w:val="yellow"/>
        </w:rPr>
      </w:pPr>
      <w:bookmarkStart w:id="53" w:name="_Toc454376419"/>
    </w:p>
    <w:p w14:paraId="3C863E46" w14:textId="797213E3" w:rsidR="004376CA" w:rsidRPr="00A96D5A" w:rsidRDefault="004376CA" w:rsidP="004376CA">
      <w:pPr>
        <w:rPr>
          <w:b/>
        </w:rPr>
      </w:pPr>
      <w:r w:rsidRPr="00A96D5A">
        <w:rPr>
          <w:b/>
        </w:rPr>
        <w:lastRenderedPageBreak/>
        <w:t xml:space="preserve">Regional inspection outcomes </w:t>
      </w:r>
      <w:bookmarkEnd w:id="53"/>
    </w:p>
    <w:p w14:paraId="050FE178" w14:textId="0361FA8E" w:rsidR="004376CA" w:rsidRPr="00437F0E" w:rsidRDefault="004376CA" w:rsidP="004376CA">
      <w:r w:rsidRPr="00A96D5A">
        <w:t xml:space="preserve">On 31 </w:t>
      </w:r>
      <w:r w:rsidR="00726EC3" w:rsidRPr="00A96D5A">
        <w:t xml:space="preserve">March </w:t>
      </w:r>
      <w:r w:rsidR="00B66465" w:rsidRPr="00A96D5A">
        <w:t>201</w:t>
      </w:r>
      <w:r w:rsidR="00726EC3" w:rsidRPr="00A96D5A">
        <w:t>9</w:t>
      </w:r>
      <w:r w:rsidRPr="00A96D5A">
        <w:t xml:space="preserve">, all regions had fairly similar proportions of providers judged good or </w:t>
      </w:r>
      <w:r w:rsidRPr="007216E2">
        <w:t>outstanding</w:t>
      </w:r>
      <w:r w:rsidR="00725649" w:rsidRPr="007216E2">
        <w:t xml:space="preserve">. The North </w:t>
      </w:r>
      <w:r w:rsidR="00437F0E" w:rsidRPr="007216E2">
        <w:t>East</w:t>
      </w:r>
      <w:r w:rsidR="00E36EDF" w:rsidRPr="007216E2">
        <w:t xml:space="preserve"> and the South West </w:t>
      </w:r>
      <w:r w:rsidR="00725649" w:rsidRPr="007216E2">
        <w:t>had</w:t>
      </w:r>
      <w:r w:rsidRPr="007216E2">
        <w:t xml:space="preserve"> the highest proportion</w:t>
      </w:r>
      <w:r w:rsidR="00437F0E" w:rsidRPr="007216E2">
        <w:t xml:space="preserve"> (97</w:t>
      </w:r>
      <w:r w:rsidRPr="007216E2">
        <w:t>%) and London the lo</w:t>
      </w:r>
      <w:r w:rsidR="00437F0E" w:rsidRPr="007216E2">
        <w:t>west (9</w:t>
      </w:r>
      <w:r w:rsidR="004D7866" w:rsidRPr="007216E2">
        <w:t>3</w:t>
      </w:r>
      <w:r w:rsidRPr="007216E2">
        <w:t>%).</w:t>
      </w:r>
      <w:r w:rsidR="00B95EE2" w:rsidRPr="007216E2">
        <w:t xml:space="preserve"> The South </w:t>
      </w:r>
      <w:r w:rsidR="00C84A31" w:rsidRPr="007216E2">
        <w:t xml:space="preserve">East had the highest proportion of providers judged outstanding </w:t>
      </w:r>
      <w:r w:rsidR="00F82E7A" w:rsidRPr="007216E2">
        <w:t xml:space="preserve">(23%) </w:t>
      </w:r>
      <w:r w:rsidR="00C84A31" w:rsidRPr="003F19B4">
        <w:t xml:space="preserve">and </w:t>
      </w:r>
      <w:r w:rsidR="00F82E7A" w:rsidRPr="003F19B4">
        <w:t>the East Midlands</w:t>
      </w:r>
      <w:r w:rsidR="00D01EAF" w:rsidRPr="003F19B4">
        <w:t xml:space="preserve"> </w:t>
      </w:r>
      <w:r w:rsidR="00F82E7A" w:rsidRPr="003F19B4">
        <w:t>had the lowest (15%)</w:t>
      </w:r>
      <w:r w:rsidR="002A33DC" w:rsidRPr="003F19B4">
        <w:t>.</w:t>
      </w:r>
      <w:r w:rsidRPr="00437F0E">
        <w:br/>
      </w:r>
    </w:p>
    <w:p w14:paraId="28EB014E" w14:textId="1B410EB3" w:rsidR="003767A0" w:rsidRDefault="00091BC5" w:rsidP="003141DF">
      <w:pPr>
        <w:pStyle w:val="CommentText"/>
        <w:rPr>
          <w:sz w:val="24"/>
          <w:szCs w:val="24"/>
        </w:rPr>
      </w:pPr>
      <w:r>
        <w:rPr>
          <w:sz w:val="24"/>
          <w:szCs w:val="24"/>
        </w:rPr>
        <w:t>N</w:t>
      </w:r>
      <w:r w:rsidR="00023F6F" w:rsidRPr="004D7866">
        <w:rPr>
          <w:sz w:val="24"/>
          <w:szCs w:val="24"/>
        </w:rPr>
        <w:t xml:space="preserve">on-domestic providers had </w:t>
      </w:r>
      <w:r w:rsidR="009D6411" w:rsidRPr="009601E4">
        <w:rPr>
          <w:sz w:val="24"/>
          <w:szCs w:val="24"/>
        </w:rPr>
        <w:t xml:space="preserve">either </w:t>
      </w:r>
      <w:r w:rsidR="00023F6F" w:rsidRPr="009601E4">
        <w:rPr>
          <w:sz w:val="24"/>
          <w:szCs w:val="24"/>
        </w:rPr>
        <w:t xml:space="preserve">a higher or </w:t>
      </w:r>
      <w:r w:rsidR="009D6411" w:rsidRPr="009601E4">
        <w:rPr>
          <w:sz w:val="24"/>
          <w:szCs w:val="24"/>
        </w:rPr>
        <w:t xml:space="preserve">equal </w:t>
      </w:r>
      <w:r w:rsidR="00023F6F" w:rsidRPr="009601E4">
        <w:rPr>
          <w:sz w:val="24"/>
          <w:szCs w:val="24"/>
        </w:rPr>
        <w:t xml:space="preserve">proportion of providers judged </w:t>
      </w:r>
      <w:r w:rsidR="00945039" w:rsidRPr="009601E4">
        <w:rPr>
          <w:sz w:val="24"/>
          <w:szCs w:val="24"/>
        </w:rPr>
        <w:t>g</w:t>
      </w:r>
      <w:r w:rsidR="005A4A45" w:rsidRPr="009601E4">
        <w:rPr>
          <w:sz w:val="24"/>
          <w:szCs w:val="24"/>
        </w:rPr>
        <w:t>ood</w:t>
      </w:r>
      <w:r w:rsidR="00023F6F" w:rsidRPr="009601E4">
        <w:rPr>
          <w:sz w:val="24"/>
          <w:szCs w:val="24"/>
        </w:rPr>
        <w:t xml:space="preserve"> or </w:t>
      </w:r>
      <w:r w:rsidR="00945039" w:rsidRPr="009601E4">
        <w:rPr>
          <w:sz w:val="24"/>
          <w:szCs w:val="24"/>
        </w:rPr>
        <w:t>o</w:t>
      </w:r>
      <w:r w:rsidR="005A4A45" w:rsidRPr="009601E4">
        <w:rPr>
          <w:sz w:val="24"/>
          <w:szCs w:val="24"/>
        </w:rPr>
        <w:t>utstanding</w:t>
      </w:r>
      <w:r w:rsidR="00023F6F" w:rsidRPr="009601E4">
        <w:rPr>
          <w:sz w:val="24"/>
          <w:szCs w:val="24"/>
        </w:rPr>
        <w:t xml:space="preserve"> </w:t>
      </w:r>
      <w:r w:rsidR="00CF3366" w:rsidRPr="009601E4">
        <w:rPr>
          <w:sz w:val="24"/>
          <w:szCs w:val="24"/>
        </w:rPr>
        <w:t xml:space="preserve">compared with </w:t>
      </w:r>
      <w:r w:rsidR="00023F6F" w:rsidRPr="009601E4">
        <w:rPr>
          <w:sz w:val="24"/>
          <w:szCs w:val="24"/>
        </w:rPr>
        <w:t>childminders</w:t>
      </w:r>
      <w:r w:rsidR="009D6411" w:rsidRPr="009601E4">
        <w:rPr>
          <w:sz w:val="24"/>
          <w:szCs w:val="24"/>
        </w:rPr>
        <w:t xml:space="preserve"> in all regions</w:t>
      </w:r>
      <w:r w:rsidR="00023F6F" w:rsidRPr="009601E4">
        <w:rPr>
          <w:sz w:val="24"/>
          <w:szCs w:val="24"/>
        </w:rPr>
        <w:t>.</w:t>
      </w:r>
      <w:r w:rsidR="0068434B" w:rsidRPr="009601E4">
        <w:rPr>
          <w:sz w:val="24"/>
          <w:szCs w:val="24"/>
        </w:rPr>
        <w:t xml:space="preserve"> </w:t>
      </w:r>
      <w:r w:rsidR="009E3B6D" w:rsidRPr="009601E4">
        <w:rPr>
          <w:sz w:val="24"/>
          <w:szCs w:val="24"/>
        </w:rPr>
        <w:t xml:space="preserve">London </w:t>
      </w:r>
      <w:r w:rsidR="009D6411" w:rsidRPr="009601E4">
        <w:rPr>
          <w:sz w:val="24"/>
          <w:szCs w:val="24"/>
        </w:rPr>
        <w:t>had the</w:t>
      </w:r>
      <w:r w:rsidR="004D7866" w:rsidRPr="009601E4">
        <w:rPr>
          <w:sz w:val="24"/>
          <w:szCs w:val="24"/>
        </w:rPr>
        <w:t xml:space="preserve"> </w:t>
      </w:r>
      <w:r w:rsidR="009E3B6D" w:rsidRPr="009601E4">
        <w:rPr>
          <w:sz w:val="24"/>
          <w:szCs w:val="24"/>
        </w:rPr>
        <w:t xml:space="preserve">largest difference </w:t>
      </w:r>
      <w:r w:rsidR="00927F3C" w:rsidRPr="009601E4">
        <w:rPr>
          <w:sz w:val="24"/>
          <w:szCs w:val="24"/>
        </w:rPr>
        <w:t>between</w:t>
      </w:r>
      <w:r w:rsidR="009E3B6D" w:rsidRPr="009601E4">
        <w:rPr>
          <w:sz w:val="24"/>
          <w:szCs w:val="24"/>
        </w:rPr>
        <w:t xml:space="preserve"> non-domestic providers</w:t>
      </w:r>
      <w:r w:rsidR="009220C2" w:rsidRPr="009601E4">
        <w:rPr>
          <w:sz w:val="24"/>
          <w:szCs w:val="24"/>
        </w:rPr>
        <w:t xml:space="preserve"> (9</w:t>
      </w:r>
      <w:r w:rsidR="003D4476" w:rsidRPr="009601E4">
        <w:rPr>
          <w:sz w:val="24"/>
          <w:szCs w:val="24"/>
        </w:rPr>
        <w:t>6</w:t>
      </w:r>
      <w:r w:rsidR="009220C2" w:rsidRPr="009601E4">
        <w:rPr>
          <w:sz w:val="24"/>
          <w:szCs w:val="24"/>
        </w:rPr>
        <w:t>%)</w:t>
      </w:r>
      <w:r w:rsidR="009E3B6D" w:rsidRPr="009601E4">
        <w:rPr>
          <w:sz w:val="24"/>
          <w:szCs w:val="24"/>
        </w:rPr>
        <w:t xml:space="preserve"> and childminders</w:t>
      </w:r>
      <w:r w:rsidR="009220C2" w:rsidRPr="009601E4">
        <w:rPr>
          <w:sz w:val="24"/>
          <w:szCs w:val="24"/>
        </w:rPr>
        <w:t xml:space="preserve"> (9</w:t>
      </w:r>
      <w:r w:rsidR="003D4476" w:rsidRPr="009601E4">
        <w:rPr>
          <w:sz w:val="24"/>
          <w:szCs w:val="24"/>
        </w:rPr>
        <w:t>2</w:t>
      </w:r>
      <w:r w:rsidR="009220C2" w:rsidRPr="009601E4">
        <w:rPr>
          <w:sz w:val="24"/>
          <w:szCs w:val="24"/>
        </w:rPr>
        <w:t>%)</w:t>
      </w:r>
      <w:r w:rsidR="009E3B6D" w:rsidRPr="009601E4">
        <w:rPr>
          <w:sz w:val="24"/>
          <w:szCs w:val="24"/>
        </w:rPr>
        <w:t xml:space="preserve"> judged</w:t>
      </w:r>
      <w:r w:rsidR="009E3B6D">
        <w:rPr>
          <w:sz w:val="24"/>
          <w:szCs w:val="24"/>
        </w:rPr>
        <w:t xml:space="preserve"> good or outstanding</w:t>
      </w:r>
      <w:r w:rsidR="00D62785">
        <w:rPr>
          <w:sz w:val="24"/>
          <w:szCs w:val="24"/>
        </w:rPr>
        <w:t>.</w:t>
      </w:r>
    </w:p>
    <w:p w14:paraId="320751BC" w14:textId="5DD778FB" w:rsidR="00A5166D" w:rsidRDefault="00A5166D" w:rsidP="003141DF">
      <w:pPr>
        <w:pStyle w:val="CommentText"/>
        <w:rPr>
          <w:sz w:val="24"/>
          <w:szCs w:val="24"/>
        </w:rPr>
      </w:pPr>
    </w:p>
    <w:p w14:paraId="44D184BA" w14:textId="63A8DECD" w:rsidR="00F33C11" w:rsidRDefault="00D07B23" w:rsidP="003141DF">
      <w:pPr>
        <w:pStyle w:val="CommentText"/>
        <w:rPr>
          <w:sz w:val="24"/>
          <w:szCs w:val="24"/>
        </w:rPr>
      </w:pPr>
      <w:r>
        <w:rPr>
          <w:sz w:val="24"/>
          <w:szCs w:val="24"/>
        </w:rPr>
        <w:t xml:space="preserve">On a national level, </w:t>
      </w:r>
      <w:r w:rsidR="00EC7476">
        <w:rPr>
          <w:sz w:val="24"/>
          <w:szCs w:val="24"/>
        </w:rPr>
        <w:t>t</w:t>
      </w:r>
      <w:r w:rsidR="00B50BBC">
        <w:rPr>
          <w:sz w:val="24"/>
          <w:szCs w:val="24"/>
        </w:rPr>
        <w:t xml:space="preserve">he </w:t>
      </w:r>
      <w:r w:rsidR="00B50BBC" w:rsidRPr="00E15755">
        <w:rPr>
          <w:sz w:val="24"/>
          <w:szCs w:val="24"/>
        </w:rPr>
        <w:t xml:space="preserve">difference in the proportion of non-domestic </w:t>
      </w:r>
      <w:r w:rsidR="00E2315C" w:rsidRPr="00E15755">
        <w:rPr>
          <w:sz w:val="24"/>
          <w:szCs w:val="24"/>
        </w:rPr>
        <w:t xml:space="preserve">providers </w:t>
      </w:r>
      <w:r w:rsidR="00B50BBC" w:rsidRPr="00E15755">
        <w:rPr>
          <w:sz w:val="24"/>
          <w:szCs w:val="24"/>
        </w:rPr>
        <w:t>judged outstanding</w:t>
      </w:r>
      <w:r w:rsidR="00B25CC8">
        <w:rPr>
          <w:sz w:val="24"/>
          <w:szCs w:val="24"/>
        </w:rPr>
        <w:t xml:space="preserve"> (24%)</w:t>
      </w:r>
      <w:r w:rsidR="00B50BBC" w:rsidRPr="00E15755">
        <w:rPr>
          <w:sz w:val="24"/>
          <w:szCs w:val="24"/>
        </w:rPr>
        <w:t xml:space="preserve"> compared with childminder</w:t>
      </w:r>
      <w:r w:rsidR="00E2315C" w:rsidRPr="00E15755">
        <w:rPr>
          <w:sz w:val="24"/>
          <w:szCs w:val="24"/>
        </w:rPr>
        <w:t>s</w:t>
      </w:r>
      <w:r w:rsidR="00B50BBC" w:rsidRPr="00E15755">
        <w:rPr>
          <w:sz w:val="24"/>
          <w:szCs w:val="24"/>
        </w:rPr>
        <w:t xml:space="preserve"> </w:t>
      </w:r>
      <w:r w:rsidR="00756C40">
        <w:rPr>
          <w:sz w:val="24"/>
          <w:szCs w:val="24"/>
        </w:rPr>
        <w:t xml:space="preserve">(17%) </w:t>
      </w:r>
      <w:r w:rsidR="00B50BBC" w:rsidRPr="00E15755">
        <w:rPr>
          <w:sz w:val="24"/>
          <w:szCs w:val="24"/>
        </w:rPr>
        <w:t xml:space="preserve">was </w:t>
      </w:r>
      <w:r w:rsidR="00E2315C" w:rsidRPr="00E15755">
        <w:rPr>
          <w:sz w:val="24"/>
          <w:szCs w:val="24"/>
        </w:rPr>
        <w:t>notably more pronounced</w:t>
      </w:r>
      <w:r w:rsidR="00E2315C" w:rsidRPr="002B6330">
        <w:rPr>
          <w:sz w:val="24"/>
          <w:szCs w:val="24"/>
        </w:rPr>
        <w:t>.</w:t>
      </w:r>
      <w:r w:rsidR="00EC7476" w:rsidRPr="00E15755">
        <w:rPr>
          <w:sz w:val="24"/>
          <w:szCs w:val="24"/>
        </w:rPr>
        <w:t xml:space="preserve"> </w:t>
      </w:r>
      <w:r w:rsidR="0021799B">
        <w:rPr>
          <w:sz w:val="24"/>
          <w:szCs w:val="24"/>
        </w:rPr>
        <w:t xml:space="preserve">There </w:t>
      </w:r>
      <w:r w:rsidR="00073CAC">
        <w:rPr>
          <w:sz w:val="24"/>
          <w:szCs w:val="24"/>
        </w:rPr>
        <w:t>was</w:t>
      </w:r>
      <w:r w:rsidR="0021799B">
        <w:rPr>
          <w:sz w:val="24"/>
          <w:szCs w:val="24"/>
        </w:rPr>
        <w:t xml:space="preserve"> also a wide variation in </w:t>
      </w:r>
      <w:r w:rsidR="009F12D2">
        <w:rPr>
          <w:sz w:val="24"/>
          <w:szCs w:val="24"/>
        </w:rPr>
        <w:t>the</w:t>
      </w:r>
      <w:r w:rsidR="00BE65E7">
        <w:rPr>
          <w:sz w:val="24"/>
          <w:szCs w:val="24"/>
        </w:rPr>
        <w:t xml:space="preserve"> difference</w:t>
      </w:r>
      <w:r w:rsidR="009F12D2">
        <w:rPr>
          <w:sz w:val="24"/>
          <w:szCs w:val="24"/>
        </w:rPr>
        <w:t xml:space="preserve"> between the proportion of outstanding childminders and non-domestic providers </w:t>
      </w:r>
      <w:r w:rsidR="00CD2CF2">
        <w:rPr>
          <w:sz w:val="24"/>
          <w:szCs w:val="24"/>
        </w:rPr>
        <w:t xml:space="preserve">across the </w:t>
      </w:r>
      <w:r w:rsidR="00CD2CF2" w:rsidRPr="001B697A">
        <w:rPr>
          <w:sz w:val="24"/>
          <w:szCs w:val="24"/>
        </w:rPr>
        <w:t>regions</w:t>
      </w:r>
      <w:r w:rsidR="001B697A" w:rsidRPr="001B697A">
        <w:rPr>
          <w:sz w:val="24"/>
          <w:szCs w:val="24"/>
        </w:rPr>
        <w:t xml:space="preserve"> (</w:t>
      </w:r>
      <w:r w:rsidR="001B697A" w:rsidRPr="001B697A">
        <w:rPr>
          <w:sz w:val="24"/>
          <w:szCs w:val="24"/>
        </w:rPr>
        <w:fldChar w:fldCharType="begin"/>
      </w:r>
      <w:r w:rsidR="001B697A" w:rsidRPr="001B697A">
        <w:rPr>
          <w:sz w:val="24"/>
          <w:szCs w:val="24"/>
        </w:rPr>
        <w:instrText xml:space="preserve"> REF _Ref11228682 \h </w:instrText>
      </w:r>
      <w:r w:rsidR="001B697A">
        <w:rPr>
          <w:sz w:val="24"/>
          <w:szCs w:val="24"/>
        </w:rPr>
        <w:instrText xml:space="preserve"> \* MERGEFORMAT </w:instrText>
      </w:r>
      <w:r w:rsidR="001B697A" w:rsidRPr="001B697A">
        <w:rPr>
          <w:sz w:val="24"/>
          <w:szCs w:val="24"/>
        </w:rPr>
      </w:r>
      <w:r w:rsidR="001B697A" w:rsidRPr="001B697A">
        <w:rPr>
          <w:sz w:val="24"/>
          <w:szCs w:val="24"/>
        </w:rPr>
        <w:fldChar w:fldCharType="separate"/>
      </w:r>
      <w:r w:rsidR="006A56EC" w:rsidRPr="006A56EC">
        <w:rPr>
          <w:sz w:val="24"/>
          <w:szCs w:val="24"/>
        </w:rPr>
        <w:t xml:space="preserve">Figure </w:t>
      </w:r>
      <w:r w:rsidR="006A56EC" w:rsidRPr="006A56EC">
        <w:rPr>
          <w:noProof/>
          <w:sz w:val="24"/>
          <w:szCs w:val="24"/>
        </w:rPr>
        <w:t>7</w:t>
      </w:r>
      <w:r w:rsidR="001B697A" w:rsidRPr="001B697A">
        <w:rPr>
          <w:sz w:val="24"/>
          <w:szCs w:val="24"/>
        </w:rPr>
        <w:fldChar w:fldCharType="end"/>
      </w:r>
      <w:r w:rsidR="001B697A" w:rsidRPr="001B697A">
        <w:rPr>
          <w:sz w:val="24"/>
          <w:szCs w:val="24"/>
        </w:rPr>
        <w:t>)</w:t>
      </w:r>
      <w:r w:rsidR="00CD2CF2" w:rsidRPr="001B697A">
        <w:rPr>
          <w:sz w:val="24"/>
          <w:szCs w:val="24"/>
        </w:rPr>
        <w:t>.</w:t>
      </w:r>
      <w:r w:rsidR="00CD2CF2">
        <w:rPr>
          <w:sz w:val="24"/>
          <w:szCs w:val="24"/>
        </w:rPr>
        <w:t xml:space="preserve"> </w:t>
      </w:r>
    </w:p>
    <w:p w14:paraId="57DABF02" w14:textId="77777777" w:rsidR="00E15755" w:rsidRDefault="00E15755" w:rsidP="003141DF">
      <w:pPr>
        <w:pStyle w:val="CommentText"/>
        <w:rPr>
          <w:sz w:val="24"/>
          <w:szCs w:val="24"/>
        </w:rPr>
      </w:pPr>
    </w:p>
    <w:p w14:paraId="202AE7E5" w14:textId="46C6227E" w:rsidR="00513EEB" w:rsidRDefault="00513EEB" w:rsidP="00513EEB">
      <w:pPr>
        <w:pStyle w:val="Caption"/>
        <w:keepNext/>
        <w:rPr>
          <w:sz w:val="22"/>
          <w:szCs w:val="22"/>
        </w:rPr>
      </w:pPr>
      <w:bookmarkStart w:id="54" w:name="_Ref11228682"/>
      <w:r w:rsidRPr="00513EEB">
        <w:rPr>
          <w:sz w:val="22"/>
          <w:szCs w:val="22"/>
        </w:rPr>
        <w:t xml:space="preserve">Figure </w:t>
      </w:r>
      <w:r w:rsidRPr="00513EEB">
        <w:rPr>
          <w:sz w:val="22"/>
          <w:szCs w:val="22"/>
        </w:rPr>
        <w:fldChar w:fldCharType="begin"/>
      </w:r>
      <w:r w:rsidRPr="00513EEB">
        <w:rPr>
          <w:sz w:val="22"/>
          <w:szCs w:val="22"/>
        </w:rPr>
        <w:instrText xml:space="preserve"> SEQ Figure \* ARABIC </w:instrText>
      </w:r>
      <w:r w:rsidRPr="00513EEB">
        <w:rPr>
          <w:sz w:val="22"/>
          <w:szCs w:val="22"/>
        </w:rPr>
        <w:fldChar w:fldCharType="separate"/>
      </w:r>
      <w:r w:rsidR="006A56EC">
        <w:rPr>
          <w:noProof/>
          <w:sz w:val="22"/>
          <w:szCs w:val="22"/>
        </w:rPr>
        <w:t>7</w:t>
      </w:r>
      <w:r w:rsidRPr="00513EEB">
        <w:rPr>
          <w:sz w:val="22"/>
          <w:szCs w:val="22"/>
        </w:rPr>
        <w:fldChar w:fldCharType="end"/>
      </w:r>
      <w:bookmarkEnd w:id="54"/>
      <w:r w:rsidRPr="00513EEB">
        <w:rPr>
          <w:sz w:val="22"/>
          <w:szCs w:val="22"/>
        </w:rPr>
        <w:t>: Percentage of childminders and non-domestic providers judged outstanding on 31 March 2019, by region</w:t>
      </w:r>
    </w:p>
    <w:p w14:paraId="271F057E" w14:textId="77777777" w:rsidR="002B6330" w:rsidRPr="002B6330" w:rsidRDefault="002B6330" w:rsidP="002B6330"/>
    <w:p w14:paraId="324BC4B7" w14:textId="7F2E7BED" w:rsidR="001F2246" w:rsidRPr="001F2246" w:rsidRDefault="009022B3" w:rsidP="001F2246">
      <w:pPr>
        <w:jc w:val="center"/>
      </w:pPr>
      <w:r>
        <w:rPr>
          <w:noProof/>
        </w:rPr>
        <w:drawing>
          <wp:inline distT="0" distB="0" distL="0" distR="0" wp14:anchorId="5BAEF9FF" wp14:editId="37DA9A1E">
            <wp:extent cx="6115685" cy="2877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5685" cy="2877820"/>
                    </a:xfrm>
                    <a:prstGeom prst="rect">
                      <a:avLst/>
                    </a:prstGeom>
                  </pic:spPr>
                </pic:pic>
              </a:graphicData>
            </a:graphic>
          </wp:inline>
        </w:drawing>
      </w:r>
    </w:p>
    <w:p w14:paraId="29CCF7C6" w14:textId="374A3A40" w:rsidR="00D73E6C" w:rsidRDefault="0059234A" w:rsidP="00D73E6C">
      <w:pPr>
        <w:rPr>
          <w:rStyle w:val="Hyperlink"/>
          <w:color w:val="auto"/>
        </w:rPr>
      </w:pPr>
      <w:r>
        <w:t xml:space="preserve">Additional information on local authorities and parliamentary constituencies can be found in the provider level data file </w:t>
      </w:r>
      <w:r w:rsidR="00ED7C14">
        <w:t xml:space="preserve">accompanying </w:t>
      </w:r>
      <w:r>
        <w:t>this release</w:t>
      </w:r>
      <w:bookmarkStart w:id="55" w:name="_Toc454376420"/>
      <w:bookmarkStart w:id="56" w:name="_Toc476064991"/>
      <w:bookmarkStart w:id="57" w:name="_Toc483925855"/>
      <w:bookmarkStart w:id="58" w:name="_Toc483925903"/>
      <w:bookmarkStart w:id="59" w:name="_Toc508963535"/>
      <w:bookmarkStart w:id="60" w:name="_Toc2336330"/>
      <w:bookmarkStart w:id="61" w:name="_Toc2348750"/>
      <w:r w:rsidR="00D73E6C">
        <w:t>:</w:t>
      </w:r>
      <w:r w:rsidR="00D73E6C" w:rsidRPr="00D73E6C">
        <w:rPr>
          <w:rStyle w:val="Hyperlink"/>
        </w:rPr>
        <w:t xml:space="preserve"> </w:t>
      </w:r>
      <w:hyperlink r:id="rId22" w:history="1">
        <w:r w:rsidR="00D73E6C">
          <w:rPr>
            <w:rStyle w:val="Hyperlink"/>
          </w:rPr>
          <w:t>www.gov.uk/government/statistics/childcare-providers-and-inspections-as-at-31-March-2019</w:t>
        </w:r>
      </w:hyperlink>
      <w:r w:rsidR="00D73E6C" w:rsidRPr="00FE3C7B">
        <w:rPr>
          <w:rStyle w:val="Hyperlink"/>
          <w:color w:val="auto"/>
        </w:rPr>
        <w:t>.</w:t>
      </w:r>
    </w:p>
    <w:p w14:paraId="66A0F6A5" w14:textId="77777777" w:rsidR="00024609" w:rsidRDefault="00024609" w:rsidP="00AC3459"/>
    <w:p w14:paraId="393AFD48" w14:textId="596CAA4C" w:rsidR="0009391B" w:rsidRDefault="0009391B" w:rsidP="0009391B">
      <w:pPr>
        <w:pStyle w:val="Heading1"/>
      </w:pPr>
      <w:bookmarkStart w:id="62" w:name="_Childminder_agencies"/>
      <w:bookmarkEnd w:id="62"/>
      <w:r w:rsidRPr="00186E43">
        <w:t>Childminder agencies</w:t>
      </w:r>
      <w:bookmarkEnd w:id="55"/>
      <w:bookmarkEnd w:id="56"/>
      <w:bookmarkEnd w:id="57"/>
      <w:bookmarkEnd w:id="58"/>
      <w:bookmarkEnd w:id="59"/>
      <w:bookmarkEnd w:id="60"/>
      <w:bookmarkEnd w:id="61"/>
    </w:p>
    <w:p w14:paraId="271383C8" w14:textId="77777777" w:rsidR="0059234A" w:rsidRPr="005D2C4F" w:rsidRDefault="0059234A" w:rsidP="0059234A">
      <w:pPr>
        <w:pStyle w:val="NoSpacing"/>
        <w:jc w:val="left"/>
        <w:rPr>
          <w:rFonts w:cs="Tahoma"/>
          <w:bCs/>
          <w:kern w:val="32"/>
        </w:rPr>
      </w:pPr>
      <w:r w:rsidRPr="00186E43">
        <w:rPr>
          <w:rFonts w:cs="Tahoma"/>
          <w:bCs/>
          <w:kern w:val="32"/>
        </w:rPr>
        <w:t xml:space="preserve">Childminder agencies were introduced in September 2014, enabling new childminders to choose to register with Ofsted directly or register with an agency. Existing childminders could also choose to deregister with Ofsted and register instead with a childminder agency. Childminder agencies have the responsibility of inspecting the childminders who are registered with them, with Ofsted inspecting the </w:t>
      </w:r>
      <w:r w:rsidRPr="005D2C4F">
        <w:rPr>
          <w:rFonts w:cs="Tahoma"/>
          <w:bCs/>
          <w:kern w:val="32"/>
        </w:rPr>
        <w:t xml:space="preserve">childminder agencies. </w:t>
      </w:r>
    </w:p>
    <w:p w14:paraId="32B35437" w14:textId="77777777" w:rsidR="0059234A" w:rsidRPr="005D2C4F" w:rsidRDefault="0059234A" w:rsidP="0059234A">
      <w:pPr>
        <w:pStyle w:val="NoSpacing"/>
        <w:jc w:val="left"/>
        <w:rPr>
          <w:rFonts w:cs="Tahoma"/>
          <w:bCs/>
          <w:kern w:val="32"/>
        </w:rPr>
      </w:pPr>
    </w:p>
    <w:p w14:paraId="24B2A38A" w14:textId="157DB5CA" w:rsidR="0059234A" w:rsidRPr="005D2C4F" w:rsidRDefault="0059234A" w:rsidP="0059234A">
      <w:pPr>
        <w:pStyle w:val="NoSpacing"/>
        <w:jc w:val="left"/>
        <w:rPr>
          <w:rFonts w:cs="Tahoma"/>
          <w:bCs/>
          <w:kern w:val="32"/>
        </w:rPr>
      </w:pPr>
      <w:r w:rsidRPr="005D2C4F">
        <w:rPr>
          <w:rFonts w:cs="Tahoma"/>
          <w:bCs/>
          <w:kern w:val="32"/>
        </w:rPr>
        <w:t>Childminder agencies are only eligible for inspection when they have childminders on roll</w:t>
      </w:r>
      <w:r w:rsidR="006A2617">
        <w:rPr>
          <w:rFonts w:cs="Tahoma"/>
          <w:bCs/>
          <w:kern w:val="32"/>
        </w:rPr>
        <w:t>.</w:t>
      </w:r>
      <w:r w:rsidR="00E34FAD">
        <w:rPr>
          <w:rFonts w:cs="Tahoma"/>
          <w:bCs/>
          <w:kern w:val="32"/>
        </w:rPr>
        <w:t xml:space="preserve"> </w:t>
      </w:r>
      <w:r w:rsidR="006A2617">
        <w:rPr>
          <w:rFonts w:cs="Tahoma"/>
          <w:bCs/>
          <w:kern w:val="32"/>
        </w:rPr>
        <w:t>T</w:t>
      </w:r>
      <w:r w:rsidRPr="005D2C4F">
        <w:rPr>
          <w:rFonts w:cs="Tahoma"/>
          <w:bCs/>
          <w:kern w:val="32"/>
        </w:rPr>
        <w:t xml:space="preserve">here are only two overall effectiveness inspection outcomes: ‘Effective’ and ‘Ineffective’. </w:t>
      </w:r>
      <w:r w:rsidRPr="001D07FB">
        <w:rPr>
          <w:rFonts w:cs="Tahoma"/>
          <w:bCs/>
          <w:kern w:val="32"/>
        </w:rPr>
        <w:t xml:space="preserve">On 31 </w:t>
      </w:r>
      <w:r w:rsidR="001D07FB" w:rsidRPr="001D07FB">
        <w:rPr>
          <w:rFonts w:cs="Tahoma"/>
          <w:bCs/>
          <w:kern w:val="32"/>
        </w:rPr>
        <w:t>March</w:t>
      </w:r>
      <w:r w:rsidRPr="001D07FB">
        <w:rPr>
          <w:rFonts w:cs="Tahoma"/>
          <w:bCs/>
          <w:kern w:val="32"/>
        </w:rPr>
        <w:t xml:space="preserve"> 201</w:t>
      </w:r>
      <w:r w:rsidR="001D07FB" w:rsidRPr="001D07FB">
        <w:rPr>
          <w:rFonts w:cs="Tahoma"/>
          <w:bCs/>
          <w:kern w:val="32"/>
        </w:rPr>
        <w:t>9</w:t>
      </w:r>
      <w:r w:rsidRPr="001D07FB">
        <w:rPr>
          <w:rFonts w:cs="Tahoma"/>
          <w:bCs/>
          <w:kern w:val="32"/>
        </w:rPr>
        <w:t xml:space="preserve">, </w:t>
      </w:r>
      <w:r w:rsidR="007622EF" w:rsidRPr="001D07FB">
        <w:rPr>
          <w:rFonts w:cs="Tahoma"/>
          <w:bCs/>
          <w:kern w:val="32"/>
        </w:rPr>
        <w:t>11</w:t>
      </w:r>
      <w:r w:rsidRPr="001D07FB">
        <w:rPr>
          <w:rFonts w:cs="Tahoma"/>
          <w:bCs/>
          <w:kern w:val="32"/>
        </w:rPr>
        <w:t xml:space="preserve"> childminder</w:t>
      </w:r>
      <w:r w:rsidRPr="00EC5987">
        <w:rPr>
          <w:rFonts w:cs="Tahoma"/>
          <w:bCs/>
          <w:kern w:val="32"/>
        </w:rPr>
        <w:t xml:space="preserve"> agencies were registered with Ofsted. </w:t>
      </w:r>
      <w:r w:rsidRPr="007A6C79">
        <w:rPr>
          <w:rFonts w:cs="Tahoma"/>
          <w:bCs/>
          <w:kern w:val="32"/>
        </w:rPr>
        <w:t xml:space="preserve">Of these, </w:t>
      </w:r>
      <w:r w:rsidR="00F50F3D">
        <w:rPr>
          <w:rFonts w:cs="Tahoma"/>
          <w:bCs/>
          <w:kern w:val="32"/>
        </w:rPr>
        <w:t>six</w:t>
      </w:r>
      <w:r w:rsidR="005C236C" w:rsidRPr="007A6C79">
        <w:rPr>
          <w:rFonts w:cs="Tahoma"/>
          <w:bCs/>
          <w:kern w:val="32"/>
        </w:rPr>
        <w:t xml:space="preserve"> </w:t>
      </w:r>
      <w:r w:rsidRPr="007A6C79">
        <w:rPr>
          <w:rFonts w:cs="Tahoma"/>
          <w:bCs/>
          <w:kern w:val="32"/>
        </w:rPr>
        <w:t>had childminders on roll</w:t>
      </w:r>
      <w:r w:rsidRPr="00ED1F79">
        <w:rPr>
          <w:rFonts w:cs="Tahoma"/>
          <w:bCs/>
          <w:kern w:val="32"/>
        </w:rPr>
        <w:t xml:space="preserve"> and were therefore eligible for inspection. </w:t>
      </w:r>
      <w:r w:rsidR="00F50F3D">
        <w:rPr>
          <w:rFonts w:cs="Tahoma"/>
          <w:bCs/>
          <w:kern w:val="32"/>
        </w:rPr>
        <w:t>All six</w:t>
      </w:r>
      <w:r w:rsidR="005C236C">
        <w:rPr>
          <w:rFonts w:cs="Tahoma"/>
          <w:bCs/>
          <w:kern w:val="32"/>
        </w:rPr>
        <w:t xml:space="preserve"> </w:t>
      </w:r>
      <w:r w:rsidRPr="00ED1F79">
        <w:rPr>
          <w:rFonts w:cs="Tahoma"/>
          <w:bCs/>
          <w:kern w:val="32"/>
        </w:rPr>
        <w:t>childminder agencies have been inspected to date and all have been judged ‘Effective’.</w:t>
      </w:r>
    </w:p>
    <w:p w14:paraId="7438ABA3" w14:textId="77777777" w:rsidR="0059234A" w:rsidRPr="005D2C4F" w:rsidRDefault="0059234A" w:rsidP="0059234A">
      <w:pPr>
        <w:rPr>
          <w:highlight w:val="yellow"/>
        </w:rPr>
      </w:pPr>
    </w:p>
    <w:p w14:paraId="3D1D897F" w14:textId="57A7573B" w:rsidR="0059234A" w:rsidRPr="00186E43" w:rsidRDefault="0059234A" w:rsidP="0059234A">
      <w:r w:rsidRPr="005D2C4F">
        <w:t>Data for</w:t>
      </w:r>
      <w:r w:rsidRPr="00186E43">
        <w:t xml:space="preserve"> childminder agencies </w:t>
      </w:r>
      <w:r w:rsidRPr="00ED1F79">
        <w:t xml:space="preserve">is available from the provider level data file </w:t>
      </w:r>
      <w:r w:rsidR="00FE3C7B">
        <w:t>accompanying this release</w:t>
      </w:r>
      <w:r w:rsidRPr="00ED1F79">
        <w:t>:</w:t>
      </w:r>
      <w:r w:rsidRPr="00186E43">
        <w:t xml:space="preserve"> </w:t>
      </w:r>
    </w:p>
    <w:p w14:paraId="30CDAA27" w14:textId="6D31D929" w:rsidR="0059234A" w:rsidRDefault="002A7C1C" w:rsidP="0059234A">
      <w:pPr>
        <w:rPr>
          <w:rStyle w:val="Hyperlink"/>
          <w:color w:val="auto"/>
        </w:rPr>
      </w:pPr>
      <w:hyperlink r:id="rId23" w:history="1">
        <w:r w:rsidR="00EF33F8">
          <w:rPr>
            <w:rStyle w:val="Hyperlink"/>
          </w:rPr>
          <w:t>www.gov.uk/government/statistics/childcare-providers-and-inspections-as-at-31-March-2019</w:t>
        </w:r>
      </w:hyperlink>
      <w:r w:rsidR="00EF33F8" w:rsidRPr="00FE3C7B">
        <w:rPr>
          <w:rStyle w:val="Hyperlink"/>
          <w:color w:val="auto"/>
        </w:rPr>
        <w:t>.</w:t>
      </w:r>
    </w:p>
    <w:p w14:paraId="3A97CA4C" w14:textId="77777777" w:rsidR="00024609" w:rsidRDefault="00024609" w:rsidP="0059234A">
      <w:pPr>
        <w:rPr>
          <w:rStyle w:val="Hyperlink"/>
        </w:rPr>
      </w:pPr>
    </w:p>
    <w:p w14:paraId="7FC745E3" w14:textId="46653A10" w:rsidR="00660769" w:rsidRPr="009E567C" w:rsidRDefault="00660769" w:rsidP="009E567C">
      <w:pPr>
        <w:pStyle w:val="Heading1"/>
      </w:pPr>
      <w:bookmarkStart w:id="63" w:name="_Early_years_provision"/>
      <w:bookmarkStart w:id="64" w:name="_Toc2336331"/>
      <w:bookmarkStart w:id="65" w:name="_Toc2348751"/>
      <w:bookmarkEnd w:id="63"/>
      <w:r w:rsidRPr="00660769">
        <w:t>Early years provision in the schools sector</w:t>
      </w:r>
      <w:bookmarkEnd w:id="64"/>
      <w:bookmarkEnd w:id="65"/>
    </w:p>
    <w:p w14:paraId="273E88B4" w14:textId="71F76618" w:rsidR="00660769" w:rsidRDefault="00660769" w:rsidP="00660769">
      <w:pPr>
        <w:pStyle w:val="NormalWeb"/>
        <w:rPr>
          <w:rFonts w:ascii="Tahoma" w:hAnsi="Tahoma" w:cs="Tahoma"/>
          <w:bCs/>
          <w:kern w:val="32"/>
        </w:rPr>
      </w:pPr>
      <w:r w:rsidRPr="006A607D">
        <w:rPr>
          <w:rFonts w:ascii="Tahoma" w:hAnsi="Tahoma" w:cs="Tahoma"/>
          <w:bCs/>
          <w:kern w:val="32"/>
        </w:rPr>
        <w:t xml:space="preserve">Childcare in early years also occurs in the schools sector. This takes place in </w:t>
      </w:r>
      <w:r w:rsidR="008A1420" w:rsidRPr="006A607D">
        <w:rPr>
          <w:rFonts w:ascii="Tahoma" w:hAnsi="Tahoma" w:cs="Tahoma"/>
          <w:bCs/>
          <w:kern w:val="32"/>
        </w:rPr>
        <w:t xml:space="preserve">state-funded </w:t>
      </w:r>
      <w:r w:rsidR="004429D5" w:rsidRPr="006A607D">
        <w:rPr>
          <w:rFonts w:ascii="Tahoma" w:hAnsi="Tahoma" w:cs="Tahoma"/>
          <w:bCs/>
          <w:kern w:val="32"/>
        </w:rPr>
        <w:t>nurser</w:t>
      </w:r>
      <w:r w:rsidR="004429D5">
        <w:rPr>
          <w:rFonts w:ascii="Tahoma" w:hAnsi="Tahoma" w:cs="Tahoma"/>
          <w:bCs/>
          <w:kern w:val="32"/>
        </w:rPr>
        <w:t>y schools</w:t>
      </w:r>
      <w:r w:rsidR="004429D5" w:rsidRPr="006A607D">
        <w:rPr>
          <w:rFonts w:ascii="Tahoma" w:hAnsi="Tahoma" w:cs="Tahoma"/>
          <w:bCs/>
          <w:kern w:val="32"/>
        </w:rPr>
        <w:t xml:space="preserve"> </w:t>
      </w:r>
      <w:r w:rsidRPr="006A607D">
        <w:rPr>
          <w:rFonts w:ascii="Tahoma" w:hAnsi="Tahoma" w:cs="Tahoma"/>
          <w:bCs/>
          <w:kern w:val="32"/>
        </w:rPr>
        <w:t xml:space="preserve">and early years provision within </w:t>
      </w:r>
      <w:r w:rsidR="008A1420" w:rsidRPr="006A607D">
        <w:rPr>
          <w:rFonts w:ascii="Tahoma" w:hAnsi="Tahoma" w:cs="Tahoma"/>
          <w:bCs/>
          <w:kern w:val="32"/>
        </w:rPr>
        <w:t>state-funded</w:t>
      </w:r>
      <w:r w:rsidRPr="006A607D">
        <w:rPr>
          <w:rFonts w:ascii="Tahoma" w:hAnsi="Tahoma" w:cs="Tahoma"/>
          <w:bCs/>
          <w:kern w:val="32"/>
        </w:rPr>
        <w:t xml:space="preserve"> schools.</w:t>
      </w:r>
      <w:r w:rsidR="009A6127">
        <w:rPr>
          <w:rFonts w:ascii="Tahoma" w:hAnsi="Tahoma" w:cs="Tahoma"/>
          <w:bCs/>
          <w:kern w:val="32"/>
        </w:rPr>
        <w:t xml:space="preserve"> Where </w:t>
      </w:r>
      <w:r w:rsidR="005D40A3">
        <w:rPr>
          <w:rFonts w:ascii="Tahoma" w:hAnsi="Tahoma" w:cs="Tahoma"/>
          <w:bCs/>
          <w:kern w:val="32"/>
        </w:rPr>
        <w:t xml:space="preserve">nurseries </w:t>
      </w:r>
      <w:r w:rsidR="0017701A">
        <w:rPr>
          <w:rFonts w:ascii="Tahoma" w:hAnsi="Tahoma" w:cs="Tahoma"/>
          <w:bCs/>
          <w:kern w:val="32"/>
        </w:rPr>
        <w:t>with</w:t>
      </w:r>
      <w:r w:rsidR="005D40A3">
        <w:rPr>
          <w:rFonts w:ascii="Tahoma" w:hAnsi="Tahoma" w:cs="Tahoma"/>
          <w:bCs/>
          <w:kern w:val="32"/>
        </w:rPr>
        <w:t>in schools are</w:t>
      </w:r>
      <w:r w:rsidR="00BE2D8E">
        <w:rPr>
          <w:rFonts w:ascii="Tahoma" w:hAnsi="Tahoma" w:cs="Tahoma"/>
          <w:bCs/>
          <w:kern w:val="32"/>
        </w:rPr>
        <w:t xml:space="preserve"> only</w:t>
      </w:r>
      <w:r w:rsidR="005D40A3">
        <w:rPr>
          <w:rFonts w:ascii="Tahoma" w:hAnsi="Tahoma" w:cs="Tahoma"/>
          <w:bCs/>
          <w:kern w:val="32"/>
        </w:rPr>
        <w:t xml:space="preserve"> looking after children aged </w:t>
      </w:r>
      <w:r w:rsidR="0075773B">
        <w:rPr>
          <w:rFonts w:ascii="Tahoma" w:hAnsi="Tahoma" w:cs="Tahoma"/>
          <w:bCs/>
          <w:kern w:val="32"/>
        </w:rPr>
        <w:t>two</w:t>
      </w:r>
      <w:r w:rsidR="005D40A3">
        <w:rPr>
          <w:rFonts w:ascii="Tahoma" w:hAnsi="Tahoma" w:cs="Tahoma"/>
          <w:bCs/>
          <w:kern w:val="32"/>
        </w:rPr>
        <w:t xml:space="preserve"> and over, they are exempt from registration on the Early Years Register (EYR). </w:t>
      </w:r>
      <w:r w:rsidR="00475D42">
        <w:rPr>
          <w:rFonts w:ascii="Tahoma" w:hAnsi="Tahoma" w:cs="Tahoma"/>
          <w:bCs/>
          <w:kern w:val="32"/>
        </w:rPr>
        <w:t>Where these nurseries</w:t>
      </w:r>
      <w:r w:rsidR="005D40A3">
        <w:rPr>
          <w:rFonts w:ascii="Tahoma" w:hAnsi="Tahoma" w:cs="Tahoma"/>
          <w:bCs/>
          <w:kern w:val="32"/>
        </w:rPr>
        <w:t xml:space="preserve"> look after children younger than this</w:t>
      </w:r>
      <w:r w:rsidR="00AF40B9">
        <w:rPr>
          <w:rFonts w:ascii="Tahoma" w:hAnsi="Tahoma" w:cs="Tahoma"/>
          <w:bCs/>
          <w:kern w:val="32"/>
        </w:rPr>
        <w:t>,</w:t>
      </w:r>
      <w:r w:rsidR="004429D5">
        <w:rPr>
          <w:rFonts w:ascii="Tahoma" w:hAnsi="Tahoma" w:cs="Tahoma"/>
          <w:bCs/>
          <w:kern w:val="32"/>
        </w:rPr>
        <w:t xml:space="preserve"> they</w:t>
      </w:r>
      <w:r w:rsidR="005D40A3">
        <w:rPr>
          <w:rFonts w:ascii="Tahoma" w:hAnsi="Tahoma" w:cs="Tahoma"/>
          <w:bCs/>
          <w:kern w:val="32"/>
        </w:rPr>
        <w:t xml:space="preserve"> are still required to register</w:t>
      </w:r>
      <w:r w:rsidR="004429D5">
        <w:rPr>
          <w:rFonts w:ascii="Tahoma" w:hAnsi="Tahoma" w:cs="Tahoma"/>
          <w:bCs/>
          <w:kern w:val="32"/>
        </w:rPr>
        <w:t xml:space="preserve"> on the EYR</w:t>
      </w:r>
      <w:r w:rsidR="005D40A3">
        <w:rPr>
          <w:rFonts w:ascii="Tahoma" w:hAnsi="Tahoma" w:cs="Tahoma"/>
          <w:bCs/>
          <w:kern w:val="32"/>
        </w:rPr>
        <w:t xml:space="preserve"> and are therefore </w:t>
      </w:r>
      <w:r w:rsidR="005D40C2">
        <w:rPr>
          <w:rFonts w:ascii="Tahoma" w:hAnsi="Tahoma" w:cs="Tahoma"/>
          <w:bCs/>
          <w:kern w:val="32"/>
        </w:rPr>
        <w:t>covered in the previous sections.</w:t>
      </w:r>
    </w:p>
    <w:p w14:paraId="1D8127F4" w14:textId="5C79B275" w:rsidR="003B7922" w:rsidRDefault="00E76ADF" w:rsidP="00660769">
      <w:pPr>
        <w:pStyle w:val="NormalWeb"/>
        <w:rPr>
          <w:rFonts w:ascii="Tahoma" w:hAnsi="Tahoma" w:cs="Tahoma"/>
          <w:bCs/>
          <w:kern w:val="32"/>
        </w:rPr>
      </w:pPr>
      <w:r w:rsidRPr="00E76ADF">
        <w:rPr>
          <w:rFonts w:ascii="Tahoma" w:hAnsi="Tahoma" w:cs="Tahoma"/>
          <w:bCs/>
          <w:kern w:val="32"/>
        </w:rPr>
        <w:t>In state-funded schools,</w:t>
      </w:r>
      <w:r w:rsidR="00324D02">
        <w:rPr>
          <w:rFonts w:ascii="Tahoma" w:hAnsi="Tahoma" w:cs="Tahoma"/>
          <w:bCs/>
          <w:kern w:val="32"/>
        </w:rPr>
        <w:t xml:space="preserve"> other than nursery schools,</w:t>
      </w:r>
      <w:r w:rsidRPr="00E76ADF">
        <w:rPr>
          <w:rFonts w:ascii="Tahoma" w:hAnsi="Tahoma" w:cs="Tahoma"/>
          <w:bCs/>
          <w:kern w:val="32"/>
        </w:rPr>
        <w:t xml:space="preserve"> early years provision is given its own judgement as part of the overall inspection of the school. On 31 </w:t>
      </w:r>
      <w:r>
        <w:rPr>
          <w:rFonts w:ascii="Tahoma" w:hAnsi="Tahoma" w:cs="Tahoma"/>
          <w:bCs/>
          <w:kern w:val="32"/>
        </w:rPr>
        <w:t>March</w:t>
      </w:r>
      <w:r w:rsidRPr="00E76ADF">
        <w:rPr>
          <w:rFonts w:ascii="Tahoma" w:hAnsi="Tahoma" w:cs="Tahoma"/>
          <w:bCs/>
          <w:kern w:val="32"/>
        </w:rPr>
        <w:t xml:space="preserve"> 201</w:t>
      </w:r>
      <w:r>
        <w:rPr>
          <w:rFonts w:ascii="Tahoma" w:hAnsi="Tahoma" w:cs="Tahoma"/>
          <w:bCs/>
          <w:kern w:val="32"/>
        </w:rPr>
        <w:t>9</w:t>
      </w:r>
      <w:r w:rsidRPr="00E76ADF">
        <w:rPr>
          <w:rFonts w:ascii="Tahoma" w:hAnsi="Tahoma" w:cs="Tahoma"/>
          <w:bCs/>
          <w:kern w:val="32"/>
        </w:rPr>
        <w:t xml:space="preserve">, there were </w:t>
      </w:r>
      <w:r w:rsidRPr="003B5349">
        <w:rPr>
          <w:rFonts w:ascii="Tahoma" w:hAnsi="Tahoma" w:cs="Tahoma"/>
          <w:bCs/>
          <w:kern w:val="32"/>
        </w:rPr>
        <w:t>around 10,</w:t>
      </w:r>
      <w:r w:rsidR="00AD29F1" w:rsidRPr="003B5349">
        <w:rPr>
          <w:rFonts w:ascii="Tahoma" w:hAnsi="Tahoma" w:cs="Tahoma"/>
          <w:bCs/>
          <w:kern w:val="32"/>
        </w:rPr>
        <w:t>4</w:t>
      </w:r>
      <w:r w:rsidRPr="003B5349">
        <w:rPr>
          <w:rFonts w:ascii="Tahoma" w:hAnsi="Tahoma" w:cs="Tahoma"/>
          <w:bCs/>
          <w:kern w:val="32"/>
        </w:rPr>
        <w:t>00 state-funded schools with an early years judgement at their most recent school inspection. Of these,</w:t>
      </w:r>
      <w:r w:rsidR="00E64756">
        <w:rPr>
          <w:rFonts w:ascii="Tahoma" w:hAnsi="Tahoma" w:cs="Tahoma"/>
          <w:bCs/>
          <w:kern w:val="32"/>
        </w:rPr>
        <w:t xml:space="preserve"> 80% were judged good or outstanding on the overall effectiveness of the school and</w:t>
      </w:r>
      <w:r w:rsidRPr="003B5349">
        <w:rPr>
          <w:rFonts w:ascii="Tahoma" w:hAnsi="Tahoma" w:cs="Tahoma"/>
          <w:bCs/>
          <w:kern w:val="32"/>
        </w:rPr>
        <w:t xml:space="preserve"> 88% were</w:t>
      </w:r>
      <w:r w:rsidRPr="00E76ADF">
        <w:rPr>
          <w:rFonts w:ascii="Tahoma" w:hAnsi="Tahoma" w:cs="Tahoma"/>
          <w:bCs/>
          <w:kern w:val="32"/>
        </w:rPr>
        <w:t xml:space="preserve"> judged to be good or outstanding </w:t>
      </w:r>
      <w:r w:rsidR="005068BB">
        <w:rPr>
          <w:rFonts w:ascii="Tahoma" w:hAnsi="Tahoma" w:cs="Tahoma"/>
          <w:bCs/>
          <w:kern w:val="32"/>
        </w:rPr>
        <w:t xml:space="preserve">for </w:t>
      </w:r>
      <w:r w:rsidRPr="00E76ADF">
        <w:rPr>
          <w:rFonts w:ascii="Tahoma" w:hAnsi="Tahoma" w:cs="Tahoma"/>
          <w:bCs/>
          <w:kern w:val="32"/>
        </w:rPr>
        <w:t>early years</w:t>
      </w:r>
      <w:r w:rsidR="00612C30">
        <w:rPr>
          <w:rFonts w:ascii="Tahoma" w:hAnsi="Tahoma" w:cs="Tahoma"/>
          <w:bCs/>
          <w:kern w:val="32"/>
        </w:rPr>
        <w:t xml:space="preserve"> </w:t>
      </w:r>
      <w:r w:rsidR="005068BB">
        <w:rPr>
          <w:rFonts w:ascii="Tahoma" w:hAnsi="Tahoma" w:cs="Tahoma"/>
          <w:bCs/>
          <w:kern w:val="32"/>
        </w:rPr>
        <w:t>provision</w:t>
      </w:r>
      <w:r w:rsidR="00B90858">
        <w:rPr>
          <w:rFonts w:ascii="Tahoma" w:hAnsi="Tahoma" w:cs="Tahoma"/>
          <w:bCs/>
          <w:kern w:val="32"/>
        </w:rPr>
        <w:t>.</w:t>
      </w:r>
    </w:p>
    <w:p w14:paraId="3707D7C5" w14:textId="3C60A216" w:rsidR="00E76ADF" w:rsidRDefault="00BD3A73" w:rsidP="00660769">
      <w:pPr>
        <w:pStyle w:val="NormalWeb"/>
        <w:rPr>
          <w:rFonts w:ascii="Tahoma" w:hAnsi="Tahoma" w:cs="Tahoma"/>
          <w:bCs/>
          <w:kern w:val="32"/>
        </w:rPr>
      </w:pPr>
      <w:r>
        <w:rPr>
          <w:rFonts w:ascii="Tahoma" w:hAnsi="Tahoma" w:cs="Tahoma"/>
          <w:bCs/>
          <w:kern w:val="32"/>
        </w:rPr>
        <w:t xml:space="preserve">There are </w:t>
      </w:r>
      <w:r w:rsidR="00AF40B9">
        <w:rPr>
          <w:rFonts w:ascii="Tahoma" w:hAnsi="Tahoma" w:cs="Tahoma"/>
          <w:bCs/>
          <w:kern w:val="32"/>
        </w:rPr>
        <w:t>several</w:t>
      </w:r>
      <w:r>
        <w:rPr>
          <w:rFonts w:ascii="Tahoma" w:hAnsi="Tahoma" w:cs="Tahoma"/>
          <w:bCs/>
          <w:kern w:val="32"/>
        </w:rPr>
        <w:t xml:space="preserve"> reasons why schools which</w:t>
      </w:r>
      <w:r w:rsidR="00D9706E">
        <w:rPr>
          <w:rFonts w:ascii="Tahoma" w:hAnsi="Tahoma" w:cs="Tahoma"/>
          <w:bCs/>
          <w:kern w:val="32"/>
        </w:rPr>
        <w:t xml:space="preserve"> received an early years judgement </w:t>
      </w:r>
      <w:r w:rsidR="00F870B3">
        <w:rPr>
          <w:rFonts w:ascii="Tahoma" w:hAnsi="Tahoma" w:cs="Tahoma"/>
          <w:bCs/>
          <w:kern w:val="32"/>
        </w:rPr>
        <w:t xml:space="preserve">may not be representative of all schools with early years provision. For instance, </w:t>
      </w:r>
      <w:r w:rsidR="00E76ADF" w:rsidRPr="00E76ADF">
        <w:rPr>
          <w:rFonts w:ascii="Tahoma" w:hAnsi="Tahoma" w:cs="Tahoma"/>
          <w:bCs/>
          <w:kern w:val="32"/>
        </w:rPr>
        <w:t xml:space="preserve">Ofsted did not provide separate graded judgements on the overall effectiveness of early years between January 2012 and August 2014. </w:t>
      </w:r>
      <w:r w:rsidR="0032095D">
        <w:rPr>
          <w:rFonts w:ascii="Tahoma" w:hAnsi="Tahoma" w:cs="Tahoma"/>
          <w:bCs/>
          <w:kern w:val="32"/>
        </w:rPr>
        <w:t xml:space="preserve">Furthermore, </w:t>
      </w:r>
      <w:r w:rsidR="00EB6268">
        <w:rPr>
          <w:rFonts w:ascii="Tahoma" w:hAnsi="Tahoma" w:cs="Tahoma"/>
          <w:bCs/>
          <w:kern w:val="32"/>
        </w:rPr>
        <w:t xml:space="preserve">short inspections </w:t>
      </w:r>
      <w:r w:rsidR="0032095D">
        <w:rPr>
          <w:rFonts w:ascii="Tahoma" w:hAnsi="Tahoma" w:cs="Tahoma"/>
          <w:bCs/>
          <w:kern w:val="32"/>
        </w:rPr>
        <w:t xml:space="preserve">will confirm whether the overall effectiveness is good or outstanding, but will not </w:t>
      </w:r>
      <w:r w:rsidR="00E16C55">
        <w:rPr>
          <w:rFonts w:ascii="Tahoma" w:hAnsi="Tahoma" w:cs="Tahoma"/>
          <w:bCs/>
          <w:kern w:val="32"/>
        </w:rPr>
        <w:t>provide</w:t>
      </w:r>
      <w:r w:rsidR="001E5AFB">
        <w:rPr>
          <w:rFonts w:ascii="Tahoma" w:hAnsi="Tahoma" w:cs="Tahoma"/>
          <w:bCs/>
          <w:kern w:val="32"/>
        </w:rPr>
        <w:t xml:space="preserve"> </w:t>
      </w:r>
      <w:r w:rsidR="00E16C55">
        <w:rPr>
          <w:rFonts w:ascii="Tahoma" w:hAnsi="Tahoma" w:cs="Tahoma"/>
          <w:bCs/>
          <w:kern w:val="32"/>
        </w:rPr>
        <w:t>or update a previous early years provision judgement</w:t>
      </w:r>
      <w:r w:rsidR="0032095D">
        <w:rPr>
          <w:rFonts w:ascii="Tahoma" w:hAnsi="Tahoma" w:cs="Tahoma"/>
          <w:bCs/>
          <w:kern w:val="32"/>
        </w:rPr>
        <w:t xml:space="preserve">. </w:t>
      </w:r>
    </w:p>
    <w:p w14:paraId="250F3829" w14:textId="15FC38D9" w:rsidR="00660769" w:rsidRDefault="00660769" w:rsidP="00660769">
      <w:pPr>
        <w:pStyle w:val="NormalWeb"/>
        <w:rPr>
          <w:rFonts w:ascii="Tahoma" w:hAnsi="Tahoma" w:cs="Tahoma"/>
          <w:bCs/>
          <w:kern w:val="32"/>
        </w:rPr>
      </w:pPr>
      <w:r w:rsidRPr="002F782D">
        <w:rPr>
          <w:rFonts w:ascii="Tahoma" w:hAnsi="Tahoma" w:cs="Tahoma"/>
          <w:bCs/>
          <w:kern w:val="32"/>
        </w:rPr>
        <w:t xml:space="preserve">On 31 </w:t>
      </w:r>
      <w:r w:rsidR="002F782D" w:rsidRPr="00AB0E2D">
        <w:rPr>
          <w:rFonts w:ascii="Tahoma" w:hAnsi="Tahoma" w:cs="Tahoma"/>
          <w:bCs/>
          <w:kern w:val="32"/>
        </w:rPr>
        <w:t>March</w:t>
      </w:r>
      <w:r w:rsidR="008A1420" w:rsidRPr="00AB0E2D">
        <w:rPr>
          <w:rFonts w:ascii="Tahoma" w:hAnsi="Tahoma" w:cs="Tahoma"/>
          <w:bCs/>
          <w:kern w:val="32"/>
        </w:rPr>
        <w:t xml:space="preserve"> 201</w:t>
      </w:r>
      <w:r w:rsidR="002F782D" w:rsidRPr="00AB0E2D">
        <w:rPr>
          <w:rFonts w:ascii="Tahoma" w:hAnsi="Tahoma" w:cs="Tahoma"/>
          <w:bCs/>
          <w:kern w:val="32"/>
        </w:rPr>
        <w:t>9</w:t>
      </w:r>
      <w:r w:rsidRPr="00AB0E2D">
        <w:rPr>
          <w:rFonts w:ascii="Tahoma" w:hAnsi="Tahoma" w:cs="Tahoma"/>
          <w:bCs/>
          <w:kern w:val="32"/>
        </w:rPr>
        <w:t xml:space="preserve">, there were </w:t>
      </w:r>
      <w:hyperlink r:id="rId24" w:history="1">
        <w:r w:rsidR="009E567C" w:rsidRPr="00AB0E2D">
          <w:rPr>
            <w:rFonts w:ascii="Tahoma" w:hAnsi="Tahoma" w:cs="Tahoma"/>
            <w:bCs/>
            <w:kern w:val="32"/>
          </w:rPr>
          <w:t>3</w:t>
        </w:r>
        <w:r w:rsidR="00A460EA" w:rsidRPr="00AB0E2D">
          <w:rPr>
            <w:rFonts w:ascii="Tahoma" w:hAnsi="Tahoma" w:cs="Tahoma"/>
            <w:bCs/>
            <w:kern w:val="32"/>
          </w:rPr>
          <w:t>91</w:t>
        </w:r>
        <w:r w:rsidRPr="00AB0E2D">
          <w:rPr>
            <w:rFonts w:ascii="Tahoma" w:hAnsi="Tahoma" w:cs="Tahoma"/>
            <w:bCs/>
            <w:kern w:val="32"/>
          </w:rPr>
          <w:t xml:space="preserve"> </w:t>
        </w:r>
        <w:r w:rsidR="008A1420" w:rsidRPr="00AB0E2D">
          <w:rPr>
            <w:rFonts w:ascii="Tahoma" w:hAnsi="Tahoma" w:cs="Tahoma"/>
            <w:bCs/>
            <w:kern w:val="32"/>
          </w:rPr>
          <w:t>state-funded</w:t>
        </w:r>
        <w:r w:rsidRPr="00AB0E2D">
          <w:rPr>
            <w:rFonts w:ascii="Tahoma" w:hAnsi="Tahoma" w:cs="Tahoma"/>
            <w:bCs/>
            <w:kern w:val="32"/>
          </w:rPr>
          <w:t xml:space="preserve"> nursery schools in England</w:t>
        </w:r>
      </w:hyperlink>
      <w:r w:rsidRPr="00AB0E2D">
        <w:rPr>
          <w:rFonts w:ascii="Tahoma" w:hAnsi="Tahoma" w:cs="Tahoma"/>
          <w:bCs/>
          <w:kern w:val="32"/>
        </w:rPr>
        <w:t xml:space="preserve">. Of </w:t>
      </w:r>
      <w:r w:rsidR="005D5BC4">
        <w:rPr>
          <w:rFonts w:ascii="Tahoma" w:hAnsi="Tahoma" w:cs="Tahoma"/>
          <w:bCs/>
          <w:kern w:val="32"/>
        </w:rPr>
        <w:t>the</w:t>
      </w:r>
      <w:r w:rsidRPr="00AB0E2D">
        <w:rPr>
          <w:rFonts w:ascii="Tahoma" w:hAnsi="Tahoma" w:cs="Tahoma"/>
          <w:bCs/>
          <w:kern w:val="32"/>
        </w:rPr>
        <w:t xml:space="preserve"> </w:t>
      </w:r>
      <w:r w:rsidR="009E567C" w:rsidRPr="00AB0E2D">
        <w:rPr>
          <w:rFonts w:ascii="Tahoma" w:hAnsi="Tahoma" w:cs="Tahoma"/>
          <w:bCs/>
          <w:kern w:val="32"/>
        </w:rPr>
        <w:t>3</w:t>
      </w:r>
      <w:r w:rsidR="00A460EA" w:rsidRPr="00AB0E2D">
        <w:rPr>
          <w:rFonts w:ascii="Tahoma" w:hAnsi="Tahoma" w:cs="Tahoma"/>
          <w:bCs/>
          <w:kern w:val="32"/>
        </w:rPr>
        <w:t>89</w:t>
      </w:r>
      <w:r w:rsidRPr="00AB0E2D">
        <w:rPr>
          <w:rFonts w:ascii="Tahoma" w:hAnsi="Tahoma" w:cs="Tahoma"/>
          <w:bCs/>
          <w:kern w:val="32"/>
        </w:rPr>
        <w:t xml:space="preserve"> </w:t>
      </w:r>
      <w:r w:rsidR="005D5BC4">
        <w:rPr>
          <w:rFonts w:ascii="Tahoma" w:hAnsi="Tahoma" w:cs="Tahoma"/>
          <w:bCs/>
          <w:kern w:val="32"/>
        </w:rPr>
        <w:t xml:space="preserve">that </w:t>
      </w:r>
      <w:r w:rsidRPr="00AB0E2D">
        <w:rPr>
          <w:rFonts w:ascii="Tahoma" w:hAnsi="Tahoma" w:cs="Tahoma"/>
          <w:bCs/>
          <w:kern w:val="32"/>
        </w:rPr>
        <w:t>ha</w:t>
      </w:r>
      <w:r w:rsidR="005D5BC4">
        <w:rPr>
          <w:rFonts w:ascii="Tahoma" w:hAnsi="Tahoma" w:cs="Tahoma"/>
          <w:bCs/>
          <w:kern w:val="32"/>
        </w:rPr>
        <w:t>ve</w:t>
      </w:r>
      <w:r w:rsidRPr="00AB0E2D">
        <w:rPr>
          <w:rFonts w:ascii="Tahoma" w:hAnsi="Tahoma" w:cs="Tahoma"/>
          <w:bCs/>
          <w:kern w:val="32"/>
        </w:rPr>
        <w:t xml:space="preserve"> been inspected</w:t>
      </w:r>
      <w:r w:rsidR="00367A65">
        <w:rPr>
          <w:rFonts w:ascii="Tahoma" w:hAnsi="Tahoma" w:cs="Tahoma"/>
          <w:bCs/>
          <w:kern w:val="32"/>
        </w:rPr>
        <w:t>,</w:t>
      </w:r>
      <w:r w:rsidRPr="00AB0E2D">
        <w:rPr>
          <w:rFonts w:ascii="Tahoma" w:hAnsi="Tahoma" w:cs="Tahoma"/>
          <w:bCs/>
          <w:kern w:val="32"/>
        </w:rPr>
        <w:t xml:space="preserve"> 98% received</w:t>
      </w:r>
      <w:r w:rsidRPr="0067037F">
        <w:rPr>
          <w:rFonts w:ascii="Tahoma" w:hAnsi="Tahoma" w:cs="Tahoma"/>
          <w:bCs/>
          <w:kern w:val="32"/>
        </w:rPr>
        <w:t xml:space="preserve"> a grade of good or outstanding at their most recent </w:t>
      </w:r>
      <w:r w:rsidRPr="00B32E03">
        <w:rPr>
          <w:rFonts w:ascii="Tahoma" w:hAnsi="Tahoma" w:cs="Tahoma"/>
          <w:bCs/>
          <w:kern w:val="32"/>
        </w:rPr>
        <w:t>inspection</w:t>
      </w:r>
      <w:r w:rsidR="001E4BA5" w:rsidRPr="00B32E03">
        <w:rPr>
          <w:rFonts w:ascii="Tahoma" w:hAnsi="Tahoma" w:cs="Tahoma"/>
          <w:bCs/>
          <w:kern w:val="32"/>
        </w:rPr>
        <w:t xml:space="preserve"> (</w:t>
      </w:r>
      <w:r w:rsidR="00B32E03" w:rsidRPr="00B32E03">
        <w:rPr>
          <w:rFonts w:ascii="Tahoma" w:hAnsi="Tahoma" w:cs="Tahoma"/>
          <w:bCs/>
          <w:kern w:val="32"/>
        </w:rPr>
        <w:fldChar w:fldCharType="begin"/>
      </w:r>
      <w:r w:rsidR="00B32E03" w:rsidRPr="00B32E03">
        <w:rPr>
          <w:rFonts w:ascii="Tahoma" w:hAnsi="Tahoma" w:cs="Tahoma"/>
          <w:bCs/>
          <w:kern w:val="32"/>
        </w:rPr>
        <w:instrText xml:space="preserve"> REF _Ref11228758 \h  \* MERGEFORMAT </w:instrText>
      </w:r>
      <w:r w:rsidR="00B32E03" w:rsidRPr="00B32E03">
        <w:rPr>
          <w:rFonts w:ascii="Tahoma" w:hAnsi="Tahoma" w:cs="Tahoma"/>
          <w:bCs/>
          <w:kern w:val="32"/>
        </w:rPr>
      </w:r>
      <w:r w:rsidR="00B32E03" w:rsidRPr="00B32E03">
        <w:rPr>
          <w:rFonts w:ascii="Tahoma" w:hAnsi="Tahoma" w:cs="Tahoma"/>
          <w:bCs/>
          <w:kern w:val="32"/>
        </w:rPr>
        <w:fldChar w:fldCharType="separate"/>
      </w:r>
      <w:r w:rsidR="006A56EC" w:rsidRPr="006A56EC">
        <w:rPr>
          <w:rFonts w:ascii="Tahoma" w:hAnsi="Tahoma" w:cs="Tahoma"/>
        </w:rPr>
        <w:t xml:space="preserve">Table </w:t>
      </w:r>
      <w:r w:rsidR="006A56EC" w:rsidRPr="006A56EC">
        <w:rPr>
          <w:rFonts w:ascii="Tahoma" w:hAnsi="Tahoma" w:cs="Tahoma"/>
          <w:noProof/>
        </w:rPr>
        <w:t>1</w:t>
      </w:r>
      <w:r w:rsidR="00B32E03" w:rsidRPr="00B32E03">
        <w:rPr>
          <w:rFonts w:ascii="Tahoma" w:hAnsi="Tahoma" w:cs="Tahoma"/>
          <w:bCs/>
          <w:kern w:val="32"/>
        </w:rPr>
        <w:fldChar w:fldCharType="end"/>
      </w:r>
      <w:r w:rsidR="001E4BA5" w:rsidRPr="00B32E03">
        <w:rPr>
          <w:rFonts w:ascii="Tahoma" w:hAnsi="Tahoma" w:cs="Tahoma"/>
          <w:bCs/>
          <w:kern w:val="32"/>
        </w:rPr>
        <w:t>)</w:t>
      </w:r>
      <w:r w:rsidRPr="00B32E03">
        <w:rPr>
          <w:rFonts w:ascii="Tahoma" w:hAnsi="Tahoma" w:cs="Tahoma"/>
          <w:bCs/>
          <w:kern w:val="32"/>
        </w:rPr>
        <w:t>.</w:t>
      </w:r>
      <w:r w:rsidR="00D03470" w:rsidRPr="00B32E03">
        <w:rPr>
          <w:rFonts w:ascii="Tahoma" w:hAnsi="Tahoma" w:cs="Tahoma"/>
          <w:bCs/>
          <w:kern w:val="32"/>
        </w:rPr>
        <w:t xml:space="preserve"> This</w:t>
      </w:r>
      <w:r w:rsidR="00D03470">
        <w:rPr>
          <w:rFonts w:ascii="Tahoma" w:hAnsi="Tahoma" w:cs="Tahoma"/>
          <w:bCs/>
          <w:kern w:val="32"/>
        </w:rPr>
        <w:t xml:space="preserve"> was </w:t>
      </w:r>
      <w:r w:rsidR="00D03470" w:rsidRPr="004F5ECF">
        <w:rPr>
          <w:rFonts w:ascii="Tahoma" w:hAnsi="Tahoma" w:cs="Tahoma"/>
          <w:bCs/>
          <w:kern w:val="32"/>
        </w:rPr>
        <w:t xml:space="preserve">made up of </w:t>
      </w:r>
      <w:r w:rsidR="003A29D2">
        <w:rPr>
          <w:rFonts w:ascii="Tahoma" w:hAnsi="Tahoma" w:cs="Tahoma"/>
          <w:bCs/>
          <w:kern w:val="32"/>
        </w:rPr>
        <w:t xml:space="preserve">a </w:t>
      </w:r>
      <w:r w:rsidR="00E97823">
        <w:rPr>
          <w:rFonts w:ascii="Tahoma" w:hAnsi="Tahoma" w:cs="Tahoma"/>
          <w:bCs/>
          <w:kern w:val="32"/>
        </w:rPr>
        <w:t>very large proportion (</w:t>
      </w:r>
      <w:r w:rsidR="0024366D" w:rsidRPr="004F5ECF">
        <w:rPr>
          <w:rFonts w:ascii="Tahoma" w:hAnsi="Tahoma" w:cs="Tahoma"/>
          <w:bCs/>
          <w:kern w:val="32"/>
        </w:rPr>
        <w:t>6</w:t>
      </w:r>
      <w:r w:rsidR="004F5ECF" w:rsidRPr="004F5ECF">
        <w:rPr>
          <w:rFonts w:ascii="Tahoma" w:hAnsi="Tahoma" w:cs="Tahoma"/>
          <w:bCs/>
          <w:kern w:val="32"/>
        </w:rPr>
        <w:t>3</w:t>
      </w:r>
      <w:r w:rsidR="0024366D" w:rsidRPr="004F5ECF">
        <w:rPr>
          <w:rFonts w:ascii="Tahoma" w:hAnsi="Tahoma" w:cs="Tahoma"/>
          <w:bCs/>
          <w:kern w:val="32"/>
        </w:rPr>
        <w:t>%</w:t>
      </w:r>
      <w:r w:rsidR="00E97823">
        <w:rPr>
          <w:rFonts w:ascii="Tahoma" w:hAnsi="Tahoma" w:cs="Tahoma"/>
          <w:bCs/>
          <w:kern w:val="32"/>
        </w:rPr>
        <w:t>)</w:t>
      </w:r>
      <w:r w:rsidR="00147F70" w:rsidRPr="004F5ECF">
        <w:rPr>
          <w:rFonts w:ascii="Tahoma" w:hAnsi="Tahoma" w:cs="Tahoma"/>
          <w:bCs/>
          <w:kern w:val="32"/>
        </w:rPr>
        <w:t xml:space="preserve"> of nursery schools</w:t>
      </w:r>
      <w:r w:rsidR="0024366D" w:rsidRPr="004F5ECF">
        <w:rPr>
          <w:rFonts w:ascii="Tahoma" w:hAnsi="Tahoma" w:cs="Tahoma"/>
          <w:bCs/>
          <w:kern w:val="32"/>
        </w:rPr>
        <w:t xml:space="preserve"> judged outstanding and 35% </w:t>
      </w:r>
      <w:r w:rsidR="00BE125C" w:rsidRPr="004F5ECF">
        <w:rPr>
          <w:rFonts w:ascii="Tahoma" w:hAnsi="Tahoma" w:cs="Tahoma"/>
          <w:bCs/>
          <w:kern w:val="32"/>
        </w:rPr>
        <w:t>judged good.</w:t>
      </w:r>
    </w:p>
    <w:p w14:paraId="3FA9714B" w14:textId="77777777" w:rsidR="00CC0070" w:rsidRDefault="00CC0070">
      <w:pPr>
        <w:rPr>
          <w:rFonts w:cs="Tahoma"/>
          <w:b/>
          <w:bCs/>
          <w:color w:val="auto"/>
          <w:kern w:val="32"/>
          <w:sz w:val="22"/>
          <w:szCs w:val="22"/>
          <w:lang w:eastAsia="en-GB"/>
        </w:rPr>
      </w:pPr>
      <w:r>
        <w:rPr>
          <w:rFonts w:cs="Tahoma"/>
          <w:b/>
          <w:bCs/>
          <w:kern w:val="32"/>
          <w:sz w:val="22"/>
          <w:szCs w:val="22"/>
        </w:rPr>
        <w:br w:type="page"/>
      </w:r>
    </w:p>
    <w:p w14:paraId="268C43BA" w14:textId="2A9364A7" w:rsidR="00B32E03" w:rsidRDefault="00B32E03" w:rsidP="00B32E03">
      <w:pPr>
        <w:pStyle w:val="Caption"/>
        <w:keepNext/>
        <w:rPr>
          <w:rFonts w:cs="Tahoma"/>
          <w:kern w:val="32"/>
          <w:sz w:val="22"/>
          <w:szCs w:val="22"/>
        </w:rPr>
      </w:pPr>
      <w:bookmarkStart w:id="66" w:name="_Ref11228758"/>
      <w:r w:rsidRPr="00B32E03">
        <w:rPr>
          <w:sz w:val="22"/>
          <w:szCs w:val="22"/>
        </w:rPr>
        <w:lastRenderedPageBreak/>
        <w:t xml:space="preserve">Table </w:t>
      </w:r>
      <w:r w:rsidRPr="00B32E03">
        <w:rPr>
          <w:sz w:val="22"/>
          <w:szCs w:val="22"/>
        </w:rPr>
        <w:fldChar w:fldCharType="begin"/>
      </w:r>
      <w:r w:rsidRPr="00B32E03">
        <w:rPr>
          <w:sz w:val="22"/>
          <w:szCs w:val="22"/>
        </w:rPr>
        <w:instrText xml:space="preserve"> SEQ Table \* ARABIC </w:instrText>
      </w:r>
      <w:r w:rsidRPr="00B32E03">
        <w:rPr>
          <w:sz w:val="22"/>
          <w:szCs w:val="22"/>
        </w:rPr>
        <w:fldChar w:fldCharType="separate"/>
      </w:r>
      <w:r w:rsidR="006A56EC">
        <w:rPr>
          <w:noProof/>
          <w:sz w:val="22"/>
          <w:szCs w:val="22"/>
        </w:rPr>
        <w:t>1</w:t>
      </w:r>
      <w:r w:rsidRPr="00B32E03">
        <w:rPr>
          <w:sz w:val="22"/>
          <w:szCs w:val="22"/>
        </w:rPr>
        <w:fldChar w:fldCharType="end"/>
      </w:r>
      <w:bookmarkEnd w:id="66"/>
      <w:r w:rsidRPr="00B32E03">
        <w:rPr>
          <w:sz w:val="22"/>
          <w:szCs w:val="22"/>
        </w:rPr>
        <w:t>:</w:t>
      </w:r>
      <w:r w:rsidRPr="00B32E03">
        <w:rPr>
          <w:rFonts w:cs="Tahoma"/>
          <w:kern w:val="32"/>
          <w:sz w:val="22"/>
          <w:szCs w:val="22"/>
        </w:rPr>
        <w:t xml:space="preserve"> Overall effectiveness of open state-funded nursery schools on 31 March 2019</w:t>
      </w:r>
    </w:p>
    <w:p w14:paraId="32BE0D9C" w14:textId="77777777" w:rsidR="00B32E03" w:rsidRPr="00B32E03" w:rsidRDefault="00B32E03" w:rsidP="00B32E03"/>
    <w:tbl>
      <w:tblPr>
        <w:tblW w:w="8678" w:type="dxa"/>
        <w:jc w:val="center"/>
        <w:tblLook w:val="04A0" w:firstRow="1" w:lastRow="0" w:firstColumn="1" w:lastColumn="0" w:noHBand="0" w:noVBand="1"/>
      </w:tblPr>
      <w:tblGrid>
        <w:gridCol w:w="2251"/>
        <w:gridCol w:w="1186"/>
        <w:gridCol w:w="1487"/>
        <w:gridCol w:w="937"/>
        <w:gridCol w:w="1394"/>
        <w:gridCol w:w="1423"/>
      </w:tblGrid>
      <w:tr w:rsidR="00E55291" w:rsidRPr="00E55291" w14:paraId="06C60DFF" w14:textId="77777777" w:rsidTr="00EE76AF">
        <w:trPr>
          <w:trHeight w:val="1020"/>
          <w:jc w:val="center"/>
        </w:trPr>
        <w:tc>
          <w:tcPr>
            <w:tcW w:w="2251" w:type="dxa"/>
            <w:tcBorders>
              <w:top w:val="single" w:sz="4" w:space="0" w:color="auto"/>
              <w:left w:val="nil"/>
              <w:bottom w:val="single" w:sz="4" w:space="0" w:color="auto"/>
              <w:right w:val="nil"/>
            </w:tcBorders>
            <w:shd w:val="clear" w:color="auto" w:fill="auto"/>
            <w:noWrap/>
            <w:vAlign w:val="bottom"/>
            <w:hideMark/>
          </w:tcPr>
          <w:p w14:paraId="76F4E3B7" w14:textId="0BFADD6F" w:rsidR="00E55291" w:rsidRPr="00E55291" w:rsidRDefault="00E55291" w:rsidP="00E55291">
            <w:pPr>
              <w:rPr>
                <w:rFonts w:ascii="Times New Roman" w:hAnsi="Times New Roman"/>
                <w:color w:val="auto"/>
                <w:sz w:val="20"/>
                <w:szCs w:val="20"/>
                <w:lang w:eastAsia="en-GB"/>
              </w:rPr>
            </w:pPr>
          </w:p>
        </w:tc>
        <w:tc>
          <w:tcPr>
            <w:tcW w:w="1186" w:type="dxa"/>
            <w:tcBorders>
              <w:top w:val="single" w:sz="4" w:space="0" w:color="auto"/>
              <w:left w:val="nil"/>
              <w:bottom w:val="single" w:sz="4" w:space="0" w:color="auto"/>
              <w:right w:val="nil"/>
            </w:tcBorders>
            <w:shd w:val="clear" w:color="auto" w:fill="auto"/>
            <w:vAlign w:val="center"/>
            <w:hideMark/>
          </w:tcPr>
          <w:p w14:paraId="2BD0DCCA" w14:textId="77777777" w:rsidR="00E55291" w:rsidRPr="00E55291" w:rsidRDefault="00E55291" w:rsidP="00E55291">
            <w:pPr>
              <w:jc w:val="center"/>
              <w:rPr>
                <w:rFonts w:cs="Tahoma"/>
                <w:b/>
                <w:bCs/>
                <w:sz w:val="20"/>
                <w:szCs w:val="20"/>
                <w:lang w:eastAsia="en-GB"/>
              </w:rPr>
            </w:pPr>
            <w:r w:rsidRPr="00E55291">
              <w:rPr>
                <w:rFonts w:cs="Tahoma"/>
                <w:b/>
                <w:bCs/>
                <w:sz w:val="20"/>
                <w:szCs w:val="20"/>
                <w:lang w:eastAsia="en-GB"/>
              </w:rPr>
              <w:t>All inspected nursery schools</w:t>
            </w:r>
          </w:p>
        </w:tc>
        <w:tc>
          <w:tcPr>
            <w:tcW w:w="1487" w:type="dxa"/>
            <w:tcBorders>
              <w:top w:val="single" w:sz="4" w:space="0" w:color="auto"/>
              <w:left w:val="nil"/>
              <w:bottom w:val="single" w:sz="4" w:space="0" w:color="auto"/>
              <w:right w:val="nil"/>
            </w:tcBorders>
            <w:shd w:val="clear" w:color="auto" w:fill="auto"/>
            <w:vAlign w:val="center"/>
            <w:hideMark/>
          </w:tcPr>
          <w:p w14:paraId="06B30E39" w14:textId="77777777" w:rsidR="00E55291" w:rsidRPr="00E55291" w:rsidRDefault="00E55291" w:rsidP="00E55291">
            <w:pPr>
              <w:ind w:firstLineChars="100" w:firstLine="200"/>
              <w:rPr>
                <w:rFonts w:cs="Tahoma"/>
                <w:sz w:val="20"/>
                <w:szCs w:val="20"/>
                <w:lang w:eastAsia="en-GB"/>
              </w:rPr>
            </w:pPr>
            <w:r w:rsidRPr="00E55291">
              <w:rPr>
                <w:rFonts w:cs="Tahoma"/>
                <w:sz w:val="20"/>
                <w:szCs w:val="20"/>
                <w:lang w:eastAsia="en-GB"/>
              </w:rPr>
              <w:t>Outstanding</w:t>
            </w:r>
          </w:p>
        </w:tc>
        <w:tc>
          <w:tcPr>
            <w:tcW w:w="937" w:type="dxa"/>
            <w:tcBorders>
              <w:top w:val="single" w:sz="4" w:space="0" w:color="auto"/>
              <w:left w:val="nil"/>
              <w:bottom w:val="single" w:sz="4" w:space="0" w:color="auto"/>
              <w:right w:val="nil"/>
            </w:tcBorders>
            <w:shd w:val="clear" w:color="auto" w:fill="auto"/>
            <w:vAlign w:val="center"/>
            <w:hideMark/>
          </w:tcPr>
          <w:p w14:paraId="1E355635" w14:textId="77777777" w:rsidR="00E55291" w:rsidRPr="00E55291" w:rsidRDefault="00E55291" w:rsidP="00E55291">
            <w:pPr>
              <w:ind w:firstLineChars="100" w:firstLine="200"/>
              <w:rPr>
                <w:rFonts w:cs="Tahoma"/>
                <w:sz w:val="20"/>
                <w:szCs w:val="20"/>
                <w:lang w:eastAsia="en-GB"/>
              </w:rPr>
            </w:pPr>
            <w:r w:rsidRPr="00E55291">
              <w:rPr>
                <w:rFonts w:cs="Tahoma"/>
                <w:sz w:val="20"/>
                <w:szCs w:val="20"/>
                <w:lang w:eastAsia="en-GB"/>
              </w:rPr>
              <w:t>Good</w:t>
            </w:r>
          </w:p>
        </w:tc>
        <w:tc>
          <w:tcPr>
            <w:tcW w:w="1394" w:type="dxa"/>
            <w:tcBorders>
              <w:top w:val="single" w:sz="4" w:space="0" w:color="auto"/>
              <w:left w:val="nil"/>
              <w:bottom w:val="single" w:sz="4" w:space="0" w:color="auto"/>
              <w:right w:val="nil"/>
            </w:tcBorders>
            <w:shd w:val="clear" w:color="auto" w:fill="auto"/>
            <w:vAlign w:val="center"/>
            <w:hideMark/>
          </w:tcPr>
          <w:p w14:paraId="7F38FD40" w14:textId="77777777" w:rsidR="00E55291" w:rsidRPr="00E55291" w:rsidRDefault="00E55291" w:rsidP="00E55291">
            <w:pPr>
              <w:ind w:firstLineChars="100" w:firstLine="200"/>
              <w:rPr>
                <w:rFonts w:cs="Tahoma"/>
                <w:sz w:val="20"/>
                <w:szCs w:val="20"/>
                <w:lang w:eastAsia="en-GB"/>
              </w:rPr>
            </w:pPr>
            <w:r w:rsidRPr="00E55291">
              <w:rPr>
                <w:rFonts w:cs="Tahoma"/>
                <w:sz w:val="20"/>
                <w:szCs w:val="20"/>
                <w:lang w:eastAsia="en-GB"/>
              </w:rPr>
              <w:t>Requires improvement</w:t>
            </w:r>
          </w:p>
        </w:tc>
        <w:tc>
          <w:tcPr>
            <w:tcW w:w="1423" w:type="dxa"/>
            <w:tcBorders>
              <w:top w:val="single" w:sz="4" w:space="0" w:color="auto"/>
              <w:left w:val="nil"/>
              <w:bottom w:val="single" w:sz="4" w:space="0" w:color="auto"/>
              <w:right w:val="nil"/>
            </w:tcBorders>
            <w:shd w:val="clear" w:color="auto" w:fill="auto"/>
            <w:vAlign w:val="center"/>
            <w:hideMark/>
          </w:tcPr>
          <w:p w14:paraId="485883D3" w14:textId="77777777" w:rsidR="00E55291" w:rsidRPr="00E55291" w:rsidRDefault="00E55291" w:rsidP="00E55291">
            <w:pPr>
              <w:ind w:firstLineChars="100" w:firstLine="200"/>
              <w:rPr>
                <w:rFonts w:cs="Tahoma"/>
                <w:sz w:val="20"/>
                <w:szCs w:val="20"/>
                <w:lang w:eastAsia="en-GB"/>
              </w:rPr>
            </w:pPr>
            <w:r w:rsidRPr="00E55291">
              <w:rPr>
                <w:rFonts w:cs="Tahoma"/>
                <w:sz w:val="20"/>
                <w:szCs w:val="20"/>
                <w:lang w:eastAsia="en-GB"/>
              </w:rPr>
              <w:t>Inadequate</w:t>
            </w:r>
          </w:p>
        </w:tc>
      </w:tr>
      <w:tr w:rsidR="00E55291" w:rsidRPr="00E55291" w14:paraId="1D5EA9A7" w14:textId="77777777" w:rsidTr="00685339">
        <w:trPr>
          <w:trHeight w:val="803"/>
          <w:jc w:val="center"/>
        </w:trPr>
        <w:tc>
          <w:tcPr>
            <w:tcW w:w="2251" w:type="dxa"/>
            <w:tcBorders>
              <w:top w:val="single" w:sz="4" w:space="0" w:color="auto"/>
              <w:left w:val="nil"/>
              <w:bottom w:val="nil"/>
              <w:right w:val="nil"/>
            </w:tcBorders>
            <w:shd w:val="clear" w:color="auto" w:fill="auto"/>
            <w:vAlign w:val="center"/>
            <w:hideMark/>
          </w:tcPr>
          <w:p w14:paraId="7713A907" w14:textId="77777777" w:rsidR="00E55291" w:rsidRPr="00E55291" w:rsidRDefault="00E55291" w:rsidP="0081662F">
            <w:pPr>
              <w:rPr>
                <w:rFonts w:cs="Tahoma"/>
                <w:b/>
                <w:bCs/>
                <w:sz w:val="20"/>
                <w:szCs w:val="20"/>
                <w:lang w:eastAsia="en-GB"/>
              </w:rPr>
            </w:pPr>
            <w:r w:rsidRPr="00E55291">
              <w:rPr>
                <w:rFonts w:cs="Tahoma"/>
                <w:b/>
                <w:bCs/>
                <w:sz w:val="20"/>
                <w:szCs w:val="20"/>
                <w:lang w:eastAsia="en-GB"/>
              </w:rPr>
              <w:t>Number of nursery schools inspected</w:t>
            </w:r>
          </w:p>
        </w:tc>
        <w:tc>
          <w:tcPr>
            <w:tcW w:w="1186" w:type="dxa"/>
            <w:tcBorders>
              <w:top w:val="single" w:sz="4" w:space="0" w:color="auto"/>
              <w:left w:val="nil"/>
              <w:bottom w:val="nil"/>
              <w:right w:val="nil"/>
            </w:tcBorders>
            <w:shd w:val="clear" w:color="auto" w:fill="auto"/>
            <w:noWrap/>
            <w:vAlign w:val="center"/>
            <w:hideMark/>
          </w:tcPr>
          <w:p w14:paraId="484876FD" w14:textId="77777777" w:rsidR="00E55291" w:rsidRPr="00E55291" w:rsidRDefault="00E55291" w:rsidP="00E55291">
            <w:pPr>
              <w:jc w:val="center"/>
              <w:rPr>
                <w:rFonts w:cs="Tahoma"/>
                <w:b/>
                <w:bCs/>
                <w:sz w:val="20"/>
                <w:szCs w:val="20"/>
                <w:lang w:eastAsia="en-GB"/>
              </w:rPr>
            </w:pPr>
            <w:r w:rsidRPr="00E55291">
              <w:rPr>
                <w:rFonts w:cs="Tahoma"/>
                <w:b/>
                <w:bCs/>
                <w:sz w:val="20"/>
                <w:szCs w:val="20"/>
                <w:lang w:eastAsia="en-GB"/>
              </w:rPr>
              <w:t>389</w:t>
            </w:r>
          </w:p>
        </w:tc>
        <w:tc>
          <w:tcPr>
            <w:tcW w:w="1487" w:type="dxa"/>
            <w:tcBorders>
              <w:top w:val="nil"/>
              <w:left w:val="nil"/>
              <w:bottom w:val="nil"/>
              <w:right w:val="nil"/>
            </w:tcBorders>
            <w:shd w:val="clear" w:color="auto" w:fill="auto"/>
            <w:noWrap/>
            <w:vAlign w:val="center"/>
            <w:hideMark/>
          </w:tcPr>
          <w:p w14:paraId="1F09B515" w14:textId="77777777" w:rsidR="00E55291" w:rsidRPr="00E55291" w:rsidRDefault="00E55291" w:rsidP="00E55291">
            <w:pPr>
              <w:jc w:val="center"/>
              <w:rPr>
                <w:rFonts w:cs="Tahoma"/>
                <w:sz w:val="20"/>
                <w:szCs w:val="20"/>
                <w:lang w:eastAsia="en-GB"/>
              </w:rPr>
            </w:pPr>
            <w:r w:rsidRPr="00E55291">
              <w:rPr>
                <w:rFonts w:cs="Tahoma"/>
                <w:sz w:val="20"/>
                <w:szCs w:val="20"/>
                <w:lang w:eastAsia="en-GB"/>
              </w:rPr>
              <w:t>244</w:t>
            </w:r>
          </w:p>
        </w:tc>
        <w:tc>
          <w:tcPr>
            <w:tcW w:w="937" w:type="dxa"/>
            <w:tcBorders>
              <w:top w:val="nil"/>
              <w:left w:val="nil"/>
              <w:bottom w:val="nil"/>
              <w:right w:val="nil"/>
            </w:tcBorders>
            <w:shd w:val="clear" w:color="auto" w:fill="auto"/>
            <w:noWrap/>
            <w:vAlign w:val="center"/>
            <w:hideMark/>
          </w:tcPr>
          <w:p w14:paraId="5274B30E" w14:textId="77777777" w:rsidR="00E55291" w:rsidRPr="00E55291" w:rsidRDefault="00E55291" w:rsidP="00E55291">
            <w:pPr>
              <w:jc w:val="center"/>
              <w:rPr>
                <w:rFonts w:cs="Tahoma"/>
                <w:sz w:val="20"/>
                <w:szCs w:val="20"/>
                <w:lang w:eastAsia="en-GB"/>
              </w:rPr>
            </w:pPr>
            <w:r w:rsidRPr="00E55291">
              <w:rPr>
                <w:rFonts w:cs="Tahoma"/>
                <w:sz w:val="20"/>
                <w:szCs w:val="20"/>
                <w:lang w:eastAsia="en-GB"/>
              </w:rPr>
              <w:t>137</w:t>
            </w:r>
          </w:p>
        </w:tc>
        <w:tc>
          <w:tcPr>
            <w:tcW w:w="1394" w:type="dxa"/>
            <w:tcBorders>
              <w:top w:val="nil"/>
              <w:left w:val="nil"/>
              <w:bottom w:val="nil"/>
              <w:right w:val="nil"/>
            </w:tcBorders>
            <w:shd w:val="clear" w:color="auto" w:fill="auto"/>
            <w:noWrap/>
            <w:vAlign w:val="center"/>
            <w:hideMark/>
          </w:tcPr>
          <w:p w14:paraId="6206046A" w14:textId="77777777" w:rsidR="00E55291" w:rsidRPr="00E55291" w:rsidRDefault="00E55291" w:rsidP="00E55291">
            <w:pPr>
              <w:jc w:val="center"/>
              <w:rPr>
                <w:rFonts w:cs="Tahoma"/>
                <w:sz w:val="20"/>
                <w:szCs w:val="20"/>
                <w:lang w:eastAsia="en-GB"/>
              </w:rPr>
            </w:pPr>
            <w:r w:rsidRPr="00E55291">
              <w:rPr>
                <w:rFonts w:cs="Tahoma"/>
                <w:sz w:val="20"/>
                <w:szCs w:val="20"/>
                <w:lang w:eastAsia="en-GB"/>
              </w:rPr>
              <w:t>8</w:t>
            </w:r>
          </w:p>
        </w:tc>
        <w:tc>
          <w:tcPr>
            <w:tcW w:w="1423" w:type="dxa"/>
            <w:tcBorders>
              <w:top w:val="nil"/>
              <w:left w:val="nil"/>
              <w:bottom w:val="nil"/>
              <w:right w:val="nil"/>
            </w:tcBorders>
            <w:shd w:val="clear" w:color="auto" w:fill="auto"/>
            <w:noWrap/>
            <w:vAlign w:val="center"/>
            <w:hideMark/>
          </w:tcPr>
          <w:p w14:paraId="1BE438AB" w14:textId="77777777" w:rsidR="00E55291" w:rsidRPr="00E55291" w:rsidRDefault="00E55291" w:rsidP="00E55291">
            <w:pPr>
              <w:jc w:val="center"/>
              <w:rPr>
                <w:rFonts w:cs="Tahoma"/>
                <w:sz w:val="20"/>
                <w:szCs w:val="20"/>
                <w:lang w:eastAsia="en-GB"/>
              </w:rPr>
            </w:pPr>
            <w:r w:rsidRPr="00E55291">
              <w:rPr>
                <w:rFonts w:cs="Tahoma"/>
                <w:sz w:val="20"/>
                <w:szCs w:val="20"/>
                <w:lang w:eastAsia="en-GB"/>
              </w:rPr>
              <w:t>0</w:t>
            </w:r>
          </w:p>
        </w:tc>
      </w:tr>
      <w:tr w:rsidR="00E55291" w:rsidRPr="00E55291" w14:paraId="2790E7F5" w14:textId="77777777" w:rsidTr="00EE76AF">
        <w:trPr>
          <w:trHeight w:val="1020"/>
          <w:jc w:val="center"/>
        </w:trPr>
        <w:tc>
          <w:tcPr>
            <w:tcW w:w="2251" w:type="dxa"/>
            <w:tcBorders>
              <w:top w:val="nil"/>
              <w:left w:val="nil"/>
              <w:bottom w:val="nil"/>
              <w:right w:val="nil"/>
            </w:tcBorders>
            <w:shd w:val="clear" w:color="auto" w:fill="auto"/>
            <w:vAlign w:val="center"/>
            <w:hideMark/>
          </w:tcPr>
          <w:p w14:paraId="539F219E" w14:textId="77777777" w:rsidR="00E55291" w:rsidRPr="00E55291" w:rsidRDefault="00E55291" w:rsidP="0081662F">
            <w:pPr>
              <w:rPr>
                <w:rFonts w:cs="Tahoma"/>
                <w:b/>
                <w:bCs/>
                <w:sz w:val="20"/>
                <w:szCs w:val="20"/>
                <w:lang w:eastAsia="en-GB"/>
              </w:rPr>
            </w:pPr>
            <w:r w:rsidRPr="00E55291">
              <w:rPr>
                <w:rFonts w:cs="Tahoma"/>
                <w:b/>
                <w:bCs/>
                <w:sz w:val="20"/>
                <w:szCs w:val="20"/>
                <w:lang w:eastAsia="en-GB"/>
              </w:rPr>
              <w:t>Percentage of inspected nursery schools</w:t>
            </w:r>
          </w:p>
        </w:tc>
        <w:tc>
          <w:tcPr>
            <w:tcW w:w="1186" w:type="dxa"/>
            <w:tcBorders>
              <w:top w:val="nil"/>
              <w:left w:val="nil"/>
              <w:bottom w:val="nil"/>
              <w:right w:val="nil"/>
            </w:tcBorders>
            <w:shd w:val="clear" w:color="auto" w:fill="auto"/>
            <w:noWrap/>
            <w:vAlign w:val="center"/>
            <w:hideMark/>
          </w:tcPr>
          <w:p w14:paraId="1AD97BD9" w14:textId="77777777" w:rsidR="00E55291" w:rsidRPr="00E55291" w:rsidRDefault="00E55291" w:rsidP="00E55291">
            <w:pPr>
              <w:jc w:val="center"/>
              <w:rPr>
                <w:rFonts w:cs="Tahoma"/>
                <w:b/>
                <w:bCs/>
                <w:sz w:val="20"/>
                <w:szCs w:val="20"/>
                <w:lang w:eastAsia="en-GB"/>
              </w:rPr>
            </w:pPr>
            <w:r w:rsidRPr="00E55291">
              <w:rPr>
                <w:rFonts w:cs="Tahoma"/>
                <w:b/>
                <w:bCs/>
                <w:sz w:val="20"/>
                <w:szCs w:val="20"/>
                <w:lang w:eastAsia="en-GB"/>
              </w:rPr>
              <w:t>100</w:t>
            </w:r>
          </w:p>
        </w:tc>
        <w:tc>
          <w:tcPr>
            <w:tcW w:w="1487" w:type="dxa"/>
            <w:tcBorders>
              <w:top w:val="nil"/>
              <w:left w:val="nil"/>
              <w:bottom w:val="nil"/>
              <w:right w:val="nil"/>
            </w:tcBorders>
            <w:shd w:val="clear" w:color="auto" w:fill="auto"/>
            <w:noWrap/>
            <w:vAlign w:val="center"/>
            <w:hideMark/>
          </w:tcPr>
          <w:p w14:paraId="2470F852" w14:textId="77777777" w:rsidR="00E55291" w:rsidRPr="00E55291" w:rsidRDefault="00E55291" w:rsidP="00E55291">
            <w:pPr>
              <w:jc w:val="center"/>
              <w:rPr>
                <w:rFonts w:cs="Tahoma"/>
                <w:sz w:val="20"/>
                <w:szCs w:val="20"/>
                <w:lang w:eastAsia="en-GB"/>
              </w:rPr>
            </w:pPr>
            <w:r w:rsidRPr="00E55291">
              <w:rPr>
                <w:rFonts w:cs="Tahoma"/>
                <w:sz w:val="20"/>
                <w:szCs w:val="20"/>
                <w:lang w:eastAsia="en-GB"/>
              </w:rPr>
              <w:t>63</w:t>
            </w:r>
            <w:r w:rsidRPr="00E55291">
              <w:rPr>
                <w:rFonts w:cs="Tahoma"/>
                <w:sz w:val="16"/>
                <w:szCs w:val="16"/>
                <w:lang w:eastAsia="en-GB"/>
              </w:rPr>
              <w:t> </w:t>
            </w:r>
          </w:p>
        </w:tc>
        <w:tc>
          <w:tcPr>
            <w:tcW w:w="937" w:type="dxa"/>
            <w:tcBorders>
              <w:top w:val="nil"/>
              <w:left w:val="nil"/>
              <w:bottom w:val="nil"/>
              <w:right w:val="nil"/>
            </w:tcBorders>
            <w:shd w:val="clear" w:color="auto" w:fill="auto"/>
            <w:noWrap/>
            <w:vAlign w:val="center"/>
            <w:hideMark/>
          </w:tcPr>
          <w:p w14:paraId="1CF31604" w14:textId="77777777" w:rsidR="00E55291" w:rsidRPr="00E55291" w:rsidRDefault="00E55291" w:rsidP="00E55291">
            <w:pPr>
              <w:jc w:val="center"/>
              <w:rPr>
                <w:rFonts w:cs="Tahoma"/>
                <w:sz w:val="20"/>
                <w:szCs w:val="20"/>
                <w:lang w:eastAsia="en-GB"/>
              </w:rPr>
            </w:pPr>
            <w:r w:rsidRPr="00E55291">
              <w:rPr>
                <w:rFonts w:cs="Tahoma"/>
                <w:sz w:val="20"/>
                <w:szCs w:val="20"/>
                <w:lang w:eastAsia="en-GB"/>
              </w:rPr>
              <w:t>35</w:t>
            </w:r>
          </w:p>
        </w:tc>
        <w:tc>
          <w:tcPr>
            <w:tcW w:w="1394" w:type="dxa"/>
            <w:tcBorders>
              <w:top w:val="nil"/>
              <w:left w:val="nil"/>
              <w:bottom w:val="nil"/>
              <w:right w:val="nil"/>
            </w:tcBorders>
            <w:shd w:val="clear" w:color="auto" w:fill="auto"/>
            <w:noWrap/>
            <w:vAlign w:val="center"/>
            <w:hideMark/>
          </w:tcPr>
          <w:p w14:paraId="34A06215" w14:textId="77777777" w:rsidR="00E55291" w:rsidRPr="00E55291" w:rsidRDefault="00E55291" w:rsidP="00E55291">
            <w:pPr>
              <w:jc w:val="center"/>
              <w:rPr>
                <w:rFonts w:cs="Tahoma"/>
                <w:sz w:val="20"/>
                <w:szCs w:val="20"/>
                <w:lang w:eastAsia="en-GB"/>
              </w:rPr>
            </w:pPr>
            <w:r w:rsidRPr="00E55291">
              <w:rPr>
                <w:rFonts w:cs="Tahoma"/>
                <w:sz w:val="20"/>
                <w:szCs w:val="20"/>
                <w:lang w:eastAsia="en-GB"/>
              </w:rPr>
              <w:t>2</w:t>
            </w:r>
          </w:p>
        </w:tc>
        <w:tc>
          <w:tcPr>
            <w:tcW w:w="1423" w:type="dxa"/>
            <w:tcBorders>
              <w:top w:val="nil"/>
              <w:left w:val="nil"/>
              <w:bottom w:val="nil"/>
              <w:right w:val="nil"/>
            </w:tcBorders>
            <w:shd w:val="clear" w:color="auto" w:fill="auto"/>
            <w:noWrap/>
            <w:vAlign w:val="center"/>
            <w:hideMark/>
          </w:tcPr>
          <w:p w14:paraId="07DF962D" w14:textId="77777777" w:rsidR="00E55291" w:rsidRPr="00E55291" w:rsidRDefault="00E55291" w:rsidP="00E55291">
            <w:pPr>
              <w:jc w:val="center"/>
              <w:rPr>
                <w:rFonts w:cs="Tahoma"/>
                <w:sz w:val="20"/>
                <w:szCs w:val="20"/>
                <w:lang w:eastAsia="en-GB"/>
              </w:rPr>
            </w:pPr>
            <w:r w:rsidRPr="00E55291">
              <w:rPr>
                <w:rFonts w:cs="Tahoma"/>
                <w:sz w:val="20"/>
                <w:szCs w:val="20"/>
                <w:lang w:eastAsia="en-GB"/>
              </w:rPr>
              <w:t>0</w:t>
            </w:r>
          </w:p>
        </w:tc>
      </w:tr>
    </w:tbl>
    <w:p w14:paraId="0427A371" w14:textId="4ED78736" w:rsidR="00660769" w:rsidRPr="00B831E5" w:rsidRDefault="00660769" w:rsidP="00660769">
      <w:pPr>
        <w:pStyle w:val="NormalWeb"/>
        <w:rPr>
          <w:rFonts w:ascii="Tahoma" w:hAnsi="Tahoma" w:cs="Tahoma"/>
          <w:bCs/>
          <w:kern w:val="32"/>
        </w:rPr>
      </w:pPr>
      <w:r w:rsidRPr="00660769">
        <w:rPr>
          <w:rFonts w:ascii="Tahoma" w:hAnsi="Tahoma" w:cs="Tahoma"/>
          <w:bCs/>
          <w:kern w:val="32"/>
        </w:rPr>
        <w:t xml:space="preserve">For more information on school inspections and outcomes, please refer to </w:t>
      </w:r>
      <w:hyperlink r:id="rId25" w:history="1">
        <w:r w:rsidRPr="00660769">
          <w:rPr>
            <w:rFonts w:ascii="Tahoma" w:hAnsi="Tahoma" w:cs="Tahoma"/>
            <w:bCs/>
            <w:kern w:val="32"/>
          </w:rPr>
          <w:t xml:space="preserve">Ofsted’s </w:t>
        </w:r>
        <w:r w:rsidR="00623F7B">
          <w:rPr>
            <w:rFonts w:ascii="Tahoma" w:hAnsi="Tahoma" w:cs="Tahoma"/>
            <w:bCs/>
            <w:kern w:val="32"/>
          </w:rPr>
          <w:t>management information</w:t>
        </w:r>
        <w:r w:rsidRPr="00660769">
          <w:rPr>
            <w:rFonts w:ascii="Tahoma" w:hAnsi="Tahoma" w:cs="Tahoma"/>
            <w:bCs/>
            <w:kern w:val="32"/>
          </w:rPr>
          <w:t xml:space="preserve"> on</w:t>
        </w:r>
        <w:r w:rsidR="008A1420">
          <w:rPr>
            <w:rFonts w:ascii="Tahoma" w:hAnsi="Tahoma" w:cs="Tahoma"/>
            <w:bCs/>
            <w:kern w:val="32"/>
          </w:rPr>
          <w:t xml:space="preserve"> state-funded</w:t>
        </w:r>
        <w:r w:rsidRPr="00660769">
          <w:rPr>
            <w:rFonts w:ascii="Tahoma" w:hAnsi="Tahoma" w:cs="Tahoma"/>
            <w:bCs/>
            <w:kern w:val="32"/>
          </w:rPr>
          <w:t xml:space="preserve"> schools inspections and outcomes</w:t>
        </w:r>
      </w:hyperlink>
      <w:r w:rsidR="008A1420">
        <w:rPr>
          <w:rFonts w:ascii="Tahoma" w:hAnsi="Tahoma" w:cs="Tahoma"/>
          <w:bCs/>
          <w:kern w:val="32"/>
        </w:rPr>
        <w:t>:</w:t>
      </w:r>
      <w:r w:rsidR="008A1420" w:rsidRPr="008A1420">
        <w:t xml:space="preserve"> </w:t>
      </w:r>
      <w:hyperlink r:id="rId26" w:history="1">
        <w:r w:rsidR="004B218D" w:rsidRPr="004B218D">
          <w:rPr>
            <w:rStyle w:val="Hyperlink"/>
            <w:rFonts w:ascii="Tahoma" w:hAnsi="Tahoma" w:cs="Tahoma"/>
          </w:rPr>
          <w:t>www.gov.uk/government/statistical-data-sets/monthly-management-information-ofsteds-school-inspections-outcomes</w:t>
        </w:r>
      </w:hyperlink>
      <w:r w:rsidR="008A1420" w:rsidRPr="004B218D">
        <w:rPr>
          <w:rFonts w:ascii="Tahoma" w:hAnsi="Tahoma" w:cs="Tahoma"/>
          <w:bCs/>
          <w:kern w:val="32"/>
        </w:rPr>
        <w:t>.</w:t>
      </w:r>
      <w:r w:rsidR="008A1420" w:rsidRPr="00856641">
        <w:rPr>
          <w:rFonts w:ascii="Tahoma" w:hAnsi="Tahoma" w:cs="Tahoma"/>
          <w:bCs/>
          <w:kern w:val="32"/>
        </w:rPr>
        <w:t xml:space="preserve"> </w:t>
      </w:r>
    </w:p>
    <w:p w14:paraId="387C055C" w14:textId="61229D2A" w:rsidR="000C6125" w:rsidRPr="00B831E5" w:rsidRDefault="0026735E" w:rsidP="345BAD2F">
      <w:pPr>
        <w:pStyle w:val="NormalWeb"/>
        <w:rPr>
          <w:rFonts w:ascii="Tahoma" w:hAnsi="Tahoma" w:cs="Tahoma"/>
          <w:color w:val="FF0000"/>
          <w:highlight w:val="yellow"/>
        </w:rPr>
      </w:pPr>
      <w:r w:rsidRPr="002953CC">
        <w:rPr>
          <w:rFonts w:ascii="Tahoma" w:hAnsi="Tahoma" w:cs="Tahoma"/>
          <w:kern w:val="32"/>
        </w:rPr>
        <w:t xml:space="preserve">Many independent schools also provide nursery provision. </w:t>
      </w:r>
      <w:r w:rsidR="0042542A" w:rsidRPr="002953CC">
        <w:rPr>
          <w:rFonts w:ascii="Tahoma" w:hAnsi="Tahoma" w:cs="Tahoma"/>
          <w:kern w:val="32"/>
        </w:rPr>
        <w:t xml:space="preserve">On 31 </w:t>
      </w:r>
      <w:r w:rsidR="002953CC">
        <w:rPr>
          <w:rFonts w:ascii="Tahoma" w:hAnsi="Tahoma" w:cs="Tahoma"/>
          <w:kern w:val="32"/>
        </w:rPr>
        <w:t>March 2019</w:t>
      </w:r>
      <w:r w:rsidR="0042542A" w:rsidRPr="002953CC">
        <w:rPr>
          <w:rFonts w:ascii="Tahoma" w:hAnsi="Tahoma" w:cs="Tahoma"/>
          <w:kern w:val="32"/>
        </w:rPr>
        <w:t>, t</w:t>
      </w:r>
      <w:r w:rsidR="000648C5" w:rsidRPr="002953CC">
        <w:rPr>
          <w:rFonts w:ascii="Tahoma" w:hAnsi="Tahoma" w:cs="Tahoma"/>
          <w:kern w:val="32"/>
        </w:rPr>
        <w:t>here were 26</w:t>
      </w:r>
      <w:r w:rsidR="002953CC" w:rsidRPr="002953CC">
        <w:rPr>
          <w:rFonts w:ascii="Tahoma" w:hAnsi="Tahoma" w:cs="Tahoma"/>
          <w:kern w:val="32"/>
        </w:rPr>
        <w:t>4</w:t>
      </w:r>
      <w:r w:rsidR="000648C5" w:rsidRPr="002953CC">
        <w:rPr>
          <w:rFonts w:ascii="Tahoma" w:hAnsi="Tahoma" w:cs="Tahoma"/>
          <w:kern w:val="32"/>
        </w:rPr>
        <w:t xml:space="preserve"> </w:t>
      </w:r>
      <w:r w:rsidR="00322DA0" w:rsidRPr="002953CC">
        <w:rPr>
          <w:rFonts w:ascii="Tahoma" w:hAnsi="Tahoma" w:cs="Tahoma"/>
          <w:bCs/>
          <w:kern w:val="32"/>
        </w:rPr>
        <w:t xml:space="preserve">non-association </w:t>
      </w:r>
      <w:r w:rsidR="00D06F3B" w:rsidRPr="002953CC">
        <w:rPr>
          <w:rFonts w:ascii="Tahoma" w:hAnsi="Tahoma" w:cs="Tahoma"/>
          <w:bCs/>
          <w:kern w:val="32"/>
        </w:rPr>
        <w:t>independent schools</w:t>
      </w:r>
      <w:r w:rsidR="00BC4250" w:rsidRPr="002953CC">
        <w:rPr>
          <w:rFonts w:ascii="Tahoma" w:hAnsi="Tahoma" w:cs="Tahoma"/>
          <w:bCs/>
          <w:kern w:val="32"/>
        </w:rPr>
        <w:t xml:space="preserve"> with</w:t>
      </w:r>
      <w:r w:rsidR="00BC4250" w:rsidRPr="00B103E4">
        <w:rPr>
          <w:rFonts w:ascii="Tahoma" w:hAnsi="Tahoma" w:cs="Tahoma"/>
          <w:bCs/>
          <w:kern w:val="32"/>
        </w:rPr>
        <w:t xml:space="preserve"> a</w:t>
      </w:r>
      <w:r w:rsidR="00E57D1E" w:rsidRPr="00B103E4">
        <w:rPr>
          <w:rFonts w:ascii="Tahoma" w:hAnsi="Tahoma" w:cs="Tahoma"/>
          <w:bCs/>
          <w:kern w:val="32"/>
        </w:rPr>
        <w:t>n</w:t>
      </w:r>
      <w:r w:rsidR="008949C3" w:rsidRPr="00B103E4">
        <w:rPr>
          <w:rFonts w:ascii="Tahoma" w:hAnsi="Tahoma" w:cs="Tahoma"/>
          <w:bCs/>
          <w:kern w:val="32"/>
        </w:rPr>
        <w:t xml:space="preserve"> early years judgement </w:t>
      </w:r>
      <w:r w:rsidR="00E57D1E" w:rsidRPr="00B103E4">
        <w:rPr>
          <w:rFonts w:ascii="Tahoma" w:hAnsi="Tahoma" w:cs="Tahoma"/>
          <w:bCs/>
          <w:kern w:val="32"/>
        </w:rPr>
        <w:t>at their most recent standard</w:t>
      </w:r>
      <w:r w:rsidR="00280FD7" w:rsidRPr="00B103E4">
        <w:rPr>
          <w:rFonts w:ascii="Tahoma" w:hAnsi="Tahoma" w:cs="Tahoma"/>
          <w:bCs/>
          <w:kern w:val="32"/>
        </w:rPr>
        <w:t xml:space="preserve"> inspection.</w:t>
      </w:r>
      <w:r w:rsidR="00EF2756" w:rsidRPr="00B103E4">
        <w:rPr>
          <w:rFonts w:ascii="Tahoma" w:hAnsi="Tahoma" w:cs="Tahoma"/>
          <w:bCs/>
          <w:kern w:val="32"/>
        </w:rPr>
        <w:t xml:space="preserve"> </w:t>
      </w:r>
      <w:r w:rsidR="00280FD7" w:rsidRPr="00B103E4">
        <w:rPr>
          <w:rFonts w:ascii="Tahoma" w:hAnsi="Tahoma" w:cs="Tahoma"/>
          <w:bCs/>
          <w:kern w:val="32"/>
        </w:rPr>
        <w:t xml:space="preserve">Of </w:t>
      </w:r>
      <w:r w:rsidR="00280FD7" w:rsidRPr="00571D09">
        <w:rPr>
          <w:rFonts w:ascii="Tahoma" w:hAnsi="Tahoma" w:cs="Tahoma"/>
          <w:bCs/>
          <w:kern w:val="32"/>
        </w:rPr>
        <w:t>these,</w:t>
      </w:r>
      <w:r w:rsidR="001621D2" w:rsidRPr="00571D09">
        <w:rPr>
          <w:rFonts w:ascii="Tahoma" w:hAnsi="Tahoma" w:cs="Tahoma"/>
          <w:bCs/>
          <w:kern w:val="32"/>
        </w:rPr>
        <w:t xml:space="preserve"> </w:t>
      </w:r>
      <w:r w:rsidR="00D06F3B" w:rsidRPr="00571D09">
        <w:rPr>
          <w:rFonts w:ascii="Tahoma" w:hAnsi="Tahoma" w:cs="Tahoma"/>
          <w:bCs/>
          <w:kern w:val="32"/>
        </w:rPr>
        <w:t>7</w:t>
      </w:r>
      <w:r w:rsidR="00571D09" w:rsidRPr="00571D09">
        <w:rPr>
          <w:rFonts w:ascii="Tahoma" w:hAnsi="Tahoma" w:cs="Tahoma"/>
          <w:bCs/>
          <w:kern w:val="32"/>
        </w:rPr>
        <w:t>5</w:t>
      </w:r>
      <w:r w:rsidR="00EF2756" w:rsidRPr="00571D09">
        <w:rPr>
          <w:rFonts w:ascii="Tahoma" w:hAnsi="Tahoma" w:cs="Tahoma"/>
          <w:bCs/>
          <w:kern w:val="32"/>
        </w:rPr>
        <w:t>% were judged good or outstanding</w:t>
      </w:r>
      <w:r w:rsidR="009E1550" w:rsidRPr="00571D09">
        <w:rPr>
          <w:rFonts w:ascii="Tahoma" w:hAnsi="Tahoma" w:cs="Tahoma"/>
          <w:bCs/>
          <w:kern w:val="32"/>
        </w:rPr>
        <w:t xml:space="preserve"> </w:t>
      </w:r>
      <w:r w:rsidR="00184117" w:rsidRPr="00571D09">
        <w:rPr>
          <w:rFonts w:ascii="Tahoma" w:hAnsi="Tahoma" w:cs="Tahoma"/>
          <w:bCs/>
          <w:kern w:val="32"/>
        </w:rPr>
        <w:t>on the</w:t>
      </w:r>
      <w:r w:rsidR="00184117" w:rsidRPr="00B103E4">
        <w:rPr>
          <w:rFonts w:ascii="Tahoma" w:hAnsi="Tahoma" w:cs="Tahoma"/>
          <w:bCs/>
          <w:kern w:val="32"/>
        </w:rPr>
        <w:t xml:space="preserve"> overall effectiveness for early years</w:t>
      </w:r>
      <w:r w:rsidR="00EF2756" w:rsidRPr="00B103E4">
        <w:rPr>
          <w:rFonts w:ascii="Tahoma" w:hAnsi="Tahoma" w:cs="Tahoma"/>
          <w:bCs/>
          <w:kern w:val="32"/>
        </w:rPr>
        <w:t>.</w:t>
      </w:r>
      <w:r w:rsidR="00EF2756" w:rsidRPr="00186A4D">
        <w:rPr>
          <w:rFonts w:ascii="Tahoma" w:hAnsi="Tahoma" w:cs="Tahoma"/>
          <w:bCs/>
          <w:kern w:val="32"/>
        </w:rPr>
        <w:t xml:space="preserve"> </w:t>
      </w:r>
      <w:r w:rsidR="000C6125" w:rsidRPr="00D62785">
        <w:rPr>
          <w:rFonts w:ascii="Tahoma" w:hAnsi="Tahoma" w:cs="Tahoma"/>
        </w:rPr>
        <w:t>For</w:t>
      </w:r>
      <w:r w:rsidR="000C6125" w:rsidRPr="00B831E5">
        <w:rPr>
          <w:rFonts w:ascii="Tahoma" w:hAnsi="Tahoma" w:cs="Tahoma"/>
        </w:rPr>
        <w:t xml:space="preserve"> more information on non-association independent schools inspections and outcomes, please see Ofsted’s management information release on non-association independent schools: </w:t>
      </w:r>
      <w:hyperlink r:id="rId27" w:history="1">
        <w:r w:rsidR="000C6125" w:rsidRPr="00B831E5">
          <w:rPr>
            <w:rStyle w:val="Hyperlink"/>
            <w:rFonts w:ascii="Tahoma" w:hAnsi="Tahoma" w:cs="Tahoma"/>
          </w:rPr>
          <w:t>www.gov.uk/government/statistical-data-sets/non-association-independent-schools-inspections-and-outcomes-management-information</w:t>
        </w:r>
      </w:hyperlink>
      <w:r w:rsidR="000C6125" w:rsidRPr="00856641">
        <w:rPr>
          <w:rStyle w:val="Hyperlink"/>
          <w:rFonts w:ascii="Tahoma" w:hAnsi="Tahoma" w:cs="Tahoma"/>
          <w:color w:val="auto"/>
        </w:rPr>
        <w:t>.</w:t>
      </w:r>
    </w:p>
    <w:p w14:paraId="0B6BC700" w14:textId="4D22BD6A" w:rsidR="000C6125" w:rsidRPr="0009391B" w:rsidRDefault="000C6125" w:rsidP="000C6125">
      <w:pPr>
        <w:rPr>
          <w:lang w:eastAsia="en-GB"/>
        </w:rPr>
      </w:pPr>
      <w:r>
        <w:rPr>
          <w:lang w:val="en"/>
        </w:rPr>
        <w:t xml:space="preserve">Please note that Ofsted only </w:t>
      </w:r>
      <w:r w:rsidR="006A2617">
        <w:rPr>
          <w:lang w:val="en"/>
        </w:rPr>
        <w:t xml:space="preserve">inspects </w:t>
      </w:r>
      <w:r>
        <w:rPr>
          <w:lang w:val="en"/>
        </w:rPr>
        <w:t xml:space="preserve">non-association independent schools. Association independent schools are inspected by the </w:t>
      </w:r>
      <w:hyperlink r:id="rId28" w:history="1">
        <w:r w:rsidRPr="00AC4B6A">
          <w:rPr>
            <w:rStyle w:val="Hyperlink"/>
            <w:color w:val="auto"/>
            <w:lang w:val="en"/>
          </w:rPr>
          <w:t>Independent Schools Inspectorate</w:t>
        </w:r>
      </w:hyperlink>
      <w:r>
        <w:rPr>
          <w:lang w:val="en"/>
        </w:rPr>
        <w:t xml:space="preserve"> (ISI)</w:t>
      </w:r>
      <w:r w:rsidRPr="00446043">
        <w:t xml:space="preserve"> </w:t>
      </w:r>
      <w:r>
        <w:t xml:space="preserve">– </w:t>
      </w:r>
      <w:hyperlink r:id="rId29" w:history="1">
        <w:r w:rsidRPr="00446043">
          <w:rPr>
            <w:rStyle w:val="Hyperlink"/>
          </w:rPr>
          <w:t>www.isi.net</w:t>
        </w:r>
      </w:hyperlink>
      <w:r w:rsidR="007E49C2">
        <w:t>.</w:t>
      </w:r>
    </w:p>
    <w:p w14:paraId="47CAF681" w14:textId="5246AB37" w:rsidR="00B222DE" w:rsidRDefault="00B222DE">
      <w:pPr>
        <w:rPr>
          <w:b/>
          <w:color w:val="auto"/>
          <w:sz w:val="32"/>
          <w:szCs w:val="32"/>
          <w:lang w:eastAsia="en-GB"/>
        </w:rPr>
      </w:pPr>
      <w:bookmarkStart w:id="67" w:name="_Toc498512327"/>
    </w:p>
    <w:p w14:paraId="31522FAA" w14:textId="25986F2B" w:rsidR="00F0253C" w:rsidRDefault="00F0253C" w:rsidP="00F0253C">
      <w:pPr>
        <w:pStyle w:val="Heading1"/>
      </w:pPr>
      <w:bookmarkStart w:id="68" w:name="_Toc2336332"/>
      <w:bookmarkStart w:id="69" w:name="_Toc2348752"/>
      <w:r>
        <w:t>Notes</w:t>
      </w:r>
      <w:bookmarkEnd w:id="67"/>
      <w:bookmarkEnd w:id="68"/>
      <w:bookmarkEnd w:id="69"/>
    </w:p>
    <w:p w14:paraId="38FB56B6" w14:textId="10225204" w:rsidR="00CC3D3E" w:rsidRPr="007128D1" w:rsidRDefault="00CC3D3E" w:rsidP="00CC3D3E">
      <w:pPr>
        <w:rPr>
          <w:rFonts w:cs="Tahoma"/>
        </w:rPr>
      </w:pPr>
      <w:bookmarkStart w:id="70" w:name="_Toc410906453"/>
      <w:bookmarkStart w:id="71" w:name="_Toc413415068"/>
      <w:r w:rsidRPr="007128D1">
        <w:rPr>
          <w:rFonts w:cs="Tahoma"/>
        </w:rPr>
        <w:t xml:space="preserve">An explanation about main uses of this data, further contextual information and the arrangements for quality assurance is provided in the methodology and quality report </w:t>
      </w:r>
      <w:r w:rsidR="005D2BD7">
        <w:rPr>
          <w:rFonts w:cs="Tahoma"/>
        </w:rPr>
        <w:t xml:space="preserve">accompanying </w:t>
      </w:r>
      <w:r w:rsidRPr="007128D1">
        <w:rPr>
          <w:rFonts w:cs="Tahoma"/>
        </w:rPr>
        <w:t>this release.</w:t>
      </w:r>
    </w:p>
    <w:p w14:paraId="1D3A68AC" w14:textId="77777777" w:rsidR="00CC3D3E" w:rsidRPr="007128D1" w:rsidRDefault="00CC3D3E" w:rsidP="00CC3D3E">
      <w:pPr>
        <w:rPr>
          <w:rFonts w:cs="Tahoma"/>
        </w:rPr>
      </w:pPr>
    </w:p>
    <w:p w14:paraId="56AF350F" w14:textId="77777777" w:rsidR="003767A0" w:rsidRPr="007128D1" w:rsidRDefault="00CC3D3E" w:rsidP="003767A0">
      <w:pPr>
        <w:pStyle w:val="Default"/>
        <w:rPr>
          <w:rFonts w:ascii="Tahoma" w:hAnsi="Tahoma" w:cs="Tahoma"/>
          <w:color w:val="auto"/>
        </w:rPr>
      </w:pPr>
      <w:r w:rsidRPr="007128D1">
        <w:rPr>
          <w:rFonts w:ascii="Tahoma" w:hAnsi="Tahoma" w:cs="Tahoma"/>
          <w:color w:val="auto"/>
        </w:rPr>
        <w:t xml:space="preserve">The methodology and quality report also provides information on the strengths and limitations of the statistics. </w:t>
      </w:r>
    </w:p>
    <w:p w14:paraId="29B1BAC2" w14:textId="77777777" w:rsidR="00F43C4E" w:rsidRDefault="00F43C4E" w:rsidP="003767A0">
      <w:pPr>
        <w:pStyle w:val="Default"/>
        <w:rPr>
          <w:rFonts w:ascii="Tahoma" w:hAnsi="Tahoma" w:cs="Tahoma"/>
          <w:b/>
        </w:rPr>
      </w:pPr>
    </w:p>
    <w:p w14:paraId="46484661" w14:textId="1A936515" w:rsidR="00CC3D3E" w:rsidRPr="007128D1" w:rsidRDefault="00CC3D3E" w:rsidP="003767A0">
      <w:pPr>
        <w:pStyle w:val="Default"/>
        <w:rPr>
          <w:rFonts w:ascii="Tahoma" w:hAnsi="Tahoma" w:cs="Tahoma"/>
          <w:color w:val="auto"/>
        </w:rPr>
      </w:pPr>
      <w:r w:rsidRPr="007128D1">
        <w:rPr>
          <w:rFonts w:ascii="Tahoma" w:hAnsi="Tahoma" w:cs="Tahoma"/>
          <w:b/>
        </w:rPr>
        <w:t>Revisions to previous release</w:t>
      </w:r>
      <w:r w:rsidRPr="007128D1">
        <w:rPr>
          <w:rFonts w:ascii="Tahoma" w:hAnsi="Tahoma" w:cs="Tahoma"/>
          <w:b/>
          <w:kern w:val="32"/>
        </w:rPr>
        <w:t xml:space="preserve"> </w:t>
      </w:r>
    </w:p>
    <w:p w14:paraId="5DC0E47B" w14:textId="794C0BB9" w:rsidR="00CC3D3E" w:rsidRPr="007409EE" w:rsidRDefault="00CC3D3E" w:rsidP="00CC3D3E">
      <w:pPr>
        <w:pStyle w:val="NoSpacing"/>
        <w:jc w:val="left"/>
        <w:rPr>
          <w:rFonts w:cs="Tahoma"/>
        </w:rPr>
      </w:pPr>
      <w:r w:rsidRPr="009243FB">
        <w:rPr>
          <w:rFonts w:cs="Tahoma"/>
        </w:rPr>
        <w:t xml:space="preserve">The provisional data in the previous release related to inspections </w:t>
      </w:r>
      <w:r>
        <w:rPr>
          <w:rFonts w:cs="Tahoma"/>
        </w:rPr>
        <w:t xml:space="preserve">which took place </w:t>
      </w:r>
      <w:r w:rsidRPr="000D6847">
        <w:rPr>
          <w:rFonts w:cs="Tahoma"/>
        </w:rPr>
        <w:t xml:space="preserve">between 1 </w:t>
      </w:r>
      <w:r w:rsidR="00432E1A" w:rsidRPr="000D6847">
        <w:rPr>
          <w:rFonts w:cs="Tahoma"/>
        </w:rPr>
        <w:t>September</w:t>
      </w:r>
      <w:r w:rsidR="00F84388" w:rsidRPr="000D6847">
        <w:rPr>
          <w:rFonts w:cs="Tahoma"/>
        </w:rPr>
        <w:t xml:space="preserve"> 2018 </w:t>
      </w:r>
      <w:r w:rsidRPr="000D6847">
        <w:rPr>
          <w:rFonts w:cs="Tahoma"/>
        </w:rPr>
        <w:t xml:space="preserve">and 31 </w:t>
      </w:r>
      <w:r w:rsidR="00432E1A" w:rsidRPr="000D6847">
        <w:rPr>
          <w:rFonts w:cs="Tahoma"/>
        </w:rPr>
        <w:t>December</w:t>
      </w:r>
      <w:r w:rsidRPr="000D6847">
        <w:rPr>
          <w:rFonts w:cs="Tahoma"/>
        </w:rPr>
        <w:t xml:space="preserve"> 201</w:t>
      </w:r>
      <w:r w:rsidR="003A36D8" w:rsidRPr="000D6847">
        <w:rPr>
          <w:rFonts w:cs="Tahoma"/>
        </w:rPr>
        <w:t>8</w:t>
      </w:r>
      <w:r w:rsidRPr="000D6847">
        <w:rPr>
          <w:rFonts w:cs="Tahoma"/>
        </w:rPr>
        <w:t xml:space="preserve"> and were published by</w:t>
      </w:r>
      <w:r w:rsidR="003A36D8" w:rsidRPr="000D6847">
        <w:rPr>
          <w:rFonts w:cs="Tahoma"/>
        </w:rPr>
        <w:t xml:space="preserve"> 3</w:t>
      </w:r>
      <w:r w:rsidR="000D6847" w:rsidRPr="000D6847">
        <w:rPr>
          <w:rFonts w:cs="Tahoma"/>
        </w:rPr>
        <w:t>1 January</w:t>
      </w:r>
      <w:r w:rsidRPr="000D6847">
        <w:rPr>
          <w:rFonts w:cs="Tahoma"/>
        </w:rPr>
        <w:t xml:space="preserve"> 201</w:t>
      </w:r>
      <w:r w:rsidR="000D6847" w:rsidRPr="000D6847">
        <w:rPr>
          <w:rFonts w:cs="Tahoma"/>
        </w:rPr>
        <w:t>9</w:t>
      </w:r>
      <w:r w:rsidRPr="000D6847">
        <w:rPr>
          <w:rFonts w:cs="Tahoma"/>
        </w:rPr>
        <w:t>. A revised</w:t>
      </w:r>
      <w:r w:rsidRPr="000953C0">
        <w:rPr>
          <w:rFonts w:cs="Tahoma"/>
        </w:rPr>
        <w:t xml:space="preserve"> list of inspections in this period is provided in Tables 14</w:t>
      </w:r>
      <w:r w:rsidRPr="000953C0">
        <w:t>–</w:t>
      </w:r>
      <w:r w:rsidRPr="000953C0">
        <w:rPr>
          <w:rFonts w:cs="Tahoma"/>
        </w:rPr>
        <w:t xml:space="preserve">19 of the ‘Childcare providers and inspections charts and tables’ document for this release. This </w:t>
      </w:r>
      <w:r w:rsidRPr="000953C0">
        <w:rPr>
          <w:rFonts w:cs="Tahoma"/>
        </w:rPr>
        <w:lastRenderedPageBreak/>
        <w:t xml:space="preserve">revised data </w:t>
      </w:r>
      <w:r w:rsidRPr="00B556F0">
        <w:rPr>
          <w:rFonts w:cs="Tahoma"/>
        </w:rPr>
        <w:t>includes</w:t>
      </w:r>
      <w:r w:rsidR="00554993">
        <w:rPr>
          <w:rFonts w:cs="Tahoma"/>
        </w:rPr>
        <w:t xml:space="preserve"> 17 </w:t>
      </w:r>
      <w:r w:rsidRPr="00B556F0">
        <w:rPr>
          <w:rFonts w:cs="Tahoma"/>
        </w:rPr>
        <w:t>inspections</w:t>
      </w:r>
      <w:r w:rsidRPr="000953C0">
        <w:rPr>
          <w:rFonts w:cs="Tahoma"/>
        </w:rPr>
        <w:t xml:space="preserve"> that were publishe</w:t>
      </w:r>
      <w:r w:rsidRPr="00654593">
        <w:rPr>
          <w:rFonts w:cs="Tahoma"/>
        </w:rPr>
        <w:t>d by 3</w:t>
      </w:r>
      <w:r w:rsidR="00B556F0" w:rsidRPr="00654593">
        <w:rPr>
          <w:rFonts w:cs="Tahoma"/>
        </w:rPr>
        <w:t>0</w:t>
      </w:r>
      <w:r w:rsidRPr="00654593">
        <w:rPr>
          <w:rFonts w:cs="Tahoma"/>
        </w:rPr>
        <w:t xml:space="preserve"> </w:t>
      </w:r>
      <w:r w:rsidR="00B556F0" w:rsidRPr="00654593">
        <w:rPr>
          <w:rFonts w:cs="Tahoma"/>
        </w:rPr>
        <w:t>April</w:t>
      </w:r>
      <w:r w:rsidR="000953C0" w:rsidRPr="00654593">
        <w:rPr>
          <w:rFonts w:cs="Tahoma"/>
        </w:rPr>
        <w:t xml:space="preserve"> 2019</w:t>
      </w:r>
      <w:r w:rsidRPr="00654593">
        <w:rPr>
          <w:rFonts w:cs="Tahoma"/>
        </w:rPr>
        <w:t xml:space="preserve"> (that were not published by 3</w:t>
      </w:r>
      <w:r w:rsidR="00654593" w:rsidRPr="00654593">
        <w:rPr>
          <w:rFonts w:cs="Tahoma"/>
        </w:rPr>
        <w:t>1</w:t>
      </w:r>
      <w:r w:rsidRPr="00654593">
        <w:rPr>
          <w:rFonts w:cs="Tahoma"/>
        </w:rPr>
        <w:t xml:space="preserve"> </w:t>
      </w:r>
      <w:r w:rsidR="00654593" w:rsidRPr="00654593">
        <w:rPr>
          <w:rFonts w:cs="Tahoma"/>
        </w:rPr>
        <w:t>January</w:t>
      </w:r>
      <w:r w:rsidRPr="00654593">
        <w:rPr>
          <w:rFonts w:cs="Tahoma"/>
        </w:rPr>
        <w:t xml:space="preserve"> </w:t>
      </w:r>
      <w:r w:rsidR="001F6D36" w:rsidRPr="00654593">
        <w:rPr>
          <w:rFonts w:cs="Tahoma"/>
        </w:rPr>
        <w:t>201</w:t>
      </w:r>
      <w:r w:rsidR="00654593" w:rsidRPr="00654593">
        <w:rPr>
          <w:rFonts w:cs="Tahoma"/>
        </w:rPr>
        <w:t>9</w:t>
      </w:r>
      <w:r w:rsidRPr="00654593">
        <w:rPr>
          <w:rFonts w:cs="Tahoma"/>
        </w:rPr>
        <w:t>).</w:t>
      </w:r>
    </w:p>
    <w:p w14:paraId="4C0A3C71" w14:textId="77777777" w:rsidR="00CC3D3E" w:rsidRPr="007409EE" w:rsidRDefault="00CC3D3E" w:rsidP="00CC3D3E">
      <w:pPr>
        <w:pStyle w:val="NoSpacing"/>
        <w:jc w:val="left"/>
      </w:pPr>
    </w:p>
    <w:p w14:paraId="3FBD9B42" w14:textId="77777777" w:rsidR="00CC3D3E" w:rsidRPr="00A5726A" w:rsidRDefault="00CC3D3E" w:rsidP="00CC3D3E">
      <w:pPr>
        <w:pStyle w:val="NoSpacing"/>
        <w:jc w:val="left"/>
        <w:rPr>
          <w:rFonts w:cs="Tahoma"/>
        </w:rPr>
      </w:pPr>
      <w:r w:rsidRPr="007409EE">
        <w:rPr>
          <w:rFonts w:cs="Tahoma"/>
        </w:rPr>
        <w:t xml:space="preserve">These revisions did not result in any changes to the </w:t>
      </w:r>
      <w:r>
        <w:rPr>
          <w:rFonts w:cs="Tahoma"/>
        </w:rPr>
        <w:t>main</w:t>
      </w:r>
      <w:r w:rsidRPr="007409EE">
        <w:rPr>
          <w:rFonts w:cs="Tahoma"/>
        </w:rPr>
        <w:t xml:space="preserve"> findings identified in the previous publication.</w:t>
      </w:r>
      <w:r>
        <w:rPr>
          <w:rFonts w:cs="Tahoma"/>
        </w:rPr>
        <w:br/>
      </w:r>
    </w:p>
    <w:p w14:paraId="67FA1581" w14:textId="77777777" w:rsidR="00CC3D3E" w:rsidRPr="009243FB" w:rsidRDefault="00CC3D3E" w:rsidP="00CC3D3E">
      <w:pPr>
        <w:pStyle w:val="NoSpacing"/>
        <w:jc w:val="left"/>
        <w:rPr>
          <w:rFonts w:cs="Tahoma"/>
        </w:rPr>
      </w:pPr>
      <w:r w:rsidRPr="009243FB">
        <w:rPr>
          <w:rFonts w:cs="Tahoma"/>
        </w:rPr>
        <w:t xml:space="preserve">Revisions to data in this publication are published in line with Ofsted’s revisions policy for official statistics, which can be found here: </w:t>
      </w:r>
      <w:hyperlink r:id="rId30" w:history="1">
        <w:r w:rsidRPr="009243FB">
          <w:rPr>
            <w:rStyle w:val="Hyperlink"/>
            <w:rFonts w:cs="Tahoma"/>
          </w:rPr>
          <w:t>www.gov.uk/government/publications/ofsted-standards-for-official-statistics</w:t>
        </w:r>
      </w:hyperlink>
      <w:r w:rsidRPr="009243FB">
        <w:rPr>
          <w:rFonts w:cs="Tahoma"/>
        </w:rPr>
        <w:t>.</w:t>
      </w:r>
    </w:p>
    <w:p w14:paraId="0017F09A" w14:textId="0FE10FA8" w:rsidR="00CC3D3E" w:rsidRPr="00D63223" w:rsidRDefault="00CC3D3E" w:rsidP="00CC3D3E">
      <w:pPr>
        <w:rPr>
          <w:b/>
        </w:rPr>
      </w:pPr>
      <w:bookmarkStart w:id="72" w:name="_Methodology"/>
      <w:bookmarkEnd w:id="72"/>
      <w:r>
        <w:rPr>
          <w:b/>
        </w:rPr>
        <w:br/>
      </w:r>
      <w:r w:rsidRPr="00D63223">
        <w:rPr>
          <w:b/>
        </w:rPr>
        <w:t xml:space="preserve">Common </w:t>
      </w:r>
      <w:r w:rsidR="00B04799">
        <w:rPr>
          <w:b/>
        </w:rPr>
        <w:t>i</w:t>
      </w:r>
      <w:r w:rsidRPr="00D63223">
        <w:rPr>
          <w:b/>
        </w:rPr>
        <w:t xml:space="preserve">nspection </w:t>
      </w:r>
      <w:r w:rsidR="00B04799">
        <w:rPr>
          <w:b/>
        </w:rPr>
        <w:t>f</w:t>
      </w:r>
      <w:r w:rsidRPr="00D63223">
        <w:rPr>
          <w:b/>
        </w:rPr>
        <w:t>ramework (CIF)</w:t>
      </w:r>
    </w:p>
    <w:p w14:paraId="3175E54A" w14:textId="05E1AAF4" w:rsidR="00CC3D3E" w:rsidRPr="00D63223" w:rsidRDefault="00CC3D3E" w:rsidP="00CC3D3E">
      <w:pPr>
        <w:pStyle w:val="NoSpacing"/>
        <w:spacing w:after="60"/>
        <w:jc w:val="left"/>
        <w:rPr>
          <w:rFonts w:cs="Tahoma"/>
          <w:bCs/>
        </w:rPr>
      </w:pPr>
      <w:r w:rsidRPr="00D63223">
        <w:rPr>
          <w:rFonts w:cs="Tahoma"/>
        </w:rPr>
        <w:t xml:space="preserve">Inspections from 1 September 2015 were carried out under the </w:t>
      </w:r>
      <w:r w:rsidR="00B04799">
        <w:rPr>
          <w:rFonts w:cs="Tahoma"/>
        </w:rPr>
        <w:t>c</w:t>
      </w:r>
      <w:r w:rsidRPr="00D63223">
        <w:rPr>
          <w:rFonts w:cs="Tahoma"/>
        </w:rPr>
        <w:t xml:space="preserve">ommon </w:t>
      </w:r>
      <w:r w:rsidR="00B04799">
        <w:rPr>
          <w:rFonts w:cs="Tahoma"/>
        </w:rPr>
        <w:t>i</w:t>
      </w:r>
      <w:r w:rsidRPr="00D63223">
        <w:rPr>
          <w:rFonts w:cs="Tahoma"/>
        </w:rPr>
        <w:t xml:space="preserve">nspection </w:t>
      </w:r>
      <w:r w:rsidR="00B04799">
        <w:rPr>
          <w:rFonts w:cs="Tahoma"/>
        </w:rPr>
        <w:t>f</w:t>
      </w:r>
      <w:r w:rsidRPr="00D63223">
        <w:rPr>
          <w:rFonts w:cs="Tahoma"/>
        </w:rPr>
        <w:t xml:space="preserve">ramework (CIF), </w:t>
      </w:r>
      <w:r>
        <w:rPr>
          <w:rFonts w:cs="Tahoma"/>
        </w:rPr>
        <w:t>meaning</w:t>
      </w:r>
      <w:r w:rsidRPr="00D63223">
        <w:rPr>
          <w:rFonts w:cs="Tahoma"/>
        </w:rPr>
        <w:t xml:space="preserve"> that the inspection judgements are common across the Early Years, Schools and Further Education and Skills remits. Ofsted evaluates the overall quality and standards of the early years provision in line with the principles and requirements of the </w:t>
      </w:r>
      <w:r w:rsidR="00220052">
        <w:rPr>
          <w:rFonts w:cs="Tahoma"/>
        </w:rPr>
        <w:t>Early Years Foundation S</w:t>
      </w:r>
      <w:r>
        <w:rPr>
          <w:rFonts w:cs="Tahoma"/>
        </w:rPr>
        <w:t>tage</w:t>
      </w:r>
      <w:r w:rsidR="007C6831">
        <w:rPr>
          <w:rFonts w:cs="Tahoma"/>
        </w:rPr>
        <w:t xml:space="preserve"> statutory framework</w:t>
      </w:r>
      <w:r w:rsidRPr="00D63223">
        <w:rPr>
          <w:rFonts w:cs="Tahoma"/>
        </w:rPr>
        <w:t xml:space="preserve">. Inspectors judge the overall effectiveness of the early years provision, </w:t>
      </w:r>
      <w:r w:rsidR="00AF40B9">
        <w:rPr>
          <w:rFonts w:cs="Tahoma"/>
        </w:rPr>
        <w:t>considering</w:t>
      </w:r>
      <w:r w:rsidRPr="00D63223">
        <w:rPr>
          <w:rFonts w:cs="Tahoma"/>
        </w:rPr>
        <w:t xml:space="preserve"> four judgements:</w:t>
      </w:r>
      <w:r w:rsidRPr="00D63223">
        <w:rPr>
          <w:rFonts w:cs="Tahoma"/>
        </w:rPr>
        <w:br/>
      </w:r>
    </w:p>
    <w:p w14:paraId="12EA1B35"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quality of teaching, learning and assessment;</w:t>
      </w:r>
    </w:p>
    <w:p w14:paraId="3A2280C5"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 xml:space="preserve">personal development, behaviour and welfare; </w:t>
      </w:r>
    </w:p>
    <w:p w14:paraId="58B2C81A" w14:textId="77777777" w:rsidR="00CC3D3E" w:rsidRPr="00D63223" w:rsidRDefault="00CC3D3E" w:rsidP="00E21F8C">
      <w:pPr>
        <w:pStyle w:val="NoSpacing"/>
        <w:numPr>
          <w:ilvl w:val="0"/>
          <w:numId w:val="12"/>
        </w:numPr>
        <w:ind w:left="714" w:hanging="357"/>
        <w:jc w:val="left"/>
        <w:rPr>
          <w:rFonts w:cs="Tahoma"/>
          <w:bCs/>
        </w:rPr>
      </w:pPr>
      <w:r w:rsidRPr="00D63223">
        <w:rPr>
          <w:rFonts w:cs="Tahoma"/>
          <w:bCs/>
        </w:rPr>
        <w:t>effectiveness</w:t>
      </w:r>
      <w:r w:rsidRPr="00D63223">
        <w:rPr>
          <w:rFonts w:cs="Tahoma"/>
        </w:rPr>
        <w:t xml:space="preserve"> of leadership and management;</w:t>
      </w:r>
    </w:p>
    <w:p w14:paraId="5DB372AC" w14:textId="77777777" w:rsidR="00CC3D3E" w:rsidRPr="00D63223" w:rsidRDefault="00CC3D3E" w:rsidP="00E21F8C">
      <w:pPr>
        <w:pStyle w:val="NoSpacing"/>
        <w:numPr>
          <w:ilvl w:val="0"/>
          <w:numId w:val="12"/>
        </w:numPr>
        <w:ind w:left="714" w:hanging="357"/>
        <w:jc w:val="left"/>
        <w:rPr>
          <w:rFonts w:cs="Tahoma"/>
          <w:bCs/>
        </w:rPr>
      </w:pPr>
      <w:r w:rsidRPr="00D63223">
        <w:rPr>
          <w:rFonts w:cs="Tahoma"/>
        </w:rPr>
        <w:t>outcomes for children.</w:t>
      </w:r>
    </w:p>
    <w:p w14:paraId="48431989" w14:textId="77777777" w:rsidR="00CC3D3E" w:rsidRPr="00D63223" w:rsidRDefault="00CC3D3E" w:rsidP="00CC3D3E">
      <w:pPr>
        <w:rPr>
          <w:rFonts w:cs="Tahoma"/>
        </w:rPr>
      </w:pPr>
    </w:p>
    <w:p w14:paraId="51376992" w14:textId="273AD581" w:rsidR="00CC3D3E" w:rsidRDefault="00CC3D3E" w:rsidP="00CC3D3E">
      <w:pPr>
        <w:pStyle w:val="NoSpacing"/>
        <w:jc w:val="left"/>
        <w:rPr>
          <w:rFonts w:cs="Tahoma"/>
        </w:rPr>
      </w:pPr>
      <w:r w:rsidRPr="00D63223">
        <w:rPr>
          <w:rFonts w:cs="Tahoma"/>
        </w:rPr>
        <w:t xml:space="preserve">Ofsted is required to inspect all providers who were on the Early Years Register (EYR) on 1 August 2016 at least once by 31 July 2020. Providers who </w:t>
      </w:r>
      <w:r w:rsidR="006A2617">
        <w:rPr>
          <w:rFonts w:cs="Tahoma"/>
        </w:rPr>
        <w:t xml:space="preserve">register </w:t>
      </w:r>
      <w:r w:rsidRPr="00D63223">
        <w:rPr>
          <w:rFonts w:cs="Tahoma"/>
        </w:rPr>
        <w:t>after this date will normally be inspected within 30 months of registration.</w:t>
      </w:r>
    </w:p>
    <w:p w14:paraId="7F9AE23E" w14:textId="77777777" w:rsidR="00D369DB" w:rsidRDefault="00D369DB" w:rsidP="00D369DB">
      <w:pPr>
        <w:rPr>
          <w:b/>
          <w:color w:val="auto"/>
          <w:sz w:val="32"/>
          <w:szCs w:val="32"/>
          <w:lang w:eastAsia="en-GB"/>
        </w:rPr>
      </w:pPr>
      <w:bookmarkStart w:id="73" w:name="_Glossary"/>
      <w:bookmarkStart w:id="74" w:name="_Toc498512333"/>
      <w:bookmarkStart w:id="75" w:name="_Ref514162849"/>
      <w:bookmarkStart w:id="76" w:name="_Ref514246684"/>
      <w:bookmarkStart w:id="77" w:name="_Ref514246734"/>
      <w:bookmarkStart w:id="78" w:name="_Ref514659927"/>
      <w:bookmarkStart w:id="79" w:name="_Toc2336333"/>
      <w:bookmarkStart w:id="80" w:name="_Toc2348753"/>
      <w:bookmarkEnd w:id="73"/>
    </w:p>
    <w:p w14:paraId="15A1E95E" w14:textId="77777777" w:rsidR="00F0253C" w:rsidRDefault="00F0253C" w:rsidP="00F0253C">
      <w:pPr>
        <w:pStyle w:val="Heading1"/>
      </w:pPr>
      <w:r w:rsidRPr="009E6F79">
        <w:t>Glossary</w:t>
      </w:r>
      <w:bookmarkEnd w:id="70"/>
      <w:bookmarkEnd w:id="71"/>
      <w:bookmarkEnd w:id="74"/>
      <w:bookmarkEnd w:id="75"/>
      <w:bookmarkEnd w:id="76"/>
      <w:bookmarkEnd w:id="77"/>
      <w:bookmarkEnd w:id="78"/>
      <w:bookmarkEnd w:id="79"/>
      <w:bookmarkEnd w:id="80"/>
      <w:r w:rsidRPr="009E6F79">
        <w:t xml:space="preserve"> </w:t>
      </w:r>
    </w:p>
    <w:p w14:paraId="7F8285D9" w14:textId="77777777" w:rsidR="008468F5" w:rsidRDefault="008468F5" w:rsidP="008468F5">
      <w:pPr>
        <w:rPr>
          <w:lang w:eastAsia="en-GB"/>
        </w:rPr>
      </w:pPr>
    </w:p>
    <w:p w14:paraId="4D55D9B5" w14:textId="53ECF29A" w:rsidR="008468F5" w:rsidRPr="00D63223" w:rsidRDefault="008468F5" w:rsidP="008468F5">
      <w:pPr>
        <w:pStyle w:val="NoSpacing"/>
        <w:jc w:val="left"/>
        <w:rPr>
          <w:rFonts w:cs="Tahoma"/>
          <w:b/>
        </w:rPr>
      </w:pPr>
      <w:r w:rsidRPr="00D63223">
        <w:rPr>
          <w:rFonts w:cs="Tahoma"/>
        </w:rPr>
        <w:t>Under the Childcare Act 2006 (</w:t>
      </w:r>
      <w:hyperlink r:id="rId31" w:history="1">
        <w:r w:rsidR="00A72FD0" w:rsidRPr="00772EC5">
          <w:rPr>
            <w:rStyle w:val="Hyperlink"/>
            <w:rFonts w:cs="Tahoma"/>
          </w:rPr>
          <w:t>www.legislation.gov.uk/ukpga/2006/21/contents</w:t>
        </w:r>
      </w:hyperlink>
      <w:r w:rsidRPr="00D63223">
        <w:rPr>
          <w:rFonts w:cs="Tahoma"/>
          <w:color w:val="000000"/>
          <w:lang w:eastAsia="en-US"/>
        </w:rPr>
        <w:t>)</w:t>
      </w:r>
      <w:r w:rsidRPr="00D63223">
        <w:rPr>
          <w:rFonts w:cs="Tahoma"/>
        </w:rPr>
        <w:t xml:space="preserve"> childcare providers register on either or both of two registers:</w:t>
      </w:r>
    </w:p>
    <w:p w14:paraId="718DC29A" w14:textId="77777777" w:rsidR="008468F5" w:rsidRPr="00D63223" w:rsidRDefault="008468F5" w:rsidP="008468F5">
      <w:pPr>
        <w:pStyle w:val="NoSpacing"/>
        <w:jc w:val="left"/>
        <w:rPr>
          <w:rFonts w:cs="Tahoma"/>
        </w:rPr>
      </w:pPr>
    </w:p>
    <w:p w14:paraId="666F8395" w14:textId="77777777" w:rsidR="008468F5" w:rsidRPr="00D63223" w:rsidRDefault="008468F5" w:rsidP="00E21F8C">
      <w:pPr>
        <w:pStyle w:val="NoSpacing"/>
        <w:numPr>
          <w:ilvl w:val="0"/>
          <w:numId w:val="13"/>
        </w:numPr>
        <w:ind w:left="714" w:hanging="357"/>
        <w:jc w:val="left"/>
        <w:rPr>
          <w:rFonts w:cs="Tahoma"/>
          <w:b/>
        </w:rPr>
      </w:pPr>
      <w:r w:rsidRPr="00D63223">
        <w:rPr>
          <w:rFonts w:cs="Tahoma"/>
          <w:b/>
        </w:rPr>
        <w:t>Early Years Register (EYR)</w:t>
      </w:r>
    </w:p>
    <w:p w14:paraId="5F17CBDC" w14:textId="22922139" w:rsidR="008468F5" w:rsidRDefault="008468F5" w:rsidP="008468F5">
      <w:pPr>
        <w:pStyle w:val="NoSpacing"/>
        <w:ind w:left="714" w:hanging="357"/>
        <w:jc w:val="left"/>
        <w:rPr>
          <w:rFonts w:cs="Tahoma"/>
        </w:rPr>
      </w:pPr>
      <w:r>
        <w:rPr>
          <w:rFonts w:cs="Tahoma"/>
        </w:rPr>
        <w:tab/>
      </w:r>
      <w:r w:rsidRPr="00D63223">
        <w:rPr>
          <w:rFonts w:cs="Tahoma"/>
        </w:rPr>
        <w:t>The EYR is for providers who care for children in the early years age group, from birth to 31 August following their fifth birthday. Registration is compulsory for such providers and they mus</w:t>
      </w:r>
      <w:r w:rsidR="00220052">
        <w:rPr>
          <w:rFonts w:cs="Tahoma"/>
        </w:rPr>
        <w:t>t meet the requirements of the E</w:t>
      </w:r>
      <w:r w:rsidRPr="00D63223">
        <w:rPr>
          <w:rFonts w:cs="Tahoma"/>
        </w:rPr>
        <w:t xml:space="preserve">arly </w:t>
      </w:r>
      <w:r w:rsidR="00220052">
        <w:rPr>
          <w:rFonts w:cs="Tahoma"/>
        </w:rPr>
        <w:t>Years F</w:t>
      </w:r>
      <w:r w:rsidRPr="00D63223">
        <w:rPr>
          <w:rFonts w:cs="Tahoma"/>
        </w:rPr>
        <w:t xml:space="preserve">oundation </w:t>
      </w:r>
      <w:r w:rsidR="00220052">
        <w:rPr>
          <w:rFonts w:cs="Tahoma"/>
        </w:rPr>
        <w:t>S</w:t>
      </w:r>
      <w:r w:rsidRPr="00D63223">
        <w:rPr>
          <w:rFonts w:cs="Tahoma"/>
        </w:rPr>
        <w:t>tage (EYFS).</w:t>
      </w:r>
    </w:p>
    <w:p w14:paraId="58118064" w14:textId="1F67E187" w:rsidR="003767A0" w:rsidRPr="00D63223" w:rsidRDefault="003767A0" w:rsidP="003767A0">
      <w:pPr>
        <w:pStyle w:val="NoSpacing"/>
        <w:ind w:left="714" w:hanging="357"/>
        <w:jc w:val="left"/>
        <w:rPr>
          <w:rFonts w:cs="Tahoma"/>
        </w:rPr>
      </w:pPr>
      <w:r>
        <w:rPr>
          <w:rFonts w:cs="Tahoma"/>
        </w:rPr>
        <w:tab/>
      </w:r>
      <w:r w:rsidR="00580191">
        <w:rPr>
          <w:rFonts w:cs="Tahoma"/>
        </w:rPr>
        <w:t>Ofsted inspects a</w:t>
      </w:r>
      <w:r w:rsidRPr="00D63223">
        <w:rPr>
          <w:rFonts w:cs="Tahoma"/>
        </w:rPr>
        <w:t>ll providers on the EYR on a four</w:t>
      </w:r>
      <w:r w:rsidR="00781112">
        <w:rPr>
          <w:rFonts w:cs="Tahoma"/>
        </w:rPr>
        <w:t>-</w:t>
      </w:r>
      <w:r w:rsidRPr="00D63223">
        <w:rPr>
          <w:rFonts w:cs="Tahoma"/>
        </w:rPr>
        <w:t>year cycle. The last inspection cycle ran from 1 September 2012 to 31 July 2016. The current inspection cycle runs from 1 August 2016 to 31 July 2020.</w:t>
      </w:r>
    </w:p>
    <w:p w14:paraId="7B03B3B1" w14:textId="77777777" w:rsidR="003767A0" w:rsidRPr="00D63223" w:rsidRDefault="003767A0" w:rsidP="008468F5">
      <w:pPr>
        <w:pStyle w:val="NoSpacing"/>
        <w:ind w:left="714" w:hanging="357"/>
        <w:jc w:val="left"/>
        <w:rPr>
          <w:rFonts w:cs="Tahoma"/>
        </w:rPr>
      </w:pPr>
    </w:p>
    <w:p w14:paraId="6B5AA719" w14:textId="7234089D" w:rsidR="008468F5" w:rsidRPr="00D63223" w:rsidRDefault="008468F5" w:rsidP="00E21F8C">
      <w:pPr>
        <w:pStyle w:val="NoSpacing"/>
        <w:numPr>
          <w:ilvl w:val="0"/>
          <w:numId w:val="13"/>
        </w:numPr>
        <w:ind w:left="714" w:hanging="357"/>
        <w:jc w:val="left"/>
        <w:rPr>
          <w:rFonts w:cs="Tahoma"/>
          <w:b/>
        </w:rPr>
      </w:pPr>
      <w:r w:rsidRPr="00D63223">
        <w:rPr>
          <w:rFonts w:cs="Tahoma"/>
          <w:b/>
        </w:rPr>
        <w:t>Childcare Register (CR)</w:t>
      </w:r>
    </w:p>
    <w:p w14:paraId="0FC94B1E" w14:textId="77777777" w:rsidR="008468F5" w:rsidRPr="00D63223" w:rsidRDefault="008468F5" w:rsidP="008468F5">
      <w:pPr>
        <w:pStyle w:val="NoSpacing"/>
        <w:ind w:left="714" w:hanging="357"/>
        <w:jc w:val="left"/>
        <w:rPr>
          <w:rFonts w:cs="Tahoma"/>
        </w:rPr>
      </w:pPr>
      <w:r>
        <w:rPr>
          <w:rFonts w:cs="Tahoma"/>
        </w:rPr>
        <w:tab/>
      </w:r>
      <w:r w:rsidRPr="00D63223">
        <w:rPr>
          <w:rFonts w:cs="Tahoma"/>
        </w:rPr>
        <w:t xml:space="preserve">The CR is for providers who care for children from birth to 18 years. It has two parts: </w:t>
      </w:r>
      <w:r>
        <w:rPr>
          <w:rFonts w:cs="Tahoma"/>
        </w:rPr>
        <w:br/>
      </w:r>
    </w:p>
    <w:p w14:paraId="38537A11" w14:textId="77777777" w:rsidR="008468F5" w:rsidRDefault="008468F5" w:rsidP="008468F5">
      <w:pPr>
        <w:pStyle w:val="NoSpacing"/>
        <w:ind w:left="1077" w:hanging="357"/>
        <w:jc w:val="left"/>
        <w:rPr>
          <w:rFonts w:cs="Tahoma"/>
        </w:rPr>
      </w:pPr>
      <w:r>
        <w:rPr>
          <w:rFonts w:cs="Tahoma"/>
        </w:rPr>
        <w:lastRenderedPageBreak/>
        <w:t>-</w:t>
      </w:r>
      <w:r w:rsidRPr="00D63223">
        <w:rPr>
          <w:rFonts w:cs="Tahoma"/>
        </w:rPr>
        <w:t xml:space="preserve"> </w:t>
      </w:r>
      <w:r w:rsidRPr="00D63223">
        <w:rPr>
          <w:rFonts w:cs="Tahoma"/>
        </w:rPr>
        <w:tab/>
        <w:t>Compulsory Childcare Register (CCR) – for providers caring for children from 1 September after the child's fifth birthday up until their eighth birthday.</w:t>
      </w:r>
    </w:p>
    <w:p w14:paraId="757EB28B" w14:textId="77777777" w:rsidR="008468F5" w:rsidRPr="00D63223" w:rsidRDefault="008468F5" w:rsidP="008468F5">
      <w:pPr>
        <w:pStyle w:val="NoSpacing"/>
        <w:ind w:left="1077" w:hanging="357"/>
        <w:jc w:val="left"/>
        <w:rPr>
          <w:rFonts w:cs="Tahoma"/>
        </w:rPr>
      </w:pPr>
    </w:p>
    <w:p w14:paraId="18946C92" w14:textId="77777777" w:rsidR="008468F5" w:rsidRPr="00D63223"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Voluntary Childcare Register (VCR) – for providers for whom registration is not compulsory, for example nannies, or providers who care for children aged eight and over.</w:t>
      </w:r>
      <w:r>
        <w:rPr>
          <w:rFonts w:cs="Tahoma"/>
        </w:rPr>
        <w:br/>
      </w:r>
    </w:p>
    <w:p w14:paraId="7F255B2B" w14:textId="77777777" w:rsidR="00212C71" w:rsidRDefault="008468F5" w:rsidP="008468F5">
      <w:pPr>
        <w:pStyle w:val="NoSpacing"/>
        <w:jc w:val="left"/>
        <w:rPr>
          <w:rFonts w:cs="Tahoma"/>
        </w:rPr>
      </w:pPr>
      <w:r>
        <w:t>Providers who are registered on either part of the Childcare Register do not need to submit their places information to Ofsted.</w:t>
      </w:r>
      <w:r>
        <w:rPr>
          <w:rFonts w:cs="Tahoma"/>
        </w:rPr>
        <w:br/>
      </w:r>
      <w:r>
        <w:rPr>
          <w:rFonts w:cs="Tahoma"/>
        </w:rPr>
        <w:br/>
      </w:r>
      <w:r w:rsidRPr="00D63223">
        <w:rPr>
          <w:rFonts w:cs="Tahoma"/>
        </w:rPr>
        <w:t>For providers registered on the Childcare Register, Ofsted inspects a sample of 10% of active providers per year.</w:t>
      </w:r>
      <w:r>
        <w:rPr>
          <w:rFonts w:cs="Tahoma"/>
        </w:rPr>
        <w:br/>
      </w:r>
    </w:p>
    <w:p w14:paraId="27AA7CBE" w14:textId="74C24B4E" w:rsidR="008468F5" w:rsidRPr="00D63223" w:rsidRDefault="008468F5" w:rsidP="008468F5">
      <w:pPr>
        <w:pStyle w:val="NoSpacing"/>
        <w:jc w:val="left"/>
        <w:rPr>
          <w:rFonts w:cs="Tahoma"/>
          <w:b/>
        </w:rPr>
      </w:pPr>
      <w:r w:rsidRPr="00D63223">
        <w:rPr>
          <w:rFonts w:cs="Tahoma"/>
          <w:b/>
        </w:rPr>
        <w:t xml:space="preserve">Early </w:t>
      </w:r>
      <w:r w:rsidR="00220052">
        <w:rPr>
          <w:rFonts w:cs="Tahoma"/>
          <w:b/>
        </w:rPr>
        <w:t>Years F</w:t>
      </w:r>
      <w:r w:rsidRPr="00D63223">
        <w:rPr>
          <w:rFonts w:cs="Tahoma"/>
          <w:b/>
        </w:rPr>
        <w:t xml:space="preserve">oundation </w:t>
      </w:r>
      <w:r w:rsidR="00220052">
        <w:rPr>
          <w:rFonts w:cs="Tahoma"/>
          <w:b/>
        </w:rPr>
        <w:t>S</w:t>
      </w:r>
      <w:r w:rsidRPr="00D63223">
        <w:rPr>
          <w:rFonts w:cs="Tahoma"/>
          <w:b/>
        </w:rPr>
        <w:t>tage (EYFS)</w:t>
      </w:r>
    </w:p>
    <w:p w14:paraId="52804CE1" w14:textId="1A4234CB" w:rsidR="008468F5" w:rsidRDefault="008468F5" w:rsidP="008468F5">
      <w:pPr>
        <w:pStyle w:val="NoSpacing"/>
        <w:jc w:val="left"/>
        <w:rPr>
          <w:rFonts w:cs="Tahoma"/>
        </w:rPr>
      </w:pPr>
      <w:r w:rsidRPr="00D63223">
        <w:rPr>
          <w:rFonts w:cs="Tahoma"/>
        </w:rPr>
        <w:t>The EYFS is the statutory framework for the early education and care of children from birth to 31 August</w:t>
      </w:r>
      <w:r>
        <w:rPr>
          <w:rFonts w:cs="Tahoma"/>
        </w:rPr>
        <w:t xml:space="preserve"> following their fifth birthday:</w:t>
      </w:r>
      <w:r w:rsidRPr="00D63223">
        <w:rPr>
          <w:rFonts w:cs="Tahoma"/>
        </w:rPr>
        <w:t xml:space="preserve"> </w:t>
      </w:r>
      <w:hyperlink r:id="rId32" w:history="1">
        <w:r w:rsidR="00241C9E" w:rsidRPr="00772EC5">
          <w:rPr>
            <w:rStyle w:val="Hyperlink"/>
            <w:rFonts w:cs="Tahoma"/>
          </w:rPr>
          <w:t>www.gov.uk/government/publications/early-years-foundation-stage-framework--2</w:t>
        </w:r>
      </w:hyperlink>
      <w:r>
        <w:rPr>
          <w:rFonts w:cs="Tahoma"/>
        </w:rPr>
        <w:t>.</w:t>
      </w:r>
    </w:p>
    <w:p w14:paraId="1F1234FF" w14:textId="77777777" w:rsidR="008468F5" w:rsidRPr="00D63223" w:rsidRDefault="008468F5" w:rsidP="008468F5">
      <w:pPr>
        <w:pStyle w:val="NoSpacing"/>
        <w:jc w:val="left"/>
        <w:rPr>
          <w:rFonts w:cs="Tahoma"/>
        </w:rPr>
      </w:pPr>
    </w:p>
    <w:p w14:paraId="1887EBA3" w14:textId="77777777" w:rsidR="008468F5" w:rsidRPr="00D63223" w:rsidRDefault="008468F5" w:rsidP="008468F5">
      <w:pPr>
        <w:pStyle w:val="NoSpacing"/>
        <w:jc w:val="left"/>
        <w:rPr>
          <w:rFonts w:cs="Tahoma"/>
          <w:b/>
        </w:rPr>
      </w:pPr>
      <w:r w:rsidRPr="00D63223">
        <w:rPr>
          <w:rFonts w:cs="Tahoma"/>
          <w:b/>
        </w:rPr>
        <w:t>Childcare providers</w:t>
      </w:r>
    </w:p>
    <w:p w14:paraId="31678D41" w14:textId="6F7D3E10" w:rsidR="008468F5" w:rsidRPr="00D63223" w:rsidRDefault="008468F5" w:rsidP="008468F5">
      <w:pPr>
        <w:pStyle w:val="NoSpacing"/>
        <w:jc w:val="left"/>
        <w:rPr>
          <w:rFonts w:cs="Tahoma"/>
        </w:rPr>
      </w:pPr>
      <w:r w:rsidRPr="00D63223">
        <w:rPr>
          <w:rFonts w:cs="Tahoma"/>
        </w:rPr>
        <w:t xml:space="preserve">Childcare providers care for at least one individual child for a total of more than two hours in any one day. This is not necessarily a continuous period. They must register </w:t>
      </w:r>
      <w:r>
        <w:rPr>
          <w:rFonts w:cs="Tahoma"/>
        </w:rPr>
        <w:t xml:space="preserve">on the CCR </w:t>
      </w:r>
      <w:r w:rsidRPr="00D63223">
        <w:rPr>
          <w:rFonts w:cs="Tahoma"/>
        </w:rPr>
        <w:t xml:space="preserve">to care for children under the age of eight, </w:t>
      </w:r>
      <w:r>
        <w:rPr>
          <w:rFonts w:cs="Tahoma"/>
        </w:rPr>
        <w:t>although there may be some exceptions to this. They</w:t>
      </w:r>
      <w:r w:rsidRPr="00D63223">
        <w:rPr>
          <w:rFonts w:cs="Tahoma"/>
        </w:rPr>
        <w:t xml:space="preserve"> can register</w:t>
      </w:r>
      <w:r>
        <w:rPr>
          <w:rFonts w:cs="Tahoma"/>
        </w:rPr>
        <w:t xml:space="preserve"> on the VCR</w:t>
      </w:r>
      <w:r w:rsidRPr="00D63223">
        <w:rPr>
          <w:rFonts w:cs="Tahoma"/>
        </w:rPr>
        <w:t xml:space="preserve"> to care for older children.</w:t>
      </w:r>
      <w:r>
        <w:rPr>
          <w:rFonts w:cs="Tahoma"/>
        </w:rPr>
        <w:br/>
      </w:r>
    </w:p>
    <w:p w14:paraId="6CA2C390" w14:textId="77777777" w:rsidR="008468F5" w:rsidRPr="00D63223" w:rsidRDefault="008468F5" w:rsidP="008468F5">
      <w:pPr>
        <w:pStyle w:val="NoSpacing"/>
        <w:jc w:val="left"/>
        <w:rPr>
          <w:rFonts w:cs="Tahoma"/>
          <w:b/>
        </w:rPr>
      </w:pPr>
      <w:r w:rsidRPr="00D63223">
        <w:rPr>
          <w:rFonts w:cs="Tahoma"/>
          <w:b/>
        </w:rPr>
        <w:t>Domestic premises</w:t>
      </w:r>
    </w:p>
    <w:p w14:paraId="3473F893" w14:textId="77777777" w:rsidR="00BF7B12" w:rsidRDefault="008468F5" w:rsidP="008468F5">
      <w:pPr>
        <w:pStyle w:val="NoSpacing"/>
        <w:jc w:val="left"/>
        <w:rPr>
          <w:rFonts w:cs="Tahoma"/>
        </w:rPr>
      </w:pPr>
      <w:r w:rsidRPr="00D63223">
        <w:rPr>
          <w:rFonts w:cs="Tahoma"/>
        </w:rPr>
        <w:t>These are any premises which are wholly or ma</w:t>
      </w:r>
      <w:r>
        <w:rPr>
          <w:rFonts w:cs="Tahoma"/>
        </w:rPr>
        <w:t>inly used as a private dwelling, i</w:t>
      </w:r>
      <w:r w:rsidR="00E71089">
        <w:rPr>
          <w:rFonts w:cs="Tahoma"/>
        </w:rPr>
        <w:t>n other words</w:t>
      </w:r>
      <w:r>
        <w:rPr>
          <w:rFonts w:cs="Tahoma"/>
        </w:rPr>
        <w:t xml:space="preserve"> someone’s home.</w:t>
      </w:r>
    </w:p>
    <w:p w14:paraId="7587BCA5" w14:textId="77777777" w:rsidR="00BF7B12" w:rsidRDefault="00BF7B12" w:rsidP="008468F5">
      <w:pPr>
        <w:pStyle w:val="NoSpacing"/>
        <w:jc w:val="left"/>
        <w:rPr>
          <w:rFonts w:cs="Tahoma"/>
          <w:b/>
        </w:rPr>
      </w:pPr>
    </w:p>
    <w:p w14:paraId="3091CABC" w14:textId="6013E010" w:rsidR="008468F5" w:rsidRPr="00BF7B12" w:rsidRDefault="008468F5" w:rsidP="008468F5">
      <w:pPr>
        <w:pStyle w:val="NoSpacing"/>
        <w:jc w:val="left"/>
        <w:rPr>
          <w:rFonts w:cs="Tahoma"/>
        </w:rPr>
      </w:pPr>
      <w:r w:rsidRPr="00D63223">
        <w:rPr>
          <w:rFonts w:cs="Tahoma"/>
          <w:b/>
        </w:rPr>
        <w:t>Childcare providers on domestic and non-domestic premises</w:t>
      </w:r>
    </w:p>
    <w:p w14:paraId="7ECB50AE" w14:textId="77777777" w:rsidR="00615459" w:rsidRDefault="008468F5" w:rsidP="008468F5">
      <w:pPr>
        <w:pStyle w:val="NoSpacing"/>
        <w:jc w:val="left"/>
        <w:rPr>
          <w:rFonts w:cs="Tahoma"/>
        </w:rPr>
      </w:pPr>
      <w:r w:rsidRPr="00D63223">
        <w:rPr>
          <w:rFonts w:cs="Tahoma"/>
        </w:rPr>
        <w:t xml:space="preserve">If four or more people look after children at any one time in someone’s home, they are providing childcare on domestic premises, not childminding. </w:t>
      </w:r>
    </w:p>
    <w:p w14:paraId="0CDF2A13" w14:textId="77777777" w:rsidR="00615459" w:rsidRDefault="00615459" w:rsidP="008468F5">
      <w:pPr>
        <w:pStyle w:val="NoSpacing"/>
        <w:jc w:val="left"/>
        <w:rPr>
          <w:rFonts w:cs="Tahoma"/>
        </w:rPr>
      </w:pPr>
    </w:p>
    <w:p w14:paraId="2534BD89" w14:textId="0E9E6AD3" w:rsidR="00AC3459" w:rsidRDefault="008468F5" w:rsidP="008468F5">
      <w:pPr>
        <w:pStyle w:val="NoSpacing"/>
        <w:jc w:val="left"/>
        <w:rPr>
          <w:rFonts w:cs="Tahoma"/>
          <w:b/>
        </w:rPr>
      </w:pPr>
      <w:r w:rsidRPr="00D63223">
        <w:rPr>
          <w:rFonts w:cs="Tahoma"/>
        </w:rPr>
        <w:t>Childcare providers on non-domestic premises are people or organisations providing care for individual children in premises that are not someone’s home. These premises can range from converted houses to purpose-built nurseries.</w:t>
      </w:r>
      <w:r>
        <w:rPr>
          <w:rFonts w:cs="Tahoma"/>
        </w:rPr>
        <w:br/>
      </w:r>
    </w:p>
    <w:p w14:paraId="05E7CCE6" w14:textId="5795B45A" w:rsidR="008468F5" w:rsidRPr="00D63223" w:rsidRDefault="008468F5" w:rsidP="008468F5">
      <w:pPr>
        <w:pStyle w:val="NoSpacing"/>
        <w:jc w:val="left"/>
        <w:rPr>
          <w:rFonts w:cs="Tahoma"/>
          <w:b/>
        </w:rPr>
      </w:pPr>
      <w:r w:rsidRPr="00D63223">
        <w:rPr>
          <w:rFonts w:cs="Tahoma"/>
          <w:b/>
        </w:rPr>
        <w:t>Childminder</w:t>
      </w:r>
    </w:p>
    <w:p w14:paraId="28AC37BF" w14:textId="77777777" w:rsidR="008468F5" w:rsidRPr="00D63223" w:rsidRDefault="008468F5" w:rsidP="008468F5">
      <w:pPr>
        <w:pStyle w:val="NoSpacing"/>
        <w:spacing w:after="60"/>
        <w:jc w:val="left"/>
        <w:rPr>
          <w:rFonts w:cs="Tahoma"/>
        </w:rPr>
      </w:pPr>
      <w:r w:rsidRPr="00D63223">
        <w:rPr>
          <w:rFonts w:cs="Tahoma"/>
        </w:rPr>
        <w:t xml:space="preserve">This is a person who is registered to look after one or more children, to whom they are not related, </w:t>
      </w:r>
      <w:r>
        <w:rPr>
          <w:rFonts w:cs="Tahoma"/>
        </w:rPr>
        <w:t>for reward. Childminders</w:t>
      </w:r>
      <w:r w:rsidRPr="00D63223">
        <w:rPr>
          <w:rFonts w:cs="Tahoma"/>
        </w:rPr>
        <w:t xml:space="preserve"> work </w:t>
      </w:r>
      <w:r>
        <w:rPr>
          <w:rFonts w:cs="Tahoma"/>
        </w:rPr>
        <w:t>on domestic premises alongside</w:t>
      </w:r>
      <w:r w:rsidRPr="00D63223">
        <w:rPr>
          <w:rFonts w:cs="Tahoma"/>
        </w:rPr>
        <w:t xml:space="preserve"> no more than two other childminders or assistants. They must register if they care for children under the age of eight, and can choose to register if they care for older children. They care for:</w:t>
      </w:r>
      <w:r w:rsidRPr="00D63223">
        <w:rPr>
          <w:rFonts w:cs="Tahoma"/>
        </w:rPr>
        <w:br/>
      </w:r>
    </w:p>
    <w:p w14:paraId="71E369F5" w14:textId="77777777" w:rsidR="008468F5" w:rsidRPr="00D63223" w:rsidRDefault="008468F5" w:rsidP="00E21F8C">
      <w:pPr>
        <w:pStyle w:val="NoSpacing"/>
        <w:numPr>
          <w:ilvl w:val="0"/>
          <w:numId w:val="12"/>
        </w:numPr>
        <w:ind w:left="714" w:hanging="357"/>
        <w:jc w:val="left"/>
        <w:rPr>
          <w:rFonts w:cs="Tahoma"/>
          <w:bCs/>
        </w:rPr>
      </w:pPr>
      <w:r w:rsidRPr="00D63223">
        <w:rPr>
          <w:rFonts w:cs="Tahoma"/>
          <w:bCs/>
        </w:rPr>
        <w:t xml:space="preserve">Children on domestic premises that are not usually the home of one of the children unless they care for children from more than two families, wholly or mainly in the homes of the families. </w:t>
      </w:r>
    </w:p>
    <w:p w14:paraId="3C64D876" w14:textId="77777777" w:rsidR="008468F5" w:rsidRPr="00D63223" w:rsidRDefault="008468F5" w:rsidP="008468F5">
      <w:pPr>
        <w:pStyle w:val="NoSpacing"/>
        <w:ind w:left="714" w:hanging="357"/>
        <w:jc w:val="left"/>
        <w:rPr>
          <w:rFonts w:cs="Tahoma"/>
          <w:bCs/>
        </w:rPr>
      </w:pPr>
    </w:p>
    <w:p w14:paraId="03D0F579" w14:textId="0EBD59E9" w:rsidR="008468F5" w:rsidRPr="00D63223" w:rsidRDefault="008468F5" w:rsidP="00E21F8C">
      <w:pPr>
        <w:pStyle w:val="NoSpacing"/>
        <w:numPr>
          <w:ilvl w:val="0"/>
          <w:numId w:val="12"/>
        </w:numPr>
        <w:ind w:left="714" w:hanging="357"/>
        <w:jc w:val="left"/>
        <w:rPr>
          <w:rFonts w:cs="Tahoma"/>
          <w:bCs/>
        </w:rPr>
      </w:pPr>
      <w:r w:rsidRPr="00D63223">
        <w:rPr>
          <w:rFonts w:cs="Tahoma"/>
          <w:bCs/>
        </w:rPr>
        <w:lastRenderedPageBreak/>
        <w:t xml:space="preserve">At least one individual child for a total of more than two hours in any day. This is not necessarily </w:t>
      </w:r>
      <w:r w:rsidRPr="00D63223">
        <w:rPr>
          <w:rFonts w:cs="Tahoma"/>
        </w:rPr>
        <w:t>a continuous period.</w:t>
      </w:r>
      <w:r w:rsidRPr="00D63223">
        <w:rPr>
          <w:rFonts w:cs="Tahoma"/>
        </w:rPr>
        <w:br/>
      </w:r>
    </w:p>
    <w:p w14:paraId="0265C4D4" w14:textId="2780CFE5" w:rsidR="008468F5" w:rsidRPr="00D63223" w:rsidRDefault="008468F5" w:rsidP="008468F5">
      <w:pPr>
        <w:pStyle w:val="NoSpacing"/>
        <w:jc w:val="left"/>
        <w:rPr>
          <w:rFonts w:cs="Tahoma"/>
          <w:b/>
        </w:rPr>
      </w:pPr>
      <w:bookmarkStart w:id="81" w:name="_Toc410906454"/>
      <w:bookmarkStart w:id="82" w:name="_Toc413415069"/>
      <w:r w:rsidRPr="00D63223">
        <w:rPr>
          <w:rFonts w:cs="Tahoma"/>
          <w:b/>
        </w:rPr>
        <w:t xml:space="preserve">Childminder agencies </w:t>
      </w:r>
    </w:p>
    <w:p w14:paraId="153CB064" w14:textId="1509B383" w:rsidR="008468F5" w:rsidRDefault="008468F5" w:rsidP="008468F5">
      <w:pPr>
        <w:rPr>
          <w:rFonts w:cs="Tahoma"/>
          <w:bCs/>
          <w:kern w:val="32"/>
        </w:rPr>
      </w:pPr>
      <w:r w:rsidRPr="00D63223">
        <w:rPr>
          <w:rFonts w:cs="Tahoma"/>
          <w:bCs/>
          <w:kern w:val="32"/>
        </w:rPr>
        <w:t xml:space="preserve">Childminder agencies were introduced in September 2014 as </w:t>
      </w:r>
      <w:r w:rsidR="006A2617">
        <w:t>an alternative registration option for childminders</w:t>
      </w:r>
      <w:r w:rsidRPr="00D63223">
        <w:rPr>
          <w:rFonts w:cs="Tahoma"/>
          <w:bCs/>
          <w:kern w:val="32"/>
        </w:rPr>
        <w:t>. Childminders who register with an agency no longer need to register or be inspected by Ofsted, although the agency itself will receive an inspe</w:t>
      </w:r>
      <w:r>
        <w:rPr>
          <w:rFonts w:cs="Tahoma"/>
          <w:bCs/>
          <w:kern w:val="32"/>
        </w:rPr>
        <w:t xml:space="preserve">ction. </w:t>
      </w:r>
    </w:p>
    <w:p w14:paraId="5447A8B9" w14:textId="77777777" w:rsidR="008468F5" w:rsidRDefault="008468F5" w:rsidP="008468F5">
      <w:pPr>
        <w:rPr>
          <w:rFonts w:cs="Tahoma"/>
          <w:bCs/>
          <w:kern w:val="32"/>
        </w:rPr>
      </w:pPr>
    </w:p>
    <w:p w14:paraId="5C209B1F" w14:textId="77777777" w:rsidR="008468F5" w:rsidRDefault="008468F5" w:rsidP="008468F5">
      <w:pPr>
        <w:pStyle w:val="NoSpacing"/>
        <w:jc w:val="left"/>
        <w:rPr>
          <w:rFonts w:cs="Tahoma"/>
          <w:bCs/>
          <w:kern w:val="32"/>
        </w:rPr>
      </w:pPr>
      <w:r w:rsidRPr="005E508C">
        <w:rPr>
          <w:rFonts w:cs="Tahoma"/>
          <w:bCs/>
          <w:kern w:val="32"/>
        </w:rPr>
        <w:t>Childminder agencies are only eligible for inspection</w:t>
      </w:r>
      <w:r>
        <w:rPr>
          <w:rFonts w:cs="Tahoma"/>
          <w:bCs/>
          <w:kern w:val="32"/>
        </w:rPr>
        <w:t xml:space="preserve"> by Ofsted</w:t>
      </w:r>
      <w:r w:rsidRPr="005E508C">
        <w:rPr>
          <w:rFonts w:cs="Tahoma"/>
          <w:bCs/>
          <w:kern w:val="32"/>
        </w:rPr>
        <w:t xml:space="preserve"> when they have childminders on roll.</w:t>
      </w:r>
      <w:r>
        <w:rPr>
          <w:rFonts w:cs="Tahoma"/>
          <w:bCs/>
          <w:kern w:val="32"/>
        </w:rPr>
        <w:t xml:space="preserve"> </w:t>
      </w:r>
      <w:r w:rsidRPr="001A43C2">
        <w:rPr>
          <w:rFonts w:cs="Tahoma"/>
          <w:bCs/>
          <w:kern w:val="32"/>
        </w:rPr>
        <w:t>Childminder agencies have the responsibility of inspecting the childminders who are registered with them.</w:t>
      </w:r>
    </w:p>
    <w:p w14:paraId="69EBCCE6" w14:textId="7173EA74" w:rsidR="00010009" w:rsidRDefault="00010009">
      <w:pPr>
        <w:rPr>
          <w:rFonts w:cs="Tahoma"/>
          <w:bCs/>
          <w:color w:val="auto"/>
          <w:kern w:val="32"/>
          <w:lang w:eastAsia="en-GB"/>
        </w:rPr>
      </w:pPr>
    </w:p>
    <w:p w14:paraId="16208F30" w14:textId="77777777" w:rsidR="008468F5" w:rsidRPr="00D63223" w:rsidRDefault="008468F5" w:rsidP="008468F5">
      <w:pPr>
        <w:pStyle w:val="NoSpacing"/>
        <w:jc w:val="left"/>
        <w:rPr>
          <w:rFonts w:cs="Tahoma"/>
          <w:b/>
        </w:rPr>
      </w:pPr>
      <w:r w:rsidRPr="00D63223">
        <w:rPr>
          <w:rFonts w:cs="Tahoma"/>
          <w:b/>
        </w:rPr>
        <w:t>Home childcarers</w:t>
      </w:r>
    </w:p>
    <w:p w14:paraId="7A21F309" w14:textId="7C82D5B4" w:rsidR="008468F5" w:rsidRDefault="008468F5" w:rsidP="008468F5">
      <w:pPr>
        <w:pStyle w:val="NoSpacing"/>
        <w:jc w:val="left"/>
        <w:rPr>
          <w:rFonts w:cs="Tahoma"/>
        </w:rPr>
      </w:pPr>
      <w:r w:rsidRPr="00D63223">
        <w:rPr>
          <w:rFonts w:cs="Tahoma"/>
        </w:rPr>
        <w:t>Home childcarers are usually nannies who care for children of any age up to their 18th birthday wholly or mainly in the child’s own home, and care for children from no more than two families. They are not required to register with Ofsted</w:t>
      </w:r>
      <w:r w:rsidR="00CE76BB">
        <w:rPr>
          <w:rFonts w:cs="Tahoma"/>
        </w:rPr>
        <w:t>.</w:t>
      </w:r>
      <w:r w:rsidRPr="00D63223">
        <w:rPr>
          <w:rFonts w:cs="Tahoma"/>
        </w:rPr>
        <w:t xml:space="preserve"> </w:t>
      </w:r>
      <w:r w:rsidR="00CE76BB">
        <w:rPr>
          <w:rFonts w:cs="Tahoma"/>
        </w:rPr>
        <w:t>Though they</w:t>
      </w:r>
      <w:r w:rsidRPr="00D63223">
        <w:rPr>
          <w:rFonts w:cs="Tahoma"/>
        </w:rPr>
        <w:t xml:space="preserve"> may choose to do so on the voluntary part of the Childcare Register.</w:t>
      </w:r>
    </w:p>
    <w:p w14:paraId="03758EDE" w14:textId="77777777" w:rsidR="008468F5" w:rsidRDefault="008468F5" w:rsidP="008468F5">
      <w:pPr>
        <w:pStyle w:val="NoSpacing"/>
        <w:jc w:val="left"/>
        <w:rPr>
          <w:rFonts w:cs="Tahoma"/>
        </w:rPr>
      </w:pPr>
    </w:p>
    <w:p w14:paraId="4FF69205" w14:textId="77777777" w:rsidR="008468F5" w:rsidRPr="007020D0" w:rsidRDefault="008468F5" w:rsidP="008468F5">
      <w:pPr>
        <w:pStyle w:val="NoSpacing"/>
        <w:jc w:val="left"/>
        <w:rPr>
          <w:rFonts w:cs="Tahoma"/>
          <w:b/>
        </w:rPr>
      </w:pPr>
      <w:r w:rsidRPr="007020D0">
        <w:rPr>
          <w:rFonts w:cs="Tahoma"/>
          <w:b/>
        </w:rPr>
        <w:t>Inspection cycles</w:t>
      </w:r>
      <w:bookmarkStart w:id="83" w:name="_GoBack"/>
      <w:bookmarkEnd w:id="83"/>
    </w:p>
    <w:p w14:paraId="533A45C1" w14:textId="77777777" w:rsidR="00BF7B12" w:rsidRDefault="008468F5" w:rsidP="008468F5">
      <w:pPr>
        <w:pStyle w:val="NoSpacing"/>
        <w:jc w:val="left"/>
        <w:rPr>
          <w:rFonts w:cs="Tahoma"/>
          <w:bCs/>
          <w:kern w:val="32"/>
        </w:rPr>
      </w:pPr>
      <w:r w:rsidRPr="007020D0">
        <w:rPr>
          <w:rFonts w:cs="Tahoma"/>
        </w:rPr>
        <w:t xml:space="preserve">All </w:t>
      </w:r>
      <w:r>
        <w:rPr>
          <w:rFonts w:cs="Tahoma"/>
        </w:rPr>
        <w:t>providers on the Early Years Register</w:t>
      </w:r>
      <w:r w:rsidRPr="007020D0">
        <w:rPr>
          <w:rFonts w:cs="Tahoma"/>
        </w:rPr>
        <w:t xml:space="preserve"> which were registered before the start of Ofsted’s four</w:t>
      </w:r>
      <w:r w:rsidR="00D328FA">
        <w:rPr>
          <w:rFonts w:cs="Tahoma"/>
        </w:rPr>
        <w:t>-</w:t>
      </w:r>
      <w:r w:rsidRPr="007020D0">
        <w:rPr>
          <w:rFonts w:cs="Tahoma"/>
        </w:rPr>
        <w:t>year inspection cycle are inspected within the cycle. The previous inspection cycle ran from 1 September 2012 to 31 July 2016. The current inspection cycle runs from 1 August 2016 to 31 July 2020. New providers joining the EYR are normally inspected within 30 months of registration. For providers on the CCR, a sample of 10% of active providers are inspected per year.</w:t>
      </w:r>
      <w:r>
        <w:rPr>
          <w:rFonts w:cs="Tahoma"/>
        </w:rPr>
        <w:br/>
      </w:r>
    </w:p>
    <w:p w14:paraId="13D54580" w14:textId="77777777" w:rsidR="00BF7B12" w:rsidRDefault="00BF7B12" w:rsidP="008468F5">
      <w:pPr>
        <w:pStyle w:val="NoSpacing"/>
        <w:jc w:val="left"/>
        <w:rPr>
          <w:rFonts w:cs="Tahoma"/>
          <w:b/>
          <w:bCs/>
        </w:rPr>
      </w:pPr>
    </w:p>
    <w:p w14:paraId="414CAC92" w14:textId="0918B49B" w:rsidR="008468F5" w:rsidRPr="00D63223" w:rsidRDefault="008468F5" w:rsidP="008468F5">
      <w:pPr>
        <w:pStyle w:val="NoSpacing"/>
        <w:jc w:val="left"/>
        <w:rPr>
          <w:rFonts w:cs="Tahoma"/>
        </w:rPr>
      </w:pPr>
      <w:r w:rsidRPr="00D63223">
        <w:rPr>
          <w:rFonts w:cs="Tahoma"/>
          <w:b/>
          <w:bCs/>
        </w:rPr>
        <w:t>No Children on Roll (NCOR)</w:t>
      </w:r>
    </w:p>
    <w:p w14:paraId="35854650" w14:textId="77777777" w:rsidR="008468F5" w:rsidRPr="00D63223" w:rsidRDefault="008468F5" w:rsidP="008468F5">
      <w:pPr>
        <w:rPr>
          <w:rFonts w:cs="Tahoma"/>
        </w:rPr>
      </w:pPr>
      <w:r w:rsidRPr="00D63223">
        <w:rPr>
          <w:rFonts w:cs="Tahoma"/>
        </w:rPr>
        <w:t>If there are no children present on the day of the provider's inspection, they receive an NCOR inspection. The inspector will make a judgement on the ‘Overall quality and standards of the early years provision’, with three possible outcomes:</w:t>
      </w:r>
      <w:r w:rsidRPr="00D63223">
        <w:rPr>
          <w:rFonts w:cs="Tahoma"/>
        </w:rPr>
        <w:br/>
      </w:r>
    </w:p>
    <w:p w14:paraId="54E74CC5" w14:textId="77777777" w:rsidR="008468F5" w:rsidRPr="00D63223" w:rsidRDefault="008468F5" w:rsidP="00E21F8C">
      <w:pPr>
        <w:numPr>
          <w:ilvl w:val="0"/>
          <w:numId w:val="14"/>
        </w:numPr>
        <w:ind w:left="714" w:hanging="357"/>
        <w:rPr>
          <w:rFonts w:cs="Tahoma"/>
        </w:rPr>
      </w:pPr>
      <w:r w:rsidRPr="00D63223">
        <w:rPr>
          <w:rFonts w:cs="Tahoma"/>
        </w:rPr>
        <w:t>met</w:t>
      </w:r>
    </w:p>
    <w:p w14:paraId="4878F603" w14:textId="77777777" w:rsidR="008468F5" w:rsidRPr="00D63223" w:rsidRDefault="008468F5" w:rsidP="00E21F8C">
      <w:pPr>
        <w:numPr>
          <w:ilvl w:val="0"/>
          <w:numId w:val="14"/>
        </w:numPr>
        <w:ind w:left="714" w:hanging="357"/>
        <w:rPr>
          <w:rFonts w:cs="Tahoma"/>
        </w:rPr>
      </w:pPr>
      <w:r w:rsidRPr="00D63223">
        <w:rPr>
          <w:rFonts w:cs="Tahoma"/>
        </w:rPr>
        <w:t>not met - actions</w:t>
      </w:r>
    </w:p>
    <w:p w14:paraId="63829FC3" w14:textId="77777777" w:rsidR="008468F5" w:rsidRPr="00D63223" w:rsidRDefault="008468F5" w:rsidP="00E21F8C">
      <w:pPr>
        <w:numPr>
          <w:ilvl w:val="0"/>
          <w:numId w:val="14"/>
        </w:numPr>
        <w:ind w:left="714" w:hanging="357"/>
        <w:rPr>
          <w:rFonts w:cs="Tahoma"/>
        </w:rPr>
      </w:pPr>
      <w:r w:rsidRPr="00D63223">
        <w:rPr>
          <w:rFonts w:cs="Tahoma"/>
        </w:rPr>
        <w:t>not met - enforcement action</w:t>
      </w:r>
    </w:p>
    <w:p w14:paraId="2537F167" w14:textId="77777777" w:rsidR="008468F5" w:rsidRDefault="008468F5" w:rsidP="008468F5">
      <w:pPr>
        <w:rPr>
          <w:rFonts w:cs="Tahoma"/>
          <w:b/>
        </w:rPr>
      </w:pPr>
    </w:p>
    <w:p w14:paraId="6E34D608" w14:textId="77777777" w:rsidR="008468F5" w:rsidRPr="00D63223" w:rsidRDefault="008468F5" w:rsidP="008468F5">
      <w:pPr>
        <w:rPr>
          <w:rFonts w:cs="Tahoma"/>
        </w:rPr>
      </w:pPr>
      <w:bookmarkStart w:id="84" w:name="_Toc2336334"/>
      <w:bookmarkStart w:id="85" w:name="_Toc2348754"/>
      <w:r w:rsidRPr="00352786">
        <w:rPr>
          <w:rStyle w:val="Heading2Char"/>
          <w:szCs w:val="24"/>
        </w:rPr>
        <w:t>Number of places</w:t>
      </w:r>
      <w:bookmarkEnd w:id="84"/>
      <w:bookmarkEnd w:id="85"/>
      <w:r w:rsidRPr="00D63223">
        <w:rPr>
          <w:rFonts w:cs="Tahoma"/>
          <w:b/>
        </w:rPr>
        <w:br/>
      </w:r>
      <w:r w:rsidRPr="00D63223">
        <w:rPr>
          <w:rFonts w:cs="Tahoma"/>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w:t>
      </w:r>
      <w:r w:rsidRPr="00D63223">
        <w:t xml:space="preserve"> Provider type </w:t>
      </w:r>
      <w:r w:rsidRPr="00D63223">
        <w:rPr>
          <w:rFonts w:cs="Tahoma"/>
        </w:rPr>
        <w:t>averages are used to estimate the number of places for a very small number of providers whose place numbers are not available at the time of the analysis. There may also be small discrepancies in totals due to rounding.</w:t>
      </w:r>
    </w:p>
    <w:p w14:paraId="7C03D408" w14:textId="77777777" w:rsidR="008468F5" w:rsidRPr="00D63223" w:rsidRDefault="008468F5" w:rsidP="008468F5">
      <w:pPr>
        <w:rPr>
          <w:rFonts w:cs="Tahoma"/>
        </w:rPr>
      </w:pPr>
    </w:p>
    <w:p w14:paraId="6B1CEA39" w14:textId="46F90BF9" w:rsidR="008468F5" w:rsidRDefault="008468F5" w:rsidP="003767A0">
      <w:pPr>
        <w:rPr>
          <w:rFonts w:cs="Tahoma"/>
        </w:rPr>
      </w:pPr>
      <w:r w:rsidRPr="00D63223">
        <w:rPr>
          <w:rFonts w:cs="Tahoma"/>
          <w:b/>
          <w:bCs/>
          <w:kern w:val="32"/>
        </w:rPr>
        <w:lastRenderedPageBreak/>
        <w:t>Joiners and leavers</w:t>
      </w:r>
      <w:bookmarkEnd w:id="81"/>
      <w:bookmarkEnd w:id="82"/>
      <w:r w:rsidRPr="00D63223">
        <w:rPr>
          <w:rFonts w:cs="Tahoma"/>
          <w:b/>
          <w:bCs/>
          <w:kern w:val="32"/>
        </w:rPr>
        <w:br/>
      </w:r>
      <w:r w:rsidRPr="00D63223">
        <w:rPr>
          <w:rFonts w:cs="Tahoma"/>
        </w:rPr>
        <w:t xml:space="preserve">Joiners are childcare providers that have registered with Ofsted during this reporting period. Most of these are new registrations, but </w:t>
      </w:r>
      <w:r>
        <w:rPr>
          <w:rFonts w:cs="Tahoma"/>
        </w:rPr>
        <w:t>Tables 3</w:t>
      </w:r>
      <w:r w:rsidR="00AF0BD8">
        <w:t xml:space="preserve"> and </w:t>
      </w:r>
      <w:r>
        <w:rPr>
          <w:rFonts w:cs="Tahoma"/>
        </w:rPr>
        <w:t>4 and Chart 1</w:t>
      </w:r>
      <w:r w:rsidRPr="00D63223">
        <w:rPr>
          <w:rFonts w:cs="Tahoma"/>
        </w:rPr>
        <w:t xml:space="preserve"> within the ‘Childcare providers and inspections charts and tables’ document also include providers with re-activated registrations and those that have changed p</w:t>
      </w:r>
      <w:r>
        <w:rPr>
          <w:rFonts w:cs="Tahoma"/>
        </w:rPr>
        <w:t>rovider type or register. At</w:t>
      </w:r>
      <w:r w:rsidRPr="00D63223">
        <w:rPr>
          <w:rFonts w:cs="Tahoma"/>
        </w:rPr>
        <w:t xml:space="preserve"> local authority or regional level, this may also include providers that have relocated into a new geographical area.</w:t>
      </w:r>
      <w:r w:rsidRPr="00D63223">
        <w:rPr>
          <w:rFonts w:cs="Tahoma"/>
        </w:rPr>
        <w:br/>
      </w:r>
      <w:r w:rsidRPr="00D63223">
        <w:rPr>
          <w:rFonts w:cs="Tahoma"/>
        </w:rPr>
        <w:br/>
        <w:t>Leavers are mostly childcare providers that have left Ofsted during the reporting period. Most of these are resignations, but some are also providers that have had their registration cancelled or have changed p</w:t>
      </w:r>
      <w:r>
        <w:rPr>
          <w:rFonts w:cs="Tahoma"/>
        </w:rPr>
        <w:t>rovider type or register. At</w:t>
      </w:r>
      <w:r w:rsidRPr="00D63223">
        <w:rPr>
          <w:rFonts w:cs="Tahoma"/>
        </w:rPr>
        <w:t xml:space="preserve"> local authority or regional level, this may also include providers that have relocated out of a geographical area.</w:t>
      </w:r>
      <w:bookmarkStart w:id="86" w:name="_Toc483925859"/>
      <w:bookmarkStart w:id="87" w:name="_Toc483925907"/>
      <w:r>
        <w:rPr>
          <w:rFonts w:cs="Tahoma"/>
        </w:rPr>
        <w:br/>
      </w:r>
    </w:p>
    <w:p w14:paraId="4F528C3C" w14:textId="326A4205" w:rsidR="008468F5" w:rsidRPr="00D63223" w:rsidRDefault="008468F5" w:rsidP="008468F5">
      <w:pPr>
        <w:pStyle w:val="Heading1"/>
      </w:pPr>
      <w:bookmarkStart w:id="88" w:name="_Toc508963539"/>
      <w:bookmarkStart w:id="89" w:name="_Toc2336335"/>
      <w:bookmarkStart w:id="90" w:name="_Toc2348755"/>
      <w:r w:rsidRPr="00D63223">
        <w:t>Further information</w:t>
      </w:r>
      <w:bookmarkEnd w:id="86"/>
      <w:bookmarkEnd w:id="87"/>
      <w:bookmarkEnd w:id="88"/>
      <w:bookmarkEnd w:id="89"/>
      <w:bookmarkEnd w:id="90"/>
    </w:p>
    <w:p w14:paraId="2CDAB9A2" w14:textId="77777777" w:rsidR="008468F5" w:rsidRDefault="008468F5" w:rsidP="008468F5">
      <w:pPr>
        <w:rPr>
          <w:rFonts w:cs="Tahoma"/>
        </w:rPr>
      </w:pPr>
      <w:r w:rsidRPr="00D63223">
        <w:rPr>
          <w:rFonts w:cs="Tahoma"/>
        </w:rPr>
        <w:t>Ofsted publishes information on the inspection of early years p</w:t>
      </w:r>
      <w:r>
        <w:rPr>
          <w:rFonts w:cs="Tahoma"/>
        </w:rPr>
        <w:t xml:space="preserve">roviders on the gov.uk website: </w:t>
      </w:r>
    </w:p>
    <w:p w14:paraId="5E103B8A" w14:textId="77777777" w:rsidR="008468F5" w:rsidRDefault="008468F5" w:rsidP="008468F5">
      <w:pPr>
        <w:rPr>
          <w:rFonts w:cs="Tahoma"/>
        </w:rPr>
      </w:pPr>
    </w:p>
    <w:p w14:paraId="2FC9061C" w14:textId="77777777" w:rsidR="008468F5" w:rsidRDefault="002A7C1C" w:rsidP="008468F5">
      <w:pPr>
        <w:rPr>
          <w:rFonts w:cs="Tahoma"/>
        </w:rPr>
      </w:pPr>
      <w:hyperlink r:id="rId33" w:history="1">
        <w:r w:rsidR="008468F5" w:rsidRPr="00661C1E">
          <w:rPr>
            <w:rStyle w:val="Hyperlink"/>
            <w:rFonts w:cs="Tahoma"/>
          </w:rPr>
          <w:t>www.gov.uk/government/collections/early-years-and-childcare-statistics</w:t>
        </w:r>
      </w:hyperlink>
    </w:p>
    <w:p w14:paraId="4DFC2601" w14:textId="77777777" w:rsidR="008468F5" w:rsidRDefault="008468F5" w:rsidP="008468F5">
      <w:pPr>
        <w:rPr>
          <w:rFonts w:cs="Tahoma"/>
        </w:rPr>
      </w:pPr>
    </w:p>
    <w:p w14:paraId="5D4AD94A" w14:textId="77777777" w:rsidR="008468F5" w:rsidRDefault="002A7C1C" w:rsidP="008468F5">
      <w:pPr>
        <w:rPr>
          <w:rFonts w:cs="Tahoma"/>
        </w:rPr>
      </w:pPr>
      <w:hyperlink r:id="rId34" w:history="1">
        <w:r w:rsidR="008468F5" w:rsidRPr="00661C1E">
          <w:rPr>
            <w:rStyle w:val="Hyperlink"/>
            <w:rFonts w:cs="Tahoma"/>
          </w:rPr>
          <w:t>www.gov.uk/government/publications/common-inspection-framework-education-skills-and-early-years-from-september-2015</w:t>
        </w:r>
      </w:hyperlink>
    </w:p>
    <w:p w14:paraId="1B7EDF6D" w14:textId="77777777" w:rsidR="008468F5" w:rsidRDefault="008468F5" w:rsidP="008468F5">
      <w:pPr>
        <w:rPr>
          <w:rFonts w:cs="Tahoma"/>
        </w:rPr>
      </w:pPr>
    </w:p>
    <w:p w14:paraId="6D4E0F85" w14:textId="77777777" w:rsidR="008468F5" w:rsidRDefault="002A7C1C" w:rsidP="008468F5">
      <w:pPr>
        <w:rPr>
          <w:rFonts w:cs="Tahoma"/>
        </w:rPr>
      </w:pPr>
      <w:hyperlink r:id="rId35" w:history="1">
        <w:r w:rsidR="008468F5" w:rsidRPr="00661C1E">
          <w:rPr>
            <w:rStyle w:val="Hyperlink"/>
            <w:rFonts w:cs="Tahoma"/>
          </w:rPr>
          <w:t>www.gov.uk/government/publications/framework-for-the-regulation-of-provision-on-the-childcare-register</w:t>
        </w:r>
      </w:hyperlink>
      <w:r w:rsidR="008468F5">
        <w:rPr>
          <w:rFonts w:cs="Tahoma"/>
        </w:rPr>
        <w:t>.</w:t>
      </w:r>
    </w:p>
    <w:p w14:paraId="66B640A0" w14:textId="77777777" w:rsidR="008468F5" w:rsidRDefault="008468F5" w:rsidP="008468F5">
      <w:pPr>
        <w:rPr>
          <w:rFonts w:cs="Tahoma"/>
        </w:rPr>
      </w:pPr>
    </w:p>
    <w:p w14:paraId="6181B94C" w14:textId="77777777" w:rsidR="008468F5" w:rsidRPr="00D63223" w:rsidRDefault="008468F5" w:rsidP="008468F5">
      <w:pPr>
        <w:rPr>
          <w:b/>
        </w:rPr>
      </w:pPr>
      <w:bookmarkStart w:id="91" w:name="_Toc476064994"/>
      <w:r w:rsidRPr="00D63223">
        <w:rPr>
          <w:b/>
        </w:rPr>
        <w:t>Contact for comments or feedback</w:t>
      </w:r>
      <w:bookmarkEnd w:id="91"/>
    </w:p>
    <w:p w14:paraId="48AE8255" w14:textId="77777777" w:rsidR="008468F5" w:rsidRDefault="008468F5" w:rsidP="008468F5">
      <w:r w:rsidRPr="00D63223">
        <w:rPr>
          <w:rFonts w:cs="Tahoma"/>
        </w:rPr>
        <w:t xml:space="preserve">If you have any comments or feedback on this publication, please contact </w:t>
      </w:r>
      <w:r>
        <w:rPr>
          <w:rFonts w:cs="Tahoma"/>
        </w:rPr>
        <w:t>Anita Patel on 03000 130 9</w:t>
      </w:r>
      <w:r w:rsidRPr="00D63223">
        <w:rPr>
          <w:rFonts w:cs="Tahoma"/>
        </w:rPr>
        <w:t>1</w:t>
      </w:r>
      <w:r>
        <w:rPr>
          <w:rFonts w:cs="Tahoma"/>
        </w:rPr>
        <w:t>4</w:t>
      </w:r>
      <w:r w:rsidRPr="00D63223">
        <w:rPr>
          <w:rFonts w:cs="Tahoma"/>
        </w:rPr>
        <w:t xml:space="preserve"> or </w:t>
      </w:r>
      <w:hyperlink r:id="rId36" w:history="1">
        <w:r w:rsidRPr="00003F1B">
          <w:rPr>
            <w:rStyle w:val="Hyperlink"/>
          </w:rPr>
          <w:t>Anita.Patel@ofsted.gov.uk</w:t>
        </w:r>
      </w:hyperlink>
      <w:r>
        <w:t>.</w:t>
      </w:r>
      <w:r w:rsidRPr="00D63223">
        <w:t xml:space="preserve"> </w:t>
      </w:r>
    </w:p>
    <w:p w14:paraId="5B7FEB02" w14:textId="3807FA21" w:rsidR="00B05A0C" w:rsidRDefault="00B05A0C" w:rsidP="008468F5"/>
    <w:p w14:paraId="69CADC08" w14:textId="77777777" w:rsidR="008468F5" w:rsidRPr="008468F5" w:rsidRDefault="008468F5" w:rsidP="008468F5">
      <w:pPr>
        <w:rPr>
          <w:lang w:eastAsia="en-GB"/>
        </w:rPr>
      </w:pPr>
    </w:p>
    <w:p w14:paraId="266800FD" w14:textId="77777777" w:rsidR="00F060A9" w:rsidRPr="00744F53" w:rsidRDefault="00EC245E" w:rsidP="007A0598">
      <w:pPr>
        <w:rPr>
          <w:color w:val="FF0000"/>
        </w:rPr>
      </w:pPr>
      <w:r>
        <w:br w:type="page"/>
      </w:r>
      <w:r w:rsidR="004A184C" w:rsidRPr="00635588">
        <w:lastRenderedPageBreak/>
        <w:t xml:space="preserve"> </w:t>
      </w:r>
    </w:p>
    <w:p w14:paraId="7EFABAD4" w14:textId="39D93DA9" w:rsidR="00F060A9" w:rsidRDefault="00342B39" w:rsidP="00F060A9">
      <w:pPr>
        <w:pStyle w:val="Copyright"/>
        <w:spacing w:after="480" w:line="240" w:lineRule="auto"/>
        <w:rPr>
          <w:color w:val="auto"/>
        </w:rPr>
      </w:pPr>
      <w:r w:rsidRPr="00DE6820">
        <w:rPr>
          <w:noProof/>
          <w:lang w:eastAsia="en-GB"/>
        </w:rPr>
        <w:drawing>
          <wp:inline distT="0" distB="0" distL="0" distR="0" wp14:anchorId="13C6D3AB" wp14:editId="40272C3F">
            <wp:extent cx="1297305" cy="648335"/>
            <wp:effectExtent l="0" t="0" r="0" b="0"/>
            <wp:docPr id="6"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7305" cy="648335"/>
                    </a:xfrm>
                    <a:prstGeom prst="rect">
                      <a:avLst/>
                    </a:prstGeom>
                    <a:noFill/>
                    <a:ln>
                      <a:noFill/>
                    </a:ln>
                  </pic:spPr>
                </pic:pic>
              </a:graphicData>
            </a:graphic>
          </wp:inline>
        </w:drawing>
      </w:r>
    </w:p>
    <w:p w14:paraId="73DE5DCF"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34C1C5B6"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38" w:history="1">
        <w:r w:rsidRPr="003047C8">
          <w:rPr>
            <w:rStyle w:val="Hyperlink"/>
          </w:rPr>
          <w:t>enquiries@ofsted.gov.uk</w:t>
        </w:r>
      </w:hyperlink>
      <w:r w:rsidRPr="00595204">
        <w:rPr>
          <w:color w:val="auto"/>
        </w:rPr>
        <w:t>.</w:t>
      </w:r>
    </w:p>
    <w:p w14:paraId="08CAA6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39"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40" w:history="1">
        <w:r w:rsidRPr="003047C8">
          <w:rPr>
            <w:rStyle w:val="Hyperlink"/>
          </w:rPr>
          <w:t>psi@nationalarchives.gsi.gov.uk</w:t>
        </w:r>
      </w:hyperlink>
      <w:r w:rsidRPr="00595204">
        <w:rPr>
          <w:color w:val="auto"/>
        </w:rPr>
        <w:t>.</w:t>
      </w:r>
    </w:p>
    <w:p w14:paraId="61558B4C"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41" w:tooltip="Link to the Ofsted page on gov.uk. This opens in a new webpage" w:history="1">
        <w:r w:rsidRPr="003047C8">
          <w:rPr>
            <w:rStyle w:val="Hyperlink"/>
          </w:rPr>
          <w:t>www.gov.uk/government/organisations/ofsted</w:t>
        </w:r>
      </w:hyperlink>
      <w:r w:rsidRPr="00595204">
        <w:rPr>
          <w:color w:val="auto"/>
        </w:rPr>
        <w:t>.</w:t>
      </w:r>
    </w:p>
    <w:p w14:paraId="29CDCDFC"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42" w:tooltip="Link to subscribe to Ofsted's monthly newsletter. This opens in a new webpage" w:history="1">
        <w:r w:rsidRPr="003047C8">
          <w:rPr>
            <w:rStyle w:val="Hyperlink"/>
          </w:rPr>
          <w:t>http://eepurl.com/iTrDn</w:t>
        </w:r>
      </w:hyperlink>
      <w:r w:rsidRPr="00595204">
        <w:rPr>
          <w:color w:val="auto"/>
        </w:rPr>
        <w:t xml:space="preserve">. </w:t>
      </w:r>
    </w:p>
    <w:p w14:paraId="5763FB30" w14:textId="77777777" w:rsidR="00F060A9" w:rsidRDefault="00F060A9" w:rsidP="00F060A9">
      <w:pPr>
        <w:pStyle w:val="Copyright"/>
        <w:spacing w:after="0"/>
        <w:ind w:right="1701"/>
        <w:rPr>
          <w:color w:val="auto"/>
        </w:rPr>
      </w:pPr>
    </w:p>
    <w:p w14:paraId="31A83495" w14:textId="77777777" w:rsidR="00F060A9" w:rsidRDefault="00F060A9" w:rsidP="00F060A9">
      <w:pPr>
        <w:pStyle w:val="Copyright"/>
        <w:spacing w:after="0"/>
        <w:ind w:right="1701"/>
      </w:pPr>
      <w:r w:rsidRPr="00D34558">
        <w:t>Piccadilly Gate</w:t>
      </w:r>
    </w:p>
    <w:p w14:paraId="1CF6114C" w14:textId="77777777" w:rsidR="00F060A9" w:rsidRDefault="00F060A9" w:rsidP="00F060A9">
      <w:pPr>
        <w:pStyle w:val="Copyright"/>
        <w:spacing w:after="0"/>
        <w:ind w:right="1701"/>
      </w:pPr>
      <w:r>
        <w:t>Store Street</w:t>
      </w:r>
    </w:p>
    <w:p w14:paraId="270249EE" w14:textId="77777777" w:rsidR="00F060A9" w:rsidRDefault="00F060A9" w:rsidP="00F060A9">
      <w:pPr>
        <w:pStyle w:val="Copyright"/>
        <w:spacing w:after="0"/>
        <w:ind w:right="1701"/>
      </w:pPr>
      <w:r w:rsidRPr="00D34558">
        <w:t>Manchester</w:t>
      </w:r>
    </w:p>
    <w:p w14:paraId="1DDB0794" w14:textId="77777777" w:rsidR="00F060A9" w:rsidRPr="00D34558" w:rsidRDefault="00F060A9" w:rsidP="00F060A9">
      <w:pPr>
        <w:pStyle w:val="Copyright"/>
        <w:spacing w:after="0"/>
        <w:ind w:right="1701"/>
      </w:pPr>
      <w:r w:rsidRPr="00D34558">
        <w:t>M1 2WD</w:t>
      </w:r>
    </w:p>
    <w:p w14:paraId="76BE839E" w14:textId="77777777" w:rsidR="00F060A9" w:rsidRPr="00AF7EB5" w:rsidRDefault="00F060A9" w:rsidP="00F060A9">
      <w:pPr>
        <w:pStyle w:val="Copyright"/>
        <w:spacing w:after="0"/>
        <w:ind w:right="1701"/>
      </w:pPr>
    </w:p>
    <w:p w14:paraId="05CC2FD9"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05545D98" w14:textId="77777777" w:rsidR="00F060A9" w:rsidRDefault="00F060A9" w:rsidP="00F060A9">
      <w:pPr>
        <w:pStyle w:val="Copyright"/>
        <w:spacing w:after="0"/>
        <w:ind w:right="1701"/>
      </w:pPr>
      <w:r>
        <w:t>Textphone: 0161 618 8524</w:t>
      </w:r>
    </w:p>
    <w:p w14:paraId="109747D2" w14:textId="02AA1510" w:rsidR="00F060A9" w:rsidRPr="00512378" w:rsidRDefault="00F060A9" w:rsidP="00F060A9">
      <w:pPr>
        <w:pStyle w:val="Copyright"/>
        <w:spacing w:after="0"/>
        <w:ind w:right="1701"/>
      </w:pPr>
      <w:r>
        <w:t xml:space="preserve">E: </w:t>
      </w:r>
      <w:hyperlink r:id="rId43" w:history="1">
        <w:r w:rsidR="00250B72">
          <w:rPr>
            <w:rStyle w:val="Hyperlink"/>
          </w:rPr>
          <w:t>enquiries@ofsted.gov.uk</w:t>
        </w:r>
      </w:hyperlink>
    </w:p>
    <w:p w14:paraId="16AAEE3A" w14:textId="77777777" w:rsidR="00F060A9" w:rsidRPr="00512378" w:rsidRDefault="00F060A9" w:rsidP="00F060A9">
      <w:pPr>
        <w:pStyle w:val="Copyright"/>
        <w:ind w:right="1701"/>
      </w:pPr>
      <w:r w:rsidRPr="00512378">
        <w:t>W:</w:t>
      </w:r>
      <w:r w:rsidRPr="009C0EC6">
        <w:t xml:space="preserve"> </w:t>
      </w:r>
      <w:hyperlink r:id="rId44" w:tooltip="Ofsted page on gov.uk. This opens in a new webpage" w:history="1">
        <w:r w:rsidRPr="003047C8">
          <w:rPr>
            <w:rStyle w:val="Hyperlink"/>
          </w:rPr>
          <w:t>www.gov.uk/ofsted</w:t>
        </w:r>
      </w:hyperlink>
      <w:r>
        <w:t xml:space="preserve"> </w:t>
      </w:r>
    </w:p>
    <w:p w14:paraId="3681DD9E" w14:textId="77777777" w:rsidR="00F060A9" w:rsidRPr="009C44C9" w:rsidRDefault="00F060A9" w:rsidP="00F060A9">
      <w:pPr>
        <w:pStyle w:val="Copyright"/>
        <w:ind w:right="1701"/>
      </w:pPr>
    </w:p>
    <w:p w14:paraId="2F1FD93B" w14:textId="0625FAE5" w:rsidR="00F060A9" w:rsidRDefault="003F1AB3" w:rsidP="00F060A9">
      <w:pPr>
        <w:pStyle w:val="Copyright"/>
        <w:spacing w:before="240"/>
        <w:ind w:right="1701"/>
      </w:pPr>
      <w:r>
        <w:t>© Crown copyright 201</w:t>
      </w:r>
      <w:r w:rsidR="008A15C3">
        <w:t>9</w:t>
      </w:r>
    </w:p>
    <w:p w14:paraId="73DD764F" w14:textId="77777777" w:rsidR="000B0459" w:rsidRPr="000B0459" w:rsidRDefault="000B0459" w:rsidP="004E0E33"/>
    <w:sectPr w:rsidR="000B0459" w:rsidRPr="000B0459" w:rsidSect="00007559">
      <w:headerReference w:type="even" r:id="rId45"/>
      <w:headerReference w:type="default" r:id="rId46"/>
      <w:footerReference w:type="even" r:id="rId47"/>
      <w:footerReference w:type="default" r:id="rId48"/>
      <w:headerReference w:type="first" r:id="rId49"/>
      <w:footerReference w:type="first" r:id="rId50"/>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C9B5" w14:textId="77777777" w:rsidR="00DC3F86" w:rsidRDefault="00DC3F86">
      <w:pPr>
        <w:pStyle w:val="Tabletext-left"/>
      </w:pPr>
      <w:r>
        <w:separator/>
      </w:r>
    </w:p>
    <w:p w14:paraId="7206D7DA" w14:textId="77777777" w:rsidR="00DC3F86" w:rsidRDefault="00DC3F86"/>
    <w:p w14:paraId="0B93C1C1" w14:textId="77777777" w:rsidR="00DC3F86" w:rsidRDefault="00DC3F86"/>
  </w:endnote>
  <w:endnote w:type="continuationSeparator" w:id="0">
    <w:p w14:paraId="5563DB9C" w14:textId="77777777" w:rsidR="00DC3F86" w:rsidRDefault="00DC3F86">
      <w:pPr>
        <w:pStyle w:val="Tabletext-left"/>
      </w:pPr>
      <w:r>
        <w:continuationSeparator/>
      </w:r>
    </w:p>
    <w:p w14:paraId="72ECC8E9" w14:textId="77777777" w:rsidR="00DC3F86" w:rsidRDefault="00DC3F86"/>
    <w:p w14:paraId="00E4794D" w14:textId="77777777" w:rsidR="00DC3F86" w:rsidRDefault="00DC3F86"/>
  </w:endnote>
  <w:endnote w:type="continuationNotice" w:id="1">
    <w:p w14:paraId="32D7C148" w14:textId="77777777" w:rsidR="00DC3F86" w:rsidRDefault="00D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9A63" w14:textId="77777777" w:rsidR="009220C2" w:rsidRDefault="009220C2"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F2C7E">
      <w:rPr>
        <w:rStyle w:val="PageNumber"/>
        <w:b w:val="0"/>
        <w:noProof/>
      </w:rPr>
      <w:t>2</w:t>
    </w:r>
    <w:r>
      <w:rPr>
        <w:rStyle w:val="PageNumber"/>
        <w:b w:val="0"/>
      </w:rPr>
      <w:fldChar w:fldCharType="end"/>
    </w:r>
  </w:p>
  <w:p w14:paraId="11FFA182" w14:textId="77777777" w:rsidR="009220C2" w:rsidRDefault="009220C2" w:rsidP="005E5431">
    <w:pPr>
      <w:pStyle w:val="Footer-LHSEven"/>
      <w:tabs>
        <w:tab w:val="left" w:pos="720"/>
      </w:tabs>
      <w:jc w:val="right"/>
    </w:pPr>
    <w:r>
      <w:tab/>
    </w:r>
    <w:r>
      <w:tab/>
      <w:t>Document title goes here</w:t>
    </w:r>
  </w:p>
  <w:p w14:paraId="16E3AE07" w14:textId="77777777" w:rsidR="009220C2" w:rsidRDefault="009220C2"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13D0" w14:textId="5B192028" w:rsidR="009220C2" w:rsidRDefault="009220C2" w:rsidP="0073785B">
    <w:pPr>
      <w:pStyle w:val="Header"/>
      <w:framePr w:h="550" w:hRule="exact" w:wrap="notBeside"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A15C3">
      <w:rPr>
        <w:rStyle w:val="PageNumber"/>
        <w:b w:val="0"/>
        <w:noProof/>
      </w:rPr>
      <w:t>18</w:t>
    </w:r>
    <w:r>
      <w:rPr>
        <w:rStyle w:val="PageNumber"/>
        <w:b w:val="0"/>
      </w:rPr>
      <w:fldChar w:fldCharType="end"/>
    </w:r>
  </w:p>
  <w:p w14:paraId="025DEC68" w14:textId="08CBA038" w:rsidR="009220C2" w:rsidRDefault="009220C2" w:rsidP="00D55615">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 xml:space="preserve">Published on: </w:t>
    </w:r>
    <w:r w:rsidR="0098777F">
      <w:t>18 June</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3829" w14:textId="06CE4922" w:rsidR="009220C2" w:rsidRDefault="009220C2" w:rsidP="00321B7B">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 xml:space="preserve">Published on: </w:t>
    </w:r>
    <w:r w:rsidR="0098777F">
      <w:t xml:space="preserve">18 June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512B" w14:textId="77777777" w:rsidR="00DC3F86" w:rsidRDefault="00DC3F86">
      <w:pPr>
        <w:pStyle w:val="Tabletext-left"/>
      </w:pPr>
      <w:r>
        <w:separator/>
      </w:r>
    </w:p>
  </w:footnote>
  <w:footnote w:type="continuationSeparator" w:id="0">
    <w:p w14:paraId="235FEDCF" w14:textId="77777777" w:rsidR="00DC3F86" w:rsidRDefault="00DC3F86">
      <w:pPr>
        <w:pStyle w:val="Tabletext-left"/>
      </w:pPr>
      <w:r>
        <w:continuationSeparator/>
      </w:r>
    </w:p>
    <w:p w14:paraId="3232D473" w14:textId="77777777" w:rsidR="00DC3F86" w:rsidRDefault="00DC3F86"/>
    <w:p w14:paraId="630D06BC" w14:textId="77777777" w:rsidR="00DC3F86" w:rsidRDefault="00DC3F86"/>
  </w:footnote>
  <w:footnote w:type="continuationNotice" w:id="1">
    <w:p w14:paraId="6C99137B" w14:textId="77777777" w:rsidR="00DC3F86" w:rsidRDefault="00DC3F86"/>
  </w:footnote>
  <w:footnote w:id="2">
    <w:p w14:paraId="34BDADAE" w14:textId="77777777" w:rsidR="009C7F7C" w:rsidRDefault="009C7F7C" w:rsidP="009C7F7C">
      <w:pPr>
        <w:pStyle w:val="FootnoteText"/>
      </w:pPr>
      <w:r>
        <w:rPr>
          <w:rStyle w:val="FootnoteReference"/>
        </w:rPr>
        <w:footnoteRef/>
      </w:r>
      <w:r>
        <w:t xml:space="preserve"> Numbers are rounded to the nearest 100.</w:t>
      </w:r>
    </w:p>
  </w:footnote>
  <w:footnote w:id="3">
    <w:p w14:paraId="6C4074A2" w14:textId="3DDF2738" w:rsidR="00CA511D" w:rsidRDefault="00CA511D">
      <w:pPr>
        <w:pStyle w:val="FootnoteText"/>
      </w:pPr>
      <w:r>
        <w:rPr>
          <w:rStyle w:val="FootnoteReference"/>
        </w:rPr>
        <w:footnoteRef/>
      </w:r>
      <w:r>
        <w:t xml:space="preserve"> </w:t>
      </w:r>
      <w:r w:rsidR="00290B33">
        <w:t xml:space="preserve">Ofsted’s common inspection framework (CIF) was introduced on 1 September 2015. </w:t>
      </w:r>
      <w:r w:rsidR="000E7BD1">
        <w:t xml:space="preserve">Comparisons for data </w:t>
      </w:r>
      <w:r w:rsidR="007D2251">
        <w:t xml:space="preserve">going </w:t>
      </w:r>
      <w:r w:rsidR="00647401">
        <w:t xml:space="preserve">back to </w:t>
      </w:r>
      <w:r w:rsidR="002B57AF">
        <w:t xml:space="preserve">31 </w:t>
      </w:r>
      <w:r w:rsidR="00647401">
        <w:t>August 2012 can be found i</w:t>
      </w:r>
      <w:r w:rsidR="00515706">
        <w:t xml:space="preserve">n </w:t>
      </w:r>
      <w:r w:rsidR="001E2953">
        <w:t xml:space="preserve">our </w:t>
      </w:r>
      <w:r w:rsidR="008147A0">
        <w:t xml:space="preserve">release for </w:t>
      </w:r>
      <w:r w:rsidR="001E2953">
        <w:t>childcare</w:t>
      </w:r>
      <w:r w:rsidR="00574FBC">
        <w:t xml:space="preserve"> providers and inspections as at 31 August 2018</w:t>
      </w:r>
      <w:r w:rsidR="008147A0">
        <w:t xml:space="preserve"> (</w:t>
      </w:r>
      <w:hyperlink r:id="rId1" w:history="1">
        <w:r w:rsidR="008147A0" w:rsidRPr="008147A0">
          <w:rPr>
            <w:rStyle w:val="Hyperlink"/>
          </w:rPr>
          <w:t>www.gov.uk/government/statistics/childcare-providers-and-inspections-as-at-31-august-2018</w:t>
        </w:r>
      </w:hyperlink>
      <w:r w:rsidR="008147A0">
        <w:t>)</w:t>
      </w:r>
      <w:r w:rsidR="00437196">
        <w:t xml:space="preserve"> and releases prior to this.</w:t>
      </w:r>
    </w:p>
  </w:footnote>
  <w:footnote w:id="4">
    <w:p w14:paraId="395ABB80" w14:textId="7ECFEA95" w:rsidR="003D6AA9" w:rsidRDefault="003D6AA9">
      <w:pPr>
        <w:pStyle w:val="FootnoteText"/>
      </w:pPr>
      <w:r>
        <w:rPr>
          <w:rStyle w:val="FootnoteReference"/>
        </w:rPr>
        <w:footnoteRef/>
      </w:r>
      <w:r>
        <w:t xml:space="preserve"> Numbers are rounded to the nearest 100.</w:t>
      </w:r>
      <w:r w:rsidR="00A05323">
        <w:t xml:space="preserve"> </w:t>
      </w:r>
      <w:r w:rsidR="00027933">
        <w:t xml:space="preserve">Most leavers </w:t>
      </w:r>
      <w:r w:rsidR="00747FE8">
        <w:t>are provider</w:t>
      </w:r>
      <w:r w:rsidR="00027933">
        <w:t xml:space="preserve"> resignations and most joiner</w:t>
      </w:r>
      <w:r w:rsidR="00A85765">
        <w:t xml:space="preserve">s </w:t>
      </w:r>
      <w:r w:rsidR="00747FE8">
        <w:t>are</w:t>
      </w:r>
      <w:r w:rsidR="00A85765">
        <w:t xml:space="preserve"> new </w:t>
      </w:r>
      <w:r w:rsidR="00747FE8">
        <w:t xml:space="preserve">provider </w:t>
      </w:r>
      <w:r w:rsidR="00A85765">
        <w:t>registrations but some will be providers moving between the early years and the childcare register</w:t>
      </w:r>
      <w:r w:rsidR="00E00BC0">
        <w:t>.</w:t>
      </w:r>
    </w:p>
  </w:footnote>
  <w:footnote w:id="5">
    <w:p w14:paraId="4573DF29" w14:textId="77777777" w:rsidR="009220C2" w:rsidRDefault="009220C2" w:rsidP="0044263C">
      <w:pPr>
        <w:pStyle w:val="FootnoteText"/>
      </w:pPr>
      <w:r w:rsidRPr="001F7F06">
        <w:rPr>
          <w:rStyle w:val="FootnoteReference"/>
        </w:rPr>
        <w:footnoteRef/>
      </w:r>
      <w:r w:rsidRPr="001F7F06">
        <w:t xml:space="preserve"> </w:t>
      </w:r>
      <w:r>
        <w:t>Places numbers of less than one million are rounded to the nearest hundred. Places numbers of more than one million are rounded to the nearest 100,000.</w:t>
      </w:r>
    </w:p>
  </w:footnote>
  <w:footnote w:id="6">
    <w:p w14:paraId="6CE97B23" w14:textId="0E1450F9" w:rsidR="00321256" w:rsidRDefault="00321256">
      <w:pPr>
        <w:pStyle w:val="FootnoteText"/>
      </w:pPr>
      <w:r>
        <w:rPr>
          <w:rStyle w:val="FootnoteReference"/>
        </w:rPr>
        <w:footnoteRef/>
      </w:r>
      <w:r>
        <w:t xml:space="preserve"> For childminders, the maximum number of </w:t>
      </w:r>
      <w:r w:rsidR="00077930">
        <w:t xml:space="preserve">places they can offer if they do not have </w:t>
      </w:r>
      <w:r w:rsidR="00C23A84">
        <w:t>assistants</w:t>
      </w:r>
      <w:r w:rsidR="00077930">
        <w:t xml:space="preserve"> is six. All childminders </w:t>
      </w:r>
      <w:r w:rsidR="00D37A9B">
        <w:t>are recorded as offering six places at registration.</w:t>
      </w:r>
      <w:r>
        <w:t xml:space="preserve"> </w:t>
      </w:r>
    </w:p>
  </w:footnote>
  <w:footnote w:id="7">
    <w:p w14:paraId="76146557" w14:textId="789B1F06" w:rsidR="009220C2" w:rsidRDefault="009220C2">
      <w:pPr>
        <w:pStyle w:val="FootnoteText"/>
      </w:pPr>
      <w:r>
        <w:rPr>
          <w:rStyle w:val="FootnoteReference"/>
        </w:rPr>
        <w:footnoteRef/>
      </w:r>
      <w:r>
        <w:t xml:space="preserve"> </w:t>
      </w:r>
      <w:r>
        <w:rPr>
          <w:lang w:eastAsia="en-GB"/>
        </w:rPr>
        <w:t>A small proportion of providers may have received a No Children on Roll inspection. These are excluded from the total number of providers on the EYR who have received an inspection.</w:t>
      </w:r>
    </w:p>
  </w:footnote>
  <w:footnote w:id="8">
    <w:p w14:paraId="3FA85D0C" w14:textId="77777777" w:rsidR="009220C2" w:rsidRDefault="009220C2" w:rsidP="00437775">
      <w:pPr>
        <w:pStyle w:val="FootnoteText"/>
      </w:pPr>
      <w:r>
        <w:rPr>
          <w:rStyle w:val="FootnoteReference"/>
        </w:rPr>
        <w:footnoteRef/>
      </w:r>
      <w:r>
        <w:t xml:space="preserve"> Percentages may not sum due to rounding.</w:t>
      </w:r>
    </w:p>
  </w:footnote>
  <w:footnote w:id="9">
    <w:p w14:paraId="39066515" w14:textId="77777777" w:rsidR="009220C2" w:rsidRDefault="009220C2" w:rsidP="004376CA">
      <w:pPr>
        <w:pStyle w:val="FootnoteText"/>
      </w:pPr>
      <w:r>
        <w:rPr>
          <w:rStyle w:val="FootnoteReference"/>
        </w:rPr>
        <w:footnoteRef/>
      </w:r>
      <w:r>
        <w:t xml:space="preserve"> Announcement of update in early years inspection policy from Her Majesty’s Chief Inspector (August 2013): </w:t>
      </w:r>
      <w:hyperlink r:id="rId2" w:history="1">
        <w:r w:rsidRPr="007B7669">
          <w:rPr>
            <w:rStyle w:val="Hyperlink"/>
          </w:rPr>
          <w:t>https://www.gov.uk/government/news/ofsted-calls-for-swift-improvement-in-pre-schools-and-nurseries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509A" w14:textId="71102D02" w:rsidR="009220C2" w:rsidRDefault="009220C2"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1E8D5B3C" wp14:editId="5AF12B1F">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06B4" w14:textId="77777777" w:rsidR="009220C2" w:rsidRDefault="00922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6DAE" w14:textId="1BCAD991" w:rsidR="009220C2" w:rsidRDefault="009220C2" w:rsidP="00F67AA1">
    <w:pPr>
      <w:pStyle w:val="Heading3"/>
    </w:pPr>
    <w:r>
      <w:rPr>
        <w:noProof/>
      </w:rPr>
      <w:drawing>
        <wp:anchor distT="0" distB="0" distL="114300" distR="114300" simplePos="0" relativeHeight="251658240" behindDoc="1" locked="1" layoutInCell="0" allowOverlap="0" wp14:anchorId="2FF1BD20" wp14:editId="371AD785">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p w14:paraId="1BDD97A9" w14:textId="77777777" w:rsidR="009220C2" w:rsidRDefault="009220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34BF" w14:textId="29F9F346" w:rsidR="009220C2" w:rsidRDefault="009220C2" w:rsidP="00F67AA1">
    <w:pPr>
      <w:pStyle w:val="Heading3"/>
    </w:pPr>
    <w:r>
      <w:rPr>
        <w:noProof/>
      </w:rPr>
      <w:drawing>
        <wp:anchor distT="0" distB="0" distL="114300" distR="114300" simplePos="0" relativeHeight="251658242" behindDoc="1" locked="0" layoutInCell="1" allowOverlap="1" wp14:anchorId="67F15488" wp14:editId="2ED35DC3">
          <wp:simplePos x="0" y="0"/>
          <wp:positionH relativeFrom="page">
            <wp:posOffset>5832475</wp:posOffset>
          </wp:positionH>
          <wp:positionV relativeFrom="page">
            <wp:posOffset>280670</wp:posOffset>
          </wp:positionV>
          <wp:extent cx="1295400" cy="1098550"/>
          <wp:effectExtent l="0" t="0" r="0" b="6350"/>
          <wp:wrapNone/>
          <wp:docPr id="68" name="Picture 6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0D9"/>
    <w:multiLevelType w:val="hybridMultilevel"/>
    <w:tmpl w:val="DAE2CE6C"/>
    <w:lvl w:ilvl="0" w:tplc="08090005">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53C0B94"/>
    <w:multiLevelType w:val="hybridMultilevel"/>
    <w:tmpl w:val="51D85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133E2"/>
    <w:multiLevelType w:val="hybridMultilevel"/>
    <w:tmpl w:val="0D9EB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8336C7"/>
    <w:multiLevelType w:val="hybridMultilevel"/>
    <w:tmpl w:val="60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10623"/>
    <w:multiLevelType w:val="hybridMultilevel"/>
    <w:tmpl w:val="524A386E"/>
    <w:lvl w:ilvl="0" w:tplc="878A384E">
      <w:start w:val="1"/>
      <w:numFmt w:val="bullet"/>
      <w:lvlText w:val=""/>
      <w:lvlJc w:val="left"/>
      <w:pPr>
        <w:ind w:left="0" w:firstLine="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F1D59AA"/>
    <w:multiLevelType w:val="hybridMultilevel"/>
    <w:tmpl w:val="3FE46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B402FF"/>
    <w:multiLevelType w:val="hybridMultilevel"/>
    <w:tmpl w:val="2BDA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11FD1"/>
    <w:multiLevelType w:val="hybridMultilevel"/>
    <w:tmpl w:val="FCC01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B0B2FF9"/>
    <w:multiLevelType w:val="hybridMultilevel"/>
    <w:tmpl w:val="7BCCC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22DE0"/>
    <w:multiLevelType w:val="hybridMultilevel"/>
    <w:tmpl w:val="B060C704"/>
    <w:lvl w:ilvl="0" w:tplc="08090005">
      <w:start w:val="1"/>
      <w:numFmt w:val="bullet"/>
      <w:lvlText w:val=""/>
      <w:lvlJc w:val="left"/>
      <w:pPr>
        <w:ind w:left="1434" w:hanging="360"/>
      </w:pPr>
      <w:rPr>
        <w:rFonts w:ascii="Wingdings" w:hAnsi="Wingdings"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8"/>
  </w:num>
  <w:num w:numId="2">
    <w:abstractNumId w:val="4"/>
  </w:num>
  <w:num w:numId="3">
    <w:abstractNumId w:val="10"/>
  </w:num>
  <w:num w:numId="4">
    <w:abstractNumId w:val="15"/>
  </w:num>
  <w:num w:numId="5">
    <w:abstractNumId w:val="3"/>
  </w:num>
  <w:num w:numId="6">
    <w:abstractNumId w:val="6"/>
  </w:num>
  <w:num w:numId="7">
    <w:abstractNumId w:val="2"/>
  </w:num>
  <w:num w:numId="8">
    <w:abstractNumId w:val="13"/>
  </w:num>
  <w:num w:numId="9">
    <w:abstractNumId w:val="12"/>
  </w:num>
  <w:num w:numId="10">
    <w:abstractNumId w:val="7"/>
  </w:num>
  <w:num w:numId="11">
    <w:abstractNumId w:val="5"/>
  </w:num>
  <w:num w:numId="12">
    <w:abstractNumId w:val="17"/>
  </w:num>
  <w:num w:numId="13">
    <w:abstractNumId w:val="0"/>
  </w:num>
  <w:num w:numId="14">
    <w:abstractNumId w:val="9"/>
  </w:num>
  <w:num w:numId="15">
    <w:abstractNumId w:val="1"/>
  </w:num>
  <w:num w:numId="16">
    <w:abstractNumId w:val="14"/>
  </w:num>
  <w:num w:numId="17">
    <w:abstractNumId w:val="11"/>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23AA"/>
    <w:rsid w:val="000036F4"/>
    <w:rsid w:val="0000389B"/>
    <w:rsid w:val="00003BA9"/>
    <w:rsid w:val="000047DE"/>
    <w:rsid w:val="00006BF5"/>
    <w:rsid w:val="000070D2"/>
    <w:rsid w:val="000071CD"/>
    <w:rsid w:val="00007461"/>
    <w:rsid w:val="00007559"/>
    <w:rsid w:val="00010009"/>
    <w:rsid w:val="0001009C"/>
    <w:rsid w:val="000120AC"/>
    <w:rsid w:val="00012203"/>
    <w:rsid w:val="0001349B"/>
    <w:rsid w:val="0001353C"/>
    <w:rsid w:val="00013AC4"/>
    <w:rsid w:val="00013FD0"/>
    <w:rsid w:val="000162B1"/>
    <w:rsid w:val="000202DB"/>
    <w:rsid w:val="0002070C"/>
    <w:rsid w:val="00020FAF"/>
    <w:rsid w:val="00021AF7"/>
    <w:rsid w:val="00022D9E"/>
    <w:rsid w:val="00023F6F"/>
    <w:rsid w:val="00024588"/>
    <w:rsid w:val="00024609"/>
    <w:rsid w:val="00025044"/>
    <w:rsid w:val="000255F9"/>
    <w:rsid w:val="00025758"/>
    <w:rsid w:val="0002690D"/>
    <w:rsid w:val="000278B1"/>
    <w:rsid w:val="00027933"/>
    <w:rsid w:val="0003086D"/>
    <w:rsid w:val="000314E9"/>
    <w:rsid w:val="0003180A"/>
    <w:rsid w:val="000318F4"/>
    <w:rsid w:val="00032420"/>
    <w:rsid w:val="00032D61"/>
    <w:rsid w:val="0003306E"/>
    <w:rsid w:val="00033081"/>
    <w:rsid w:val="000337F1"/>
    <w:rsid w:val="000340EE"/>
    <w:rsid w:val="00034BAE"/>
    <w:rsid w:val="00034E3B"/>
    <w:rsid w:val="0004055A"/>
    <w:rsid w:val="00041FAA"/>
    <w:rsid w:val="00042008"/>
    <w:rsid w:val="000427EF"/>
    <w:rsid w:val="000432F6"/>
    <w:rsid w:val="00044742"/>
    <w:rsid w:val="00045279"/>
    <w:rsid w:val="0004778F"/>
    <w:rsid w:val="0005088E"/>
    <w:rsid w:val="000511AA"/>
    <w:rsid w:val="000518FB"/>
    <w:rsid w:val="00051CB0"/>
    <w:rsid w:val="00052FCE"/>
    <w:rsid w:val="00053D61"/>
    <w:rsid w:val="00054A56"/>
    <w:rsid w:val="00055021"/>
    <w:rsid w:val="00055127"/>
    <w:rsid w:val="00056597"/>
    <w:rsid w:val="000575D3"/>
    <w:rsid w:val="00060C82"/>
    <w:rsid w:val="00060EE2"/>
    <w:rsid w:val="00061A1E"/>
    <w:rsid w:val="0006239B"/>
    <w:rsid w:val="00062437"/>
    <w:rsid w:val="000633BF"/>
    <w:rsid w:val="00063753"/>
    <w:rsid w:val="00063BA0"/>
    <w:rsid w:val="00064320"/>
    <w:rsid w:val="000648C5"/>
    <w:rsid w:val="00065566"/>
    <w:rsid w:val="00065716"/>
    <w:rsid w:val="0006619E"/>
    <w:rsid w:val="000666D9"/>
    <w:rsid w:val="00066CC5"/>
    <w:rsid w:val="00067052"/>
    <w:rsid w:val="0006722F"/>
    <w:rsid w:val="00067C3E"/>
    <w:rsid w:val="00072C86"/>
    <w:rsid w:val="00073CAC"/>
    <w:rsid w:val="00074185"/>
    <w:rsid w:val="00074244"/>
    <w:rsid w:val="00074DD3"/>
    <w:rsid w:val="00074FB0"/>
    <w:rsid w:val="00075F19"/>
    <w:rsid w:val="00076015"/>
    <w:rsid w:val="000762A3"/>
    <w:rsid w:val="00077930"/>
    <w:rsid w:val="00080F6A"/>
    <w:rsid w:val="0008102D"/>
    <w:rsid w:val="0008125E"/>
    <w:rsid w:val="00082734"/>
    <w:rsid w:val="00082EAB"/>
    <w:rsid w:val="00083E02"/>
    <w:rsid w:val="0008597C"/>
    <w:rsid w:val="00085BE5"/>
    <w:rsid w:val="000879EF"/>
    <w:rsid w:val="00090A14"/>
    <w:rsid w:val="00091A49"/>
    <w:rsid w:val="00091BC5"/>
    <w:rsid w:val="0009391B"/>
    <w:rsid w:val="000953C0"/>
    <w:rsid w:val="00096DBA"/>
    <w:rsid w:val="00096F39"/>
    <w:rsid w:val="000A0660"/>
    <w:rsid w:val="000A129A"/>
    <w:rsid w:val="000A1841"/>
    <w:rsid w:val="000A186A"/>
    <w:rsid w:val="000A1F9A"/>
    <w:rsid w:val="000A2B8A"/>
    <w:rsid w:val="000A2FC1"/>
    <w:rsid w:val="000A5B6B"/>
    <w:rsid w:val="000A68B1"/>
    <w:rsid w:val="000A7674"/>
    <w:rsid w:val="000B02E7"/>
    <w:rsid w:val="000B0459"/>
    <w:rsid w:val="000B1748"/>
    <w:rsid w:val="000B1B6D"/>
    <w:rsid w:val="000B228A"/>
    <w:rsid w:val="000B2E38"/>
    <w:rsid w:val="000B2F99"/>
    <w:rsid w:val="000B30CE"/>
    <w:rsid w:val="000B3C35"/>
    <w:rsid w:val="000B3EE9"/>
    <w:rsid w:val="000B401F"/>
    <w:rsid w:val="000B4B19"/>
    <w:rsid w:val="000B623B"/>
    <w:rsid w:val="000B697C"/>
    <w:rsid w:val="000C0954"/>
    <w:rsid w:val="000C0AFA"/>
    <w:rsid w:val="000C22C9"/>
    <w:rsid w:val="000C35CD"/>
    <w:rsid w:val="000C6125"/>
    <w:rsid w:val="000C6789"/>
    <w:rsid w:val="000C6C9F"/>
    <w:rsid w:val="000D0750"/>
    <w:rsid w:val="000D16C5"/>
    <w:rsid w:val="000D1D3E"/>
    <w:rsid w:val="000D2E11"/>
    <w:rsid w:val="000D3E40"/>
    <w:rsid w:val="000D5C73"/>
    <w:rsid w:val="000D60CC"/>
    <w:rsid w:val="000D6847"/>
    <w:rsid w:val="000D6886"/>
    <w:rsid w:val="000D72B7"/>
    <w:rsid w:val="000E0353"/>
    <w:rsid w:val="000E12C3"/>
    <w:rsid w:val="000E5D55"/>
    <w:rsid w:val="000E6ABE"/>
    <w:rsid w:val="000E7BD1"/>
    <w:rsid w:val="000F0EEE"/>
    <w:rsid w:val="000F1A26"/>
    <w:rsid w:val="000F2D12"/>
    <w:rsid w:val="000F39EB"/>
    <w:rsid w:val="000F3C98"/>
    <w:rsid w:val="000F3F53"/>
    <w:rsid w:val="000F422D"/>
    <w:rsid w:val="000F52CD"/>
    <w:rsid w:val="000F67F2"/>
    <w:rsid w:val="000F6B70"/>
    <w:rsid w:val="000F6DCF"/>
    <w:rsid w:val="000F6F84"/>
    <w:rsid w:val="000F7549"/>
    <w:rsid w:val="00100E26"/>
    <w:rsid w:val="00102FBE"/>
    <w:rsid w:val="00103213"/>
    <w:rsid w:val="00104CD0"/>
    <w:rsid w:val="00110394"/>
    <w:rsid w:val="00111BCA"/>
    <w:rsid w:val="0011308E"/>
    <w:rsid w:val="00113B5C"/>
    <w:rsid w:val="00115E76"/>
    <w:rsid w:val="0011638A"/>
    <w:rsid w:val="00116573"/>
    <w:rsid w:val="00117D5C"/>
    <w:rsid w:val="00120058"/>
    <w:rsid w:val="0012029D"/>
    <w:rsid w:val="00120582"/>
    <w:rsid w:val="0012126C"/>
    <w:rsid w:val="0012290B"/>
    <w:rsid w:val="00122DF2"/>
    <w:rsid w:val="001233F0"/>
    <w:rsid w:val="00123962"/>
    <w:rsid w:val="00123A97"/>
    <w:rsid w:val="001244EE"/>
    <w:rsid w:val="001247F8"/>
    <w:rsid w:val="00124AEB"/>
    <w:rsid w:val="001257DF"/>
    <w:rsid w:val="00125D73"/>
    <w:rsid w:val="00126365"/>
    <w:rsid w:val="001265FC"/>
    <w:rsid w:val="00130729"/>
    <w:rsid w:val="00131186"/>
    <w:rsid w:val="001338BA"/>
    <w:rsid w:val="00136CF2"/>
    <w:rsid w:val="001371BC"/>
    <w:rsid w:val="00137735"/>
    <w:rsid w:val="001379E5"/>
    <w:rsid w:val="00141965"/>
    <w:rsid w:val="00142C63"/>
    <w:rsid w:val="00142E3E"/>
    <w:rsid w:val="00143858"/>
    <w:rsid w:val="0014404A"/>
    <w:rsid w:val="0014479E"/>
    <w:rsid w:val="00144D7E"/>
    <w:rsid w:val="0014632A"/>
    <w:rsid w:val="001466E4"/>
    <w:rsid w:val="00146D7F"/>
    <w:rsid w:val="001477D5"/>
    <w:rsid w:val="00147F70"/>
    <w:rsid w:val="00151856"/>
    <w:rsid w:val="001523B9"/>
    <w:rsid w:val="001535B8"/>
    <w:rsid w:val="00154143"/>
    <w:rsid w:val="00155C3B"/>
    <w:rsid w:val="001573AE"/>
    <w:rsid w:val="001600F6"/>
    <w:rsid w:val="001614D6"/>
    <w:rsid w:val="00161A88"/>
    <w:rsid w:val="001621D2"/>
    <w:rsid w:val="00162579"/>
    <w:rsid w:val="001656B5"/>
    <w:rsid w:val="00167B6C"/>
    <w:rsid w:val="00170C1F"/>
    <w:rsid w:val="00171AAB"/>
    <w:rsid w:val="00171C01"/>
    <w:rsid w:val="00172CBA"/>
    <w:rsid w:val="00174379"/>
    <w:rsid w:val="00174D9B"/>
    <w:rsid w:val="0017701A"/>
    <w:rsid w:val="00180600"/>
    <w:rsid w:val="00182B02"/>
    <w:rsid w:val="00183D55"/>
    <w:rsid w:val="00183E19"/>
    <w:rsid w:val="001840DE"/>
    <w:rsid w:val="00184117"/>
    <w:rsid w:val="00184EFD"/>
    <w:rsid w:val="001851C3"/>
    <w:rsid w:val="00185709"/>
    <w:rsid w:val="00185D99"/>
    <w:rsid w:val="00186A4D"/>
    <w:rsid w:val="00186BB0"/>
    <w:rsid w:val="001873F5"/>
    <w:rsid w:val="001874E5"/>
    <w:rsid w:val="0018762B"/>
    <w:rsid w:val="00187A2B"/>
    <w:rsid w:val="00190831"/>
    <w:rsid w:val="00190AC9"/>
    <w:rsid w:val="00190B7D"/>
    <w:rsid w:val="001915B4"/>
    <w:rsid w:val="0019252B"/>
    <w:rsid w:val="00192A92"/>
    <w:rsid w:val="00193B63"/>
    <w:rsid w:val="00195358"/>
    <w:rsid w:val="001968FA"/>
    <w:rsid w:val="0019713B"/>
    <w:rsid w:val="001A01A6"/>
    <w:rsid w:val="001A04F5"/>
    <w:rsid w:val="001A093B"/>
    <w:rsid w:val="001A28C3"/>
    <w:rsid w:val="001A2B51"/>
    <w:rsid w:val="001A2BF3"/>
    <w:rsid w:val="001A37B9"/>
    <w:rsid w:val="001A3A8B"/>
    <w:rsid w:val="001A61EC"/>
    <w:rsid w:val="001A70E6"/>
    <w:rsid w:val="001B0CFB"/>
    <w:rsid w:val="001B1374"/>
    <w:rsid w:val="001B174A"/>
    <w:rsid w:val="001B1E17"/>
    <w:rsid w:val="001B21F3"/>
    <w:rsid w:val="001B2933"/>
    <w:rsid w:val="001B29D5"/>
    <w:rsid w:val="001B33EA"/>
    <w:rsid w:val="001B5132"/>
    <w:rsid w:val="001B57E8"/>
    <w:rsid w:val="001B6777"/>
    <w:rsid w:val="001B687D"/>
    <w:rsid w:val="001B6888"/>
    <w:rsid w:val="001B697A"/>
    <w:rsid w:val="001B7048"/>
    <w:rsid w:val="001C05BB"/>
    <w:rsid w:val="001C147A"/>
    <w:rsid w:val="001C21B3"/>
    <w:rsid w:val="001C276E"/>
    <w:rsid w:val="001C2F40"/>
    <w:rsid w:val="001C3451"/>
    <w:rsid w:val="001C35A4"/>
    <w:rsid w:val="001C35EF"/>
    <w:rsid w:val="001C3784"/>
    <w:rsid w:val="001C3886"/>
    <w:rsid w:val="001C5DF9"/>
    <w:rsid w:val="001C74CA"/>
    <w:rsid w:val="001D031F"/>
    <w:rsid w:val="001D03B2"/>
    <w:rsid w:val="001D07FB"/>
    <w:rsid w:val="001D0E69"/>
    <w:rsid w:val="001D2FD6"/>
    <w:rsid w:val="001D4475"/>
    <w:rsid w:val="001D5536"/>
    <w:rsid w:val="001D5616"/>
    <w:rsid w:val="001D6580"/>
    <w:rsid w:val="001D747C"/>
    <w:rsid w:val="001D76E4"/>
    <w:rsid w:val="001D78E8"/>
    <w:rsid w:val="001D7E0D"/>
    <w:rsid w:val="001E10F9"/>
    <w:rsid w:val="001E162D"/>
    <w:rsid w:val="001E16D0"/>
    <w:rsid w:val="001E1B53"/>
    <w:rsid w:val="001E1FE7"/>
    <w:rsid w:val="001E2953"/>
    <w:rsid w:val="001E4BA5"/>
    <w:rsid w:val="001E5AFB"/>
    <w:rsid w:val="001E6601"/>
    <w:rsid w:val="001F0FC9"/>
    <w:rsid w:val="001F2246"/>
    <w:rsid w:val="001F279E"/>
    <w:rsid w:val="001F36A6"/>
    <w:rsid w:val="001F3D85"/>
    <w:rsid w:val="001F4868"/>
    <w:rsid w:val="001F516D"/>
    <w:rsid w:val="001F517F"/>
    <w:rsid w:val="001F52C7"/>
    <w:rsid w:val="001F6520"/>
    <w:rsid w:val="001F6D36"/>
    <w:rsid w:val="001F7782"/>
    <w:rsid w:val="001F78F5"/>
    <w:rsid w:val="0020435E"/>
    <w:rsid w:val="00204631"/>
    <w:rsid w:val="0021073B"/>
    <w:rsid w:val="00212C71"/>
    <w:rsid w:val="00213194"/>
    <w:rsid w:val="00213AE4"/>
    <w:rsid w:val="0021492E"/>
    <w:rsid w:val="00215202"/>
    <w:rsid w:val="00215534"/>
    <w:rsid w:val="00215DDD"/>
    <w:rsid w:val="00215E9A"/>
    <w:rsid w:val="002163C6"/>
    <w:rsid w:val="0021799B"/>
    <w:rsid w:val="00220052"/>
    <w:rsid w:val="00221077"/>
    <w:rsid w:val="0022152F"/>
    <w:rsid w:val="00221908"/>
    <w:rsid w:val="002219A1"/>
    <w:rsid w:val="002227D5"/>
    <w:rsid w:val="00224E12"/>
    <w:rsid w:val="00225108"/>
    <w:rsid w:val="00225604"/>
    <w:rsid w:val="00226155"/>
    <w:rsid w:val="00226D8C"/>
    <w:rsid w:val="002271B5"/>
    <w:rsid w:val="002272F0"/>
    <w:rsid w:val="00231959"/>
    <w:rsid w:val="00231E55"/>
    <w:rsid w:val="002331B4"/>
    <w:rsid w:val="002333EB"/>
    <w:rsid w:val="00234121"/>
    <w:rsid w:val="00235DD7"/>
    <w:rsid w:val="00236BC8"/>
    <w:rsid w:val="00237726"/>
    <w:rsid w:val="00240233"/>
    <w:rsid w:val="002413C4"/>
    <w:rsid w:val="00241C9E"/>
    <w:rsid w:val="0024259E"/>
    <w:rsid w:val="002432B5"/>
    <w:rsid w:val="0024366D"/>
    <w:rsid w:val="00243AC0"/>
    <w:rsid w:val="0024415D"/>
    <w:rsid w:val="002442A9"/>
    <w:rsid w:val="002451BC"/>
    <w:rsid w:val="00245E73"/>
    <w:rsid w:val="00246980"/>
    <w:rsid w:val="0024766D"/>
    <w:rsid w:val="00247A9F"/>
    <w:rsid w:val="002506B5"/>
    <w:rsid w:val="00250B72"/>
    <w:rsid w:val="002519EE"/>
    <w:rsid w:val="00252198"/>
    <w:rsid w:val="0025317A"/>
    <w:rsid w:val="0025486B"/>
    <w:rsid w:val="00254E78"/>
    <w:rsid w:val="0026011B"/>
    <w:rsid w:val="00260458"/>
    <w:rsid w:val="002607A5"/>
    <w:rsid w:val="0026218B"/>
    <w:rsid w:val="00262EA8"/>
    <w:rsid w:val="0026329E"/>
    <w:rsid w:val="002636AE"/>
    <w:rsid w:val="00263B09"/>
    <w:rsid w:val="0026735E"/>
    <w:rsid w:val="00267ECD"/>
    <w:rsid w:val="002710B2"/>
    <w:rsid w:val="00271E62"/>
    <w:rsid w:val="0027427B"/>
    <w:rsid w:val="00274D8A"/>
    <w:rsid w:val="002767B8"/>
    <w:rsid w:val="00276930"/>
    <w:rsid w:val="002804D6"/>
    <w:rsid w:val="002806DC"/>
    <w:rsid w:val="00280FD7"/>
    <w:rsid w:val="0028151A"/>
    <w:rsid w:val="00281748"/>
    <w:rsid w:val="00281EA9"/>
    <w:rsid w:val="00283340"/>
    <w:rsid w:val="002849B5"/>
    <w:rsid w:val="00284FF9"/>
    <w:rsid w:val="002850B6"/>
    <w:rsid w:val="0028574B"/>
    <w:rsid w:val="00285CEF"/>
    <w:rsid w:val="0029001B"/>
    <w:rsid w:val="002900D8"/>
    <w:rsid w:val="00290A3D"/>
    <w:rsid w:val="00290B33"/>
    <w:rsid w:val="002910A4"/>
    <w:rsid w:val="002913C4"/>
    <w:rsid w:val="002915D1"/>
    <w:rsid w:val="0029350B"/>
    <w:rsid w:val="00293FD9"/>
    <w:rsid w:val="00294459"/>
    <w:rsid w:val="002947D7"/>
    <w:rsid w:val="002953CC"/>
    <w:rsid w:val="0029585A"/>
    <w:rsid w:val="00295DBB"/>
    <w:rsid w:val="002962EB"/>
    <w:rsid w:val="00296679"/>
    <w:rsid w:val="00297633"/>
    <w:rsid w:val="00297DE2"/>
    <w:rsid w:val="002A0131"/>
    <w:rsid w:val="002A0231"/>
    <w:rsid w:val="002A098C"/>
    <w:rsid w:val="002A10DD"/>
    <w:rsid w:val="002A1125"/>
    <w:rsid w:val="002A19F5"/>
    <w:rsid w:val="002A33DC"/>
    <w:rsid w:val="002A50D4"/>
    <w:rsid w:val="002A5D05"/>
    <w:rsid w:val="002A6188"/>
    <w:rsid w:val="002A635A"/>
    <w:rsid w:val="002A65FB"/>
    <w:rsid w:val="002A72EE"/>
    <w:rsid w:val="002B3474"/>
    <w:rsid w:val="002B483A"/>
    <w:rsid w:val="002B57AF"/>
    <w:rsid w:val="002B59C0"/>
    <w:rsid w:val="002B5B87"/>
    <w:rsid w:val="002B5DAB"/>
    <w:rsid w:val="002B6330"/>
    <w:rsid w:val="002B6B4E"/>
    <w:rsid w:val="002B6DA9"/>
    <w:rsid w:val="002B6E68"/>
    <w:rsid w:val="002C2354"/>
    <w:rsid w:val="002C42FC"/>
    <w:rsid w:val="002C53E7"/>
    <w:rsid w:val="002C5ED3"/>
    <w:rsid w:val="002C67AC"/>
    <w:rsid w:val="002C794B"/>
    <w:rsid w:val="002C7DCF"/>
    <w:rsid w:val="002D0859"/>
    <w:rsid w:val="002D1770"/>
    <w:rsid w:val="002D2AB4"/>
    <w:rsid w:val="002D2C0D"/>
    <w:rsid w:val="002D2F79"/>
    <w:rsid w:val="002D31EA"/>
    <w:rsid w:val="002E0CAD"/>
    <w:rsid w:val="002E13F9"/>
    <w:rsid w:val="002E1414"/>
    <w:rsid w:val="002E219A"/>
    <w:rsid w:val="002E4472"/>
    <w:rsid w:val="002E50C2"/>
    <w:rsid w:val="002E55A9"/>
    <w:rsid w:val="002E607F"/>
    <w:rsid w:val="002F025A"/>
    <w:rsid w:val="002F0FBD"/>
    <w:rsid w:val="002F1384"/>
    <w:rsid w:val="002F224D"/>
    <w:rsid w:val="002F2B43"/>
    <w:rsid w:val="002F2D76"/>
    <w:rsid w:val="002F4AE9"/>
    <w:rsid w:val="002F4B3A"/>
    <w:rsid w:val="002F67F2"/>
    <w:rsid w:val="002F6C62"/>
    <w:rsid w:val="002F782D"/>
    <w:rsid w:val="002F7EBA"/>
    <w:rsid w:val="003021B7"/>
    <w:rsid w:val="003021E5"/>
    <w:rsid w:val="00303119"/>
    <w:rsid w:val="003033B8"/>
    <w:rsid w:val="00304048"/>
    <w:rsid w:val="003048FF"/>
    <w:rsid w:val="00304C10"/>
    <w:rsid w:val="0030574E"/>
    <w:rsid w:val="00306302"/>
    <w:rsid w:val="00306957"/>
    <w:rsid w:val="00306FA5"/>
    <w:rsid w:val="00307A75"/>
    <w:rsid w:val="00307BC3"/>
    <w:rsid w:val="00310F7C"/>
    <w:rsid w:val="00313FA2"/>
    <w:rsid w:val="003141DF"/>
    <w:rsid w:val="00314584"/>
    <w:rsid w:val="00315D49"/>
    <w:rsid w:val="003170A2"/>
    <w:rsid w:val="00317361"/>
    <w:rsid w:val="0031744E"/>
    <w:rsid w:val="0031768D"/>
    <w:rsid w:val="003178EB"/>
    <w:rsid w:val="0032086F"/>
    <w:rsid w:val="0032095D"/>
    <w:rsid w:val="00321256"/>
    <w:rsid w:val="00321B22"/>
    <w:rsid w:val="00321B7B"/>
    <w:rsid w:val="00322687"/>
    <w:rsid w:val="00322A95"/>
    <w:rsid w:val="00322B06"/>
    <w:rsid w:val="00322DA0"/>
    <w:rsid w:val="003230A0"/>
    <w:rsid w:val="00323EBD"/>
    <w:rsid w:val="00324CB7"/>
    <w:rsid w:val="00324D02"/>
    <w:rsid w:val="00325993"/>
    <w:rsid w:val="003271F1"/>
    <w:rsid w:val="00327A1F"/>
    <w:rsid w:val="00327AD0"/>
    <w:rsid w:val="00327CFF"/>
    <w:rsid w:val="003308D9"/>
    <w:rsid w:val="00330DC5"/>
    <w:rsid w:val="003312DB"/>
    <w:rsid w:val="00331360"/>
    <w:rsid w:val="003315F8"/>
    <w:rsid w:val="00331F32"/>
    <w:rsid w:val="00331FDF"/>
    <w:rsid w:val="00332021"/>
    <w:rsid w:val="00332A5C"/>
    <w:rsid w:val="00332CF9"/>
    <w:rsid w:val="00333EBE"/>
    <w:rsid w:val="00335476"/>
    <w:rsid w:val="003361B4"/>
    <w:rsid w:val="0033655B"/>
    <w:rsid w:val="00336E2F"/>
    <w:rsid w:val="00337614"/>
    <w:rsid w:val="00337EDA"/>
    <w:rsid w:val="00340904"/>
    <w:rsid w:val="00341560"/>
    <w:rsid w:val="00341E82"/>
    <w:rsid w:val="00342290"/>
    <w:rsid w:val="003427F6"/>
    <w:rsid w:val="00342B39"/>
    <w:rsid w:val="00342DEC"/>
    <w:rsid w:val="00343BAC"/>
    <w:rsid w:val="003442F3"/>
    <w:rsid w:val="00344BE6"/>
    <w:rsid w:val="00345299"/>
    <w:rsid w:val="003473B2"/>
    <w:rsid w:val="003477CA"/>
    <w:rsid w:val="003479AE"/>
    <w:rsid w:val="00350293"/>
    <w:rsid w:val="00350FC8"/>
    <w:rsid w:val="003519E5"/>
    <w:rsid w:val="00351DE2"/>
    <w:rsid w:val="00352786"/>
    <w:rsid w:val="00352D9A"/>
    <w:rsid w:val="003532DB"/>
    <w:rsid w:val="003534B5"/>
    <w:rsid w:val="00355728"/>
    <w:rsid w:val="00355D3F"/>
    <w:rsid w:val="00356827"/>
    <w:rsid w:val="00356CAD"/>
    <w:rsid w:val="00357524"/>
    <w:rsid w:val="00357DF0"/>
    <w:rsid w:val="0036097A"/>
    <w:rsid w:val="00361B2F"/>
    <w:rsid w:val="003634A4"/>
    <w:rsid w:val="00364344"/>
    <w:rsid w:val="00364798"/>
    <w:rsid w:val="00364D4C"/>
    <w:rsid w:val="00365095"/>
    <w:rsid w:val="0036541C"/>
    <w:rsid w:val="00365501"/>
    <w:rsid w:val="0036636D"/>
    <w:rsid w:val="003673BA"/>
    <w:rsid w:val="003676B1"/>
    <w:rsid w:val="00367970"/>
    <w:rsid w:val="00367A65"/>
    <w:rsid w:val="00370741"/>
    <w:rsid w:val="00370D26"/>
    <w:rsid w:val="00371BEC"/>
    <w:rsid w:val="00373A97"/>
    <w:rsid w:val="00373BD1"/>
    <w:rsid w:val="0037438E"/>
    <w:rsid w:val="00375225"/>
    <w:rsid w:val="00375A63"/>
    <w:rsid w:val="003767A0"/>
    <w:rsid w:val="00377205"/>
    <w:rsid w:val="00380542"/>
    <w:rsid w:val="00380CCB"/>
    <w:rsid w:val="00381055"/>
    <w:rsid w:val="0038151D"/>
    <w:rsid w:val="0038168D"/>
    <w:rsid w:val="00381840"/>
    <w:rsid w:val="0038381D"/>
    <w:rsid w:val="00383833"/>
    <w:rsid w:val="003852DD"/>
    <w:rsid w:val="003860EC"/>
    <w:rsid w:val="0038619B"/>
    <w:rsid w:val="00386722"/>
    <w:rsid w:val="00386BC5"/>
    <w:rsid w:val="00390B20"/>
    <w:rsid w:val="00391264"/>
    <w:rsid w:val="0039126A"/>
    <w:rsid w:val="00391744"/>
    <w:rsid w:val="003918C9"/>
    <w:rsid w:val="00392102"/>
    <w:rsid w:val="0039243C"/>
    <w:rsid w:val="00392749"/>
    <w:rsid w:val="003927F0"/>
    <w:rsid w:val="003934B4"/>
    <w:rsid w:val="00394D53"/>
    <w:rsid w:val="0039573E"/>
    <w:rsid w:val="0039692C"/>
    <w:rsid w:val="00396A7B"/>
    <w:rsid w:val="003A0566"/>
    <w:rsid w:val="003A0712"/>
    <w:rsid w:val="003A1B9D"/>
    <w:rsid w:val="003A2351"/>
    <w:rsid w:val="003A286D"/>
    <w:rsid w:val="003A29D2"/>
    <w:rsid w:val="003A3152"/>
    <w:rsid w:val="003A36D8"/>
    <w:rsid w:val="003A4C8B"/>
    <w:rsid w:val="003A5A68"/>
    <w:rsid w:val="003A5FA1"/>
    <w:rsid w:val="003A632D"/>
    <w:rsid w:val="003A76EF"/>
    <w:rsid w:val="003B0AE1"/>
    <w:rsid w:val="003B1912"/>
    <w:rsid w:val="003B1959"/>
    <w:rsid w:val="003B484A"/>
    <w:rsid w:val="003B4850"/>
    <w:rsid w:val="003B5349"/>
    <w:rsid w:val="003B58AB"/>
    <w:rsid w:val="003B6086"/>
    <w:rsid w:val="003B6B76"/>
    <w:rsid w:val="003B71EA"/>
    <w:rsid w:val="003B74D0"/>
    <w:rsid w:val="003B762B"/>
    <w:rsid w:val="003B77B9"/>
    <w:rsid w:val="003B7922"/>
    <w:rsid w:val="003B7C1F"/>
    <w:rsid w:val="003B7D48"/>
    <w:rsid w:val="003C05C1"/>
    <w:rsid w:val="003C1AA0"/>
    <w:rsid w:val="003C1D07"/>
    <w:rsid w:val="003C2980"/>
    <w:rsid w:val="003C5600"/>
    <w:rsid w:val="003C5A07"/>
    <w:rsid w:val="003C7593"/>
    <w:rsid w:val="003C7F86"/>
    <w:rsid w:val="003D02B0"/>
    <w:rsid w:val="003D0BDE"/>
    <w:rsid w:val="003D1479"/>
    <w:rsid w:val="003D22F1"/>
    <w:rsid w:val="003D2521"/>
    <w:rsid w:val="003D278D"/>
    <w:rsid w:val="003D31FA"/>
    <w:rsid w:val="003D443E"/>
    <w:rsid w:val="003D4476"/>
    <w:rsid w:val="003D4621"/>
    <w:rsid w:val="003D47DE"/>
    <w:rsid w:val="003D5AA1"/>
    <w:rsid w:val="003D60FE"/>
    <w:rsid w:val="003D64C7"/>
    <w:rsid w:val="003D64E5"/>
    <w:rsid w:val="003D6AA9"/>
    <w:rsid w:val="003D7018"/>
    <w:rsid w:val="003D7027"/>
    <w:rsid w:val="003D79CA"/>
    <w:rsid w:val="003E0A08"/>
    <w:rsid w:val="003E10E6"/>
    <w:rsid w:val="003E21D6"/>
    <w:rsid w:val="003E4F2D"/>
    <w:rsid w:val="003E5868"/>
    <w:rsid w:val="003E60DF"/>
    <w:rsid w:val="003E7527"/>
    <w:rsid w:val="003F0F43"/>
    <w:rsid w:val="003F1637"/>
    <w:rsid w:val="003F18BB"/>
    <w:rsid w:val="003F19B4"/>
    <w:rsid w:val="003F1AB3"/>
    <w:rsid w:val="003F274A"/>
    <w:rsid w:val="003F4117"/>
    <w:rsid w:val="003F4C35"/>
    <w:rsid w:val="003F512E"/>
    <w:rsid w:val="003F694F"/>
    <w:rsid w:val="003F6F31"/>
    <w:rsid w:val="003F7A67"/>
    <w:rsid w:val="00400881"/>
    <w:rsid w:val="00401832"/>
    <w:rsid w:val="004026B4"/>
    <w:rsid w:val="0040357E"/>
    <w:rsid w:val="00403D15"/>
    <w:rsid w:val="00403E94"/>
    <w:rsid w:val="004046E6"/>
    <w:rsid w:val="00404AEF"/>
    <w:rsid w:val="00404B0F"/>
    <w:rsid w:val="00406B35"/>
    <w:rsid w:val="00406D8D"/>
    <w:rsid w:val="00407D51"/>
    <w:rsid w:val="0041083A"/>
    <w:rsid w:val="00411205"/>
    <w:rsid w:val="004138C0"/>
    <w:rsid w:val="004145FC"/>
    <w:rsid w:val="004148DD"/>
    <w:rsid w:val="00414D25"/>
    <w:rsid w:val="00415128"/>
    <w:rsid w:val="004168C1"/>
    <w:rsid w:val="00417BF4"/>
    <w:rsid w:val="00417E39"/>
    <w:rsid w:val="004200FF"/>
    <w:rsid w:val="0042025D"/>
    <w:rsid w:val="004205BB"/>
    <w:rsid w:val="004205C9"/>
    <w:rsid w:val="004207BE"/>
    <w:rsid w:val="00421A7B"/>
    <w:rsid w:val="00421CAD"/>
    <w:rsid w:val="0042290D"/>
    <w:rsid w:val="00423040"/>
    <w:rsid w:val="0042352A"/>
    <w:rsid w:val="00424221"/>
    <w:rsid w:val="00424928"/>
    <w:rsid w:val="004249A0"/>
    <w:rsid w:val="0042542A"/>
    <w:rsid w:val="00426026"/>
    <w:rsid w:val="00426F0A"/>
    <w:rsid w:val="00427CE2"/>
    <w:rsid w:val="00432E1A"/>
    <w:rsid w:val="004336CB"/>
    <w:rsid w:val="00435048"/>
    <w:rsid w:val="00435CC0"/>
    <w:rsid w:val="00435F8F"/>
    <w:rsid w:val="00436AA7"/>
    <w:rsid w:val="00436C02"/>
    <w:rsid w:val="00437196"/>
    <w:rsid w:val="004376CA"/>
    <w:rsid w:val="00437775"/>
    <w:rsid w:val="0043779F"/>
    <w:rsid w:val="00437F0E"/>
    <w:rsid w:val="0044254E"/>
    <w:rsid w:val="0044263C"/>
    <w:rsid w:val="004429D5"/>
    <w:rsid w:val="004435E7"/>
    <w:rsid w:val="00443A15"/>
    <w:rsid w:val="00443DAE"/>
    <w:rsid w:val="00444118"/>
    <w:rsid w:val="00444CDE"/>
    <w:rsid w:val="00445510"/>
    <w:rsid w:val="004459B7"/>
    <w:rsid w:val="00446043"/>
    <w:rsid w:val="00450BDF"/>
    <w:rsid w:val="00450FAA"/>
    <w:rsid w:val="004513D0"/>
    <w:rsid w:val="00451BD2"/>
    <w:rsid w:val="004530C1"/>
    <w:rsid w:val="00453669"/>
    <w:rsid w:val="0045393C"/>
    <w:rsid w:val="00454532"/>
    <w:rsid w:val="00454880"/>
    <w:rsid w:val="00454A1D"/>
    <w:rsid w:val="00454B23"/>
    <w:rsid w:val="00455339"/>
    <w:rsid w:val="00455E93"/>
    <w:rsid w:val="0045629E"/>
    <w:rsid w:val="00456743"/>
    <w:rsid w:val="00460D22"/>
    <w:rsid w:val="004622AC"/>
    <w:rsid w:val="004627A8"/>
    <w:rsid w:val="00462D77"/>
    <w:rsid w:val="00463288"/>
    <w:rsid w:val="00463A85"/>
    <w:rsid w:val="0046526B"/>
    <w:rsid w:val="00465678"/>
    <w:rsid w:val="00465E8D"/>
    <w:rsid w:val="0046687B"/>
    <w:rsid w:val="00466ECA"/>
    <w:rsid w:val="00467328"/>
    <w:rsid w:val="00467FF4"/>
    <w:rsid w:val="004708C5"/>
    <w:rsid w:val="004729C9"/>
    <w:rsid w:val="00475C75"/>
    <w:rsid w:val="00475D42"/>
    <w:rsid w:val="0047714D"/>
    <w:rsid w:val="00477FF4"/>
    <w:rsid w:val="004805EE"/>
    <w:rsid w:val="00480623"/>
    <w:rsid w:val="00480B1A"/>
    <w:rsid w:val="0048188C"/>
    <w:rsid w:val="004838A2"/>
    <w:rsid w:val="004860B7"/>
    <w:rsid w:val="0048630A"/>
    <w:rsid w:val="00487371"/>
    <w:rsid w:val="00490955"/>
    <w:rsid w:val="00490B8F"/>
    <w:rsid w:val="00490CDA"/>
    <w:rsid w:val="0049230C"/>
    <w:rsid w:val="004933BF"/>
    <w:rsid w:val="004947C4"/>
    <w:rsid w:val="00495242"/>
    <w:rsid w:val="00495DDC"/>
    <w:rsid w:val="004971BE"/>
    <w:rsid w:val="00497759"/>
    <w:rsid w:val="00497BB0"/>
    <w:rsid w:val="00497E3D"/>
    <w:rsid w:val="004A0983"/>
    <w:rsid w:val="004A16EC"/>
    <w:rsid w:val="004A184C"/>
    <w:rsid w:val="004A1D9C"/>
    <w:rsid w:val="004A22D8"/>
    <w:rsid w:val="004A28E7"/>
    <w:rsid w:val="004A3088"/>
    <w:rsid w:val="004A3A91"/>
    <w:rsid w:val="004A5495"/>
    <w:rsid w:val="004A5DF1"/>
    <w:rsid w:val="004A669C"/>
    <w:rsid w:val="004B019E"/>
    <w:rsid w:val="004B088A"/>
    <w:rsid w:val="004B1360"/>
    <w:rsid w:val="004B175B"/>
    <w:rsid w:val="004B218D"/>
    <w:rsid w:val="004B3E3F"/>
    <w:rsid w:val="004B4D8C"/>
    <w:rsid w:val="004B5512"/>
    <w:rsid w:val="004B6A9A"/>
    <w:rsid w:val="004B7F22"/>
    <w:rsid w:val="004C0ADD"/>
    <w:rsid w:val="004C10D2"/>
    <w:rsid w:val="004C1634"/>
    <w:rsid w:val="004C1A59"/>
    <w:rsid w:val="004C3289"/>
    <w:rsid w:val="004C5DE5"/>
    <w:rsid w:val="004C7B32"/>
    <w:rsid w:val="004C7D78"/>
    <w:rsid w:val="004D0511"/>
    <w:rsid w:val="004D12D2"/>
    <w:rsid w:val="004D1558"/>
    <w:rsid w:val="004D1860"/>
    <w:rsid w:val="004D2869"/>
    <w:rsid w:val="004D4003"/>
    <w:rsid w:val="004D55AD"/>
    <w:rsid w:val="004D56E8"/>
    <w:rsid w:val="004D5C9E"/>
    <w:rsid w:val="004D5F03"/>
    <w:rsid w:val="004D6012"/>
    <w:rsid w:val="004D68D3"/>
    <w:rsid w:val="004D6F5A"/>
    <w:rsid w:val="004D7866"/>
    <w:rsid w:val="004D7B4F"/>
    <w:rsid w:val="004D7B84"/>
    <w:rsid w:val="004D7E32"/>
    <w:rsid w:val="004E0E33"/>
    <w:rsid w:val="004E1ADB"/>
    <w:rsid w:val="004E2735"/>
    <w:rsid w:val="004E2C88"/>
    <w:rsid w:val="004E395E"/>
    <w:rsid w:val="004E39C5"/>
    <w:rsid w:val="004E3BEE"/>
    <w:rsid w:val="004E41EC"/>
    <w:rsid w:val="004E64B4"/>
    <w:rsid w:val="004E7068"/>
    <w:rsid w:val="004E7BDF"/>
    <w:rsid w:val="004E7C89"/>
    <w:rsid w:val="004E7CF0"/>
    <w:rsid w:val="004F016D"/>
    <w:rsid w:val="004F1169"/>
    <w:rsid w:val="004F12A1"/>
    <w:rsid w:val="004F1C96"/>
    <w:rsid w:val="004F1E52"/>
    <w:rsid w:val="004F2BBA"/>
    <w:rsid w:val="004F394F"/>
    <w:rsid w:val="004F4198"/>
    <w:rsid w:val="004F504F"/>
    <w:rsid w:val="004F5129"/>
    <w:rsid w:val="004F5ECF"/>
    <w:rsid w:val="004F6EE3"/>
    <w:rsid w:val="004F715D"/>
    <w:rsid w:val="004F734A"/>
    <w:rsid w:val="004F799E"/>
    <w:rsid w:val="004F7C62"/>
    <w:rsid w:val="00500725"/>
    <w:rsid w:val="00500E64"/>
    <w:rsid w:val="005015ED"/>
    <w:rsid w:val="00501B4F"/>
    <w:rsid w:val="005035EC"/>
    <w:rsid w:val="00503686"/>
    <w:rsid w:val="005037B2"/>
    <w:rsid w:val="005045AA"/>
    <w:rsid w:val="005045DC"/>
    <w:rsid w:val="00506154"/>
    <w:rsid w:val="005061FD"/>
    <w:rsid w:val="005066A4"/>
    <w:rsid w:val="005068BB"/>
    <w:rsid w:val="005073A0"/>
    <w:rsid w:val="00507524"/>
    <w:rsid w:val="005077CD"/>
    <w:rsid w:val="005101C4"/>
    <w:rsid w:val="00510C02"/>
    <w:rsid w:val="005127D2"/>
    <w:rsid w:val="00512914"/>
    <w:rsid w:val="00512A88"/>
    <w:rsid w:val="0051317E"/>
    <w:rsid w:val="00513659"/>
    <w:rsid w:val="00513EEB"/>
    <w:rsid w:val="00514566"/>
    <w:rsid w:val="00515706"/>
    <w:rsid w:val="00516DB3"/>
    <w:rsid w:val="0051705A"/>
    <w:rsid w:val="0052071F"/>
    <w:rsid w:val="00520725"/>
    <w:rsid w:val="005210F4"/>
    <w:rsid w:val="005211CE"/>
    <w:rsid w:val="00521DBC"/>
    <w:rsid w:val="00521E18"/>
    <w:rsid w:val="00522901"/>
    <w:rsid w:val="00523BA8"/>
    <w:rsid w:val="00524314"/>
    <w:rsid w:val="00524854"/>
    <w:rsid w:val="00524BDB"/>
    <w:rsid w:val="00525E0A"/>
    <w:rsid w:val="0052641C"/>
    <w:rsid w:val="0052706F"/>
    <w:rsid w:val="0052747B"/>
    <w:rsid w:val="0053011C"/>
    <w:rsid w:val="0053046A"/>
    <w:rsid w:val="00530987"/>
    <w:rsid w:val="0053109E"/>
    <w:rsid w:val="00532298"/>
    <w:rsid w:val="005323E1"/>
    <w:rsid w:val="005329FF"/>
    <w:rsid w:val="00532DF6"/>
    <w:rsid w:val="00533481"/>
    <w:rsid w:val="005336CD"/>
    <w:rsid w:val="00533726"/>
    <w:rsid w:val="00533C45"/>
    <w:rsid w:val="00535573"/>
    <w:rsid w:val="0053565C"/>
    <w:rsid w:val="00535C26"/>
    <w:rsid w:val="00536DEA"/>
    <w:rsid w:val="00537A93"/>
    <w:rsid w:val="0054045E"/>
    <w:rsid w:val="005405BE"/>
    <w:rsid w:val="00541FAA"/>
    <w:rsid w:val="00542C27"/>
    <w:rsid w:val="0054568B"/>
    <w:rsid w:val="00545E0D"/>
    <w:rsid w:val="00546CE3"/>
    <w:rsid w:val="00546FEB"/>
    <w:rsid w:val="00547C50"/>
    <w:rsid w:val="00550A85"/>
    <w:rsid w:val="00551F01"/>
    <w:rsid w:val="00553166"/>
    <w:rsid w:val="0055374C"/>
    <w:rsid w:val="00553BB8"/>
    <w:rsid w:val="00554723"/>
    <w:rsid w:val="00554993"/>
    <w:rsid w:val="00555157"/>
    <w:rsid w:val="0055557C"/>
    <w:rsid w:val="005559C3"/>
    <w:rsid w:val="00556F14"/>
    <w:rsid w:val="005571AF"/>
    <w:rsid w:val="00557E0A"/>
    <w:rsid w:val="005600D7"/>
    <w:rsid w:val="005604C0"/>
    <w:rsid w:val="0056194E"/>
    <w:rsid w:val="00562761"/>
    <w:rsid w:val="0056313C"/>
    <w:rsid w:val="00567010"/>
    <w:rsid w:val="00567C4E"/>
    <w:rsid w:val="00571D09"/>
    <w:rsid w:val="005723F1"/>
    <w:rsid w:val="00574C75"/>
    <w:rsid w:val="00574FBC"/>
    <w:rsid w:val="005757AF"/>
    <w:rsid w:val="00575EED"/>
    <w:rsid w:val="005769AC"/>
    <w:rsid w:val="0057755F"/>
    <w:rsid w:val="00577666"/>
    <w:rsid w:val="00577A31"/>
    <w:rsid w:val="00580191"/>
    <w:rsid w:val="00580CB6"/>
    <w:rsid w:val="00581486"/>
    <w:rsid w:val="00581CB3"/>
    <w:rsid w:val="00582365"/>
    <w:rsid w:val="005824FD"/>
    <w:rsid w:val="005827B5"/>
    <w:rsid w:val="00584E91"/>
    <w:rsid w:val="005860FD"/>
    <w:rsid w:val="005873B8"/>
    <w:rsid w:val="005874ED"/>
    <w:rsid w:val="0059024B"/>
    <w:rsid w:val="0059153D"/>
    <w:rsid w:val="0059154E"/>
    <w:rsid w:val="00591BB5"/>
    <w:rsid w:val="0059234A"/>
    <w:rsid w:val="005927FC"/>
    <w:rsid w:val="00593497"/>
    <w:rsid w:val="00593705"/>
    <w:rsid w:val="00593818"/>
    <w:rsid w:val="00593935"/>
    <w:rsid w:val="00593A90"/>
    <w:rsid w:val="0059434F"/>
    <w:rsid w:val="005945E9"/>
    <w:rsid w:val="00594AF0"/>
    <w:rsid w:val="00595049"/>
    <w:rsid w:val="00595D7E"/>
    <w:rsid w:val="005962DE"/>
    <w:rsid w:val="00596716"/>
    <w:rsid w:val="005A1D1B"/>
    <w:rsid w:val="005A1F30"/>
    <w:rsid w:val="005A2EF4"/>
    <w:rsid w:val="005A361D"/>
    <w:rsid w:val="005A48E7"/>
    <w:rsid w:val="005A4A45"/>
    <w:rsid w:val="005A4BFA"/>
    <w:rsid w:val="005A4E67"/>
    <w:rsid w:val="005B020F"/>
    <w:rsid w:val="005B0607"/>
    <w:rsid w:val="005B1049"/>
    <w:rsid w:val="005B1735"/>
    <w:rsid w:val="005B3F8C"/>
    <w:rsid w:val="005B4AA1"/>
    <w:rsid w:val="005B526D"/>
    <w:rsid w:val="005B7C1E"/>
    <w:rsid w:val="005B7C90"/>
    <w:rsid w:val="005C0820"/>
    <w:rsid w:val="005C0D4A"/>
    <w:rsid w:val="005C1671"/>
    <w:rsid w:val="005C1916"/>
    <w:rsid w:val="005C236C"/>
    <w:rsid w:val="005C2FF3"/>
    <w:rsid w:val="005C35AF"/>
    <w:rsid w:val="005C3A4B"/>
    <w:rsid w:val="005C3AD3"/>
    <w:rsid w:val="005C44B1"/>
    <w:rsid w:val="005C5005"/>
    <w:rsid w:val="005C5540"/>
    <w:rsid w:val="005C5BE8"/>
    <w:rsid w:val="005C5EAA"/>
    <w:rsid w:val="005C6070"/>
    <w:rsid w:val="005C69BF"/>
    <w:rsid w:val="005C74A6"/>
    <w:rsid w:val="005C7784"/>
    <w:rsid w:val="005D0CF2"/>
    <w:rsid w:val="005D2281"/>
    <w:rsid w:val="005D2517"/>
    <w:rsid w:val="005D26CF"/>
    <w:rsid w:val="005D2BD7"/>
    <w:rsid w:val="005D40A3"/>
    <w:rsid w:val="005D40C2"/>
    <w:rsid w:val="005D4892"/>
    <w:rsid w:val="005D5BC4"/>
    <w:rsid w:val="005D6540"/>
    <w:rsid w:val="005D69B0"/>
    <w:rsid w:val="005D763C"/>
    <w:rsid w:val="005E056A"/>
    <w:rsid w:val="005E1FC1"/>
    <w:rsid w:val="005E20C2"/>
    <w:rsid w:val="005E2DED"/>
    <w:rsid w:val="005E3BD4"/>
    <w:rsid w:val="005E44E5"/>
    <w:rsid w:val="005E457C"/>
    <w:rsid w:val="005E4D7C"/>
    <w:rsid w:val="005E5431"/>
    <w:rsid w:val="005E6436"/>
    <w:rsid w:val="005E77EE"/>
    <w:rsid w:val="005E7C1B"/>
    <w:rsid w:val="005E7D60"/>
    <w:rsid w:val="005F0309"/>
    <w:rsid w:val="005F0438"/>
    <w:rsid w:val="005F38E9"/>
    <w:rsid w:val="005F3E70"/>
    <w:rsid w:val="005F4A37"/>
    <w:rsid w:val="005F4EC6"/>
    <w:rsid w:val="005F5009"/>
    <w:rsid w:val="005F5B4F"/>
    <w:rsid w:val="005F5E09"/>
    <w:rsid w:val="005F61B6"/>
    <w:rsid w:val="005F61F3"/>
    <w:rsid w:val="005F6299"/>
    <w:rsid w:val="005F6846"/>
    <w:rsid w:val="005F6F3D"/>
    <w:rsid w:val="005F720E"/>
    <w:rsid w:val="006018AD"/>
    <w:rsid w:val="006046D1"/>
    <w:rsid w:val="00604E51"/>
    <w:rsid w:val="0060519E"/>
    <w:rsid w:val="0060537F"/>
    <w:rsid w:val="0060542F"/>
    <w:rsid w:val="006054DD"/>
    <w:rsid w:val="00605D7E"/>
    <w:rsid w:val="00606944"/>
    <w:rsid w:val="006069A8"/>
    <w:rsid w:val="00606DA6"/>
    <w:rsid w:val="00606F81"/>
    <w:rsid w:val="00607251"/>
    <w:rsid w:val="006107F5"/>
    <w:rsid w:val="006122B7"/>
    <w:rsid w:val="0061238B"/>
    <w:rsid w:val="00612BAE"/>
    <w:rsid w:val="00612C30"/>
    <w:rsid w:val="00613774"/>
    <w:rsid w:val="0061464B"/>
    <w:rsid w:val="00615061"/>
    <w:rsid w:val="00615459"/>
    <w:rsid w:val="00616462"/>
    <w:rsid w:val="00616704"/>
    <w:rsid w:val="00616956"/>
    <w:rsid w:val="00617650"/>
    <w:rsid w:val="00617E33"/>
    <w:rsid w:val="0062052A"/>
    <w:rsid w:val="006223BA"/>
    <w:rsid w:val="006226D9"/>
    <w:rsid w:val="00622A52"/>
    <w:rsid w:val="00622AF7"/>
    <w:rsid w:val="00623364"/>
    <w:rsid w:val="00623F7B"/>
    <w:rsid w:val="006245E8"/>
    <w:rsid w:val="00625C17"/>
    <w:rsid w:val="00626935"/>
    <w:rsid w:val="00626938"/>
    <w:rsid w:val="00626A0C"/>
    <w:rsid w:val="006275F6"/>
    <w:rsid w:val="00627B5C"/>
    <w:rsid w:val="00627B60"/>
    <w:rsid w:val="00627EB9"/>
    <w:rsid w:val="00631F1F"/>
    <w:rsid w:val="006325CB"/>
    <w:rsid w:val="0063297D"/>
    <w:rsid w:val="00632A03"/>
    <w:rsid w:val="006330B2"/>
    <w:rsid w:val="0063315E"/>
    <w:rsid w:val="006345D0"/>
    <w:rsid w:val="0063554E"/>
    <w:rsid w:val="00635588"/>
    <w:rsid w:val="006356DA"/>
    <w:rsid w:val="0063640E"/>
    <w:rsid w:val="00636710"/>
    <w:rsid w:val="00640ADD"/>
    <w:rsid w:val="00641540"/>
    <w:rsid w:val="00641EF6"/>
    <w:rsid w:val="00643CB1"/>
    <w:rsid w:val="00643CD6"/>
    <w:rsid w:val="006447FD"/>
    <w:rsid w:val="00645907"/>
    <w:rsid w:val="00646A08"/>
    <w:rsid w:val="00647401"/>
    <w:rsid w:val="0065089B"/>
    <w:rsid w:val="006526BF"/>
    <w:rsid w:val="00654593"/>
    <w:rsid w:val="00657345"/>
    <w:rsid w:val="006576F7"/>
    <w:rsid w:val="00660769"/>
    <w:rsid w:val="0066183F"/>
    <w:rsid w:val="00662082"/>
    <w:rsid w:val="0066221A"/>
    <w:rsid w:val="00662243"/>
    <w:rsid w:val="0066319B"/>
    <w:rsid w:val="006634A4"/>
    <w:rsid w:val="006653BE"/>
    <w:rsid w:val="00666257"/>
    <w:rsid w:val="00666FC4"/>
    <w:rsid w:val="0067037F"/>
    <w:rsid w:val="00671B9B"/>
    <w:rsid w:val="00674066"/>
    <w:rsid w:val="006744D5"/>
    <w:rsid w:val="00674E0C"/>
    <w:rsid w:val="006753F7"/>
    <w:rsid w:val="00675C9E"/>
    <w:rsid w:val="00675F90"/>
    <w:rsid w:val="0067768F"/>
    <w:rsid w:val="0068057C"/>
    <w:rsid w:val="00680980"/>
    <w:rsid w:val="0068163A"/>
    <w:rsid w:val="00681B2D"/>
    <w:rsid w:val="00682DF4"/>
    <w:rsid w:val="00683008"/>
    <w:rsid w:val="0068434B"/>
    <w:rsid w:val="006852AB"/>
    <w:rsid w:val="00685339"/>
    <w:rsid w:val="00685900"/>
    <w:rsid w:val="0068656B"/>
    <w:rsid w:val="006871C6"/>
    <w:rsid w:val="006875EA"/>
    <w:rsid w:val="00687888"/>
    <w:rsid w:val="00687E88"/>
    <w:rsid w:val="00690092"/>
    <w:rsid w:val="0069050B"/>
    <w:rsid w:val="00691023"/>
    <w:rsid w:val="006921AA"/>
    <w:rsid w:val="0069235E"/>
    <w:rsid w:val="0069442B"/>
    <w:rsid w:val="00694F5D"/>
    <w:rsid w:val="00697536"/>
    <w:rsid w:val="00697CB3"/>
    <w:rsid w:val="006A065A"/>
    <w:rsid w:val="006A0790"/>
    <w:rsid w:val="006A0B34"/>
    <w:rsid w:val="006A0B78"/>
    <w:rsid w:val="006A1854"/>
    <w:rsid w:val="006A2617"/>
    <w:rsid w:val="006A264B"/>
    <w:rsid w:val="006A2859"/>
    <w:rsid w:val="006A3B4A"/>
    <w:rsid w:val="006A484F"/>
    <w:rsid w:val="006A56EC"/>
    <w:rsid w:val="006A607D"/>
    <w:rsid w:val="006A79E1"/>
    <w:rsid w:val="006B1074"/>
    <w:rsid w:val="006B1CB1"/>
    <w:rsid w:val="006B1F60"/>
    <w:rsid w:val="006B34FE"/>
    <w:rsid w:val="006B3CDA"/>
    <w:rsid w:val="006B3F61"/>
    <w:rsid w:val="006B43D6"/>
    <w:rsid w:val="006B4938"/>
    <w:rsid w:val="006B5825"/>
    <w:rsid w:val="006B6ACF"/>
    <w:rsid w:val="006B713F"/>
    <w:rsid w:val="006B76EF"/>
    <w:rsid w:val="006C0E4C"/>
    <w:rsid w:val="006C250D"/>
    <w:rsid w:val="006C282F"/>
    <w:rsid w:val="006C2C69"/>
    <w:rsid w:val="006C2F25"/>
    <w:rsid w:val="006C3F14"/>
    <w:rsid w:val="006C699F"/>
    <w:rsid w:val="006C7326"/>
    <w:rsid w:val="006C7602"/>
    <w:rsid w:val="006D0635"/>
    <w:rsid w:val="006D0F42"/>
    <w:rsid w:val="006D41ED"/>
    <w:rsid w:val="006D6B9C"/>
    <w:rsid w:val="006D7F0E"/>
    <w:rsid w:val="006E0901"/>
    <w:rsid w:val="006E0B95"/>
    <w:rsid w:val="006E0D8F"/>
    <w:rsid w:val="006E1FE6"/>
    <w:rsid w:val="006E2907"/>
    <w:rsid w:val="006E2C2C"/>
    <w:rsid w:val="006E3018"/>
    <w:rsid w:val="006E3137"/>
    <w:rsid w:val="006E3A4C"/>
    <w:rsid w:val="006E42A3"/>
    <w:rsid w:val="006E42A7"/>
    <w:rsid w:val="006E44C0"/>
    <w:rsid w:val="006E538B"/>
    <w:rsid w:val="006E596F"/>
    <w:rsid w:val="006E641F"/>
    <w:rsid w:val="006E7E83"/>
    <w:rsid w:val="006E7E99"/>
    <w:rsid w:val="006F08E4"/>
    <w:rsid w:val="006F1E22"/>
    <w:rsid w:val="006F3D42"/>
    <w:rsid w:val="006F75A0"/>
    <w:rsid w:val="006F7B28"/>
    <w:rsid w:val="007004E8"/>
    <w:rsid w:val="00700785"/>
    <w:rsid w:val="00701055"/>
    <w:rsid w:val="00701254"/>
    <w:rsid w:val="00702666"/>
    <w:rsid w:val="00702CFF"/>
    <w:rsid w:val="00703CC0"/>
    <w:rsid w:val="00706E50"/>
    <w:rsid w:val="00707619"/>
    <w:rsid w:val="007112F0"/>
    <w:rsid w:val="00712699"/>
    <w:rsid w:val="007128D1"/>
    <w:rsid w:val="00712D67"/>
    <w:rsid w:val="00713871"/>
    <w:rsid w:val="00714014"/>
    <w:rsid w:val="00715480"/>
    <w:rsid w:val="0071615B"/>
    <w:rsid w:val="0071679F"/>
    <w:rsid w:val="00716FD1"/>
    <w:rsid w:val="00717D92"/>
    <w:rsid w:val="007201BC"/>
    <w:rsid w:val="00720C34"/>
    <w:rsid w:val="007216E2"/>
    <w:rsid w:val="00721790"/>
    <w:rsid w:val="00723C6C"/>
    <w:rsid w:val="00724EE7"/>
    <w:rsid w:val="00725649"/>
    <w:rsid w:val="00725827"/>
    <w:rsid w:val="007261D8"/>
    <w:rsid w:val="00726EC3"/>
    <w:rsid w:val="00726EF6"/>
    <w:rsid w:val="007271B0"/>
    <w:rsid w:val="00731446"/>
    <w:rsid w:val="0073153E"/>
    <w:rsid w:val="0073195D"/>
    <w:rsid w:val="007330CD"/>
    <w:rsid w:val="00734280"/>
    <w:rsid w:val="007342F1"/>
    <w:rsid w:val="007351EA"/>
    <w:rsid w:val="00735E79"/>
    <w:rsid w:val="00736F74"/>
    <w:rsid w:val="007372B2"/>
    <w:rsid w:val="0073785B"/>
    <w:rsid w:val="00737C07"/>
    <w:rsid w:val="007428C7"/>
    <w:rsid w:val="00743088"/>
    <w:rsid w:val="0074329E"/>
    <w:rsid w:val="007438AE"/>
    <w:rsid w:val="0074414E"/>
    <w:rsid w:val="00744B9D"/>
    <w:rsid w:val="00744D61"/>
    <w:rsid w:val="00745284"/>
    <w:rsid w:val="007459A0"/>
    <w:rsid w:val="00746289"/>
    <w:rsid w:val="00747511"/>
    <w:rsid w:val="00747AD3"/>
    <w:rsid w:val="00747FE8"/>
    <w:rsid w:val="007500D7"/>
    <w:rsid w:val="00750715"/>
    <w:rsid w:val="00751C23"/>
    <w:rsid w:val="007523E1"/>
    <w:rsid w:val="0075353E"/>
    <w:rsid w:val="00753DE5"/>
    <w:rsid w:val="00755207"/>
    <w:rsid w:val="00756C40"/>
    <w:rsid w:val="007570A6"/>
    <w:rsid w:val="0075773B"/>
    <w:rsid w:val="00757A0C"/>
    <w:rsid w:val="00757C0A"/>
    <w:rsid w:val="00760586"/>
    <w:rsid w:val="007610C7"/>
    <w:rsid w:val="007615C9"/>
    <w:rsid w:val="00761850"/>
    <w:rsid w:val="00761D10"/>
    <w:rsid w:val="007622EF"/>
    <w:rsid w:val="00762EF8"/>
    <w:rsid w:val="00763657"/>
    <w:rsid w:val="00765126"/>
    <w:rsid w:val="00766391"/>
    <w:rsid w:val="0076789F"/>
    <w:rsid w:val="00767B56"/>
    <w:rsid w:val="00767BCD"/>
    <w:rsid w:val="00767FBF"/>
    <w:rsid w:val="007707C9"/>
    <w:rsid w:val="00771022"/>
    <w:rsid w:val="007717A9"/>
    <w:rsid w:val="00772A6E"/>
    <w:rsid w:val="00772CE2"/>
    <w:rsid w:val="00773D29"/>
    <w:rsid w:val="00773D5C"/>
    <w:rsid w:val="00774F2E"/>
    <w:rsid w:val="00775C82"/>
    <w:rsid w:val="007802EB"/>
    <w:rsid w:val="00780B04"/>
    <w:rsid w:val="00780B73"/>
    <w:rsid w:val="00781112"/>
    <w:rsid w:val="007844ED"/>
    <w:rsid w:val="00784AD0"/>
    <w:rsid w:val="00784BC1"/>
    <w:rsid w:val="0078576B"/>
    <w:rsid w:val="007858FF"/>
    <w:rsid w:val="00785D16"/>
    <w:rsid w:val="00791C49"/>
    <w:rsid w:val="00791C9D"/>
    <w:rsid w:val="00791CFE"/>
    <w:rsid w:val="007922CB"/>
    <w:rsid w:val="0079235D"/>
    <w:rsid w:val="00793191"/>
    <w:rsid w:val="00793254"/>
    <w:rsid w:val="00793A58"/>
    <w:rsid w:val="007945EF"/>
    <w:rsid w:val="00794E47"/>
    <w:rsid w:val="00795B4F"/>
    <w:rsid w:val="00797C74"/>
    <w:rsid w:val="007A03E1"/>
    <w:rsid w:val="007A0598"/>
    <w:rsid w:val="007A0BF5"/>
    <w:rsid w:val="007A10BE"/>
    <w:rsid w:val="007A1ADD"/>
    <w:rsid w:val="007A2D62"/>
    <w:rsid w:val="007A2DAA"/>
    <w:rsid w:val="007A434E"/>
    <w:rsid w:val="007A4A0A"/>
    <w:rsid w:val="007A52CB"/>
    <w:rsid w:val="007A6140"/>
    <w:rsid w:val="007A6C79"/>
    <w:rsid w:val="007A7C38"/>
    <w:rsid w:val="007B0390"/>
    <w:rsid w:val="007B0DE4"/>
    <w:rsid w:val="007B136D"/>
    <w:rsid w:val="007B17F9"/>
    <w:rsid w:val="007B30C5"/>
    <w:rsid w:val="007B340C"/>
    <w:rsid w:val="007B35B6"/>
    <w:rsid w:val="007B54D4"/>
    <w:rsid w:val="007B552D"/>
    <w:rsid w:val="007B6271"/>
    <w:rsid w:val="007B6414"/>
    <w:rsid w:val="007B65C4"/>
    <w:rsid w:val="007B749D"/>
    <w:rsid w:val="007C0418"/>
    <w:rsid w:val="007C04D1"/>
    <w:rsid w:val="007C05EB"/>
    <w:rsid w:val="007C105C"/>
    <w:rsid w:val="007C1463"/>
    <w:rsid w:val="007C1935"/>
    <w:rsid w:val="007C1E22"/>
    <w:rsid w:val="007C2A01"/>
    <w:rsid w:val="007C35A2"/>
    <w:rsid w:val="007C3785"/>
    <w:rsid w:val="007C394C"/>
    <w:rsid w:val="007C3D8C"/>
    <w:rsid w:val="007C6831"/>
    <w:rsid w:val="007C756F"/>
    <w:rsid w:val="007C7A44"/>
    <w:rsid w:val="007C7A64"/>
    <w:rsid w:val="007C7B94"/>
    <w:rsid w:val="007C7BF4"/>
    <w:rsid w:val="007C7C84"/>
    <w:rsid w:val="007C7CDE"/>
    <w:rsid w:val="007D049D"/>
    <w:rsid w:val="007D04E2"/>
    <w:rsid w:val="007D08FE"/>
    <w:rsid w:val="007D0EE4"/>
    <w:rsid w:val="007D1314"/>
    <w:rsid w:val="007D1DF4"/>
    <w:rsid w:val="007D209F"/>
    <w:rsid w:val="007D20E0"/>
    <w:rsid w:val="007D2251"/>
    <w:rsid w:val="007D22F6"/>
    <w:rsid w:val="007D24D8"/>
    <w:rsid w:val="007D28E6"/>
    <w:rsid w:val="007D296E"/>
    <w:rsid w:val="007D37CE"/>
    <w:rsid w:val="007D3EDD"/>
    <w:rsid w:val="007D708F"/>
    <w:rsid w:val="007E0579"/>
    <w:rsid w:val="007E13D2"/>
    <w:rsid w:val="007E1E27"/>
    <w:rsid w:val="007E30A3"/>
    <w:rsid w:val="007E49C2"/>
    <w:rsid w:val="007E5D00"/>
    <w:rsid w:val="007F034D"/>
    <w:rsid w:val="007F0427"/>
    <w:rsid w:val="007F2969"/>
    <w:rsid w:val="007F501B"/>
    <w:rsid w:val="007F799B"/>
    <w:rsid w:val="00801DA7"/>
    <w:rsid w:val="00801FA3"/>
    <w:rsid w:val="00802358"/>
    <w:rsid w:val="00803596"/>
    <w:rsid w:val="00805A3D"/>
    <w:rsid w:val="00807C93"/>
    <w:rsid w:val="00810AD4"/>
    <w:rsid w:val="00811923"/>
    <w:rsid w:val="008147A0"/>
    <w:rsid w:val="0081662F"/>
    <w:rsid w:val="008170E9"/>
    <w:rsid w:val="0081751C"/>
    <w:rsid w:val="008200F0"/>
    <w:rsid w:val="0082131A"/>
    <w:rsid w:val="008213C8"/>
    <w:rsid w:val="008223BC"/>
    <w:rsid w:val="00822565"/>
    <w:rsid w:val="0082260A"/>
    <w:rsid w:val="008241D4"/>
    <w:rsid w:val="00825B5C"/>
    <w:rsid w:val="008262C3"/>
    <w:rsid w:val="00826710"/>
    <w:rsid w:val="008276D1"/>
    <w:rsid w:val="00827FF5"/>
    <w:rsid w:val="00830158"/>
    <w:rsid w:val="00832CBD"/>
    <w:rsid w:val="008331C4"/>
    <w:rsid w:val="008333E7"/>
    <w:rsid w:val="0083396E"/>
    <w:rsid w:val="00833B70"/>
    <w:rsid w:val="008344EA"/>
    <w:rsid w:val="00834CA0"/>
    <w:rsid w:val="008352F9"/>
    <w:rsid w:val="008363C5"/>
    <w:rsid w:val="00837650"/>
    <w:rsid w:val="008377AB"/>
    <w:rsid w:val="00837842"/>
    <w:rsid w:val="008412A3"/>
    <w:rsid w:val="0084218E"/>
    <w:rsid w:val="00843137"/>
    <w:rsid w:val="00843F38"/>
    <w:rsid w:val="008443E4"/>
    <w:rsid w:val="00845359"/>
    <w:rsid w:val="00845462"/>
    <w:rsid w:val="0084547F"/>
    <w:rsid w:val="00846056"/>
    <w:rsid w:val="008468F5"/>
    <w:rsid w:val="00847AD9"/>
    <w:rsid w:val="00850C09"/>
    <w:rsid w:val="0085176B"/>
    <w:rsid w:val="00851AB3"/>
    <w:rsid w:val="008530C9"/>
    <w:rsid w:val="0085462D"/>
    <w:rsid w:val="008548F8"/>
    <w:rsid w:val="00854A08"/>
    <w:rsid w:val="00855DD9"/>
    <w:rsid w:val="00856641"/>
    <w:rsid w:val="00856ACD"/>
    <w:rsid w:val="00856EDD"/>
    <w:rsid w:val="008600DD"/>
    <w:rsid w:val="00860320"/>
    <w:rsid w:val="00860849"/>
    <w:rsid w:val="00860DBE"/>
    <w:rsid w:val="008612DC"/>
    <w:rsid w:val="0086313F"/>
    <w:rsid w:val="00864F29"/>
    <w:rsid w:val="00864F2B"/>
    <w:rsid w:val="0086696A"/>
    <w:rsid w:val="0086749F"/>
    <w:rsid w:val="0087043A"/>
    <w:rsid w:val="008717F4"/>
    <w:rsid w:val="00871948"/>
    <w:rsid w:val="008719A8"/>
    <w:rsid w:val="0087218C"/>
    <w:rsid w:val="00872735"/>
    <w:rsid w:val="00873530"/>
    <w:rsid w:val="00874063"/>
    <w:rsid w:val="00874452"/>
    <w:rsid w:val="00874C45"/>
    <w:rsid w:val="008750E5"/>
    <w:rsid w:val="00875A78"/>
    <w:rsid w:val="00875C2D"/>
    <w:rsid w:val="00875FEB"/>
    <w:rsid w:val="008806B8"/>
    <w:rsid w:val="00880772"/>
    <w:rsid w:val="00882FAB"/>
    <w:rsid w:val="008832FB"/>
    <w:rsid w:val="008837DB"/>
    <w:rsid w:val="0088617B"/>
    <w:rsid w:val="008861F0"/>
    <w:rsid w:val="00887A07"/>
    <w:rsid w:val="00887CBF"/>
    <w:rsid w:val="00890B6D"/>
    <w:rsid w:val="008913C6"/>
    <w:rsid w:val="0089141F"/>
    <w:rsid w:val="008918B6"/>
    <w:rsid w:val="00891AB7"/>
    <w:rsid w:val="00891C3C"/>
    <w:rsid w:val="0089246A"/>
    <w:rsid w:val="00892890"/>
    <w:rsid w:val="00892DB3"/>
    <w:rsid w:val="008935B8"/>
    <w:rsid w:val="00893ED1"/>
    <w:rsid w:val="008945BF"/>
    <w:rsid w:val="008949C3"/>
    <w:rsid w:val="0089594D"/>
    <w:rsid w:val="00895FB9"/>
    <w:rsid w:val="00896FA9"/>
    <w:rsid w:val="00897B44"/>
    <w:rsid w:val="008A1420"/>
    <w:rsid w:val="008A15C3"/>
    <w:rsid w:val="008A1657"/>
    <w:rsid w:val="008A2374"/>
    <w:rsid w:val="008A2398"/>
    <w:rsid w:val="008A2ECC"/>
    <w:rsid w:val="008A3072"/>
    <w:rsid w:val="008A39A8"/>
    <w:rsid w:val="008A3FE8"/>
    <w:rsid w:val="008A4612"/>
    <w:rsid w:val="008A46A4"/>
    <w:rsid w:val="008A55E5"/>
    <w:rsid w:val="008A6682"/>
    <w:rsid w:val="008A710A"/>
    <w:rsid w:val="008A72C0"/>
    <w:rsid w:val="008B0DAB"/>
    <w:rsid w:val="008B14C8"/>
    <w:rsid w:val="008B25E5"/>
    <w:rsid w:val="008B3166"/>
    <w:rsid w:val="008B35DE"/>
    <w:rsid w:val="008B38AC"/>
    <w:rsid w:val="008B43C3"/>
    <w:rsid w:val="008B4D56"/>
    <w:rsid w:val="008B4FB2"/>
    <w:rsid w:val="008B7898"/>
    <w:rsid w:val="008B7B9E"/>
    <w:rsid w:val="008C0D94"/>
    <w:rsid w:val="008C0EC1"/>
    <w:rsid w:val="008C1B63"/>
    <w:rsid w:val="008C1D16"/>
    <w:rsid w:val="008C1E84"/>
    <w:rsid w:val="008C3105"/>
    <w:rsid w:val="008C379F"/>
    <w:rsid w:val="008C400E"/>
    <w:rsid w:val="008C6EBC"/>
    <w:rsid w:val="008D0455"/>
    <w:rsid w:val="008D0DD8"/>
    <w:rsid w:val="008D1492"/>
    <w:rsid w:val="008D21A4"/>
    <w:rsid w:val="008D3AC3"/>
    <w:rsid w:val="008D3FF9"/>
    <w:rsid w:val="008D4288"/>
    <w:rsid w:val="008D4C30"/>
    <w:rsid w:val="008D509B"/>
    <w:rsid w:val="008D5219"/>
    <w:rsid w:val="008D5CB2"/>
    <w:rsid w:val="008D6DAF"/>
    <w:rsid w:val="008D79AB"/>
    <w:rsid w:val="008E044B"/>
    <w:rsid w:val="008E07AC"/>
    <w:rsid w:val="008E137B"/>
    <w:rsid w:val="008E17F9"/>
    <w:rsid w:val="008E192E"/>
    <w:rsid w:val="008E2A22"/>
    <w:rsid w:val="008E3789"/>
    <w:rsid w:val="008E3DC4"/>
    <w:rsid w:val="008E4B67"/>
    <w:rsid w:val="008E5338"/>
    <w:rsid w:val="008E6263"/>
    <w:rsid w:val="008E75AA"/>
    <w:rsid w:val="008E7767"/>
    <w:rsid w:val="008F1218"/>
    <w:rsid w:val="008F1906"/>
    <w:rsid w:val="008F2AC8"/>
    <w:rsid w:val="008F3D2E"/>
    <w:rsid w:val="008F3EF3"/>
    <w:rsid w:val="008F554F"/>
    <w:rsid w:val="008F599A"/>
    <w:rsid w:val="008F5DF8"/>
    <w:rsid w:val="008F5FAF"/>
    <w:rsid w:val="008F6ECD"/>
    <w:rsid w:val="008F7338"/>
    <w:rsid w:val="008F77D0"/>
    <w:rsid w:val="009002C3"/>
    <w:rsid w:val="0090058E"/>
    <w:rsid w:val="009006D1"/>
    <w:rsid w:val="009008EF"/>
    <w:rsid w:val="009022B3"/>
    <w:rsid w:val="0090244C"/>
    <w:rsid w:val="0090312A"/>
    <w:rsid w:val="00903B14"/>
    <w:rsid w:val="00903DA1"/>
    <w:rsid w:val="009057EC"/>
    <w:rsid w:val="0090713D"/>
    <w:rsid w:val="009078E7"/>
    <w:rsid w:val="00910D59"/>
    <w:rsid w:val="00911755"/>
    <w:rsid w:val="00911D07"/>
    <w:rsid w:val="00912059"/>
    <w:rsid w:val="0091344B"/>
    <w:rsid w:val="0091366E"/>
    <w:rsid w:val="0091485C"/>
    <w:rsid w:val="00915B4B"/>
    <w:rsid w:val="0091615E"/>
    <w:rsid w:val="00917936"/>
    <w:rsid w:val="0092028C"/>
    <w:rsid w:val="00920478"/>
    <w:rsid w:val="00921AE5"/>
    <w:rsid w:val="00921EE3"/>
    <w:rsid w:val="009220C2"/>
    <w:rsid w:val="00922CAA"/>
    <w:rsid w:val="0092317C"/>
    <w:rsid w:val="0092387C"/>
    <w:rsid w:val="009256C5"/>
    <w:rsid w:val="00927209"/>
    <w:rsid w:val="00927F3C"/>
    <w:rsid w:val="0093016B"/>
    <w:rsid w:val="009303E4"/>
    <w:rsid w:val="0093073C"/>
    <w:rsid w:val="0093076C"/>
    <w:rsid w:val="00930CA0"/>
    <w:rsid w:val="0093162E"/>
    <w:rsid w:val="009316EC"/>
    <w:rsid w:val="00931F0C"/>
    <w:rsid w:val="00932129"/>
    <w:rsid w:val="00933419"/>
    <w:rsid w:val="00933B4C"/>
    <w:rsid w:val="00933FA8"/>
    <w:rsid w:val="00934DBA"/>
    <w:rsid w:val="0093521A"/>
    <w:rsid w:val="0093538D"/>
    <w:rsid w:val="009353AC"/>
    <w:rsid w:val="00935D35"/>
    <w:rsid w:val="00936B2C"/>
    <w:rsid w:val="00936E8A"/>
    <w:rsid w:val="0094073F"/>
    <w:rsid w:val="00940C01"/>
    <w:rsid w:val="00941BCA"/>
    <w:rsid w:val="00941CAD"/>
    <w:rsid w:val="00941F49"/>
    <w:rsid w:val="009425B1"/>
    <w:rsid w:val="00942C01"/>
    <w:rsid w:val="00943FD8"/>
    <w:rsid w:val="00944706"/>
    <w:rsid w:val="00945039"/>
    <w:rsid w:val="009453C0"/>
    <w:rsid w:val="00945BB8"/>
    <w:rsid w:val="00945D38"/>
    <w:rsid w:val="00945D40"/>
    <w:rsid w:val="009471E4"/>
    <w:rsid w:val="0095140B"/>
    <w:rsid w:val="00951C6F"/>
    <w:rsid w:val="009530A4"/>
    <w:rsid w:val="00953E93"/>
    <w:rsid w:val="00954085"/>
    <w:rsid w:val="00955CDA"/>
    <w:rsid w:val="00957481"/>
    <w:rsid w:val="009576B7"/>
    <w:rsid w:val="0095770C"/>
    <w:rsid w:val="009601E4"/>
    <w:rsid w:val="0096079A"/>
    <w:rsid w:val="009612B3"/>
    <w:rsid w:val="0096336A"/>
    <w:rsid w:val="009634F5"/>
    <w:rsid w:val="009656A4"/>
    <w:rsid w:val="0096659F"/>
    <w:rsid w:val="00966921"/>
    <w:rsid w:val="009670B7"/>
    <w:rsid w:val="00970561"/>
    <w:rsid w:val="00972B5B"/>
    <w:rsid w:val="00972C08"/>
    <w:rsid w:val="009731AE"/>
    <w:rsid w:val="00974028"/>
    <w:rsid w:val="009744D5"/>
    <w:rsid w:val="00977CB0"/>
    <w:rsid w:val="00980D77"/>
    <w:rsid w:val="00981237"/>
    <w:rsid w:val="009831CF"/>
    <w:rsid w:val="0098343B"/>
    <w:rsid w:val="00984B90"/>
    <w:rsid w:val="00985C10"/>
    <w:rsid w:val="0098777F"/>
    <w:rsid w:val="00987C9C"/>
    <w:rsid w:val="0099005D"/>
    <w:rsid w:val="00990B7D"/>
    <w:rsid w:val="00991D26"/>
    <w:rsid w:val="0099253F"/>
    <w:rsid w:val="0099267D"/>
    <w:rsid w:val="009930DD"/>
    <w:rsid w:val="00993172"/>
    <w:rsid w:val="00994003"/>
    <w:rsid w:val="009948E6"/>
    <w:rsid w:val="00994A87"/>
    <w:rsid w:val="00994CF6"/>
    <w:rsid w:val="0099581E"/>
    <w:rsid w:val="00995FDE"/>
    <w:rsid w:val="00996522"/>
    <w:rsid w:val="00997188"/>
    <w:rsid w:val="00997365"/>
    <w:rsid w:val="009973C8"/>
    <w:rsid w:val="009974E0"/>
    <w:rsid w:val="009A02FD"/>
    <w:rsid w:val="009A168F"/>
    <w:rsid w:val="009A16B7"/>
    <w:rsid w:val="009A386E"/>
    <w:rsid w:val="009A4624"/>
    <w:rsid w:val="009A4AD4"/>
    <w:rsid w:val="009A6127"/>
    <w:rsid w:val="009A6963"/>
    <w:rsid w:val="009A77BD"/>
    <w:rsid w:val="009B0B2D"/>
    <w:rsid w:val="009B0F28"/>
    <w:rsid w:val="009B14F7"/>
    <w:rsid w:val="009B19C6"/>
    <w:rsid w:val="009B1DB8"/>
    <w:rsid w:val="009B1E35"/>
    <w:rsid w:val="009B2D0F"/>
    <w:rsid w:val="009B3C07"/>
    <w:rsid w:val="009B3C3C"/>
    <w:rsid w:val="009B3F37"/>
    <w:rsid w:val="009B42CF"/>
    <w:rsid w:val="009B51FA"/>
    <w:rsid w:val="009B6375"/>
    <w:rsid w:val="009B7BCF"/>
    <w:rsid w:val="009B7E7E"/>
    <w:rsid w:val="009B7EFF"/>
    <w:rsid w:val="009C021D"/>
    <w:rsid w:val="009C0695"/>
    <w:rsid w:val="009C0EC6"/>
    <w:rsid w:val="009C3678"/>
    <w:rsid w:val="009C3C1E"/>
    <w:rsid w:val="009C44C9"/>
    <w:rsid w:val="009C50B6"/>
    <w:rsid w:val="009C5A28"/>
    <w:rsid w:val="009C6931"/>
    <w:rsid w:val="009C7E9C"/>
    <w:rsid w:val="009C7F7C"/>
    <w:rsid w:val="009D001E"/>
    <w:rsid w:val="009D06C6"/>
    <w:rsid w:val="009D1165"/>
    <w:rsid w:val="009D1C1E"/>
    <w:rsid w:val="009D293D"/>
    <w:rsid w:val="009D3333"/>
    <w:rsid w:val="009D37F2"/>
    <w:rsid w:val="009D44F2"/>
    <w:rsid w:val="009D451D"/>
    <w:rsid w:val="009D4BFD"/>
    <w:rsid w:val="009D4E8D"/>
    <w:rsid w:val="009D50FD"/>
    <w:rsid w:val="009D5653"/>
    <w:rsid w:val="009D58A0"/>
    <w:rsid w:val="009D5BC0"/>
    <w:rsid w:val="009D6411"/>
    <w:rsid w:val="009D656A"/>
    <w:rsid w:val="009D68DA"/>
    <w:rsid w:val="009D74C0"/>
    <w:rsid w:val="009D7D7B"/>
    <w:rsid w:val="009E0379"/>
    <w:rsid w:val="009E096A"/>
    <w:rsid w:val="009E13ED"/>
    <w:rsid w:val="009E145B"/>
    <w:rsid w:val="009E1550"/>
    <w:rsid w:val="009E19D1"/>
    <w:rsid w:val="009E2A30"/>
    <w:rsid w:val="009E2DCF"/>
    <w:rsid w:val="009E3211"/>
    <w:rsid w:val="009E3772"/>
    <w:rsid w:val="009E3B6D"/>
    <w:rsid w:val="009E508F"/>
    <w:rsid w:val="009E567C"/>
    <w:rsid w:val="009E5A4E"/>
    <w:rsid w:val="009E7F28"/>
    <w:rsid w:val="009F12D2"/>
    <w:rsid w:val="009F17AD"/>
    <w:rsid w:val="009F2ADD"/>
    <w:rsid w:val="009F3564"/>
    <w:rsid w:val="009F369C"/>
    <w:rsid w:val="009F3B72"/>
    <w:rsid w:val="009F4672"/>
    <w:rsid w:val="009F46D8"/>
    <w:rsid w:val="009F4786"/>
    <w:rsid w:val="009F5239"/>
    <w:rsid w:val="009F6797"/>
    <w:rsid w:val="009F7C4F"/>
    <w:rsid w:val="00A00A6B"/>
    <w:rsid w:val="00A00E22"/>
    <w:rsid w:val="00A00E57"/>
    <w:rsid w:val="00A01049"/>
    <w:rsid w:val="00A02F96"/>
    <w:rsid w:val="00A037AF"/>
    <w:rsid w:val="00A0402B"/>
    <w:rsid w:val="00A05323"/>
    <w:rsid w:val="00A057FD"/>
    <w:rsid w:val="00A07354"/>
    <w:rsid w:val="00A075CF"/>
    <w:rsid w:val="00A07D48"/>
    <w:rsid w:val="00A104FC"/>
    <w:rsid w:val="00A109CF"/>
    <w:rsid w:val="00A11143"/>
    <w:rsid w:val="00A1133E"/>
    <w:rsid w:val="00A132D0"/>
    <w:rsid w:val="00A134D6"/>
    <w:rsid w:val="00A13507"/>
    <w:rsid w:val="00A1395D"/>
    <w:rsid w:val="00A14944"/>
    <w:rsid w:val="00A15706"/>
    <w:rsid w:val="00A17AD4"/>
    <w:rsid w:val="00A21534"/>
    <w:rsid w:val="00A2164D"/>
    <w:rsid w:val="00A21AFA"/>
    <w:rsid w:val="00A2204A"/>
    <w:rsid w:val="00A24754"/>
    <w:rsid w:val="00A24D62"/>
    <w:rsid w:val="00A2508F"/>
    <w:rsid w:val="00A26C5F"/>
    <w:rsid w:val="00A27AF0"/>
    <w:rsid w:val="00A302E4"/>
    <w:rsid w:val="00A30A80"/>
    <w:rsid w:val="00A317A2"/>
    <w:rsid w:val="00A31975"/>
    <w:rsid w:val="00A31BF8"/>
    <w:rsid w:val="00A3211D"/>
    <w:rsid w:val="00A32728"/>
    <w:rsid w:val="00A330B8"/>
    <w:rsid w:val="00A33704"/>
    <w:rsid w:val="00A33FA7"/>
    <w:rsid w:val="00A3507F"/>
    <w:rsid w:val="00A37CA4"/>
    <w:rsid w:val="00A37EE6"/>
    <w:rsid w:val="00A40555"/>
    <w:rsid w:val="00A42E9A"/>
    <w:rsid w:val="00A42EBC"/>
    <w:rsid w:val="00A436FB"/>
    <w:rsid w:val="00A43D2C"/>
    <w:rsid w:val="00A44695"/>
    <w:rsid w:val="00A46081"/>
    <w:rsid w:val="00A460EA"/>
    <w:rsid w:val="00A46A15"/>
    <w:rsid w:val="00A46B17"/>
    <w:rsid w:val="00A47001"/>
    <w:rsid w:val="00A477BA"/>
    <w:rsid w:val="00A47A4F"/>
    <w:rsid w:val="00A5166D"/>
    <w:rsid w:val="00A52AC7"/>
    <w:rsid w:val="00A52BCE"/>
    <w:rsid w:val="00A52CB4"/>
    <w:rsid w:val="00A532CF"/>
    <w:rsid w:val="00A5407F"/>
    <w:rsid w:val="00A54119"/>
    <w:rsid w:val="00A54D20"/>
    <w:rsid w:val="00A606E9"/>
    <w:rsid w:val="00A60985"/>
    <w:rsid w:val="00A619B2"/>
    <w:rsid w:val="00A62951"/>
    <w:rsid w:val="00A632CE"/>
    <w:rsid w:val="00A6371D"/>
    <w:rsid w:val="00A64417"/>
    <w:rsid w:val="00A644CA"/>
    <w:rsid w:val="00A65A6F"/>
    <w:rsid w:val="00A65FB5"/>
    <w:rsid w:val="00A6799A"/>
    <w:rsid w:val="00A67BD5"/>
    <w:rsid w:val="00A70FBB"/>
    <w:rsid w:val="00A717B3"/>
    <w:rsid w:val="00A7255C"/>
    <w:rsid w:val="00A725BE"/>
    <w:rsid w:val="00A72FD0"/>
    <w:rsid w:val="00A736FC"/>
    <w:rsid w:val="00A7742E"/>
    <w:rsid w:val="00A80839"/>
    <w:rsid w:val="00A80908"/>
    <w:rsid w:val="00A81A35"/>
    <w:rsid w:val="00A82009"/>
    <w:rsid w:val="00A82AC5"/>
    <w:rsid w:val="00A8342B"/>
    <w:rsid w:val="00A83A38"/>
    <w:rsid w:val="00A84112"/>
    <w:rsid w:val="00A846CF"/>
    <w:rsid w:val="00A84764"/>
    <w:rsid w:val="00A84CF7"/>
    <w:rsid w:val="00A85765"/>
    <w:rsid w:val="00A86030"/>
    <w:rsid w:val="00A86604"/>
    <w:rsid w:val="00A86F5A"/>
    <w:rsid w:val="00A877F4"/>
    <w:rsid w:val="00A90FC6"/>
    <w:rsid w:val="00A91514"/>
    <w:rsid w:val="00A92048"/>
    <w:rsid w:val="00A922E6"/>
    <w:rsid w:val="00A92C39"/>
    <w:rsid w:val="00A938B7"/>
    <w:rsid w:val="00A93A96"/>
    <w:rsid w:val="00A94213"/>
    <w:rsid w:val="00A95C4D"/>
    <w:rsid w:val="00A9623D"/>
    <w:rsid w:val="00A96D5A"/>
    <w:rsid w:val="00A96FD0"/>
    <w:rsid w:val="00A9735B"/>
    <w:rsid w:val="00AA1ADF"/>
    <w:rsid w:val="00AA1CAE"/>
    <w:rsid w:val="00AA2347"/>
    <w:rsid w:val="00AA3331"/>
    <w:rsid w:val="00AA6889"/>
    <w:rsid w:val="00AA6F47"/>
    <w:rsid w:val="00AA7580"/>
    <w:rsid w:val="00AA79F1"/>
    <w:rsid w:val="00AA7B10"/>
    <w:rsid w:val="00AB0E2D"/>
    <w:rsid w:val="00AB22BC"/>
    <w:rsid w:val="00AB260A"/>
    <w:rsid w:val="00AB3499"/>
    <w:rsid w:val="00AB3CCD"/>
    <w:rsid w:val="00AB43DD"/>
    <w:rsid w:val="00AB4CF6"/>
    <w:rsid w:val="00AB4DF7"/>
    <w:rsid w:val="00AB50E8"/>
    <w:rsid w:val="00AB58F1"/>
    <w:rsid w:val="00AC0AA0"/>
    <w:rsid w:val="00AC0ED3"/>
    <w:rsid w:val="00AC2159"/>
    <w:rsid w:val="00AC3459"/>
    <w:rsid w:val="00AC4B6A"/>
    <w:rsid w:val="00AC622E"/>
    <w:rsid w:val="00AC67E0"/>
    <w:rsid w:val="00AC6C72"/>
    <w:rsid w:val="00AC6E87"/>
    <w:rsid w:val="00AC6EE2"/>
    <w:rsid w:val="00AC7247"/>
    <w:rsid w:val="00AC74FE"/>
    <w:rsid w:val="00AD0999"/>
    <w:rsid w:val="00AD0C85"/>
    <w:rsid w:val="00AD0F65"/>
    <w:rsid w:val="00AD1A43"/>
    <w:rsid w:val="00AD1C02"/>
    <w:rsid w:val="00AD29F1"/>
    <w:rsid w:val="00AD3557"/>
    <w:rsid w:val="00AD3B60"/>
    <w:rsid w:val="00AD46CD"/>
    <w:rsid w:val="00AD48D0"/>
    <w:rsid w:val="00AD5485"/>
    <w:rsid w:val="00AD57C6"/>
    <w:rsid w:val="00AD57DE"/>
    <w:rsid w:val="00AD6585"/>
    <w:rsid w:val="00AD7162"/>
    <w:rsid w:val="00AD7473"/>
    <w:rsid w:val="00AD7C60"/>
    <w:rsid w:val="00AE05D8"/>
    <w:rsid w:val="00AE08FC"/>
    <w:rsid w:val="00AE0D3A"/>
    <w:rsid w:val="00AE0F18"/>
    <w:rsid w:val="00AE1F6A"/>
    <w:rsid w:val="00AE20A1"/>
    <w:rsid w:val="00AE2933"/>
    <w:rsid w:val="00AE2AD6"/>
    <w:rsid w:val="00AE318F"/>
    <w:rsid w:val="00AE325A"/>
    <w:rsid w:val="00AE32C1"/>
    <w:rsid w:val="00AE41A4"/>
    <w:rsid w:val="00AE4C39"/>
    <w:rsid w:val="00AE7495"/>
    <w:rsid w:val="00AE7861"/>
    <w:rsid w:val="00AE793F"/>
    <w:rsid w:val="00AF0435"/>
    <w:rsid w:val="00AF0BD8"/>
    <w:rsid w:val="00AF29A3"/>
    <w:rsid w:val="00AF34E6"/>
    <w:rsid w:val="00AF40B9"/>
    <w:rsid w:val="00AF77C9"/>
    <w:rsid w:val="00AF7EB5"/>
    <w:rsid w:val="00B009AF"/>
    <w:rsid w:val="00B0118F"/>
    <w:rsid w:val="00B024B7"/>
    <w:rsid w:val="00B028BD"/>
    <w:rsid w:val="00B02AAA"/>
    <w:rsid w:val="00B038A6"/>
    <w:rsid w:val="00B04306"/>
    <w:rsid w:val="00B04480"/>
    <w:rsid w:val="00B0458D"/>
    <w:rsid w:val="00B04799"/>
    <w:rsid w:val="00B05130"/>
    <w:rsid w:val="00B05A0C"/>
    <w:rsid w:val="00B064CD"/>
    <w:rsid w:val="00B103E4"/>
    <w:rsid w:val="00B1043D"/>
    <w:rsid w:val="00B10CA9"/>
    <w:rsid w:val="00B11E19"/>
    <w:rsid w:val="00B12451"/>
    <w:rsid w:val="00B1348C"/>
    <w:rsid w:val="00B13B76"/>
    <w:rsid w:val="00B1409F"/>
    <w:rsid w:val="00B1432E"/>
    <w:rsid w:val="00B14819"/>
    <w:rsid w:val="00B162D0"/>
    <w:rsid w:val="00B16333"/>
    <w:rsid w:val="00B17690"/>
    <w:rsid w:val="00B20787"/>
    <w:rsid w:val="00B20FDF"/>
    <w:rsid w:val="00B222DE"/>
    <w:rsid w:val="00B2325C"/>
    <w:rsid w:val="00B236CB"/>
    <w:rsid w:val="00B23AE7"/>
    <w:rsid w:val="00B25CC1"/>
    <w:rsid w:val="00B25CC8"/>
    <w:rsid w:val="00B267A0"/>
    <w:rsid w:val="00B26CA6"/>
    <w:rsid w:val="00B3206F"/>
    <w:rsid w:val="00B329CD"/>
    <w:rsid w:val="00B32D43"/>
    <w:rsid w:val="00B32E03"/>
    <w:rsid w:val="00B331B2"/>
    <w:rsid w:val="00B3371E"/>
    <w:rsid w:val="00B338D1"/>
    <w:rsid w:val="00B3392B"/>
    <w:rsid w:val="00B34689"/>
    <w:rsid w:val="00B34B3B"/>
    <w:rsid w:val="00B34D1E"/>
    <w:rsid w:val="00B34E83"/>
    <w:rsid w:val="00B35128"/>
    <w:rsid w:val="00B3567D"/>
    <w:rsid w:val="00B3606F"/>
    <w:rsid w:val="00B36873"/>
    <w:rsid w:val="00B3795E"/>
    <w:rsid w:val="00B37A2A"/>
    <w:rsid w:val="00B4127E"/>
    <w:rsid w:val="00B412A1"/>
    <w:rsid w:val="00B413F2"/>
    <w:rsid w:val="00B41871"/>
    <w:rsid w:val="00B422A5"/>
    <w:rsid w:val="00B42A1D"/>
    <w:rsid w:val="00B436F6"/>
    <w:rsid w:val="00B44C1E"/>
    <w:rsid w:val="00B45BB1"/>
    <w:rsid w:val="00B45DE2"/>
    <w:rsid w:val="00B45F41"/>
    <w:rsid w:val="00B46B9C"/>
    <w:rsid w:val="00B46BA3"/>
    <w:rsid w:val="00B46F8E"/>
    <w:rsid w:val="00B47EFE"/>
    <w:rsid w:val="00B50BBC"/>
    <w:rsid w:val="00B50BC3"/>
    <w:rsid w:val="00B516F7"/>
    <w:rsid w:val="00B51CD4"/>
    <w:rsid w:val="00B51FE9"/>
    <w:rsid w:val="00B52F99"/>
    <w:rsid w:val="00B5312D"/>
    <w:rsid w:val="00B53134"/>
    <w:rsid w:val="00B53566"/>
    <w:rsid w:val="00B5387D"/>
    <w:rsid w:val="00B53C1A"/>
    <w:rsid w:val="00B54294"/>
    <w:rsid w:val="00B552D9"/>
    <w:rsid w:val="00B556C6"/>
    <w:rsid w:val="00B556F0"/>
    <w:rsid w:val="00B55820"/>
    <w:rsid w:val="00B55F2A"/>
    <w:rsid w:val="00B567E4"/>
    <w:rsid w:val="00B56B67"/>
    <w:rsid w:val="00B57400"/>
    <w:rsid w:val="00B6105B"/>
    <w:rsid w:val="00B63DFE"/>
    <w:rsid w:val="00B64914"/>
    <w:rsid w:val="00B64E84"/>
    <w:rsid w:val="00B66312"/>
    <w:rsid w:val="00B66465"/>
    <w:rsid w:val="00B6663B"/>
    <w:rsid w:val="00B67523"/>
    <w:rsid w:val="00B7138E"/>
    <w:rsid w:val="00B71F55"/>
    <w:rsid w:val="00B72013"/>
    <w:rsid w:val="00B74421"/>
    <w:rsid w:val="00B74E0C"/>
    <w:rsid w:val="00B758F9"/>
    <w:rsid w:val="00B758FC"/>
    <w:rsid w:val="00B777FC"/>
    <w:rsid w:val="00B77B8C"/>
    <w:rsid w:val="00B811EC"/>
    <w:rsid w:val="00B817A3"/>
    <w:rsid w:val="00B831E5"/>
    <w:rsid w:val="00B83693"/>
    <w:rsid w:val="00B83894"/>
    <w:rsid w:val="00B848C8"/>
    <w:rsid w:val="00B85A2F"/>
    <w:rsid w:val="00B85FCE"/>
    <w:rsid w:val="00B86EAD"/>
    <w:rsid w:val="00B86FCB"/>
    <w:rsid w:val="00B87BD1"/>
    <w:rsid w:val="00B90603"/>
    <w:rsid w:val="00B90699"/>
    <w:rsid w:val="00B90858"/>
    <w:rsid w:val="00B90C81"/>
    <w:rsid w:val="00B90CE7"/>
    <w:rsid w:val="00B910F7"/>
    <w:rsid w:val="00B9156C"/>
    <w:rsid w:val="00B91A48"/>
    <w:rsid w:val="00B92520"/>
    <w:rsid w:val="00B927AA"/>
    <w:rsid w:val="00B93F97"/>
    <w:rsid w:val="00B942FB"/>
    <w:rsid w:val="00B95EE2"/>
    <w:rsid w:val="00B96909"/>
    <w:rsid w:val="00B97BED"/>
    <w:rsid w:val="00B97EDF"/>
    <w:rsid w:val="00BA029E"/>
    <w:rsid w:val="00BA2010"/>
    <w:rsid w:val="00BA23E1"/>
    <w:rsid w:val="00BA4757"/>
    <w:rsid w:val="00BA4D7A"/>
    <w:rsid w:val="00BA6A0C"/>
    <w:rsid w:val="00BA7371"/>
    <w:rsid w:val="00BA75E8"/>
    <w:rsid w:val="00BB0712"/>
    <w:rsid w:val="00BB0928"/>
    <w:rsid w:val="00BB1369"/>
    <w:rsid w:val="00BB1F56"/>
    <w:rsid w:val="00BB1F64"/>
    <w:rsid w:val="00BB40A3"/>
    <w:rsid w:val="00BB4268"/>
    <w:rsid w:val="00BB49CD"/>
    <w:rsid w:val="00BB58C9"/>
    <w:rsid w:val="00BB5F05"/>
    <w:rsid w:val="00BB648B"/>
    <w:rsid w:val="00BB69C1"/>
    <w:rsid w:val="00BC1076"/>
    <w:rsid w:val="00BC3CED"/>
    <w:rsid w:val="00BC3E5A"/>
    <w:rsid w:val="00BC4250"/>
    <w:rsid w:val="00BC429B"/>
    <w:rsid w:val="00BC44BC"/>
    <w:rsid w:val="00BC46B2"/>
    <w:rsid w:val="00BC5321"/>
    <w:rsid w:val="00BC5AF0"/>
    <w:rsid w:val="00BC5CB9"/>
    <w:rsid w:val="00BC6053"/>
    <w:rsid w:val="00BC6C28"/>
    <w:rsid w:val="00BC7B19"/>
    <w:rsid w:val="00BD1E47"/>
    <w:rsid w:val="00BD2165"/>
    <w:rsid w:val="00BD240E"/>
    <w:rsid w:val="00BD3139"/>
    <w:rsid w:val="00BD3998"/>
    <w:rsid w:val="00BD3A73"/>
    <w:rsid w:val="00BD4442"/>
    <w:rsid w:val="00BD4A91"/>
    <w:rsid w:val="00BD5CBB"/>
    <w:rsid w:val="00BD7F3F"/>
    <w:rsid w:val="00BE006A"/>
    <w:rsid w:val="00BE0E27"/>
    <w:rsid w:val="00BE0ED4"/>
    <w:rsid w:val="00BE125C"/>
    <w:rsid w:val="00BE1A93"/>
    <w:rsid w:val="00BE2D8E"/>
    <w:rsid w:val="00BE3CAC"/>
    <w:rsid w:val="00BE569E"/>
    <w:rsid w:val="00BE5B41"/>
    <w:rsid w:val="00BE5CC0"/>
    <w:rsid w:val="00BE5EB7"/>
    <w:rsid w:val="00BE61AD"/>
    <w:rsid w:val="00BE65E7"/>
    <w:rsid w:val="00BE6E47"/>
    <w:rsid w:val="00BF07ED"/>
    <w:rsid w:val="00BF12C9"/>
    <w:rsid w:val="00BF1447"/>
    <w:rsid w:val="00BF15CB"/>
    <w:rsid w:val="00BF18E1"/>
    <w:rsid w:val="00BF26F5"/>
    <w:rsid w:val="00BF30AF"/>
    <w:rsid w:val="00BF3AAA"/>
    <w:rsid w:val="00BF3CE5"/>
    <w:rsid w:val="00BF66CF"/>
    <w:rsid w:val="00BF799D"/>
    <w:rsid w:val="00BF7B12"/>
    <w:rsid w:val="00BF7D50"/>
    <w:rsid w:val="00C00A98"/>
    <w:rsid w:val="00C01457"/>
    <w:rsid w:val="00C02433"/>
    <w:rsid w:val="00C025F0"/>
    <w:rsid w:val="00C0281D"/>
    <w:rsid w:val="00C064BD"/>
    <w:rsid w:val="00C06800"/>
    <w:rsid w:val="00C06925"/>
    <w:rsid w:val="00C06BFE"/>
    <w:rsid w:val="00C06DC4"/>
    <w:rsid w:val="00C1138C"/>
    <w:rsid w:val="00C11711"/>
    <w:rsid w:val="00C118A3"/>
    <w:rsid w:val="00C12F5D"/>
    <w:rsid w:val="00C13FCE"/>
    <w:rsid w:val="00C1497B"/>
    <w:rsid w:val="00C153B8"/>
    <w:rsid w:val="00C15D45"/>
    <w:rsid w:val="00C21065"/>
    <w:rsid w:val="00C213A9"/>
    <w:rsid w:val="00C213AB"/>
    <w:rsid w:val="00C21DB4"/>
    <w:rsid w:val="00C2316C"/>
    <w:rsid w:val="00C233F6"/>
    <w:rsid w:val="00C236BB"/>
    <w:rsid w:val="00C23A84"/>
    <w:rsid w:val="00C24432"/>
    <w:rsid w:val="00C2461D"/>
    <w:rsid w:val="00C254B7"/>
    <w:rsid w:val="00C25949"/>
    <w:rsid w:val="00C25DD9"/>
    <w:rsid w:val="00C26676"/>
    <w:rsid w:val="00C26D3D"/>
    <w:rsid w:val="00C27DC1"/>
    <w:rsid w:val="00C31678"/>
    <w:rsid w:val="00C31795"/>
    <w:rsid w:val="00C31CA0"/>
    <w:rsid w:val="00C32071"/>
    <w:rsid w:val="00C335D5"/>
    <w:rsid w:val="00C34AE5"/>
    <w:rsid w:val="00C35527"/>
    <w:rsid w:val="00C3695D"/>
    <w:rsid w:val="00C36F6F"/>
    <w:rsid w:val="00C36FCE"/>
    <w:rsid w:val="00C42E2A"/>
    <w:rsid w:val="00C43CF2"/>
    <w:rsid w:val="00C442A4"/>
    <w:rsid w:val="00C442E6"/>
    <w:rsid w:val="00C4641A"/>
    <w:rsid w:val="00C46FFA"/>
    <w:rsid w:val="00C47DC3"/>
    <w:rsid w:val="00C50384"/>
    <w:rsid w:val="00C50DBB"/>
    <w:rsid w:val="00C52358"/>
    <w:rsid w:val="00C531E6"/>
    <w:rsid w:val="00C5395C"/>
    <w:rsid w:val="00C54EB7"/>
    <w:rsid w:val="00C55F4A"/>
    <w:rsid w:val="00C56DE6"/>
    <w:rsid w:val="00C57062"/>
    <w:rsid w:val="00C5780C"/>
    <w:rsid w:val="00C57856"/>
    <w:rsid w:val="00C60DDB"/>
    <w:rsid w:val="00C62D93"/>
    <w:rsid w:val="00C62DB4"/>
    <w:rsid w:val="00C63110"/>
    <w:rsid w:val="00C63916"/>
    <w:rsid w:val="00C63FFB"/>
    <w:rsid w:val="00C65299"/>
    <w:rsid w:val="00C65C8C"/>
    <w:rsid w:val="00C66773"/>
    <w:rsid w:val="00C675CA"/>
    <w:rsid w:val="00C67605"/>
    <w:rsid w:val="00C6787F"/>
    <w:rsid w:val="00C67CFF"/>
    <w:rsid w:val="00C71008"/>
    <w:rsid w:val="00C719AB"/>
    <w:rsid w:val="00C72BB4"/>
    <w:rsid w:val="00C747B0"/>
    <w:rsid w:val="00C764BE"/>
    <w:rsid w:val="00C76C59"/>
    <w:rsid w:val="00C770AE"/>
    <w:rsid w:val="00C77190"/>
    <w:rsid w:val="00C776B6"/>
    <w:rsid w:val="00C77BA4"/>
    <w:rsid w:val="00C80FE1"/>
    <w:rsid w:val="00C81CCC"/>
    <w:rsid w:val="00C83504"/>
    <w:rsid w:val="00C837A7"/>
    <w:rsid w:val="00C843DF"/>
    <w:rsid w:val="00C84A31"/>
    <w:rsid w:val="00C8693C"/>
    <w:rsid w:val="00C87195"/>
    <w:rsid w:val="00C87424"/>
    <w:rsid w:val="00C8743B"/>
    <w:rsid w:val="00C87A11"/>
    <w:rsid w:val="00C90548"/>
    <w:rsid w:val="00C90BCE"/>
    <w:rsid w:val="00C90E5C"/>
    <w:rsid w:val="00C912FF"/>
    <w:rsid w:val="00C91A14"/>
    <w:rsid w:val="00C93296"/>
    <w:rsid w:val="00C93BC1"/>
    <w:rsid w:val="00C93EAC"/>
    <w:rsid w:val="00C93FED"/>
    <w:rsid w:val="00C9460F"/>
    <w:rsid w:val="00C96541"/>
    <w:rsid w:val="00C97493"/>
    <w:rsid w:val="00CA0A21"/>
    <w:rsid w:val="00CA0EE9"/>
    <w:rsid w:val="00CA2EA5"/>
    <w:rsid w:val="00CA3273"/>
    <w:rsid w:val="00CA4E5D"/>
    <w:rsid w:val="00CA511D"/>
    <w:rsid w:val="00CA5889"/>
    <w:rsid w:val="00CA63F4"/>
    <w:rsid w:val="00CA6FA1"/>
    <w:rsid w:val="00CA7274"/>
    <w:rsid w:val="00CA7D79"/>
    <w:rsid w:val="00CB0049"/>
    <w:rsid w:val="00CB0549"/>
    <w:rsid w:val="00CB3933"/>
    <w:rsid w:val="00CB45D2"/>
    <w:rsid w:val="00CB483E"/>
    <w:rsid w:val="00CB4D3D"/>
    <w:rsid w:val="00CB5176"/>
    <w:rsid w:val="00CB5FAB"/>
    <w:rsid w:val="00CB6FDC"/>
    <w:rsid w:val="00CC0070"/>
    <w:rsid w:val="00CC1CB8"/>
    <w:rsid w:val="00CC23C5"/>
    <w:rsid w:val="00CC24A9"/>
    <w:rsid w:val="00CC2509"/>
    <w:rsid w:val="00CC3420"/>
    <w:rsid w:val="00CC3487"/>
    <w:rsid w:val="00CC3D3E"/>
    <w:rsid w:val="00CC3D57"/>
    <w:rsid w:val="00CC530B"/>
    <w:rsid w:val="00CC60EE"/>
    <w:rsid w:val="00CC69F6"/>
    <w:rsid w:val="00CC749D"/>
    <w:rsid w:val="00CC77BF"/>
    <w:rsid w:val="00CD1E73"/>
    <w:rsid w:val="00CD2CF2"/>
    <w:rsid w:val="00CD2E7E"/>
    <w:rsid w:val="00CD35CE"/>
    <w:rsid w:val="00CD36FA"/>
    <w:rsid w:val="00CD37F4"/>
    <w:rsid w:val="00CD380A"/>
    <w:rsid w:val="00CD4F6D"/>
    <w:rsid w:val="00CD5D41"/>
    <w:rsid w:val="00CD5F55"/>
    <w:rsid w:val="00CD727C"/>
    <w:rsid w:val="00CD7582"/>
    <w:rsid w:val="00CE09CD"/>
    <w:rsid w:val="00CE452A"/>
    <w:rsid w:val="00CE52C6"/>
    <w:rsid w:val="00CE5C79"/>
    <w:rsid w:val="00CE68BD"/>
    <w:rsid w:val="00CE6B88"/>
    <w:rsid w:val="00CE6D23"/>
    <w:rsid w:val="00CE744B"/>
    <w:rsid w:val="00CE7515"/>
    <w:rsid w:val="00CE76BB"/>
    <w:rsid w:val="00CE76FB"/>
    <w:rsid w:val="00CF0B13"/>
    <w:rsid w:val="00CF0C13"/>
    <w:rsid w:val="00CF105B"/>
    <w:rsid w:val="00CF154A"/>
    <w:rsid w:val="00CF1B5F"/>
    <w:rsid w:val="00CF3366"/>
    <w:rsid w:val="00CF3EEC"/>
    <w:rsid w:val="00CF516A"/>
    <w:rsid w:val="00CF5D45"/>
    <w:rsid w:val="00CF65B1"/>
    <w:rsid w:val="00CF67BF"/>
    <w:rsid w:val="00D00302"/>
    <w:rsid w:val="00D0052E"/>
    <w:rsid w:val="00D01EAF"/>
    <w:rsid w:val="00D0328B"/>
    <w:rsid w:val="00D03470"/>
    <w:rsid w:val="00D03714"/>
    <w:rsid w:val="00D03C3D"/>
    <w:rsid w:val="00D0423D"/>
    <w:rsid w:val="00D04524"/>
    <w:rsid w:val="00D05618"/>
    <w:rsid w:val="00D05A30"/>
    <w:rsid w:val="00D067B4"/>
    <w:rsid w:val="00D06888"/>
    <w:rsid w:val="00D06F3B"/>
    <w:rsid w:val="00D071B3"/>
    <w:rsid w:val="00D07B23"/>
    <w:rsid w:val="00D12B7F"/>
    <w:rsid w:val="00D1355D"/>
    <w:rsid w:val="00D13C1F"/>
    <w:rsid w:val="00D1411E"/>
    <w:rsid w:val="00D14135"/>
    <w:rsid w:val="00D142EE"/>
    <w:rsid w:val="00D143EB"/>
    <w:rsid w:val="00D14B1B"/>
    <w:rsid w:val="00D152EE"/>
    <w:rsid w:val="00D168B6"/>
    <w:rsid w:val="00D17266"/>
    <w:rsid w:val="00D1784C"/>
    <w:rsid w:val="00D17CD9"/>
    <w:rsid w:val="00D20470"/>
    <w:rsid w:val="00D20627"/>
    <w:rsid w:val="00D22576"/>
    <w:rsid w:val="00D22CD9"/>
    <w:rsid w:val="00D22E77"/>
    <w:rsid w:val="00D22EA7"/>
    <w:rsid w:val="00D24D58"/>
    <w:rsid w:val="00D25D71"/>
    <w:rsid w:val="00D2603D"/>
    <w:rsid w:val="00D27C6E"/>
    <w:rsid w:val="00D302C6"/>
    <w:rsid w:val="00D30D79"/>
    <w:rsid w:val="00D313CF"/>
    <w:rsid w:val="00D315EE"/>
    <w:rsid w:val="00D328FA"/>
    <w:rsid w:val="00D33688"/>
    <w:rsid w:val="00D34368"/>
    <w:rsid w:val="00D354C3"/>
    <w:rsid w:val="00D3576E"/>
    <w:rsid w:val="00D35787"/>
    <w:rsid w:val="00D369DB"/>
    <w:rsid w:val="00D36B8F"/>
    <w:rsid w:val="00D36DDF"/>
    <w:rsid w:val="00D3722C"/>
    <w:rsid w:val="00D37A9B"/>
    <w:rsid w:val="00D400C2"/>
    <w:rsid w:val="00D401F4"/>
    <w:rsid w:val="00D406FB"/>
    <w:rsid w:val="00D40E64"/>
    <w:rsid w:val="00D41B5B"/>
    <w:rsid w:val="00D434A8"/>
    <w:rsid w:val="00D44AB3"/>
    <w:rsid w:val="00D459A4"/>
    <w:rsid w:val="00D47C19"/>
    <w:rsid w:val="00D511A1"/>
    <w:rsid w:val="00D52786"/>
    <w:rsid w:val="00D53419"/>
    <w:rsid w:val="00D53580"/>
    <w:rsid w:val="00D54E06"/>
    <w:rsid w:val="00D55573"/>
    <w:rsid w:val="00D55615"/>
    <w:rsid w:val="00D55A70"/>
    <w:rsid w:val="00D572CF"/>
    <w:rsid w:val="00D579BE"/>
    <w:rsid w:val="00D62122"/>
    <w:rsid w:val="00D625C3"/>
    <w:rsid w:val="00D62785"/>
    <w:rsid w:val="00D62BA1"/>
    <w:rsid w:val="00D62FB0"/>
    <w:rsid w:val="00D638BC"/>
    <w:rsid w:val="00D63BC2"/>
    <w:rsid w:val="00D646D8"/>
    <w:rsid w:val="00D66711"/>
    <w:rsid w:val="00D70E67"/>
    <w:rsid w:val="00D71667"/>
    <w:rsid w:val="00D722AE"/>
    <w:rsid w:val="00D722E2"/>
    <w:rsid w:val="00D7325E"/>
    <w:rsid w:val="00D735E2"/>
    <w:rsid w:val="00D73600"/>
    <w:rsid w:val="00D73E6C"/>
    <w:rsid w:val="00D747B3"/>
    <w:rsid w:val="00D75CD7"/>
    <w:rsid w:val="00D76F1C"/>
    <w:rsid w:val="00D80CB6"/>
    <w:rsid w:val="00D81D1B"/>
    <w:rsid w:val="00D81E25"/>
    <w:rsid w:val="00D82121"/>
    <w:rsid w:val="00D82924"/>
    <w:rsid w:val="00D837D6"/>
    <w:rsid w:val="00D83B04"/>
    <w:rsid w:val="00D844D1"/>
    <w:rsid w:val="00D85454"/>
    <w:rsid w:val="00D85460"/>
    <w:rsid w:val="00D85681"/>
    <w:rsid w:val="00D859C8"/>
    <w:rsid w:val="00D870E3"/>
    <w:rsid w:val="00D873B2"/>
    <w:rsid w:val="00D90E4F"/>
    <w:rsid w:val="00D95021"/>
    <w:rsid w:val="00D9706E"/>
    <w:rsid w:val="00D9723C"/>
    <w:rsid w:val="00DA0802"/>
    <w:rsid w:val="00DA1745"/>
    <w:rsid w:val="00DA1E2B"/>
    <w:rsid w:val="00DA32D2"/>
    <w:rsid w:val="00DA45A8"/>
    <w:rsid w:val="00DA45BD"/>
    <w:rsid w:val="00DA49B8"/>
    <w:rsid w:val="00DB2857"/>
    <w:rsid w:val="00DB3CD9"/>
    <w:rsid w:val="00DC35B3"/>
    <w:rsid w:val="00DC3F86"/>
    <w:rsid w:val="00DC43FE"/>
    <w:rsid w:val="00DC539B"/>
    <w:rsid w:val="00DC676A"/>
    <w:rsid w:val="00DC7A20"/>
    <w:rsid w:val="00DD0752"/>
    <w:rsid w:val="00DD1790"/>
    <w:rsid w:val="00DD18BF"/>
    <w:rsid w:val="00DD1B8A"/>
    <w:rsid w:val="00DD1E5C"/>
    <w:rsid w:val="00DD1F9D"/>
    <w:rsid w:val="00DD2488"/>
    <w:rsid w:val="00DD263D"/>
    <w:rsid w:val="00DD289A"/>
    <w:rsid w:val="00DD3E6D"/>
    <w:rsid w:val="00DD5F38"/>
    <w:rsid w:val="00DD5F4A"/>
    <w:rsid w:val="00DD6117"/>
    <w:rsid w:val="00DD7AD2"/>
    <w:rsid w:val="00DE0FE4"/>
    <w:rsid w:val="00DE10D7"/>
    <w:rsid w:val="00DE1223"/>
    <w:rsid w:val="00DE2324"/>
    <w:rsid w:val="00DE4275"/>
    <w:rsid w:val="00DE4548"/>
    <w:rsid w:val="00DE5C4A"/>
    <w:rsid w:val="00DE66F2"/>
    <w:rsid w:val="00DE686F"/>
    <w:rsid w:val="00DF002B"/>
    <w:rsid w:val="00DF0628"/>
    <w:rsid w:val="00DF09AD"/>
    <w:rsid w:val="00DF1807"/>
    <w:rsid w:val="00DF2559"/>
    <w:rsid w:val="00DF31A3"/>
    <w:rsid w:val="00DF3567"/>
    <w:rsid w:val="00DF420F"/>
    <w:rsid w:val="00DF5D34"/>
    <w:rsid w:val="00DF7217"/>
    <w:rsid w:val="00E0056C"/>
    <w:rsid w:val="00E00B6A"/>
    <w:rsid w:val="00E00BC0"/>
    <w:rsid w:val="00E01155"/>
    <w:rsid w:val="00E02D83"/>
    <w:rsid w:val="00E03399"/>
    <w:rsid w:val="00E035D0"/>
    <w:rsid w:val="00E03CB2"/>
    <w:rsid w:val="00E04291"/>
    <w:rsid w:val="00E053D3"/>
    <w:rsid w:val="00E0562D"/>
    <w:rsid w:val="00E061BE"/>
    <w:rsid w:val="00E07564"/>
    <w:rsid w:val="00E1030E"/>
    <w:rsid w:val="00E1058E"/>
    <w:rsid w:val="00E1083E"/>
    <w:rsid w:val="00E10875"/>
    <w:rsid w:val="00E11408"/>
    <w:rsid w:val="00E12762"/>
    <w:rsid w:val="00E13104"/>
    <w:rsid w:val="00E13343"/>
    <w:rsid w:val="00E14B9C"/>
    <w:rsid w:val="00E152AA"/>
    <w:rsid w:val="00E15755"/>
    <w:rsid w:val="00E16300"/>
    <w:rsid w:val="00E16C55"/>
    <w:rsid w:val="00E17878"/>
    <w:rsid w:val="00E20853"/>
    <w:rsid w:val="00E2169C"/>
    <w:rsid w:val="00E21F8C"/>
    <w:rsid w:val="00E2315C"/>
    <w:rsid w:val="00E2380D"/>
    <w:rsid w:val="00E24B1E"/>
    <w:rsid w:val="00E2606C"/>
    <w:rsid w:val="00E268F9"/>
    <w:rsid w:val="00E26F1B"/>
    <w:rsid w:val="00E27A06"/>
    <w:rsid w:val="00E27AB5"/>
    <w:rsid w:val="00E30018"/>
    <w:rsid w:val="00E3052A"/>
    <w:rsid w:val="00E314B8"/>
    <w:rsid w:val="00E314BE"/>
    <w:rsid w:val="00E32F0B"/>
    <w:rsid w:val="00E335D7"/>
    <w:rsid w:val="00E3363D"/>
    <w:rsid w:val="00E33E06"/>
    <w:rsid w:val="00E34A11"/>
    <w:rsid w:val="00E34FAD"/>
    <w:rsid w:val="00E35DDC"/>
    <w:rsid w:val="00E360EC"/>
    <w:rsid w:val="00E36B35"/>
    <w:rsid w:val="00E36EDF"/>
    <w:rsid w:val="00E372EE"/>
    <w:rsid w:val="00E4029E"/>
    <w:rsid w:val="00E40523"/>
    <w:rsid w:val="00E40D01"/>
    <w:rsid w:val="00E40F06"/>
    <w:rsid w:val="00E41C31"/>
    <w:rsid w:val="00E427DB"/>
    <w:rsid w:val="00E42B2C"/>
    <w:rsid w:val="00E435A4"/>
    <w:rsid w:val="00E437A1"/>
    <w:rsid w:val="00E4490E"/>
    <w:rsid w:val="00E457D2"/>
    <w:rsid w:val="00E45E8E"/>
    <w:rsid w:val="00E46A07"/>
    <w:rsid w:val="00E4725F"/>
    <w:rsid w:val="00E4754B"/>
    <w:rsid w:val="00E47D8B"/>
    <w:rsid w:val="00E50997"/>
    <w:rsid w:val="00E52F67"/>
    <w:rsid w:val="00E5371C"/>
    <w:rsid w:val="00E54456"/>
    <w:rsid w:val="00E54A68"/>
    <w:rsid w:val="00E5526F"/>
    <w:rsid w:val="00E55291"/>
    <w:rsid w:val="00E557ED"/>
    <w:rsid w:val="00E579DB"/>
    <w:rsid w:val="00E57D1E"/>
    <w:rsid w:val="00E61079"/>
    <w:rsid w:val="00E62D58"/>
    <w:rsid w:val="00E63070"/>
    <w:rsid w:val="00E63BE3"/>
    <w:rsid w:val="00E63D4F"/>
    <w:rsid w:val="00E64756"/>
    <w:rsid w:val="00E64922"/>
    <w:rsid w:val="00E64CE9"/>
    <w:rsid w:val="00E67E9A"/>
    <w:rsid w:val="00E701B1"/>
    <w:rsid w:val="00E7084F"/>
    <w:rsid w:val="00E70E96"/>
    <w:rsid w:val="00E71089"/>
    <w:rsid w:val="00E71D64"/>
    <w:rsid w:val="00E72E84"/>
    <w:rsid w:val="00E742F7"/>
    <w:rsid w:val="00E76ADF"/>
    <w:rsid w:val="00E7751B"/>
    <w:rsid w:val="00E8094C"/>
    <w:rsid w:val="00E826FB"/>
    <w:rsid w:val="00E82726"/>
    <w:rsid w:val="00E8322C"/>
    <w:rsid w:val="00E85459"/>
    <w:rsid w:val="00E860ED"/>
    <w:rsid w:val="00E86911"/>
    <w:rsid w:val="00E87D5E"/>
    <w:rsid w:val="00E912FA"/>
    <w:rsid w:val="00E9189D"/>
    <w:rsid w:val="00E91FFC"/>
    <w:rsid w:val="00E92020"/>
    <w:rsid w:val="00E92E28"/>
    <w:rsid w:val="00E932D9"/>
    <w:rsid w:val="00E952EB"/>
    <w:rsid w:val="00E966DA"/>
    <w:rsid w:val="00E96854"/>
    <w:rsid w:val="00E97823"/>
    <w:rsid w:val="00E97961"/>
    <w:rsid w:val="00E97D94"/>
    <w:rsid w:val="00EA1CA7"/>
    <w:rsid w:val="00EA329F"/>
    <w:rsid w:val="00EA337F"/>
    <w:rsid w:val="00EA413F"/>
    <w:rsid w:val="00EA4B7B"/>
    <w:rsid w:val="00EA5B7B"/>
    <w:rsid w:val="00EA705D"/>
    <w:rsid w:val="00EA7559"/>
    <w:rsid w:val="00EB1812"/>
    <w:rsid w:val="00EB1D05"/>
    <w:rsid w:val="00EB2DE5"/>
    <w:rsid w:val="00EB2E3E"/>
    <w:rsid w:val="00EB426E"/>
    <w:rsid w:val="00EB42E7"/>
    <w:rsid w:val="00EB6268"/>
    <w:rsid w:val="00EB6D8F"/>
    <w:rsid w:val="00EC0526"/>
    <w:rsid w:val="00EC0AF1"/>
    <w:rsid w:val="00EC245E"/>
    <w:rsid w:val="00EC2552"/>
    <w:rsid w:val="00EC26AF"/>
    <w:rsid w:val="00EC49EB"/>
    <w:rsid w:val="00EC5987"/>
    <w:rsid w:val="00EC6932"/>
    <w:rsid w:val="00EC6BC2"/>
    <w:rsid w:val="00EC6FEF"/>
    <w:rsid w:val="00EC714E"/>
    <w:rsid w:val="00EC7281"/>
    <w:rsid w:val="00EC7476"/>
    <w:rsid w:val="00EC7D8E"/>
    <w:rsid w:val="00ED0DF9"/>
    <w:rsid w:val="00ED160C"/>
    <w:rsid w:val="00ED18F7"/>
    <w:rsid w:val="00ED1F79"/>
    <w:rsid w:val="00ED229A"/>
    <w:rsid w:val="00ED3D21"/>
    <w:rsid w:val="00ED42B8"/>
    <w:rsid w:val="00ED4881"/>
    <w:rsid w:val="00ED4A11"/>
    <w:rsid w:val="00ED50EC"/>
    <w:rsid w:val="00ED5E76"/>
    <w:rsid w:val="00ED67C0"/>
    <w:rsid w:val="00ED6A7B"/>
    <w:rsid w:val="00ED777F"/>
    <w:rsid w:val="00ED7C14"/>
    <w:rsid w:val="00EE0273"/>
    <w:rsid w:val="00EE05B8"/>
    <w:rsid w:val="00EE0DBF"/>
    <w:rsid w:val="00EE18C6"/>
    <w:rsid w:val="00EE37B9"/>
    <w:rsid w:val="00EE57E5"/>
    <w:rsid w:val="00EE5974"/>
    <w:rsid w:val="00EE69E0"/>
    <w:rsid w:val="00EE6AB5"/>
    <w:rsid w:val="00EE6D0F"/>
    <w:rsid w:val="00EE76AF"/>
    <w:rsid w:val="00EE788A"/>
    <w:rsid w:val="00EE7F70"/>
    <w:rsid w:val="00EF00C6"/>
    <w:rsid w:val="00EF0E24"/>
    <w:rsid w:val="00EF20D9"/>
    <w:rsid w:val="00EF2331"/>
    <w:rsid w:val="00EF2756"/>
    <w:rsid w:val="00EF3349"/>
    <w:rsid w:val="00EF33F8"/>
    <w:rsid w:val="00EF38B7"/>
    <w:rsid w:val="00EF3FCE"/>
    <w:rsid w:val="00EF44FA"/>
    <w:rsid w:val="00EF7239"/>
    <w:rsid w:val="00EF74F2"/>
    <w:rsid w:val="00EF7F76"/>
    <w:rsid w:val="00F00F28"/>
    <w:rsid w:val="00F0108E"/>
    <w:rsid w:val="00F0253C"/>
    <w:rsid w:val="00F052A9"/>
    <w:rsid w:val="00F056D2"/>
    <w:rsid w:val="00F05DD3"/>
    <w:rsid w:val="00F060A9"/>
    <w:rsid w:val="00F06794"/>
    <w:rsid w:val="00F06C96"/>
    <w:rsid w:val="00F10957"/>
    <w:rsid w:val="00F10CF1"/>
    <w:rsid w:val="00F1199E"/>
    <w:rsid w:val="00F11D7D"/>
    <w:rsid w:val="00F12944"/>
    <w:rsid w:val="00F12BA4"/>
    <w:rsid w:val="00F12BBC"/>
    <w:rsid w:val="00F130C9"/>
    <w:rsid w:val="00F13543"/>
    <w:rsid w:val="00F13EE9"/>
    <w:rsid w:val="00F141E1"/>
    <w:rsid w:val="00F1728D"/>
    <w:rsid w:val="00F173CC"/>
    <w:rsid w:val="00F1772E"/>
    <w:rsid w:val="00F17905"/>
    <w:rsid w:val="00F20D3B"/>
    <w:rsid w:val="00F239F5"/>
    <w:rsid w:val="00F23EEA"/>
    <w:rsid w:val="00F2425A"/>
    <w:rsid w:val="00F24639"/>
    <w:rsid w:val="00F25B9D"/>
    <w:rsid w:val="00F26441"/>
    <w:rsid w:val="00F26B95"/>
    <w:rsid w:val="00F27061"/>
    <w:rsid w:val="00F307B2"/>
    <w:rsid w:val="00F312CD"/>
    <w:rsid w:val="00F31873"/>
    <w:rsid w:val="00F3189B"/>
    <w:rsid w:val="00F32299"/>
    <w:rsid w:val="00F33C11"/>
    <w:rsid w:val="00F33F58"/>
    <w:rsid w:val="00F349B9"/>
    <w:rsid w:val="00F34CC7"/>
    <w:rsid w:val="00F36443"/>
    <w:rsid w:val="00F36853"/>
    <w:rsid w:val="00F37C2D"/>
    <w:rsid w:val="00F37CE6"/>
    <w:rsid w:val="00F404B5"/>
    <w:rsid w:val="00F42794"/>
    <w:rsid w:val="00F43C4E"/>
    <w:rsid w:val="00F4617F"/>
    <w:rsid w:val="00F463FF"/>
    <w:rsid w:val="00F468A9"/>
    <w:rsid w:val="00F47F54"/>
    <w:rsid w:val="00F50F3D"/>
    <w:rsid w:val="00F511B3"/>
    <w:rsid w:val="00F52BD1"/>
    <w:rsid w:val="00F53BF3"/>
    <w:rsid w:val="00F53F88"/>
    <w:rsid w:val="00F5563F"/>
    <w:rsid w:val="00F557CB"/>
    <w:rsid w:val="00F563C3"/>
    <w:rsid w:val="00F56A6C"/>
    <w:rsid w:val="00F5760F"/>
    <w:rsid w:val="00F57677"/>
    <w:rsid w:val="00F606D4"/>
    <w:rsid w:val="00F610B6"/>
    <w:rsid w:val="00F6142C"/>
    <w:rsid w:val="00F615BD"/>
    <w:rsid w:val="00F62356"/>
    <w:rsid w:val="00F6275A"/>
    <w:rsid w:val="00F640DB"/>
    <w:rsid w:val="00F64D86"/>
    <w:rsid w:val="00F65AC3"/>
    <w:rsid w:val="00F66106"/>
    <w:rsid w:val="00F6622D"/>
    <w:rsid w:val="00F66C19"/>
    <w:rsid w:val="00F6718B"/>
    <w:rsid w:val="00F674C1"/>
    <w:rsid w:val="00F67AA1"/>
    <w:rsid w:val="00F67C60"/>
    <w:rsid w:val="00F70211"/>
    <w:rsid w:val="00F7148B"/>
    <w:rsid w:val="00F718FD"/>
    <w:rsid w:val="00F72506"/>
    <w:rsid w:val="00F7348A"/>
    <w:rsid w:val="00F74E65"/>
    <w:rsid w:val="00F757DE"/>
    <w:rsid w:val="00F76B65"/>
    <w:rsid w:val="00F77B33"/>
    <w:rsid w:val="00F82E7A"/>
    <w:rsid w:val="00F841A4"/>
    <w:rsid w:val="00F84388"/>
    <w:rsid w:val="00F84A74"/>
    <w:rsid w:val="00F85136"/>
    <w:rsid w:val="00F859F1"/>
    <w:rsid w:val="00F85A30"/>
    <w:rsid w:val="00F870B3"/>
    <w:rsid w:val="00F879BF"/>
    <w:rsid w:val="00F90B94"/>
    <w:rsid w:val="00F91D63"/>
    <w:rsid w:val="00F932EE"/>
    <w:rsid w:val="00F94FEA"/>
    <w:rsid w:val="00F9517D"/>
    <w:rsid w:val="00F95358"/>
    <w:rsid w:val="00F95E0C"/>
    <w:rsid w:val="00F9638E"/>
    <w:rsid w:val="00F96548"/>
    <w:rsid w:val="00F96A8E"/>
    <w:rsid w:val="00F96D07"/>
    <w:rsid w:val="00F97497"/>
    <w:rsid w:val="00F974F5"/>
    <w:rsid w:val="00F97ECF"/>
    <w:rsid w:val="00FA0D04"/>
    <w:rsid w:val="00FA1714"/>
    <w:rsid w:val="00FA19BB"/>
    <w:rsid w:val="00FA1AF8"/>
    <w:rsid w:val="00FA1CA6"/>
    <w:rsid w:val="00FA2FE7"/>
    <w:rsid w:val="00FA3ABD"/>
    <w:rsid w:val="00FA40CB"/>
    <w:rsid w:val="00FA475C"/>
    <w:rsid w:val="00FA4E7A"/>
    <w:rsid w:val="00FA5879"/>
    <w:rsid w:val="00FA5AC0"/>
    <w:rsid w:val="00FB0700"/>
    <w:rsid w:val="00FB0B47"/>
    <w:rsid w:val="00FB1A6F"/>
    <w:rsid w:val="00FB3416"/>
    <w:rsid w:val="00FB3463"/>
    <w:rsid w:val="00FB37DD"/>
    <w:rsid w:val="00FB4418"/>
    <w:rsid w:val="00FB4BFC"/>
    <w:rsid w:val="00FB566A"/>
    <w:rsid w:val="00FB5731"/>
    <w:rsid w:val="00FB62B1"/>
    <w:rsid w:val="00FB6A08"/>
    <w:rsid w:val="00FB6C94"/>
    <w:rsid w:val="00FC01A4"/>
    <w:rsid w:val="00FC18DB"/>
    <w:rsid w:val="00FC1B21"/>
    <w:rsid w:val="00FC1ED1"/>
    <w:rsid w:val="00FC24B0"/>
    <w:rsid w:val="00FC2BD0"/>
    <w:rsid w:val="00FC312B"/>
    <w:rsid w:val="00FC31C9"/>
    <w:rsid w:val="00FC3859"/>
    <w:rsid w:val="00FC3E55"/>
    <w:rsid w:val="00FC3F9C"/>
    <w:rsid w:val="00FC457B"/>
    <w:rsid w:val="00FC6196"/>
    <w:rsid w:val="00FC6C63"/>
    <w:rsid w:val="00FC7C60"/>
    <w:rsid w:val="00FC7DEE"/>
    <w:rsid w:val="00FD0A40"/>
    <w:rsid w:val="00FD1260"/>
    <w:rsid w:val="00FD179C"/>
    <w:rsid w:val="00FD3AC4"/>
    <w:rsid w:val="00FD3D52"/>
    <w:rsid w:val="00FD476F"/>
    <w:rsid w:val="00FD4980"/>
    <w:rsid w:val="00FD569E"/>
    <w:rsid w:val="00FD5CD8"/>
    <w:rsid w:val="00FD6167"/>
    <w:rsid w:val="00FD67B5"/>
    <w:rsid w:val="00FD6B42"/>
    <w:rsid w:val="00FE23DC"/>
    <w:rsid w:val="00FE345C"/>
    <w:rsid w:val="00FE3C7B"/>
    <w:rsid w:val="00FE3F1A"/>
    <w:rsid w:val="00FE46A9"/>
    <w:rsid w:val="00FE6A86"/>
    <w:rsid w:val="00FE6E4D"/>
    <w:rsid w:val="00FF142F"/>
    <w:rsid w:val="00FF1F3E"/>
    <w:rsid w:val="00FF213A"/>
    <w:rsid w:val="00FF21FB"/>
    <w:rsid w:val="00FF28F7"/>
    <w:rsid w:val="00FF2C7E"/>
    <w:rsid w:val="00FF2CE3"/>
    <w:rsid w:val="00FF4B38"/>
    <w:rsid w:val="00FF4F7D"/>
    <w:rsid w:val="00FF59FB"/>
    <w:rsid w:val="19BABE16"/>
    <w:rsid w:val="2A8042E5"/>
    <w:rsid w:val="31338438"/>
    <w:rsid w:val="345BAD2F"/>
    <w:rsid w:val="5383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991431"/>
  <w15:chartTrackingRefBased/>
  <w15:docId w15:val="{3AA72BE2-D4C2-4CA6-9C65-BB2C92F3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352786"/>
    <w:pPr>
      <w:keepNext/>
      <w:tabs>
        <w:tab w:val="left" w:pos="737"/>
      </w:tabs>
      <w:spacing w:after="120"/>
      <w:outlineLvl w:val="1"/>
    </w:pPr>
    <w:rPr>
      <w:b/>
      <w:color w:val="auto"/>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52786"/>
    <w:rPr>
      <w:rFonts w:ascii="Tahoma" w:hAnsi="Tahoma"/>
      <w:b/>
      <w:sz w:val="24"/>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7"/>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0F7549"/>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4"/>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236B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22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377">
      <w:bodyDiv w:val="1"/>
      <w:marLeft w:val="0"/>
      <w:marRight w:val="0"/>
      <w:marTop w:val="0"/>
      <w:marBottom w:val="0"/>
      <w:divBdr>
        <w:top w:val="none" w:sz="0" w:space="0" w:color="auto"/>
        <w:left w:val="none" w:sz="0" w:space="0" w:color="auto"/>
        <w:bottom w:val="none" w:sz="0" w:space="0" w:color="auto"/>
        <w:right w:val="none" w:sz="0" w:space="0" w:color="auto"/>
      </w:divBdr>
    </w:div>
    <w:div w:id="96802683">
      <w:bodyDiv w:val="1"/>
      <w:marLeft w:val="0"/>
      <w:marRight w:val="0"/>
      <w:marTop w:val="0"/>
      <w:marBottom w:val="0"/>
      <w:divBdr>
        <w:top w:val="none" w:sz="0" w:space="0" w:color="auto"/>
        <w:left w:val="none" w:sz="0" w:space="0" w:color="auto"/>
        <w:bottom w:val="none" w:sz="0" w:space="0" w:color="auto"/>
        <w:right w:val="none" w:sz="0" w:space="0" w:color="auto"/>
      </w:divBdr>
    </w:div>
    <w:div w:id="173344270">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247085311">
      <w:bodyDiv w:val="1"/>
      <w:marLeft w:val="0"/>
      <w:marRight w:val="0"/>
      <w:marTop w:val="0"/>
      <w:marBottom w:val="0"/>
      <w:divBdr>
        <w:top w:val="none" w:sz="0" w:space="0" w:color="auto"/>
        <w:left w:val="none" w:sz="0" w:space="0" w:color="auto"/>
        <w:bottom w:val="none" w:sz="0" w:space="0" w:color="auto"/>
        <w:right w:val="none" w:sz="0" w:space="0" w:color="auto"/>
      </w:divBdr>
    </w:div>
    <w:div w:id="916982561">
      <w:bodyDiv w:val="1"/>
      <w:marLeft w:val="0"/>
      <w:marRight w:val="0"/>
      <w:marTop w:val="0"/>
      <w:marBottom w:val="0"/>
      <w:divBdr>
        <w:top w:val="none" w:sz="0" w:space="0" w:color="auto"/>
        <w:left w:val="none" w:sz="0" w:space="0" w:color="auto"/>
        <w:bottom w:val="none" w:sz="0" w:space="0" w:color="auto"/>
        <w:right w:val="none" w:sz="0" w:space="0" w:color="auto"/>
      </w:divBdr>
    </w:div>
    <w:div w:id="1095008016">
      <w:bodyDiv w:val="1"/>
      <w:marLeft w:val="0"/>
      <w:marRight w:val="0"/>
      <w:marTop w:val="0"/>
      <w:marBottom w:val="0"/>
      <w:divBdr>
        <w:top w:val="none" w:sz="0" w:space="0" w:color="auto"/>
        <w:left w:val="none" w:sz="0" w:space="0" w:color="auto"/>
        <w:bottom w:val="none" w:sz="0" w:space="0" w:color="auto"/>
        <w:right w:val="none" w:sz="0" w:space="0" w:color="auto"/>
      </w:divBdr>
    </w:div>
    <w:div w:id="1472795944">
      <w:bodyDiv w:val="1"/>
      <w:marLeft w:val="0"/>
      <w:marRight w:val="0"/>
      <w:marTop w:val="0"/>
      <w:marBottom w:val="0"/>
      <w:divBdr>
        <w:top w:val="none" w:sz="0" w:space="0" w:color="auto"/>
        <w:left w:val="none" w:sz="0" w:space="0" w:color="auto"/>
        <w:bottom w:val="none" w:sz="0" w:space="0" w:color="auto"/>
        <w:right w:val="none" w:sz="0" w:space="0" w:color="auto"/>
      </w:divBdr>
    </w:div>
    <w:div w:id="2043090702">
      <w:bodyDiv w:val="1"/>
      <w:marLeft w:val="0"/>
      <w:marRight w:val="0"/>
      <w:marTop w:val="0"/>
      <w:marBottom w:val="0"/>
      <w:divBdr>
        <w:top w:val="none" w:sz="0" w:space="0" w:color="auto"/>
        <w:left w:val="none" w:sz="0" w:space="0" w:color="auto"/>
        <w:bottom w:val="none" w:sz="0" w:space="0" w:color="auto"/>
        <w:right w:val="none" w:sz="0" w:space="0" w:color="auto"/>
      </w:divBdr>
      <w:divsChild>
        <w:div w:id="745222217">
          <w:marLeft w:val="0"/>
          <w:marRight w:val="0"/>
          <w:marTop w:val="0"/>
          <w:marBottom w:val="0"/>
          <w:divBdr>
            <w:top w:val="none" w:sz="0" w:space="0" w:color="auto"/>
            <w:left w:val="none" w:sz="0" w:space="0" w:color="auto"/>
            <w:bottom w:val="none" w:sz="0" w:space="0" w:color="auto"/>
            <w:right w:val="none" w:sz="0" w:space="0" w:color="auto"/>
          </w:divBdr>
          <w:divsChild>
            <w:div w:id="916939590">
              <w:marLeft w:val="0"/>
              <w:marRight w:val="0"/>
              <w:marTop w:val="0"/>
              <w:marBottom w:val="0"/>
              <w:divBdr>
                <w:top w:val="none" w:sz="0" w:space="0" w:color="auto"/>
                <w:left w:val="none" w:sz="0" w:space="0" w:color="auto"/>
                <w:bottom w:val="none" w:sz="0" w:space="0" w:color="auto"/>
                <w:right w:val="none" w:sz="0" w:space="0" w:color="auto"/>
              </w:divBdr>
              <w:divsChild>
                <w:div w:id="2125269858">
                  <w:marLeft w:val="0"/>
                  <w:marRight w:val="0"/>
                  <w:marTop w:val="0"/>
                  <w:marBottom w:val="0"/>
                  <w:divBdr>
                    <w:top w:val="none" w:sz="0" w:space="0" w:color="auto"/>
                    <w:left w:val="none" w:sz="0" w:space="0" w:color="auto"/>
                    <w:bottom w:val="none" w:sz="0" w:space="0" w:color="auto"/>
                    <w:right w:val="none" w:sz="0" w:space="0" w:color="auto"/>
                  </w:divBdr>
                  <w:divsChild>
                    <w:div w:id="1753821114">
                      <w:marLeft w:val="0"/>
                      <w:marRight w:val="0"/>
                      <w:marTop w:val="0"/>
                      <w:marBottom w:val="0"/>
                      <w:divBdr>
                        <w:top w:val="none" w:sz="0" w:space="0" w:color="auto"/>
                        <w:left w:val="none" w:sz="0" w:space="0" w:color="auto"/>
                        <w:bottom w:val="none" w:sz="0" w:space="0" w:color="auto"/>
                        <w:right w:val="none" w:sz="0" w:space="0" w:color="auto"/>
                      </w:divBdr>
                      <w:divsChild>
                        <w:div w:id="448939643">
                          <w:marLeft w:val="0"/>
                          <w:marRight w:val="0"/>
                          <w:marTop w:val="0"/>
                          <w:marBottom w:val="0"/>
                          <w:divBdr>
                            <w:top w:val="none" w:sz="0" w:space="0" w:color="auto"/>
                            <w:left w:val="none" w:sz="0" w:space="0" w:color="auto"/>
                            <w:bottom w:val="none" w:sz="0" w:space="0" w:color="auto"/>
                            <w:right w:val="none" w:sz="0" w:space="0" w:color="auto"/>
                          </w:divBdr>
                          <w:divsChild>
                            <w:div w:id="128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ofsted-inspection-childcare-provider" TargetMode="External"/><Relationship Id="rId26" Type="http://schemas.openxmlformats.org/officeDocument/2006/relationships/hyperlink" Target="https://www.gov.uk/government/statistical-data-sets/monthly-management-information-ofsteds-school-inspections-outcomes" TargetMode="External"/><Relationship Id="rId39"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www.gov.uk/government/publications/common-inspection-framework-education-skills-and-early-years-from-september-2015" TargetMode="External"/><Relationship Id="rId42" Type="http://schemas.openxmlformats.org/officeDocument/2006/relationships/hyperlink" Target="http://eepurl.com/iTrD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gov.uk/government/collections/maintained-schools-and-academies-inspections-and-outcomes-official-statistics" TargetMode="External"/><Relationship Id="rId33" Type="http://schemas.openxmlformats.org/officeDocument/2006/relationships/hyperlink" Target="http://www.gov.uk/government/collections/early-years-and-childcare-statistics" TargetMode="External"/><Relationship Id="rId38" Type="http://schemas.openxmlformats.org/officeDocument/2006/relationships/hyperlink" Target="mailto:enquiries@ofsted.gov.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isi.net/" TargetMode="External"/><Relationship Id="rId41"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statistical-data-sets/monthly-management-information-ofsteds-school-inspections-outcomes" TargetMode="External"/><Relationship Id="rId32" Type="http://schemas.openxmlformats.org/officeDocument/2006/relationships/hyperlink" Target="http://www.gov.uk/government/publications/early-years-foundation-stage-framework--2" TargetMode="External"/><Relationship Id="rId37" Type="http://schemas.openxmlformats.org/officeDocument/2006/relationships/image" Target="media/image8.jpeg"/><Relationship Id="rId40" Type="http://schemas.openxmlformats.org/officeDocument/2006/relationships/hyperlink" Target="mailto:psi@nationalarchives.gsi.gov.uk"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gov.uk/government/statistics/childcare-providers-and-inspections-as-at-31-March-2019" TargetMode="External"/><Relationship Id="rId28" Type="http://schemas.openxmlformats.org/officeDocument/2006/relationships/hyperlink" Target="http://www.isi.net/" TargetMode="External"/><Relationship Id="rId36" Type="http://schemas.openxmlformats.org/officeDocument/2006/relationships/hyperlink" Target="mailto:Anita.Patel@ofsted.gov.uk"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gov.uk/ofsted-inspection-childcare-provider" TargetMode="External"/><Relationship Id="rId31" Type="http://schemas.openxmlformats.org/officeDocument/2006/relationships/hyperlink" Target="http://www.legislation.gov.uk/ukpga/2006/21/contents" TargetMode="External"/><Relationship Id="rId44" Type="http://schemas.openxmlformats.org/officeDocument/2006/relationships/hyperlink" Target="http://www.gov.uk/ofste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gov.uk/government/statistics/childcare-providers-and-inspections-as-at-31-March-2019" TargetMode="External"/><Relationship Id="rId27" Type="http://schemas.openxmlformats.org/officeDocument/2006/relationships/hyperlink" Target="http://www.gov.uk/government/statistical-data-sets/non-association-independent-schools-inspections-and-outcomes-management-information" TargetMode="External"/><Relationship Id="rId30" Type="http://schemas.openxmlformats.org/officeDocument/2006/relationships/hyperlink" Target="http://www.gov.uk/government/publications/ofsted-standards-for-official-statistics" TargetMode="External"/><Relationship Id="rId35" Type="http://schemas.openxmlformats.org/officeDocument/2006/relationships/hyperlink" Target="http://www.gov.uk/government/publications/framework-for-the-regulation-of-provision-on-the-childcare-register" TargetMode="External"/><Relationship Id="rId43" Type="http://schemas.openxmlformats.org/officeDocument/2006/relationships/hyperlink" Target="mailto:enquiries@ofsted.gov.uk"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ofsted-calls-for-swift-improvement-in-pre-schools-and-nurseries" TargetMode="External"/><Relationship Id="rId1" Type="http://schemas.openxmlformats.org/officeDocument/2006/relationships/hyperlink" Target="http://www.gov.uk/government/statistics/childcare-providers-and-inspections-as-at-31-augus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2321e7ae57145009a616bed4e4763a0 xmlns="4d26f180-144a-42ee-8122-e88c3adfe28e">
      <Terms xmlns="http://schemas.microsoft.com/office/infopath/2007/PartnerControls"/>
    </f2321e7ae57145009a616bed4e4763a0>
    <jf9d5451340646c7809b6948a13e369a xmlns="4d26f180-144a-42ee-8122-e88c3adfe28e">
      <Terms xmlns="http://schemas.microsoft.com/office/infopath/2007/PartnerControls"/>
    </jf9d5451340646c7809b6948a13e369a>
    <e89c4b80759c40b1b9d7062f4c2d89c9 xmlns="4d26f180-144a-42ee-8122-e88c3adfe28e">
      <Terms xmlns="http://schemas.microsoft.com/office/infopath/2007/PartnerControls"/>
    </e89c4b80759c40b1b9d7062f4c2d89c9>
    <oa1a93a5a7ef480181db2f87de7cba9a xmlns="4d26f180-144a-42ee-8122-e88c3adfe28e">
      <Terms xmlns="http://schemas.microsoft.com/office/infopath/2007/PartnerControls"/>
    </oa1a93a5a7ef480181db2f87de7cba9a>
    <TaxCatchAll xmlns="4d26f180-144a-42ee-8122-e88c3adfe28e"/>
  </documentManagement>
</p:properties>
</file>

<file path=customXml/item2.xml><?xml version="1.0" encoding="utf-8"?>
<ct:contentTypeSchema xmlns:ct="http://schemas.microsoft.com/office/2006/metadata/contentType" xmlns:ma="http://schemas.microsoft.com/office/2006/metadata/properties/metaAttributes" ct:_="" ma:_="" ma:contentTypeName="File" ma:contentTypeID="0x0101009C2B7C2BCED2CC498D2131C55000F427000574468B717840488AE197B2DD0D7BFE" ma:contentTypeVersion="20" ma:contentTypeDescription="Create a new document." ma:contentTypeScope="" ma:versionID="2b2151a83d8874c91241f6ec969cd395">
  <xsd:schema xmlns:xsd="http://www.w3.org/2001/XMLSchema" xmlns:xs="http://www.w3.org/2001/XMLSchema" xmlns:p="http://schemas.microsoft.com/office/2006/metadata/properties" xmlns:ns2="4d26f180-144a-42ee-8122-e88c3adfe28e" xmlns:ns3="f1521508-638b-40cb-bd77-3f3024fa2aba" xmlns:ns4="74c693eb-c119-4d22-855e-574c8d8ba48d" targetNamespace="http://schemas.microsoft.com/office/2006/metadata/properties" ma:root="true" ma:fieldsID="e9e141b0e469066701f6d3262223b8f3" ns2:_="" ns3:_="" ns4:_="">
    <xsd:import namespace="4d26f180-144a-42ee-8122-e88c3adfe28e"/>
    <xsd:import namespace="f1521508-638b-40cb-bd77-3f3024fa2aba"/>
    <xsd:import namespace="74c693eb-c119-4d22-855e-574c8d8ba48d"/>
    <xsd:element name="properties">
      <xsd:complexType>
        <xsd:sequence>
          <xsd:element name="documentManagement">
            <xsd:complexType>
              <xsd:all>
                <xsd:element ref="ns2:TaxCatchAll" minOccurs="0"/>
                <xsd:element ref="ns2:TaxCatchAllLabel" minOccurs="0"/>
                <xsd:element ref="ns2:oa1a93a5a7ef480181db2f87de7cba9a" minOccurs="0"/>
                <xsd:element ref="ns2:f2321e7ae57145009a616bed4e4763a0" minOccurs="0"/>
                <xsd:element ref="ns2:jf9d5451340646c7809b6948a13e369a" minOccurs="0"/>
                <xsd:element ref="ns2:e89c4b80759c40b1b9d7062f4c2d89c9"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C03F46-C3C5-44CF-83FF-787E69CDB6E6}" ma:internalName="TaxCatchAll" ma:showField="CatchAllData" ma:web="{74c693eb-c119-4d22-855e-574c8d8ba48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C03F46-C3C5-44CF-83FF-787E69CDB6E6}" ma:internalName="TaxCatchAllLabel" ma:readOnly="true" ma:showField="CatchAllDataLabel" ma:web="{74c693eb-c119-4d22-855e-574c8d8ba48d}">
      <xsd:complexType>
        <xsd:complexContent>
          <xsd:extension base="dms:MultiChoiceLookup">
            <xsd:sequence>
              <xsd:element name="Value" type="dms:Lookup" maxOccurs="unbounded" minOccurs="0" nillable="true"/>
            </xsd:sequence>
          </xsd:extension>
        </xsd:complexContent>
      </xsd:complexType>
    </xsd:element>
    <xsd:element name="oa1a93a5a7ef480181db2f87de7cba9a" ma:index="14" nillable="true" ma:taxonomy="true" ma:internalName="oa1a93a5a7ef480181db2f87de7cba9a" ma:taxonomyFieldName="Directorate" ma:displayName="Directorate" ma:default="" ma:fieldId="{8a1a93a5-a7ef-4801-81db-2f87de7cba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f2321e7ae57145009a616bed4e4763a0" ma:index="15" nillable="true" ma:taxonomy="true" ma:internalName="f2321e7ae57145009a616bed4e4763a0" ma:taxonomyFieldName="OfstedDepartment" ma:displayName="Ofsted Department" ma:default="" ma:fieldId="{f2321e7a-e571-4500-9a61-6bed4e4763a0}"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jf9d5451340646c7809b6948a13e369a" ma:index="16" nillable="true" ma:taxonomy="true" ma:internalName="jf9d5451340646c7809b6948a13e369a" ma:taxonomyFieldName="OfstedTeam" ma:displayName="Ofsted Team" ma:default="" ma:fieldId="{3f9d5451-3406-46c7-809b-6948a13e36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e89c4b80759c40b1b9d7062f4c2d89c9" ma:index="17" nillable="true" ma:taxonomy="true" ma:internalName="e89c4b80759c40b1b9d7062f4c2d89c9" ma:taxonomyFieldName="DocumentType" ma:displayName="Document Type" ma:default="" ma:fieldId="{e89c4b80-759c-40b1-b9d7-062f4c2d89c9}" ma:sspId="301d8099-d132-40b0-ae0a-bd77b23f6837" ma:termSetId="da3bd2f9-5d60-4585-8c46-4849b8568b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521508-638b-40cb-bd77-3f3024fa2aba" elementFormDefault="qualified">
    <xsd:import namespace="http://schemas.microsoft.com/office/2006/documentManagement/types"/>
    <xsd:import namespace="http://schemas.microsoft.com/office/infopath/2007/PartnerControls"/>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693eb-c119-4d22-855e-574c8d8ba4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01d8099-d132-40b0-ae0a-bd77b23f6837" ContentTypeId="0x0101009C2B7C2BCED2CC498D2131C55000F42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DD53-C31E-490E-8E87-0DD4CE72596D}">
  <ds:schemaRefs>
    <ds:schemaRef ds:uri="4d26f180-144a-42ee-8122-e88c3adfe28e"/>
    <ds:schemaRef ds:uri="http://schemas.microsoft.com/office/2006/documentManagement/types"/>
    <ds:schemaRef ds:uri="http://schemas.microsoft.com/office/infopath/2007/PartnerControls"/>
    <ds:schemaRef ds:uri="f1521508-638b-40cb-bd77-3f3024fa2aba"/>
    <ds:schemaRef ds:uri="http://purl.org/dc/elements/1.1/"/>
    <ds:schemaRef ds:uri="http://schemas.microsoft.com/office/2006/metadata/properties"/>
    <ds:schemaRef ds:uri="74c693eb-c119-4d22-855e-574c8d8ba48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73FA17-B97B-4F91-8E16-19BAE78F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6f180-144a-42ee-8122-e88c3adfe28e"/>
    <ds:schemaRef ds:uri="f1521508-638b-40cb-bd77-3f3024fa2aba"/>
    <ds:schemaRef ds:uri="74c693eb-c119-4d22-855e-574c8d8b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0F9F4-5F2F-442E-A7B4-ED17F6511B3C}">
  <ds:schemaRefs>
    <ds:schemaRef ds:uri="Microsoft.SharePoint.Taxonomy.ContentTypeSync"/>
  </ds:schemaRefs>
</ds:datastoreItem>
</file>

<file path=customXml/itemProps4.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5.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6.xml><?xml version="1.0" encoding="utf-8"?>
<ds:datastoreItem xmlns:ds="http://schemas.openxmlformats.org/officeDocument/2006/customXml" ds:itemID="{598903F5-5F88-4021-9B0A-FC6625AC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4271</Words>
  <Characters>27590</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Lucy Conway</dc:creator>
  <cp:keywords/>
  <dc:description/>
  <cp:lastModifiedBy>Lucy Conway</cp:lastModifiedBy>
  <cp:revision>3</cp:revision>
  <cp:lastPrinted>2019-06-13T12:26:00Z</cp:lastPrinted>
  <dcterms:created xsi:type="dcterms:W3CDTF">2019-06-13T12:26:00Z</dcterms:created>
  <dcterms:modified xsi:type="dcterms:W3CDTF">2019-06-13T12:45:00Z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ab8b948975ea4ad8aac170f4c13d317d">
    <vt:lpwstr>Template|0cd88432-987d-4063-8ac9-2e04daa638c8</vt:lpwstr>
  </property>
  <property fmtid="{D5CDD505-2E9C-101B-9397-08002B2CF9AE}" pid="27" name="PromotedDocument">
    <vt:lpwstr>0</vt:lpwstr>
  </property>
  <property fmtid="{D5CDD505-2E9C-101B-9397-08002B2CF9AE}" pid="28" name="Programme">
    <vt:lpwstr/>
  </property>
  <property fmtid="{D5CDD505-2E9C-101B-9397-08002B2CF9AE}" pid="29" name="Document Category">
    <vt:lpwstr>76;#Template|0cd88432-987d-4063-8ac9-2e04daa638c8</vt:lpwstr>
  </property>
  <property fmtid="{D5CDD505-2E9C-101B-9397-08002B2CF9AE}" pid="30" name="g6577dadd3f343bd91122d4df6f9b776">
    <vt:lpwstr>Media and Strategic Communications|54a15c41-6cf0-47d5-b759-de46af6e2d1e</vt:lpwstr>
  </property>
  <property fmtid="{D5CDD505-2E9C-101B-9397-08002B2CF9AE}" pid="31" name="PinnedDocumentLifeAtOfsted">
    <vt:lpwstr>0</vt:lpwstr>
  </property>
  <property fmtid="{D5CDD505-2E9C-101B-9397-08002B2CF9AE}" pid="32" name="ContentTypeId">
    <vt:lpwstr>0x0101009C2B7C2BCED2CC498D2131C55000F427000574468B717840488AE197B2DD0D7BFE</vt:lpwstr>
  </property>
  <property fmtid="{D5CDD505-2E9C-101B-9397-08002B2CF9AE}" pid="33" name="Archived">
    <vt:lpwstr>0</vt:lpwstr>
  </property>
  <property fmtid="{D5CDD505-2E9C-101B-9397-08002B2CF9AE}" pid="34" name="o3d079b38b0d41c2a910277f067f5fcd">
    <vt:lpwstr/>
  </property>
  <property fmtid="{D5CDD505-2E9C-101B-9397-08002B2CF9AE}" pid="35" name="Ofsted Owner">
    <vt:lpwstr>29;#Media and Strategic Communications|54a15c41-6cf0-47d5-b759-de46af6e2d1e</vt:lpwstr>
  </property>
  <property fmtid="{D5CDD505-2E9C-101B-9397-08002B2CF9AE}" pid="36" name="f9655ec895104743ad2d637f901e9d20">
    <vt:lpwstr/>
  </property>
  <property fmtid="{D5CDD505-2E9C-101B-9397-08002B2CF9AE}" pid="37" name="ie6f3249163e41529905fc0fccf9fe34">
    <vt:lpwstr/>
  </property>
  <property fmtid="{D5CDD505-2E9C-101B-9397-08002B2CF9AE}" pid="38" name="ReviewFrequency">
    <vt:lpwstr>6 Months</vt:lpwstr>
  </property>
  <property fmtid="{D5CDD505-2E9C-101B-9397-08002B2CF9AE}" pid="39" name="Team">
    <vt:lpwstr/>
  </property>
  <property fmtid="{D5CDD505-2E9C-101B-9397-08002B2CF9AE}" pid="40" name="Remit">
    <vt:lpwstr/>
  </property>
  <property fmtid="{D5CDD505-2E9C-101B-9397-08002B2CF9AE}" pid="41" name="TaxCatchAll">
    <vt:lpwstr>29;#Media and Strategic Communications|54a15c41-6cf0-47d5-b759-de46af6e2d1e;#76;#Template|0cd88432-987d-4063-8ac9-2e04daa638c8</vt:lpwstr>
  </property>
  <property fmtid="{D5CDD505-2E9C-101B-9397-08002B2CF9AE}" pid="42" name="Archived Date">
    <vt:lpwstr/>
  </property>
  <property fmtid="{D5CDD505-2E9C-101B-9397-08002B2CF9AE}" pid="43" name="NextReviewDate">
    <vt:lpwstr/>
  </property>
  <property fmtid="{D5CDD505-2E9C-101B-9397-08002B2CF9AE}" pid="44" name="Last Review Date">
    <vt:lpwstr/>
  </property>
  <property fmtid="{D5CDD505-2E9C-101B-9397-08002B2CF9AE}" pid="45" name="Section">
    <vt:lpwstr>Official Statistics</vt:lpwstr>
  </property>
  <property fmtid="{D5CDD505-2E9C-101B-9397-08002B2CF9AE}" pid="46" name="Date last updated">
    <vt:lpwstr>2018-03-21T00:00:00Z</vt:lpwstr>
  </property>
  <property fmtid="{D5CDD505-2E9C-101B-9397-08002B2CF9AE}" pid="47" name="Date next update due">
    <vt:lpwstr>2019-03-21T00:00:00Z</vt:lpwstr>
  </property>
  <property fmtid="{D5CDD505-2E9C-101B-9397-08002B2CF9AE}" pid="48" name="Order">
    <vt:r8>99700</vt:r8>
  </property>
  <property fmtid="{D5CDD505-2E9C-101B-9397-08002B2CF9AE}" pid="49" name="OfstedDepartment">
    <vt:lpwstr/>
  </property>
  <property fmtid="{D5CDD505-2E9C-101B-9397-08002B2CF9AE}" pid="50" name="OfstedTeam">
    <vt:lpwstr/>
  </property>
  <property fmtid="{D5CDD505-2E9C-101B-9397-08002B2CF9AE}" pid="51" name="ComplianceAssetId">
    <vt:lpwstr/>
  </property>
  <property fmtid="{D5CDD505-2E9C-101B-9397-08002B2CF9AE}" pid="52" name="DocumentType">
    <vt:lpwstr/>
  </property>
  <property fmtid="{D5CDD505-2E9C-101B-9397-08002B2CF9AE}" pid="53" name="Recipient">
    <vt:lpwstr/>
  </property>
  <property fmtid="{D5CDD505-2E9C-101B-9397-08002B2CF9AE}" pid="54" name="Directorate">
    <vt:lpwstr/>
  </property>
  <property fmtid="{D5CDD505-2E9C-101B-9397-08002B2CF9AE}" pid="55" name="AuthorIds_UIVersion_8">
    <vt:lpwstr>101</vt:lpwstr>
  </property>
  <property fmtid="{D5CDD505-2E9C-101B-9397-08002B2CF9AE}" pid="56" name="AuthorIds_UIVersion_107">
    <vt:lpwstr>101</vt:lpwstr>
  </property>
  <property fmtid="{D5CDD505-2E9C-101B-9397-08002B2CF9AE}" pid="57" name="AuthorIds_UIVersion_110">
    <vt:lpwstr>101</vt:lpwstr>
  </property>
  <property fmtid="{D5CDD505-2E9C-101B-9397-08002B2CF9AE}" pid="58" name="AuthorIds_UIVersion_150">
    <vt:lpwstr>101</vt:lpwstr>
  </property>
  <property fmtid="{D5CDD505-2E9C-101B-9397-08002B2CF9AE}" pid="59" name="AuthorIds_UIVersion_173">
    <vt:lpwstr>30</vt:lpwstr>
  </property>
</Properties>
</file>