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8516C" w14:textId="77777777" w:rsidR="00CF459C" w:rsidRPr="00B07BEB" w:rsidRDefault="00CF459C">
      <w:bookmarkStart w:id="0" w:name="_GoBack"/>
      <w:bookmarkEnd w:id="0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F4349B" w:rsidRPr="00B07BEB" w14:paraId="5FFFE8B4" w14:textId="77777777" w:rsidTr="00391AD0">
        <w:tc>
          <w:tcPr>
            <w:tcW w:w="9072" w:type="dxa"/>
          </w:tcPr>
          <w:p w14:paraId="05286AB0" w14:textId="77777777" w:rsidR="00F4349B" w:rsidRPr="00B07BEB" w:rsidRDefault="00F4349B" w:rsidP="00391AD0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jc w:val="center"/>
              <w:rPr>
                <w:rStyle w:val="Heading5lb"/>
                <w:szCs w:val="22"/>
              </w:rPr>
            </w:pPr>
            <w:r w:rsidRPr="00B07BEB">
              <w:rPr>
                <w:rStyle w:val="Heading5lb"/>
                <w:szCs w:val="22"/>
              </w:rPr>
              <w:t>ANNOUNCEMENT OF CONSULTATION ON DRAFT PLAN AND ITS ACCOMPANYING ENVIRONMENTAL REPORT</w:t>
            </w:r>
          </w:p>
          <w:p w14:paraId="7A919C3A" w14:textId="77777777" w:rsidR="00F4349B" w:rsidRPr="00B07BEB" w:rsidRDefault="00F4349B" w:rsidP="00391AD0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jc w:val="center"/>
              <w:rPr>
                <w:rStyle w:val="Heading5lb"/>
                <w:szCs w:val="22"/>
              </w:rPr>
            </w:pPr>
          </w:p>
          <w:p w14:paraId="3F236969" w14:textId="3A685B5C" w:rsidR="00F4349B" w:rsidRPr="00B07BEB" w:rsidRDefault="00F4349B" w:rsidP="00391AD0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jc w:val="center"/>
              <w:rPr>
                <w:rStyle w:val="Heading5lb"/>
                <w:szCs w:val="22"/>
              </w:rPr>
            </w:pPr>
            <w:r w:rsidRPr="00B07BEB">
              <w:rPr>
                <w:szCs w:val="22"/>
              </w:rPr>
              <w:t>(</w:t>
            </w:r>
            <w:r w:rsidRPr="00B07BEB">
              <w:rPr>
                <w:rStyle w:val="Heading5lb"/>
                <w:szCs w:val="22"/>
              </w:rPr>
              <w:t xml:space="preserve">SI 2004 1633 </w:t>
            </w:r>
            <w:r w:rsidR="00A23AB4" w:rsidRPr="00B07BEB">
              <w:rPr>
                <w:rStyle w:val="Heading5lb"/>
                <w:szCs w:val="22"/>
              </w:rPr>
              <w:t>(England)</w:t>
            </w:r>
            <w:r w:rsidRPr="00B07BEB">
              <w:rPr>
                <w:rStyle w:val="Heading5lb"/>
                <w:szCs w:val="22"/>
              </w:rPr>
              <w:t xml:space="preserve"> Regulation 13 </w:t>
            </w:r>
            <w:r w:rsidR="00B07BEB">
              <w:rPr>
                <w:rStyle w:val="Heading5lb"/>
                <w:szCs w:val="22"/>
              </w:rPr>
              <w:t>(</w:t>
            </w:r>
            <w:r w:rsidRPr="00B07BEB">
              <w:rPr>
                <w:rStyle w:val="Heading5lb"/>
                <w:szCs w:val="22"/>
              </w:rPr>
              <w:t>2</w:t>
            </w:r>
            <w:r w:rsidR="00B07BEB">
              <w:rPr>
                <w:rStyle w:val="Heading5lb"/>
                <w:szCs w:val="22"/>
              </w:rPr>
              <w:t>)</w:t>
            </w:r>
            <w:r w:rsidRPr="00B07BEB">
              <w:rPr>
                <w:rStyle w:val="Heading5lb"/>
                <w:szCs w:val="22"/>
              </w:rPr>
              <w:t>)</w:t>
            </w:r>
          </w:p>
          <w:p w14:paraId="4C8FC33A" w14:textId="77777777" w:rsidR="00F4349B" w:rsidRPr="00B07BEB" w:rsidRDefault="00F4349B" w:rsidP="00391AD0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jc w:val="center"/>
              <w:rPr>
                <w:rStyle w:val="Heading5lb"/>
                <w:b w:val="0"/>
                <w:szCs w:val="22"/>
              </w:rPr>
            </w:pPr>
          </w:p>
          <w:p w14:paraId="424158FE" w14:textId="77777777" w:rsidR="00F4349B" w:rsidRPr="00B07BEB" w:rsidRDefault="00F4349B" w:rsidP="00391AD0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jc w:val="center"/>
              <w:rPr>
                <w:rStyle w:val="Heading5lb"/>
                <w:rFonts w:cs="Arial"/>
                <w:b w:val="0"/>
                <w:szCs w:val="22"/>
              </w:rPr>
            </w:pPr>
            <w:r w:rsidRPr="00823D3F">
              <w:rPr>
                <w:rStyle w:val="Heading5lb"/>
                <w:rFonts w:cs="Arial"/>
                <w:i/>
                <w:sz w:val="22"/>
                <w:szCs w:val="22"/>
              </w:rPr>
              <w:t>PREPARED FOLLOWING THE PRINCIPLES OF THE</w:t>
            </w:r>
            <w:r w:rsidRPr="00B07BEB">
              <w:rPr>
                <w:rStyle w:val="Heading5lb"/>
                <w:rFonts w:cs="Arial"/>
                <w:i/>
                <w:szCs w:val="22"/>
              </w:rPr>
              <w:t xml:space="preserve"> </w:t>
            </w:r>
            <w:r w:rsidRPr="00B07BEB">
              <w:rPr>
                <w:rFonts w:cs="Arial"/>
                <w:b/>
                <w:i/>
                <w:szCs w:val="22"/>
              </w:rPr>
              <w:t>ENVIRONMENTAL ASSESSMENT OF PLANS AND PROGRAMMES REGULATIONS 2004</w:t>
            </w:r>
            <w:r w:rsidRPr="00B07BEB">
              <w:rPr>
                <w:rFonts w:cs="Arial"/>
                <w:b/>
                <w:i/>
                <w:szCs w:val="22"/>
                <w:vertAlign w:val="superscript"/>
              </w:rPr>
              <w:t>1</w:t>
            </w:r>
          </w:p>
        </w:tc>
      </w:tr>
    </w:tbl>
    <w:p w14:paraId="778F38D3" w14:textId="77777777" w:rsidR="00F4349B" w:rsidRPr="00B07BEB" w:rsidRDefault="00F4349B" w:rsidP="00F4349B">
      <w:pPr>
        <w:pStyle w:val="Filename"/>
        <w:tabs>
          <w:tab w:val="left" w:pos="-1440"/>
          <w:tab w:val="left" w:pos="-720"/>
          <w:tab w:val="left" w:pos="0"/>
          <w:tab w:val="decimal" w:pos="360"/>
          <w:tab w:val="left" w:pos="720"/>
          <w:tab w:val="decimal" w:pos="1440"/>
        </w:tabs>
        <w:suppressAutoHyphens/>
        <w:rPr>
          <w:rStyle w:val="Heading5lb"/>
          <w:b w:val="0"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2"/>
      </w:tblGrid>
      <w:tr w:rsidR="004B2153" w:rsidRPr="00B07BEB" w14:paraId="692D61B6" w14:textId="77777777" w:rsidTr="004B2153">
        <w:trPr>
          <w:trHeight w:val="976"/>
        </w:trPr>
        <w:tc>
          <w:tcPr>
            <w:tcW w:w="907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C83E505" w14:textId="77777777" w:rsidR="00F4349B" w:rsidRPr="00B07BEB" w:rsidRDefault="00A23AB4" w:rsidP="00A23AB4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spacing w:before="90"/>
              <w:jc w:val="center"/>
              <w:rPr>
                <w:rStyle w:val="Heading5lb"/>
                <w:sz w:val="24"/>
                <w:szCs w:val="24"/>
              </w:rPr>
            </w:pPr>
            <w:r w:rsidRPr="00B07BEB">
              <w:rPr>
                <w:rStyle w:val="Heading5lb"/>
                <w:sz w:val="24"/>
                <w:szCs w:val="24"/>
              </w:rPr>
              <w:t>Saltfleet to Gibraltar Point Strategy</w:t>
            </w:r>
          </w:p>
          <w:p w14:paraId="7AF5E015" w14:textId="77777777" w:rsidR="00A23AB4" w:rsidRPr="00B07BEB" w:rsidRDefault="00A23AB4" w:rsidP="00A23AB4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spacing w:before="90"/>
              <w:rPr>
                <w:rStyle w:val="Heading5lb"/>
                <w:b w:val="0"/>
                <w:i/>
                <w:szCs w:val="22"/>
              </w:rPr>
            </w:pPr>
          </w:p>
          <w:p w14:paraId="45A27BB7" w14:textId="77777777" w:rsidR="00F4349B" w:rsidRPr="00B07BEB" w:rsidRDefault="00F4349B" w:rsidP="00391AD0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jc w:val="left"/>
              <w:rPr>
                <w:rStyle w:val="Heading5lb"/>
                <w:szCs w:val="22"/>
              </w:rPr>
            </w:pPr>
            <w:r w:rsidRPr="00B07BEB">
              <w:rPr>
                <w:rStyle w:val="Heading5lb"/>
                <w:szCs w:val="22"/>
              </w:rPr>
              <w:t>THE ENVIRONMENTAL ASSESSMENT REGULATIONS (</w:t>
            </w:r>
            <w:r w:rsidR="00A23AB4" w:rsidRPr="00B07BEB">
              <w:rPr>
                <w:rStyle w:val="Heading5lb"/>
                <w:szCs w:val="22"/>
              </w:rPr>
              <w:t>SI 2004 1633</w:t>
            </w:r>
            <w:r w:rsidRPr="00B07BEB">
              <w:rPr>
                <w:rStyle w:val="Heading5lb"/>
                <w:szCs w:val="22"/>
              </w:rPr>
              <w:t xml:space="preserve">) </w:t>
            </w:r>
          </w:p>
          <w:p w14:paraId="0570FF83" w14:textId="77777777" w:rsidR="00F4349B" w:rsidRPr="00B07BEB" w:rsidRDefault="00F4349B" w:rsidP="00391AD0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jc w:val="left"/>
              <w:rPr>
                <w:rStyle w:val="Heading5lb"/>
                <w:b w:val="0"/>
                <w:szCs w:val="22"/>
              </w:rPr>
            </w:pPr>
          </w:p>
          <w:p w14:paraId="5B070ADF" w14:textId="01A82FE5" w:rsidR="00F4349B" w:rsidRPr="00B07BEB" w:rsidRDefault="00F4349B" w:rsidP="00391AD0">
            <w:pPr>
              <w:jc w:val="left"/>
              <w:rPr>
                <w:szCs w:val="22"/>
              </w:rPr>
            </w:pPr>
            <w:r w:rsidRPr="00B07BEB">
              <w:rPr>
                <w:szCs w:val="22"/>
              </w:rPr>
              <w:t>The Environment Agency gives notice that an Environmental Report and the above draft Plan (</w:t>
            </w:r>
            <w:r w:rsidRPr="00B07BEB">
              <w:rPr>
                <w:i/>
                <w:szCs w:val="22"/>
              </w:rPr>
              <w:t>relevant documents</w:t>
            </w:r>
            <w:r w:rsidRPr="00B07BEB">
              <w:rPr>
                <w:szCs w:val="22"/>
              </w:rPr>
              <w:t xml:space="preserve">) have been prepared and are available for consultation. </w:t>
            </w:r>
            <w:r w:rsidR="00285BCB" w:rsidRPr="00B07BEB">
              <w:rPr>
                <w:szCs w:val="22"/>
              </w:rPr>
              <w:t xml:space="preserve"> </w:t>
            </w:r>
            <w:r w:rsidR="00A23AB4" w:rsidRPr="00B07BEB">
              <w:t>The E</w:t>
            </w:r>
            <w:r w:rsidR="00285BCB" w:rsidRPr="00B07BEB">
              <w:t xml:space="preserve">nvironment </w:t>
            </w:r>
            <w:r w:rsidR="00A23AB4" w:rsidRPr="00B07BEB">
              <w:t>A</w:t>
            </w:r>
            <w:r w:rsidR="00285BCB" w:rsidRPr="00B07BEB">
              <w:t>gency</w:t>
            </w:r>
            <w:r w:rsidR="00A23AB4" w:rsidRPr="00B07BEB">
              <w:t xml:space="preserve"> has reviewed its current strategy for </w:t>
            </w:r>
            <w:r w:rsidR="00823D3F">
              <w:t>coastal</w:t>
            </w:r>
            <w:r w:rsidR="00A23AB4" w:rsidRPr="00B07BEB">
              <w:t xml:space="preserve"> flood risk management </w:t>
            </w:r>
            <w:r w:rsidR="00605580" w:rsidRPr="00B07BEB">
              <w:t>between Salt</w:t>
            </w:r>
            <w:r w:rsidR="00285BCB" w:rsidRPr="00B07BEB">
              <w:t xml:space="preserve">fleet and Gibraltar Point on </w:t>
            </w:r>
            <w:r w:rsidR="00A23AB4" w:rsidRPr="00B07BEB">
              <w:t>the Lincolnshire coast</w:t>
            </w:r>
            <w:r w:rsidR="00285BCB" w:rsidRPr="00B07BEB">
              <w:t xml:space="preserve">, and has identified </w:t>
            </w:r>
            <w:r w:rsidR="00A23AB4" w:rsidRPr="00B07BEB">
              <w:t>a</w:t>
            </w:r>
            <w:r w:rsidR="00436CD9" w:rsidRPr="00B07BEB">
              <w:t xml:space="preserve"> preferred approach for </w:t>
            </w:r>
            <w:r w:rsidR="007D6BA3" w:rsidRPr="00B07BEB">
              <w:t xml:space="preserve">the management of </w:t>
            </w:r>
            <w:r w:rsidR="00436CD9" w:rsidRPr="00B07BEB">
              <w:t>t</w:t>
            </w:r>
            <w:r w:rsidR="00823D3F">
              <w:t xml:space="preserve">his </w:t>
            </w:r>
            <w:r w:rsidR="00436CD9" w:rsidRPr="00B07BEB">
              <w:t>risk over</w:t>
            </w:r>
            <w:r w:rsidR="00A23AB4" w:rsidRPr="00B07BEB">
              <w:t xml:space="preserve"> the next 100 years.  Based on a number of factors, including technical effectiveness, affordability and sustainability in light of climate change, </w:t>
            </w:r>
            <w:r w:rsidR="00436CD9" w:rsidRPr="00B07BEB">
              <w:t xml:space="preserve">as well as consultation and engagement with stakeholders and the public, </w:t>
            </w:r>
            <w:r w:rsidR="00A23AB4" w:rsidRPr="00B07BEB">
              <w:t>the E</w:t>
            </w:r>
            <w:r w:rsidR="00285BCB" w:rsidRPr="00B07BEB">
              <w:t>nvironment Agency’s</w:t>
            </w:r>
            <w:r w:rsidR="00A23AB4" w:rsidRPr="00B07BEB">
              <w:t xml:space="preserve"> specialist teams have determined a new visi</w:t>
            </w:r>
            <w:r w:rsidR="00285BCB" w:rsidRPr="00B07BEB">
              <w:t xml:space="preserve">on for the sustainable </w:t>
            </w:r>
            <w:r w:rsidR="00A23AB4" w:rsidRPr="00B07BEB">
              <w:t xml:space="preserve">management </w:t>
            </w:r>
            <w:r w:rsidR="00285BCB" w:rsidRPr="00B07BEB">
              <w:t>of flood risk on the this stretch of coastline into the future.</w:t>
            </w:r>
          </w:p>
          <w:p w14:paraId="3838F563" w14:textId="77777777" w:rsidR="00F4349B" w:rsidRPr="00B07BEB" w:rsidRDefault="00F4349B" w:rsidP="00391AD0">
            <w:pPr>
              <w:pStyle w:val="Header"/>
              <w:jc w:val="left"/>
              <w:rPr>
                <w:sz w:val="22"/>
                <w:szCs w:val="22"/>
              </w:rPr>
            </w:pPr>
          </w:p>
          <w:p w14:paraId="7C2AB1C6" w14:textId="5085B22F" w:rsidR="00F4349B" w:rsidRPr="00B07BEB" w:rsidRDefault="00F4349B" w:rsidP="00391AD0">
            <w:pPr>
              <w:pStyle w:val="N4"/>
              <w:numPr>
                <w:ilvl w:val="0"/>
                <w:numId w:val="0"/>
              </w:numPr>
              <w:jc w:val="left"/>
              <w:rPr>
                <w:rFonts w:ascii="Arial" w:hAnsi="Arial"/>
                <w:sz w:val="22"/>
                <w:szCs w:val="22"/>
              </w:rPr>
            </w:pPr>
            <w:r w:rsidRPr="00B07BEB">
              <w:rPr>
                <w:rFonts w:ascii="Arial" w:hAnsi="Arial"/>
                <w:sz w:val="22"/>
                <w:szCs w:val="22"/>
              </w:rPr>
              <w:t xml:space="preserve">The Environment Agency invites the public and </w:t>
            </w:r>
            <w:r w:rsidR="00436CD9" w:rsidRPr="00B07BEB">
              <w:rPr>
                <w:rFonts w:ascii="Arial" w:hAnsi="Arial"/>
                <w:sz w:val="22"/>
                <w:szCs w:val="22"/>
              </w:rPr>
              <w:t>statutory</w:t>
            </w:r>
            <w:r w:rsidRPr="00B07BEB">
              <w:rPr>
                <w:rFonts w:ascii="Arial" w:hAnsi="Arial"/>
                <w:sz w:val="22"/>
                <w:szCs w:val="22"/>
              </w:rPr>
              <w:t xml:space="preserve"> consultees to express their opinion on the relevant documents. </w:t>
            </w:r>
            <w:r w:rsidR="00B07BEB">
              <w:rPr>
                <w:rFonts w:ascii="Arial" w:hAnsi="Arial"/>
                <w:sz w:val="22"/>
                <w:szCs w:val="22"/>
              </w:rPr>
              <w:t xml:space="preserve"> </w:t>
            </w:r>
            <w:r w:rsidRPr="00B07BEB">
              <w:rPr>
                <w:rFonts w:ascii="Arial" w:hAnsi="Arial"/>
                <w:sz w:val="22"/>
                <w:szCs w:val="22"/>
              </w:rPr>
              <w:t xml:space="preserve">Members of the public may inspect </w:t>
            </w:r>
            <w:r w:rsidRPr="00B07BEB">
              <w:rPr>
                <w:rFonts w:ascii="Arial" w:hAnsi="Arial"/>
                <w:b/>
                <w:sz w:val="22"/>
                <w:szCs w:val="22"/>
              </w:rPr>
              <w:t>(inspection is free)</w:t>
            </w:r>
            <w:r w:rsidRPr="00B07BEB">
              <w:rPr>
                <w:rFonts w:ascii="Arial" w:hAnsi="Arial"/>
                <w:sz w:val="22"/>
                <w:szCs w:val="22"/>
              </w:rPr>
              <w:t xml:space="preserve"> and / or obtain a copy of the relevant documents from the following address:</w:t>
            </w:r>
          </w:p>
          <w:p w14:paraId="0CF2FED4" w14:textId="77777777" w:rsidR="006D35FC" w:rsidRPr="00B07BEB" w:rsidRDefault="006D35FC" w:rsidP="006D35FC">
            <w:pPr>
              <w:pStyle w:val="N4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="Arial" w:hAnsi="Arial"/>
                <w:sz w:val="22"/>
                <w:szCs w:val="22"/>
              </w:rPr>
            </w:pPr>
          </w:p>
          <w:p w14:paraId="6126D545" w14:textId="2E6BD7A9" w:rsidR="00252AFD" w:rsidRPr="00B07BEB" w:rsidRDefault="003B1BCA" w:rsidP="006D35FC">
            <w:pPr>
              <w:pStyle w:val="N4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East Lindsey District Council offices</w:t>
            </w:r>
          </w:p>
          <w:p w14:paraId="29D09222" w14:textId="41219ACF" w:rsidR="00252AFD" w:rsidRPr="00B07BEB" w:rsidRDefault="003B1BCA" w:rsidP="006D35FC">
            <w:pPr>
              <w:pStyle w:val="N4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Tedder Hall</w:t>
            </w:r>
          </w:p>
          <w:p w14:paraId="4182E291" w14:textId="77777777" w:rsidR="006D35FC" w:rsidRPr="00B07BEB" w:rsidRDefault="006D35FC" w:rsidP="006D35FC">
            <w:pPr>
              <w:pStyle w:val="N4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="Arial" w:hAnsi="Arial"/>
                <w:sz w:val="22"/>
                <w:szCs w:val="22"/>
              </w:rPr>
            </w:pPr>
            <w:r w:rsidRPr="00B07BEB">
              <w:rPr>
                <w:rFonts w:ascii="Arial" w:hAnsi="Arial"/>
                <w:sz w:val="22"/>
                <w:szCs w:val="22"/>
              </w:rPr>
              <w:t>Manby Park</w:t>
            </w:r>
          </w:p>
          <w:p w14:paraId="553AA1B3" w14:textId="77777777" w:rsidR="006D35FC" w:rsidRPr="00B07BEB" w:rsidRDefault="006D35FC" w:rsidP="006D35FC">
            <w:pPr>
              <w:pStyle w:val="N4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="Arial" w:hAnsi="Arial"/>
                <w:sz w:val="22"/>
                <w:szCs w:val="22"/>
              </w:rPr>
            </w:pPr>
            <w:r w:rsidRPr="00B07BEB">
              <w:rPr>
                <w:rFonts w:ascii="Arial" w:hAnsi="Arial"/>
                <w:sz w:val="22"/>
                <w:szCs w:val="22"/>
              </w:rPr>
              <w:t xml:space="preserve">Manby </w:t>
            </w:r>
          </w:p>
          <w:p w14:paraId="455A45BD" w14:textId="77777777" w:rsidR="006D35FC" w:rsidRPr="00B07BEB" w:rsidRDefault="006D35FC" w:rsidP="006D35FC">
            <w:pPr>
              <w:pStyle w:val="N4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="Arial" w:hAnsi="Arial"/>
                <w:sz w:val="22"/>
                <w:szCs w:val="22"/>
              </w:rPr>
            </w:pPr>
            <w:r w:rsidRPr="00B07BEB">
              <w:rPr>
                <w:rFonts w:ascii="Arial" w:hAnsi="Arial"/>
                <w:sz w:val="22"/>
                <w:szCs w:val="22"/>
              </w:rPr>
              <w:t>Louth</w:t>
            </w:r>
          </w:p>
          <w:p w14:paraId="33324B36" w14:textId="54BF0338" w:rsidR="00F4349B" w:rsidRPr="00B07BEB" w:rsidRDefault="003B1BCA" w:rsidP="006D35FC">
            <w:pPr>
              <w:pStyle w:val="N4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LN11 8UP</w:t>
            </w:r>
          </w:p>
          <w:p w14:paraId="5684085D" w14:textId="21496075" w:rsidR="00F4349B" w:rsidRPr="008241DE" w:rsidRDefault="00436CD9" w:rsidP="00391AD0">
            <w:pPr>
              <w:pStyle w:val="N4"/>
              <w:numPr>
                <w:ilvl w:val="0"/>
                <w:numId w:val="0"/>
              </w:numPr>
              <w:jc w:val="left"/>
              <w:rPr>
                <w:rStyle w:val="Hyperlink"/>
                <w:rFonts w:ascii="Times New Roman" w:hAnsi="Times New Roman"/>
                <w:szCs w:val="22"/>
              </w:rPr>
            </w:pPr>
            <w:r w:rsidRPr="00B07BEB">
              <w:rPr>
                <w:rFonts w:ascii="Arial" w:hAnsi="Arial"/>
                <w:sz w:val="22"/>
                <w:szCs w:val="22"/>
              </w:rPr>
              <w:t xml:space="preserve">Or by visiting </w:t>
            </w:r>
            <w:r w:rsidR="008241DE">
              <w:rPr>
                <w:rFonts w:ascii="Arial" w:hAnsi="Arial"/>
                <w:sz w:val="22"/>
                <w:szCs w:val="22"/>
              </w:rPr>
              <w:fldChar w:fldCharType="begin"/>
            </w:r>
            <w:r w:rsidR="008241DE">
              <w:rPr>
                <w:rFonts w:ascii="Arial" w:hAnsi="Arial"/>
                <w:sz w:val="22"/>
                <w:szCs w:val="22"/>
              </w:rPr>
              <w:instrText xml:space="preserve"> HYPERLINK "https://consult.environment-agency.gov.uk/lincolnshire-and-northamptonshire/sgp/" </w:instrText>
            </w:r>
            <w:r w:rsidR="008241D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41DE" w:rsidRPr="008241DE">
              <w:rPr>
                <w:rStyle w:val="Hyperlink"/>
                <w:szCs w:val="22"/>
              </w:rPr>
              <w:t>https://consult.environment-agency.gov.uk/lincolnshire-and-northamptonshire/sgp/</w:t>
            </w:r>
          </w:p>
          <w:p w14:paraId="2241C435" w14:textId="7D10F986" w:rsidR="00F4349B" w:rsidRPr="00B07BEB" w:rsidRDefault="008241DE" w:rsidP="00391AD0">
            <w:pPr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fldChar w:fldCharType="end"/>
            </w:r>
          </w:p>
          <w:p w14:paraId="5010F8B9" w14:textId="77777777" w:rsidR="006D35FC" w:rsidRPr="00B07BEB" w:rsidRDefault="006D35FC" w:rsidP="00391AD0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jc w:val="left"/>
              <w:rPr>
                <w:rStyle w:val="Heading5lb"/>
                <w:b w:val="0"/>
                <w:sz w:val="22"/>
                <w:szCs w:val="22"/>
              </w:rPr>
            </w:pPr>
            <w:r w:rsidRPr="00B07BEB">
              <w:rPr>
                <w:rStyle w:val="Heading5lb"/>
                <w:b w:val="0"/>
                <w:sz w:val="22"/>
                <w:szCs w:val="22"/>
              </w:rPr>
              <w:t>The relevant documents can also be inspected at Skegness Library located at:</w:t>
            </w:r>
          </w:p>
          <w:p w14:paraId="3622B862" w14:textId="77777777" w:rsidR="006D35FC" w:rsidRPr="00B07BEB" w:rsidRDefault="006D35FC" w:rsidP="00391AD0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jc w:val="left"/>
              <w:rPr>
                <w:rStyle w:val="Heading5lb"/>
                <w:b w:val="0"/>
                <w:sz w:val="22"/>
                <w:szCs w:val="22"/>
              </w:rPr>
            </w:pPr>
          </w:p>
          <w:p w14:paraId="6D086602" w14:textId="77777777" w:rsidR="006D35FC" w:rsidRPr="00B07BEB" w:rsidRDefault="006D35FC" w:rsidP="00391AD0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jc w:val="left"/>
              <w:rPr>
                <w:rStyle w:val="Heading5lb"/>
                <w:b w:val="0"/>
                <w:sz w:val="22"/>
                <w:szCs w:val="22"/>
              </w:rPr>
            </w:pPr>
            <w:r w:rsidRPr="00B07BEB">
              <w:rPr>
                <w:rStyle w:val="Heading5lb"/>
                <w:b w:val="0"/>
                <w:sz w:val="22"/>
                <w:szCs w:val="22"/>
              </w:rPr>
              <w:t>23 Roman Bank</w:t>
            </w:r>
          </w:p>
          <w:p w14:paraId="763E55D5" w14:textId="77777777" w:rsidR="006D35FC" w:rsidRPr="00B07BEB" w:rsidRDefault="006D35FC" w:rsidP="00391AD0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jc w:val="left"/>
              <w:rPr>
                <w:rStyle w:val="Heading5lb"/>
                <w:b w:val="0"/>
                <w:sz w:val="22"/>
                <w:szCs w:val="22"/>
              </w:rPr>
            </w:pPr>
            <w:r w:rsidRPr="00B07BEB">
              <w:rPr>
                <w:rStyle w:val="Heading5lb"/>
                <w:b w:val="0"/>
                <w:sz w:val="22"/>
                <w:szCs w:val="22"/>
              </w:rPr>
              <w:t>Skegness</w:t>
            </w:r>
          </w:p>
          <w:p w14:paraId="506FB700" w14:textId="77777777" w:rsidR="006D35FC" w:rsidRPr="00B07BEB" w:rsidRDefault="006D35FC" w:rsidP="00391AD0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jc w:val="left"/>
              <w:rPr>
                <w:rStyle w:val="Heading5lb"/>
                <w:b w:val="0"/>
                <w:sz w:val="22"/>
                <w:szCs w:val="22"/>
              </w:rPr>
            </w:pPr>
            <w:r w:rsidRPr="00B07BEB">
              <w:rPr>
                <w:rStyle w:val="Heading5lb"/>
                <w:b w:val="0"/>
                <w:sz w:val="22"/>
                <w:szCs w:val="22"/>
              </w:rPr>
              <w:t>PE25 2SA</w:t>
            </w:r>
          </w:p>
          <w:p w14:paraId="68CC671F" w14:textId="77777777" w:rsidR="006D35FC" w:rsidRPr="00B07BEB" w:rsidRDefault="006D35FC" w:rsidP="00391AD0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jc w:val="left"/>
              <w:rPr>
                <w:rStyle w:val="Heading5lb"/>
                <w:b w:val="0"/>
                <w:sz w:val="22"/>
                <w:szCs w:val="22"/>
              </w:rPr>
            </w:pPr>
          </w:p>
          <w:p w14:paraId="049CEE3A" w14:textId="6912648C" w:rsidR="00F4349B" w:rsidRPr="00B07BEB" w:rsidRDefault="00436CD9" w:rsidP="00391AD0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jc w:val="left"/>
              <w:rPr>
                <w:rStyle w:val="Heading5lb"/>
                <w:b w:val="0"/>
                <w:sz w:val="22"/>
                <w:szCs w:val="22"/>
              </w:rPr>
            </w:pPr>
            <w:r w:rsidRPr="00B07BEB">
              <w:rPr>
                <w:rStyle w:val="Heading5lb"/>
                <w:b w:val="0"/>
                <w:sz w:val="22"/>
                <w:szCs w:val="22"/>
              </w:rPr>
              <w:t>Consultation responses to</w:t>
            </w:r>
            <w:r w:rsidR="00F4349B" w:rsidRPr="00B07BEB">
              <w:rPr>
                <w:rStyle w:val="Heading5lb"/>
                <w:b w:val="0"/>
                <w:sz w:val="22"/>
                <w:szCs w:val="22"/>
              </w:rPr>
              <w:t xml:space="preserve"> the </w:t>
            </w:r>
            <w:r w:rsidR="00F4349B" w:rsidRPr="00B07BEB">
              <w:rPr>
                <w:szCs w:val="22"/>
              </w:rPr>
              <w:t>relevant documents</w:t>
            </w:r>
            <w:r w:rsidR="00F4349B" w:rsidRPr="00B07BEB">
              <w:rPr>
                <w:rStyle w:val="Heading5lb"/>
                <w:b w:val="0"/>
                <w:sz w:val="22"/>
                <w:szCs w:val="22"/>
              </w:rPr>
              <w:t xml:space="preserve"> must be sent to the Environment Agency at the address </w:t>
            </w:r>
            <w:r w:rsidR="004B2153">
              <w:rPr>
                <w:rStyle w:val="Heading5lb"/>
                <w:b w:val="0"/>
                <w:sz w:val="22"/>
                <w:szCs w:val="22"/>
              </w:rPr>
              <w:t>below</w:t>
            </w:r>
            <w:r w:rsidR="00F4349B" w:rsidRPr="00B07BEB">
              <w:rPr>
                <w:rStyle w:val="Heading5lb"/>
                <w:b w:val="0"/>
                <w:sz w:val="22"/>
                <w:szCs w:val="22"/>
              </w:rPr>
              <w:t xml:space="preserve"> by </w:t>
            </w:r>
            <w:r w:rsidR="004E6B54" w:rsidRPr="00B07BEB">
              <w:rPr>
                <w:rStyle w:val="Heading5lb"/>
                <w:b w:val="0"/>
                <w:sz w:val="22"/>
                <w:szCs w:val="22"/>
              </w:rPr>
              <w:t>2</w:t>
            </w:r>
            <w:r w:rsidR="00B07BEB">
              <w:rPr>
                <w:rStyle w:val="Heading5lb"/>
                <w:b w:val="0"/>
                <w:sz w:val="22"/>
                <w:szCs w:val="22"/>
              </w:rPr>
              <w:t>5</w:t>
            </w:r>
            <w:r w:rsidR="004E6B54" w:rsidRPr="00B07BEB">
              <w:rPr>
                <w:rStyle w:val="Heading5lb"/>
                <w:b w:val="0"/>
                <w:sz w:val="22"/>
                <w:szCs w:val="22"/>
              </w:rPr>
              <w:t xml:space="preserve"> </w:t>
            </w:r>
            <w:r w:rsidR="00B07BEB">
              <w:rPr>
                <w:rStyle w:val="Heading5lb"/>
                <w:b w:val="0"/>
                <w:sz w:val="22"/>
                <w:szCs w:val="22"/>
              </w:rPr>
              <w:t>August</w:t>
            </w:r>
            <w:r w:rsidR="004E6B54" w:rsidRPr="00B07BEB">
              <w:rPr>
                <w:rStyle w:val="Heading5lb"/>
                <w:b w:val="0"/>
                <w:sz w:val="22"/>
                <w:szCs w:val="22"/>
              </w:rPr>
              <w:t>.</w:t>
            </w:r>
          </w:p>
          <w:p w14:paraId="136BD202" w14:textId="77777777" w:rsidR="00F4349B" w:rsidRPr="00B07BEB" w:rsidRDefault="00F4349B" w:rsidP="00391AD0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jc w:val="left"/>
              <w:rPr>
                <w:rStyle w:val="Heading5lb"/>
                <w:b w:val="0"/>
                <w:szCs w:val="22"/>
              </w:rPr>
            </w:pPr>
          </w:p>
          <w:p w14:paraId="2A644D47" w14:textId="77777777" w:rsidR="00F4349B" w:rsidRPr="00B07BEB" w:rsidRDefault="004E6B54" w:rsidP="00391AD0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jc w:val="left"/>
              <w:rPr>
                <w:rStyle w:val="Heading5lb"/>
                <w:b w:val="0"/>
                <w:sz w:val="22"/>
                <w:szCs w:val="22"/>
              </w:rPr>
            </w:pPr>
            <w:r w:rsidRPr="00B07BEB">
              <w:rPr>
                <w:rStyle w:val="Heading5lb"/>
                <w:b w:val="0"/>
                <w:sz w:val="22"/>
                <w:szCs w:val="22"/>
              </w:rPr>
              <w:t>Angela Scott (Project Manager)</w:t>
            </w:r>
          </w:p>
          <w:p w14:paraId="64F55942" w14:textId="77777777" w:rsidR="00252AFD" w:rsidRPr="00B07BEB" w:rsidRDefault="00252AFD" w:rsidP="00391AD0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jc w:val="left"/>
              <w:rPr>
                <w:rStyle w:val="Heading5lb"/>
                <w:b w:val="0"/>
                <w:sz w:val="22"/>
                <w:szCs w:val="22"/>
              </w:rPr>
            </w:pPr>
            <w:r w:rsidRPr="00B07BEB">
              <w:rPr>
                <w:rStyle w:val="Heading5lb"/>
                <w:b w:val="0"/>
                <w:sz w:val="22"/>
                <w:szCs w:val="22"/>
              </w:rPr>
              <w:t>The Environment Agency</w:t>
            </w:r>
          </w:p>
          <w:p w14:paraId="336E2938" w14:textId="77777777" w:rsidR="004E6B54" w:rsidRPr="00B07BEB" w:rsidRDefault="004E6B54" w:rsidP="00391AD0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jc w:val="left"/>
              <w:rPr>
                <w:rStyle w:val="Heading5lb"/>
                <w:b w:val="0"/>
                <w:sz w:val="22"/>
                <w:szCs w:val="22"/>
              </w:rPr>
            </w:pPr>
            <w:r w:rsidRPr="00B07BEB">
              <w:rPr>
                <w:rStyle w:val="Heading5lb"/>
                <w:b w:val="0"/>
                <w:sz w:val="22"/>
                <w:szCs w:val="22"/>
              </w:rPr>
              <w:t>Kingfisher House</w:t>
            </w:r>
          </w:p>
          <w:p w14:paraId="243026EE" w14:textId="77777777" w:rsidR="004E6B54" w:rsidRPr="00B07BEB" w:rsidRDefault="004E6B54" w:rsidP="00391AD0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jc w:val="left"/>
              <w:rPr>
                <w:rStyle w:val="Heading5lb"/>
                <w:b w:val="0"/>
                <w:sz w:val="22"/>
                <w:szCs w:val="22"/>
              </w:rPr>
            </w:pPr>
            <w:r w:rsidRPr="00B07BEB">
              <w:rPr>
                <w:rStyle w:val="Heading5lb"/>
                <w:b w:val="0"/>
                <w:sz w:val="22"/>
                <w:szCs w:val="22"/>
              </w:rPr>
              <w:t>Goldhay Way</w:t>
            </w:r>
          </w:p>
          <w:p w14:paraId="66524D47" w14:textId="77777777" w:rsidR="004E6B54" w:rsidRPr="00B07BEB" w:rsidRDefault="004E6B54" w:rsidP="00391AD0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jc w:val="left"/>
              <w:rPr>
                <w:rStyle w:val="Heading5lb"/>
                <w:b w:val="0"/>
                <w:sz w:val="22"/>
                <w:szCs w:val="22"/>
              </w:rPr>
            </w:pPr>
            <w:r w:rsidRPr="00B07BEB">
              <w:rPr>
                <w:rStyle w:val="Heading5lb"/>
                <w:b w:val="0"/>
                <w:sz w:val="22"/>
                <w:szCs w:val="22"/>
              </w:rPr>
              <w:t>Orton Goldhay</w:t>
            </w:r>
          </w:p>
          <w:p w14:paraId="7E6B8E4E" w14:textId="77777777" w:rsidR="004E6B54" w:rsidRPr="00B07BEB" w:rsidRDefault="004E6B54" w:rsidP="00391AD0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jc w:val="left"/>
              <w:rPr>
                <w:rStyle w:val="Heading5lb"/>
                <w:b w:val="0"/>
                <w:sz w:val="22"/>
                <w:szCs w:val="22"/>
              </w:rPr>
            </w:pPr>
            <w:r w:rsidRPr="00B07BEB">
              <w:rPr>
                <w:rStyle w:val="Heading5lb"/>
                <w:b w:val="0"/>
                <w:sz w:val="22"/>
                <w:szCs w:val="22"/>
              </w:rPr>
              <w:t>Peterborough</w:t>
            </w:r>
          </w:p>
          <w:p w14:paraId="7F3F4DA7" w14:textId="77777777" w:rsidR="004E6B54" w:rsidRPr="00B07BEB" w:rsidRDefault="004E6B54" w:rsidP="00391AD0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jc w:val="left"/>
              <w:rPr>
                <w:rStyle w:val="Heading5lb"/>
                <w:b w:val="0"/>
                <w:sz w:val="22"/>
                <w:szCs w:val="22"/>
              </w:rPr>
            </w:pPr>
            <w:r w:rsidRPr="00B07BEB">
              <w:rPr>
                <w:rStyle w:val="Heading5lb"/>
                <w:b w:val="0"/>
                <w:sz w:val="22"/>
                <w:szCs w:val="22"/>
              </w:rPr>
              <w:t>PE2 5ZR</w:t>
            </w:r>
          </w:p>
          <w:p w14:paraId="3A9301AB" w14:textId="77777777" w:rsidR="00F4349B" w:rsidRPr="00B07BEB" w:rsidRDefault="00F4349B" w:rsidP="00391AD0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jc w:val="left"/>
              <w:rPr>
                <w:rStyle w:val="Heading5lb"/>
                <w:b w:val="0"/>
                <w:sz w:val="22"/>
                <w:szCs w:val="22"/>
              </w:rPr>
            </w:pPr>
          </w:p>
          <w:p w14:paraId="34B3DCA8" w14:textId="77777777" w:rsidR="00F4349B" w:rsidRPr="00B07BEB" w:rsidRDefault="00F4349B" w:rsidP="00391AD0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jc w:val="left"/>
              <w:rPr>
                <w:rStyle w:val="Heading5lb"/>
                <w:b w:val="0"/>
                <w:szCs w:val="22"/>
              </w:rPr>
            </w:pPr>
          </w:p>
          <w:p w14:paraId="65265D5A" w14:textId="1B538DCD" w:rsidR="004B2153" w:rsidRPr="004B2153" w:rsidRDefault="00F4349B" w:rsidP="004B2153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jc w:val="left"/>
              <w:rPr>
                <w:rFonts w:cs="Arial"/>
                <w:sz w:val="20"/>
                <w:szCs w:val="22"/>
                <w:lang w:val="en-US"/>
              </w:rPr>
            </w:pPr>
            <w:r w:rsidRPr="00B07BEB">
              <w:rPr>
                <w:rFonts w:cs="Arial"/>
                <w:i/>
                <w:szCs w:val="22"/>
                <w:vertAlign w:val="superscript"/>
              </w:rPr>
              <w:t>1</w:t>
            </w:r>
            <w:r w:rsidRPr="00B07BEB">
              <w:rPr>
                <w:rFonts w:cs="Arial"/>
                <w:i/>
                <w:szCs w:val="22"/>
              </w:rPr>
              <w:t>The Plan does not fall within the requirements of the Environmental Assessment of Plans and Programmes Regulations 2004 (SI 1633) but has been prepared within the principles of the Regulations.</w:t>
            </w:r>
          </w:p>
          <w:p w14:paraId="5B90DF90" w14:textId="77777777" w:rsidR="00F4349B" w:rsidRPr="004B2153" w:rsidRDefault="00F4349B" w:rsidP="004B2153">
            <w:pPr>
              <w:rPr>
                <w:rFonts w:cs="Arial"/>
                <w:sz w:val="20"/>
                <w:szCs w:val="22"/>
                <w:lang w:val="en-US"/>
              </w:rPr>
            </w:pPr>
          </w:p>
        </w:tc>
      </w:tr>
    </w:tbl>
    <w:p w14:paraId="0D0A6DE5" w14:textId="77777777" w:rsidR="00F4349B" w:rsidRPr="00B07BEB" w:rsidRDefault="00F4349B"/>
    <w:sectPr w:rsidR="00F4349B" w:rsidRPr="00B07BEB" w:rsidSect="00823D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A4E2E" w14:textId="77777777" w:rsidR="00B71C92" w:rsidRDefault="00B71C92" w:rsidP="004B2153">
      <w:r>
        <w:separator/>
      </w:r>
    </w:p>
  </w:endnote>
  <w:endnote w:type="continuationSeparator" w:id="0">
    <w:p w14:paraId="14DD5409" w14:textId="77777777" w:rsidR="00B71C92" w:rsidRDefault="00B71C92" w:rsidP="004B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05DDD" w14:textId="77777777" w:rsidR="00B71C92" w:rsidRDefault="00B71C92" w:rsidP="004B2153">
      <w:r>
        <w:separator/>
      </w:r>
    </w:p>
  </w:footnote>
  <w:footnote w:type="continuationSeparator" w:id="0">
    <w:p w14:paraId="5EBB9C3C" w14:textId="77777777" w:rsidR="00B71C92" w:rsidRDefault="00B71C92" w:rsidP="004B2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F566A"/>
    <w:multiLevelType w:val="multilevel"/>
    <w:tmpl w:val="B98A9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9B"/>
    <w:rsid w:val="00236774"/>
    <w:rsid w:val="00252AFD"/>
    <w:rsid w:val="00285BCB"/>
    <w:rsid w:val="002F4B44"/>
    <w:rsid w:val="003B1BCA"/>
    <w:rsid w:val="00436CD9"/>
    <w:rsid w:val="004B2153"/>
    <w:rsid w:val="004E6B54"/>
    <w:rsid w:val="00605580"/>
    <w:rsid w:val="00615220"/>
    <w:rsid w:val="006D35FC"/>
    <w:rsid w:val="007D6BA3"/>
    <w:rsid w:val="00823D3F"/>
    <w:rsid w:val="008241DE"/>
    <w:rsid w:val="008F1B42"/>
    <w:rsid w:val="00A23AB4"/>
    <w:rsid w:val="00B07BEB"/>
    <w:rsid w:val="00B71C92"/>
    <w:rsid w:val="00C151DF"/>
    <w:rsid w:val="00C30322"/>
    <w:rsid w:val="00CF459C"/>
    <w:rsid w:val="00F4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7CF15"/>
  <w15:chartTrackingRefBased/>
  <w15:docId w15:val="{2C14DEC2-E8CD-4D68-B0B1-AA5DE521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9B"/>
    <w:pPr>
      <w:spacing w:after="0" w:line="240" w:lineRule="auto"/>
      <w:jc w:val="both"/>
    </w:pPr>
    <w:rPr>
      <w:rFonts w:eastAsia="Times New Roman" w:cs="Times New Roman"/>
      <w:sz w:val="2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Line">
    <w:name w:val="Block Line"/>
    <w:basedOn w:val="Normal"/>
    <w:next w:val="Normal"/>
    <w:rsid w:val="00F4349B"/>
    <w:pPr>
      <w:pBdr>
        <w:top w:val="single" w:sz="6" w:space="1" w:color="008000"/>
        <w:between w:val="single" w:sz="6" w:space="1" w:color="auto"/>
      </w:pBdr>
      <w:spacing w:before="120"/>
      <w:ind w:left="1699" w:right="-734"/>
    </w:pPr>
    <w:rPr>
      <w:lang w:val="en-US" w:eastAsia="en-US"/>
    </w:rPr>
  </w:style>
  <w:style w:type="paragraph" w:styleId="Header">
    <w:name w:val="header"/>
    <w:basedOn w:val="Normal"/>
    <w:link w:val="HeaderChar"/>
    <w:rsid w:val="00F4349B"/>
    <w:pPr>
      <w:tabs>
        <w:tab w:val="center" w:pos="4153"/>
        <w:tab w:val="right" w:pos="8306"/>
      </w:tabs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4349B"/>
    <w:rPr>
      <w:rFonts w:eastAsia="Times New Roman" w:cs="Times New Roman"/>
      <w:sz w:val="16"/>
      <w:szCs w:val="16"/>
      <w:lang w:eastAsia="en-GB"/>
    </w:rPr>
  </w:style>
  <w:style w:type="character" w:styleId="Hyperlink">
    <w:name w:val="Hyperlink"/>
    <w:aliases w:val="Hyperlink in toc"/>
    <w:basedOn w:val="DefaultParagraphFont"/>
    <w:rsid w:val="00F4349B"/>
    <w:rPr>
      <w:rFonts w:ascii="Arial" w:hAnsi="Arial"/>
      <w:color w:val="0000FF"/>
      <w:sz w:val="22"/>
      <w:u w:val="single" w:color="0000FF"/>
    </w:rPr>
  </w:style>
  <w:style w:type="paragraph" w:customStyle="1" w:styleId="Filename">
    <w:name w:val="Filename"/>
    <w:rsid w:val="00F4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N4">
    <w:name w:val="N4"/>
    <w:basedOn w:val="Normal"/>
    <w:rsid w:val="00F4349B"/>
    <w:pPr>
      <w:numPr>
        <w:ilvl w:val="3"/>
        <w:numId w:val="1"/>
      </w:numPr>
      <w:spacing w:before="80" w:line="220" w:lineRule="atLeast"/>
    </w:pPr>
    <w:rPr>
      <w:rFonts w:ascii="Times New Roman" w:hAnsi="Times New Roman"/>
      <w:sz w:val="21"/>
    </w:rPr>
  </w:style>
  <w:style w:type="character" w:customStyle="1" w:styleId="Heading5lb">
    <w:name w:val="Heading 5lb"/>
    <w:basedOn w:val="DefaultParagraphFont"/>
    <w:rsid w:val="00F4349B"/>
    <w:rPr>
      <w:rFonts w:ascii="Arial" w:hAnsi="Arial"/>
      <w:b/>
      <w:noProof w:val="0"/>
      <w:sz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23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3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A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AB4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AB4"/>
    <w:rPr>
      <w:rFonts w:eastAsia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A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AB4"/>
    <w:rPr>
      <w:rFonts w:ascii="Segoe UI" w:eastAsia="Times New Roman" w:hAnsi="Segoe UI" w:cs="Segoe UI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B2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153"/>
    <w:rPr>
      <w:rFonts w:eastAsia="Times New Roman" w:cs="Times New Roman"/>
      <w:sz w:val="22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Agency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Ystenes, Josh K</dc:creator>
  <cp:keywords/>
  <dc:description/>
  <cp:lastModifiedBy>Carter, Tim</cp:lastModifiedBy>
  <cp:revision>2</cp:revision>
  <dcterms:created xsi:type="dcterms:W3CDTF">2019-06-04T14:06:00Z</dcterms:created>
  <dcterms:modified xsi:type="dcterms:W3CDTF">2019-06-04T14:06:00Z</dcterms:modified>
</cp:coreProperties>
</file>