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14F3" w14:textId="77777777" w:rsidR="00E443DB" w:rsidRDefault="00E443DB" w:rsidP="00E443DB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INTERIM FAST CHECKLIST </w:t>
      </w:r>
      <w:r w:rsidR="004F535D">
        <w:rPr>
          <w:rFonts w:cs="Calibri"/>
          <w:b/>
          <w:iCs/>
          <w:sz w:val="24"/>
          <w:szCs w:val="24"/>
        </w:rPr>
        <w:t>– V3 May 2019</w:t>
      </w:r>
    </w:p>
    <w:p w14:paraId="41138CC3" w14:textId="77777777" w:rsidR="007B2FB5" w:rsidRDefault="007B2FB5" w:rsidP="007B2FB5">
      <w:pPr>
        <w:jc w:val="both"/>
        <w:rPr>
          <w:rFonts w:cs="Calibri"/>
          <w:b/>
          <w:iCs/>
          <w:sz w:val="24"/>
          <w:szCs w:val="24"/>
        </w:rPr>
      </w:pPr>
      <w:r w:rsidRPr="00200B6F">
        <w:rPr>
          <w:rFonts w:cs="Calibri"/>
          <w:b/>
          <w:iCs/>
          <w:sz w:val="24"/>
          <w:szCs w:val="24"/>
        </w:rPr>
        <w:t xml:space="preserve">If </w:t>
      </w:r>
      <w:r w:rsidR="00D928B2" w:rsidRPr="00200B6F">
        <w:rPr>
          <w:rFonts w:cs="Calibri"/>
          <w:b/>
          <w:iCs/>
          <w:sz w:val="24"/>
          <w:szCs w:val="24"/>
        </w:rPr>
        <w:t>you require I</w:t>
      </w:r>
      <w:r w:rsidR="00F834A4" w:rsidRPr="00200B6F">
        <w:rPr>
          <w:rFonts w:cs="Calibri"/>
          <w:b/>
          <w:iCs/>
          <w:sz w:val="24"/>
          <w:szCs w:val="24"/>
        </w:rPr>
        <w:t>nterim costs exceeding £32,500 please submit</w:t>
      </w:r>
      <w:r w:rsidR="00696205">
        <w:rPr>
          <w:rFonts w:cs="Calibri"/>
          <w:b/>
          <w:iCs/>
          <w:sz w:val="24"/>
          <w:szCs w:val="24"/>
        </w:rPr>
        <w:t xml:space="preserve"> a fully completed </w:t>
      </w:r>
      <w:r w:rsidR="00F834A4" w:rsidRPr="00200B6F">
        <w:rPr>
          <w:rFonts w:cs="Calibri"/>
          <w:b/>
          <w:iCs/>
          <w:sz w:val="24"/>
          <w:szCs w:val="24"/>
        </w:rPr>
        <w:t>Interim CCFS Form</w:t>
      </w:r>
      <w:r w:rsidR="00E97B65">
        <w:rPr>
          <w:rFonts w:cs="Calibri"/>
          <w:b/>
          <w:iCs/>
          <w:sz w:val="24"/>
          <w:szCs w:val="24"/>
        </w:rPr>
        <w:t>.</w:t>
      </w:r>
    </w:p>
    <w:p w14:paraId="260BF08E" w14:textId="77777777" w:rsidR="00E97B65" w:rsidRPr="00E16E6A" w:rsidRDefault="00E97B65" w:rsidP="00E97B65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Please do not supply supporting documentation unless specifically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651"/>
      </w:tblGrid>
      <w:tr w:rsidR="007B2FB5" w:rsidRPr="00200B6F" w14:paraId="1ABEAA12" w14:textId="77777777" w:rsidTr="00505F99">
        <w:tc>
          <w:tcPr>
            <w:tcW w:w="10031" w:type="dxa"/>
            <w:shd w:val="clear" w:color="auto" w:fill="D9D9D9"/>
          </w:tcPr>
          <w:p w14:paraId="331837A7" w14:textId="77777777" w:rsidR="007B2FB5" w:rsidRPr="00200B6F" w:rsidRDefault="007B2FB5" w:rsidP="00B36337">
            <w:pPr>
              <w:rPr>
                <w:rFonts w:cs="Calibri"/>
                <w:b/>
                <w:sz w:val="24"/>
                <w:szCs w:val="24"/>
              </w:rPr>
            </w:pPr>
            <w:r w:rsidRPr="00200B6F">
              <w:rPr>
                <w:rFonts w:cs="Calibri"/>
                <w:b/>
                <w:sz w:val="24"/>
                <w:szCs w:val="24"/>
              </w:rPr>
              <w:t>Is the Inte</w:t>
            </w:r>
            <w:r w:rsidR="007D28BA">
              <w:rPr>
                <w:rFonts w:cs="Calibri"/>
                <w:b/>
                <w:sz w:val="24"/>
                <w:szCs w:val="24"/>
              </w:rPr>
              <w:t>rim CCFS Form fully compl</w:t>
            </w:r>
            <w:r w:rsidR="003E5BAF">
              <w:rPr>
                <w:rFonts w:cs="Calibri"/>
                <w:b/>
                <w:sz w:val="24"/>
                <w:szCs w:val="24"/>
              </w:rPr>
              <w:t>eted – excluding signatures</w:t>
            </w:r>
            <w:r w:rsidR="007D28BA">
              <w:rPr>
                <w:rFonts w:cs="Calibri"/>
                <w:b/>
                <w:sz w:val="24"/>
                <w:szCs w:val="24"/>
              </w:rPr>
              <w:t>?</w:t>
            </w:r>
          </w:p>
        </w:tc>
        <w:tc>
          <w:tcPr>
            <w:tcW w:w="651" w:type="dxa"/>
            <w:shd w:val="clear" w:color="auto" w:fill="D9D9D9"/>
          </w:tcPr>
          <w:p w14:paraId="431BC0C2" w14:textId="77777777" w:rsidR="007B2FB5" w:rsidRPr="00200B6F" w:rsidRDefault="007B2FB5" w:rsidP="00B36337">
            <w:pPr>
              <w:rPr>
                <w:rFonts w:cs="Calibri"/>
                <w:b/>
                <w:sz w:val="24"/>
                <w:szCs w:val="24"/>
              </w:rPr>
            </w:pPr>
            <w:r w:rsidRPr="00200B6F">
              <w:rPr>
                <w:rFonts w:cs="Calibri"/>
                <w:iCs/>
                <w:sz w:val="24"/>
                <w:szCs w:val="24"/>
              </w:rPr>
              <w:sym w:font="Wingdings" w:char="F0FE"/>
            </w:r>
          </w:p>
        </w:tc>
      </w:tr>
      <w:tr w:rsidR="007B2FB5" w:rsidRPr="00200B6F" w14:paraId="42577B19" w14:textId="77777777" w:rsidTr="00B36337">
        <w:tc>
          <w:tcPr>
            <w:tcW w:w="10031" w:type="dxa"/>
            <w:shd w:val="clear" w:color="auto" w:fill="auto"/>
          </w:tcPr>
          <w:p w14:paraId="1F8F34FB" w14:textId="77777777" w:rsidR="007B2FB5" w:rsidRPr="00200B6F" w:rsidRDefault="007B2FB5" w:rsidP="002C47CF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>Section</w:t>
            </w:r>
            <w:r w:rsidR="009C42B8">
              <w:rPr>
                <w:rFonts w:cs="Calibri"/>
                <w:sz w:val="24"/>
                <w:szCs w:val="24"/>
              </w:rPr>
              <w:t>s</w:t>
            </w:r>
            <w:r w:rsidRPr="00200B6F">
              <w:rPr>
                <w:rFonts w:cs="Calibri"/>
                <w:sz w:val="24"/>
                <w:szCs w:val="24"/>
              </w:rPr>
              <w:t xml:space="preserve"> A</w:t>
            </w:r>
            <w:r w:rsidR="009C42B8">
              <w:rPr>
                <w:rFonts w:cs="Calibri"/>
                <w:sz w:val="24"/>
                <w:szCs w:val="24"/>
              </w:rPr>
              <w:t xml:space="preserve"> &amp; C.</w:t>
            </w:r>
            <w:r w:rsidRPr="00200B6F">
              <w:rPr>
                <w:rFonts w:cs="Calibri"/>
                <w:sz w:val="24"/>
                <w:szCs w:val="24"/>
              </w:rPr>
              <w:t xml:space="preserve"> Brief Summary of the Case</w:t>
            </w:r>
            <w:r w:rsidR="009C42B8">
              <w:rPr>
                <w:rFonts w:cs="Calibri"/>
                <w:sz w:val="24"/>
                <w:szCs w:val="24"/>
              </w:rPr>
              <w:t xml:space="preserve"> &amp; Case Information</w:t>
            </w:r>
            <w:r w:rsidRPr="00200B6F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651" w:type="dxa"/>
            <w:shd w:val="clear" w:color="auto" w:fill="auto"/>
          </w:tcPr>
          <w:p w14:paraId="53F03CC0" w14:textId="77777777" w:rsidR="007B2FB5" w:rsidRPr="00200B6F" w:rsidRDefault="007B2FB5" w:rsidP="002C47C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7B2FB5" w:rsidRPr="00200B6F" w14:paraId="386B0B5C" w14:textId="77777777" w:rsidTr="00B36337">
        <w:tc>
          <w:tcPr>
            <w:tcW w:w="10031" w:type="dxa"/>
            <w:shd w:val="clear" w:color="auto" w:fill="auto"/>
          </w:tcPr>
          <w:p w14:paraId="311A56C2" w14:textId="77777777" w:rsidR="002C47CF" w:rsidRPr="002C47CF" w:rsidRDefault="007B2FB5" w:rsidP="002C47CF">
            <w:pPr>
              <w:spacing w:after="0"/>
              <w:rPr>
                <w:rFonts w:cs="Calibri"/>
                <w:sz w:val="24"/>
                <w:szCs w:val="24"/>
              </w:rPr>
            </w:pPr>
            <w:r w:rsidRPr="002C47CF">
              <w:rPr>
                <w:rFonts w:cs="Calibri"/>
                <w:sz w:val="24"/>
                <w:szCs w:val="24"/>
              </w:rPr>
              <w:t>Section B</w:t>
            </w:r>
            <w:r w:rsidR="007E72C7" w:rsidRPr="002C47CF">
              <w:rPr>
                <w:rFonts w:cs="Calibri"/>
                <w:sz w:val="24"/>
                <w:szCs w:val="24"/>
              </w:rPr>
              <w:t>.</w:t>
            </w:r>
            <w:r w:rsidRPr="002C47CF">
              <w:rPr>
                <w:rFonts w:cs="Calibri"/>
                <w:sz w:val="24"/>
                <w:szCs w:val="24"/>
              </w:rPr>
              <w:t xml:space="preserve"> Chronological Schedule of Events </w:t>
            </w:r>
            <w:r w:rsidR="00D928B2" w:rsidRPr="002C47CF">
              <w:rPr>
                <w:rFonts w:cs="Calibri"/>
                <w:sz w:val="24"/>
                <w:szCs w:val="24"/>
              </w:rPr>
              <w:t>–  please</w:t>
            </w:r>
            <w:r w:rsidRPr="002C47CF">
              <w:rPr>
                <w:rFonts w:cs="Calibri"/>
                <w:sz w:val="24"/>
                <w:szCs w:val="24"/>
              </w:rPr>
              <w:t xml:space="preserve"> </w:t>
            </w:r>
            <w:r w:rsidR="002C47CF" w:rsidRPr="002C47CF">
              <w:rPr>
                <w:rFonts w:cs="Calibri"/>
                <w:sz w:val="24"/>
                <w:szCs w:val="24"/>
              </w:rPr>
              <w:t xml:space="preserve">specify </w:t>
            </w:r>
            <w:r w:rsidR="00D928B2" w:rsidRPr="002C47CF">
              <w:rPr>
                <w:rFonts w:cs="Calibri"/>
                <w:sz w:val="24"/>
                <w:szCs w:val="24"/>
              </w:rPr>
              <w:t>date</w:t>
            </w:r>
            <w:r w:rsidR="002C47CF" w:rsidRPr="002C47CF">
              <w:rPr>
                <w:rFonts w:cs="Calibri"/>
                <w:sz w:val="24"/>
                <w:szCs w:val="24"/>
              </w:rPr>
              <w:t xml:space="preserve">, event type, event price or state FAS, and initials of the attendees (solicitor and advocate).  </w:t>
            </w:r>
          </w:p>
          <w:p w14:paraId="5A7F20CC" w14:textId="77777777" w:rsidR="007B2FB5" w:rsidRPr="002C47CF" w:rsidRDefault="00B11D35" w:rsidP="002C47CF">
            <w:pPr>
              <w:spacing w:after="0"/>
              <w:rPr>
                <w:rFonts w:cs="Calibri"/>
                <w:iCs/>
                <w:sz w:val="24"/>
                <w:szCs w:val="24"/>
              </w:rPr>
            </w:pPr>
            <w:r w:rsidRPr="002C47CF">
              <w:rPr>
                <w:rFonts w:cs="Calibri"/>
                <w:iCs/>
                <w:sz w:val="24"/>
                <w:szCs w:val="24"/>
              </w:rPr>
              <w:t>C</w:t>
            </w:r>
            <w:r w:rsidR="007B2FB5" w:rsidRPr="002C47CF">
              <w:rPr>
                <w:rFonts w:cs="Calibri"/>
                <w:iCs/>
                <w:sz w:val="24"/>
                <w:szCs w:val="24"/>
              </w:rPr>
              <w:t xml:space="preserve">ounsel </w:t>
            </w:r>
            <w:proofErr w:type="gramStart"/>
            <w:r w:rsidR="007B2FB5" w:rsidRPr="002C47CF">
              <w:rPr>
                <w:rFonts w:cs="Calibri"/>
                <w:iCs/>
                <w:sz w:val="24"/>
                <w:szCs w:val="24"/>
              </w:rPr>
              <w:t>are</w:t>
            </w:r>
            <w:proofErr w:type="gramEnd"/>
            <w:r w:rsidR="007B2FB5" w:rsidRPr="002C47CF">
              <w:rPr>
                <w:rFonts w:cs="Calibri"/>
                <w:iCs/>
                <w:sz w:val="24"/>
                <w:szCs w:val="24"/>
              </w:rPr>
              <w:t xml:space="preserve"> </w:t>
            </w:r>
            <w:r w:rsidR="007B2FB5" w:rsidRPr="002C47CF">
              <w:rPr>
                <w:rFonts w:cs="Calibri"/>
                <w:iCs/>
                <w:sz w:val="24"/>
                <w:szCs w:val="24"/>
                <w:u w:val="single"/>
              </w:rPr>
              <w:t>strongly advised</w:t>
            </w:r>
            <w:r w:rsidR="007B2FB5" w:rsidRPr="002C47CF">
              <w:rPr>
                <w:rFonts w:cs="Calibri"/>
                <w:iCs/>
                <w:sz w:val="24"/>
                <w:szCs w:val="24"/>
              </w:rPr>
              <w:t xml:space="preserve"> to obtain authenticat</w:t>
            </w:r>
            <w:r w:rsidR="002C47CF" w:rsidRPr="002C47CF">
              <w:rPr>
                <w:rFonts w:cs="Calibri"/>
                <w:iCs/>
                <w:sz w:val="24"/>
                <w:szCs w:val="24"/>
              </w:rPr>
              <w:t>ed FAS forms</w:t>
            </w:r>
            <w:r w:rsidR="007B2FB5" w:rsidRPr="002C47CF">
              <w:rPr>
                <w:rFonts w:cs="Calibri"/>
                <w:iCs/>
                <w:sz w:val="24"/>
                <w:szCs w:val="24"/>
              </w:rPr>
              <w:t xml:space="preserve"> even if it is likely that they will eventually claim via CCFS, as if at the end of the case there proves to be less than 1</w:t>
            </w:r>
            <w:r w:rsidR="00DF67FD" w:rsidRPr="002C47CF">
              <w:rPr>
                <w:rFonts w:cs="Calibri"/>
                <w:iCs/>
                <w:sz w:val="24"/>
                <w:szCs w:val="24"/>
              </w:rPr>
              <w:t>1</w:t>
            </w:r>
            <w:r w:rsidR="007B2FB5" w:rsidRPr="002C47CF">
              <w:rPr>
                <w:rFonts w:cs="Calibri"/>
                <w:iCs/>
                <w:sz w:val="24"/>
                <w:szCs w:val="24"/>
              </w:rPr>
              <w:t xml:space="preserve"> main hearing days (subject to the calculation within the scheme), counsel will be required to present their fees using FAS and should ens</w:t>
            </w:r>
            <w:r w:rsidR="002C47CF" w:rsidRPr="002C47CF">
              <w:rPr>
                <w:rFonts w:cs="Calibri"/>
                <w:iCs/>
                <w:sz w:val="24"/>
                <w:szCs w:val="24"/>
              </w:rPr>
              <w:t xml:space="preserve">ure they have </w:t>
            </w:r>
            <w:r w:rsidR="007B2FB5" w:rsidRPr="002C47CF">
              <w:rPr>
                <w:rFonts w:cs="Calibri"/>
                <w:iCs/>
                <w:sz w:val="24"/>
                <w:szCs w:val="24"/>
              </w:rPr>
              <w:t>appropriate documentation</w:t>
            </w:r>
            <w:r w:rsidRPr="002C47CF">
              <w:rPr>
                <w:rFonts w:cs="Calibri"/>
                <w:iCs/>
                <w:sz w:val="24"/>
                <w:szCs w:val="24"/>
              </w:rPr>
              <w:t>.</w:t>
            </w:r>
          </w:p>
        </w:tc>
        <w:tc>
          <w:tcPr>
            <w:tcW w:w="651" w:type="dxa"/>
            <w:shd w:val="clear" w:color="auto" w:fill="auto"/>
          </w:tcPr>
          <w:p w14:paraId="5A1A2785" w14:textId="77777777" w:rsidR="007B2FB5" w:rsidRPr="00200B6F" w:rsidRDefault="007B2FB5" w:rsidP="002C47C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7B2FB5" w:rsidRPr="00200B6F" w14:paraId="6929BBC2" w14:textId="77777777" w:rsidTr="00B36337">
        <w:trPr>
          <w:trHeight w:val="1189"/>
        </w:trPr>
        <w:tc>
          <w:tcPr>
            <w:tcW w:w="10031" w:type="dxa"/>
            <w:shd w:val="clear" w:color="auto" w:fill="auto"/>
          </w:tcPr>
          <w:p w14:paraId="7D9F8D6D" w14:textId="77777777" w:rsidR="007B2FB5" w:rsidRPr="00200B6F" w:rsidRDefault="007B2FB5" w:rsidP="002C47CF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>Section D</w:t>
            </w:r>
            <w:r w:rsidR="007E72C7" w:rsidRPr="00200B6F">
              <w:rPr>
                <w:rFonts w:cs="Calibri"/>
                <w:sz w:val="24"/>
                <w:szCs w:val="24"/>
              </w:rPr>
              <w:t>.</w:t>
            </w:r>
            <w:r w:rsidRPr="00200B6F">
              <w:rPr>
                <w:rFonts w:cs="Calibri"/>
                <w:sz w:val="24"/>
                <w:szCs w:val="24"/>
              </w:rPr>
              <w:t xml:space="preserve"> Expert Fees &amp; Disbursements </w:t>
            </w:r>
          </w:p>
          <w:p w14:paraId="6D0199F6" w14:textId="77777777" w:rsidR="007B2FB5" w:rsidRPr="00200B6F" w:rsidRDefault="00F113B4" w:rsidP="002C47CF">
            <w:pPr>
              <w:numPr>
                <w:ilvl w:val="0"/>
                <w:numId w:val="2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Please </w:t>
            </w:r>
            <w:r w:rsidR="007B2FB5" w:rsidRPr="00200B6F">
              <w:rPr>
                <w:rFonts w:cs="Calibri"/>
                <w:sz w:val="24"/>
                <w:szCs w:val="24"/>
              </w:rPr>
              <w:t>complete the expert standards section</w:t>
            </w:r>
            <w:r w:rsidR="007E72C7" w:rsidRPr="00200B6F">
              <w:rPr>
                <w:rFonts w:cs="Calibri"/>
                <w:sz w:val="24"/>
                <w:szCs w:val="24"/>
              </w:rPr>
              <w:t>.</w:t>
            </w:r>
          </w:p>
          <w:p w14:paraId="717C6CDF" w14:textId="77777777" w:rsidR="007B2FB5" w:rsidRPr="00200B6F" w:rsidRDefault="007B2FB5" w:rsidP="002C47CF">
            <w:pPr>
              <w:numPr>
                <w:ilvl w:val="0"/>
                <w:numId w:val="2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 xml:space="preserve">“Expert </w:t>
            </w:r>
            <w:r w:rsidR="00B11D35">
              <w:rPr>
                <w:rFonts w:cs="Calibri"/>
                <w:sz w:val="24"/>
                <w:szCs w:val="24"/>
              </w:rPr>
              <w:t>Fees</w:t>
            </w:r>
            <w:r w:rsidRPr="00200B6F">
              <w:rPr>
                <w:rFonts w:cs="Calibri"/>
                <w:sz w:val="24"/>
                <w:szCs w:val="24"/>
              </w:rPr>
              <w:t>”</w:t>
            </w:r>
            <w:r w:rsidR="00696205">
              <w:rPr>
                <w:rFonts w:cs="Calibri"/>
                <w:sz w:val="24"/>
                <w:szCs w:val="24"/>
              </w:rPr>
              <w:t xml:space="preserve"> &amp; “Disbursements”</w:t>
            </w:r>
            <w:r w:rsidRPr="00200B6F">
              <w:rPr>
                <w:rFonts w:cs="Calibri"/>
                <w:sz w:val="24"/>
                <w:szCs w:val="24"/>
              </w:rPr>
              <w:t xml:space="preserve"> section</w:t>
            </w:r>
            <w:r w:rsidR="00696205">
              <w:rPr>
                <w:rFonts w:cs="Calibri"/>
                <w:sz w:val="24"/>
                <w:szCs w:val="24"/>
              </w:rPr>
              <w:t>s</w:t>
            </w:r>
            <w:r w:rsidRPr="00200B6F">
              <w:rPr>
                <w:rFonts w:cs="Calibri"/>
                <w:sz w:val="24"/>
                <w:szCs w:val="24"/>
              </w:rPr>
              <w:t xml:space="preserve">: please complete </w:t>
            </w:r>
            <w:r w:rsidRPr="00200B6F">
              <w:rPr>
                <w:rFonts w:cs="Calibri"/>
                <w:sz w:val="24"/>
                <w:szCs w:val="24"/>
                <w:u w:val="single"/>
              </w:rPr>
              <w:t xml:space="preserve">all </w:t>
            </w:r>
            <w:r w:rsidRPr="00200B6F">
              <w:rPr>
                <w:rFonts w:cs="Calibri"/>
                <w:sz w:val="24"/>
                <w:szCs w:val="24"/>
              </w:rPr>
              <w:t>information on the breakdown table</w:t>
            </w:r>
            <w:r w:rsidR="00696205">
              <w:rPr>
                <w:rFonts w:cs="Calibri"/>
                <w:sz w:val="24"/>
                <w:szCs w:val="24"/>
              </w:rPr>
              <w:t>s</w:t>
            </w:r>
            <w:r w:rsidRPr="00200B6F">
              <w:rPr>
                <w:rFonts w:cs="Calibri"/>
                <w:sz w:val="24"/>
                <w:szCs w:val="24"/>
              </w:rPr>
              <w:t xml:space="preserve"> and ensure th</w:t>
            </w:r>
            <w:r w:rsidR="007D28BA">
              <w:rPr>
                <w:rFonts w:cs="Calibri"/>
                <w:sz w:val="24"/>
                <w:szCs w:val="24"/>
              </w:rPr>
              <w:t>at you complete the</w:t>
            </w:r>
            <w:r w:rsidRPr="00200B6F">
              <w:rPr>
                <w:rFonts w:cs="Calibri"/>
                <w:sz w:val="24"/>
                <w:szCs w:val="24"/>
              </w:rPr>
              <w:t xml:space="preserve"> apportionment </w:t>
            </w:r>
            <w:r w:rsidR="007D28BA">
              <w:rPr>
                <w:rFonts w:cs="Calibri"/>
                <w:sz w:val="24"/>
                <w:szCs w:val="24"/>
              </w:rPr>
              <w:t>column.</w:t>
            </w:r>
            <w:r w:rsidRPr="00200B6F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651" w:type="dxa"/>
            <w:shd w:val="clear" w:color="auto" w:fill="auto"/>
          </w:tcPr>
          <w:p w14:paraId="4D69A69D" w14:textId="77777777" w:rsidR="007B2FB5" w:rsidRPr="00200B6F" w:rsidRDefault="007B2FB5" w:rsidP="002C47C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96205" w:rsidRPr="00200B6F" w14:paraId="380D8A79" w14:textId="77777777" w:rsidTr="00B36337">
        <w:tc>
          <w:tcPr>
            <w:tcW w:w="10031" w:type="dxa"/>
            <w:shd w:val="clear" w:color="auto" w:fill="auto"/>
          </w:tcPr>
          <w:p w14:paraId="011502CF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 xml:space="preserve">Section G Counsel </w:t>
            </w:r>
            <w:r>
              <w:rPr>
                <w:rFonts w:cs="Calibri"/>
                <w:sz w:val="24"/>
                <w:szCs w:val="24"/>
              </w:rPr>
              <w:t>Fees</w:t>
            </w:r>
            <w:r w:rsidRPr="00200B6F">
              <w:rPr>
                <w:rFonts w:cs="Calibri"/>
                <w:sz w:val="24"/>
                <w:szCs w:val="24"/>
              </w:rPr>
              <w:t xml:space="preserve"> – Please complete this section if:</w:t>
            </w:r>
          </w:p>
          <w:p w14:paraId="1E195FF2" w14:textId="77777777" w:rsidR="00696205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Part 1 - </w:t>
            </w:r>
            <w:r w:rsidRPr="00200B6F">
              <w:rPr>
                <w:rFonts w:cs="Calibri"/>
                <w:sz w:val="24"/>
                <w:szCs w:val="24"/>
              </w:rPr>
              <w:t xml:space="preserve">Any counsel </w:t>
            </w:r>
            <w:proofErr w:type="gramStart"/>
            <w:r w:rsidRPr="00200B6F">
              <w:rPr>
                <w:rFonts w:cs="Calibri"/>
                <w:sz w:val="24"/>
                <w:szCs w:val="24"/>
              </w:rPr>
              <w:t>are</w:t>
            </w:r>
            <w:proofErr w:type="gramEnd"/>
            <w:r w:rsidRPr="00200B6F">
              <w:rPr>
                <w:rFonts w:cs="Calibri"/>
                <w:sz w:val="24"/>
                <w:szCs w:val="24"/>
              </w:rPr>
              <w:t xml:space="preserve"> claiming FAS.</w:t>
            </w:r>
          </w:p>
          <w:p w14:paraId="4E8288DA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Part 2 - </w:t>
            </w:r>
            <w:r w:rsidRPr="00200B6F">
              <w:rPr>
                <w:rFonts w:cs="Calibri"/>
                <w:sz w:val="24"/>
                <w:szCs w:val="24"/>
              </w:rPr>
              <w:t xml:space="preserve">Any counsel </w:t>
            </w:r>
            <w:r>
              <w:rPr>
                <w:rFonts w:cs="Calibri"/>
                <w:sz w:val="24"/>
                <w:szCs w:val="24"/>
              </w:rPr>
              <w:t xml:space="preserve">on events </w:t>
            </w:r>
            <w:proofErr w:type="gramStart"/>
            <w:r w:rsidRPr="00200B6F">
              <w:rPr>
                <w:rFonts w:cs="Calibri"/>
                <w:sz w:val="24"/>
                <w:szCs w:val="24"/>
              </w:rPr>
              <w:t>are</w:t>
            </w:r>
            <w:proofErr w:type="gramEnd"/>
            <w:r w:rsidRPr="00200B6F">
              <w:rPr>
                <w:rFonts w:cs="Calibri"/>
                <w:sz w:val="24"/>
                <w:szCs w:val="24"/>
              </w:rPr>
              <w:t xml:space="preserve"> claiming </w:t>
            </w:r>
            <w:r>
              <w:rPr>
                <w:rFonts w:cs="Calibri"/>
                <w:sz w:val="24"/>
                <w:szCs w:val="24"/>
              </w:rPr>
              <w:t>travel time/ disbursements</w:t>
            </w:r>
          </w:p>
        </w:tc>
        <w:tc>
          <w:tcPr>
            <w:tcW w:w="651" w:type="dxa"/>
            <w:shd w:val="clear" w:color="auto" w:fill="auto"/>
          </w:tcPr>
          <w:p w14:paraId="00C8F28C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96205" w:rsidRPr="00200B6F" w14:paraId="43E83C0E" w14:textId="77777777" w:rsidTr="00B36337">
        <w:tc>
          <w:tcPr>
            <w:tcW w:w="10031" w:type="dxa"/>
            <w:shd w:val="clear" w:color="auto" w:fill="auto"/>
          </w:tcPr>
          <w:p w14:paraId="7A8624D6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>Section I Costs Summary – Please ensure that this has been completed and that the figures add up</w:t>
            </w:r>
          </w:p>
        </w:tc>
        <w:tc>
          <w:tcPr>
            <w:tcW w:w="651" w:type="dxa"/>
            <w:shd w:val="clear" w:color="auto" w:fill="auto"/>
          </w:tcPr>
          <w:p w14:paraId="07402C18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96205" w:rsidRPr="00200B6F" w14:paraId="6508F3BA" w14:textId="77777777" w:rsidTr="00B36337">
        <w:tc>
          <w:tcPr>
            <w:tcW w:w="10031" w:type="dxa"/>
            <w:shd w:val="clear" w:color="auto" w:fill="auto"/>
          </w:tcPr>
          <w:p w14:paraId="3F54CCC9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 xml:space="preserve">Section E Solicitor Advocacy via FAS – complete if £707 + FAS Solicitor Advocacy Model is used.  </w:t>
            </w:r>
          </w:p>
        </w:tc>
        <w:tc>
          <w:tcPr>
            <w:tcW w:w="651" w:type="dxa"/>
            <w:shd w:val="clear" w:color="auto" w:fill="auto"/>
          </w:tcPr>
          <w:p w14:paraId="334123D8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96205" w:rsidRPr="00200B6F" w14:paraId="7F031C1A" w14:textId="77777777" w:rsidTr="00B36337">
        <w:tc>
          <w:tcPr>
            <w:tcW w:w="10031" w:type="dxa"/>
            <w:shd w:val="clear" w:color="auto" w:fill="auto"/>
          </w:tcPr>
          <w:p w14:paraId="237B13BE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 xml:space="preserve">Section F Costs that have Escaped CCFS – complete if this is appropriate </w:t>
            </w:r>
            <w:proofErr w:type="gramStart"/>
            <w:r w:rsidRPr="00200B6F">
              <w:rPr>
                <w:rFonts w:cs="Calibri"/>
                <w:sz w:val="24"/>
                <w:szCs w:val="24"/>
              </w:rPr>
              <w:t>eg</w:t>
            </w:r>
            <w:proofErr w:type="gramEnd"/>
            <w:r w:rsidRPr="00200B6F">
              <w:rPr>
                <w:rFonts w:cs="Calibri"/>
                <w:sz w:val="24"/>
                <w:szCs w:val="24"/>
              </w:rPr>
              <w:t xml:space="preserve"> for Interim Appeal work.</w:t>
            </w:r>
          </w:p>
        </w:tc>
        <w:tc>
          <w:tcPr>
            <w:tcW w:w="651" w:type="dxa"/>
            <w:shd w:val="clear" w:color="auto" w:fill="auto"/>
          </w:tcPr>
          <w:p w14:paraId="43B12C73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96205" w:rsidRPr="00200B6F" w14:paraId="6A0C83A8" w14:textId="77777777" w:rsidTr="00B36337">
        <w:tc>
          <w:tcPr>
            <w:tcW w:w="10031" w:type="dxa"/>
            <w:shd w:val="clear" w:color="auto" w:fill="auto"/>
          </w:tcPr>
          <w:p w14:paraId="355A19F7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>Section H Previous sol</w:t>
            </w:r>
            <w:r w:rsidR="00384A8D">
              <w:rPr>
                <w:rFonts w:cs="Calibri"/>
                <w:sz w:val="24"/>
                <w:szCs w:val="24"/>
              </w:rPr>
              <w:t>ici</w:t>
            </w:r>
            <w:r w:rsidR="006C51CC">
              <w:rPr>
                <w:rFonts w:cs="Calibri"/>
                <w:sz w:val="24"/>
                <w:szCs w:val="24"/>
              </w:rPr>
              <w:t>tor’</w:t>
            </w:r>
            <w:r w:rsidRPr="00200B6F">
              <w:rPr>
                <w:rFonts w:cs="Calibri"/>
                <w:sz w:val="24"/>
                <w:szCs w:val="24"/>
              </w:rPr>
              <w:t>s costs</w:t>
            </w:r>
            <w:r w:rsidR="00731109">
              <w:rPr>
                <w:rFonts w:cs="Calibri"/>
                <w:sz w:val="24"/>
                <w:szCs w:val="24"/>
              </w:rPr>
              <w:t xml:space="preserve">.  </w:t>
            </w:r>
            <w:r w:rsidR="00731109" w:rsidRPr="00467EFF">
              <w:rPr>
                <w:rFonts w:cs="Calibri"/>
                <w:i/>
                <w:sz w:val="24"/>
                <w:szCs w:val="24"/>
              </w:rPr>
              <w:t>Unless the previous provider has their own high cost contract</w:t>
            </w:r>
            <w:r w:rsidRPr="00467EFF">
              <w:rPr>
                <w:rFonts w:cs="Calibri"/>
                <w:i/>
                <w:sz w:val="24"/>
                <w:szCs w:val="24"/>
              </w:rPr>
              <w:t>:</w:t>
            </w:r>
            <w:r w:rsidRPr="00200B6F">
              <w:rPr>
                <w:rFonts w:cs="Calibri"/>
                <w:sz w:val="24"/>
                <w:szCs w:val="24"/>
              </w:rPr>
              <w:t xml:space="preserve"> </w:t>
            </w:r>
          </w:p>
          <w:p w14:paraId="5CA2F0C5" w14:textId="77777777" w:rsidR="00696205" w:rsidRPr="00200B6F" w:rsidRDefault="00696205" w:rsidP="002C47CF">
            <w:pPr>
              <w:numPr>
                <w:ilvl w:val="0"/>
                <w:numId w:val="4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00B6F">
              <w:rPr>
                <w:rFonts w:cs="Calibri"/>
                <w:sz w:val="24"/>
                <w:szCs w:val="24"/>
              </w:rPr>
              <w:t>Please provide details of the previous firm’s costs if you are responsible for their costs</w:t>
            </w:r>
          </w:p>
          <w:p w14:paraId="71FB9FD0" w14:textId="77777777" w:rsidR="00696205" w:rsidRPr="00200B6F" w:rsidRDefault="00696205" w:rsidP="002C47CF">
            <w:pPr>
              <w:numPr>
                <w:ilvl w:val="0"/>
                <w:numId w:val="4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Pr="00200B6F">
              <w:rPr>
                <w:rFonts w:cs="Calibri"/>
                <w:sz w:val="24"/>
                <w:szCs w:val="24"/>
              </w:rPr>
              <w:t>f you</w:t>
            </w:r>
            <w:r>
              <w:rPr>
                <w:rFonts w:cs="Calibri"/>
                <w:sz w:val="24"/>
                <w:szCs w:val="24"/>
              </w:rPr>
              <w:t xml:space="preserve"> are not responsible for the previous firm’s </w:t>
            </w:r>
            <w:proofErr w:type="gramStart"/>
            <w:r>
              <w:rPr>
                <w:rFonts w:cs="Calibri"/>
                <w:sz w:val="24"/>
                <w:szCs w:val="24"/>
              </w:rPr>
              <w:t>costs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200B6F">
              <w:rPr>
                <w:rFonts w:cs="Calibri"/>
                <w:sz w:val="24"/>
                <w:szCs w:val="24"/>
              </w:rPr>
              <w:t xml:space="preserve">please provide details of the previous </w:t>
            </w:r>
            <w:r>
              <w:rPr>
                <w:rFonts w:cs="Calibri"/>
                <w:sz w:val="24"/>
                <w:szCs w:val="24"/>
              </w:rPr>
              <w:t>events</w:t>
            </w:r>
            <w:r w:rsidRPr="00200B6F">
              <w:rPr>
                <w:rFonts w:cs="Calibri"/>
                <w:sz w:val="24"/>
                <w:szCs w:val="24"/>
              </w:rPr>
              <w:t xml:space="preserve"> on the case to enable a determination to be made as to which event rate is applicable</w:t>
            </w:r>
          </w:p>
        </w:tc>
        <w:tc>
          <w:tcPr>
            <w:tcW w:w="651" w:type="dxa"/>
            <w:shd w:val="clear" w:color="auto" w:fill="auto"/>
          </w:tcPr>
          <w:p w14:paraId="5D2EDE21" w14:textId="77777777" w:rsidR="00696205" w:rsidRPr="00200B6F" w:rsidRDefault="00696205" w:rsidP="002C47C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7D23C4E8" w14:textId="77777777" w:rsidR="002C47CF" w:rsidRDefault="002C47CF" w:rsidP="00836131">
      <w:pPr>
        <w:jc w:val="both"/>
        <w:rPr>
          <w:rFonts w:cs="Calibri"/>
          <w:b/>
          <w:iCs/>
          <w:sz w:val="24"/>
          <w:szCs w:val="24"/>
        </w:rPr>
      </w:pPr>
    </w:p>
    <w:sectPr w:rsidR="002C47CF" w:rsidSect="007B2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4524E"/>
    <w:multiLevelType w:val="hybridMultilevel"/>
    <w:tmpl w:val="97ECE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14E4"/>
    <w:multiLevelType w:val="hybridMultilevel"/>
    <w:tmpl w:val="EA5C5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B24"/>
    <w:multiLevelType w:val="hybridMultilevel"/>
    <w:tmpl w:val="4746A1E4"/>
    <w:lvl w:ilvl="0" w:tplc="05BC6AD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5B7D54"/>
    <w:multiLevelType w:val="hybridMultilevel"/>
    <w:tmpl w:val="8DC0854A"/>
    <w:lvl w:ilvl="0" w:tplc="34F4BE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E78D5"/>
    <w:multiLevelType w:val="hybridMultilevel"/>
    <w:tmpl w:val="AFCCCA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144E"/>
    <w:multiLevelType w:val="hybridMultilevel"/>
    <w:tmpl w:val="2ED89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41F5"/>
    <w:multiLevelType w:val="hybridMultilevel"/>
    <w:tmpl w:val="075EE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B4908"/>
    <w:multiLevelType w:val="hybridMultilevel"/>
    <w:tmpl w:val="94144B48"/>
    <w:lvl w:ilvl="0" w:tplc="AC3061E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FB5"/>
    <w:rsid w:val="000229CE"/>
    <w:rsid w:val="000B3442"/>
    <w:rsid w:val="001208B2"/>
    <w:rsid w:val="00195335"/>
    <w:rsid w:val="00200B6F"/>
    <w:rsid w:val="002A30FE"/>
    <w:rsid w:val="002C47CF"/>
    <w:rsid w:val="002E26C2"/>
    <w:rsid w:val="0031607D"/>
    <w:rsid w:val="0035032F"/>
    <w:rsid w:val="00384A8D"/>
    <w:rsid w:val="003E5BAF"/>
    <w:rsid w:val="004304A8"/>
    <w:rsid w:val="00467EFF"/>
    <w:rsid w:val="004F535D"/>
    <w:rsid w:val="00505F99"/>
    <w:rsid w:val="00554700"/>
    <w:rsid w:val="00561CDB"/>
    <w:rsid w:val="005C113F"/>
    <w:rsid w:val="00610F38"/>
    <w:rsid w:val="00643A14"/>
    <w:rsid w:val="00696205"/>
    <w:rsid w:val="006C51CC"/>
    <w:rsid w:val="00731109"/>
    <w:rsid w:val="007B2FB5"/>
    <w:rsid w:val="007D28BA"/>
    <w:rsid w:val="007E53F4"/>
    <w:rsid w:val="007E72C7"/>
    <w:rsid w:val="00836131"/>
    <w:rsid w:val="00844831"/>
    <w:rsid w:val="00896AD1"/>
    <w:rsid w:val="00971D1A"/>
    <w:rsid w:val="009746FD"/>
    <w:rsid w:val="009C42B8"/>
    <w:rsid w:val="009F56C5"/>
    <w:rsid w:val="00A760EA"/>
    <w:rsid w:val="00AD0F1C"/>
    <w:rsid w:val="00B11D35"/>
    <w:rsid w:val="00B36337"/>
    <w:rsid w:val="00B551F3"/>
    <w:rsid w:val="00B8134F"/>
    <w:rsid w:val="00BE35A9"/>
    <w:rsid w:val="00C05241"/>
    <w:rsid w:val="00CA4CB9"/>
    <w:rsid w:val="00CD739B"/>
    <w:rsid w:val="00D928B2"/>
    <w:rsid w:val="00DF67FD"/>
    <w:rsid w:val="00E443DB"/>
    <w:rsid w:val="00E7764D"/>
    <w:rsid w:val="00E97B65"/>
    <w:rsid w:val="00EF39A5"/>
    <w:rsid w:val="00F113B4"/>
    <w:rsid w:val="00F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07A512"/>
  <w15:chartTrackingRefBased/>
  <w15:docId w15:val="{53F082B4-F2A9-49EA-997F-441B6024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2FB5"/>
    <w:rPr>
      <w:color w:val="0563C1"/>
      <w:u w:val="single"/>
    </w:rPr>
  </w:style>
  <w:style w:type="paragraph" w:customStyle="1" w:styleId="Default">
    <w:name w:val="Default"/>
    <w:rsid w:val="007B2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F39A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30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Jenny (LAA)</dc:creator>
  <cp:keywords/>
  <dc:description/>
  <cp:lastModifiedBy>Dryden, James</cp:lastModifiedBy>
  <cp:revision>2</cp:revision>
  <dcterms:created xsi:type="dcterms:W3CDTF">2022-09-12T13:55:00Z</dcterms:created>
  <dcterms:modified xsi:type="dcterms:W3CDTF">2022-09-12T13:55:00Z</dcterms:modified>
</cp:coreProperties>
</file>