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h.gjdgxs" w:colFirst="0" w:colLast="0"/>
    <w:bookmarkStart w:id="1" w:name="_GoBack"/>
    <w:bookmarkEnd w:id="0"/>
    <w:bookmarkEnd w:id="1"/>
    <w:p w:rsidR="000238FA" w:rsidRDefault="00484379">
      <w:pPr>
        <w:spacing w:after="360" w:line="276" w:lineRule="auto"/>
        <w:jc w:val="both"/>
      </w:pPr>
      <w:r>
        <w:rPr>
          <w:noProof/>
        </w:rPr>
        <mc:AlternateContent>
          <mc:Choice Requires="wps">
            <w:drawing>
              <wp:anchor distT="0" distB="0" distL="114300" distR="114300" simplePos="0" relativeHeight="251658240" behindDoc="0" locked="0" layoutInCell="0" hidden="0" allowOverlap="1" wp14:anchorId="53E32171" wp14:editId="4B86C657">
                <wp:simplePos x="0" y="0"/>
                <wp:positionH relativeFrom="margin">
                  <wp:posOffset>317500</wp:posOffset>
                </wp:positionH>
                <wp:positionV relativeFrom="paragraph">
                  <wp:posOffset>203200</wp:posOffset>
                </wp:positionV>
                <wp:extent cx="4686300" cy="1054100"/>
                <wp:effectExtent l="0" t="0" r="0" b="0"/>
                <wp:wrapNone/>
                <wp:docPr id="3" name="Rectangle 3"/>
                <wp:cNvGraphicFramePr/>
                <a:graphic xmlns:a="http://schemas.openxmlformats.org/drawingml/2006/main">
                  <a:graphicData uri="http://schemas.microsoft.com/office/word/2010/wordprocessingShape">
                    <wps:wsp>
                      <wps:cNvSpPr/>
                      <wps:spPr>
                        <a:xfrm>
                          <a:off x="3007613" y="3252950"/>
                          <a:ext cx="4676775" cy="10541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0238FA" w:rsidRDefault="00484379">
                            <w:pPr>
                              <w:jc w:val="center"/>
                              <w:textDirection w:val="btLr"/>
                            </w:pPr>
                            <w:r>
                              <w:rPr>
                                <w:b/>
                                <w:color w:val="4F81BD"/>
                                <w:sz w:val="56"/>
                              </w:rPr>
                              <w:t>[Insert Local Body Logo]</w:t>
                            </w:r>
                          </w:p>
                        </w:txbxContent>
                      </wps:txbx>
                      <wps:bodyPr lIns="91425" tIns="45700" rIns="91425" bIns="45700" anchor="t" anchorCtr="0"/>
                    </wps:wsp>
                  </a:graphicData>
                </a:graphic>
              </wp:anchor>
            </w:drawing>
          </mc:Choice>
          <mc:Fallback>
            <w:pict>
              <v:rect w14:anchorId="53E32171" id="Rectangle 3" o:spid="_x0000_s1026" style="position:absolute;left:0;text-align:left;margin-left:25pt;margin-top:16pt;width:369pt;height:83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" o:allowincell="f">
                <v:textbox inset="2.53958mm,1.2694mm,2.53958mm,1.2694mm">
                  <w:txbxContent>
                    <w:p w:rsidR="000238FA" w:rsidRDefault="00484379">
                      <w:pPr>
                        <w:jc w:val="center"/>
                        <w:textDirection w:val="btLr"/>
                      </w:pPr>
                      <w:r>
                        <w:rPr>
                          <w:b/>
                          <w:color w:val="4F81BD"/>
                          <w:sz w:val="56"/>
                        </w:rPr>
                        <w:t>[Insert Local Body Logo]</w:t>
                      </w:r>
                    </w:p>
                  </w:txbxContent>
                </v:textbox>
                <w10:wrap anchorx="margin"/>
              </v:rect>
            </w:pict>
          </mc:Fallback>
        </mc:AlternateContent>
      </w:r>
    </w:p>
    <w:p w:rsidR="000238FA" w:rsidRDefault="000238FA">
      <w:pPr>
        <w:spacing w:after="360" w:line="276" w:lineRule="auto"/>
        <w:jc w:val="both"/>
      </w:pPr>
    </w:p>
    <w:p w:rsidR="000238FA" w:rsidRDefault="000238FA">
      <w:pPr>
        <w:spacing w:after="360" w:line="276" w:lineRule="auto"/>
        <w:jc w:val="both"/>
      </w:pPr>
    </w:p>
    <w:p w:rsidR="000238FA" w:rsidRDefault="000238FA">
      <w:pPr>
        <w:spacing w:after="360" w:line="276" w:lineRule="auto"/>
        <w:jc w:val="both"/>
      </w:pPr>
    </w:p>
    <w:p w:rsidR="000238FA" w:rsidRDefault="00484379">
      <w:pPr>
        <w:spacing w:after="360" w:line="276" w:lineRule="auto"/>
        <w:jc w:val="both"/>
      </w:pPr>
      <w:r>
        <w:rPr>
          <w:rFonts w:ascii="Calibri" w:eastAsia="Calibri" w:hAnsi="Calibri" w:cs="Calibri"/>
          <w:color w:val="548DD4"/>
          <w:sz w:val="44"/>
          <w:szCs w:val="44"/>
        </w:rPr>
        <w:t>[INSERT LOCAL BODY TENDER DETAILS; REFERENCE NUMBER &amp; OJEU CONTRACT NOTICE NUMBER]</w:t>
      </w:r>
    </w:p>
    <w:p w:rsidR="000238FA" w:rsidRDefault="000238FA">
      <w:pPr>
        <w:spacing w:after="360" w:line="276" w:lineRule="auto"/>
        <w:jc w:val="both"/>
      </w:pPr>
    </w:p>
    <w:p w:rsidR="000238FA" w:rsidRDefault="00484379">
      <w:pPr>
        <w:spacing w:after="360" w:line="276" w:lineRule="auto"/>
        <w:jc w:val="both"/>
      </w:pPr>
      <w:r>
        <w:rPr>
          <w:rFonts w:ascii="Calibri" w:eastAsia="Calibri" w:hAnsi="Calibri" w:cs="Calibri"/>
          <w:b/>
          <w:color w:val="006FB7"/>
          <w:sz w:val="56"/>
          <w:szCs w:val="56"/>
        </w:rPr>
        <w:t>ITT Part 4:</w:t>
      </w:r>
    </w:p>
    <w:p w:rsidR="000238FA" w:rsidRDefault="00484379">
      <w:pPr>
        <w:spacing w:after="360" w:line="276" w:lineRule="auto"/>
      </w:pPr>
      <w:r>
        <w:rPr>
          <w:rFonts w:ascii="Calibri" w:eastAsia="Calibri" w:hAnsi="Calibri" w:cs="Calibri"/>
          <w:b/>
          <w:color w:val="006FB7"/>
          <w:sz w:val="56"/>
          <w:szCs w:val="56"/>
        </w:rPr>
        <w:t>Instructions for Submission of Financial Information</w:t>
      </w:r>
    </w:p>
    <w:p w:rsidR="000238FA" w:rsidRDefault="000238FA">
      <w:pPr>
        <w:spacing w:after="240" w:line="276" w:lineRule="auto"/>
      </w:pPr>
    </w:p>
    <w:p w:rsidR="000238FA" w:rsidRDefault="000238FA">
      <w:pPr>
        <w:spacing w:after="240" w:line="276" w:lineRule="auto"/>
      </w:pPr>
    </w:p>
    <w:p w:rsidR="000238FA" w:rsidRDefault="00484379">
      <w:pPr>
        <w:spacing w:before="120" w:after="120" w:line="276" w:lineRule="auto"/>
        <w:jc w:val="both"/>
      </w:pPr>
      <w:r>
        <w:rPr>
          <w:rFonts w:ascii="Calibri" w:eastAsia="Calibri" w:hAnsi="Calibri" w:cs="Calibri"/>
          <w:sz w:val="22"/>
          <w:szCs w:val="22"/>
        </w:rPr>
        <w:t xml:space="preserve">Date: </w:t>
      </w:r>
      <w:r w:rsidR="00D12A7E">
        <w:rPr>
          <w:rFonts w:ascii="Calibri" w:eastAsia="Calibri" w:hAnsi="Calibri" w:cs="Calibri"/>
          <w:sz w:val="22"/>
          <w:szCs w:val="22"/>
        </w:rPr>
        <w:t>December 2018</w:t>
      </w:r>
    </w:p>
    <w:p w:rsidR="000238FA" w:rsidRDefault="006060A5">
      <w:pPr>
        <w:spacing w:after="120" w:line="276" w:lineRule="auto"/>
        <w:jc w:val="both"/>
      </w:pPr>
      <w:r>
        <w:rPr>
          <w:rFonts w:ascii="Calibri" w:eastAsia="Calibri" w:hAnsi="Calibri" w:cs="Calibri"/>
          <w:sz w:val="22"/>
          <w:szCs w:val="22"/>
        </w:rPr>
        <w:t>Version: 3</w:t>
      </w:r>
      <w:r w:rsidR="00D12A7E">
        <w:rPr>
          <w:rFonts w:ascii="Calibri" w:eastAsia="Calibri" w:hAnsi="Calibri" w:cs="Calibri"/>
          <w:sz w:val="22"/>
          <w:szCs w:val="22"/>
        </w:rPr>
        <w:t>.2</w:t>
      </w:r>
    </w:p>
    <w:p w:rsidR="000238FA" w:rsidRDefault="00484379">
      <w:pPr>
        <w:spacing w:after="120" w:line="276" w:lineRule="auto"/>
        <w:jc w:val="both"/>
      </w:pPr>
      <w:r>
        <w:rPr>
          <w:rFonts w:ascii="Calibri" w:eastAsia="Calibri" w:hAnsi="Calibri" w:cs="Calibri"/>
          <w:sz w:val="22"/>
          <w:szCs w:val="22"/>
        </w:rPr>
        <w:t>Status: Template</w:t>
      </w:r>
    </w:p>
    <w:p w:rsidR="000238FA" w:rsidRDefault="000238FA">
      <w:pPr>
        <w:spacing w:after="120" w:line="276" w:lineRule="auto"/>
        <w:jc w:val="both"/>
      </w:pPr>
    </w:p>
    <w:p w:rsidR="000238FA" w:rsidRDefault="00484379">
      <w:pPr>
        <w:tabs>
          <w:tab w:val="left" w:pos="3120"/>
        </w:tabs>
        <w:spacing w:after="120" w:line="276" w:lineRule="auto"/>
        <w:jc w:val="both"/>
      </w:pPr>
      <w:r>
        <w:rPr>
          <w:rFonts w:ascii="Calibri" w:eastAsia="Calibri" w:hAnsi="Calibri" w:cs="Calibri"/>
          <w:sz w:val="12"/>
          <w:szCs w:val="12"/>
        </w:rPr>
        <w:tab/>
      </w:r>
    </w:p>
    <w:p w:rsidR="000238FA" w:rsidRDefault="000238FA">
      <w:pPr>
        <w:spacing w:after="360" w:line="276" w:lineRule="auto"/>
        <w:jc w:val="both"/>
      </w:pPr>
    </w:p>
    <w:p w:rsidR="000238FA" w:rsidRDefault="00D12A7E">
      <w:r>
        <w:rPr>
          <w:noProof/>
        </w:rPr>
        <w:drawing>
          <wp:inline distT="0" distB="0" distL="0" distR="0" wp14:anchorId="047A1303" wp14:editId="5A380EEA">
            <wp:extent cx="1231900" cy="847575"/>
            <wp:effectExtent l="0" t="0" r="6350" b="0"/>
            <wp:docPr id="2" name="Picture 2" descr="https://intranet.culture.gov.uk/wp-content/uploads/DCMS17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tranet.culture.gov.uk/wp-content/uploads/DCMS17_colou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6904" cy="857898"/>
                    </a:xfrm>
                    <a:prstGeom prst="rect">
                      <a:avLst/>
                    </a:prstGeom>
                    <a:noFill/>
                    <a:ln>
                      <a:noFill/>
                    </a:ln>
                  </pic:spPr>
                </pic:pic>
              </a:graphicData>
            </a:graphic>
          </wp:inline>
        </w:drawing>
      </w:r>
    </w:p>
    <w:p w:rsidR="00B4032A" w:rsidRDefault="00B4032A"/>
    <w:p w:rsidR="00B4032A" w:rsidRDefault="00B4032A"/>
    <w:p w:rsidR="00B4032A" w:rsidRDefault="00B4032A"/>
    <w:p w:rsidR="00F907DD" w:rsidRDefault="00F907DD"/>
    <w:p w:rsidR="00F907DD" w:rsidRDefault="00F907DD"/>
    <w:p w:rsidR="00F907DD" w:rsidRDefault="00F907DD"/>
    <w:p w:rsidR="00F907DD" w:rsidRDefault="00F907DD"/>
    <w:p w:rsidR="00B4032A" w:rsidRDefault="00B4032A" w:rsidP="00B4032A">
      <w:pPr>
        <w:tabs>
          <w:tab w:val="left" w:pos="930"/>
        </w:tabs>
        <w:rPr>
          <w:rFonts w:ascii="Calibri" w:eastAsia="Calibri" w:hAnsi="Calibri" w:cs="Calibri"/>
          <w:color w:val="FF0000"/>
          <w:sz w:val="20"/>
          <w:szCs w:val="20"/>
        </w:rPr>
      </w:pPr>
      <w:r>
        <w:rPr>
          <w:b/>
          <w:color w:val="FF0000"/>
          <w:sz w:val="20"/>
          <w:szCs w:val="20"/>
        </w:rPr>
        <w:t xml:space="preserve">Please Note: </w:t>
      </w:r>
      <w:r>
        <w:rPr>
          <w:rFonts w:ascii="Calibri" w:eastAsia="Calibri" w:hAnsi="Calibri" w:cs="Calibri"/>
          <w:color w:val="FF0000"/>
          <w:sz w:val="20"/>
          <w:szCs w:val="20"/>
        </w:rPr>
        <w:t>This document comprises part of the template invitation to tender (</w:t>
      </w:r>
      <w:r>
        <w:rPr>
          <w:rFonts w:ascii="Calibri" w:eastAsia="Calibri" w:hAnsi="Calibri" w:cs="Calibri"/>
          <w:b/>
          <w:color w:val="FF0000"/>
          <w:sz w:val="20"/>
          <w:szCs w:val="20"/>
        </w:rPr>
        <w:t>"ITT"</w:t>
      </w:r>
      <w:r>
        <w:rPr>
          <w:rFonts w:ascii="Calibri" w:eastAsia="Calibri" w:hAnsi="Calibri" w:cs="Calibri"/>
          <w:color w:val="FF0000"/>
          <w:sz w:val="20"/>
          <w:szCs w:val="20"/>
        </w:rPr>
        <w:t>) relating to the Phase 3 OJEU procurement process and is subject to change.</w:t>
      </w:r>
    </w:p>
    <w:p w:rsidR="00B4032A" w:rsidRDefault="00B4032A" w:rsidP="00B4032A">
      <w:pPr>
        <w:tabs>
          <w:tab w:val="left" w:pos="930"/>
        </w:tabs>
      </w:pPr>
    </w:p>
    <w:p w:rsidR="00B4032A" w:rsidRDefault="00B4032A" w:rsidP="00B4032A">
      <w:pPr>
        <w:tabs>
          <w:tab w:val="left" w:pos="930"/>
        </w:tabs>
        <w:rPr>
          <w:rFonts w:ascii="Calibri" w:eastAsia="Calibri" w:hAnsi="Calibri" w:cs="Calibri"/>
          <w:color w:val="FF0000"/>
          <w:sz w:val="20"/>
          <w:szCs w:val="20"/>
        </w:rPr>
      </w:pPr>
      <w:r>
        <w:rPr>
          <w:rFonts w:ascii="Calibri" w:eastAsia="Calibri" w:hAnsi="Calibri" w:cs="Calibri"/>
          <w:color w:val="FF0000"/>
          <w:sz w:val="20"/>
          <w:szCs w:val="20"/>
        </w:rPr>
        <w:t>This document is provided by BDUK for use only by Local Bodies who are undertaking Phase 3 OJEU procurements.  It is not to be used for any other purpose. It is oriented to those procurements using the Open or Restricted Procedures, although can be adapted for use with other procurement procedures.  Access to this document is restricted to the relevant authorised Huddle users and other associated permitted recipients.</w:t>
      </w:r>
    </w:p>
    <w:p w:rsidR="00B4032A" w:rsidRDefault="00B4032A" w:rsidP="00B4032A">
      <w:pPr>
        <w:tabs>
          <w:tab w:val="left" w:pos="930"/>
        </w:tabs>
      </w:pPr>
    </w:p>
    <w:p w:rsidR="00B4032A" w:rsidRDefault="00B4032A" w:rsidP="00B4032A">
      <w:pPr>
        <w:tabs>
          <w:tab w:val="left" w:pos="930"/>
        </w:tabs>
      </w:pPr>
      <w:r>
        <w:rPr>
          <w:rFonts w:ascii="Calibri" w:eastAsia="Calibri" w:hAnsi="Calibri" w:cs="Calibri"/>
          <w:color w:val="FF0000"/>
          <w:sz w:val="20"/>
          <w:szCs w:val="20"/>
        </w:rPr>
        <w:t>This document may contain certain high level and/or selected summary information only and care should be taken if relying on its content.  To ensure they are fully informed, Local Bodies should refer to the relevant more detailed Programme document(s) (where available) and otherwise consult with BDUK and/or their own professional advisers.</w:t>
      </w:r>
    </w:p>
    <w:p w:rsidR="00B4032A" w:rsidRDefault="00B4032A" w:rsidP="00B4032A">
      <w:pPr>
        <w:tabs>
          <w:tab w:val="left" w:pos="930"/>
        </w:tabs>
      </w:pPr>
    </w:p>
    <w:p w:rsidR="00B4032A" w:rsidRDefault="00B4032A" w:rsidP="00B4032A">
      <w:pPr>
        <w:tabs>
          <w:tab w:val="left" w:pos="930"/>
        </w:tabs>
      </w:pPr>
      <w:r>
        <w:rPr>
          <w:rFonts w:ascii="Calibri" w:eastAsia="Calibri" w:hAnsi="Calibri" w:cs="Calibri"/>
          <w:color w:val="FF0000"/>
          <w:sz w:val="20"/>
          <w:szCs w:val="20"/>
        </w:rPr>
        <w:t>Anybody using this document must seek their own legal advice in respect of the document's completion, issue and operation.  DCMS (including BDUK) accepts no liability for: (i) the accuracy of this document; or (ii) its use in respect of Phase 3 procurement or otherwise.</w:t>
      </w:r>
    </w:p>
    <w:p w:rsidR="00B4032A" w:rsidRDefault="00B4032A" w:rsidP="00B4032A">
      <w:pPr>
        <w:tabs>
          <w:tab w:val="left" w:pos="930"/>
        </w:tabs>
      </w:pPr>
    </w:p>
    <w:p w:rsidR="00B4032A" w:rsidRDefault="00B4032A" w:rsidP="00B4032A">
      <w:pPr>
        <w:tabs>
          <w:tab w:val="left" w:pos="930"/>
        </w:tabs>
      </w:pPr>
      <w:r>
        <w:rPr>
          <w:rFonts w:ascii="Calibri" w:eastAsia="Calibri" w:hAnsi="Calibri" w:cs="Calibri"/>
          <w:color w:val="FF0000"/>
          <w:sz w:val="20"/>
          <w:szCs w:val="20"/>
        </w:rPr>
        <w:t>This template ITT has been prepared to support requirements associated with DCMS funding and, more generically, anticipated requirements associated with Local Bodies' own funding.  Should other third party funding streams (e.g. ERDF) be incorporated within the project's public sector subsidy, the Local Body must specifically review the requirements of such funding streams and ensure they are appropriately reflected in this ITT (as well as any associated Contract).</w:t>
      </w:r>
    </w:p>
    <w:p w:rsidR="00B4032A" w:rsidRDefault="00B4032A" w:rsidP="00B4032A">
      <w:pPr>
        <w:tabs>
          <w:tab w:val="left" w:pos="930"/>
        </w:tabs>
      </w:pPr>
    </w:p>
    <w:p w:rsidR="00B4032A" w:rsidRDefault="00B4032A" w:rsidP="00B4032A">
      <w:pPr>
        <w:tabs>
          <w:tab w:val="left" w:pos="930"/>
        </w:tabs>
      </w:pPr>
      <w:r>
        <w:rPr>
          <w:rFonts w:ascii="Calibri" w:eastAsia="Calibri" w:hAnsi="Calibri" w:cs="Calibri"/>
          <w:color w:val="FF0000"/>
          <w:sz w:val="20"/>
          <w:szCs w:val="20"/>
        </w:rPr>
        <w:t>Text in red footnotes is provided to guide use of the document and must be removed before issue or publication.  Text in square brackets within the main body of the document shows where a Local Body needs to insert content or shows example text which can be adjusted to suit the local context.  Once the Local Body has made these adjustments the square brackets should be removed</w:t>
      </w:r>
      <w:r>
        <w:rPr>
          <w:rFonts w:ascii="Calibri" w:eastAsia="Calibri" w:hAnsi="Calibri" w:cs="Calibri"/>
          <w:color w:val="FF0000"/>
        </w:rPr>
        <w:t>.</w:t>
      </w:r>
    </w:p>
    <w:p w:rsidR="00B4032A" w:rsidRDefault="00B4032A" w:rsidP="00B4032A">
      <w:pPr>
        <w:tabs>
          <w:tab w:val="left" w:pos="930"/>
        </w:tabs>
      </w:pPr>
    </w:p>
    <w:p w:rsidR="00B4032A" w:rsidRDefault="00B4032A" w:rsidP="00B4032A">
      <w:pPr>
        <w:tabs>
          <w:tab w:val="left" w:pos="930"/>
        </w:tabs>
      </w:pPr>
      <w:r>
        <w:rPr>
          <w:rFonts w:ascii="Calibri" w:eastAsia="Calibri" w:hAnsi="Calibri" w:cs="Calibri"/>
          <w:color w:val="FF0000"/>
          <w:sz w:val="20"/>
          <w:szCs w:val="20"/>
        </w:rPr>
        <w:t>This text should also be removed before issue or publication by the Local Body.</w:t>
      </w:r>
      <w:r>
        <w:rPr>
          <w:rFonts w:ascii="Calibri" w:eastAsia="Calibri" w:hAnsi="Calibri" w:cs="Calibri"/>
          <w:b/>
          <w:color w:val="FF0000"/>
        </w:rPr>
        <w:tab/>
      </w:r>
    </w:p>
    <w:p w:rsidR="000238FA" w:rsidRDefault="000238FA">
      <w:pPr>
        <w:tabs>
          <w:tab w:val="left" w:pos="930"/>
        </w:tabs>
        <w:jc w:val="both"/>
      </w:pPr>
    </w:p>
    <w:p w:rsidR="000238FA" w:rsidRDefault="00484379">
      <w:pPr>
        <w:tabs>
          <w:tab w:val="left" w:pos="930"/>
        </w:tabs>
        <w:jc w:val="both"/>
      </w:pPr>
      <w:r>
        <w:rPr>
          <w:rFonts w:ascii="Calibri" w:eastAsia="Calibri" w:hAnsi="Calibri" w:cs="Calibri"/>
          <w:color w:val="FF0000"/>
          <w:sz w:val="22"/>
          <w:szCs w:val="22"/>
        </w:rPr>
        <w:tab/>
      </w:r>
      <w:r>
        <w:rPr>
          <w:rFonts w:ascii="Calibri" w:eastAsia="Calibri" w:hAnsi="Calibri" w:cs="Calibri"/>
          <w:color w:val="FF0000"/>
          <w:sz w:val="22"/>
          <w:szCs w:val="22"/>
        </w:rPr>
        <w:tab/>
      </w:r>
    </w:p>
    <w:p w:rsidR="000238FA" w:rsidRDefault="00484379">
      <w:r>
        <w:br w:type="page"/>
      </w:r>
    </w:p>
    <w:p w:rsidR="000238FA" w:rsidRDefault="000238FA">
      <w:pPr>
        <w:spacing w:after="120" w:line="276" w:lineRule="auto"/>
      </w:pPr>
    </w:p>
    <w:p w:rsidR="000238FA" w:rsidRDefault="00484379">
      <w:pPr>
        <w:keepNext/>
        <w:keepLines/>
        <w:spacing w:after="240"/>
      </w:pPr>
      <w:r>
        <w:rPr>
          <w:rFonts w:ascii="Calibri" w:eastAsia="Calibri" w:hAnsi="Calibri" w:cs="Calibri"/>
          <w:b/>
          <w:sz w:val="28"/>
          <w:szCs w:val="28"/>
        </w:rPr>
        <w:t>Table of Contents</w:t>
      </w:r>
    </w:p>
    <w:p w:rsidR="00914C1F" w:rsidRPr="002B5ADA" w:rsidRDefault="00914C1F" w:rsidP="002B5ADA">
      <w:pPr>
        <w:tabs>
          <w:tab w:val="left" w:pos="1134"/>
          <w:tab w:val="right" w:pos="8789"/>
        </w:tabs>
        <w:spacing w:after="60"/>
        <w:ind w:left="426" w:hanging="426"/>
        <w:rPr>
          <w:rFonts w:asciiTheme="minorHAnsi" w:hAnsiTheme="minorHAnsi"/>
          <w:b/>
          <w:sz w:val="20"/>
          <w:szCs w:val="20"/>
        </w:rPr>
      </w:pPr>
      <w:r w:rsidRPr="002B5ADA">
        <w:rPr>
          <w:rFonts w:asciiTheme="minorHAnsi" w:hAnsiTheme="minorHAnsi"/>
          <w:b/>
          <w:sz w:val="20"/>
          <w:szCs w:val="20"/>
        </w:rPr>
        <w:t>1</w:t>
      </w:r>
      <w:r w:rsidRPr="002B5ADA">
        <w:rPr>
          <w:rFonts w:asciiTheme="minorHAnsi" w:hAnsiTheme="minorHAnsi"/>
          <w:b/>
          <w:sz w:val="20"/>
          <w:szCs w:val="20"/>
        </w:rPr>
        <w:tab/>
        <w:t>Introduction</w:t>
      </w:r>
      <w:r w:rsidRPr="002B5ADA">
        <w:rPr>
          <w:rFonts w:asciiTheme="minorHAnsi" w:hAnsiTheme="minorHAnsi"/>
          <w:b/>
          <w:sz w:val="20"/>
          <w:szCs w:val="20"/>
        </w:rPr>
        <w:tab/>
      </w:r>
    </w:p>
    <w:p w:rsidR="00914C1F" w:rsidRPr="002B5ADA" w:rsidRDefault="00914C1F" w:rsidP="002B5ADA">
      <w:pPr>
        <w:spacing w:after="60"/>
        <w:ind w:left="993" w:hanging="567"/>
        <w:rPr>
          <w:rFonts w:asciiTheme="minorHAnsi" w:hAnsiTheme="minorHAnsi"/>
          <w:sz w:val="20"/>
          <w:szCs w:val="20"/>
        </w:rPr>
      </w:pPr>
      <w:r w:rsidRPr="002B5ADA">
        <w:rPr>
          <w:rFonts w:asciiTheme="minorHAnsi" w:hAnsiTheme="minorHAnsi"/>
          <w:sz w:val="20"/>
          <w:szCs w:val="20"/>
        </w:rPr>
        <w:t>1.1</w:t>
      </w:r>
      <w:r w:rsidRPr="002B5ADA">
        <w:rPr>
          <w:rFonts w:asciiTheme="minorHAnsi" w:hAnsiTheme="minorHAnsi"/>
          <w:sz w:val="20"/>
          <w:szCs w:val="20"/>
        </w:rPr>
        <w:tab/>
        <w:t>Purpose of this document</w:t>
      </w:r>
      <w:r w:rsidRPr="002B5ADA">
        <w:rPr>
          <w:rFonts w:asciiTheme="minorHAnsi" w:hAnsiTheme="minorHAnsi"/>
          <w:sz w:val="20"/>
          <w:szCs w:val="20"/>
        </w:rPr>
        <w:tab/>
      </w:r>
    </w:p>
    <w:p w:rsidR="00914C1F" w:rsidRPr="002B5ADA" w:rsidRDefault="00914C1F" w:rsidP="002B5ADA">
      <w:pPr>
        <w:spacing w:after="60"/>
        <w:ind w:left="993" w:hanging="567"/>
        <w:rPr>
          <w:rFonts w:asciiTheme="minorHAnsi" w:hAnsiTheme="minorHAnsi"/>
          <w:sz w:val="20"/>
          <w:szCs w:val="20"/>
        </w:rPr>
      </w:pPr>
      <w:r w:rsidRPr="002B5ADA">
        <w:rPr>
          <w:rFonts w:asciiTheme="minorHAnsi" w:hAnsiTheme="minorHAnsi"/>
          <w:sz w:val="20"/>
          <w:szCs w:val="20"/>
        </w:rPr>
        <w:t>1.2</w:t>
      </w:r>
      <w:r w:rsidRPr="002B5ADA">
        <w:rPr>
          <w:rFonts w:asciiTheme="minorHAnsi" w:hAnsiTheme="minorHAnsi"/>
          <w:sz w:val="20"/>
          <w:szCs w:val="20"/>
        </w:rPr>
        <w:tab/>
        <w:t>Objectives</w:t>
      </w:r>
      <w:r w:rsidRPr="002B5ADA">
        <w:rPr>
          <w:rFonts w:asciiTheme="minorHAnsi" w:hAnsiTheme="minorHAnsi"/>
          <w:sz w:val="20"/>
          <w:szCs w:val="20"/>
        </w:rPr>
        <w:tab/>
      </w:r>
    </w:p>
    <w:p w:rsidR="00914C1F" w:rsidRPr="002B5ADA" w:rsidRDefault="00914C1F" w:rsidP="002B5ADA">
      <w:pPr>
        <w:spacing w:after="60"/>
        <w:ind w:left="993" w:hanging="567"/>
        <w:rPr>
          <w:rFonts w:asciiTheme="minorHAnsi" w:hAnsiTheme="minorHAnsi"/>
          <w:sz w:val="20"/>
          <w:szCs w:val="20"/>
        </w:rPr>
      </w:pPr>
      <w:r w:rsidRPr="002B5ADA">
        <w:rPr>
          <w:rFonts w:asciiTheme="minorHAnsi" w:hAnsiTheme="minorHAnsi"/>
          <w:sz w:val="20"/>
          <w:szCs w:val="20"/>
        </w:rPr>
        <w:t>1.3</w:t>
      </w:r>
      <w:r w:rsidRPr="002B5ADA">
        <w:rPr>
          <w:rFonts w:asciiTheme="minorHAnsi" w:hAnsiTheme="minorHAnsi"/>
          <w:sz w:val="20"/>
          <w:szCs w:val="20"/>
        </w:rPr>
        <w:tab/>
        <w:t>Structure of this document</w:t>
      </w:r>
      <w:r w:rsidRPr="002B5ADA">
        <w:rPr>
          <w:rFonts w:asciiTheme="minorHAnsi" w:hAnsiTheme="minorHAnsi"/>
          <w:sz w:val="20"/>
          <w:szCs w:val="20"/>
        </w:rPr>
        <w:tab/>
      </w:r>
    </w:p>
    <w:p w:rsidR="00914C1F" w:rsidRPr="002B5ADA" w:rsidRDefault="00914C1F" w:rsidP="002B5ADA">
      <w:pPr>
        <w:tabs>
          <w:tab w:val="left" w:pos="1134"/>
          <w:tab w:val="right" w:pos="8789"/>
        </w:tabs>
        <w:spacing w:after="60"/>
        <w:ind w:left="426" w:hanging="426"/>
        <w:rPr>
          <w:rFonts w:asciiTheme="minorHAnsi" w:hAnsiTheme="minorHAnsi"/>
          <w:b/>
          <w:sz w:val="20"/>
          <w:szCs w:val="20"/>
        </w:rPr>
      </w:pPr>
      <w:r w:rsidRPr="002B5ADA">
        <w:rPr>
          <w:rFonts w:asciiTheme="minorHAnsi" w:hAnsiTheme="minorHAnsi"/>
          <w:b/>
          <w:sz w:val="20"/>
          <w:szCs w:val="20"/>
        </w:rPr>
        <w:t>2</w:t>
      </w:r>
      <w:r w:rsidRPr="002B5ADA">
        <w:rPr>
          <w:rFonts w:asciiTheme="minorHAnsi" w:hAnsiTheme="minorHAnsi"/>
          <w:b/>
          <w:sz w:val="20"/>
          <w:szCs w:val="20"/>
        </w:rPr>
        <w:tab/>
        <w:t>Bid Model Process</w:t>
      </w:r>
      <w:r w:rsidRPr="002B5ADA">
        <w:rPr>
          <w:rFonts w:asciiTheme="minorHAnsi" w:hAnsiTheme="minorHAnsi"/>
          <w:b/>
          <w:sz w:val="20"/>
          <w:szCs w:val="20"/>
        </w:rPr>
        <w:tab/>
      </w:r>
    </w:p>
    <w:p w:rsidR="00914C1F" w:rsidRPr="002B5ADA" w:rsidRDefault="00914C1F" w:rsidP="002B5ADA">
      <w:pPr>
        <w:spacing w:after="60"/>
        <w:ind w:left="993" w:hanging="567"/>
        <w:rPr>
          <w:rFonts w:asciiTheme="minorHAnsi" w:hAnsiTheme="minorHAnsi"/>
          <w:sz w:val="20"/>
          <w:szCs w:val="20"/>
        </w:rPr>
      </w:pPr>
      <w:r w:rsidRPr="002B5ADA">
        <w:rPr>
          <w:rFonts w:asciiTheme="minorHAnsi" w:hAnsiTheme="minorHAnsi"/>
          <w:sz w:val="20"/>
          <w:szCs w:val="20"/>
        </w:rPr>
        <w:t>2.1</w:t>
      </w:r>
      <w:r w:rsidRPr="002B5ADA">
        <w:rPr>
          <w:rFonts w:asciiTheme="minorHAnsi" w:hAnsiTheme="minorHAnsi"/>
          <w:sz w:val="20"/>
          <w:szCs w:val="20"/>
        </w:rPr>
        <w:tab/>
        <w:t>Introduction</w:t>
      </w:r>
      <w:r w:rsidRPr="002B5ADA">
        <w:rPr>
          <w:rFonts w:asciiTheme="minorHAnsi" w:hAnsiTheme="minorHAnsi"/>
          <w:sz w:val="20"/>
          <w:szCs w:val="20"/>
        </w:rPr>
        <w:tab/>
      </w:r>
    </w:p>
    <w:p w:rsidR="00914C1F" w:rsidRPr="002B5ADA" w:rsidRDefault="00914C1F" w:rsidP="002B5ADA">
      <w:pPr>
        <w:spacing w:after="60"/>
        <w:ind w:left="993" w:hanging="567"/>
        <w:rPr>
          <w:rFonts w:asciiTheme="minorHAnsi" w:hAnsiTheme="minorHAnsi"/>
          <w:sz w:val="20"/>
          <w:szCs w:val="20"/>
        </w:rPr>
      </w:pPr>
      <w:r w:rsidRPr="002B5ADA">
        <w:rPr>
          <w:rFonts w:asciiTheme="minorHAnsi" w:hAnsiTheme="minorHAnsi"/>
          <w:sz w:val="20"/>
          <w:szCs w:val="20"/>
        </w:rPr>
        <w:t>2.2</w:t>
      </w:r>
      <w:r w:rsidRPr="002B5ADA">
        <w:rPr>
          <w:rFonts w:asciiTheme="minorHAnsi" w:hAnsiTheme="minorHAnsi"/>
          <w:sz w:val="20"/>
          <w:szCs w:val="20"/>
        </w:rPr>
        <w:tab/>
        <w:t>Description</w:t>
      </w:r>
      <w:r w:rsidRPr="002B5ADA">
        <w:rPr>
          <w:rFonts w:asciiTheme="minorHAnsi" w:hAnsiTheme="minorHAnsi"/>
          <w:sz w:val="20"/>
          <w:szCs w:val="20"/>
        </w:rPr>
        <w:tab/>
      </w:r>
    </w:p>
    <w:p w:rsidR="00914C1F" w:rsidRPr="002B5ADA" w:rsidRDefault="00914C1F" w:rsidP="002B5ADA">
      <w:pPr>
        <w:tabs>
          <w:tab w:val="left" w:pos="1134"/>
          <w:tab w:val="right" w:pos="8789"/>
        </w:tabs>
        <w:spacing w:after="60"/>
        <w:ind w:left="426" w:hanging="426"/>
        <w:rPr>
          <w:rFonts w:asciiTheme="minorHAnsi" w:hAnsiTheme="minorHAnsi"/>
          <w:b/>
          <w:sz w:val="20"/>
          <w:szCs w:val="20"/>
        </w:rPr>
      </w:pPr>
      <w:r w:rsidRPr="002B5ADA">
        <w:rPr>
          <w:rFonts w:asciiTheme="minorHAnsi" w:hAnsiTheme="minorHAnsi"/>
          <w:b/>
          <w:sz w:val="20"/>
          <w:szCs w:val="20"/>
        </w:rPr>
        <w:t>3</w:t>
      </w:r>
      <w:r w:rsidRPr="002B5ADA">
        <w:rPr>
          <w:rFonts w:asciiTheme="minorHAnsi" w:hAnsiTheme="minorHAnsi"/>
          <w:b/>
          <w:sz w:val="20"/>
          <w:szCs w:val="20"/>
        </w:rPr>
        <w:tab/>
        <w:t>Project Model Requirements</w:t>
      </w:r>
      <w:r w:rsidRPr="002B5ADA">
        <w:rPr>
          <w:rFonts w:asciiTheme="minorHAnsi" w:hAnsiTheme="minorHAnsi"/>
          <w:b/>
          <w:sz w:val="20"/>
          <w:szCs w:val="20"/>
        </w:rPr>
        <w:tab/>
      </w:r>
    </w:p>
    <w:p w:rsidR="00914C1F" w:rsidRPr="002B5ADA" w:rsidRDefault="00914C1F" w:rsidP="002B5ADA">
      <w:pPr>
        <w:spacing w:after="60"/>
        <w:ind w:left="993" w:hanging="567"/>
        <w:rPr>
          <w:rFonts w:asciiTheme="minorHAnsi" w:hAnsiTheme="minorHAnsi"/>
          <w:sz w:val="20"/>
          <w:szCs w:val="20"/>
        </w:rPr>
      </w:pPr>
      <w:r w:rsidRPr="002B5ADA">
        <w:rPr>
          <w:rFonts w:asciiTheme="minorHAnsi" w:hAnsiTheme="minorHAnsi"/>
          <w:sz w:val="20"/>
          <w:szCs w:val="20"/>
        </w:rPr>
        <w:t>3.1</w:t>
      </w:r>
      <w:r w:rsidRPr="002B5ADA">
        <w:rPr>
          <w:rFonts w:asciiTheme="minorHAnsi" w:hAnsiTheme="minorHAnsi"/>
          <w:sz w:val="20"/>
          <w:szCs w:val="20"/>
        </w:rPr>
        <w:tab/>
        <w:t>Introduction</w:t>
      </w:r>
      <w:r w:rsidRPr="002B5ADA">
        <w:rPr>
          <w:rFonts w:asciiTheme="minorHAnsi" w:hAnsiTheme="minorHAnsi"/>
          <w:sz w:val="20"/>
          <w:szCs w:val="20"/>
        </w:rPr>
        <w:tab/>
      </w:r>
    </w:p>
    <w:p w:rsidR="00914C1F" w:rsidRPr="002B5ADA" w:rsidRDefault="00914C1F" w:rsidP="002B5ADA">
      <w:pPr>
        <w:spacing w:after="60"/>
        <w:ind w:left="993" w:hanging="567"/>
        <w:rPr>
          <w:rFonts w:asciiTheme="minorHAnsi" w:hAnsiTheme="minorHAnsi"/>
          <w:sz w:val="20"/>
          <w:szCs w:val="20"/>
        </w:rPr>
      </w:pPr>
      <w:r w:rsidRPr="002B5ADA">
        <w:rPr>
          <w:rFonts w:asciiTheme="minorHAnsi" w:hAnsiTheme="minorHAnsi"/>
          <w:sz w:val="20"/>
          <w:szCs w:val="20"/>
        </w:rPr>
        <w:t>3.2</w:t>
      </w:r>
      <w:r w:rsidRPr="002B5ADA">
        <w:rPr>
          <w:rFonts w:asciiTheme="minorHAnsi" w:hAnsiTheme="minorHAnsi"/>
          <w:sz w:val="20"/>
          <w:szCs w:val="20"/>
        </w:rPr>
        <w:tab/>
        <w:t>Required levels of model input detail</w:t>
      </w:r>
      <w:r w:rsidRPr="002B5ADA">
        <w:rPr>
          <w:rFonts w:asciiTheme="minorHAnsi" w:hAnsiTheme="minorHAnsi"/>
          <w:sz w:val="20"/>
          <w:szCs w:val="20"/>
        </w:rPr>
        <w:tab/>
      </w:r>
    </w:p>
    <w:p w:rsidR="00914C1F" w:rsidRPr="002B5ADA" w:rsidRDefault="00914C1F" w:rsidP="002B5ADA">
      <w:pPr>
        <w:spacing w:after="60"/>
        <w:ind w:left="993" w:hanging="567"/>
        <w:rPr>
          <w:rFonts w:asciiTheme="minorHAnsi" w:hAnsiTheme="minorHAnsi"/>
          <w:sz w:val="20"/>
          <w:szCs w:val="20"/>
        </w:rPr>
      </w:pPr>
      <w:r w:rsidRPr="002B5ADA">
        <w:rPr>
          <w:rFonts w:asciiTheme="minorHAnsi" w:hAnsiTheme="minorHAnsi"/>
          <w:sz w:val="20"/>
          <w:szCs w:val="20"/>
        </w:rPr>
        <w:t>3.3</w:t>
      </w:r>
      <w:r w:rsidRPr="002B5ADA">
        <w:rPr>
          <w:rFonts w:asciiTheme="minorHAnsi" w:hAnsiTheme="minorHAnsi"/>
          <w:sz w:val="20"/>
          <w:szCs w:val="20"/>
        </w:rPr>
        <w:tab/>
        <w:t>General Requirements for Bid Project Models</w:t>
      </w:r>
      <w:r w:rsidRPr="002B5ADA">
        <w:rPr>
          <w:rFonts w:asciiTheme="minorHAnsi" w:hAnsiTheme="minorHAnsi"/>
          <w:sz w:val="20"/>
          <w:szCs w:val="20"/>
        </w:rPr>
        <w:tab/>
      </w:r>
    </w:p>
    <w:p w:rsidR="00914C1F" w:rsidRPr="002B5ADA" w:rsidRDefault="00914C1F" w:rsidP="002B5ADA">
      <w:pPr>
        <w:spacing w:after="60"/>
        <w:ind w:left="993" w:hanging="567"/>
        <w:rPr>
          <w:rFonts w:asciiTheme="minorHAnsi" w:hAnsiTheme="minorHAnsi"/>
          <w:sz w:val="20"/>
          <w:szCs w:val="20"/>
        </w:rPr>
      </w:pPr>
      <w:r w:rsidRPr="002B5ADA">
        <w:rPr>
          <w:rFonts w:asciiTheme="minorHAnsi" w:hAnsiTheme="minorHAnsi"/>
          <w:sz w:val="20"/>
          <w:szCs w:val="20"/>
        </w:rPr>
        <w:t>3.4</w:t>
      </w:r>
      <w:r w:rsidRPr="002B5ADA">
        <w:rPr>
          <w:rFonts w:asciiTheme="minorHAnsi" w:hAnsiTheme="minorHAnsi"/>
          <w:sz w:val="20"/>
          <w:szCs w:val="20"/>
        </w:rPr>
        <w:tab/>
        <w:t xml:space="preserve">Guidance </w:t>
      </w:r>
      <w:r w:rsidR="00EF5403" w:rsidRPr="002B5ADA">
        <w:rPr>
          <w:rFonts w:asciiTheme="minorHAnsi" w:hAnsiTheme="minorHAnsi"/>
          <w:sz w:val="20"/>
          <w:szCs w:val="20"/>
        </w:rPr>
        <w:t>for</w:t>
      </w:r>
      <w:r w:rsidRPr="002B5ADA">
        <w:rPr>
          <w:rFonts w:asciiTheme="minorHAnsi" w:hAnsiTheme="minorHAnsi"/>
          <w:sz w:val="20"/>
          <w:szCs w:val="20"/>
        </w:rPr>
        <w:t xml:space="preserve"> C</w:t>
      </w:r>
      <w:r w:rsidR="00EF5403">
        <w:rPr>
          <w:rFonts w:asciiTheme="minorHAnsi" w:hAnsiTheme="minorHAnsi"/>
          <w:sz w:val="20"/>
          <w:szCs w:val="20"/>
        </w:rPr>
        <w:t>ompleting the Bid Project Model</w:t>
      </w:r>
      <w:r w:rsidRPr="002B5ADA">
        <w:rPr>
          <w:rFonts w:asciiTheme="minorHAnsi" w:hAnsiTheme="minorHAnsi"/>
          <w:sz w:val="20"/>
          <w:szCs w:val="20"/>
        </w:rPr>
        <w:tab/>
      </w:r>
    </w:p>
    <w:p w:rsidR="00914C1F" w:rsidRPr="002B5ADA" w:rsidRDefault="00914C1F" w:rsidP="002B5ADA">
      <w:pPr>
        <w:spacing w:after="60"/>
        <w:ind w:left="993" w:hanging="567"/>
        <w:rPr>
          <w:rFonts w:asciiTheme="minorHAnsi" w:hAnsiTheme="minorHAnsi"/>
          <w:sz w:val="20"/>
          <w:szCs w:val="20"/>
        </w:rPr>
      </w:pPr>
      <w:r w:rsidRPr="002B5ADA">
        <w:rPr>
          <w:rFonts w:asciiTheme="minorHAnsi" w:hAnsiTheme="minorHAnsi"/>
          <w:sz w:val="20"/>
          <w:szCs w:val="20"/>
        </w:rPr>
        <w:t>3.5</w:t>
      </w:r>
      <w:r w:rsidRPr="002B5ADA">
        <w:rPr>
          <w:rFonts w:asciiTheme="minorHAnsi" w:hAnsiTheme="minorHAnsi"/>
          <w:sz w:val="20"/>
          <w:szCs w:val="20"/>
        </w:rPr>
        <w:tab/>
        <w:t>Public Subsidy Funding Categorisation</w:t>
      </w:r>
      <w:r w:rsidRPr="002B5ADA">
        <w:rPr>
          <w:rFonts w:asciiTheme="minorHAnsi" w:hAnsiTheme="minorHAnsi"/>
          <w:sz w:val="20"/>
          <w:szCs w:val="20"/>
        </w:rPr>
        <w:tab/>
      </w:r>
    </w:p>
    <w:p w:rsidR="00914C1F" w:rsidRPr="002B5ADA" w:rsidRDefault="00914C1F" w:rsidP="002B5ADA">
      <w:pPr>
        <w:spacing w:after="60"/>
        <w:ind w:left="993" w:hanging="567"/>
        <w:rPr>
          <w:rFonts w:asciiTheme="minorHAnsi" w:hAnsiTheme="minorHAnsi"/>
          <w:sz w:val="20"/>
          <w:szCs w:val="20"/>
        </w:rPr>
      </w:pPr>
      <w:r w:rsidRPr="002B5ADA">
        <w:rPr>
          <w:rFonts w:asciiTheme="minorHAnsi" w:hAnsiTheme="minorHAnsi"/>
          <w:sz w:val="20"/>
          <w:szCs w:val="20"/>
        </w:rPr>
        <w:t>3.6</w:t>
      </w:r>
      <w:r w:rsidRPr="002B5ADA">
        <w:rPr>
          <w:rFonts w:asciiTheme="minorHAnsi" w:hAnsiTheme="minorHAnsi"/>
          <w:sz w:val="20"/>
          <w:szCs w:val="20"/>
        </w:rPr>
        <w:tab/>
        <w:t>Requirements for Solution Component Template</w:t>
      </w:r>
      <w:r w:rsidRPr="002B5ADA">
        <w:rPr>
          <w:rFonts w:asciiTheme="minorHAnsi" w:hAnsiTheme="minorHAnsi"/>
          <w:sz w:val="20"/>
          <w:szCs w:val="20"/>
        </w:rPr>
        <w:tab/>
      </w:r>
    </w:p>
    <w:p w:rsidR="00914C1F" w:rsidRPr="002B5ADA" w:rsidRDefault="00914C1F" w:rsidP="002B5ADA">
      <w:pPr>
        <w:spacing w:after="60"/>
        <w:ind w:left="993" w:hanging="567"/>
        <w:rPr>
          <w:rFonts w:asciiTheme="minorHAnsi" w:hAnsiTheme="minorHAnsi"/>
          <w:sz w:val="20"/>
          <w:szCs w:val="20"/>
        </w:rPr>
      </w:pPr>
      <w:r w:rsidRPr="002B5ADA">
        <w:rPr>
          <w:rFonts w:asciiTheme="minorHAnsi" w:hAnsiTheme="minorHAnsi"/>
          <w:sz w:val="20"/>
          <w:szCs w:val="20"/>
        </w:rPr>
        <w:t>3.7</w:t>
      </w:r>
      <w:r w:rsidRPr="002B5ADA">
        <w:rPr>
          <w:rFonts w:asciiTheme="minorHAnsi" w:hAnsiTheme="minorHAnsi"/>
          <w:sz w:val="20"/>
          <w:szCs w:val="20"/>
        </w:rPr>
        <w:tab/>
        <w:t>Requirements for Wholesale Product Template</w:t>
      </w:r>
      <w:r w:rsidRPr="002B5ADA">
        <w:rPr>
          <w:rFonts w:asciiTheme="minorHAnsi" w:hAnsiTheme="minorHAnsi"/>
          <w:sz w:val="20"/>
          <w:szCs w:val="20"/>
        </w:rPr>
        <w:tab/>
      </w:r>
    </w:p>
    <w:p w:rsidR="000238FA" w:rsidRPr="002B5ADA" w:rsidRDefault="00914C1F" w:rsidP="002B5ADA">
      <w:pPr>
        <w:spacing w:after="60"/>
        <w:ind w:left="993" w:hanging="567"/>
        <w:rPr>
          <w:rFonts w:asciiTheme="minorHAnsi" w:hAnsiTheme="minorHAnsi"/>
          <w:sz w:val="20"/>
          <w:szCs w:val="20"/>
        </w:rPr>
      </w:pPr>
      <w:r w:rsidRPr="002B5ADA">
        <w:rPr>
          <w:rFonts w:asciiTheme="minorHAnsi" w:hAnsiTheme="minorHAnsi"/>
          <w:sz w:val="20"/>
          <w:szCs w:val="20"/>
        </w:rPr>
        <w:t>3.8</w:t>
      </w:r>
      <w:r w:rsidRPr="002B5ADA">
        <w:rPr>
          <w:rFonts w:asciiTheme="minorHAnsi" w:hAnsiTheme="minorHAnsi"/>
          <w:sz w:val="20"/>
          <w:szCs w:val="20"/>
        </w:rPr>
        <w:tab/>
        <w:t xml:space="preserve">Requirements for Project Management Tabs </w:t>
      </w:r>
    </w:p>
    <w:p w:rsidR="000238FA" w:rsidRDefault="000238FA"/>
    <w:p w:rsidR="000238FA" w:rsidRPr="00914C1F" w:rsidRDefault="0069556A">
      <w:pPr>
        <w:rPr>
          <w:b/>
        </w:rPr>
      </w:pPr>
      <w:r w:rsidRPr="00914C1F">
        <w:rPr>
          <w:rFonts w:ascii="Calibri" w:eastAsia="Calibri" w:hAnsi="Calibri" w:cs="Calibri"/>
          <w:b/>
          <w:sz w:val="20"/>
          <w:szCs w:val="20"/>
        </w:rPr>
        <w:t>Appendix 1 – Project Model</w:t>
      </w:r>
    </w:p>
    <w:p w:rsidR="000238FA" w:rsidRPr="00914C1F" w:rsidRDefault="00484379">
      <w:pPr>
        <w:rPr>
          <w:b/>
        </w:rPr>
      </w:pPr>
      <w:r w:rsidRPr="00914C1F">
        <w:rPr>
          <w:rFonts w:ascii="Calibri" w:eastAsia="Calibri" w:hAnsi="Calibri" w:cs="Calibri"/>
          <w:b/>
          <w:sz w:val="20"/>
          <w:szCs w:val="20"/>
        </w:rPr>
        <w:t>Appendix 2 – Statement of Assurance</w:t>
      </w:r>
    </w:p>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484379">
      <w:r>
        <w:br w:type="page"/>
      </w:r>
    </w:p>
    <w:p w:rsidR="000238FA" w:rsidRDefault="00484379">
      <w:pPr>
        <w:keepNext/>
        <w:keepLines/>
        <w:numPr>
          <w:ilvl w:val="0"/>
          <w:numId w:val="8"/>
        </w:numPr>
        <w:spacing w:after="120" w:line="276" w:lineRule="auto"/>
        <w:ind w:hanging="432"/>
        <w:jc w:val="both"/>
        <w:rPr>
          <w:rFonts w:ascii="Calibri" w:eastAsia="Calibri" w:hAnsi="Calibri" w:cs="Calibri"/>
          <w:b/>
          <w:sz w:val="40"/>
          <w:szCs w:val="40"/>
        </w:rPr>
      </w:pPr>
      <w:bookmarkStart w:id="2" w:name="h.30j0zll" w:colFirst="0" w:colLast="0"/>
      <w:bookmarkEnd w:id="2"/>
      <w:r>
        <w:rPr>
          <w:rFonts w:ascii="Calibri" w:eastAsia="Calibri" w:hAnsi="Calibri" w:cs="Calibri"/>
          <w:b/>
          <w:sz w:val="40"/>
          <w:szCs w:val="40"/>
        </w:rPr>
        <w:lastRenderedPageBreak/>
        <w:t>Introduction</w:t>
      </w:r>
    </w:p>
    <w:p w:rsidR="000238FA" w:rsidRDefault="00484379">
      <w:pPr>
        <w:keepNext/>
        <w:keepLines/>
        <w:numPr>
          <w:ilvl w:val="1"/>
          <w:numId w:val="8"/>
        </w:numPr>
        <w:spacing w:before="360" w:after="120" w:line="276" w:lineRule="auto"/>
        <w:ind w:hanging="576"/>
        <w:jc w:val="both"/>
        <w:rPr>
          <w:rFonts w:ascii="Calibri" w:eastAsia="Calibri" w:hAnsi="Calibri" w:cs="Calibri"/>
          <w:b/>
          <w:sz w:val="32"/>
          <w:szCs w:val="32"/>
        </w:rPr>
      </w:pPr>
      <w:bookmarkStart w:id="3" w:name="h.1fob9te" w:colFirst="0" w:colLast="0"/>
      <w:bookmarkEnd w:id="3"/>
      <w:r>
        <w:rPr>
          <w:rFonts w:ascii="Calibri" w:eastAsia="Calibri" w:hAnsi="Calibri" w:cs="Calibri"/>
          <w:b/>
          <w:sz w:val="32"/>
          <w:szCs w:val="32"/>
        </w:rPr>
        <w:t>Purpose of this document</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 xml:space="preserve">This Part 4 of the ITT sets out instructions for Bidders regarding the submission of financial information as part of their Tender responses. </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 xml:space="preserve">This document should be read in conjunction with the Evaluation Strategy in </w:t>
      </w:r>
      <w:r w:rsidR="0069556A">
        <w:rPr>
          <w:rFonts w:ascii="Calibri" w:eastAsia="Calibri" w:hAnsi="Calibri" w:cs="Calibri"/>
          <w:sz w:val="22"/>
          <w:szCs w:val="22"/>
        </w:rPr>
        <w:t>Part 2</w:t>
      </w:r>
      <w:r>
        <w:rPr>
          <w:rFonts w:ascii="Calibri" w:eastAsia="Calibri" w:hAnsi="Calibri" w:cs="Calibri"/>
          <w:sz w:val="22"/>
          <w:szCs w:val="22"/>
        </w:rPr>
        <w:t xml:space="preserve"> Appendix </w:t>
      </w:r>
      <w:r w:rsidR="0069556A">
        <w:rPr>
          <w:rFonts w:ascii="Calibri" w:eastAsia="Calibri" w:hAnsi="Calibri" w:cs="Calibri"/>
          <w:sz w:val="22"/>
          <w:szCs w:val="22"/>
        </w:rPr>
        <w:t>1</w:t>
      </w:r>
      <w:r>
        <w:rPr>
          <w:rFonts w:ascii="Calibri" w:eastAsia="Calibri" w:hAnsi="Calibri" w:cs="Calibri"/>
        </w:rPr>
        <w:t>.</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 xml:space="preserve">Bidder </w:t>
      </w:r>
      <w:r w:rsidR="00D03292">
        <w:rPr>
          <w:rFonts w:ascii="Calibri" w:eastAsia="Calibri" w:hAnsi="Calibri" w:cs="Calibri"/>
          <w:sz w:val="22"/>
          <w:szCs w:val="22"/>
        </w:rPr>
        <w:t>must</w:t>
      </w:r>
      <w:r>
        <w:rPr>
          <w:rFonts w:ascii="Calibri" w:eastAsia="Calibri" w:hAnsi="Calibri" w:cs="Calibri"/>
          <w:sz w:val="22"/>
          <w:szCs w:val="22"/>
        </w:rPr>
        <w:t xml:space="preserve"> complete a Bid Project Model for each LOT for which it is submitting a response.</w:t>
      </w:r>
    </w:p>
    <w:p w:rsidR="000238FA" w:rsidRDefault="00484379">
      <w:pPr>
        <w:keepNext/>
        <w:keepLines/>
        <w:numPr>
          <w:ilvl w:val="1"/>
          <w:numId w:val="8"/>
        </w:numPr>
        <w:spacing w:before="360" w:after="120" w:line="276" w:lineRule="auto"/>
        <w:ind w:hanging="576"/>
        <w:jc w:val="both"/>
        <w:rPr>
          <w:rFonts w:ascii="Calibri" w:eastAsia="Calibri" w:hAnsi="Calibri" w:cs="Calibri"/>
          <w:b/>
          <w:sz w:val="32"/>
          <w:szCs w:val="32"/>
        </w:rPr>
      </w:pPr>
      <w:bookmarkStart w:id="4" w:name="h.3znysh7" w:colFirst="0" w:colLast="0"/>
      <w:bookmarkEnd w:id="4"/>
      <w:r>
        <w:rPr>
          <w:rFonts w:ascii="Calibri" w:eastAsia="Calibri" w:hAnsi="Calibri" w:cs="Calibri"/>
          <w:b/>
          <w:sz w:val="32"/>
          <w:szCs w:val="32"/>
        </w:rPr>
        <w:t>Objectives</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 xml:space="preserve">A Bid Project Model and financial information is required for this </w:t>
      </w:r>
      <w:r w:rsidR="00D152B4">
        <w:rPr>
          <w:rFonts w:ascii="Calibri" w:eastAsia="Calibri" w:hAnsi="Calibri" w:cs="Calibri"/>
          <w:sz w:val="22"/>
          <w:szCs w:val="22"/>
        </w:rPr>
        <w:t>ITT</w:t>
      </w:r>
      <w:r>
        <w:rPr>
          <w:rFonts w:ascii="Calibri" w:eastAsia="Calibri" w:hAnsi="Calibri" w:cs="Calibri"/>
          <w:sz w:val="22"/>
          <w:szCs w:val="22"/>
        </w:rPr>
        <w:t xml:space="preserve"> process, to achieve the following key objectives:</w:t>
      </w:r>
    </w:p>
    <w:p w:rsidR="00177A41" w:rsidRDefault="00177A41" w:rsidP="00177A41">
      <w:pPr>
        <w:numPr>
          <w:ilvl w:val="0"/>
          <w:numId w:val="9"/>
        </w:numPr>
        <w:spacing w:before="60" w:after="40" w:line="264" w:lineRule="auto"/>
        <w:ind w:hanging="360"/>
        <w:jc w:val="both"/>
        <w:rPr>
          <w:sz w:val="22"/>
          <w:szCs w:val="22"/>
        </w:rPr>
      </w:pPr>
      <w:bookmarkStart w:id="5" w:name="h.2et92p0" w:colFirst="0" w:colLast="0"/>
      <w:bookmarkEnd w:id="5"/>
      <w:r>
        <w:rPr>
          <w:rFonts w:ascii="Calibri" w:eastAsia="Calibri" w:hAnsi="Calibri" w:cs="Calibri"/>
          <w:sz w:val="22"/>
          <w:szCs w:val="22"/>
        </w:rPr>
        <w:t>To ensure that the Bid Project Model provides a solution that aligns with the grant funding available, as identified in Part 2 of this ITT.</w:t>
      </w:r>
    </w:p>
    <w:p w:rsidR="00177A41" w:rsidRPr="00177A41" w:rsidRDefault="00484379">
      <w:pPr>
        <w:numPr>
          <w:ilvl w:val="0"/>
          <w:numId w:val="9"/>
        </w:numPr>
        <w:spacing w:before="60" w:after="40" w:line="264" w:lineRule="auto"/>
        <w:ind w:hanging="360"/>
        <w:jc w:val="both"/>
        <w:rPr>
          <w:sz w:val="22"/>
          <w:szCs w:val="22"/>
        </w:rPr>
      </w:pPr>
      <w:r>
        <w:rPr>
          <w:rFonts w:ascii="Calibri" w:eastAsia="Calibri" w:hAnsi="Calibri" w:cs="Calibri"/>
          <w:sz w:val="22"/>
          <w:szCs w:val="22"/>
        </w:rPr>
        <w:t xml:space="preserve">To allow for evaluation of the </w:t>
      </w:r>
      <w:r w:rsidR="00D152B4">
        <w:rPr>
          <w:rFonts w:ascii="Calibri" w:eastAsia="Calibri" w:hAnsi="Calibri" w:cs="Calibri"/>
          <w:sz w:val="22"/>
          <w:szCs w:val="22"/>
        </w:rPr>
        <w:t xml:space="preserve">Bidder's </w:t>
      </w:r>
      <w:r>
        <w:rPr>
          <w:rFonts w:ascii="Calibri" w:eastAsia="Calibri" w:hAnsi="Calibri" w:cs="Calibri"/>
          <w:sz w:val="22"/>
          <w:szCs w:val="22"/>
        </w:rPr>
        <w:t>response</w:t>
      </w:r>
      <w:r w:rsidR="00D152B4">
        <w:rPr>
          <w:rFonts w:ascii="Calibri" w:eastAsia="Calibri" w:hAnsi="Calibri" w:cs="Calibri"/>
          <w:sz w:val="22"/>
          <w:szCs w:val="22"/>
        </w:rPr>
        <w:t>,</w:t>
      </w:r>
      <w:r>
        <w:rPr>
          <w:rFonts w:ascii="Calibri" w:eastAsia="Calibri" w:hAnsi="Calibri" w:cs="Calibri"/>
          <w:sz w:val="22"/>
          <w:szCs w:val="22"/>
        </w:rPr>
        <w:t xml:space="preserve"> in accordance with the Evaluation Strategy</w:t>
      </w:r>
      <w:r w:rsidR="00177A41">
        <w:rPr>
          <w:rFonts w:ascii="Calibri" w:eastAsia="Calibri" w:hAnsi="Calibri" w:cs="Calibri"/>
          <w:sz w:val="22"/>
          <w:szCs w:val="22"/>
        </w:rPr>
        <w:t>, including</w:t>
      </w:r>
    </w:p>
    <w:p w:rsidR="00177A41" w:rsidRPr="00177A41" w:rsidRDefault="00177A41" w:rsidP="00177A41">
      <w:pPr>
        <w:numPr>
          <w:ilvl w:val="1"/>
          <w:numId w:val="9"/>
        </w:numPr>
        <w:spacing w:before="60" w:after="40" w:line="264" w:lineRule="auto"/>
        <w:ind w:left="1985" w:hanging="425"/>
        <w:jc w:val="both"/>
        <w:rPr>
          <w:sz w:val="22"/>
          <w:szCs w:val="22"/>
        </w:rPr>
      </w:pPr>
      <w:r>
        <w:rPr>
          <w:rFonts w:ascii="Calibri" w:eastAsia="Calibri" w:hAnsi="Calibri" w:cs="Calibri"/>
          <w:sz w:val="22"/>
          <w:szCs w:val="22"/>
        </w:rPr>
        <w:t>Confirm the Bidder's costing, financial planning and funding arrangements, and to test the associated assumptions that they have made in their proposed Solution;</w:t>
      </w:r>
    </w:p>
    <w:p w:rsidR="000238FA" w:rsidRPr="00177A41" w:rsidRDefault="00177A41" w:rsidP="00177A41">
      <w:pPr>
        <w:numPr>
          <w:ilvl w:val="1"/>
          <w:numId w:val="9"/>
        </w:numPr>
        <w:spacing w:before="60" w:after="40" w:line="264" w:lineRule="auto"/>
        <w:ind w:left="1985" w:hanging="425"/>
        <w:jc w:val="both"/>
        <w:rPr>
          <w:sz w:val="22"/>
          <w:szCs w:val="22"/>
        </w:rPr>
      </w:pPr>
      <w:r>
        <w:rPr>
          <w:rFonts w:ascii="Calibri" w:eastAsia="Calibri" w:hAnsi="Calibri" w:cs="Calibri"/>
          <w:sz w:val="22"/>
          <w:szCs w:val="22"/>
        </w:rPr>
        <w:t>Enabling an assessment of the risk to the long-term commercial sustainability of the Bidder's proposed solution through sensitivity analysis;</w:t>
      </w:r>
    </w:p>
    <w:p w:rsidR="00BB61C5" w:rsidRPr="00BB61C5" w:rsidRDefault="00484379">
      <w:pPr>
        <w:numPr>
          <w:ilvl w:val="0"/>
          <w:numId w:val="9"/>
        </w:numPr>
        <w:spacing w:before="60" w:after="40" w:line="264" w:lineRule="auto"/>
        <w:ind w:hanging="360"/>
        <w:jc w:val="both"/>
        <w:rPr>
          <w:sz w:val="22"/>
          <w:szCs w:val="22"/>
        </w:rPr>
      </w:pPr>
      <w:r>
        <w:rPr>
          <w:rFonts w:ascii="Calibri" w:eastAsia="Calibri" w:hAnsi="Calibri" w:cs="Calibri"/>
          <w:sz w:val="22"/>
          <w:szCs w:val="22"/>
        </w:rPr>
        <w:t xml:space="preserve">To form the ‘Project Model’ on award of the Contract, which will </w:t>
      </w:r>
      <w:r w:rsidR="00BB61C5">
        <w:rPr>
          <w:rFonts w:ascii="Calibri" w:eastAsia="Calibri" w:hAnsi="Calibri" w:cs="Calibri"/>
          <w:sz w:val="22"/>
          <w:szCs w:val="22"/>
        </w:rPr>
        <w:t>(amongst other purposes)</w:t>
      </w:r>
      <w:r w:rsidR="00177A41">
        <w:rPr>
          <w:rFonts w:ascii="Calibri" w:eastAsia="Calibri" w:hAnsi="Calibri" w:cs="Calibri"/>
          <w:sz w:val="22"/>
          <w:szCs w:val="22"/>
        </w:rPr>
        <w:t xml:space="preserve"> enable</w:t>
      </w:r>
      <w:r w:rsidR="00BB61C5">
        <w:rPr>
          <w:rFonts w:ascii="Calibri" w:eastAsia="Calibri" w:hAnsi="Calibri" w:cs="Calibri"/>
          <w:sz w:val="22"/>
          <w:szCs w:val="22"/>
        </w:rPr>
        <w:t>:</w:t>
      </w:r>
    </w:p>
    <w:p w:rsidR="000238FA" w:rsidRDefault="00177A41" w:rsidP="00BB61C5">
      <w:pPr>
        <w:numPr>
          <w:ilvl w:val="1"/>
          <w:numId w:val="9"/>
        </w:numPr>
        <w:spacing w:before="60" w:after="40" w:line="264" w:lineRule="auto"/>
        <w:ind w:left="1985" w:hanging="425"/>
        <w:jc w:val="both"/>
        <w:rPr>
          <w:sz w:val="22"/>
          <w:szCs w:val="22"/>
        </w:rPr>
      </w:pPr>
      <w:r>
        <w:rPr>
          <w:rFonts w:ascii="Calibri" w:eastAsia="Calibri" w:hAnsi="Calibri" w:cs="Calibri"/>
          <w:sz w:val="22"/>
          <w:szCs w:val="22"/>
        </w:rPr>
        <w:t>M</w:t>
      </w:r>
      <w:r w:rsidR="00484379">
        <w:rPr>
          <w:rFonts w:ascii="Calibri" w:eastAsia="Calibri" w:hAnsi="Calibri" w:cs="Calibri"/>
          <w:sz w:val="22"/>
          <w:szCs w:val="22"/>
        </w:rPr>
        <w:t>onitor</w:t>
      </w:r>
      <w:r>
        <w:rPr>
          <w:rFonts w:ascii="Calibri" w:eastAsia="Calibri" w:hAnsi="Calibri" w:cs="Calibri"/>
          <w:sz w:val="22"/>
          <w:szCs w:val="22"/>
        </w:rPr>
        <w:t>ing</w:t>
      </w:r>
      <w:r w:rsidR="00484379">
        <w:rPr>
          <w:rFonts w:ascii="Calibri" w:eastAsia="Calibri" w:hAnsi="Calibri" w:cs="Calibri"/>
          <w:sz w:val="22"/>
          <w:szCs w:val="22"/>
        </w:rPr>
        <w:t xml:space="preserve"> against actual performance and allow assessment when using the Change Control Procedure under the Contract</w:t>
      </w:r>
      <w:r>
        <w:rPr>
          <w:rFonts w:ascii="Calibri" w:eastAsia="Calibri" w:hAnsi="Calibri" w:cs="Calibri"/>
          <w:sz w:val="22"/>
          <w:szCs w:val="22"/>
        </w:rPr>
        <w:t>;</w:t>
      </w:r>
    </w:p>
    <w:p w:rsidR="000238FA" w:rsidRDefault="00177A41" w:rsidP="00177A41">
      <w:pPr>
        <w:numPr>
          <w:ilvl w:val="1"/>
          <w:numId w:val="9"/>
        </w:numPr>
        <w:spacing w:before="60" w:after="40" w:line="264" w:lineRule="auto"/>
        <w:ind w:left="1985" w:hanging="425"/>
        <w:jc w:val="both"/>
        <w:rPr>
          <w:sz w:val="22"/>
          <w:szCs w:val="22"/>
        </w:rPr>
      </w:pPr>
      <w:r>
        <w:rPr>
          <w:rFonts w:ascii="Calibri" w:eastAsia="Calibri" w:hAnsi="Calibri" w:cs="Calibri"/>
          <w:sz w:val="22"/>
          <w:szCs w:val="22"/>
        </w:rPr>
        <w:t>Determining</w:t>
      </w:r>
      <w:r w:rsidR="00484379">
        <w:rPr>
          <w:rFonts w:ascii="Calibri" w:eastAsia="Calibri" w:hAnsi="Calibri" w:cs="Calibri"/>
          <w:sz w:val="22"/>
          <w:szCs w:val="22"/>
        </w:rPr>
        <w:t xml:space="preserve"> whether excess subsidy has been paid during the </w:t>
      </w:r>
      <w:r>
        <w:rPr>
          <w:rFonts w:ascii="Calibri" w:eastAsia="Calibri" w:hAnsi="Calibri" w:cs="Calibri"/>
          <w:sz w:val="22"/>
          <w:szCs w:val="22"/>
        </w:rPr>
        <w:t>C</w:t>
      </w:r>
      <w:r w:rsidR="00484379">
        <w:rPr>
          <w:rFonts w:ascii="Calibri" w:eastAsia="Calibri" w:hAnsi="Calibri" w:cs="Calibri"/>
          <w:sz w:val="22"/>
          <w:szCs w:val="22"/>
        </w:rPr>
        <w:t xml:space="preserve">ontract period (i.e. to assist potential claw-back procedures - as required to meet State Aid </w:t>
      </w:r>
      <w:r>
        <w:rPr>
          <w:rFonts w:ascii="Calibri" w:eastAsia="Calibri" w:hAnsi="Calibri" w:cs="Calibri"/>
          <w:sz w:val="22"/>
          <w:szCs w:val="22"/>
        </w:rPr>
        <w:t>requirements</w:t>
      </w:r>
      <w:r w:rsidR="00484379">
        <w:rPr>
          <w:rFonts w:ascii="Calibri" w:eastAsia="Calibri" w:hAnsi="Calibri" w:cs="Calibri"/>
          <w:sz w:val="22"/>
          <w:szCs w:val="22"/>
        </w:rPr>
        <w:t>)</w:t>
      </w:r>
      <w:r>
        <w:rPr>
          <w:rFonts w:ascii="Calibri" w:eastAsia="Calibri" w:hAnsi="Calibri" w:cs="Calibri"/>
          <w:sz w:val="22"/>
          <w:szCs w:val="22"/>
        </w:rPr>
        <w:t>.</w:t>
      </w:r>
    </w:p>
    <w:p w:rsidR="000238FA" w:rsidRDefault="00484379">
      <w:pPr>
        <w:keepNext/>
        <w:keepLines/>
        <w:numPr>
          <w:ilvl w:val="1"/>
          <w:numId w:val="8"/>
        </w:numPr>
        <w:spacing w:before="360" w:after="120" w:line="276" w:lineRule="auto"/>
        <w:ind w:hanging="576"/>
        <w:jc w:val="both"/>
        <w:rPr>
          <w:rFonts w:ascii="Calibri" w:eastAsia="Calibri" w:hAnsi="Calibri" w:cs="Calibri"/>
          <w:b/>
          <w:sz w:val="32"/>
          <w:szCs w:val="32"/>
        </w:rPr>
      </w:pPr>
      <w:bookmarkStart w:id="6" w:name="h.tyjcwt" w:colFirst="0" w:colLast="0"/>
      <w:bookmarkEnd w:id="6"/>
      <w:r>
        <w:rPr>
          <w:rFonts w:ascii="Calibri" w:eastAsia="Calibri" w:hAnsi="Calibri" w:cs="Calibri"/>
          <w:b/>
          <w:sz w:val="32"/>
          <w:szCs w:val="32"/>
        </w:rPr>
        <w:t>Structure of this document</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 xml:space="preserve">This </w:t>
      </w:r>
      <w:r w:rsidR="00AA3CDF">
        <w:rPr>
          <w:rFonts w:ascii="Calibri" w:eastAsia="Calibri" w:hAnsi="Calibri" w:cs="Calibri"/>
          <w:sz w:val="22"/>
          <w:szCs w:val="22"/>
        </w:rPr>
        <w:t xml:space="preserve">Part 3 </w:t>
      </w:r>
      <w:r>
        <w:rPr>
          <w:rFonts w:ascii="Calibri" w:eastAsia="Calibri" w:hAnsi="Calibri" w:cs="Calibri"/>
          <w:sz w:val="22"/>
          <w:szCs w:val="22"/>
        </w:rPr>
        <w:t>document is structured as follows:</w:t>
      </w:r>
    </w:p>
    <w:p w:rsidR="000238FA" w:rsidRDefault="00484379">
      <w:pPr>
        <w:numPr>
          <w:ilvl w:val="0"/>
          <w:numId w:val="1"/>
        </w:numPr>
        <w:spacing w:before="60" w:after="40" w:line="264" w:lineRule="auto"/>
        <w:ind w:hanging="360"/>
        <w:jc w:val="both"/>
        <w:rPr>
          <w:b/>
          <w:i/>
          <w:sz w:val="22"/>
          <w:szCs w:val="22"/>
        </w:rPr>
      </w:pPr>
      <w:r>
        <w:rPr>
          <w:rFonts w:ascii="Calibri" w:eastAsia="Calibri" w:hAnsi="Calibri" w:cs="Calibri"/>
          <w:sz w:val="22"/>
          <w:szCs w:val="22"/>
        </w:rPr>
        <w:t>Section 1 introduces this document and provides the relevant context for the financial information required</w:t>
      </w:r>
    </w:p>
    <w:p w:rsidR="000238FA" w:rsidRDefault="00484379">
      <w:pPr>
        <w:numPr>
          <w:ilvl w:val="0"/>
          <w:numId w:val="1"/>
        </w:numPr>
        <w:spacing w:before="60" w:after="40" w:line="264" w:lineRule="auto"/>
        <w:ind w:hanging="360"/>
        <w:jc w:val="both"/>
        <w:rPr>
          <w:b/>
          <w:i/>
          <w:sz w:val="22"/>
          <w:szCs w:val="22"/>
        </w:rPr>
      </w:pPr>
      <w:r>
        <w:rPr>
          <w:rFonts w:ascii="Calibri" w:eastAsia="Calibri" w:hAnsi="Calibri" w:cs="Calibri"/>
          <w:sz w:val="22"/>
          <w:szCs w:val="22"/>
        </w:rPr>
        <w:t>Section 2 sets out the status and role of the Bid Project Model required in the bid process</w:t>
      </w:r>
    </w:p>
    <w:p w:rsidR="000238FA" w:rsidRDefault="00484379" w:rsidP="00AA3CDF">
      <w:pPr>
        <w:numPr>
          <w:ilvl w:val="0"/>
          <w:numId w:val="1"/>
        </w:numPr>
        <w:spacing w:before="60" w:after="40" w:line="264" w:lineRule="auto"/>
        <w:ind w:hanging="360"/>
        <w:jc w:val="both"/>
      </w:pPr>
      <w:r w:rsidRPr="00AA3CDF">
        <w:rPr>
          <w:rFonts w:ascii="Calibri" w:eastAsia="Calibri" w:hAnsi="Calibri" w:cs="Calibri"/>
          <w:sz w:val="22"/>
          <w:szCs w:val="22"/>
        </w:rPr>
        <w:t>Section 3 describes the Bid Project Model requirements</w:t>
      </w:r>
      <w:r>
        <w:br w:type="page"/>
      </w:r>
    </w:p>
    <w:p w:rsidR="000238FA" w:rsidRDefault="00484379">
      <w:pPr>
        <w:keepNext/>
        <w:keepLines/>
        <w:numPr>
          <w:ilvl w:val="0"/>
          <w:numId w:val="8"/>
        </w:numPr>
        <w:spacing w:after="120" w:line="276" w:lineRule="auto"/>
        <w:ind w:hanging="432"/>
        <w:jc w:val="both"/>
        <w:rPr>
          <w:rFonts w:ascii="Calibri" w:eastAsia="Calibri" w:hAnsi="Calibri" w:cs="Calibri"/>
          <w:b/>
          <w:sz w:val="40"/>
          <w:szCs w:val="40"/>
        </w:rPr>
      </w:pPr>
      <w:bookmarkStart w:id="7" w:name="h.3dy6vkm" w:colFirst="0" w:colLast="0"/>
      <w:bookmarkEnd w:id="7"/>
      <w:r>
        <w:rPr>
          <w:rFonts w:ascii="Calibri" w:eastAsia="Calibri" w:hAnsi="Calibri" w:cs="Calibri"/>
          <w:b/>
          <w:sz w:val="40"/>
          <w:szCs w:val="40"/>
        </w:rPr>
        <w:lastRenderedPageBreak/>
        <w:t>Bid Model Process</w:t>
      </w:r>
    </w:p>
    <w:p w:rsidR="000238FA" w:rsidRDefault="00484379">
      <w:pPr>
        <w:keepNext/>
        <w:keepLines/>
        <w:numPr>
          <w:ilvl w:val="1"/>
          <w:numId w:val="8"/>
        </w:numPr>
        <w:spacing w:before="360" w:after="120" w:line="276" w:lineRule="auto"/>
        <w:ind w:hanging="576"/>
        <w:jc w:val="both"/>
        <w:rPr>
          <w:rFonts w:ascii="Calibri" w:eastAsia="Calibri" w:hAnsi="Calibri" w:cs="Calibri"/>
          <w:b/>
          <w:sz w:val="32"/>
          <w:szCs w:val="32"/>
        </w:rPr>
      </w:pPr>
      <w:bookmarkStart w:id="8" w:name="h.1t3h5sf" w:colFirst="0" w:colLast="0"/>
      <w:bookmarkEnd w:id="8"/>
      <w:r>
        <w:rPr>
          <w:rFonts w:ascii="Calibri" w:eastAsia="Calibri" w:hAnsi="Calibri" w:cs="Calibri"/>
          <w:b/>
          <w:sz w:val="32"/>
          <w:szCs w:val="32"/>
        </w:rPr>
        <w:t>Introduction</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 xml:space="preserve">This section outlines the processes for </w:t>
      </w:r>
      <w:r w:rsidR="00AA3CDF">
        <w:rPr>
          <w:rFonts w:ascii="Calibri" w:eastAsia="Calibri" w:hAnsi="Calibri" w:cs="Calibri"/>
          <w:sz w:val="22"/>
          <w:szCs w:val="22"/>
        </w:rPr>
        <w:t xml:space="preserve">Bidder </w:t>
      </w:r>
      <w:r>
        <w:rPr>
          <w:rFonts w:ascii="Calibri" w:eastAsia="Calibri" w:hAnsi="Calibri" w:cs="Calibri"/>
          <w:sz w:val="22"/>
          <w:szCs w:val="22"/>
        </w:rPr>
        <w:t>submission of financial information</w:t>
      </w:r>
      <w:r w:rsidR="00AA3CDF">
        <w:rPr>
          <w:rFonts w:ascii="Calibri" w:eastAsia="Calibri" w:hAnsi="Calibri" w:cs="Calibri"/>
          <w:sz w:val="22"/>
          <w:szCs w:val="22"/>
        </w:rPr>
        <w:t xml:space="preserve"> as part of its Tender Response</w:t>
      </w:r>
      <w:r>
        <w:rPr>
          <w:rFonts w:ascii="Calibri" w:eastAsia="Calibri" w:hAnsi="Calibri" w:cs="Calibri"/>
          <w:sz w:val="22"/>
          <w:szCs w:val="22"/>
        </w:rPr>
        <w:t>.</w:t>
      </w:r>
    </w:p>
    <w:p w:rsidR="000238FA" w:rsidRDefault="00484379">
      <w:pPr>
        <w:keepNext/>
        <w:keepLines/>
        <w:numPr>
          <w:ilvl w:val="1"/>
          <w:numId w:val="8"/>
        </w:numPr>
        <w:spacing w:before="360" w:after="120" w:line="276" w:lineRule="auto"/>
        <w:ind w:hanging="576"/>
        <w:jc w:val="both"/>
        <w:rPr>
          <w:rFonts w:ascii="Calibri" w:eastAsia="Calibri" w:hAnsi="Calibri" w:cs="Calibri"/>
          <w:b/>
          <w:sz w:val="32"/>
          <w:szCs w:val="32"/>
        </w:rPr>
      </w:pPr>
      <w:bookmarkStart w:id="9" w:name="h.4d34og8" w:colFirst="0" w:colLast="0"/>
      <w:bookmarkEnd w:id="9"/>
      <w:r>
        <w:rPr>
          <w:rFonts w:ascii="Calibri" w:eastAsia="Calibri" w:hAnsi="Calibri" w:cs="Calibri"/>
          <w:b/>
          <w:sz w:val="32"/>
          <w:szCs w:val="32"/>
        </w:rPr>
        <w:t>Description</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 xml:space="preserve">Financial information </w:t>
      </w:r>
      <w:r w:rsidR="00D03292">
        <w:rPr>
          <w:rFonts w:ascii="Calibri" w:eastAsia="Calibri" w:hAnsi="Calibri" w:cs="Calibri"/>
          <w:b/>
          <w:i/>
          <w:sz w:val="22"/>
          <w:szCs w:val="22"/>
        </w:rPr>
        <w:t>must</w:t>
      </w:r>
      <w:r>
        <w:rPr>
          <w:rFonts w:ascii="Calibri" w:eastAsia="Calibri" w:hAnsi="Calibri" w:cs="Calibri"/>
          <w:sz w:val="22"/>
          <w:szCs w:val="22"/>
        </w:rPr>
        <w:t xml:space="preserve"> be submitted by each Bidder in accordance with the overall procurement timetable. The </w:t>
      </w:r>
      <w:r w:rsidR="00AA3CDF">
        <w:rPr>
          <w:rFonts w:ascii="Calibri" w:eastAsia="Calibri" w:hAnsi="Calibri" w:cs="Calibri"/>
          <w:sz w:val="22"/>
          <w:szCs w:val="22"/>
        </w:rPr>
        <w:t>e</w:t>
      </w:r>
      <w:r>
        <w:rPr>
          <w:rFonts w:ascii="Calibri" w:eastAsia="Calibri" w:hAnsi="Calibri" w:cs="Calibri"/>
          <w:sz w:val="22"/>
          <w:szCs w:val="22"/>
        </w:rPr>
        <w:t>valuation process includes a direct cross reference of the Bid Project Model with the "operational data" supplied in the Speed and Coverage Template for consistency and for Value For Money.</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 xml:space="preserve">The Authority will hold a face-to-face guidance session, including discussions around the completion of the Bid Project Model. Alternatively, the Authority will answer any specific clarification questions in relation to the Project Model if they are submitted as formal questions during this </w:t>
      </w:r>
      <w:r w:rsidR="00AA3CDF">
        <w:rPr>
          <w:rFonts w:ascii="Calibri" w:eastAsia="Calibri" w:hAnsi="Calibri" w:cs="Calibri"/>
          <w:sz w:val="22"/>
          <w:szCs w:val="22"/>
        </w:rPr>
        <w:t xml:space="preserve">ITT </w:t>
      </w:r>
      <w:r>
        <w:rPr>
          <w:rFonts w:ascii="Calibri" w:eastAsia="Calibri" w:hAnsi="Calibri" w:cs="Calibri"/>
          <w:sz w:val="22"/>
          <w:szCs w:val="22"/>
        </w:rPr>
        <w:t xml:space="preserve">process </w:t>
      </w:r>
      <w:r w:rsidR="00AA3CDF">
        <w:rPr>
          <w:rFonts w:ascii="Calibri" w:eastAsia="Calibri" w:hAnsi="Calibri" w:cs="Calibri"/>
          <w:sz w:val="22"/>
          <w:szCs w:val="22"/>
        </w:rPr>
        <w:t>in accordance with</w:t>
      </w:r>
      <w:r>
        <w:rPr>
          <w:rFonts w:ascii="Calibri" w:eastAsia="Calibri" w:hAnsi="Calibri" w:cs="Calibri"/>
          <w:sz w:val="22"/>
          <w:szCs w:val="22"/>
        </w:rPr>
        <w:t xml:space="preserve"> Part 1 of this ITT. </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Should a Bidder be successful in being awarded the tendered Contract, then the Bid Project Model will become the "Project Model” under th</w:t>
      </w:r>
      <w:r w:rsidR="00B70AD0">
        <w:rPr>
          <w:rFonts w:ascii="Calibri" w:eastAsia="Calibri" w:hAnsi="Calibri" w:cs="Calibri"/>
          <w:sz w:val="22"/>
          <w:szCs w:val="22"/>
        </w:rPr>
        <w:t>at</w:t>
      </w:r>
      <w:r>
        <w:rPr>
          <w:rFonts w:ascii="Calibri" w:eastAsia="Calibri" w:hAnsi="Calibri" w:cs="Calibri"/>
          <w:sz w:val="22"/>
          <w:szCs w:val="22"/>
        </w:rPr>
        <w:t xml:space="preserve"> Contract. This Bid Project Model will be subject to contractual change control (</w:t>
      </w:r>
      <w:r w:rsidR="00B70AD0">
        <w:rPr>
          <w:rFonts w:ascii="Calibri" w:eastAsia="Calibri" w:hAnsi="Calibri" w:cs="Calibri"/>
          <w:sz w:val="22"/>
          <w:szCs w:val="22"/>
        </w:rPr>
        <w:t xml:space="preserve">see </w:t>
      </w:r>
      <w:r>
        <w:rPr>
          <w:rFonts w:ascii="Calibri" w:eastAsia="Calibri" w:hAnsi="Calibri" w:cs="Calibri"/>
          <w:sz w:val="22"/>
          <w:szCs w:val="22"/>
        </w:rPr>
        <w:t>Schedule 6.2) under the Contract.</w:t>
      </w:r>
    </w:p>
    <w:p w:rsidR="000238FA" w:rsidRDefault="000238FA">
      <w:pPr>
        <w:tabs>
          <w:tab w:val="left" w:pos="864"/>
        </w:tabs>
        <w:spacing w:after="120" w:line="264" w:lineRule="auto"/>
        <w:jc w:val="both"/>
      </w:pPr>
    </w:p>
    <w:p w:rsidR="000238FA" w:rsidRDefault="00484379">
      <w:pPr>
        <w:tabs>
          <w:tab w:val="left" w:pos="864"/>
        </w:tabs>
        <w:spacing w:after="120" w:line="264" w:lineRule="auto"/>
        <w:ind w:left="840"/>
        <w:jc w:val="both"/>
      </w:pPr>
      <w:r>
        <w:rPr>
          <w:rFonts w:ascii="Calibri" w:eastAsia="Calibri" w:hAnsi="Calibri" w:cs="Calibri"/>
          <w:sz w:val="22"/>
          <w:szCs w:val="22"/>
        </w:rPr>
        <w:t xml:space="preserve"> </w:t>
      </w:r>
    </w:p>
    <w:p w:rsidR="000238FA" w:rsidRDefault="00484379">
      <w:r>
        <w:br w:type="page"/>
      </w:r>
    </w:p>
    <w:p w:rsidR="000238FA" w:rsidRDefault="00484379">
      <w:pPr>
        <w:keepNext/>
        <w:keepLines/>
        <w:numPr>
          <w:ilvl w:val="0"/>
          <w:numId w:val="8"/>
        </w:numPr>
        <w:spacing w:line="276" w:lineRule="auto"/>
        <w:ind w:left="431" w:hanging="431"/>
        <w:jc w:val="both"/>
        <w:rPr>
          <w:rFonts w:ascii="Calibri" w:eastAsia="Calibri" w:hAnsi="Calibri" w:cs="Calibri"/>
          <w:b/>
          <w:sz w:val="40"/>
          <w:szCs w:val="40"/>
        </w:rPr>
      </w:pPr>
      <w:bookmarkStart w:id="10" w:name="h.2s8eyo1" w:colFirst="0" w:colLast="0"/>
      <w:bookmarkEnd w:id="10"/>
      <w:r>
        <w:rPr>
          <w:rFonts w:ascii="Calibri" w:eastAsia="Calibri" w:hAnsi="Calibri" w:cs="Calibri"/>
          <w:b/>
          <w:sz w:val="40"/>
          <w:szCs w:val="40"/>
        </w:rPr>
        <w:lastRenderedPageBreak/>
        <w:t>Project Model Requirements</w:t>
      </w:r>
    </w:p>
    <w:p w:rsidR="000238FA" w:rsidRDefault="00484379">
      <w:pPr>
        <w:keepNext/>
        <w:keepLines/>
        <w:numPr>
          <w:ilvl w:val="1"/>
          <w:numId w:val="8"/>
        </w:numPr>
        <w:spacing w:before="240" w:after="120" w:line="276" w:lineRule="auto"/>
        <w:ind w:left="578" w:hanging="578"/>
        <w:jc w:val="both"/>
        <w:rPr>
          <w:rFonts w:ascii="Calibri" w:eastAsia="Calibri" w:hAnsi="Calibri" w:cs="Calibri"/>
          <w:b/>
          <w:sz w:val="32"/>
          <w:szCs w:val="32"/>
        </w:rPr>
      </w:pPr>
      <w:bookmarkStart w:id="11" w:name="h.17dp8vu" w:colFirst="0" w:colLast="0"/>
      <w:bookmarkEnd w:id="11"/>
      <w:r>
        <w:rPr>
          <w:rFonts w:ascii="Calibri" w:eastAsia="Calibri" w:hAnsi="Calibri" w:cs="Calibri"/>
          <w:b/>
          <w:sz w:val="32"/>
          <w:szCs w:val="32"/>
        </w:rPr>
        <w:t>Introduction</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 xml:space="preserve">The Bidder </w:t>
      </w:r>
      <w:r w:rsidR="00D03292">
        <w:rPr>
          <w:rFonts w:ascii="Calibri" w:eastAsia="Calibri" w:hAnsi="Calibri" w:cs="Calibri"/>
          <w:b/>
          <w:i/>
          <w:sz w:val="22"/>
          <w:szCs w:val="22"/>
        </w:rPr>
        <w:t>must</w:t>
      </w:r>
      <w:r>
        <w:rPr>
          <w:rFonts w:ascii="Calibri" w:eastAsia="Calibri" w:hAnsi="Calibri" w:cs="Calibri"/>
          <w:sz w:val="22"/>
          <w:szCs w:val="22"/>
        </w:rPr>
        <w:t xml:space="preserve"> submit financial information to support its proposed </w:t>
      </w:r>
      <w:r w:rsidR="00B70AD0">
        <w:rPr>
          <w:rFonts w:ascii="Calibri" w:eastAsia="Calibri" w:hAnsi="Calibri" w:cs="Calibri"/>
          <w:sz w:val="22"/>
          <w:szCs w:val="22"/>
        </w:rPr>
        <w:t>t</w:t>
      </w:r>
      <w:r>
        <w:rPr>
          <w:rFonts w:ascii="Calibri" w:eastAsia="Calibri" w:hAnsi="Calibri" w:cs="Calibri"/>
          <w:sz w:val="22"/>
          <w:szCs w:val="22"/>
        </w:rPr>
        <w:t>ender solution, as set out in this section.</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 xml:space="preserve">This Bid Project Model </w:t>
      </w:r>
      <w:r w:rsidR="00D03292">
        <w:rPr>
          <w:rFonts w:ascii="Calibri" w:eastAsia="Calibri" w:hAnsi="Calibri" w:cs="Calibri"/>
          <w:b/>
          <w:i/>
          <w:sz w:val="22"/>
          <w:szCs w:val="22"/>
        </w:rPr>
        <w:t>must</w:t>
      </w:r>
      <w:r>
        <w:rPr>
          <w:rFonts w:ascii="Calibri" w:eastAsia="Calibri" w:hAnsi="Calibri" w:cs="Calibri"/>
          <w:sz w:val="22"/>
          <w:szCs w:val="22"/>
        </w:rPr>
        <w:t xml:space="preserve"> show the Bidder's </w:t>
      </w:r>
      <w:r w:rsidR="00C3438B">
        <w:rPr>
          <w:rFonts w:ascii="Calibri" w:eastAsia="Calibri" w:hAnsi="Calibri" w:cs="Calibri"/>
          <w:sz w:val="22"/>
          <w:szCs w:val="22"/>
        </w:rPr>
        <w:t>forecasts</w:t>
      </w:r>
      <w:r>
        <w:rPr>
          <w:rFonts w:ascii="Calibri" w:eastAsia="Calibri" w:hAnsi="Calibri" w:cs="Calibri"/>
          <w:sz w:val="22"/>
          <w:szCs w:val="22"/>
        </w:rPr>
        <w:t xml:space="preserve"> for </w:t>
      </w:r>
      <w:r w:rsidR="00C3438B">
        <w:rPr>
          <w:rFonts w:ascii="Calibri" w:eastAsia="Calibri" w:hAnsi="Calibri" w:cs="Calibri"/>
          <w:sz w:val="22"/>
          <w:szCs w:val="22"/>
        </w:rPr>
        <w:t>its proposed</w:t>
      </w:r>
      <w:r>
        <w:rPr>
          <w:rFonts w:ascii="Calibri" w:eastAsia="Calibri" w:hAnsi="Calibri" w:cs="Calibri"/>
          <w:sz w:val="22"/>
          <w:szCs w:val="22"/>
        </w:rPr>
        <w:t xml:space="preserve"> solution, and will be given contractual status for the selected Supplier (the Bid Project Model becomes the Project Model at contract signature).</w:t>
      </w:r>
    </w:p>
    <w:p w:rsidR="000238FA" w:rsidRDefault="00484379">
      <w:pPr>
        <w:keepNext/>
        <w:keepLines/>
        <w:numPr>
          <w:ilvl w:val="1"/>
          <w:numId w:val="8"/>
        </w:numPr>
        <w:spacing w:before="360" w:after="120" w:line="276" w:lineRule="auto"/>
        <w:ind w:hanging="576"/>
        <w:jc w:val="both"/>
        <w:rPr>
          <w:rFonts w:ascii="Calibri" w:eastAsia="Calibri" w:hAnsi="Calibri" w:cs="Calibri"/>
          <w:b/>
          <w:sz w:val="32"/>
          <w:szCs w:val="32"/>
        </w:rPr>
      </w:pPr>
      <w:bookmarkStart w:id="12" w:name="h.3rdcrjn" w:colFirst="0" w:colLast="0"/>
      <w:bookmarkEnd w:id="12"/>
      <w:r>
        <w:rPr>
          <w:rFonts w:ascii="Calibri" w:eastAsia="Calibri" w:hAnsi="Calibri" w:cs="Calibri"/>
          <w:b/>
          <w:sz w:val="32"/>
          <w:szCs w:val="32"/>
        </w:rPr>
        <w:t>Required levels of model input detail</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 xml:space="preserve">The Bidder </w:t>
      </w:r>
      <w:r w:rsidR="00D03292">
        <w:rPr>
          <w:rFonts w:ascii="Calibri" w:eastAsia="Calibri" w:hAnsi="Calibri" w:cs="Calibri"/>
          <w:b/>
          <w:i/>
          <w:sz w:val="22"/>
          <w:szCs w:val="22"/>
        </w:rPr>
        <w:t>must</w:t>
      </w:r>
      <w:r>
        <w:rPr>
          <w:rFonts w:ascii="Calibri" w:eastAsia="Calibri" w:hAnsi="Calibri" w:cs="Calibri"/>
          <w:sz w:val="22"/>
          <w:szCs w:val="22"/>
        </w:rPr>
        <w:t xml:space="preserve"> complete the Bid Project Model with sufficient granularity to enable the Authority to:</w:t>
      </w:r>
    </w:p>
    <w:p w:rsidR="000238FA" w:rsidRDefault="00484379">
      <w:pPr>
        <w:numPr>
          <w:ilvl w:val="0"/>
          <w:numId w:val="10"/>
        </w:numPr>
        <w:spacing w:before="60" w:after="40" w:line="264" w:lineRule="auto"/>
        <w:ind w:hanging="360"/>
        <w:jc w:val="both"/>
        <w:rPr>
          <w:sz w:val="22"/>
          <w:szCs w:val="22"/>
        </w:rPr>
      </w:pPr>
      <w:r>
        <w:rPr>
          <w:rFonts w:ascii="Calibri" w:eastAsia="Calibri" w:hAnsi="Calibri" w:cs="Calibri"/>
          <w:sz w:val="22"/>
          <w:szCs w:val="22"/>
        </w:rPr>
        <w:t>Understand key cost drivers and their cost behaviours.</w:t>
      </w:r>
    </w:p>
    <w:p w:rsidR="000238FA" w:rsidRDefault="00484379">
      <w:pPr>
        <w:numPr>
          <w:ilvl w:val="0"/>
          <w:numId w:val="10"/>
        </w:numPr>
        <w:spacing w:before="60" w:after="40" w:line="264" w:lineRule="auto"/>
        <w:ind w:hanging="360"/>
        <w:jc w:val="both"/>
        <w:rPr>
          <w:sz w:val="22"/>
          <w:szCs w:val="22"/>
        </w:rPr>
      </w:pPr>
      <w:r>
        <w:rPr>
          <w:rFonts w:ascii="Calibri" w:eastAsia="Calibri" w:hAnsi="Calibri" w:cs="Calibri"/>
          <w:sz w:val="22"/>
          <w:szCs w:val="22"/>
        </w:rPr>
        <w:t>Validate forecast take-up assumptions against implementation milestones and marketing plans.</w:t>
      </w:r>
    </w:p>
    <w:p w:rsidR="000238FA" w:rsidRDefault="00484379">
      <w:pPr>
        <w:numPr>
          <w:ilvl w:val="0"/>
          <w:numId w:val="10"/>
        </w:numPr>
        <w:spacing w:before="60" w:after="40" w:line="264" w:lineRule="auto"/>
        <w:ind w:hanging="360"/>
        <w:jc w:val="both"/>
        <w:rPr>
          <w:sz w:val="22"/>
          <w:szCs w:val="22"/>
        </w:rPr>
      </w:pPr>
      <w:r>
        <w:rPr>
          <w:rFonts w:ascii="Calibri" w:eastAsia="Calibri" w:hAnsi="Calibri" w:cs="Calibri"/>
          <w:sz w:val="22"/>
          <w:szCs w:val="22"/>
        </w:rPr>
        <w:t>Test the sensitivity of the Bidder's commercial proposal to key assumptions in the Bid Project Model (particularly focussing on profitability and overall return).</w:t>
      </w:r>
    </w:p>
    <w:p w:rsidR="000238FA" w:rsidRDefault="00C3438B">
      <w:pPr>
        <w:numPr>
          <w:ilvl w:val="0"/>
          <w:numId w:val="10"/>
        </w:numPr>
        <w:spacing w:before="60" w:after="240" w:line="264" w:lineRule="auto"/>
        <w:ind w:hanging="360"/>
        <w:jc w:val="both"/>
        <w:rPr>
          <w:sz w:val="22"/>
          <w:szCs w:val="22"/>
        </w:rPr>
      </w:pPr>
      <w:r>
        <w:rPr>
          <w:rFonts w:ascii="Calibri" w:eastAsia="Calibri" w:hAnsi="Calibri" w:cs="Calibri"/>
          <w:sz w:val="22"/>
          <w:szCs w:val="22"/>
        </w:rPr>
        <w:t>C</w:t>
      </w:r>
      <w:r w:rsidR="00484379">
        <w:rPr>
          <w:rFonts w:ascii="Calibri" w:eastAsia="Calibri" w:hAnsi="Calibri" w:cs="Calibri"/>
          <w:sz w:val="22"/>
          <w:szCs w:val="22"/>
        </w:rPr>
        <w:t>onfirm that the Bid Project Model complies with the requirement and amounts of the grant funding available to the Bidder, as per Part 2 of the ITT.</w:t>
      </w:r>
    </w:p>
    <w:p w:rsidR="000238FA" w:rsidRDefault="00484379">
      <w:pPr>
        <w:keepNext/>
        <w:keepLines/>
        <w:numPr>
          <w:ilvl w:val="1"/>
          <w:numId w:val="8"/>
        </w:numPr>
        <w:spacing w:before="360" w:after="120" w:line="276" w:lineRule="auto"/>
        <w:ind w:hanging="576"/>
        <w:jc w:val="both"/>
        <w:rPr>
          <w:rFonts w:ascii="Calibri" w:eastAsia="Calibri" w:hAnsi="Calibri" w:cs="Calibri"/>
          <w:b/>
          <w:sz w:val="32"/>
          <w:szCs w:val="32"/>
        </w:rPr>
      </w:pPr>
      <w:bookmarkStart w:id="13" w:name="h.26in1rg" w:colFirst="0" w:colLast="0"/>
      <w:bookmarkEnd w:id="13"/>
      <w:r>
        <w:rPr>
          <w:rFonts w:ascii="Calibri" w:eastAsia="Calibri" w:hAnsi="Calibri" w:cs="Calibri"/>
          <w:b/>
          <w:sz w:val="32"/>
          <w:szCs w:val="32"/>
        </w:rPr>
        <w:t>General Requirements for Bid Project Models</w:t>
      </w:r>
    </w:p>
    <w:p w:rsidR="000238FA" w:rsidRDefault="00C3438B">
      <w:pPr>
        <w:numPr>
          <w:ilvl w:val="2"/>
          <w:numId w:val="8"/>
        </w:numPr>
        <w:tabs>
          <w:tab w:val="left" w:pos="864"/>
        </w:tabs>
        <w:spacing w:after="120" w:line="264" w:lineRule="auto"/>
        <w:ind w:left="839" w:hanging="720"/>
        <w:jc w:val="both"/>
        <w:rPr>
          <w:rFonts w:ascii="Calibri" w:eastAsia="Calibri" w:hAnsi="Calibri" w:cs="Calibri"/>
          <w:sz w:val="22"/>
          <w:szCs w:val="22"/>
        </w:rPr>
      </w:pPr>
      <w:r>
        <w:rPr>
          <w:rFonts w:ascii="Calibri" w:eastAsia="Calibri" w:hAnsi="Calibri" w:cs="Calibri"/>
          <w:sz w:val="22"/>
          <w:szCs w:val="22"/>
        </w:rPr>
        <w:t>T</w:t>
      </w:r>
      <w:r w:rsidR="00484379">
        <w:rPr>
          <w:rFonts w:ascii="Calibri" w:eastAsia="Calibri" w:hAnsi="Calibri" w:cs="Calibri"/>
          <w:sz w:val="22"/>
          <w:szCs w:val="22"/>
        </w:rPr>
        <w:t xml:space="preserve">he following general requirements </w:t>
      </w:r>
      <w:r>
        <w:rPr>
          <w:rFonts w:ascii="Calibri" w:eastAsia="Calibri" w:hAnsi="Calibri" w:cs="Calibri"/>
          <w:sz w:val="22"/>
          <w:szCs w:val="22"/>
        </w:rPr>
        <w:t>apply to a</w:t>
      </w:r>
      <w:r w:rsidR="00484379">
        <w:rPr>
          <w:rFonts w:ascii="Calibri" w:eastAsia="Calibri" w:hAnsi="Calibri" w:cs="Calibri"/>
          <w:sz w:val="22"/>
          <w:szCs w:val="22"/>
        </w:rPr>
        <w:t xml:space="preserve"> Bid Project Model:</w:t>
      </w:r>
    </w:p>
    <w:p w:rsidR="000238FA" w:rsidRDefault="00484379">
      <w:pPr>
        <w:numPr>
          <w:ilvl w:val="0"/>
          <w:numId w:val="2"/>
        </w:numPr>
        <w:spacing w:before="60" w:after="40" w:line="264" w:lineRule="auto"/>
        <w:ind w:hanging="360"/>
        <w:jc w:val="both"/>
        <w:rPr>
          <w:sz w:val="22"/>
          <w:szCs w:val="22"/>
        </w:rPr>
      </w:pPr>
      <w:r>
        <w:rPr>
          <w:rFonts w:ascii="Calibri" w:eastAsia="Calibri" w:hAnsi="Calibri" w:cs="Calibri"/>
          <w:sz w:val="22"/>
          <w:szCs w:val="22"/>
        </w:rPr>
        <w:t xml:space="preserve">The model </w:t>
      </w:r>
      <w:r w:rsidR="00D03292">
        <w:rPr>
          <w:rFonts w:ascii="Calibri" w:eastAsia="Calibri" w:hAnsi="Calibri" w:cs="Calibri"/>
          <w:b/>
          <w:i/>
          <w:sz w:val="22"/>
          <w:szCs w:val="22"/>
        </w:rPr>
        <w:t>must</w:t>
      </w:r>
      <w:r>
        <w:rPr>
          <w:rFonts w:ascii="Calibri" w:eastAsia="Calibri" w:hAnsi="Calibri" w:cs="Calibri"/>
          <w:b/>
          <w:i/>
          <w:sz w:val="22"/>
          <w:szCs w:val="22"/>
        </w:rPr>
        <w:t xml:space="preserve"> </w:t>
      </w:r>
      <w:r>
        <w:rPr>
          <w:rFonts w:ascii="Calibri" w:eastAsia="Calibri" w:hAnsi="Calibri" w:cs="Calibri"/>
          <w:sz w:val="22"/>
          <w:szCs w:val="22"/>
        </w:rPr>
        <w:t xml:space="preserve">show calculations and outputs on a quarterly basis. </w:t>
      </w:r>
    </w:p>
    <w:p w:rsidR="000238FA" w:rsidRDefault="00484379">
      <w:pPr>
        <w:numPr>
          <w:ilvl w:val="0"/>
          <w:numId w:val="2"/>
        </w:numPr>
        <w:spacing w:before="60" w:after="40" w:line="264" w:lineRule="auto"/>
        <w:ind w:hanging="360"/>
        <w:jc w:val="both"/>
        <w:rPr>
          <w:sz w:val="22"/>
          <w:szCs w:val="22"/>
        </w:rPr>
      </w:pPr>
      <w:r>
        <w:rPr>
          <w:rFonts w:ascii="Calibri" w:eastAsia="Calibri" w:hAnsi="Calibri" w:cs="Calibri"/>
          <w:sz w:val="22"/>
          <w:szCs w:val="22"/>
        </w:rPr>
        <w:t xml:space="preserve">The model </w:t>
      </w:r>
      <w:r w:rsidR="00D03292">
        <w:rPr>
          <w:rFonts w:ascii="Calibri" w:eastAsia="Calibri" w:hAnsi="Calibri" w:cs="Calibri"/>
          <w:b/>
          <w:i/>
          <w:sz w:val="22"/>
          <w:szCs w:val="22"/>
        </w:rPr>
        <w:t>must</w:t>
      </w:r>
      <w:r>
        <w:rPr>
          <w:rFonts w:ascii="Calibri" w:eastAsia="Calibri" w:hAnsi="Calibri" w:cs="Calibri"/>
          <w:sz w:val="22"/>
          <w:szCs w:val="22"/>
        </w:rPr>
        <w:t xml:space="preserve"> not include any additional Bidder protected or hidden areas</w:t>
      </w:r>
    </w:p>
    <w:p w:rsidR="000238FA" w:rsidRDefault="00C3438B">
      <w:pPr>
        <w:numPr>
          <w:ilvl w:val="0"/>
          <w:numId w:val="2"/>
        </w:numPr>
        <w:spacing w:before="60" w:after="40" w:line="264" w:lineRule="auto"/>
        <w:ind w:hanging="360"/>
        <w:jc w:val="both"/>
        <w:rPr>
          <w:sz w:val="22"/>
          <w:szCs w:val="22"/>
        </w:rPr>
      </w:pPr>
      <w:r>
        <w:rPr>
          <w:rFonts w:ascii="Calibri" w:eastAsia="Calibri" w:hAnsi="Calibri" w:cs="Calibri"/>
          <w:sz w:val="22"/>
          <w:szCs w:val="22"/>
        </w:rPr>
        <w:t>Bidders</w:t>
      </w:r>
      <w:r w:rsidR="00484379">
        <w:rPr>
          <w:rFonts w:ascii="Calibri" w:eastAsia="Calibri" w:hAnsi="Calibri" w:cs="Calibri"/>
          <w:sz w:val="22"/>
          <w:szCs w:val="22"/>
        </w:rPr>
        <w:t xml:space="preserve"> </w:t>
      </w:r>
      <w:r w:rsidR="00D03292">
        <w:rPr>
          <w:rFonts w:ascii="Calibri" w:eastAsia="Calibri" w:hAnsi="Calibri" w:cs="Calibri"/>
          <w:b/>
          <w:i/>
          <w:sz w:val="22"/>
          <w:szCs w:val="22"/>
        </w:rPr>
        <w:t>must</w:t>
      </w:r>
      <w:r w:rsidR="00484379">
        <w:rPr>
          <w:rFonts w:ascii="Calibri" w:eastAsia="Calibri" w:hAnsi="Calibri" w:cs="Calibri"/>
          <w:sz w:val="22"/>
          <w:szCs w:val="22"/>
        </w:rPr>
        <w:t xml:space="preserve"> use Microsoft Excel 2010 or fully compatible versions.</w:t>
      </w:r>
    </w:p>
    <w:p w:rsidR="000238FA" w:rsidRDefault="00484379">
      <w:pPr>
        <w:numPr>
          <w:ilvl w:val="0"/>
          <w:numId w:val="2"/>
        </w:numPr>
        <w:spacing w:before="60" w:after="40" w:line="264" w:lineRule="auto"/>
        <w:ind w:hanging="360"/>
        <w:jc w:val="both"/>
        <w:rPr>
          <w:sz w:val="22"/>
          <w:szCs w:val="22"/>
        </w:rPr>
      </w:pPr>
      <w:r>
        <w:rPr>
          <w:rFonts w:ascii="Calibri" w:eastAsia="Calibri" w:hAnsi="Calibri" w:cs="Calibri"/>
          <w:sz w:val="22"/>
          <w:szCs w:val="22"/>
        </w:rPr>
        <w:t>Ordinarily where the Project Model has a cell with a calculated result, Bidders should NOT overwrite this cell with input data. The input of additional lines, for example for more components on the Cost Book tabs is acceptable.</w:t>
      </w:r>
    </w:p>
    <w:p w:rsidR="000238FA" w:rsidRDefault="00484379">
      <w:pPr>
        <w:numPr>
          <w:ilvl w:val="0"/>
          <w:numId w:val="2"/>
        </w:numPr>
        <w:spacing w:before="60" w:after="40" w:line="264" w:lineRule="auto"/>
        <w:ind w:hanging="360"/>
        <w:jc w:val="both"/>
        <w:rPr>
          <w:sz w:val="22"/>
          <w:szCs w:val="22"/>
        </w:rPr>
      </w:pPr>
      <w:r>
        <w:rPr>
          <w:rFonts w:ascii="Calibri" w:eastAsia="Calibri" w:hAnsi="Calibri" w:cs="Calibri"/>
          <w:sz w:val="22"/>
          <w:szCs w:val="22"/>
        </w:rPr>
        <w:t>More specifically the following tabs on the Project Model must not be directly amended by the Bidder:</w:t>
      </w:r>
    </w:p>
    <w:p w:rsidR="000238FA" w:rsidRDefault="00484379">
      <w:pPr>
        <w:numPr>
          <w:ilvl w:val="1"/>
          <w:numId w:val="2"/>
        </w:numPr>
        <w:spacing w:before="60" w:line="264" w:lineRule="auto"/>
        <w:ind w:hanging="360"/>
        <w:contextualSpacing/>
        <w:jc w:val="both"/>
        <w:rPr>
          <w:sz w:val="22"/>
          <w:szCs w:val="22"/>
        </w:rPr>
      </w:pPr>
      <w:r>
        <w:rPr>
          <w:rFonts w:ascii="Calibri" w:eastAsia="Calibri" w:hAnsi="Calibri" w:cs="Calibri"/>
          <w:sz w:val="22"/>
          <w:szCs w:val="22"/>
        </w:rPr>
        <w:t>17. Cashflow</w:t>
      </w:r>
    </w:p>
    <w:p w:rsidR="000238FA" w:rsidRDefault="00484379">
      <w:pPr>
        <w:numPr>
          <w:ilvl w:val="1"/>
          <w:numId w:val="2"/>
        </w:numPr>
        <w:spacing w:line="264" w:lineRule="auto"/>
        <w:ind w:hanging="360"/>
        <w:contextualSpacing/>
        <w:jc w:val="both"/>
        <w:rPr>
          <w:sz w:val="22"/>
          <w:szCs w:val="22"/>
        </w:rPr>
      </w:pPr>
      <w:r>
        <w:rPr>
          <w:rFonts w:ascii="Calibri" w:eastAsia="Calibri" w:hAnsi="Calibri" w:cs="Calibri"/>
          <w:sz w:val="22"/>
          <w:szCs w:val="22"/>
        </w:rPr>
        <w:t>19. Output</w:t>
      </w:r>
    </w:p>
    <w:p w:rsidR="000238FA" w:rsidRDefault="00484379">
      <w:pPr>
        <w:numPr>
          <w:ilvl w:val="1"/>
          <w:numId w:val="2"/>
        </w:numPr>
        <w:spacing w:after="40" w:line="264" w:lineRule="auto"/>
        <w:ind w:hanging="360"/>
        <w:contextualSpacing/>
        <w:jc w:val="both"/>
        <w:rPr>
          <w:sz w:val="22"/>
          <w:szCs w:val="22"/>
        </w:rPr>
      </w:pPr>
      <w:r>
        <w:rPr>
          <w:rFonts w:ascii="Calibri" w:eastAsia="Calibri" w:hAnsi="Calibri" w:cs="Calibri"/>
          <w:sz w:val="22"/>
          <w:szCs w:val="22"/>
        </w:rPr>
        <w:t xml:space="preserve">20. Calc sheet </w:t>
      </w:r>
    </w:p>
    <w:p w:rsidR="000238FA" w:rsidRDefault="00484379">
      <w:pPr>
        <w:keepNext/>
        <w:keepLines/>
        <w:numPr>
          <w:ilvl w:val="1"/>
          <w:numId w:val="8"/>
        </w:numPr>
        <w:spacing w:before="240" w:after="120" w:line="276" w:lineRule="auto"/>
        <w:ind w:left="578" w:hanging="578"/>
        <w:jc w:val="both"/>
        <w:rPr>
          <w:rFonts w:ascii="Calibri" w:eastAsia="Calibri" w:hAnsi="Calibri" w:cs="Calibri"/>
          <w:b/>
          <w:sz w:val="32"/>
          <w:szCs w:val="32"/>
        </w:rPr>
      </w:pPr>
      <w:r>
        <w:rPr>
          <w:rFonts w:ascii="Calibri" w:eastAsia="Calibri" w:hAnsi="Calibri" w:cs="Calibri"/>
          <w:b/>
          <w:sz w:val="32"/>
          <w:szCs w:val="32"/>
        </w:rPr>
        <w:lastRenderedPageBreak/>
        <w:t>Guidance for completing the Bid Project Model</w:t>
      </w:r>
    </w:p>
    <w:p w:rsidR="000238FA" w:rsidRDefault="00484379">
      <w:pPr>
        <w:keepNext/>
        <w:keepLines/>
        <w:spacing w:before="60" w:after="120" w:line="276" w:lineRule="auto"/>
        <w:ind w:left="119"/>
        <w:jc w:val="both"/>
      </w:pPr>
      <w:r>
        <w:rPr>
          <w:rFonts w:ascii="Calibri" w:eastAsia="Calibri" w:hAnsi="Calibri" w:cs="Calibri"/>
          <w:sz w:val="22"/>
          <w:szCs w:val="22"/>
        </w:rPr>
        <w:t>In completing the Bid Project Model, Bidders are guided as follows:-</w:t>
      </w:r>
    </w:p>
    <w:p w:rsidR="000238FA" w:rsidRDefault="00484379">
      <w:pPr>
        <w:keepNext/>
        <w:keepLines/>
        <w:numPr>
          <w:ilvl w:val="2"/>
          <w:numId w:val="8"/>
        </w:numPr>
        <w:spacing w:before="60" w:after="120" w:line="276" w:lineRule="auto"/>
        <w:ind w:hanging="720"/>
        <w:contextualSpacing/>
        <w:jc w:val="both"/>
        <w:rPr>
          <w:rFonts w:ascii="Calibri" w:eastAsia="Calibri" w:hAnsi="Calibri" w:cs="Calibri"/>
          <w:sz w:val="22"/>
          <w:szCs w:val="22"/>
        </w:rPr>
      </w:pPr>
      <w:r>
        <w:rPr>
          <w:rFonts w:ascii="Calibri" w:eastAsia="Calibri" w:hAnsi="Calibri" w:cs="Calibri"/>
          <w:b/>
          <w:sz w:val="22"/>
          <w:szCs w:val="22"/>
        </w:rPr>
        <w:t>General</w:t>
      </w:r>
    </w:p>
    <w:p w:rsidR="000238FA" w:rsidRDefault="00484379">
      <w:pPr>
        <w:spacing w:before="60" w:after="40" w:line="264" w:lineRule="auto"/>
        <w:ind w:left="357"/>
        <w:jc w:val="both"/>
      </w:pPr>
      <w:r>
        <w:rPr>
          <w:rFonts w:ascii="Calibri" w:eastAsia="Calibri" w:hAnsi="Calibri" w:cs="Calibri"/>
          <w:sz w:val="22"/>
          <w:szCs w:val="22"/>
        </w:rPr>
        <w:t>The "2. Model overview" tab in the bid Project Model includes a diagram that explains how the Bid Project Model is constructed. Bidders are advised to familiarise themselves with this schematic diagram and how their inputs will flow through the Project Model.</w:t>
      </w:r>
    </w:p>
    <w:p w:rsidR="000238FA" w:rsidRDefault="000238FA">
      <w:pPr>
        <w:spacing w:before="60" w:after="40" w:line="264" w:lineRule="auto"/>
        <w:ind w:left="357"/>
        <w:jc w:val="both"/>
      </w:pPr>
    </w:p>
    <w:p w:rsidR="000238FA" w:rsidRDefault="00484379">
      <w:pPr>
        <w:numPr>
          <w:ilvl w:val="3"/>
          <w:numId w:val="8"/>
        </w:numPr>
        <w:spacing w:before="60" w:line="264" w:lineRule="auto"/>
        <w:ind w:left="1134" w:hanging="708"/>
        <w:contextualSpacing/>
        <w:jc w:val="both"/>
        <w:rPr>
          <w:rFonts w:ascii="Calibri" w:eastAsia="Calibri" w:hAnsi="Calibri" w:cs="Calibri"/>
          <w:sz w:val="22"/>
          <w:szCs w:val="22"/>
        </w:rPr>
      </w:pPr>
      <w:r>
        <w:rPr>
          <w:rFonts w:ascii="Calibri" w:eastAsia="Calibri" w:hAnsi="Calibri" w:cs="Calibri"/>
          <w:sz w:val="22"/>
          <w:szCs w:val="22"/>
        </w:rPr>
        <w:t xml:space="preserve">The bid Project Model is a discounted cashflow model that compares the net present value (“NPV”) of the subsidy payments to “the gap” (being the NPV of future cash inflows from connected services less cash outflows associated with the network build).  </w:t>
      </w:r>
      <w:r>
        <w:rPr>
          <w:rFonts w:ascii="Calibri" w:eastAsia="Calibri" w:hAnsi="Calibri" w:cs="Calibri"/>
          <w:b/>
          <w:sz w:val="22"/>
          <w:szCs w:val="22"/>
        </w:rPr>
        <w:t>The NPV of the Subsidy Payments must not be greater than the NPV of “the gap”</w:t>
      </w:r>
      <w:r>
        <w:rPr>
          <w:rFonts w:ascii="Calibri" w:eastAsia="Calibri" w:hAnsi="Calibri" w:cs="Calibri"/>
          <w:sz w:val="22"/>
          <w:szCs w:val="22"/>
        </w:rPr>
        <w:t xml:space="preserve">.  </w:t>
      </w:r>
    </w:p>
    <w:p w:rsidR="000238FA" w:rsidRDefault="000238FA">
      <w:pPr>
        <w:spacing w:line="264" w:lineRule="auto"/>
        <w:ind w:left="1134"/>
        <w:jc w:val="both"/>
      </w:pPr>
    </w:p>
    <w:p w:rsidR="000238FA" w:rsidRDefault="00484379">
      <w:pPr>
        <w:numPr>
          <w:ilvl w:val="3"/>
          <w:numId w:val="8"/>
        </w:numPr>
        <w:spacing w:line="264" w:lineRule="auto"/>
        <w:ind w:left="1134" w:hanging="708"/>
        <w:contextualSpacing/>
        <w:jc w:val="both"/>
        <w:rPr>
          <w:rFonts w:ascii="Calibri" w:eastAsia="Calibri" w:hAnsi="Calibri" w:cs="Calibri"/>
          <w:sz w:val="22"/>
          <w:szCs w:val="22"/>
        </w:rPr>
      </w:pPr>
      <w:r>
        <w:rPr>
          <w:rFonts w:ascii="Calibri" w:eastAsia="Calibri" w:hAnsi="Calibri" w:cs="Calibri"/>
          <w:sz w:val="22"/>
          <w:szCs w:val="22"/>
        </w:rPr>
        <w:t>Calculated cashflows are consolidated onto the “17. Cashflow” tab and overall key metrics are summarised and presented on the “19. Output” tab.  Data must not be directly entered onto either of these tabs nor should any formulae be amended or over written.</w:t>
      </w:r>
    </w:p>
    <w:p w:rsidR="000238FA" w:rsidRDefault="000238FA">
      <w:pPr>
        <w:spacing w:line="264" w:lineRule="auto"/>
        <w:ind w:left="1134"/>
        <w:jc w:val="both"/>
      </w:pPr>
    </w:p>
    <w:p w:rsidR="000238FA" w:rsidRDefault="00484379">
      <w:pPr>
        <w:numPr>
          <w:ilvl w:val="3"/>
          <w:numId w:val="8"/>
        </w:numPr>
        <w:spacing w:line="264" w:lineRule="auto"/>
        <w:ind w:left="1134" w:hanging="708"/>
        <w:contextualSpacing/>
        <w:jc w:val="both"/>
        <w:rPr>
          <w:rFonts w:ascii="Calibri" w:eastAsia="Calibri" w:hAnsi="Calibri" w:cs="Calibri"/>
          <w:sz w:val="22"/>
          <w:szCs w:val="22"/>
        </w:rPr>
      </w:pPr>
      <w:r>
        <w:rPr>
          <w:rFonts w:ascii="Calibri" w:eastAsia="Calibri" w:hAnsi="Calibri" w:cs="Calibri"/>
          <w:sz w:val="22"/>
          <w:szCs w:val="22"/>
        </w:rPr>
        <w:t xml:space="preserve">Cost and revenue cashflows </w:t>
      </w:r>
      <w:r w:rsidR="00D03292">
        <w:rPr>
          <w:rFonts w:ascii="Calibri" w:eastAsia="Calibri" w:hAnsi="Calibri" w:cs="Calibri"/>
          <w:b/>
          <w:i/>
          <w:sz w:val="22"/>
          <w:szCs w:val="22"/>
        </w:rPr>
        <w:t>must</w:t>
      </w:r>
      <w:r>
        <w:rPr>
          <w:rFonts w:ascii="Calibri" w:eastAsia="Calibri" w:hAnsi="Calibri" w:cs="Calibri"/>
          <w:sz w:val="22"/>
          <w:szCs w:val="22"/>
        </w:rPr>
        <w:t xml:space="preserve"> be determined on a (unit cost or price)*(appropriate volume) basis.  It is down to the Bidder to identify/define appropriate cost components and their associated drivers and enter underlying data accordingly.  Similarly the Bidder is to identify/define appropriate wholesale products and their associated prices and volumes and enter underlying data accordingly.  Network components and wholesale products as presented in the bid Project Model </w:t>
      </w:r>
      <w:r w:rsidR="00D03292">
        <w:rPr>
          <w:rFonts w:ascii="Calibri" w:eastAsia="Calibri" w:hAnsi="Calibri" w:cs="Calibri"/>
          <w:b/>
          <w:i/>
          <w:sz w:val="22"/>
          <w:szCs w:val="22"/>
        </w:rPr>
        <w:t>must</w:t>
      </w:r>
      <w:r>
        <w:rPr>
          <w:rFonts w:ascii="Calibri" w:eastAsia="Calibri" w:hAnsi="Calibri" w:cs="Calibri"/>
          <w:sz w:val="22"/>
          <w:szCs w:val="22"/>
        </w:rPr>
        <w:t xml:space="preserve"> be consistent with those identified in the bidder’s Solution Component and Wholesale Product templates (see below). Bidders are reminded that transparency is a scored criteria within the Evaluation Strategy.</w:t>
      </w:r>
    </w:p>
    <w:p w:rsidR="000238FA" w:rsidRDefault="000238FA">
      <w:pPr>
        <w:ind w:left="720"/>
      </w:pPr>
    </w:p>
    <w:p w:rsidR="000238FA" w:rsidRDefault="00484379">
      <w:pPr>
        <w:numPr>
          <w:ilvl w:val="3"/>
          <w:numId w:val="8"/>
        </w:numPr>
        <w:spacing w:line="264" w:lineRule="auto"/>
        <w:ind w:left="1134" w:hanging="708"/>
        <w:contextualSpacing/>
        <w:jc w:val="both"/>
        <w:rPr>
          <w:rFonts w:ascii="Calibri" w:eastAsia="Calibri" w:hAnsi="Calibri" w:cs="Calibri"/>
          <w:sz w:val="22"/>
          <w:szCs w:val="22"/>
        </w:rPr>
      </w:pPr>
      <w:r>
        <w:rPr>
          <w:rFonts w:ascii="Calibri" w:eastAsia="Calibri" w:hAnsi="Calibri" w:cs="Calibri"/>
          <w:sz w:val="22"/>
          <w:szCs w:val="22"/>
        </w:rPr>
        <w:t xml:space="preserve">Bidders are advised to start with the two supplementary spreadsheets entitled Solution Component Template and Wholesale Product Template, both of which need to be submitted alongside their Project Model. These will provide key inputs into the Project Model for the Solution Working Design, Network build and in life Cost Books and Wholesale Product Price Book tabs (tabs 4, 8, 12, 15). The Network Build and In Life Cost Book tabs, in particular, must tie back to the technological solution provided. The Bidder </w:t>
      </w:r>
      <w:r w:rsidR="00D03292">
        <w:rPr>
          <w:rFonts w:ascii="Calibri" w:eastAsia="Calibri" w:hAnsi="Calibri" w:cs="Calibri"/>
          <w:sz w:val="22"/>
          <w:szCs w:val="22"/>
        </w:rPr>
        <w:t>must</w:t>
      </w:r>
      <w:r>
        <w:rPr>
          <w:rFonts w:ascii="Calibri" w:eastAsia="Calibri" w:hAnsi="Calibri" w:cs="Calibri"/>
          <w:sz w:val="22"/>
          <w:szCs w:val="22"/>
        </w:rPr>
        <w:t xml:space="preserve"> provide evidence that the structures in the SCT are consistent with those structures to be built and costed within the PFM. Bidders need to be absolutely clear in understanding that public subsidy can only be provided for Qualifying Capital Expenditure in accordance with Appendix 2 of Schedule 5.1.</w:t>
      </w:r>
    </w:p>
    <w:p w:rsidR="000238FA" w:rsidRDefault="000238FA">
      <w:pPr>
        <w:ind w:left="720"/>
      </w:pPr>
    </w:p>
    <w:p w:rsidR="000238FA" w:rsidRDefault="00484379">
      <w:pPr>
        <w:numPr>
          <w:ilvl w:val="3"/>
          <w:numId w:val="8"/>
        </w:numPr>
        <w:spacing w:line="264" w:lineRule="auto"/>
        <w:ind w:left="1134" w:hanging="708"/>
        <w:contextualSpacing/>
        <w:jc w:val="both"/>
        <w:rPr>
          <w:rFonts w:ascii="Calibri" w:eastAsia="Calibri" w:hAnsi="Calibri" w:cs="Calibri"/>
          <w:sz w:val="22"/>
          <w:szCs w:val="22"/>
        </w:rPr>
      </w:pPr>
      <w:r>
        <w:rPr>
          <w:rFonts w:ascii="Calibri" w:eastAsia="Calibri" w:hAnsi="Calibri" w:cs="Calibri"/>
          <w:sz w:val="22"/>
          <w:szCs w:val="22"/>
        </w:rPr>
        <w:t xml:space="preserve">Bidders are required to input into cells that are coloured green, and only in as many of the fields required to model their solution. The Bid Project Model is provided as both a blank document for input purposes and with a worked example to demonstrate its use. Bidders are asked to note that the worked example is merely included to demonstrate how the Project Model flows, and any input is merely illustrative and not to be copied or relied upon. As noted above, cells for input are generally shaded in green, although </w:t>
      </w:r>
      <w:r>
        <w:rPr>
          <w:rFonts w:ascii="Calibri" w:eastAsia="Calibri" w:hAnsi="Calibri" w:cs="Calibri"/>
          <w:sz w:val="22"/>
          <w:szCs w:val="22"/>
        </w:rPr>
        <w:lastRenderedPageBreak/>
        <w:t>Bidders may not require all of the lines provided or may need to insert further lines as appropriate for their specific solution.  Specific comments relating to individual tabs in the Bid Project Model are included both on tab 2 “Model overview” as well as on the individual tabs themselves.</w:t>
      </w:r>
    </w:p>
    <w:p w:rsidR="000238FA" w:rsidRDefault="000238FA">
      <w:pPr>
        <w:ind w:left="720"/>
      </w:pPr>
    </w:p>
    <w:p w:rsidR="000238FA" w:rsidRDefault="00484379">
      <w:pPr>
        <w:numPr>
          <w:ilvl w:val="3"/>
          <w:numId w:val="8"/>
        </w:numPr>
        <w:spacing w:line="264" w:lineRule="auto"/>
        <w:ind w:left="1134" w:hanging="708"/>
        <w:contextualSpacing/>
        <w:jc w:val="both"/>
        <w:rPr>
          <w:rFonts w:ascii="Calibri" w:eastAsia="Calibri" w:hAnsi="Calibri" w:cs="Calibri"/>
          <w:sz w:val="22"/>
          <w:szCs w:val="22"/>
        </w:rPr>
      </w:pPr>
      <w:r>
        <w:rPr>
          <w:rFonts w:ascii="Calibri" w:eastAsia="Calibri" w:hAnsi="Calibri" w:cs="Calibri"/>
          <w:sz w:val="22"/>
          <w:szCs w:val="22"/>
        </w:rPr>
        <w:t>Embedded notes/comments are also included within some of the input tabs to provide specific guidance as appropriate. Bidders are advised to read these as they complete their Project Model, remembering that any solutions or figures within these notes are illustrative only, and that they must complete the relevant tabs with their own solution components.</w:t>
      </w:r>
    </w:p>
    <w:p w:rsidR="000238FA" w:rsidRDefault="000238FA">
      <w:pPr>
        <w:ind w:left="720"/>
      </w:pPr>
    </w:p>
    <w:p w:rsidR="000238FA" w:rsidRDefault="00484379">
      <w:pPr>
        <w:numPr>
          <w:ilvl w:val="3"/>
          <w:numId w:val="8"/>
        </w:numPr>
        <w:spacing w:line="264" w:lineRule="auto"/>
        <w:ind w:left="1134" w:hanging="708"/>
        <w:contextualSpacing/>
        <w:jc w:val="both"/>
        <w:rPr>
          <w:rFonts w:ascii="Calibri" w:eastAsia="Calibri" w:hAnsi="Calibri" w:cs="Calibri"/>
          <w:sz w:val="22"/>
          <w:szCs w:val="22"/>
        </w:rPr>
      </w:pPr>
      <w:r>
        <w:rPr>
          <w:rFonts w:ascii="Calibri" w:eastAsia="Calibri" w:hAnsi="Calibri" w:cs="Calibri"/>
          <w:sz w:val="22"/>
          <w:szCs w:val="22"/>
        </w:rPr>
        <w:t>The Project Model includes certain checks; Bidders will need to ensure that their Project Model has no errors prior to submission.  Key error checks include:</w:t>
      </w:r>
    </w:p>
    <w:p w:rsidR="000238FA" w:rsidRDefault="000238FA">
      <w:pPr>
        <w:spacing w:line="264" w:lineRule="auto"/>
        <w:ind w:left="1437"/>
      </w:pPr>
    </w:p>
    <w:p w:rsidR="000238FA" w:rsidRDefault="00484379">
      <w:pPr>
        <w:numPr>
          <w:ilvl w:val="0"/>
          <w:numId w:val="6"/>
        </w:numPr>
        <w:spacing w:line="264" w:lineRule="auto"/>
        <w:ind w:hanging="360"/>
        <w:contextualSpacing/>
        <w:rPr>
          <w:sz w:val="22"/>
          <w:szCs w:val="22"/>
        </w:rPr>
      </w:pPr>
      <w:r>
        <w:rPr>
          <w:rFonts w:ascii="Calibri" w:eastAsia="Calibri" w:hAnsi="Calibri" w:cs="Calibri"/>
          <w:sz w:val="22"/>
          <w:szCs w:val="22"/>
        </w:rPr>
        <w:t>Tab 11. Network build cashflows – Build cashflows can ONLY occur in periods marked as being deployment (“D”) periods.  Build cashflows included in the post deployment (“P”) period and post term (“PT”) period will not be classed as eligible build costs</w:t>
      </w:r>
    </w:p>
    <w:p w:rsidR="000238FA" w:rsidRDefault="000238FA">
      <w:pPr>
        <w:spacing w:line="264" w:lineRule="auto"/>
        <w:ind w:left="1437"/>
      </w:pPr>
    </w:p>
    <w:p w:rsidR="000238FA" w:rsidRDefault="00484379">
      <w:pPr>
        <w:numPr>
          <w:ilvl w:val="0"/>
          <w:numId w:val="6"/>
        </w:numPr>
        <w:spacing w:line="264" w:lineRule="auto"/>
        <w:ind w:hanging="360"/>
        <w:contextualSpacing/>
        <w:rPr>
          <w:sz w:val="22"/>
          <w:szCs w:val="22"/>
        </w:rPr>
      </w:pPr>
      <w:r>
        <w:rPr>
          <w:rFonts w:ascii="Calibri" w:eastAsia="Calibri" w:hAnsi="Calibri" w:cs="Calibri"/>
          <w:sz w:val="22"/>
          <w:szCs w:val="22"/>
        </w:rPr>
        <w:t>Tab 18. MPT – ensure</w:t>
      </w:r>
      <w:r w:rsidR="00BC2CCD">
        <w:rPr>
          <w:rFonts w:ascii="Calibri" w:eastAsia="Calibri" w:hAnsi="Calibri" w:cs="Calibri"/>
          <w:sz w:val="22"/>
          <w:szCs w:val="22"/>
        </w:rPr>
        <w:t xml:space="preserve"> </w:t>
      </w:r>
      <w:r>
        <w:rPr>
          <w:rFonts w:ascii="Calibri" w:eastAsia="Calibri" w:hAnsi="Calibri" w:cs="Calibri"/>
          <w:sz w:val="22"/>
          <w:szCs w:val="22"/>
        </w:rPr>
        <w:t xml:space="preserve">that the NPV of the Subsidy Payments is less than or equal to the NPV of the gap </w:t>
      </w:r>
    </w:p>
    <w:p w:rsidR="000238FA" w:rsidRDefault="000238FA">
      <w:pPr>
        <w:spacing w:line="264" w:lineRule="auto"/>
        <w:ind w:left="1437"/>
      </w:pPr>
    </w:p>
    <w:p w:rsidR="000238FA" w:rsidRDefault="00BC2CCD">
      <w:pPr>
        <w:numPr>
          <w:ilvl w:val="0"/>
          <w:numId w:val="6"/>
        </w:numPr>
        <w:spacing w:line="264" w:lineRule="auto"/>
        <w:ind w:hanging="360"/>
        <w:contextualSpacing/>
        <w:rPr>
          <w:sz w:val="22"/>
          <w:szCs w:val="22"/>
        </w:rPr>
      </w:pPr>
      <w:r>
        <w:rPr>
          <w:rFonts w:ascii="Calibri" w:eastAsia="Calibri" w:hAnsi="Calibri" w:cs="Calibri"/>
          <w:sz w:val="22"/>
          <w:szCs w:val="22"/>
        </w:rPr>
        <w:t>Tab 18.  MPT – ensure</w:t>
      </w:r>
      <w:r w:rsidR="00484379">
        <w:rPr>
          <w:rFonts w:ascii="Calibri" w:eastAsia="Calibri" w:hAnsi="Calibri" w:cs="Calibri"/>
          <w:sz w:val="22"/>
          <w:szCs w:val="22"/>
        </w:rPr>
        <w:t xml:space="preserve"> that the cumulative Subsidy Payment</w:t>
      </w:r>
      <w:r w:rsidR="00F615FE">
        <w:rPr>
          <w:rFonts w:ascii="Calibri" w:eastAsia="Calibri" w:hAnsi="Calibri" w:cs="Calibri"/>
          <w:sz w:val="22"/>
          <w:szCs w:val="22"/>
        </w:rPr>
        <w:t>s</w:t>
      </w:r>
      <w:r w:rsidR="00484379">
        <w:rPr>
          <w:rFonts w:ascii="Calibri" w:eastAsia="Calibri" w:hAnsi="Calibri" w:cs="Calibri"/>
          <w:sz w:val="22"/>
          <w:szCs w:val="22"/>
        </w:rPr>
        <w:t xml:space="preserve"> </w:t>
      </w:r>
      <w:r w:rsidR="00F615FE">
        <w:rPr>
          <w:rFonts w:ascii="Calibri" w:eastAsia="Calibri" w:hAnsi="Calibri" w:cs="Calibri"/>
          <w:sz w:val="22"/>
          <w:szCs w:val="22"/>
        </w:rPr>
        <w:t>are</w:t>
      </w:r>
      <w:r w:rsidR="00484379">
        <w:rPr>
          <w:rFonts w:ascii="Calibri" w:eastAsia="Calibri" w:hAnsi="Calibri" w:cs="Calibri"/>
          <w:sz w:val="22"/>
          <w:szCs w:val="22"/>
        </w:rPr>
        <w:t xml:space="preserve"> always lower than the cumulative Qualifying Capex.  Subsidy </w:t>
      </w:r>
      <w:r w:rsidR="00F615FE">
        <w:rPr>
          <w:rFonts w:ascii="Calibri" w:eastAsia="Calibri" w:hAnsi="Calibri" w:cs="Calibri"/>
          <w:sz w:val="22"/>
          <w:szCs w:val="22"/>
        </w:rPr>
        <w:t>P</w:t>
      </w:r>
      <w:r w:rsidR="00484379">
        <w:rPr>
          <w:rFonts w:ascii="Calibri" w:eastAsia="Calibri" w:hAnsi="Calibri" w:cs="Calibri"/>
          <w:sz w:val="22"/>
          <w:szCs w:val="22"/>
        </w:rPr>
        <w:t>ayments can only be made for qualifying capital expenditure.</w:t>
      </w:r>
    </w:p>
    <w:p w:rsidR="000238FA" w:rsidRDefault="000238FA">
      <w:pPr>
        <w:spacing w:line="264" w:lineRule="auto"/>
        <w:ind w:left="1437"/>
      </w:pPr>
    </w:p>
    <w:p w:rsidR="000238FA" w:rsidRDefault="00484379">
      <w:pPr>
        <w:numPr>
          <w:ilvl w:val="0"/>
          <w:numId w:val="6"/>
        </w:numPr>
        <w:spacing w:line="264" w:lineRule="auto"/>
        <w:ind w:hanging="360"/>
        <w:contextualSpacing/>
        <w:rPr>
          <w:sz w:val="22"/>
          <w:szCs w:val="22"/>
        </w:rPr>
      </w:pPr>
      <w:r>
        <w:rPr>
          <w:rFonts w:ascii="Calibri" w:eastAsia="Calibri" w:hAnsi="Calibri" w:cs="Calibri"/>
          <w:sz w:val="22"/>
          <w:szCs w:val="22"/>
        </w:rPr>
        <w:t xml:space="preserve">Tab 19. Output – ensures that the contract post deployment period is 28 quarters long and that the total </w:t>
      </w:r>
      <w:r w:rsidR="00F615FE">
        <w:rPr>
          <w:rFonts w:ascii="Calibri" w:eastAsia="Calibri" w:hAnsi="Calibri" w:cs="Calibri"/>
          <w:sz w:val="22"/>
          <w:szCs w:val="22"/>
        </w:rPr>
        <w:t>B</w:t>
      </w:r>
      <w:r>
        <w:rPr>
          <w:rFonts w:ascii="Calibri" w:eastAsia="Calibri" w:hAnsi="Calibri" w:cs="Calibri"/>
          <w:sz w:val="22"/>
          <w:szCs w:val="22"/>
        </w:rPr>
        <w:t>idder time line is 80 quarters long</w:t>
      </w:r>
    </w:p>
    <w:p w:rsidR="000238FA" w:rsidRDefault="000238FA">
      <w:pPr>
        <w:ind w:left="720"/>
      </w:pPr>
    </w:p>
    <w:p w:rsidR="000238FA" w:rsidRDefault="00484379">
      <w:pPr>
        <w:numPr>
          <w:ilvl w:val="3"/>
          <w:numId w:val="8"/>
        </w:numPr>
        <w:spacing w:line="264" w:lineRule="auto"/>
        <w:ind w:left="1134" w:hanging="708"/>
        <w:contextualSpacing/>
        <w:rPr>
          <w:rFonts w:ascii="Calibri" w:eastAsia="Calibri" w:hAnsi="Calibri" w:cs="Calibri"/>
          <w:sz w:val="22"/>
          <w:szCs w:val="22"/>
        </w:rPr>
      </w:pPr>
      <w:r>
        <w:rPr>
          <w:rFonts w:ascii="Calibri" w:eastAsia="Calibri" w:hAnsi="Calibri" w:cs="Calibri"/>
          <w:sz w:val="22"/>
          <w:szCs w:val="22"/>
        </w:rPr>
        <w:t>The Authority will accept a Bidder providing explanatory notes in support of their Bid Project Model solution, providing those notes are clear and concise. A Bidder may want to, for example, emphasise certain aspects of their Project Model, particularly if there are alternative solutions proposed or different Stages within the overall programme. Bidders are however advised to ask questions during the procurement if they are expecting to submit explanatory notes to their Project Model.</w:t>
      </w:r>
    </w:p>
    <w:p w:rsidR="000238FA" w:rsidRDefault="000238FA">
      <w:pPr>
        <w:spacing w:line="264" w:lineRule="auto"/>
        <w:ind w:left="1134"/>
      </w:pPr>
    </w:p>
    <w:p w:rsidR="000238FA" w:rsidRDefault="00484379">
      <w:pPr>
        <w:numPr>
          <w:ilvl w:val="3"/>
          <w:numId w:val="8"/>
        </w:numPr>
        <w:spacing w:line="264" w:lineRule="auto"/>
        <w:ind w:left="1134" w:hanging="708"/>
        <w:contextualSpacing/>
        <w:rPr>
          <w:rFonts w:ascii="Calibri" w:eastAsia="Calibri" w:hAnsi="Calibri" w:cs="Calibri"/>
          <w:sz w:val="22"/>
          <w:szCs w:val="22"/>
        </w:rPr>
      </w:pPr>
      <w:r>
        <w:rPr>
          <w:rFonts w:ascii="Calibri" w:eastAsia="Calibri" w:hAnsi="Calibri" w:cs="Calibri"/>
          <w:sz w:val="22"/>
          <w:szCs w:val="22"/>
        </w:rPr>
        <w:t>All figures entered must exclude VAT. Public subsidy paid by the Authority will be exclusive of VAT. The Bidder will be responsible for accounting for VAT (both input and output VAT) outside of this Contract.</w:t>
      </w:r>
    </w:p>
    <w:p w:rsidR="000238FA" w:rsidRDefault="000238FA">
      <w:pPr>
        <w:ind w:left="720"/>
      </w:pPr>
    </w:p>
    <w:p w:rsidR="000238FA" w:rsidRDefault="00484379">
      <w:pPr>
        <w:numPr>
          <w:ilvl w:val="2"/>
          <w:numId w:val="8"/>
        </w:numPr>
        <w:spacing w:line="264" w:lineRule="auto"/>
        <w:ind w:hanging="720"/>
        <w:contextualSpacing/>
        <w:rPr>
          <w:rFonts w:ascii="Calibri" w:eastAsia="Calibri" w:hAnsi="Calibri" w:cs="Calibri"/>
          <w:sz w:val="22"/>
          <w:szCs w:val="22"/>
        </w:rPr>
      </w:pPr>
      <w:r>
        <w:rPr>
          <w:rFonts w:ascii="Calibri" w:eastAsia="Calibri" w:hAnsi="Calibri" w:cs="Calibri"/>
          <w:b/>
          <w:sz w:val="22"/>
          <w:szCs w:val="22"/>
        </w:rPr>
        <w:t>Funding</w:t>
      </w:r>
    </w:p>
    <w:p w:rsidR="000238FA" w:rsidRDefault="000238FA">
      <w:pPr>
        <w:spacing w:line="264" w:lineRule="auto"/>
        <w:ind w:left="1134"/>
      </w:pPr>
    </w:p>
    <w:p w:rsidR="000238FA" w:rsidRDefault="00484379">
      <w:pPr>
        <w:numPr>
          <w:ilvl w:val="3"/>
          <w:numId w:val="8"/>
        </w:numPr>
        <w:spacing w:line="264" w:lineRule="auto"/>
        <w:ind w:left="1134" w:hanging="708"/>
        <w:contextualSpacing/>
        <w:rPr>
          <w:rFonts w:ascii="Calibri" w:eastAsia="Calibri" w:hAnsi="Calibri" w:cs="Calibri"/>
          <w:sz w:val="22"/>
          <w:szCs w:val="22"/>
        </w:rPr>
      </w:pPr>
      <w:r>
        <w:rPr>
          <w:rFonts w:ascii="Calibri" w:eastAsia="Calibri" w:hAnsi="Calibri" w:cs="Calibri"/>
          <w:sz w:val="22"/>
          <w:szCs w:val="22"/>
        </w:rPr>
        <w:t xml:space="preserve">The total public funds available are as set out in Part 2 of this ITT. Bidders are reminded that there are no additional funds currently available. Bidders must ensure that their Project Model does not exceed this financial cap or conflict with any timing or other constraints on the availability of the funding. This statement does not preclude the possibility that additional funding </w:t>
      </w:r>
      <w:r w:rsidR="00FC458D">
        <w:rPr>
          <w:rFonts w:ascii="Calibri" w:eastAsia="Calibri" w:hAnsi="Calibri" w:cs="Calibri"/>
          <w:sz w:val="22"/>
          <w:szCs w:val="22"/>
        </w:rPr>
        <w:t>may</w:t>
      </w:r>
      <w:r>
        <w:rPr>
          <w:rFonts w:ascii="Calibri" w:eastAsia="Calibri" w:hAnsi="Calibri" w:cs="Calibri"/>
          <w:sz w:val="22"/>
          <w:szCs w:val="22"/>
        </w:rPr>
        <w:t xml:space="preserve"> become available during the </w:t>
      </w:r>
      <w:r w:rsidR="00FC458D">
        <w:rPr>
          <w:rFonts w:ascii="Calibri" w:eastAsia="Calibri" w:hAnsi="Calibri" w:cs="Calibri"/>
          <w:sz w:val="22"/>
          <w:szCs w:val="22"/>
        </w:rPr>
        <w:t>P</w:t>
      </w:r>
      <w:r>
        <w:rPr>
          <w:rFonts w:ascii="Calibri" w:eastAsia="Calibri" w:hAnsi="Calibri" w:cs="Calibri"/>
          <w:sz w:val="22"/>
          <w:szCs w:val="22"/>
        </w:rPr>
        <w:t xml:space="preserve">rogramme, and </w:t>
      </w:r>
      <w:r w:rsidR="00FC458D">
        <w:rPr>
          <w:rFonts w:ascii="Calibri" w:eastAsia="Calibri" w:hAnsi="Calibri" w:cs="Calibri"/>
          <w:sz w:val="22"/>
          <w:szCs w:val="22"/>
        </w:rPr>
        <w:t>if it is to be utilised under the Contract this</w:t>
      </w:r>
      <w:r>
        <w:rPr>
          <w:rFonts w:ascii="Calibri" w:eastAsia="Calibri" w:hAnsi="Calibri" w:cs="Calibri"/>
          <w:sz w:val="22"/>
          <w:szCs w:val="22"/>
        </w:rPr>
        <w:t xml:space="preserve"> would be dealt with under the Change Control </w:t>
      </w:r>
      <w:r w:rsidR="00FC458D">
        <w:rPr>
          <w:rFonts w:ascii="Calibri" w:eastAsia="Calibri" w:hAnsi="Calibri" w:cs="Calibri"/>
          <w:sz w:val="22"/>
          <w:szCs w:val="22"/>
        </w:rPr>
        <w:lastRenderedPageBreak/>
        <w:t>Procedure (subject to State aid, procurement law and any additional contractual requirements)</w:t>
      </w:r>
      <w:r>
        <w:rPr>
          <w:rFonts w:ascii="Calibri" w:eastAsia="Calibri" w:hAnsi="Calibri" w:cs="Calibri"/>
          <w:sz w:val="22"/>
          <w:szCs w:val="22"/>
        </w:rPr>
        <w:t>.  Bidders are further reminded that the NPV of the Subsidy Payment</w:t>
      </w:r>
      <w:r w:rsidR="00FC458D">
        <w:rPr>
          <w:rFonts w:ascii="Calibri" w:eastAsia="Calibri" w:hAnsi="Calibri" w:cs="Calibri"/>
          <w:sz w:val="22"/>
          <w:szCs w:val="22"/>
        </w:rPr>
        <w:t>s</w:t>
      </w:r>
      <w:r>
        <w:rPr>
          <w:rFonts w:ascii="Calibri" w:eastAsia="Calibri" w:hAnsi="Calibri" w:cs="Calibri"/>
          <w:sz w:val="22"/>
          <w:szCs w:val="22"/>
        </w:rPr>
        <w:t xml:space="preserve"> cannot exceed the NPV of “the gap”.</w:t>
      </w:r>
    </w:p>
    <w:p w:rsidR="000238FA" w:rsidRDefault="000238FA">
      <w:pPr>
        <w:spacing w:line="264" w:lineRule="auto"/>
        <w:ind w:left="840"/>
      </w:pPr>
    </w:p>
    <w:p w:rsidR="000238FA" w:rsidRDefault="00484379">
      <w:pPr>
        <w:numPr>
          <w:ilvl w:val="2"/>
          <w:numId w:val="8"/>
        </w:numPr>
        <w:spacing w:line="264" w:lineRule="auto"/>
        <w:ind w:hanging="720"/>
        <w:contextualSpacing/>
        <w:rPr>
          <w:rFonts w:ascii="Calibri" w:eastAsia="Calibri" w:hAnsi="Calibri" w:cs="Calibri"/>
          <w:sz w:val="22"/>
          <w:szCs w:val="22"/>
        </w:rPr>
      </w:pPr>
      <w:r>
        <w:rPr>
          <w:rFonts w:ascii="Calibri" w:eastAsia="Calibri" w:hAnsi="Calibri" w:cs="Calibri"/>
          <w:b/>
          <w:sz w:val="22"/>
          <w:szCs w:val="22"/>
        </w:rPr>
        <w:t>Outputs</w:t>
      </w:r>
    </w:p>
    <w:p w:rsidR="000238FA" w:rsidRDefault="000238FA">
      <w:pPr>
        <w:spacing w:line="264" w:lineRule="auto"/>
        <w:ind w:left="840"/>
      </w:pPr>
    </w:p>
    <w:p w:rsidR="000238FA" w:rsidRPr="00D816C3" w:rsidRDefault="00484379">
      <w:pPr>
        <w:numPr>
          <w:ilvl w:val="3"/>
          <w:numId w:val="8"/>
        </w:numPr>
        <w:spacing w:line="264" w:lineRule="auto"/>
        <w:ind w:left="1134" w:hanging="708"/>
        <w:contextualSpacing/>
        <w:rPr>
          <w:rFonts w:ascii="Calibri" w:eastAsia="Calibri" w:hAnsi="Calibri" w:cs="Calibri"/>
          <w:sz w:val="22"/>
          <w:szCs w:val="22"/>
        </w:rPr>
      </w:pPr>
      <w:r>
        <w:rPr>
          <w:rFonts w:ascii="Calibri" w:eastAsia="Calibri" w:hAnsi="Calibri" w:cs="Calibri"/>
          <w:sz w:val="22"/>
          <w:szCs w:val="22"/>
        </w:rPr>
        <w:t xml:space="preserve">Bidders are expected to review the tabs coloured yellow in order to satisfy themselves that their solution flows </w:t>
      </w:r>
      <w:r w:rsidRPr="00D816C3">
        <w:rPr>
          <w:rFonts w:ascii="Calibri" w:eastAsia="Calibri" w:hAnsi="Calibri" w:cs="Calibri"/>
          <w:sz w:val="22"/>
          <w:szCs w:val="22"/>
        </w:rPr>
        <w:t>through the Project Model and provides the expected outputs, such as project NPV and IRR.</w:t>
      </w:r>
    </w:p>
    <w:p w:rsidR="000238FA" w:rsidRDefault="000238FA">
      <w:pPr>
        <w:spacing w:line="264" w:lineRule="auto"/>
        <w:ind w:left="1134"/>
      </w:pPr>
    </w:p>
    <w:p w:rsidR="000238FA" w:rsidRDefault="00484379">
      <w:pPr>
        <w:numPr>
          <w:ilvl w:val="3"/>
          <w:numId w:val="8"/>
        </w:numPr>
        <w:spacing w:line="264" w:lineRule="auto"/>
        <w:ind w:left="1134" w:hanging="708"/>
        <w:contextualSpacing/>
        <w:rPr>
          <w:rFonts w:ascii="Calibri" w:eastAsia="Calibri" w:hAnsi="Calibri" w:cs="Calibri"/>
          <w:sz w:val="22"/>
          <w:szCs w:val="22"/>
        </w:rPr>
      </w:pPr>
      <w:r>
        <w:rPr>
          <w:rFonts w:ascii="Calibri" w:eastAsia="Calibri" w:hAnsi="Calibri" w:cs="Calibri"/>
          <w:sz w:val="22"/>
          <w:szCs w:val="22"/>
        </w:rPr>
        <w:t xml:space="preserve">Bidders </w:t>
      </w:r>
      <w:r w:rsidR="00D03292">
        <w:rPr>
          <w:rFonts w:ascii="Calibri" w:eastAsia="Calibri" w:hAnsi="Calibri" w:cs="Calibri"/>
          <w:b/>
          <w:i/>
          <w:sz w:val="22"/>
          <w:szCs w:val="22"/>
        </w:rPr>
        <w:t>must</w:t>
      </w:r>
      <w:r>
        <w:rPr>
          <w:rFonts w:ascii="Calibri" w:eastAsia="Calibri" w:hAnsi="Calibri" w:cs="Calibri"/>
          <w:sz w:val="22"/>
          <w:szCs w:val="22"/>
        </w:rPr>
        <w:t xml:space="preserve"> ensure that their solution meets the requirements of the various grant funding subsidies in Part 2.</w:t>
      </w:r>
    </w:p>
    <w:p w:rsidR="000238FA" w:rsidRDefault="000238FA">
      <w:pPr>
        <w:ind w:left="720"/>
      </w:pPr>
    </w:p>
    <w:p w:rsidR="000238FA" w:rsidRPr="00D816C3" w:rsidRDefault="00484379">
      <w:pPr>
        <w:numPr>
          <w:ilvl w:val="3"/>
          <w:numId w:val="8"/>
        </w:numPr>
        <w:spacing w:line="264" w:lineRule="auto"/>
        <w:ind w:left="1134" w:hanging="708"/>
        <w:contextualSpacing/>
        <w:rPr>
          <w:rFonts w:ascii="Calibri" w:eastAsia="Calibri" w:hAnsi="Calibri" w:cs="Calibri"/>
          <w:sz w:val="22"/>
          <w:szCs w:val="22"/>
        </w:rPr>
      </w:pPr>
      <w:r>
        <w:rPr>
          <w:rFonts w:ascii="Calibri" w:eastAsia="Calibri" w:hAnsi="Calibri" w:cs="Calibri"/>
          <w:sz w:val="22"/>
          <w:szCs w:val="22"/>
        </w:rPr>
        <w:t xml:space="preserve">The Bid Project Model evaluates the bid over a 20 year (80 quarter) period.  Bidders </w:t>
      </w:r>
      <w:r w:rsidR="00D03292">
        <w:rPr>
          <w:rFonts w:ascii="Calibri" w:eastAsia="Calibri" w:hAnsi="Calibri" w:cs="Calibri"/>
          <w:b/>
          <w:i/>
          <w:sz w:val="22"/>
          <w:szCs w:val="22"/>
        </w:rPr>
        <w:t>must</w:t>
      </w:r>
      <w:r>
        <w:rPr>
          <w:rFonts w:ascii="Calibri" w:eastAsia="Calibri" w:hAnsi="Calibri" w:cs="Calibri"/>
          <w:sz w:val="22"/>
          <w:szCs w:val="22"/>
        </w:rPr>
        <w:t xml:space="preserve"> state and illustrate in the Bid Project Model when this 80 quarter period begins as well as identifying where the deployment phase of the contract ends (i.e. the point that the final M2 milestone is expected to be delivered). The Authority will need to understand and assure the commercial viability of the Bidder's own financial plan throughout this 20 year period</w:t>
      </w:r>
      <w:r w:rsidR="00F96869">
        <w:rPr>
          <w:rFonts w:ascii="Calibri" w:eastAsia="Calibri" w:hAnsi="Calibri" w:cs="Calibri"/>
          <w:sz w:val="22"/>
          <w:szCs w:val="22"/>
        </w:rPr>
        <w:t>,</w:t>
      </w:r>
      <w:r>
        <w:rPr>
          <w:rFonts w:ascii="Calibri" w:eastAsia="Calibri" w:hAnsi="Calibri" w:cs="Calibri"/>
          <w:sz w:val="22"/>
          <w:szCs w:val="22"/>
        </w:rPr>
        <w:t xml:space="preserve"> especially as it relates to the funding of the Bidder itself (notwithstanding that the source and timing of the funding of the Bidder is not included in </w:t>
      </w:r>
      <w:r w:rsidRPr="00D816C3">
        <w:rPr>
          <w:rFonts w:ascii="Calibri" w:eastAsia="Calibri" w:hAnsi="Calibri" w:cs="Calibri"/>
          <w:sz w:val="22"/>
          <w:szCs w:val="22"/>
        </w:rPr>
        <w:t xml:space="preserve">the Bid Project Model other than influencing the weighted average cost of capital and discount rate and is instead specifically covered by the Financial </w:t>
      </w:r>
      <w:r w:rsidR="00F96869" w:rsidRPr="00D816C3">
        <w:rPr>
          <w:rFonts w:ascii="Calibri" w:eastAsia="Calibri" w:hAnsi="Calibri" w:cs="Calibri"/>
          <w:sz w:val="22"/>
          <w:szCs w:val="22"/>
        </w:rPr>
        <w:t>M</w:t>
      </w:r>
      <w:r w:rsidRPr="00D816C3">
        <w:rPr>
          <w:rFonts w:ascii="Calibri" w:eastAsia="Calibri" w:hAnsi="Calibri" w:cs="Calibri"/>
          <w:sz w:val="22"/>
          <w:szCs w:val="22"/>
        </w:rPr>
        <w:t>emorand</w:t>
      </w:r>
      <w:r w:rsidR="00F96869" w:rsidRPr="00D816C3">
        <w:rPr>
          <w:rFonts w:ascii="Calibri" w:eastAsia="Calibri" w:hAnsi="Calibri" w:cs="Calibri"/>
          <w:sz w:val="22"/>
          <w:szCs w:val="22"/>
        </w:rPr>
        <w:t>a</w:t>
      </w:r>
      <w:r w:rsidRPr="00D816C3">
        <w:rPr>
          <w:rFonts w:ascii="Calibri" w:eastAsia="Calibri" w:hAnsi="Calibri" w:cs="Calibri"/>
          <w:sz w:val="22"/>
          <w:szCs w:val="22"/>
        </w:rPr>
        <w:t xml:space="preserve">). </w:t>
      </w:r>
    </w:p>
    <w:p w:rsidR="000238FA" w:rsidRDefault="000238FA">
      <w:pPr>
        <w:ind w:left="720"/>
      </w:pPr>
    </w:p>
    <w:p w:rsidR="000238FA" w:rsidRDefault="00484379">
      <w:pPr>
        <w:numPr>
          <w:ilvl w:val="3"/>
          <w:numId w:val="8"/>
        </w:numPr>
        <w:spacing w:after="120" w:line="264" w:lineRule="auto"/>
        <w:ind w:left="1134" w:hanging="708"/>
        <w:contextualSpacing/>
        <w:rPr>
          <w:rFonts w:ascii="Calibri" w:eastAsia="Calibri" w:hAnsi="Calibri" w:cs="Calibri"/>
          <w:sz w:val="22"/>
          <w:szCs w:val="22"/>
        </w:rPr>
      </w:pPr>
      <w:r>
        <w:rPr>
          <w:rFonts w:ascii="Calibri" w:eastAsia="Calibri" w:hAnsi="Calibri" w:cs="Calibri"/>
          <w:sz w:val="22"/>
          <w:szCs w:val="22"/>
        </w:rPr>
        <w:t xml:space="preserve">In order for the Authority to test the sustainability of the Bidder’s commercial proposal, the Bidder </w:t>
      </w:r>
      <w:r w:rsidR="00D03292">
        <w:rPr>
          <w:rFonts w:ascii="Calibri" w:eastAsia="Calibri" w:hAnsi="Calibri" w:cs="Calibri"/>
          <w:b/>
          <w:i/>
          <w:sz w:val="22"/>
          <w:szCs w:val="22"/>
        </w:rPr>
        <w:t>must</w:t>
      </w:r>
      <w:r>
        <w:rPr>
          <w:rFonts w:ascii="Calibri" w:eastAsia="Calibri" w:hAnsi="Calibri" w:cs="Calibri"/>
          <w:sz w:val="22"/>
          <w:szCs w:val="22"/>
        </w:rPr>
        <w:t xml:space="preserve"> run a series of sensitivity scenarios using their Bid Project Model.  The outputs of these scenarios </w:t>
      </w:r>
      <w:r w:rsidR="00D03292">
        <w:rPr>
          <w:rFonts w:ascii="Calibri" w:eastAsia="Calibri" w:hAnsi="Calibri" w:cs="Calibri"/>
          <w:b/>
          <w:i/>
          <w:sz w:val="22"/>
          <w:szCs w:val="22"/>
        </w:rPr>
        <w:t>must</w:t>
      </w:r>
      <w:r>
        <w:rPr>
          <w:rFonts w:ascii="Calibri" w:eastAsia="Calibri" w:hAnsi="Calibri" w:cs="Calibri"/>
          <w:sz w:val="22"/>
          <w:szCs w:val="22"/>
        </w:rPr>
        <w:t xml:space="preserve"> be detailed in the Financial Memoranda.  The Bidder </w:t>
      </w:r>
      <w:r w:rsidR="00D03292">
        <w:rPr>
          <w:rFonts w:ascii="Calibri" w:eastAsia="Calibri" w:hAnsi="Calibri" w:cs="Calibri"/>
          <w:b/>
          <w:i/>
          <w:sz w:val="22"/>
          <w:szCs w:val="22"/>
        </w:rPr>
        <w:t>must</w:t>
      </w:r>
      <w:r>
        <w:rPr>
          <w:rFonts w:ascii="Calibri" w:eastAsia="Calibri" w:hAnsi="Calibri" w:cs="Calibri"/>
          <w:sz w:val="22"/>
          <w:szCs w:val="22"/>
        </w:rPr>
        <w:t xml:space="preserve"> also provide in their Bid Project Model and/or describe in the Financial Memoranda, any other sensitivity analysis it applies for investment appraisal.  </w:t>
      </w:r>
    </w:p>
    <w:p w:rsidR="000238FA" w:rsidRDefault="00484379">
      <w:pPr>
        <w:spacing w:before="60" w:after="120" w:line="264" w:lineRule="auto"/>
        <w:ind w:left="1797" w:hanging="720"/>
        <w:jc w:val="both"/>
      </w:pPr>
      <w:r>
        <w:rPr>
          <w:rFonts w:ascii="Calibri" w:eastAsia="Calibri" w:hAnsi="Calibri" w:cs="Calibri"/>
          <w:sz w:val="22"/>
          <w:szCs w:val="22"/>
        </w:rPr>
        <w:t>The following scenarios as a minimum must be run:</w:t>
      </w:r>
    </w:p>
    <w:p w:rsidR="000238FA" w:rsidRDefault="00484379">
      <w:pPr>
        <w:numPr>
          <w:ilvl w:val="0"/>
          <w:numId w:val="4"/>
        </w:numPr>
        <w:spacing w:after="120" w:line="264" w:lineRule="auto"/>
        <w:ind w:left="1434" w:hanging="357"/>
        <w:jc w:val="both"/>
        <w:rPr>
          <w:sz w:val="22"/>
          <w:szCs w:val="22"/>
        </w:rPr>
      </w:pPr>
      <w:r>
        <w:rPr>
          <w:rFonts w:ascii="Calibri" w:eastAsia="Calibri" w:hAnsi="Calibri" w:cs="Calibri"/>
          <w:sz w:val="22"/>
          <w:szCs w:val="22"/>
        </w:rPr>
        <w:t>Take up is 10% (i.e. ten percentage points) lower than base-case take up.  Profile of take-up remains the same.</w:t>
      </w:r>
    </w:p>
    <w:p w:rsidR="000238FA" w:rsidRDefault="00484379">
      <w:pPr>
        <w:numPr>
          <w:ilvl w:val="0"/>
          <w:numId w:val="4"/>
        </w:numPr>
        <w:spacing w:after="120" w:line="264" w:lineRule="auto"/>
        <w:ind w:left="1434" w:hanging="357"/>
        <w:jc w:val="both"/>
        <w:rPr>
          <w:sz w:val="22"/>
          <w:szCs w:val="22"/>
        </w:rPr>
      </w:pPr>
      <w:r>
        <w:rPr>
          <w:rFonts w:ascii="Calibri" w:eastAsia="Calibri" w:hAnsi="Calibri" w:cs="Calibri"/>
          <w:sz w:val="22"/>
          <w:szCs w:val="22"/>
        </w:rPr>
        <w:t>Take up is 10% (i.e. ten percentage points) higher than base-case take up.  Profile of take-up remains the same.</w:t>
      </w:r>
    </w:p>
    <w:p w:rsidR="000238FA" w:rsidRDefault="00484379">
      <w:pPr>
        <w:numPr>
          <w:ilvl w:val="0"/>
          <w:numId w:val="4"/>
        </w:numPr>
        <w:spacing w:after="120" w:line="264" w:lineRule="auto"/>
        <w:ind w:left="1434" w:hanging="357"/>
        <w:jc w:val="both"/>
        <w:rPr>
          <w:sz w:val="22"/>
          <w:szCs w:val="22"/>
        </w:rPr>
      </w:pPr>
      <w:r>
        <w:rPr>
          <w:rFonts w:ascii="Calibri" w:eastAsia="Calibri" w:hAnsi="Calibri" w:cs="Calibri"/>
          <w:sz w:val="22"/>
          <w:szCs w:val="22"/>
        </w:rPr>
        <w:t>10% increase in all Capex costs</w:t>
      </w:r>
    </w:p>
    <w:p w:rsidR="000238FA" w:rsidRDefault="00484379">
      <w:pPr>
        <w:numPr>
          <w:ilvl w:val="0"/>
          <w:numId w:val="4"/>
        </w:numPr>
        <w:spacing w:after="120" w:line="264" w:lineRule="auto"/>
        <w:ind w:left="1434" w:hanging="357"/>
        <w:jc w:val="both"/>
        <w:rPr>
          <w:sz w:val="22"/>
          <w:szCs w:val="22"/>
        </w:rPr>
      </w:pPr>
      <w:r>
        <w:rPr>
          <w:rFonts w:ascii="Calibri" w:eastAsia="Calibri" w:hAnsi="Calibri" w:cs="Calibri"/>
          <w:sz w:val="22"/>
          <w:szCs w:val="22"/>
        </w:rPr>
        <w:t>10% increase in all Opex costs</w:t>
      </w:r>
    </w:p>
    <w:p w:rsidR="000238FA" w:rsidRDefault="00484379">
      <w:pPr>
        <w:numPr>
          <w:ilvl w:val="0"/>
          <w:numId w:val="4"/>
        </w:numPr>
        <w:spacing w:after="120" w:line="264" w:lineRule="auto"/>
        <w:ind w:left="1434" w:hanging="357"/>
        <w:jc w:val="both"/>
      </w:pPr>
      <w:bookmarkStart w:id="14" w:name="h.lnxbz9" w:colFirst="0" w:colLast="0"/>
      <w:bookmarkEnd w:id="14"/>
      <w:r>
        <w:rPr>
          <w:rFonts w:ascii="Calibri" w:eastAsia="Calibri" w:hAnsi="Calibri" w:cs="Calibri"/>
          <w:sz w:val="22"/>
          <w:szCs w:val="22"/>
        </w:rPr>
        <w:t>All implementation targets are achieved 6 months later than planned, and take-up is also delayed 6 months, however costs (except those directly attached to take-up) remain as originally forecast.</w:t>
      </w:r>
    </w:p>
    <w:p w:rsidR="000238FA" w:rsidRDefault="00484379">
      <w:pPr>
        <w:numPr>
          <w:ilvl w:val="2"/>
          <w:numId w:val="8"/>
        </w:numPr>
        <w:spacing w:line="264" w:lineRule="auto"/>
        <w:ind w:hanging="720"/>
        <w:contextualSpacing/>
        <w:jc w:val="both"/>
        <w:rPr>
          <w:rFonts w:ascii="Calibri" w:eastAsia="Calibri" w:hAnsi="Calibri" w:cs="Calibri"/>
          <w:b/>
          <w:sz w:val="22"/>
          <w:szCs w:val="22"/>
        </w:rPr>
      </w:pPr>
      <w:r>
        <w:rPr>
          <w:rFonts w:ascii="Calibri" w:eastAsia="Calibri" w:hAnsi="Calibri" w:cs="Calibri"/>
          <w:b/>
          <w:sz w:val="22"/>
          <w:szCs w:val="22"/>
        </w:rPr>
        <w:t>Financial Memoranda</w:t>
      </w:r>
    </w:p>
    <w:p w:rsidR="000238FA" w:rsidRDefault="000238FA">
      <w:pPr>
        <w:spacing w:line="264" w:lineRule="auto"/>
        <w:ind w:left="864"/>
        <w:jc w:val="both"/>
      </w:pPr>
    </w:p>
    <w:p w:rsidR="000238FA" w:rsidRDefault="00484379">
      <w:pPr>
        <w:numPr>
          <w:ilvl w:val="3"/>
          <w:numId w:val="8"/>
        </w:numPr>
        <w:spacing w:line="264" w:lineRule="auto"/>
        <w:ind w:left="1134" w:hanging="708"/>
        <w:contextualSpacing/>
        <w:jc w:val="both"/>
        <w:rPr>
          <w:rFonts w:ascii="Calibri" w:eastAsia="Calibri" w:hAnsi="Calibri" w:cs="Calibri"/>
          <w:b/>
          <w:sz w:val="22"/>
          <w:szCs w:val="22"/>
        </w:rPr>
      </w:pPr>
      <w:r>
        <w:rPr>
          <w:rFonts w:ascii="Calibri" w:eastAsia="Calibri" w:hAnsi="Calibri" w:cs="Calibri"/>
          <w:sz w:val="22"/>
          <w:szCs w:val="22"/>
        </w:rPr>
        <w:t xml:space="preserve">In addition to the completion of the Bid Project Model, the Bidder </w:t>
      </w:r>
      <w:r w:rsidR="00D03292">
        <w:rPr>
          <w:rFonts w:ascii="Calibri" w:eastAsia="Calibri" w:hAnsi="Calibri" w:cs="Calibri"/>
          <w:b/>
          <w:i/>
          <w:sz w:val="22"/>
          <w:szCs w:val="22"/>
        </w:rPr>
        <w:t>must</w:t>
      </w:r>
      <w:r>
        <w:rPr>
          <w:rFonts w:ascii="Calibri" w:eastAsia="Calibri" w:hAnsi="Calibri" w:cs="Calibri"/>
          <w:sz w:val="22"/>
          <w:szCs w:val="22"/>
        </w:rPr>
        <w:t xml:space="preserve"> provide Financial Memoranda and supporting information to support and explain aspects of their proposal. The minimum Financial Memoranda and supporting information are set out below:</w:t>
      </w:r>
    </w:p>
    <w:p w:rsidR="000238FA" w:rsidRDefault="000238FA">
      <w:pPr>
        <w:tabs>
          <w:tab w:val="left" w:pos="864"/>
        </w:tabs>
        <w:spacing w:line="264" w:lineRule="auto"/>
        <w:ind w:left="1898"/>
        <w:jc w:val="both"/>
      </w:pPr>
    </w:p>
    <w:p w:rsidR="000238FA" w:rsidRDefault="00484379">
      <w:pPr>
        <w:numPr>
          <w:ilvl w:val="0"/>
          <w:numId w:val="3"/>
        </w:numPr>
        <w:tabs>
          <w:tab w:val="left" w:pos="864"/>
        </w:tabs>
        <w:spacing w:line="264" w:lineRule="auto"/>
        <w:ind w:hanging="360"/>
        <w:contextualSpacing/>
        <w:jc w:val="both"/>
        <w:rPr>
          <w:sz w:val="22"/>
          <w:szCs w:val="22"/>
        </w:rPr>
      </w:pPr>
      <w:r>
        <w:rPr>
          <w:rFonts w:ascii="Calibri" w:eastAsia="Calibri" w:hAnsi="Calibri" w:cs="Calibri"/>
          <w:sz w:val="22"/>
          <w:szCs w:val="22"/>
        </w:rPr>
        <w:lastRenderedPageBreak/>
        <w:t xml:space="preserve">During periods of negative cashflow, bidders </w:t>
      </w:r>
      <w:r w:rsidR="00D03292">
        <w:rPr>
          <w:rFonts w:ascii="Calibri" w:eastAsia="Calibri" w:hAnsi="Calibri" w:cs="Calibri"/>
          <w:sz w:val="22"/>
          <w:szCs w:val="22"/>
        </w:rPr>
        <w:t>must</w:t>
      </w:r>
      <w:r>
        <w:rPr>
          <w:rFonts w:ascii="Calibri" w:eastAsia="Calibri" w:hAnsi="Calibri" w:cs="Calibri"/>
          <w:sz w:val="22"/>
          <w:szCs w:val="22"/>
        </w:rPr>
        <w:t xml:space="preserve"> provide evidence of suitable financial arrangements that are in place. </w:t>
      </w:r>
    </w:p>
    <w:p w:rsidR="000238FA" w:rsidRDefault="00484379">
      <w:pPr>
        <w:numPr>
          <w:ilvl w:val="0"/>
          <w:numId w:val="3"/>
        </w:numPr>
        <w:tabs>
          <w:tab w:val="left" w:pos="864"/>
        </w:tabs>
        <w:spacing w:after="120" w:line="264" w:lineRule="auto"/>
        <w:ind w:hanging="360"/>
        <w:contextualSpacing/>
        <w:jc w:val="both"/>
        <w:rPr>
          <w:sz w:val="22"/>
          <w:szCs w:val="22"/>
        </w:rPr>
      </w:pPr>
      <w:r>
        <w:rPr>
          <w:rFonts w:ascii="Calibri" w:eastAsia="Calibri" w:hAnsi="Calibri" w:cs="Calibri"/>
          <w:sz w:val="22"/>
          <w:szCs w:val="22"/>
        </w:rPr>
        <w:t>Results of the sensitivity analysis as detailed  above, including cost behaviours and outputs from each sensitivity</w:t>
      </w:r>
      <w:r>
        <w:rPr>
          <w:rFonts w:ascii="Calibri" w:eastAsia="Calibri" w:hAnsi="Calibri" w:cs="Calibri"/>
          <w:color w:val="7030A0"/>
          <w:sz w:val="22"/>
          <w:szCs w:val="22"/>
        </w:rPr>
        <w:t xml:space="preserve">, </w:t>
      </w:r>
      <w:r>
        <w:rPr>
          <w:rFonts w:ascii="Calibri" w:eastAsia="Calibri" w:hAnsi="Calibri" w:cs="Calibri"/>
          <w:sz w:val="22"/>
          <w:szCs w:val="22"/>
        </w:rPr>
        <w:t>specifically providing a description of those circumstances in which the unit costs identified in the Network build, PMO and In life cost books will change from those presented in the Bid Project Model</w:t>
      </w:r>
    </w:p>
    <w:p w:rsidR="000238FA" w:rsidRDefault="00484379">
      <w:pPr>
        <w:numPr>
          <w:ilvl w:val="0"/>
          <w:numId w:val="3"/>
        </w:numPr>
        <w:spacing w:after="120" w:line="264" w:lineRule="auto"/>
        <w:ind w:hanging="360"/>
        <w:jc w:val="both"/>
        <w:rPr>
          <w:sz w:val="22"/>
          <w:szCs w:val="22"/>
        </w:rPr>
      </w:pPr>
      <w:r>
        <w:rPr>
          <w:rFonts w:ascii="Calibri" w:eastAsia="Calibri" w:hAnsi="Calibri" w:cs="Calibri"/>
          <w:sz w:val="22"/>
          <w:szCs w:val="22"/>
        </w:rPr>
        <w:t>Explanation of customer take-up and churn assumptions specific to this Tender</w:t>
      </w:r>
    </w:p>
    <w:p w:rsidR="000238FA" w:rsidRDefault="00484379">
      <w:pPr>
        <w:numPr>
          <w:ilvl w:val="0"/>
          <w:numId w:val="3"/>
        </w:numPr>
        <w:spacing w:after="120" w:line="264" w:lineRule="auto"/>
        <w:ind w:hanging="360"/>
        <w:jc w:val="both"/>
        <w:rPr>
          <w:sz w:val="22"/>
          <w:szCs w:val="22"/>
        </w:rPr>
      </w:pPr>
      <w:r>
        <w:rPr>
          <w:rFonts w:ascii="Calibri" w:eastAsia="Calibri" w:hAnsi="Calibri" w:cs="Calibri"/>
          <w:sz w:val="22"/>
          <w:szCs w:val="22"/>
        </w:rPr>
        <w:t xml:space="preserve">Any other Bidder assumptions and constraints that are critical to the completion of the Deployed Services and that underpin the Project Model. </w:t>
      </w:r>
    </w:p>
    <w:p w:rsidR="000238FA" w:rsidRDefault="00484379">
      <w:pPr>
        <w:numPr>
          <w:ilvl w:val="0"/>
          <w:numId w:val="3"/>
        </w:numPr>
        <w:spacing w:after="120" w:line="264" w:lineRule="auto"/>
        <w:ind w:hanging="360"/>
        <w:jc w:val="both"/>
        <w:rPr>
          <w:sz w:val="22"/>
          <w:szCs w:val="22"/>
        </w:rPr>
      </w:pPr>
      <w:r>
        <w:rPr>
          <w:rFonts w:ascii="Calibri" w:eastAsia="Calibri" w:hAnsi="Calibri" w:cs="Calibri"/>
          <w:sz w:val="22"/>
          <w:szCs w:val="22"/>
        </w:rPr>
        <w:t xml:space="preserve">Confirmation of all relevant </w:t>
      </w:r>
      <w:r w:rsidR="00F96869">
        <w:rPr>
          <w:rFonts w:ascii="Calibri" w:eastAsia="Calibri" w:hAnsi="Calibri" w:cs="Calibri"/>
          <w:sz w:val="22"/>
          <w:szCs w:val="22"/>
        </w:rPr>
        <w:t xml:space="preserve">financial </w:t>
      </w:r>
      <w:r>
        <w:rPr>
          <w:rFonts w:ascii="Calibri" w:eastAsia="Calibri" w:hAnsi="Calibri" w:cs="Calibri"/>
          <w:sz w:val="22"/>
          <w:szCs w:val="22"/>
        </w:rPr>
        <w:t>assumptions that Bidders have made in their solution.</w:t>
      </w:r>
    </w:p>
    <w:p w:rsidR="000238FA" w:rsidRDefault="00484379">
      <w:pPr>
        <w:numPr>
          <w:ilvl w:val="0"/>
          <w:numId w:val="3"/>
        </w:numPr>
        <w:spacing w:after="120" w:line="264" w:lineRule="auto"/>
        <w:ind w:hanging="360"/>
        <w:jc w:val="both"/>
        <w:rPr>
          <w:sz w:val="22"/>
          <w:szCs w:val="22"/>
        </w:rPr>
      </w:pPr>
      <w:r>
        <w:rPr>
          <w:rFonts w:ascii="Calibri" w:eastAsia="Calibri" w:hAnsi="Calibri" w:cs="Calibri"/>
          <w:sz w:val="22"/>
          <w:szCs w:val="22"/>
        </w:rPr>
        <w:t>Confirmation of any cost and revenue deflation or inflation assumptions used in the Project Model.</w:t>
      </w:r>
    </w:p>
    <w:p w:rsidR="000238FA" w:rsidRDefault="00484379">
      <w:pPr>
        <w:numPr>
          <w:ilvl w:val="0"/>
          <w:numId w:val="3"/>
        </w:numPr>
        <w:spacing w:after="120" w:line="264" w:lineRule="auto"/>
        <w:ind w:hanging="360"/>
        <w:jc w:val="both"/>
        <w:rPr>
          <w:sz w:val="22"/>
          <w:szCs w:val="22"/>
        </w:rPr>
      </w:pPr>
      <w:r>
        <w:rPr>
          <w:rFonts w:ascii="Calibri" w:eastAsia="Calibri" w:hAnsi="Calibri" w:cs="Calibri"/>
          <w:sz w:val="22"/>
          <w:szCs w:val="22"/>
        </w:rPr>
        <w:t xml:space="preserve">A calculation of the </w:t>
      </w:r>
      <w:r w:rsidR="00FC6395">
        <w:rPr>
          <w:rFonts w:ascii="Calibri" w:eastAsia="Calibri" w:hAnsi="Calibri" w:cs="Calibri"/>
          <w:sz w:val="22"/>
          <w:szCs w:val="22"/>
        </w:rPr>
        <w:t>l</w:t>
      </w:r>
      <w:r>
        <w:rPr>
          <w:rFonts w:ascii="Calibri" w:eastAsia="Calibri" w:hAnsi="Calibri" w:cs="Calibri"/>
          <w:sz w:val="22"/>
          <w:szCs w:val="22"/>
        </w:rPr>
        <w:t xml:space="preserve">everage at term </w:t>
      </w:r>
      <w:r w:rsidR="00FC6395">
        <w:rPr>
          <w:rFonts w:ascii="Calibri" w:eastAsia="Calibri" w:hAnsi="Calibri" w:cs="Calibri"/>
          <w:sz w:val="22"/>
          <w:szCs w:val="22"/>
        </w:rPr>
        <w:t xml:space="preserve">(see Output tab of Project Model) </w:t>
      </w:r>
      <w:r>
        <w:rPr>
          <w:rFonts w:ascii="Calibri" w:eastAsia="Calibri" w:hAnsi="Calibri" w:cs="Calibri"/>
          <w:sz w:val="22"/>
          <w:szCs w:val="22"/>
        </w:rPr>
        <w:t xml:space="preserve">– which </w:t>
      </w:r>
      <w:r w:rsidR="00D03292">
        <w:rPr>
          <w:rFonts w:ascii="Calibri" w:eastAsia="Calibri" w:hAnsi="Calibri" w:cs="Calibri"/>
          <w:sz w:val="22"/>
          <w:szCs w:val="22"/>
        </w:rPr>
        <w:t>must</w:t>
      </w:r>
      <w:r>
        <w:rPr>
          <w:rFonts w:ascii="Calibri" w:eastAsia="Calibri" w:hAnsi="Calibri" w:cs="Calibri"/>
          <w:sz w:val="22"/>
          <w:szCs w:val="22"/>
        </w:rPr>
        <w:t xml:space="preserve"> be calculated in accordance with the Evaluation Strategy.</w:t>
      </w:r>
    </w:p>
    <w:p w:rsidR="000238FA" w:rsidRDefault="00484379">
      <w:pPr>
        <w:numPr>
          <w:ilvl w:val="0"/>
          <w:numId w:val="3"/>
        </w:numPr>
        <w:spacing w:after="120" w:line="264" w:lineRule="auto"/>
        <w:ind w:hanging="360"/>
        <w:jc w:val="both"/>
        <w:rPr>
          <w:sz w:val="22"/>
          <w:szCs w:val="22"/>
        </w:rPr>
      </w:pPr>
      <w:r>
        <w:rPr>
          <w:rFonts w:ascii="Calibri" w:eastAsia="Calibri" w:hAnsi="Calibri" w:cs="Calibri"/>
          <w:sz w:val="22"/>
          <w:szCs w:val="22"/>
        </w:rPr>
        <w:t>Copies of current insurance cover held with a reputable insurer, demonstrating coverage in accordance with the Contract</w:t>
      </w:r>
      <w:r w:rsidR="009536E0">
        <w:rPr>
          <w:rFonts w:ascii="Calibri" w:eastAsia="Calibri" w:hAnsi="Calibri" w:cs="Calibri"/>
          <w:sz w:val="22"/>
          <w:szCs w:val="22"/>
        </w:rPr>
        <w:t xml:space="preserve"> and/or the intended insurances to be established on Contract signature to enable such compliance</w:t>
      </w:r>
      <w:r>
        <w:rPr>
          <w:rFonts w:ascii="Calibri" w:eastAsia="Calibri" w:hAnsi="Calibri" w:cs="Calibri"/>
          <w:sz w:val="22"/>
          <w:szCs w:val="22"/>
        </w:rPr>
        <w:t>.</w:t>
      </w:r>
    </w:p>
    <w:p w:rsidR="000238FA" w:rsidRDefault="00484379">
      <w:pPr>
        <w:numPr>
          <w:ilvl w:val="0"/>
          <w:numId w:val="3"/>
        </w:numPr>
        <w:spacing w:after="120" w:line="264" w:lineRule="auto"/>
        <w:ind w:hanging="360"/>
        <w:jc w:val="both"/>
        <w:rPr>
          <w:sz w:val="22"/>
          <w:szCs w:val="22"/>
        </w:rPr>
      </w:pPr>
      <w:r>
        <w:rPr>
          <w:rFonts w:ascii="Calibri" w:eastAsia="Calibri" w:hAnsi="Calibri" w:cs="Calibri"/>
          <w:sz w:val="22"/>
          <w:szCs w:val="22"/>
        </w:rPr>
        <w:t xml:space="preserve">Bidders </w:t>
      </w:r>
      <w:r w:rsidR="00D03292">
        <w:rPr>
          <w:rFonts w:ascii="Calibri" w:eastAsia="Calibri" w:hAnsi="Calibri" w:cs="Calibri"/>
          <w:sz w:val="22"/>
          <w:szCs w:val="22"/>
        </w:rPr>
        <w:t>must</w:t>
      </w:r>
      <w:r>
        <w:rPr>
          <w:rFonts w:ascii="Calibri" w:eastAsia="Calibri" w:hAnsi="Calibri" w:cs="Calibri"/>
          <w:sz w:val="22"/>
          <w:szCs w:val="22"/>
        </w:rPr>
        <w:t xml:space="preserve"> also provide a comparison of the cumulative capital expenditure expected to be required against the cumulative public subsidy paid, in accordance with the proposed Milestone payments, to confirm that capital expenditure always exceeds public subsidy and the ratio of public subsidy to the Bidders own funding is maintain</w:t>
      </w:r>
      <w:r w:rsidR="009536E0">
        <w:rPr>
          <w:rFonts w:ascii="Calibri" w:eastAsia="Calibri" w:hAnsi="Calibri" w:cs="Calibri"/>
          <w:sz w:val="22"/>
          <w:szCs w:val="22"/>
        </w:rPr>
        <w:t>ed throughout deployment period</w:t>
      </w:r>
      <w:r>
        <w:rPr>
          <w:rFonts w:ascii="Calibri" w:eastAsia="Calibri" w:hAnsi="Calibri" w:cs="Calibri"/>
          <w:sz w:val="22"/>
          <w:szCs w:val="22"/>
        </w:rPr>
        <w:t>.</w:t>
      </w:r>
    </w:p>
    <w:p w:rsidR="000238FA" w:rsidRDefault="00484379">
      <w:pPr>
        <w:numPr>
          <w:ilvl w:val="0"/>
          <w:numId w:val="3"/>
        </w:numPr>
        <w:spacing w:after="120" w:line="264" w:lineRule="auto"/>
        <w:ind w:hanging="360"/>
        <w:jc w:val="both"/>
        <w:rPr>
          <w:sz w:val="22"/>
          <w:szCs w:val="22"/>
        </w:rPr>
      </w:pPr>
      <w:r>
        <w:rPr>
          <w:rFonts w:ascii="Calibri" w:eastAsia="Calibri" w:hAnsi="Calibri" w:cs="Calibri"/>
          <w:sz w:val="22"/>
          <w:szCs w:val="22"/>
        </w:rPr>
        <w:t xml:space="preserve">Bidders </w:t>
      </w:r>
      <w:r w:rsidR="00D03292">
        <w:rPr>
          <w:rFonts w:ascii="Calibri" w:eastAsia="Calibri" w:hAnsi="Calibri" w:cs="Calibri"/>
          <w:sz w:val="22"/>
          <w:szCs w:val="22"/>
        </w:rPr>
        <w:t>must</w:t>
      </w:r>
      <w:r>
        <w:rPr>
          <w:rFonts w:ascii="Calibri" w:eastAsia="Calibri" w:hAnsi="Calibri" w:cs="Calibri"/>
          <w:sz w:val="22"/>
          <w:szCs w:val="22"/>
        </w:rPr>
        <w:t xml:space="preserve"> justify the </w:t>
      </w:r>
      <w:r w:rsidRPr="00D816C3">
        <w:rPr>
          <w:rFonts w:ascii="Calibri" w:eastAsia="Calibri" w:hAnsi="Calibri" w:cs="Calibri"/>
          <w:sz w:val="22"/>
          <w:szCs w:val="22"/>
        </w:rPr>
        <w:t>discount rate specified on the General Assumptions tab of the Project Model (w</w:t>
      </w:r>
      <w:r>
        <w:rPr>
          <w:rFonts w:ascii="Calibri" w:eastAsia="Calibri" w:hAnsi="Calibri" w:cs="Calibri"/>
          <w:sz w:val="22"/>
          <w:szCs w:val="22"/>
        </w:rPr>
        <w:t>ith reference to the Bidder’s company weighted average cost of capital and any project-specific adjustment).</w:t>
      </w:r>
    </w:p>
    <w:p w:rsidR="000238FA" w:rsidRDefault="00484379">
      <w:pPr>
        <w:numPr>
          <w:ilvl w:val="0"/>
          <w:numId w:val="3"/>
        </w:numPr>
        <w:spacing w:after="120" w:line="264" w:lineRule="auto"/>
        <w:ind w:hanging="360"/>
        <w:jc w:val="both"/>
        <w:rPr>
          <w:sz w:val="22"/>
          <w:szCs w:val="22"/>
        </w:rPr>
      </w:pPr>
      <w:bookmarkStart w:id="15" w:name="h.35nkun2" w:colFirst="0" w:colLast="0"/>
      <w:bookmarkEnd w:id="15"/>
      <w:r>
        <w:rPr>
          <w:rFonts w:ascii="Calibri" w:eastAsia="Calibri" w:hAnsi="Calibri" w:cs="Calibri"/>
          <w:sz w:val="22"/>
          <w:szCs w:val="22"/>
        </w:rPr>
        <w:t xml:space="preserve">An explanation of why the </w:t>
      </w:r>
      <w:r w:rsidR="009536E0">
        <w:rPr>
          <w:rFonts w:ascii="Calibri" w:eastAsia="Calibri" w:hAnsi="Calibri" w:cs="Calibri"/>
          <w:sz w:val="22"/>
          <w:szCs w:val="22"/>
        </w:rPr>
        <w:t>B</w:t>
      </w:r>
      <w:r>
        <w:rPr>
          <w:rFonts w:ascii="Calibri" w:eastAsia="Calibri" w:hAnsi="Calibri" w:cs="Calibri"/>
          <w:sz w:val="22"/>
          <w:szCs w:val="22"/>
        </w:rPr>
        <w:t xml:space="preserve">idder considers all of </w:t>
      </w:r>
      <w:r w:rsidR="009536E0">
        <w:rPr>
          <w:rFonts w:ascii="Calibri" w:eastAsia="Calibri" w:hAnsi="Calibri" w:cs="Calibri"/>
          <w:sz w:val="22"/>
          <w:szCs w:val="22"/>
        </w:rPr>
        <w:t>its</w:t>
      </w:r>
      <w:r>
        <w:rPr>
          <w:rFonts w:ascii="Calibri" w:eastAsia="Calibri" w:hAnsi="Calibri" w:cs="Calibri"/>
          <w:sz w:val="22"/>
          <w:szCs w:val="22"/>
        </w:rPr>
        <w:t xml:space="preserve"> public subsidy requirement is permissible as capital expenditure under local authority capital rules as defined by the Local Authority CIPFA Code of Practice and Generally Accepted Accounting Principles</w:t>
      </w:r>
      <w:r w:rsidR="009536E0">
        <w:rPr>
          <w:rFonts w:ascii="Calibri" w:eastAsia="Calibri" w:hAnsi="Calibri" w:cs="Calibri"/>
          <w:sz w:val="22"/>
          <w:szCs w:val="22"/>
        </w:rPr>
        <w:t>.</w:t>
      </w:r>
    </w:p>
    <w:p w:rsidR="000238FA" w:rsidRDefault="00484379">
      <w:pPr>
        <w:numPr>
          <w:ilvl w:val="0"/>
          <w:numId w:val="3"/>
        </w:numPr>
        <w:spacing w:after="120" w:line="264" w:lineRule="auto"/>
        <w:ind w:hanging="360"/>
        <w:jc w:val="both"/>
        <w:rPr>
          <w:sz w:val="22"/>
          <w:szCs w:val="22"/>
        </w:rPr>
      </w:pPr>
      <w:r>
        <w:rPr>
          <w:rFonts w:ascii="Calibri" w:eastAsia="Calibri" w:hAnsi="Calibri" w:cs="Calibri"/>
          <w:sz w:val="22"/>
          <w:szCs w:val="22"/>
        </w:rPr>
        <w:t xml:space="preserve">Where the Bidder intends to utilise subcontractors as part of its supply chain during deployment, the bidder </w:t>
      </w:r>
      <w:r w:rsidR="00D03292">
        <w:rPr>
          <w:rFonts w:ascii="Calibri" w:eastAsia="Calibri" w:hAnsi="Calibri" w:cs="Calibri"/>
          <w:sz w:val="22"/>
          <w:szCs w:val="22"/>
        </w:rPr>
        <w:t>must</w:t>
      </w:r>
      <w:r>
        <w:rPr>
          <w:rFonts w:ascii="Calibri" w:eastAsia="Calibri" w:hAnsi="Calibri" w:cs="Calibri"/>
          <w:sz w:val="22"/>
          <w:szCs w:val="22"/>
        </w:rPr>
        <w:t xml:space="preserve"> provide assurance </w:t>
      </w:r>
      <w:r w:rsidR="00BE7209">
        <w:rPr>
          <w:rFonts w:ascii="Calibri" w:eastAsia="Calibri" w:hAnsi="Calibri" w:cs="Calibri"/>
          <w:sz w:val="22"/>
          <w:szCs w:val="22"/>
        </w:rPr>
        <w:t>in</w:t>
      </w:r>
      <w:r>
        <w:rPr>
          <w:rFonts w:ascii="Calibri" w:eastAsia="Calibri" w:hAnsi="Calibri" w:cs="Calibri"/>
          <w:sz w:val="22"/>
          <w:szCs w:val="22"/>
        </w:rPr>
        <w:t xml:space="preserve"> its Bidder response that it </w:t>
      </w:r>
      <w:r w:rsidR="00BE7209">
        <w:rPr>
          <w:rFonts w:ascii="Calibri" w:eastAsia="Calibri" w:hAnsi="Calibri" w:cs="Calibri"/>
          <w:sz w:val="22"/>
          <w:szCs w:val="22"/>
        </w:rPr>
        <w:t>operates</w:t>
      </w:r>
      <w:r>
        <w:rPr>
          <w:rFonts w:ascii="Calibri" w:eastAsia="Calibri" w:hAnsi="Calibri" w:cs="Calibri"/>
          <w:sz w:val="22"/>
          <w:szCs w:val="22"/>
        </w:rPr>
        <w:t xml:space="preserve"> robust </w:t>
      </w:r>
      <w:r w:rsidR="00BE7209">
        <w:rPr>
          <w:rFonts w:ascii="Calibri" w:eastAsia="Calibri" w:hAnsi="Calibri" w:cs="Calibri"/>
          <w:sz w:val="22"/>
          <w:szCs w:val="22"/>
        </w:rPr>
        <w:t xml:space="preserve">standard </w:t>
      </w:r>
      <w:r>
        <w:rPr>
          <w:rFonts w:ascii="Calibri" w:eastAsia="Calibri" w:hAnsi="Calibri" w:cs="Calibri"/>
          <w:sz w:val="22"/>
          <w:szCs w:val="22"/>
        </w:rPr>
        <w:t>procurement process</w:t>
      </w:r>
      <w:r w:rsidR="00BE7209">
        <w:rPr>
          <w:rFonts w:ascii="Calibri" w:eastAsia="Calibri" w:hAnsi="Calibri" w:cs="Calibri"/>
          <w:sz w:val="22"/>
          <w:szCs w:val="22"/>
        </w:rPr>
        <w:t>es</w:t>
      </w:r>
      <w:r>
        <w:rPr>
          <w:rFonts w:ascii="Calibri" w:eastAsia="Calibri" w:hAnsi="Calibri" w:cs="Calibri"/>
          <w:sz w:val="22"/>
          <w:szCs w:val="22"/>
        </w:rPr>
        <w:t xml:space="preserve"> </w:t>
      </w:r>
      <w:r w:rsidR="00BE7209">
        <w:rPr>
          <w:rFonts w:ascii="Calibri" w:eastAsia="Calibri" w:hAnsi="Calibri" w:cs="Calibri"/>
          <w:sz w:val="22"/>
          <w:szCs w:val="22"/>
        </w:rPr>
        <w:t xml:space="preserve">(including </w:t>
      </w:r>
      <w:r>
        <w:rPr>
          <w:rFonts w:ascii="Calibri" w:eastAsia="Calibri" w:hAnsi="Calibri" w:cs="Calibri"/>
          <w:sz w:val="22"/>
          <w:szCs w:val="22"/>
        </w:rPr>
        <w:t>process</w:t>
      </w:r>
      <w:r w:rsidR="00BE7209">
        <w:rPr>
          <w:rFonts w:ascii="Calibri" w:eastAsia="Calibri" w:hAnsi="Calibri" w:cs="Calibri"/>
          <w:sz w:val="22"/>
          <w:szCs w:val="22"/>
        </w:rPr>
        <w:t>es</w:t>
      </w:r>
      <w:r>
        <w:rPr>
          <w:rFonts w:ascii="Calibri" w:eastAsia="Calibri" w:hAnsi="Calibri" w:cs="Calibri"/>
          <w:sz w:val="22"/>
          <w:szCs w:val="22"/>
        </w:rPr>
        <w:t xml:space="preserve"> </w:t>
      </w:r>
      <w:r w:rsidR="00BE7209">
        <w:rPr>
          <w:rFonts w:ascii="Calibri" w:eastAsia="Calibri" w:hAnsi="Calibri" w:cs="Calibri"/>
          <w:sz w:val="22"/>
          <w:szCs w:val="22"/>
        </w:rPr>
        <w:t>to ensure</w:t>
      </w:r>
      <w:r>
        <w:rPr>
          <w:rFonts w:ascii="Calibri" w:eastAsia="Calibri" w:hAnsi="Calibri" w:cs="Calibri"/>
          <w:sz w:val="22"/>
          <w:szCs w:val="22"/>
        </w:rPr>
        <w:t xml:space="preserve"> </w:t>
      </w:r>
      <w:r w:rsidR="00BE7209">
        <w:rPr>
          <w:rFonts w:ascii="Calibri" w:eastAsia="Calibri" w:hAnsi="Calibri" w:cs="Calibri"/>
          <w:sz w:val="22"/>
          <w:szCs w:val="22"/>
        </w:rPr>
        <w:t>achieving good value for money and that</w:t>
      </w:r>
      <w:r>
        <w:rPr>
          <w:rFonts w:ascii="Calibri" w:eastAsia="Calibri" w:hAnsi="Calibri" w:cs="Calibri"/>
          <w:sz w:val="22"/>
          <w:szCs w:val="22"/>
        </w:rPr>
        <w:t xml:space="preserve"> those contracted in resources have suitable skills</w:t>
      </w:r>
      <w:r w:rsidR="00BE7209">
        <w:rPr>
          <w:rFonts w:ascii="Calibri" w:eastAsia="Calibri" w:hAnsi="Calibri" w:cs="Calibri"/>
          <w:sz w:val="22"/>
          <w:szCs w:val="22"/>
        </w:rPr>
        <w:t xml:space="preserve"> and capabilities)</w:t>
      </w:r>
      <w:r>
        <w:rPr>
          <w:rFonts w:ascii="Calibri" w:eastAsia="Calibri" w:hAnsi="Calibri" w:cs="Calibri"/>
          <w:sz w:val="22"/>
          <w:szCs w:val="22"/>
        </w:rPr>
        <w:t>.</w:t>
      </w:r>
    </w:p>
    <w:p w:rsidR="000238FA" w:rsidRDefault="00484379">
      <w:pPr>
        <w:keepNext/>
        <w:keepLines/>
        <w:numPr>
          <w:ilvl w:val="1"/>
          <w:numId w:val="8"/>
        </w:numPr>
        <w:spacing w:after="120" w:line="276" w:lineRule="auto"/>
        <w:ind w:left="578" w:hanging="578"/>
        <w:jc w:val="both"/>
        <w:rPr>
          <w:rFonts w:ascii="Calibri" w:eastAsia="Calibri" w:hAnsi="Calibri" w:cs="Calibri"/>
          <w:b/>
          <w:sz w:val="32"/>
          <w:szCs w:val="32"/>
        </w:rPr>
      </w:pPr>
      <w:r>
        <w:rPr>
          <w:rFonts w:ascii="Calibri" w:eastAsia="Calibri" w:hAnsi="Calibri" w:cs="Calibri"/>
          <w:b/>
          <w:sz w:val="32"/>
          <w:szCs w:val="32"/>
        </w:rPr>
        <w:t>Public Subsidy Funding Categorisation</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 xml:space="preserve">Bidders </w:t>
      </w:r>
      <w:r w:rsidR="00D03292">
        <w:rPr>
          <w:rFonts w:ascii="Calibri" w:eastAsia="Calibri" w:hAnsi="Calibri" w:cs="Calibri"/>
          <w:b/>
          <w:i/>
          <w:sz w:val="22"/>
          <w:szCs w:val="22"/>
        </w:rPr>
        <w:t>must</w:t>
      </w:r>
      <w:r>
        <w:rPr>
          <w:rFonts w:ascii="Calibri" w:eastAsia="Calibri" w:hAnsi="Calibri" w:cs="Calibri"/>
          <w:sz w:val="22"/>
          <w:szCs w:val="22"/>
        </w:rPr>
        <w:t xml:space="preserve"> indicate on tab 11. “Network build cashflows” of their Bid Project Model those categories of costs which they believe qualify for public subsidy (marking them as either “Capex non PMO” or “Capex PMO” as appropriate). </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lastRenderedPageBreak/>
        <w:t xml:space="preserve">For sources of public subsidy as detailed in Part 2 of this ITT, this funding will only be available for qualifying capital expenditure on broadband infrastructure.  For </w:t>
      </w:r>
      <w:r w:rsidR="00C74748">
        <w:rPr>
          <w:rFonts w:ascii="Calibri" w:eastAsia="Calibri" w:hAnsi="Calibri" w:cs="Calibri"/>
          <w:sz w:val="22"/>
          <w:szCs w:val="22"/>
        </w:rPr>
        <w:t xml:space="preserve">claims, </w:t>
      </w:r>
      <w:r>
        <w:rPr>
          <w:rFonts w:ascii="Calibri" w:eastAsia="Calibri" w:hAnsi="Calibri" w:cs="Calibri"/>
          <w:sz w:val="22"/>
          <w:szCs w:val="22"/>
        </w:rPr>
        <w:t xml:space="preserve">audit and reporting purposes therefore, Bidder qualifying expenditure from this source of public subsidy </w:t>
      </w:r>
      <w:r w:rsidR="00BE7209">
        <w:rPr>
          <w:rFonts w:ascii="Calibri" w:eastAsia="Calibri" w:hAnsi="Calibri" w:cs="Calibri"/>
          <w:sz w:val="22"/>
          <w:szCs w:val="22"/>
        </w:rPr>
        <w:t xml:space="preserve">is limited to that which (i) </w:t>
      </w:r>
      <w:r w:rsidR="00BE7209" w:rsidRPr="00BE7209">
        <w:rPr>
          <w:rFonts w:ascii="Calibri" w:eastAsia="Calibri" w:hAnsi="Calibri" w:cs="Calibri"/>
          <w:sz w:val="22"/>
          <w:szCs w:val="22"/>
        </w:rPr>
        <w:t>can be reasonably allocated or apportioned to the Contract; (ii) is incremental to the supplier’s cost base that would otherwise have been incurred; (iii) is incurred in accordance with this Contract; (iii) is directly attributable to bringing the wholesale access infrastructure to the location and working condition necessary for its intended use but excluding those costs directly attributable to connecting end user premises to the network; and (iv) is capable of being capitalised under Generally Accepted Accountancy Principles</w:t>
      </w:r>
      <w:r>
        <w:rPr>
          <w:rFonts w:ascii="Calibri" w:eastAsia="Calibri" w:hAnsi="Calibri" w:cs="Calibri"/>
          <w:sz w:val="22"/>
          <w:szCs w:val="22"/>
        </w:rPr>
        <w:t>.</w:t>
      </w:r>
    </w:p>
    <w:p w:rsidR="000238FA" w:rsidRDefault="00484379">
      <w:pPr>
        <w:keepNext/>
        <w:keepLines/>
        <w:numPr>
          <w:ilvl w:val="1"/>
          <w:numId w:val="8"/>
        </w:numPr>
        <w:spacing w:before="360" w:after="120" w:line="276" w:lineRule="auto"/>
        <w:ind w:hanging="576"/>
        <w:jc w:val="both"/>
        <w:rPr>
          <w:rFonts w:ascii="Calibri" w:eastAsia="Calibri" w:hAnsi="Calibri" w:cs="Calibri"/>
          <w:b/>
          <w:sz w:val="32"/>
          <w:szCs w:val="32"/>
        </w:rPr>
      </w:pPr>
      <w:r>
        <w:rPr>
          <w:rFonts w:ascii="Calibri" w:eastAsia="Calibri" w:hAnsi="Calibri" w:cs="Calibri"/>
          <w:b/>
          <w:sz w:val="32"/>
          <w:szCs w:val="32"/>
        </w:rPr>
        <w:t>Requirements for Solution Component Template</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 xml:space="preserve">Bidders </w:t>
      </w:r>
      <w:r w:rsidR="00D03292">
        <w:rPr>
          <w:rFonts w:ascii="Calibri" w:eastAsia="Calibri" w:hAnsi="Calibri" w:cs="Calibri"/>
          <w:sz w:val="22"/>
          <w:szCs w:val="22"/>
        </w:rPr>
        <w:t>must</w:t>
      </w:r>
      <w:r>
        <w:rPr>
          <w:rFonts w:ascii="Calibri" w:eastAsia="Calibri" w:hAnsi="Calibri" w:cs="Calibri"/>
          <w:sz w:val="22"/>
          <w:szCs w:val="22"/>
        </w:rPr>
        <w:t xml:space="preserve"> follow the general requirements for Solution Component Template</w:t>
      </w:r>
      <w:r w:rsidR="00F705C8">
        <w:rPr>
          <w:rFonts w:ascii="Calibri" w:eastAsia="Calibri" w:hAnsi="Calibri" w:cs="Calibri"/>
          <w:sz w:val="22"/>
          <w:szCs w:val="22"/>
        </w:rPr>
        <w:t>s</w:t>
      </w:r>
      <w:r>
        <w:rPr>
          <w:rFonts w:ascii="Calibri" w:eastAsia="Calibri" w:hAnsi="Calibri" w:cs="Calibri"/>
          <w:sz w:val="22"/>
          <w:szCs w:val="22"/>
        </w:rPr>
        <w:t xml:space="preserve"> as set out below:</w:t>
      </w:r>
    </w:p>
    <w:p w:rsidR="000238FA" w:rsidRPr="00721D9D" w:rsidRDefault="00484379" w:rsidP="00721D9D">
      <w:pPr>
        <w:numPr>
          <w:ilvl w:val="0"/>
          <w:numId w:val="3"/>
        </w:numPr>
        <w:spacing w:after="120" w:line="264" w:lineRule="auto"/>
        <w:ind w:hanging="360"/>
        <w:jc w:val="both"/>
        <w:rPr>
          <w:rFonts w:ascii="Calibri" w:eastAsia="Calibri" w:hAnsi="Calibri" w:cs="Calibri"/>
          <w:sz w:val="22"/>
          <w:szCs w:val="22"/>
        </w:rPr>
      </w:pPr>
      <w:r>
        <w:rPr>
          <w:rFonts w:ascii="Calibri" w:eastAsia="Calibri" w:hAnsi="Calibri" w:cs="Calibri"/>
          <w:sz w:val="22"/>
          <w:szCs w:val="22"/>
        </w:rPr>
        <w:t xml:space="preserve">The model </w:t>
      </w:r>
      <w:r w:rsidR="00D03292" w:rsidRPr="00721D9D">
        <w:rPr>
          <w:rFonts w:ascii="Calibri" w:eastAsia="Calibri" w:hAnsi="Calibri" w:cs="Calibri"/>
          <w:sz w:val="22"/>
          <w:szCs w:val="22"/>
        </w:rPr>
        <w:t>must</w:t>
      </w:r>
      <w:r>
        <w:rPr>
          <w:rFonts w:ascii="Calibri" w:eastAsia="Calibri" w:hAnsi="Calibri" w:cs="Calibri"/>
          <w:sz w:val="22"/>
          <w:szCs w:val="22"/>
        </w:rPr>
        <w:t xml:space="preserve"> not include any Bidder protected or hidden areas</w:t>
      </w:r>
    </w:p>
    <w:p w:rsidR="000238FA" w:rsidRPr="00721D9D" w:rsidRDefault="00484379" w:rsidP="00721D9D">
      <w:pPr>
        <w:numPr>
          <w:ilvl w:val="0"/>
          <w:numId w:val="3"/>
        </w:numPr>
        <w:spacing w:after="120" w:line="264" w:lineRule="auto"/>
        <w:ind w:hanging="360"/>
        <w:jc w:val="both"/>
        <w:rPr>
          <w:rFonts w:ascii="Calibri" w:eastAsia="Calibri" w:hAnsi="Calibri" w:cs="Calibri"/>
          <w:sz w:val="22"/>
          <w:szCs w:val="22"/>
        </w:rPr>
      </w:pPr>
      <w:r>
        <w:rPr>
          <w:rFonts w:ascii="Calibri" w:eastAsia="Calibri" w:hAnsi="Calibri" w:cs="Calibri"/>
          <w:sz w:val="22"/>
          <w:szCs w:val="22"/>
        </w:rPr>
        <w:t xml:space="preserve">Bidders’ </w:t>
      </w:r>
      <w:r w:rsidR="00D03292" w:rsidRPr="00721D9D">
        <w:rPr>
          <w:rFonts w:ascii="Calibri" w:eastAsia="Calibri" w:hAnsi="Calibri" w:cs="Calibri"/>
          <w:sz w:val="22"/>
          <w:szCs w:val="22"/>
        </w:rPr>
        <w:t>must</w:t>
      </w:r>
      <w:r>
        <w:rPr>
          <w:rFonts w:ascii="Calibri" w:eastAsia="Calibri" w:hAnsi="Calibri" w:cs="Calibri"/>
          <w:sz w:val="22"/>
          <w:szCs w:val="22"/>
        </w:rPr>
        <w:t xml:space="preserve"> use Microsoft Excel 2010 or fully compatible versions</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 xml:space="preserve">A Solution Component </w:t>
      </w:r>
      <w:r w:rsidR="00B2120A">
        <w:rPr>
          <w:rFonts w:ascii="Calibri" w:eastAsia="Calibri" w:hAnsi="Calibri" w:cs="Calibri"/>
          <w:sz w:val="22"/>
          <w:szCs w:val="22"/>
        </w:rPr>
        <w:t>T</w:t>
      </w:r>
      <w:r>
        <w:rPr>
          <w:rFonts w:ascii="Calibri" w:eastAsia="Calibri" w:hAnsi="Calibri" w:cs="Calibri"/>
          <w:sz w:val="22"/>
          <w:szCs w:val="22"/>
        </w:rPr>
        <w:t xml:space="preserve">emplate must be submitted for any </w:t>
      </w:r>
      <w:r w:rsidR="00F705C8">
        <w:rPr>
          <w:rFonts w:ascii="Calibri" w:eastAsia="Calibri" w:hAnsi="Calibri" w:cs="Calibri"/>
          <w:sz w:val="22"/>
          <w:szCs w:val="22"/>
        </w:rPr>
        <w:t>Solution C</w:t>
      </w:r>
      <w:r>
        <w:rPr>
          <w:rFonts w:ascii="Calibri" w:eastAsia="Calibri" w:hAnsi="Calibri" w:cs="Calibri"/>
          <w:sz w:val="22"/>
          <w:szCs w:val="22"/>
        </w:rPr>
        <w:t>omponent</w:t>
      </w:r>
      <w:r w:rsidR="00F705C8">
        <w:rPr>
          <w:rFonts w:ascii="Calibri" w:eastAsia="Calibri" w:hAnsi="Calibri" w:cs="Calibri"/>
          <w:sz w:val="22"/>
          <w:szCs w:val="22"/>
        </w:rPr>
        <w:t>s</w:t>
      </w:r>
      <w:r>
        <w:rPr>
          <w:rFonts w:ascii="Calibri" w:eastAsia="Calibri" w:hAnsi="Calibri" w:cs="Calibri"/>
          <w:sz w:val="22"/>
          <w:szCs w:val="22"/>
        </w:rPr>
        <w:t xml:space="preserve"> or </w:t>
      </w:r>
      <w:r w:rsidR="00F705C8">
        <w:rPr>
          <w:rFonts w:ascii="Calibri" w:eastAsia="Calibri" w:hAnsi="Calibri" w:cs="Calibri"/>
          <w:sz w:val="22"/>
          <w:szCs w:val="22"/>
        </w:rPr>
        <w:t>s</w:t>
      </w:r>
      <w:r>
        <w:rPr>
          <w:rFonts w:ascii="Calibri" w:eastAsia="Calibri" w:hAnsi="Calibri" w:cs="Calibri"/>
          <w:sz w:val="22"/>
          <w:szCs w:val="22"/>
        </w:rPr>
        <w:t>ub</w:t>
      </w:r>
      <w:r w:rsidR="00F705C8">
        <w:rPr>
          <w:rFonts w:ascii="Calibri" w:eastAsia="Calibri" w:hAnsi="Calibri" w:cs="Calibri"/>
          <w:sz w:val="22"/>
          <w:szCs w:val="22"/>
        </w:rPr>
        <w:t>-c</w:t>
      </w:r>
      <w:r>
        <w:rPr>
          <w:rFonts w:ascii="Calibri" w:eastAsia="Calibri" w:hAnsi="Calibri" w:cs="Calibri"/>
          <w:sz w:val="22"/>
          <w:szCs w:val="22"/>
        </w:rPr>
        <w:t>omponent</w:t>
      </w:r>
      <w:r w:rsidR="00F705C8">
        <w:rPr>
          <w:rFonts w:ascii="Calibri" w:eastAsia="Calibri" w:hAnsi="Calibri" w:cs="Calibri"/>
          <w:sz w:val="22"/>
          <w:szCs w:val="22"/>
        </w:rPr>
        <w:t>s</w:t>
      </w:r>
      <w:r w:rsidR="006F1B0E">
        <w:rPr>
          <w:rFonts w:ascii="Calibri" w:eastAsia="Calibri" w:hAnsi="Calibri" w:cs="Calibri"/>
          <w:sz w:val="22"/>
          <w:szCs w:val="22"/>
        </w:rPr>
        <w:t>.</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All responses must be completed in the Solution Component Template</w:t>
      </w:r>
      <w:r w:rsidR="006F1B0E">
        <w:rPr>
          <w:rFonts w:ascii="Calibri" w:eastAsia="Calibri" w:hAnsi="Calibri" w:cs="Calibri"/>
          <w:sz w:val="22"/>
          <w:szCs w:val="22"/>
        </w:rPr>
        <w:t>.</w:t>
      </w:r>
    </w:p>
    <w:p w:rsidR="000238FA" w:rsidRDefault="00484379">
      <w:pPr>
        <w:numPr>
          <w:ilvl w:val="2"/>
          <w:numId w:val="8"/>
        </w:numPr>
        <w:tabs>
          <w:tab w:val="left" w:pos="864"/>
        </w:tabs>
        <w:spacing w:after="120" w:line="264" w:lineRule="auto"/>
        <w:ind w:left="839" w:hanging="720"/>
        <w:jc w:val="both"/>
        <w:rPr>
          <w:rFonts w:ascii="Calibri" w:eastAsia="Calibri" w:hAnsi="Calibri" w:cs="Calibri"/>
          <w:sz w:val="22"/>
          <w:szCs w:val="22"/>
        </w:rPr>
      </w:pPr>
      <w:r>
        <w:rPr>
          <w:rFonts w:ascii="Calibri" w:eastAsia="Calibri" w:hAnsi="Calibri" w:cs="Calibri"/>
          <w:sz w:val="22"/>
          <w:szCs w:val="22"/>
        </w:rPr>
        <w:t>The details submitted on a Solution Component Template must then be used as Network components throughout the Bid Project Model</w:t>
      </w:r>
      <w:r w:rsidR="006F1B0E">
        <w:rPr>
          <w:rFonts w:ascii="Calibri" w:eastAsia="Calibri" w:hAnsi="Calibri" w:cs="Calibri"/>
          <w:sz w:val="22"/>
          <w:szCs w:val="22"/>
        </w:rPr>
        <w:t>.</w:t>
      </w:r>
    </w:p>
    <w:p w:rsidR="000238FA" w:rsidRDefault="00484379">
      <w:pPr>
        <w:keepNext/>
        <w:keepLines/>
        <w:numPr>
          <w:ilvl w:val="1"/>
          <w:numId w:val="8"/>
        </w:numPr>
        <w:spacing w:before="240" w:after="120" w:line="276" w:lineRule="auto"/>
        <w:ind w:left="578" w:hanging="578"/>
        <w:jc w:val="both"/>
        <w:rPr>
          <w:rFonts w:ascii="Calibri" w:eastAsia="Calibri" w:hAnsi="Calibri" w:cs="Calibri"/>
          <w:b/>
          <w:sz w:val="32"/>
          <w:szCs w:val="32"/>
        </w:rPr>
      </w:pPr>
      <w:r>
        <w:rPr>
          <w:rFonts w:ascii="Calibri" w:eastAsia="Calibri" w:hAnsi="Calibri" w:cs="Calibri"/>
          <w:b/>
          <w:sz w:val="32"/>
          <w:szCs w:val="32"/>
        </w:rPr>
        <w:t>Requirements for Wholesale Prod</w:t>
      </w:r>
      <w:r w:rsidR="00F705C8">
        <w:rPr>
          <w:rFonts w:ascii="Calibri" w:eastAsia="Calibri" w:hAnsi="Calibri" w:cs="Calibri"/>
          <w:b/>
          <w:sz w:val="32"/>
          <w:szCs w:val="32"/>
        </w:rPr>
        <w:t>uct Template</w:t>
      </w:r>
    </w:p>
    <w:p w:rsidR="000238FA" w:rsidRDefault="00484379">
      <w:pPr>
        <w:numPr>
          <w:ilvl w:val="2"/>
          <w:numId w:val="8"/>
        </w:numPr>
        <w:tabs>
          <w:tab w:val="left" w:pos="864"/>
        </w:tabs>
        <w:spacing w:after="60" w:line="264" w:lineRule="auto"/>
        <w:ind w:hanging="720"/>
        <w:jc w:val="both"/>
        <w:rPr>
          <w:rFonts w:ascii="Calibri" w:eastAsia="Calibri" w:hAnsi="Calibri" w:cs="Calibri"/>
          <w:sz w:val="22"/>
          <w:szCs w:val="22"/>
        </w:rPr>
      </w:pPr>
      <w:r>
        <w:rPr>
          <w:rFonts w:ascii="Calibri" w:eastAsia="Calibri" w:hAnsi="Calibri" w:cs="Calibri"/>
          <w:sz w:val="22"/>
          <w:szCs w:val="22"/>
        </w:rPr>
        <w:t xml:space="preserve">Bidders </w:t>
      </w:r>
      <w:r w:rsidR="00D03292">
        <w:rPr>
          <w:rFonts w:ascii="Calibri" w:eastAsia="Calibri" w:hAnsi="Calibri" w:cs="Calibri"/>
          <w:sz w:val="22"/>
          <w:szCs w:val="22"/>
        </w:rPr>
        <w:t>must</w:t>
      </w:r>
      <w:r>
        <w:rPr>
          <w:rFonts w:ascii="Calibri" w:eastAsia="Calibri" w:hAnsi="Calibri" w:cs="Calibri"/>
          <w:sz w:val="22"/>
          <w:szCs w:val="22"/>
        </w:rPr>
        <w:t xml:space="preserve"> follow the general requirements for Wholesale Product Template</w:t>
      </w:r>
      <w:r w:rsidR="00F705C8">
        <w:rPr>
          <w:rFonts w:ascii="Calibri" w:eastAsia="Calibri" w:hAnsi="Calibri" w:cs="Calibri"/>
          <w:sz w:val="22"/>
          <w:szCs w:val="22"/>
        </w:rPr>
        <w:t>s</w:t>
      </w:r>
      <w:r>
        <w:rPr>
          <w:rFonts w:ascii="Calibri" w:eastAsia="Calibri" w:hAnsi="Calibri" w:cs="Calibri"/>
          <w:sz w:val="22"/>
          <w:szCs w:val="22"/>
        </w:rPr>
        <w:t xml:space="preserve"> as set out below:</w:t>
      </w:r>
    </w:p>
    <w:p w:rsidR="000238FA" w:rsidRPr="00721D9D" w:rsidRDefault="00484379" w:rsidP="00721D9D">
      <w:pPr>
        <w:numPr>
          <w:ilvl w:val="0"/>
          <w:numId w:val="3"/>
        </w:numPr>
        <w:spacing w:after="120" w:line="264" w:lineRule="auto"/>
        <w:ind w:hanging="360"/>
        <w:jc w:val="both"/>
        <w:rPr>
          <w:rFonts w:ascii="Calibri" w:eastAsia="Calibri" w:hAnsi="Calibri" w:cs="Calibri"/>
          <w:sz w:val="22"/>
          <w:szCs w:val="22"/>
        </w:rPr>
      </w:pPr>
      <w:r>
        <w:rPr>
          <w:rFonts w:ascii="Calibri" w:eastAsia="Calibri" w:hAnsi="Calibri" w:cs="Calibri"/>
          <w:sz w:val="22"/>
          <w:szCs w:val="22"/>
        </w:rPr>
        <w:t xml:space="preserve">The model </w:t>
      </w:r>
      <w:r w:rsidR="00D03292" w:rsidRPr="00721D9D">
        <w:rPr>
          <w:rFonts w:ascii="Calibri" w:eastAsia="Calibri" w:hAnsi="Calibri" w:cs="Calibri"/>
          <w:sz w:val="22"/>
          <w:szCs w:val="22"/>
        </w:rPr>
        <w:t>must</w:t>
      </w:r>
      <w:r>
        <w:rPr>
          <w:rFonts w:ascii="Calibri" w:eastAsia="Calibri" w:hAnsi="Calibri" w:cs="Calibri"/>
          <w:sz w:val="22"/>
          <w:szCs w:val="22"/>
        </w:rPr>
        <w:t xml:space="preserve"> not include any Bidder protected or hidden areas</w:t>
      </w:r>
    </w:p>
    <w:p w:rsidR="000238FA" w:rsidRPr="00721D9D" w:rsidRDefault="00484379" w:rsidP="00721D9D">
      <w:pPr>
        <w:numPr>
          <w:ilvl w:val="0"/>
          <w:numId w:val="3"/>
        </w:numPr>
        <w:spacing w:after="120" w:line="264" w:lineRule="auto"/>
        <w:ind w:hanging="360"/>
        <w:jc w:val="both"/>
        <w:rPr>
          <w:rFonts w:ascii="Calibri" w:eastAsia="Calibri" w:hAnsi="Calibri" w:cs="Calibri"/>
          <w:sz w:val="22"/>
          <w:szCs w:val="22"/>
        </w:rPr>
      </w:pPr>
      <w:r>
        <w:rPr>
          <w:rFonts w:ascii="Calibri" w:eastAsia="Calibri" w:hAnsi="Calibri" w:cs="Calibri"/>
          <w:sz w:val="22"/>
          <w:szCs w:val="22"/>
        </w:rPr>
        <w:t xml:space="preserve">Bidders’ </w:t>
      </w:r>
      <w:r w:rsidR="00D03292" w:rsidRPr="00721D9D">
        <w:rPr>
          <w:rFonts w:ascii="Calibri" w:eastAsia="Calibri" w:hAnsi="Calibri" w:cs="Calibri"/>
          <w:sz w:val="22"/>
          <w:szCs w:val="22"/>
        </w:rPr>
        <w:t>must</w:t>
      </w:r>
      <w:r>
        <w:rPr>
          <w:rFonts w:ascii="Calibri" w:eastAsia="Calibri" w:hAnsi="Calibri" w:cs="Calibri"/>
          <w:sz w:val="22"/>
          <w:szCs w:val="22"/>
        </w:rPr>
        <w:t xml:space="preserve"> use Microsoft Excel 2010 or fully compatible versions</w:t>
      </w:r>
    </w:p>
    <w:p w:rsidR="000238FA" w:rsidRDefault="00484379">
      <w:pPr>
        <w:numPr>
          <w:ilvl w:val="2"/>
          <w:numId w:val="8"/>
        </w:numPr>
        <w:tabs>
          <w:tab w:val="left" w:pos="864"/>
        </w:tabs>
        <w:spacing w:after="60" w:line="264" w:lineRule="auto"/>
        <w:ind w:hanging="720"/>
        <w:jc w:val="both"/>
        <w:rPr>
          <w:rFonts w:ascii="Calibri" w:eastAsia="Calibri" w:hAnsi="Calibri" w:cs="Calibri"/>
          <w:sz w:val="22"/>
          <w:szCs w:val="22"/>
        </w:rPr>
      </w:pPr>
      <w:r>
        <w:rPr>
          <w:rFonts w:ascii="Calibri" w:eastAsia="Calibri" w:hAnsi="Calibri" w:cs="Calibri"/>
          <w:sz w:val="22"/>
          <w:szCs w:val="22"/>
        </w:rPr>
        <w:t xml:space="preserve">All responses should be completed as per the instructions provided in the Wholesale Product Template </w:t>
      </w:r>
    </w:p>
    <w:p w:rsidR="000238FA" w:rsidRDefault="00484379">
      <w:pPr>
        <w:numPr>
          <w:ilvl w:val="2"/>
          <w:numId w:val="8"/>
        </w:numPr>
        <w:tabs>
          <w:tab w:val="left" w:pos="864"/>
        </w:tabs>
        <w:spacing w:after="60" w:line="264" w:lineRule="auto"/>
        <w:ind w:hanging="720"/>
        <w:jc w:val="both"/>
        <w:rPr>
          <w:rFonts w:ascii="Calibri" w:eastAsia="Calibri" w:hAnsi="Calibri" w:cs="Calibri"/>
          <w:sz w:val="22"/>
          <w:szCs w:val="22"/>
        </w:rPr>
      </w:pPr>
      <w:r>
        <w:rPr>
          <w:rFonts w:ascii="Calibri" w:eastAsia="Calibri" w:hAnsi="Calibri" w:cs="Calibri"/>
          <w:sz w:val="22"/>
          <w:szCs w:val="22"/>
        </w:rPr>
        <w:t xml:space="preserve">Information provided in the Wholesale Product </w:t>
      </w:r>
      <w:r w:rsidR="00BB34F9">
        <w:rPr>
          <w:rFonts w:ascii="Calibri" w:eastAsia="Calibri" w:hAnsi="Calibri" w:cs="Calibri"/>
          <w:sz w:val="22"/>
          <w:szCs w:val="22"/>
        </w:rPr>
        <w:t>Template</w:t>
      </w:r>
      <w:r>
        <w:rPr>
          <w:rFonts w:ascii="Calibri" w:eastAsia="Calibri" w:hAnsi="Calibri" w:cs="Calibri"/>
          <w:sz w:val="22"/>
          <w:szCs w:val="22"/>
        </w:rPr>
        <w:t xml:space="preserve"> should be used to populate the Wholesale Product Price Book in the Bid Project Model</w:t>
      </w:r>
      <w:r w:rsidR="000E111F">
        <w:rPr>
          <w:rFonts w:ascii="Calibri" w:eastAsia="Calibri" w:hAnsi="Calibri" w:cs="Calibri"/>
          <w:sz w:val="22"/>
          <w:szCs w:val="22"/>
        </w:rPr>
        <w:t>.</w:t>
      </w:r>
    </w:p>
    <w:p w:rsidR="000238FA" w:rsidRDefault="000238FA">
      <w:pPr>
        <w:tabs>
          <w:tab w:val="left" w:pos="864"/>
        </w:tabs>
        <w:spacing w:after="60" w:line="264" w:lineRule="auto"/>
        <w:ind w:left="840"/>
        <w:jc w:val="both"/>
      </w:pPr>
    </w:p>
    <w:p w:rsidR="000238FA" w:rsidRDefault="00484379">
      <w:pPr>
        <w:numPr>
          <w:ilvl w:val="1"/>
          <w:numId w:val="8"/>
        </w:numPr>
        <w:tabs>
          <w:tab w:val="left" w:pos="864"/>
        </w:tabs>
        <w:spacing w:after="120" w:line="264" w:lineRule="auto"/>
        <w:ind w:hanging="576"/>
        <w:jc w:val="both"/>
        <w:rPr>
          <w:rFonts w:ascii="Calibri" w:eastAsia="Calibri" w:hAnsi="Calibri" w:cs="Calibri"/>
          <w:b/>
          <w:sz w:val="32"/>
          <w:szCs w:val="32"/>
        </w:rPr>
      </w:pPr>
      <w:r>
        <w:rPr>
          <w:rFonts w:ascii="Calibri" w:eastAsia="Calibri" w:hAnsi="Calibri" w:cs="Calibri"/>
          <w:b/>
          <w:sz w:val="32"/>
          <w:szCs w:val="32"/>
        </w:rPr>
        <w:t>Requirements for Project Management Tabs (Tabs 5, 9 and 10 of the Bid Project Model)</w:t>
      </w:r>
    </w:p>
    <w:p w:rsidR="000238FA" w:rsidRDefault="00484379">
      <w:pPr>
        <w:numPr>
          <w:ilvl w:val="2"/>
          <w:numId w:val="8"/>
        </w:numPr>
        <w:tabs>
          <w:tab w:val="left" w:pos="864"/>
        </w:tabs>
        <w:spacing w:after="120" w:line="264" w:lineRule="auto"/>
        <w:ind w:hanging="720"/>
        <w:jc w:val="both"/>
        <w:rPr>
          <w:rFonts w:ascii="Calibri" w:eastAsia="Calibri" w:hAnsi="Calibri" w:cs="Calibri"/>
          <w:sz w:val="22"/>
          <w:szCs w:val="22"/>
        </w:rPr>
      </w:pPr>
      <w:r>
        <w:rPr>
          <w:rFonts w:ascii="Calibri" w:eastAsia="Calibri" w:hAnsi="Calibri" w:cs="Calibri"/>
          <w:sz w:val="22"/>
          <w:szCs w:val="22"/>
        </w:rPr>
        <w:t xml:space="preserve">Bidders </w:t>
      </w:r>
      <w:r w:rsidR="00D03292">
        <w:rPr>
          <w:rFonts w:ascii="Calibri" w:eastAsia="Calibri" w:hAnsi="Calibri" w:cs="Calibri"/>
          <w:sz w:val="22"/>
          <w:szCs w:val="22"/>
        </w:rPr>
        <w:t>must</w:t>
      </w:r>
      <w:r>
        <w:rPr>
          <w:rFonts w:ascii="Calibri" w:eastAsia="Calibri" w:hAnsi="Calibri" w:cs="Calibri"/>
          <w:sz w:val="22"/>
          <w:szCs w:val="22"/>
        </w:rPr>
        <w:t xml:space="preserve"> complete the Project Management Tabs with sufficient detail to allow the Authority to confirm that they are acceptable resources to deploy and capable of capitalisation under local authority CIPFA rules.</w:t>
      </w:r>
    </w:p>
    <w:p w:rsidR="000238FA" w:rsidRDefault="00484379">
      <w:pPr>
        <w:numPr>
          <w:ilvl w:val="2"/>
          <w:numId w:val="8"/>
        </w:numPr>
        <w:tabs>
          <w:tab w:val="left" w:pos="864"/>
        </w:tabs>
        <w:spacing w:after="60" w:line="264" w:lineRule="auto"/>
        <w:ind w:hanging="720"/>
        <w:jc w:val="both"/>
        <w:rPr>
          <w:rFonts w:ascii="Calibri" w:eastAsia="Calibri" w:hAnsi="Calibri" w:cs="Calibri"/>
          <w:sz w:val="22"/>
          <w:szCs w:val="22"/>
        </w:rPr>
      </w:pPr>
      <w:r>
        <w:rPr>
          <w:rFonts w:ascii="Calibri" w:eastAsia="Calibri" w:hAnsi="Calibri" w:cs="Calibri"/>
          <w:sz w:val="22"/>
          <w:szCs w:val="22"/>
        </w:rPr>
        <w:lastRenderedPageBreak/>
        <w:t xml:space="preserve">Bidders </w:t>
      </w:r>
      <w:r w:rsidR="00D03292">
        <w:rPr>
          <w:rFonts w:ascii="Calibri" w:eastAsia="Calibri" w:hAnsi="Calibri" w:cs="Calibri"/>
          <w:sz w:val="22"/>
          <w:szCs w:val="22"/>
        </w:rPr>
        <w:t>must</w:t>
      </w:r>
      <w:r>
        <w:rPr>
          <w:rFonts w:ascii="Calibri" w:eastAsia="Calibri" w:hAnsi="Calibri" w:cs="Calibri"/>
          <w:sz w:val="22"/>
          <w:szCs w:val="22"/>
        </w:rPr>
        <w:t xml:space="preserve"> ensure that the Project Management Tabs are fully completed and include detailed infor</w:t>
      </w:r>
      <w:r w:rsidR="00721D9D">
        <w:rPr>
          <w:rFonts w:ascii="Calibri" w:eastAsia="Calibri" w:hAnsi="Calibri" w:cs="Calibri"/>
          <w:sz w:val="22"/>
          <w:szCs w:val="22"/>
        </w:rPr>
        <w:t>mation that as a minimum shows:</w:t>
      </w:r>
    </w:p>
    <w:p w:rsidR="000238FA" w:rsidRPr="00721D9D" w:rsidRDefault="00484379" w:rsidP="00721D9D">
      <w:pPr>
        <w:numPr>
          <w:ilvl w:val="0"/>
          <w:numId w:val="3"/>
        </w:numPr>
        <w:spacing w:after="120" w:line="264" w:lineRule="auto"/>
        <w:ind w:hanging="360"/>
        <w:jc w:val="both"/>
        <w:rPr>
          <w:rFonts w:ascii="Calibri" w:eastAsia="Calibri" w:hAnsi="Calibri" w:cs="Calibri"/>
          <w:sz w:val="22"/>
          <w:szCs w:val="22"/>
        </w:rPr>
      </w:pPr>
      <w:r>
        <w:rPr>
          <w:rFonts w:ascii="Calibri" w:eastAsia="Calibri" w:hAnsi="Calibri" w:cs="Calibri"/>
          <w:sz w:val="22"/>
          <w:szCs w:val="22"/>
        </w:rPr>
        <w:t>An overview of proposed governance and project management structure.</w:t>
      </w:r>
    </w:p>
    <w:p w:rsidR="000238FA" w:rsidRPr="00721D9D" w:rsidRDefault="00484379" w:rsidP="00721D9D">
      <w:pPr>
        <w:numPr>
          <w:ilvl w:val="0"/>
          <w:numId w:val="3"/>
        </w:numPr>
        <w:spacing w:after="120" w:line="264" w:lineRule="auto"/>
        <w:ind w:hanging="360"/>
        <w:jc w:val="both"/>
        <w:rPr>
          <w:rFonts w:ascii="Calibri" w:eastAsia="Calibri" w:hAnsi="Calibri" w:cs="Calibri"/>
          <w:sz w:val="22"/>
          <w:szCs w:val="22"/>
        </w:rPr>
      </w:pPr>
      <w:r>
        <w:rPr>
          <w:rFonts w:ascii="Calibri" w:eastAsia="Calibri" w:hAnsi="Calibri" w:cs="Calibri"/>
          <w:sz w:val="22"/>
          <w:szCs w:val="22"/>
        </w:rPr>
        <w:t xml:space="preserve">FTE days worked per quarter in the evaluation period for all PMO resources </w:t>
      </w:r>
      <w:r w:rsidR="00721D9D">
        <w:rPr>
          <w:rFonts w:ascii="Calibri" w:eastAsia="Calibri" w:hAnsi="Calibri" w:cs="Calibri"/>
          <w:sz w:val="22"/>
          <w:szCs w:val="22"/>
        </w:rPr>
        <w:t>-</w:t>
      </w:r>
      <w:r>
        <w:rPr>
          <w:rFonts w:ascii="Calibri" w:eastAsia="Calibri" w:hAnsi="Calibri" w:cs="Calibri"/>
          <w:sz w:val="22"/>
          <w:szCs w:val="22"/>
        </w:rPr>
        <w:t>consistent with the overview above.</w:t>
      </w:r>
    </w:p>
    <w:p w:rsidR="000238FA" w:rsidRPr="00721D9D" w:rsidRDefault="00484379" w:rsidP="00721D9D">
      <w:pPr>
        <w:numPr>
          <w:ilvl w:val="0"/>
          <w:numId w:val="3"/>
        </w:numPr>
        <w:spacing w:after="120" w:line="264" w:lineRule="auto"/>
        <w:ind w:hanging="360"/>
        <w:jc w:val="both"/>
        <w:rPr>
          <w:rFonts w:ascii="Calibri" w:eastAsia="Calibri" w:hAnsi="Calibri" w:cs="Calibri"/>
          <w:sz w:val="22"/>
          <w:szCs w:val="22"/>
        </w:rPr>
      </w:pPr>
      <w:r>
        <w:rPr>
          <w:rFonts w:ascii="Calibri" w:eastAsia="Calibri" w:hAnsi="Calibri" w:cs="Calibri"/>
          <w:sz w:val="22"/>
          <w:szCs w:val="22"/>
        </w:rPr>
        <w:t>Annual salaries and associated daily capitalised labour rate for each resource identified, including calculation of that rate.</w:t>
      </w:r>
    </w:p>
    <w:p w:rsidR="000238FA" w:rsidRPr="00721D9D" w:rsidRDefault="00484379" w:rsidP="00721D9D">
      <w:pPr>
        <w:numPr>
          <w:ilvl w:val="0"/>
          <w:numId w:val="3"/>
        </w:numPr>
        <w:spacing w:after="120" w:line="264" w:lineRule="auto"/>
        <w:ind w:hanging="360"/>
        <w:jc w:val="both"/>
        <w:rPr>
          <w:rFonts w:ascii="Calibri" w:eastAsia="Calibri" w:hAnsi="Calibri" w:cs="Calibri"/>
          <w:sz w:val="22"/>
          <w:szCs w:val="22"/>
        </w:rPr>
      </w:pPr>
      <w:r>
        <w:rPr>
          <w:rFonts w:ascii="Calibri" w:eastAsia="Calibri" w:hAnsi="Calibri" w:cs="Calibri"/>
          <w:sz w:val="22"/>
          <w:szCs w:val="22"/>
        </w:rPr>
        <w:t>Where resources are contracted as opposed to employed then a daily rate should be provided in lieu of annual salary. If resources are contracted in, evidence will be required to assure the Authority of a robust procurement process and suitable skills assurance.</w:t>
      </w:r>
    </w:p>
    <w:p w:rsidR="000238FA" w:rsidRPr="00721D9D" w:rsidRDefault="00484379" w:rsidP="00721D9D">
      <w:pPr>
        <w:numPr>
          <w:ilvl w:val="0"/>
          <w:numId w:val="3"/>
        </w:numPr>
        <w:spacing w:after="120" w:line="264" w:lineRule="auto"/>
        <w:ind w:hanging="360"/>
        <w:jc w:val="both"/>
        <w:rPr>
          <w:rFonts w:ascii="Calibri" w:eastAsia="Calibri" w:hAnsi="Calibri" w:cs="Calibri"/>
          <w:sz w:val="22"/>
          <w:szCs w:val="22"/>
        </w:rPr>
      </w:pPr>
      <w:r>
        <w:rPr>
          <w:rFonts w:ascii="Calibri" w:eastAsia="Calibri" w:hAnsi="Calibri" w:cs="Calibri"/>
          <w:sz w:val="22"/>
          <w:szCs w:val="22"/>
        </w:rPr>
        <w:t xml:space="preserve">A reconciliation from the Project Management Tabs back to the Cost Book tabs within the Project Model. </w:t>
      </w:r>
    </w:p>
    <w:p w:rsidR="000238FA" w:rsidRDefault="000238FA">
      <w:pPr>
        <w:tabs>
          <w:tab w:val="left" w:pos="864"/>
        </w:tabs>
        <w:spacing w:after="120" w:line="264" w:lineRule="auto"/>
        <w:ind w:left="1590"/>
        <w:jc w:val="right"/>
      </w:pPr>
    </w:p>
    <w:p w:rsidR="000238FA" w:rsidRDefault="00484379">
      <w:r>
        <w:br w:type="page"/>
      </w:r>
    </w:p>
    <w:p w:rsidR="000238FA" w:rsidRDefault="00484379">
      <w:pPr>
        <w:spacing w:after="120" w:line="276" w:lineRule="auto"/>
        <w:jc w:val="both"/>
      </w:pPr>
      <w:r>
        <w:rPr>
          <w:b/>
          <w:sz w:val="40"/>
          <w:szCs w:val="40"/>
        </w:rPr>
        <w:lastRenderedPageBreak/>
        <w:t>Appendix 1</w:t>
      </w:r>
      <w:r>
        <w:rPr>
          <w:b/>
          <w:sz w:val="40"/>
          <w:szCs w:val="40"/>
        </w:rPr>
        <w:tab/>
        <w:t xml:space="preserve">: Project Model </w:t>
      </w:r>
    </w:p>
    <w:tbl>
      <w:tblPr>
        <w:tblStyle w:val="a"/>
        <w:tblW w:w="9016"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6"/>
      </w:tblGrid>
      <w:tr w:rsidR="000238FA">
        <w:trPr>
          <w:trHeight w:val="20"/>
        </w:trPr>
        <w:tc>
          <w:tcPr>
            <w:tcW w:w="9016" w:type="dxa"/>
            <w:shd w:val="clear" w:color="auto" w:fill="1F497D"/>
            <w:tcMar>
              <w:top w:w="28" w:type="dxa"/>
              <w:left w:w="28" w:type="dxa"/>
              <w:bottom w:w="28" w:type="dxa"/>
              <w:right w:w="28" w:type="dxa"/>
            </w:tcMar>
            <w:vAlign w:val="center"/>
          </w:tcPr>
          <w:p w:rsidR="000238FA" w:rsidRDefault="00484379">
            <w:pPr>
              <w:keepNext/>
              <w:spacing w:before="60" w:after="60"/>
            </w:pPr>
            <w:r>
              <w:rPr>
                <w:b/>
                <w:color w:val="FFFFFF"/>
                <w:sz w:val="22"/>
                <w:szCs w:val="22"/>
              </w:rPr>
              <w:t xml:space="preserve">Project Model </w:t>
            </w:r>
          </w:p>
        </w:tc>
      </w:tr>
      <w:tr w:rsidR="000238FA">
        <w:trPr>
          <w:trHeight w:val="220"/>
        </w:trPr>
        <w:tc>
          <w:tcPr>
            <w:tcW w:w="9016" w:type="dxa"/>
            <w:tcBorders>
              <w:bottom w:val="single" w:sz="4" w:space="0" w:color="000000"/>
            </w:tcBorders>
            <w:tcMar>
              <w:top w:w="28" w:type="dxa"/>
              <w:left w:w="28" w:type="dxa"/>
              <w:bottom w:w="28" w:type="dxa"/>
              <w:right w:w="28" w:type="dxa"/>
            </w:tcMar>
            <w:vAlign w:val="center"/>
          </w:tcPr>
          <w:p w:rsidR="000238FA" w:rsidRDefault="000238FA">
            <w:pPr>
              <w:spacing w:after="80"/>
            </w:pPr>
          </w:p>
          <w:p w:rsidR="00624209" w:rsidRDefault="00624209">
            <w:pPr>
              <w:spacing w:after="80"/>
            </w:pPr>
          </w:p>
          <w:p w:rsidR="00624209" w:rsidRDefault="00D816C3">
            <w:pPr>
              <w:spacing w:after="80"/>
            </w:pPr>
            <w: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8" o:title=""/>
                </v:shape>
                <o:OLEObject Type="Embed" ProgID="Excel.Sheet.12" ShapeID="_x0000_i1025" DrawAspect="Icon" ObjectID="_1608111895" r:id="rId9"/>
              </w:object>
            </w:r>
          </w:p>
          <w:p w:rsidR="000238FA" w:rsidRDefault="000238FA">
            <w:pPr>
              <w:spacing w:after="80"/>
            </w:pPr>
          </w:p>
          <w:p w:rsidR="000238FA" w:rsidRDefault="000238FA">
            <w:pPr>
              <w:spacing w:after="80"/>
            </w:pPr>
          </w:p>
        </w:tc>
      </w:tr>
      <w:tr w:rsidR="000238FA">
        <w:trPr>
          <w:trHeight w:val="220"/>
        </w:trPr>
        <w:tc>
          <w:tcPr>
            <w:tcW w:w="9016" w:type="dxa"/>
            <w:shd w:val="clear" w:color="auto" w:fill="F2F2F2"/>
            <w:tcMar>
              <w:top w:w="28" w:type="dxa"/>
              <w:left w:w="28" w:type="dxa"/>
              <w:bottom w:w="28" w:type="dxa"/>
              <w:right w:w="28" w:type="dxa"/>
            </w:tcMar>
            <w:vAlign w:val="center"/>
          </w:tcPr>
          <w:p w:rsidR="000238FA" w:rsidRDefault="00484379">
            <w:pPr>
              <w:spacing w:after="160" w:line="259" w:lineRule="auto"/>
              <w:ind w:left="360"/>
            </w:pPr>
            <w:r>
              <w:rPr>
                <w:rFonts w:ascii="Calibri" w:eastAsia="Calibri" w:hAnsi="Calibri" w:cs="Calibri"/>
                <w:i/>
                <w:sz w:val="22"/>
                <w:szCs w:val="22"/>
              </w:rPr>
              <w:t>A worked example is included for information in the file below:</w:t>
            </w:r>
          </w:p>
          <w:p w:rsidR="000238FA" w:rsidRDefault="00D816C3">
            <w:pPr>
              <w:spacing w:after="160" w:line="259" w:lineRule="auto"/>
              <w:ind w:left="360"/>
            </w:pPr>
            <w:r>
              <w:object w:dxaOrig="1504" w:dyaOrig="982">
                <v:shape id="_x0000_i1026" type="#_x0000_t75" style="width:75pt;height:49pt" o:ole="">
                  <v:imagedata r:id="rId10" o:title=""/>
                </v:shape>
                <o:OLEObject Type="Embed" ProgID="Excel.Sheet.12" ShapeID="_x0000_i1026" DrawAspect="Icon" ObjectID="_1608111896" r:id="rId11"/>
              </w:object>
            </w:r>
          </w:p>
          <w:p w:rsidR="000238FA" w:rsidRDefault="000238FA">
            <w:pPr>
              <w:spacing w:after="160" w:line="259" w:lineRule="auto"/>
              <w:ind w:left="360"/>
            </w:pPr>
          </w:p>
        </w:tc>
      </w:tr>
    </w:tbl>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0238FA"/>
    <w:p w:rsidR="000238FA" w:rsidRDefault="00484379">
      <w:pPr>
        <w:spacing w:after="120"/>
        <w:ind w:left="360"/>
      </w:pPr>
      <w:r>
        <w:rPr>
          <w:rFonts w:ascii="Calibri" w:eastAsia="Calibri" w:hAnsi="Calibri" w:cs="Calibri"/>
          <w:b/>
          <w:color w:val="1F497D"/>
          <w:sz w:val="40"/>
          <w:szCs w:val="40"/>
        </w:rPr>
        <w:t>Appendix 2: Statement of Assurance</w:t>
      </w:r>
    </w:p>
    <w:p w:rsidR="000238FA" w:rsidRDefault="000238FA"/>
    <w:p w:rsidR="000238FA" w:rsidRDefault="00484379">
      <w:pPr>
        <w:spacing w:after="120"/>
        <w:jc w:val="both"/>
      </w:pPr>
      <w:r>
        <w:rPr>
          <w:b/>
          <w:sz w:val="32"/>
          <w:szCs w:val="32"/>
        </w:rPr>
        <w:t>Statement of Assurance</w:t>
      </w:r>
    </w:p>
    <w:p w:rsidR="000238FA" w:rsidRDefault="00484379">
      <w:pPr>
        <w:spacing w:after="120"/>
        <w:jc w:val="both"/>
      </w:pPr>
      <w:r>
        <w:rPr>
          <w:rFonts w:ascii="Calibri" w:eastAsia="Calibri" w:hAnsi="Calibri" w:cs="Calibri"/>
          <w:sz w:val="22"/>
          <w:szCs w:val="22"/>
        </w:rPr>
        <w:t xml:space="preserve">The Bidder must sign and return to the Local Body as part of its bid the following Statement of Assurance: </w:t>
      </w:r>
    </w:p>
    <w:p w:rsidR="000238FA" w:rsidRDefault="000238FA"/>
    <w:p w:rsidR="000238FA" w:rsidRDefault="00484379">
      <w:pPr>
        <w:jc w:val="both"/>
      </w:pPr>
      <w:r>
        <w:rPr>
          <w:i/>
          <w:color w:val="222222"/>
          <w:sz w:val="20"/>
          <w:szCs w:val="20"/>
        </w:rPr>
        <w:t>It is hereby confirmed that:</w:t>
      </w:r>
    </w:p>
    <w:p w:rsidR="000238FA" w:rsidRDefault="000238FA">
      <w:pPr>
        <w:jc w:val="both"/>
      </w:pPr>
    </w:p>
    <w:p w:rsidR="000238FA" w:rsidRDefault="00484379">
      <w:pPr>
        <w:numPr>
          <w:ilvl w:val="0"/>
          <w:numId w:val="7"/>
        </w:numPr>
        <w:ind w:hanging="360"/>
        <w:contextualSpacing/>
        <w:jc w:val="both"/>
        <w:rPr>
          <w:i/>
          <w:color w:val="222222"/>
          <w:sz w:val="20"/>
          <w:szCs w:val="20"/>
        </w:rPr>
      </w:pPr>
      <w:r>
        <w:rPr>
          <w:i/>
          <w:color w:val="222222"/>
          <w:sz w:val="20"/>
          <w:szCs w:val="20"/>
        </w:rPr>
        <w:t>The processes and core data used to assemble the costs shown in the Cost Book for the Project Model are consistent with the solution costs offered by the Supplier in any similar local authority contracts (e.g. ERDF, Local Authority and/or DCMS funded) of the Supplier. The explanations of variances, if any, have been provided and are accurate and consistent;</w:t>
      </w:r>
    </w:p>
    <w:p w:rsidR="000238FA" w:rsidRDefault="000238FA">
      <w:pPr>
        <w:jc w:val="both"/>
      </w:pPr>
    </w:p>
    <w:p w:rsidR="000238FA" w:rsidRDefault="00484379">
      <w:pPr>
        <w:numPr>
          <w:ilvl w:val="0"/>
          <w:numId w:val="7"/>
        </w:numPr>
        <w:ind w:hanging="360"/>
        <w:contextualSpacing/>
        <w:jc w:val="both"/>
        <w:rPr>
          <w:i/>
          <w:color w:val="222222"/>
          <w:sz w:val="20"/>
          <w:szCs w:val="20"/>
        </w:rPr>
      </w:pPr>
      <w:r>
        <w:rPr>
          <w:i/>
          <w:color w:val="222222"/>
          <w:sz w:val="20"/>
          <w:szCs w:val="20"/>
        </w:rPr>
        <w:t>The costs shown in the Cost Book for the Project Model are calculated on a consistent basis to those costs offered by the Supplier when investing in non-"white" areas (as defined under State aid regulations). The explanations of variances, if any, have been provided and are accurate and consistent;</w:t>
      </w:r>
    </w:p>
    <w:p w:rsidR="000238FA" w:rsidRDefault="000238FA">
      <w:pPr>
        <w:jc w:val="both"/>
      </w:pPr>
    </w:p>
    <w:p w:rsidR="000238FA" w:rsidRDefault="00484379">
      <w:pPr>
        <w:numPr>
          <w:ilvl w:val="0"/>
          <w:numId w:val="7"/>
        </w:numPr>
        <w:ind w:hanging="360"/>
        <w:contextualSpacing/>
        <w:jc w:val="both"/>
        <w:rPr>
          <w:i/>
          <w:color w:val="222222"/>
          <w:sz w:val="20"/>
          <w:szCs w:val="20"/>
        </w:rPr>
      </w:pPr>
      <w:r>
        <w:rPr>
          <w:i/>
          <w:color w:val="222222"/>
          <w:sz w:val="20"/>
          <w:szCs w:val="20"/>
        </w:rPr>
        <w:t>The Project Model has been prepared in accordance with the expenditure categories prescribed in Schedule 5.1, Appendices 2 – 6.</w:t>
      </w:r>
    </w:p>
    <w:p w:rsidR="000238FA" w:rsidRDefault="000238FA">
      <w:pPr>
        <w:spacing w:after="120"/>
        <w:jc w:val="both"/>
      </w:pPr>
    </w:p>
    <w:p w:rsidR="000238FA" w:rsidRDefault="000238FA">
      <w:pPr>
        <w:spacing w:after="120"/>
        <w:jc w:val="both"/>
      </w:pPr>
    </w:p>
    <w:p w:rsidR="000238FA" w:rsidRDefault="00484379">
      <w:pPr>
        <w:spacing w:after="240"/>
      </w:pPr>
      <w:r>
        <w:rPr>
          <w:rFonts w:ascii="Times New Roman" w:eastAsia="Times New Roman" w:hAnsi="Times New Roman" w:cs="Times New Roman"/>
          <w:sz w:val="24"/>
          <w:szCs w:val="24"/>
        </w:rPr>
        <w:br/>
      </w:r>
    </w:p>
    <w:p w:rsidR="000238FA" w:rsidRDefault="00484379">
      <w:r>
        <w:rPr>
          <w:rFonts w:ascii="Calibri" w:eastAsia="Calibri" w:hAnsi="Calibri" w:cs="Calibri"/>
          <w:b/>
          <w:sz w:val="22"/>
          <w:szCs w:val="22"/>
        </w:rPr>
        <w:t>For and on behalf of:</w:t>
      </w:r>
      <w:r>
        <w:rPr>
          <w:rFonts w:ascii="Calibri" w:eastAsia="Calibri" w:hAnsi="Calibri" w:cs="Calibri"/>
          <w:sz w:val="22"/>
          <w:szCs w:val="22"/>
        </w:rPr>
        <w:t xml:space="preserve"> ………………………………………………………………………………………….…………</w:t>
      </w:r>
    </w:p>
    <w:p w:rsidR="000238FA" w:rsidRDefault="000238FA"/>
    <w:p w:rsidR="000238FA" w:rsidRDefault="000238FA"/>
    <w:p w:rsidR="000238FA" w:rsidRDefault="000238FA"/>
    <w:p w:rsidR="000238FA" w:rsidRDefault="000238FA"/>
    <w:p w:rsidR="000238FA" w:rsidRDefault="00484379">
      <w:r>
        <w:rPr>
          <w:rFonts w:ascii="Calibri" w:eastAsia="Calibri" w:hAnsi="Calibri" w:cs="Calibri"/>
          <w:b/>
          <w:sz w:val="22"/>
          <w:szCs w:val="22"/>
        </w:rPr>
        <w:t>Signed:</w:t>
      </w:r>
      <w:r>
        <w:rPr>
          <w:rFonts w:ascii="Calibri" w:eastAsia="Calibri" w:hAnsi="Calibri" w:cs="Calibri"/>
          <w:sz w:val="22"/>
          <w:szCs w:val="22"/>
        </w:rPr>
        <w:t xml:space="preserve"> ………………………………………………………</w:t>
      </w:r>
    </w:p>
    <w:p w:rsidR="000238FA" w:rsidRDefault="000238FA"/>
    <w:p w:rsidR="000238FA" w:rsidRDefault="000238FA"/>
    <w:p w:rsidR="000238FA" w:rsidRDefault="00484379">
      <w:r>
        <w:rPr>
          <w:rFonts w:ascii="Calibri" w:eastAsia="Calibri" w:hAnsi="Calibri" w:cs="Calibri"/>
          <w:sz w:val="22"/>
          <w:szCs w:val="22"/>
        </w:rPr>
        <w:br/>
      </w:r>
      <w:r>
        <w:rPr>
          <w:rFonts w:ascii="Calibri" w:eastAsia="Calibri" w:hAnsi="Calibri" w:cs="Calibri"/>
          <w:b/>
          <w:sz w:val="22"/>
          <w:szCs w:val="22"/>
        </w:rPr>
        <w:t>Position held:</w:t>
      </w:r>
      <w:r>
        <w:rPr>
          <w:rFonts w:ascii="Calibri" w:eastAsia="Calibri" w:hAnsi="Calibri" w:cs="Calibri"/>
          <w:sz w:val="22"/>
          <w:szCs w:val="22"/>
        </w:rPr>
        <w:t xml:space="preserve"> ……………………………….……………</w:t>
      </w:r>
    </w:p>
    <w:p w:rsidR="000238FA" w:rsidRDefault="00484379">
      <w:r>
        <w:rPr>
          <w:rFonts w:ascii="Calibri" w:eastAsia="Calibri" w:hAnsi="Calibri" w:cs="Calibri"/>
          <w:b/>
          <w:sz w:val="22"/>
          <w:szCs w:val="22"/>
        </w:rPr>
        <w:t>(Duly authorised and qualified financial representative of the Bidder)</w:t>
      </w:r>
    </w:p>
    <w:p w:rsidR="000238FA" w:rsidRDefault="000238FA"/>
    <w:p w:rsidR="000238FA" w:rsidRDefault="000238FA"/>
    <w:p w:rsidR="000238FA" w:rsidRDefault="000238FA"/>
    <w:sectPr w:rsidR="000238FA">
      <w:headerReference w:type="default" r:id="rId12"/>
      <w:footerReference w:type="default" r:id="rId1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3C4" w:rsidRDefault="004463C4">
      <w:r>
        <w:separator/>
      </w:r>
    </w:p>
  </w:endnote>
  <w:endnote w:type="continuationSeparator" w:id="0">
    <w:p w:rsidR="004463C4" w:rsidRDefault="00446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8FA" w:rsidRDefault="000238FA">
    <w:pPr>
      <w:tabs>
        <w:tab w:val="center" w:pos="4153"/>
        <w:tab w:val="center" w:pos="5956"/>
        <w:tab w:val="right" w:pos="8306"/>
        <w:tab w:val="right" w:pos="9752"/>
      </w:tabs>
    </w:pPr>
  </w:p>
  <w:p w:rsidR="000238FA" w:rsidRDefault="000238FA">
    <w:pPr>
      <w:tabs>
        <w:tab w:val="center" w:pos="5956"/>
        <w:tab w:val="right" w:pos="9752"/>
      </w:tabs>
      <w:jc w:val="center"/>
    </w:pPr>
  </w:p>
  <w:p w:rsidR="000238FA" w:rsidRDefault="00484379" w:rsidP="00BB34F9">
    <w:pPr>
      <w:tabs>
        <w:tab w:val="center" w:pos="5956"/>
        <w:tab w:val="right" w:pos="9752"/>
      </w:tabs>
      <w:jc w:val="center"/>
    </w:pPr>
    <w:r>
      <w:rPr>
        <w:color w:val="4F81BD"/>
      </w:rPr>
      <w:t xml:space="preserve">Page </w:t>
    </w:r>
    <w:r>
      <w:fldChar w:fldCharType="begin"/>
    </w:r>
    <w:r>
      <w:instrText>PAGE</w:instrText>
    </w:r>
    <w:r>
      <w:fldChar w:fldCharType="separate"/>
    </w:r>
    <w:r w:rsidR="00AD15EA">
      <w:rPr>
        <w:noProof/>
      </w:rPr>
      <w:t>1</w:t>
    </w:r>
    <w:r>
      <w:fldChar w:fldCharType="end"/>
    </w:r>
    <w:r>
      <w:rPr>
        <w:color w:val="4F81BD"/>
      </w:rPr>
      <w:t xml:space="preserve"> of </w:t>
    </w:r>
    <w:r>
      <w:fldChar w:fldCharType="begin"/>
    </w:r>
    <w:r>
      <w:instrText>NUMPAGES</w:instrText>
    </w:r>
    <w:r>
      <w:fldChar w:fldCharType="separate"/>
    </w:r>
    <w:r w:rsidR="00AD15EA">
      <w:rPr>
        <w:noProof/>
      </w:rPr>
      <w:t>14</w:t>
    </w:r>
    <w:r>
      <w:fldChar w:fldCharType="end"/>
    </w:r>
  </w:p>
  <w:p w:rsidR="000238FA" w:rsidRDefault="006060A5">
    <w:pPr>
      <w:tabs>
        <w:tab w:val="center" w:pos="4153"/>
        <w:tab w:val="right" w:pos="8306"/>
      </w:tabs>
      <w:spacing w:after="709"/>
      <w:ind w:right="360"/>
    </w:pPr>
    <w:r>
      <w:rPr>
        <w:color w:val="4F81BD"/>
      </w:rPr>
      <w:t>BDUK OJEU Part 4 Template V3</w:t>
    </w:r>
    <w:r w:rsidR="00D12A7E">
      <w:rPr>
        <w:color w:val="4F81BD"/>
      </w:rPr>
      <w:t>.2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3C4" w:rsidRDefault="004463C4">
      <w:r>
        <w:separator/>
      </w:r>
    </w:p>
  </w:footnote>
  <w:footnote w:type="continuationSeparator" w:id="0">
    <w:p w:rsidR="004463C4" w:rsidRDefault="00446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8FA" w:rsidRDefault="000238FA">
    <w:pPr>
      <w:tabs>
        <w:tab w:val="center" w:pos="4153"/>
        <w:tab w:val="right" w:pos="8306"/>
      </w:tabs>
      <w:spacing w:before="14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4109"/>
    <w:multiLevelType w:val="multilevel"/>
    <w:tmpl w:val="884A0400"/>
    <w:lvl w:ilvl="0">
      <w:start w:val="1"/>
      <w:numFmt w:val="bullet"/>
      <w:lvlText w:val="●"/>
      <w:lvlJc w:val="left"/>
      <w:pPr>
        <w:ind w:left="1590" w:firstLine="1230"/>
      </w:pPr>
      <w:rPr>
        <w:rFonts w:ascii="Arial" w:eastAsia="Arial" w:hAnsi="Arial" w:cs="Arial"/>
      </w:rPr>
    </w:lvl>
    <w:lvl w:ilvl="1">
      <w:start w:val="1"/>
      <w:numFmt w:val="bullet"/>
      <w:lvlText w:val="o"/>
      <w:lvlJc w:val="left"/>
      <w:pPr>
        <w:ind w:left="2310" w:firstLine="1950"/>
      </w:pPr>
      <w:rPr>
        <w:rFonts w:ascii="Arial" w:eastAsia="Arial" w:hAnsi="Arial" w:cs="Arial"/>
      </w:rPr>
    </w:lvl>
    <w:lvl w:ilvl="2">
      <w:start w:val="1"/>
      <w:numFmt w:val="bullet"/>
      <w:lvlText w:val="▪"/>
      <w:lvlJc w:val="left"/>
      <w:pPr>
        <w:ind w:left="3030" w:firstLine="2670"/>
      </w:pPr>
      <w:rPr>
        <w:rFonts w:ascii="Arial" w:eastAsia="Arial" w:hAnsi="Arial" w:cs="Arial"/>
      </w:rPr>
    </w:lvl>
    <w:lvl w:ilvl="3">
      <w:start w:val="1"/>
      <w:numFmt w:val="bullet"/>
      <w:lvlText w:val="●"/>
      <w:lvlJc w:val="left"/>
      <w:pPr>
        <w:ind w:left="3750" w:firstLine="3390"/>
      </w:pPr>
      <w:rPr>
        <w:rFonts w:ascii="Arial" w:eastAsia="Arial" w:hAnsi="Arial" w:cs="Arial"/>
      </w:rPr>
    </w:lvl>
    <w:lvl w:ilvl="4">
      <w:start w:val="1"/>
      <w:numFmt w:val="bullet"/>
      <w:lvlText w:val="o"/>
      <w:lvlJc w:val="left"/>
      <w:pPr>
        <w:ind w:left="4470" w:firstLine="4110"/>
      </w:pPr>
      <w:rPr>
        <w:rFonts w:ascii="Arial" w:eastAsia="Arial" w:hAnsi="Arial" w:cs="Arial"/>
      </w:rPr>
    </w:lvl>
    <w:lvl w:ilvl="5">
      <w:start w:val="1"/>
      <w:numFmt w:val="bullet"/>
      <w:lvlText w:val="▪"/>
      <w:lvlJc w:val="left"/>
      <w:pPr>
        <w:ind w:left="5190" w:firstLine="4830"/>
      </w:pPr>
      <w:rPr>
        <w:rFonts w:ascii="Arial" w:eastAsia="Arial" w:hAnsi="Arial" w:cs="Arial"/>
      </w:rPr>
    </w:lvl>
    <w:lvl w:ilvl="6">
      <w:start w:val="1"/>
      <w:numFmt w:val="bullet"/>
      <w:lvlText w:val="●"/>
      <w:lvlJc w:val="left"/>
      <w:pPr>
        <w:ind w:left="5910" w:firstLine="5550"/>
      </w:pPr>
      <w:rPr>
        <w:rFonts w:ascii="Arial" w:eastAsia="Arial" w:hAnsi="Arial" w:cs="Arial"/>
      </w:rPr>
    </w:lvl>
    <w:lvl w:ilvl="7">
      <w:start w:val="1"/>
      <w:numFmt w:val="bullet"/>
      <w:lvlText w:val="o"/>
      <w:lvlJc w:val="left"/>
      <w:pPr>
        <w:ind w:left="6630" w:firstLine="6270"/>
      </w:pPr>
      <w:rPr>
        <w:rFonts w:ascii="Arial" w:eastAsia="Arial" w:hAnsi="Arial" w:cs="Arial"/>
      </w:rPr>
    </w:lvl>
    <w:lvl w:ilvl="8">
      <w:start w:val="1"/>
      <w:numFmt w:val="bullet"/>
      <w:lvlText w:val="▪"/>
      <w:lvlJc w:val="left"/>
      <w:pPr>
        <w:ind w:left="7350" w:firstLine="6990"/>
      </w:pPr>
      <w:rPr>
        <w:rFonts w:ascii="Arial" w:eastAsia="Arial" w:hAnsi="Arial" w:cs="Arial"/>
      </w:rPr>
    </w:lvl>
  </w:abstractNum>
  <w:abstractNum w:abstractNumId="1" w15:restartNumberingAfterBreak="0">
    <w:nsid w:val="094E2B52"/>
    <w:multiLevelType w:val="multilevel"/>
    <w:tmpl w:val="60A86960"/>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ACA0CCB"/>
    <w:multiLevelType w:val="multilevel"/>
    <w:tmpl w:val="17020950"/>
    <w:lvl w:ilvl="0">
      <w:start w:val="1"/>
      <w:numFmt w:val="decimal"/>
      <w:lvlText w:val="%1"/>
      <w:lvlJc w:val="left"/>
      <w:pPr>
        <w:ind w:left="432" w:firstLine="0"/>
      </w:pPr>
    </w:lvl>
    <w:lvl w:ilvl="1">
      <w:start w:val="1"/>
      <w:numFmt w:val="decimal"/>
      <w:lvlText w:val="%1.%2"/>
      <w:lvlJc w:val="left"/>
      <w:pPr>
        <w:ind w:left="576" w:firstLine="0"/>
      </w:pPr>
    </w:lvl>
    <w:lvl w:ilvl="2">
      <w:start w:val="1"/>
      <w:numFmt w:val="decimal"/>
      <w:lvlText w:val="%1.%2.%3"/>
      <w:lvlJc w:val="left"/>
      <w:pPr>
        <w:ind w:left="840" w:firstLine="12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3" w15:restartNumberingAfterBreak="0">
    <w:nsid w:val="0E784BA5"/>
    <w:multiLevelType w:val="multilevel"/>
    <w:tmpl w:val="92A2C762"/>
    <w:lvl w:ilvl="0">
      <w:start w:val="1"/>
      <w:numFmt w:val="bullet"/>
      <w:lvlText w:val="-"/>
      <w:lvlJc w:val="left"/>
      <w:pPr>
        <w:ind w:left="1560" w:firstLine="1200"/>
      </w:pPr>
      <w:rPr>
        <w:rFonts w:ascii="Arial" w:eastAsia="Arial" w:hAnsi="Arial" w:cs="Arial"/>
      </w:rPr>
    </w:lvl>
    <w:lvl w:ilvl="1">
      <w:start w:val="1"/>
      <w:numFmt w:val="bullet"/>
      <w:lvlText w:val="o"/>
      <w:lvlJc w:val="left"/>
      <w:pPr>
        <w:ind w:left="2640" w:firstLine="2280"/>
      </w:pPr>
      <w:rPr>
        <w:rFonts w:ascii="Arial" w:eastAsia="Arial" w:hAnsi="Arial" w:cs="Arial"/>
      </w:rPr>
    </w:lvl>
    <w:lvl w:ilvl="2">
      <w:start w:val="1"/>
      <w:numFmt w:val="bullet"/>
      <w:lvlText w:val="▪"/>
      <w:lvlJc w:val="left"/>
      <w:pPr>
        <w:ind w:left="3360" w:firstLine="3000"/>
      </w:pPr>
      <w:rPr>
        <w:rFonts w:ascii="Arial" w:eastAsia="Arial" w:hAnsi="Arial" w:cs="Arial"/>
      </w:rPr>
    </w:lvl>
    <w:lvl w:ilvl="3">
      <w:start w:val="1"/>
      <w:numFmt w:val="bullet"/>
      <w:lvlText w:val="●"/>
      <w:lvlJc w:val="left"/>
      <w:pPr>
        <w:ind w:left="4080" w:firstLine="3720"/>
      </w:pPr>
      <w:rPr>
        <w:rFonts w:ascii="Arial" w:eastAsia="Arial" w:hAnsi="Arial" w:cs="Arial"/>
      </w:rPr>
    </w:lvl>
    <w:lvl w:ilvl="4">
      <w:start w:val="1"/>
      <w:numFmt w:val="bullet"/>
      <w:lvlText w:val="o"/>
      <w:lvlJc w:val="left"/>
      <w:pPr>
        <w:ind w:left="4800" w:firstLine="4440"/>
      </w:pPr>
      <w:rPr>
        <w:rFonts w:ascii="Arial" w:eastAsia="Arial" w:hAnsi="Arial" w:cs="Arial"/>
      </w:rPr>
    </w:lvl>
    <w:lvl w:ilvl="5">
      <w:start w:val="1"/>
      <w:numFmt w:val="bullet"/>
      <w:lvlText w:val="▪"/>
      <w:lvlJc w:val="left"/>
      <w:pPr>
        <w:ind w:left="5520" w:firstLine="5160"/>
      </w:pPr>
      <w:rPr>
        <w:rFonts w:ascii="Arial" w:eastAsia="Arial" w:hAnsi="Arial" w:cs="Arial"/>
      </w:rPr>
    </w:lvl>
    <w:lvl w:ilvl="6">
      <w:start w:val="1"/>
      <w:numFmt w:val="bullet"/>
      <w:lvlText w:val="●"/>
      <w:lvlJc w:val="left"/>
      <w:pPr>
        <w:ind w:left="6240" w:firstLine="5880"/>
      </w:pPr>
      <w:rPr>
        <w:rFonts w:ascii="Arial" w:eastAsia="Arial" w:hAnsi="Arial" w:cs="Arial"/>
      </w:rPr>
    </w:lvl>
    <w:lvl w:ilvl="7">
      <w:start w:val="1"/>
      <w:numFmt w:val="bullet"/>
      <w:lvlText w:val="o"/>
      <w:lvlJc w:val="left"/>
      <w:pPr>
        <w:ind w:left="6960" w:firstLine="6600"/>
      </w:pPr>
      <w:rPr>
        <w:rFonts w:ascii="Arial" w:eastAsia="Arial" w:hAnsi="Arial" w:cs="Arial"/>
      </w:rPr>
    </w:lvl>
    <w:lvl w:ilvl="8">
      <w:start w:val="1"/>
      <w:numFmt w:val="bullet"/>
      <w:lvlText w:val="▪"/>
      <w:lvlJc w:val="left"/>
      <w:pPr>
        <w:ind w:left="7680" w:firstLine="7320"/>
      </w:pPr>
      <w:rPr>
        <w:rFonts w:ascii="Arial" w:eastAsia="Arial" w:hAnsi="Arial" w:cs="Arial"/>
      </w:rPr>
    </w:lvl>
  </w:abstractNum>
  <w:abstractNum w:abstractNumId="4" w15:restartNumberingAfterBreak="0">
    <w:nsid w:val="402F099A"/>
    <w:multiLevelType w:val="multilevel"/>
    <w:tmpl w:val="1A6E6FEA"/>
    <w:lvl w:ilvl="0">
      <w:start w:val="1"/>
      <w:numFmt w:val="bullet"/>
      <w:lvlText w:val="-"/>
      <w:lvlJc w:val="left"/>
      <w:pPr>
        <w:ind w:left="1560" w:firstLine="1200"/>
      </w:pPr>
      <w:rPr>
        <w:rFonts w:ascii="Arial" w:eastAsia="Arial" w:hAnsi="Arial" w:cs="Arial"/>
      </w:rPr>
    </w:lvl>
    <w:lvl w:ilvl="1">
      <w:start w:val="1"/>
      <w:numFmt w:val="bullet"/>
      <w:lvlText w:val="o"/>
      <w:lvlJc w:val="left"/>
      <w:pPr>
        <w:ind w:left="2640" w:firstLine="2280"/>
      </w:pPr>
      <w:rPr>
        <w:rFonts w:ascii="Arial" w:eastAsia="Arial" w:hAnsi="Arial" w:cs="Arial"/>
      </w:rPr>
    </w:lvl>
    <w:lvl w:ilvl="2">
      <w:start w:val="1"/>
      <w:numFmt w:val="bullet"/>
      <w:lvlText w:val="▪"/>
      <w:lvlJc w:val="left"/>
      <w:pPr>
        <w:ind w:left="3360" w:firstLine="3000"/>
      </w:pPr>
      <w:rPr>
        <w:rFonts w:ascii="Arial" w:eastAsia="Arial" w:hAnsi="Arial" w:cs="Arial"/>
      </w:rPr>
    </w:lvl>
    <w:lvl w:ilvl="3">
      <w:start w:val="1"/>
      <w:numFmt w:val="bullet"/>
      <w:lvlText w:val="●"/>
      <w:lvlJc w:val="left"/>
      <w:pPr>
        <w:ind w:left="4080" w:firstLine="3720"/>
      </w:pPr>
      <w:rPr>
        <w:rFonts w:ascii="Arial" w:eastAsia="Arial" w:hAnsi="Arial" w:cs="Arial"/>
      </w:rPr>
    </w:lvl>
    <w:lvl w:ilvl="4">
      <w:start w:val="1"/>
      <w:numFmt w:val="bullet"/>
      <w:lvlText w:val="o"/>
      <w:lvlJc w:val="left"/>
      <w:pPr>
        <w:ind w:left="4800" w:firstLine="4440"/>
      </w:pPr>
      <w:rPr>
        <w:rFonts w:ascii="Arial" w:eastAsia="Arial" w:hAnsi="Arial" w:cs="Arial"/>
      </w:rPr>
    </w:lvl>
    <w:lvl w:ilvl="5">
      <w:start w:val="1"/>
      <w:numFmt w:val="bullet"/>
      <w:lvlText w:val="▪"/>
      <w:lvlJc w:val="left"/>
      <w:pPr>
        <w:ind w:left="5520" w:firstLine="5160"/>
      </w:pPr>
      <w:rPr>
        <w:rFonts w:ascii="Arial" w:eastAsia="Arial" w:hAnsi="Arial" w:cs="Arial"/>
      </w:rPr>
    </w:lvl>
    <w:lvl w:ilvl="6">
      <w:start w:val="1"/>
      <w:numFmt w:val="bullet"/>
      <w:lvlText w:val="●"/>
      <w:lvlJc w:val="left"/>
      <w:pPr>
        <w:ind w:left="6240" w:firstLine="5880"/>
      </w:pPr>
      <w:rPr>
        <w:rFonts w:ascii="Arial" w:eastAsia="Arial" w:hAnsi="Arial" w:cs="Arial"/>
      </w:rPr>
    </w:lvl>
    <w:lvl w:ilvl="7">
      <w:start w:val="1"/>
      <w:numFmt w:val="bullet"/>
      <w:lvlText w:val="o"/>
      <w:lvlJc w:val="left"/>
      <w:pPr>
        <w:ind w:left="6960" w:firstLine="6600"/>
      </w:pPr>
      <w:rPr>
        <w:rFonts w:ascii="Arial" w:eastAsia="Arial" w:hAnsi="Arial" w:cs="Arial"/>
      </w:rPr>
    </w:lvl>
    <w:lvl w:ilvl="8">
      <w:start w:val="1"/>
      <w:numFmt w:val="bullet"/>
      <w:lvlText w:val="▪"/>
      <w:lvlJc w:val="left"/>
      <w:pPr>
        <w:ind w:left="7680" w:firstLine="7320"/>
      </w:pPr>
      <w:rPr>
        <w:rFonts w:ascii="Arial" w:eastAsia="Arial" w:hAnsi="Arial" w:cs="Arial"/>
      </w:rPr>
    </w:lvl>
  </w:abstractNum>
  <w:abstractNum w:abstractNumId="5" w15:restartNumberingAfterBreak="0">
    <w:nsid w:val="471B1C20"/>
    <w:multiLevelType w:val="multilevel"/>
    <w:tmpl w:val="6E6A7440"/>
    <w:lvl w:ilvl="0">
      <w:start w:val="1"/>
      <w:numFmt w:val="bullet"/>
      <w:lvlText w:val="-"/>
      <w:lvlJc w:val="left"/>
      <w:pPr>
        <w:ind w:left="1560" w:firstLine="1200"/>
      </w:pPr>
      <w:rPr>
        <w:rFonts w:ascii="Arial" w:eastAsia="Arial" w:hAnsi="Arial" w:cs="Arial"/>
      </w:rPr>
    </w:lvl>
    <w:lvl w:ilvl="1">
      <w:start w:val="1"/>
      <w:numFmt w:val="bullet"/>
      <w:lvlText w:val="o"/>
      <w:lvlJc w:val="left"/>
      <w:pPr>
        <w:ind w:left="2640" w:firstLine="2280"/>
      </w:pPr>
      <w:rPr>
        <w:rFonts w:ascii="Arial" w:eastAsia="Arial" w:hAnsi="Arial" w:cs="Arial"/>
      </w:rPr>
    </w:lvl>
    <w:lvl w:ilvl="2">
      <w:start w:val="1"/>
      <w:numFmt w:val="bullet"/>
      <w:lvlText w:val="▪"/>
      <w:lvlJc w:val="left"/>
      <w:pPr>
        <w:ind w:left="3360" w:firstLine="3000"/>
      </w:pPr>
      <w:rPr>
        <w:rFonts w:ascii="Arial" w:eastAsia="Arial" w:hAnsi="Arial" w:cs="Arial"/>
      </w:rPr>
    </w:lvl>
    <w:lvl w:ilvl="3">
      <w:start w:val="1"/>
      <w:numFmt w:val="bullet"/>
      <w:lvlText w:val="●"/>
      <w:lvlJc w:val="left"/>
      <w:pPr>
        <w:ind w:left="4080" w:firstLine="3720"/>
      </w:pPr>
      <w:rPr>
        <w:rFonts w:ascii="Arial" w:eastAsia="Arial" w:hAnsi="Arial" w:cs="Arial"/>
      </w:rPr>
    </w:lvl>
    <w:lvl w:ilvl="4">
      <w:start w:val="1"/>
      <w:numFmt w:val="bullet"/>
      <w:lvlText w:val="o"/>
      <w:lvlJc w:val="left"/>
      <w:pPr>
        <w:ind w:left="4800" w:firstLine="4440"/>
      </w:pPr>
      <w:rPr>
        <w:rFonts w:ascii="Arial" w:eastAsia="Arial" w:hAnsi="Arial" w:cs="Arial"/>
      </w:rPr>
    </w:lvl>
    <w:lvl w:ilvl="5">
      <w:start w:val="1"/>
      <w:numFmt w:val="bullet"/>
      <w:lvlText w:val="▪"/>
      <w:lvlJc w:val="left"/>
      <w:pPr>
        <w:ind w:left="5520" w:firstLine="5160"/>
      </w:pPr>
      <w:rPr>
        <w:rFonts w:ascii="Arial" w:eastAsia="Arial" w:hAnsi="Arial" w:cs="Arial"/>
      </w:rPr>
    </w:lvl>
    <w:lvl w:ilvl="6">
      <w:start w:val="1"/>
      <w:numFmt w:val="bullet"/>
      <w:lvlText w:val="●"/>
      <w:lvlJc w:val="left"/>
      <w:pPr>
        <w:ind w:left="6240" w:firstLine="5880"/>
      </w:pPr>
      <w:rPr>
        <w:rFonts w:ascii="Arial" w:eastAsia="Arial" w:hAnsi="Arial" w:cs="Arial"/>
      </w:rPr>
    </w:lvl>
    <w:lvl w:ilvl="7">
      <w:start w:val="1"/>
      <w:numFmt w:val="bullet"/>
      <w:lvlText w:val="o"/>
      <w:lvlJc w:val="left"/>
      <w:pPr>
        <w:ind w:left="6960" w:firstLine="6600"/>
      </w:pPr>
      <w:rPr>
        <w:rFonts w:ascii="Arial" w:eastAsia="Arial" w:hAnsi="Arial" w:cs="Arial"/>
      </w:rPr>
    </w:lvl>
    <w:lvl w:ilvl="8">
      <w:start w:val="1"/>
      <w:numFmt w:val="bullet"/>
      <w:lvlText w:val="▪"/>
      <w:lvlJc w:val="left"/>
      <w:pPr>
        <w:ind w:left="7680" w:firstLine="7320"/>
      </w:pPr>
      <w:rPr>
        <w:rFonts w:ascii="Arial" w:eastAsia="Arial" w:hAnsi="Arial" w:cs="Arial"/>
      </w:rPr>
    </w:lvl>
  </w:abstractNum>
  <w:abstractNum w:abstractNumId="6" w15:restartNumberingAfterBreak="0">
    <w:nsid w:val="588F26E9"/>
    <w:multiLevelType w:val="multilevel"/>
    <w:tmpl w:val="E7B48B5E"/>
    <w:lvl w:ilvl="0">
      <w:start w:val="1"/>
      <w:numFmt w:val="lowerLetter"/>
      <w:lvlText w:val="%1)"/>
      <w:lvlJc w:val="left"/>
      <w:pPr>
        <w:ind w:left="1437" w:firstLine="1077"/>
      </w:pPr>
      <w:rPr>
        <w:rFonts w:ascii="Calibri" w:eastAsia="Calibri" w:hAnsi="Calibri" w:cs="Calibri"/>
      </w:rPr>
    </w:lvl>
    <w:lvl w:ilvl="1">
      <w:start w:val="1"/>
      <w:numFmt w:val="bullet"/>
      <w:lvlText w:val="o"/>
      <w:lvlJc w:val="left"/>
      <w:pPr>
        <w:ind w:left="2157" w:firstLine="1797"/>
      </w:pPr>
      <w:rPr>
        <w:rFonts w:ascii="Arial" w:eastAsia="Arial" w:hAnsi="Arial" w:cs="Arial"/>
      </w:rPr>
    </w:lvl>
    <w:lvl w:ilvl="2">
      <w:start w:val="1"/>
      <w:numFmt w:val="bullet"/>
      <w:lvlText w:val="▪"/>
      <w:lvlJc w:val="left"/>
      <w:pPr>
        <w:ind w:left="2877" w:firstLine="2517"/>
      </w:pPr>
      <w:rPr>
        <w:rFonts w:ascii="Arial" w:eastAsia="Arial" w:hAnsi="Arial" w:cs="Arial"/>
      </w:rPr>
    </w:lvl>
    <w:lvl w:ilvl="3">
      <w:start w:val="1"/>
      <w:numFmt w:val="bullet"/>
      <w:lvlText w:val="●"/>
      <w:lvlJc w:val="left"/>
      <w:pPr>
        <w:ind w:left="3597" w:firstLine="3237"/>
      </w:pPr>
      <w:rPr>
        <w:rFonts w:ascii="Arial" w:eastAsia="Arial" w:hAnsi="Arial" w:cs="Arial"/>
      </w:rPr>
    </w:lvl>
    <w:lvl w:ilvl="4">
      <w:start w:val="1"/>
      <w:numFmt w:val="bullet"/>
      <w:lvlText w:val="o"/>
      <w:lvlJc w:val="left"/>
      <w:pPr>
        <w:ind w:left="4317" w:firstLine="3957"/>
      </w:pPr>
      <w:rPr>
        <w:rFonts w:ascii="Arial" w:eastAsia="Arial" w:hAnsi="Arial" w:cs="Arial"/>
      </w:rPr>
    </w:lvl>
    <w:lvl w:ilvl="5">
      <w:start w:val="1"/>
      <w:numFmt w:val="bullet"/>
      <w:lvlText w:val="▪"/>
      <w:lvlJc w:val="left"/>
      <w:pPr>
        <w:ind w:left="5037" w:firstLine="4677"/>
      </w:pPr>
      <w:rPr>
        <w:rFonts w:ascii="Arial" w:eastAsia="Arial" w:hAnsi="Arial" w:cs="Arial"/>
      </w:rPr>
    </w:lvl>
    <w:lvl w:ilvl="6">
      <w:start w:val="1"/>
      <w:numFmt w:val="bullet"/>
      <w:lvlText w:val="●"/>
      <w:lvlJc w:val="left"/>
      <w:pPr>
        <w:ind w:left="5757" w:firstLine="5397"/>
      </w:pPr>
      <w:rPr>
        <w:rFonts w:ascii="Arial" w:eastAsia="Arial" w:hAnsi="Arial" w:cs="Arial"/>
      </w:rPr>
    </w:lvl>
    <w:lvl w:ilvl="7">
      <w:start w:val="1"/>
      <w:numFmt w:val="bullet"/>
      <w:lvlText w:val="o"/>
      <w:lvlJc w:val="left"/>
      <w:pPr>
        <w:ind w:left="6477" w:firstLine="6117"/>
      </w:pPr>
      <w:rPr>
        <w:rFonts w:ascii="Arial" w:eastAsia="Arial" w:hAnsi="Arial" w:cs="Arial"/>
      </w:rPr>
    </w:lvl>
    <w:lvl w:ilvl="8">
      <w:start w:val="1"/>
      <w:numFmt w:val="bullet"/>
      <w:lvlText w:val="▪"/>
      <w:lvlJc w:val="left"/>
      <w:pPr>
        <w:ind w:left="7197" w:firstLine="6837"/>
      </w:pPr>
      <w:rPr>
        <w:rFonts w:ascii="Arial" w:eastAsia="Arial" w:hAnsi="Arial" w:cs="Arial"/>
      </w:rPr>
    </w:lvl>
  </w:abstractNum>
  <w:abstractNum w:abstractNumId="7" w15:restartNumberingAfterBreak="0">
    <w:nsid w:val="60747BEF"/>
    <w:multiLevelType w:val="multilevel"/>
    <w:tmpl w:val="9A648586"/>
    <w:lvl w:ilvl="0">
      <w:start w:val="1"/>
      <w:numFmt w:val="bullet"/>
      <w:lvlText w:val="-"/>
      <w:lvlJc w:val="left"/>
      <w:pPr>
        <w:ind w:left="1898" w:firstLine="1538"/>
      </w:pPr>
      <w:rPr>
        <w:rFonts w:ascii="Arial" w:eastAsia="Arial" w:hAnsi="Arial" w:cs="Arial"/>
      </w:rPr>
    </w:lvl>
    <w:lvl w:ilvl="1">
      <w:start w:val="1"/>
      <w:numFmt w:val="bullet"/>
      <w:lvlText w:val="o"/>
      <w:lvlJc w:val="left"/>
      <w:pPr>
        <w:ind w:left="2978" w:firstLine="2618"/>
      </w:pPr>
      <w:rPr>
        <w:rFonts w:ascii="Arial" w:eastAsia="Arial" w:hAnsi="Arial" w:cs="Arial"/>
      </w:rPr>
    </w:lvl>
    <w:lvl w:ilvl="2">
      <w:start w:val="1"/>
      <w:numFmt w:val="bullet"/>
      <w:lvlText w:val="▪"/>
      <w:lvlJc w:val="left"/>
      <w:pPr>
        <w:ind w:left="3698" w:firstLine="3338"/>
      </w:pPr>
      <w:rPr>
        <w:rFonts w:ascii="Arial" w:eastAsia="Arial" w:hAnsi="Arial" w:cs="Arial"/>
      </w:rPr>
    </w:lvl>
    <w:lvl w:ilvl="3">
      <w:start w:val="1"/>
      <w:numFmt w:val="bullet"/>
      <w:lvlText w:val="●"/>
      <w:lvlJc w:val="left"/>
      <w:pPr>
        <w:ind w:left="4418" w:firstLine="4058"/>
      </w:pPr>
      <w:rPr>
        <w:rFonts w:ascii="Arial" w:eastAsia="Arial" w:hAnsi="Arial" w:cs="Arial"/>
      </w:rPr>
    </w:lvl>
    <w:lvl w:ilvl="4">
      <w:start w:val="1"/>
      <w:numFmt w:val="bullet"/>
      <w:lvlText w:val="o"/>
      <w:lvlJc w:val="left"/>
      <w:pPr>
        <w:ind w:left="5138" w:firstLine="4778"/>
      </w:pPr>
      <w:rPr>
        <w:rFonts w:ascii="Arial" w:eastAsia="Arial" w:hAnsi="Arial" w:cs="Arial"/>
      </w:rPr>
    </w:lvl>
    <w:lvl w:ilvl="5">
      <w:start w:val="1"/>
      <w:numFmt w:val="bullet"/>
      <w:lvlText w:val="▪"/>
      <w:lvlJc w:val="left"/>
      <w:pPr>
        <w:ind w:left="5858" w:firstLine="5498"/>
      </w:pPr>
      <w:rPr>
        <w:rFonts w:ascii="Arial" w:eastAsia="Arial" w:hAnsi="Arial" w:cs="Arial"/>
      </w:rPr>
    </w:lvl>
    <w:lvl w:ilvl="6">
      <w:start w:val="1"/>
      <w:numFmt w:val="bullet"/>
      <w:lvlText w:val="●"/>
      <w:lvlJc w:val="left"/>
      <w:pPr>
        <w:ind w:left="6578" w:firstLine="6218"/>
      </w:pPr>
      <w:rPr>
        <w:rFonts w:ascii="Arial" w:eastAsia="Arial" w:hAnsi="Arial" w:cs="Arial"/>
      </w:rPr>
    </w:lvl>
    <w:lvl w:ilvl="7">
      <w:start w:val="1"/>
      <w:numFmt w:val="bullet"/>
      <w:lvlText w:val="o"/>
      <w:lvlJc w:val="left"/>
      <w:pPr>
        <w:ind w:left="7298" w:firstLine="6938"/>
      </w:pPr>
      <w:rPr>
        <w:rFonts w:ascii="Arial" w:eastAsia="Arial" w:hAnsi="Arial" w:cs="Arial"/>
      </w:rPr>
    </w:lvl>
    <w:lvl w:ilvl="8">
      <w:start w:val="1"/>
      <w:numFmt w:val="bullet"/>
      <w:lvlText w:val="▪"/>
      <w:lvlJc w:val="left"/>
      <w:pPr>
        <w:ind w:left="8018" w:firstLine="7658"/>
      </w:pPr>
      <w:rPr>
        <w:rFonts w:ascii="Arial" w:eastAsia="Arial" w:hAnsi="Arial" w:cs="Arial"/>
      </w:rPr>
    </w:lvl>
  </w:abstractNum>
  <w:abstractNum w:abstractNumId="8" w15:restartNumberingAfterBreak="0">
    <w:nsid w:val="681549D2"/>
    <w:multiLevelType w:val="multilevel"/>
    <w:tmpl w:val="619C3898"/>
    <w:lvl w:ilvl="0">
      <w:start w:val="1"/>
      <w:numFmt w:val="bullet"/>
      <w:lvlText w:val="-"/>
      <w:lvlJc w:val="left"/>
      <w:pPr>
        <w:ind w:left="1560" w:firstLine="1200"/>
      </w:pPr>
      <w:rPr>
        <w:rFonts w:ascii="Arial" w:eastAsia="Arial" w:hAnsi="Arial" w:cs="Arial"/>
      </w:rPr>
    </w:lvl>
    <w:lvl w:ilvl="1">
      <w:start w:val="1"/>
      <w:numFmt w:val="bullet"/>
      <w:lvlText w:val="o"/>
      <w:lvlJc w:val="left"/>
      <w:pPr>
        <w:ind w:left="2640" w:firstLine="2280"/>
      </w:pPr>
      <w:rPr>
        <w:rFonts w:ascii="Arial" w:eastAsia="Arial" w:hAnsi="Arial" w:cs="Arial"/>
      </w:rPr>
    </w:lvl>
    <w:lvl w:ilvl="2">
      <w:start w:val="1"/>
      <w:numFmt w:val="bullet"/>
      <w:lvlText w:val="▪"/>
      <w:lvlJc w:val="left"/>
      <w:pPr>
        <w:ind w:left="3360" w:firstLine="3000"/>
      </w:pPr>
      <w:rPr>
        <w:rFonts w:ascii="Arial" w:eastAsia="Arial" w:hAnsi="Arial" w:cs="Arial"/>
      </w:rPr>
    </w:lvl>
    <w:lvl w:ilvl="3">
      <w:start w:val="1"/>
      <w:numFmt w:val="bullet"/>
      <w:lvlText w:val="●"/>
      <w:lvlJc w:val="left"/>
      <w:pPr>
        <w:ind w:left="4080" w:firstLine="3720"/>
      </w:pPr>
      <w:rPr>
        <w:rFonts w:ascii="Arial" w:eastAsia="Arial" w:hAnsi="Arial" w:cs="Arial"/>
      </w:rPr>
    </w:lvl>
    <w:lvl w:ilvl="4">
      <w:start w:val="1"/>
      <w:numFmt w:val="bullet"/>
      <w:lvlText w:val="o"/>
      <w:lvlJc w:val="left"/>
      <w:pPr>
        <w:ind w:left="4800" w:firstLine="4440"/>
      </w:pPr>
      <w:rPr>
        <w:rFonts w:ascii="Arial" w:eastAsia="Arial" w:hAnsi="Arial" w:cs="Arial"/>
      </w:rPr>
    </w:lvl>
    <w:lvl w:ilvl="5">
      <w:start w:val="1"/>
      <w:numFmt w:val="bullet"/>
      <w:lvlText w:val="▪"/>
      <w:lvlJc w:val="left"/>
      <w:pPr>
        <w:ind w:left="5520" w:firstLine="5160"/>
      </w:pPr>
      <w:rPr>
        <w:rFonts w:ascii="Arial" w:eastAsia="Arial" w:hAnsi="Arial" w:cs="Arial"/>
      </w:rPr>
    </w:lvl>
    <w:lvl w:ilvl="6">
      <w:start w:val="1"/>
      <w:numFmt w:val="bullet"/>
      <w:lvlText w:val="●"/>
      <w:lvlJc w:val="left"/>
      <w:pPr>
        <w:ind w:left="6240" w:firstLine="5880"/>
      </w:pPr>
      <w:rPr>
        <w:rFonts w:ascii="Arial" w:eastAsia="Arial" w:hAnsi="Arial" w:cs="Arial"/>
      </w:rPr>
    </w:lvl>
    <w:lvl w:ilvl="7">
      <w:start w:val="1"/>
      <w:numFmt w:val="bullet"/>
      <w:lvlText w:val="o"/>
      <w:lvlJc w:val="left"/>
      <w:pPr>
        <w:ind w:left="6960" w:firstLine="6600"/>
      </w:pPr>
      <w:rPr>
        <w:rFonts w:ascii="Arial" w:eastAsia="Arial" w:hAnsi="Arial" w:cs="Arial"/>
      </w:rPr>
    </w:lvl>
    <w:lvl w:ilvl="8">
      <w:start w:val="1"/>
      <w:numFmt w:val="bullet"/>
      <w:lvlText w:val="▪"/>
      <w:lvlJc w:val="left"/>
      <w:pPr>
        <w:ind w:left="7680" w:firstLine="7320"/>
      </w:pPr>
      <w:rPr>
        <w:rFonts w:ascii="Arial" w:eastAsia="Arial" w:hAnsi="Arial" w:cs="Arial"/>
      </w:rPr>
    </w:lvl>
  </w:abstractNum>
  <w:abstractNum w:abstractNumId="9" w15:restartNumberingAfterBreak="0">
    <w:nsid w:val="7F152608"/>
    <w:multiLevelType w:val="multilevel"/>
    <w:tmpl w:val="74CAFE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8"/>
  </w:num>
  <w:num w:numId="2">
    <w:abstractNumId w:val="4"/>
  </w:num>
  <w:num w:numId="3">
    <w:abstractNumId w:val="7"/>
  </w:num>
  <w:num w:numId="4">
    <w:abstractNumId w:val="9"/>
  </w:num>
  <w:num w:numId="5">
    <w:abstractNumId w:val="0"/>
  </w:num>
  <w:num w:numId="6">
    <w:abstractNumId w:val="6"/>
  </w:num>
  <w:num w:numId="7">
    <w:abstractNumId w:val="1"/>
  </w:num>
  <w:num w:numId="8">
    <w:abstractNumId w:val="2"/>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IM_Brand" w:val="D9"/>
  </w:docVars>
  <w:rsids>
    <w:rsidRoot w:val="000238FA"/>
    <w:rsid w:val="00004097"/>
    <w:rsid w:val="0001352D"/>
    <w:rsid w:val="000238FA"/>
    <w:rsid w:val="00074236"/>
    <w:rsid w:val="000E111F"/>
    <w:rsid w:val="00144150"/>
    <w:rsid w:val="00177A41"/>
    <w:rsid w:val="00235EA8"/>
    <w:rsid w:val="002647F0"/>
    <w:rsid w:val="002860AA"/>
    <w:rsid w:val="002B59D0"/>
    <w:rsid w:val="002B5ADA"/>
    <w:rsid w:val="003633F8"/>
    <w:rsid w:val="00394D58"/>
    <w:rsid w:val="00425E85"/>
    <w:rsid w:val="004463C4"/>
    <w:rsid w:val="00480DB8"/>
    <w:rsid w:val="00483707"/>
    <w:rsid w:val="00484379"/>
    <w:rsid w:val="004C21A4"/>
    <w:rsid w:val="004F2181"/>
    <w:rsid w:val="00523B09"/>
    <w:rsid w:val="005277A7"/>
    <w:rsid w:val="00564782"/>
    <w:rsid w:val="0059686A"/>
    <w:rsid w:val="00605EFA"/>
    <w:rsid w:val="006060A5"/>
    <w:rsid w:val="00624209"/>
    <w:rsid w:val="0069556A"/>
    <w:rsid w:val="006F1B0E"/>
    <w:rsid w:val="0070643C"/>
    <w:rsid w:val="00721D9D"/>
    <w:rsid w:val="007354AC"/>
    <w:rsid w:val="007E49B7"/>
    <w:rsid w:val="008848A5"/>
    <w:rsid w:val="008A6A38"/>
    <w:rsid w:val="00903A5D"/>
    <w:rsid w:val="00914C1F"/>
    <w:rsid w:val="009536E0"/>
    <w:rsid w:val="009A6923"/>
    <w:rsid w:val="009C46BB"/>
    <w:rsid w:val="00A5735F"/>
    <w:rsid w:val="00A6775B"/>
    <w:rsid w:val="00A84412"/>
    <w:rsid w:val="00AA3CDF"/>
    <w:rsid w:val="00AA43DB"/>
    <w:rsid w:val="00AD15EA"/>
    <w:rsid w:val="00B2120A"/>
    <w:rsid w:val="00B4032A"/>
    <w:rsid w:val="00B50C23"/>
    <w:rsid w:val="00B70AD0"/>
    <w:rsid w:val="00BB34F9"/>
    <w:rsid w:val="00BB61C5"/>
    <w:rsid w:val="00BC2CCD"/>
    <w:rsid w:val="00BD1CC7"/>
    <w:rsid w:val="00BD7C9E"/>
    <w:rsid w:val="00BE105C"/>
    <w:rsid w:val="00BE7209"/>
    <w:rsid w:val="00C12930"/>
    <w:rsid w:val="00C3438B"/>
    <w:rsid w:val="00C709AE"/>
    <w:rsid w:val="00C74748"/>
    <w:rsid w:val="00C86FBE"/>
    <w:rsid w:val="00D03292"/>
    <w:rsid w:val="00D12A7E"/>
    <w:rsid w:val="00D152B4"/>
    <w:rsid w:val="00D27915"/>
    <w:rsid w:val="00D31AAE"/>
    <w:rsid w:val="00D613F2"/>
    <w:rsid w:val="00D6774C"/>
    <w:rsid w:val="00D738E4"/>
    <w:rsid w:val="00D816C3"/>
    <w:rsid w:val="00E51FD9"/>
    <w:rsid w:val="00E756A8"/>
    <w:rsid w:val="00EA1F7C"/>
    <w:rsid w:val="00EF5403"/>
    <w:rsid w:val="00F615FE"/>
    <w:rsid w:val="00F705C8"/>
    <w:rsid w:val="00F907DD"/>
    <w:rsid w:val="00F96869"/>
    <w:rsid w:val="00FC458D"/>
    <w:rsid w:val="00FC6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DC1E9A-3216-4CA0-8EEA-E409233FA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16"/>
        <w:szCs w:val="16"/>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C46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6BB"/>
    <w:rPr>
      <w:rFonts w:ascii="Segoe UI" w:hAnsi="Segoe UI" w:cs="Segoe UI"/>
      <w:sz w:val="18"/>
      <w:szCs w:val="18"/>
    </w:rPr>
  </w:style>
  <w:style w:type="paragraph" w:styleId="Header">
    <w:name w:val="header"/>
    <w:basedOn w:val="Normal"/>
    <w:link w:val="HeaderChar"/>
    <w:uiPriority w:val="99"/>
    <w:unhideWhenUsed/>
    <w:rsid w:val="00EA1F7C"/>
    <w:pPr>
      <w:tabs>
        <w:tab w:val="center" w:pos="4513"/>
        <w:tab w:val="right" w:pos="9026"/>
      </w:tabs>
    </w:pPr>
  </w:style>
  <w:style w:type="character" w:customStyle="1" w:styleId="HeaderChar">
    <w:name w:val="Header Char"/>
    <w:basedOn w:val="DefaultParagraphFont"/>
    <w:link w:val="Header"/>
    <w:uiPriority w:val="99"/>
    <w:rsid w:val="00EA1F7C"/>
  </w:style>
  <w:style w:type="paragraph" w:styleId="Footer">
    <w:name w:val="footer"/>
    <w:basedOn w:val="Normal"/>
    <w:link w:val="FooterChar"/>
    <w:uiPriority w:val="99"/>
    <w:unhideWhenUsed/>
    <w:rsid w:val="00EA1F7C"/>
    <w:pPr>
      <w:tabs>
        <w:tab w:val="center" w:pos="4513"/>
        <w:tab w:val="right" w:pos="9026"/>
      </w:tabs>
    </w:pPr>
  </w:style>
  <w:style w:type="character" w:customStyle="1" w:styleId="FooterChar">
    <w:name w:val="Footer Char"/>
    <w:basedOn w:val="DefaultParagraphFont"/>
    <w:link w:val="Footer"/>
    <w:uiPriority w:val="99"/>
    <w:rsid w:val="00EA1F7C"/>
  </w:style>
  <w:style w:type="paragraph" w:styleId="CommentSubject">
    <w:name w:val="annotation subject"/>
    <w:basedOn w:val="CommentText"/>
    <w:next w:val="CommentText"/>
    <w:link w:val="CommentSubjectChar"/>
    <w:uiPriority w:val="99"/>
    <w:semiHidden/>
    <w:unhideWhenUsed/>
    <w:rsid w:val="003633F8"/>
    <w:rPr>
      <w:b/>
      <w:bCs/>
    </w:rPr>
  </w:style>
  <w:style w:type="character" w:customStyle="1" w:styleId="CommentSubjectChar">
    <w:name w:val="Comment Subject Char"/>
    <w:basedOn w:val="CommentTextChar"/>
    <w:link w:val="CommentSubject"/>
    <w:uiPriority w:val="99"/>
    <w:semiHidden/>
    <w:rsid w:val="003633F8"/>
    <w:rPr>
      <w:b/>
      <w:bCs/>
      <w:sz w:val="20"/>
      <w:szCs w:val="20"/>
    </w:rPr>
  </w:style>
  <w:style w:type="character" w:styleId="Hyperlink">
    <w:name w:val="Hyperlink"/>
    <w:basedOn w:val="DefaultParagraphFont"/>
    <w:uiPriority w:val="99"/>
    <w:unhideWhenUsed/>
    <w:rsid w:val="00D032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721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Worksheet1.xlsx"/><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3417</Words>
  <Characters>19477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22849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Crandon</dc:creator>
  <cp:lastModifiedBy>Tom Conlon</cp:lastModifiedBy>
  <cp:revision>2</cp:revision>
  <dcterms:created xsi:type="dcterms:W3CDTF">2019-01-04T12:58:00Z</dcterms:created>
  <dcterms:modified xsi:type="dcterms:W3CDTF">2019-01-04T12:58:00Z</dcterms:modified>
</cp:coreProperties>
</file>