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BC5" w:rsidRDefault="00954BC5">
      <w:pPr>
        <w:ind w:left="-540"/>
        <w:jc w:val="right"/>
        <w:rPr>
          <w:rFonts w:ascii="Arial" w:eastAsia="Arial" w:hAnsi="Arial" w:cs="Arial"/>
          <w:sz w:val="22"/>
          <w:szCs w:val="22"/>
        </w:rPr>
      </w:pPr>
    </w:p>
    <w:p w:rsidR="00954BC5" w:rsidRDefault="00954BC5">
      <w:pPr>
        <w:ind w:left="-540"/>
        <w:jc w:val="center"/>
        <w:rPr>
          <w:rFonts w:ascii="Arial" w:eastAsia="Arial" w:hAnsi="Arial" w:cs="Arial"/>
        </w:rPr>
      </w:pPr>
    </w:p>
    <w:p w:rsidR="00954BC5" w:rsidRDefault="00793DF6">
      <w:pPr>
        <w:ind w:left="-540"/>
        <w:jc w:val="center"/>
        <w:rPr>
          <w:rFonts w:ascii="Arial" w:eastAsia="Arial" w:hAnsi="Arial" w:cs="Arial"/>
        </w:rPr>
      </w:pPr>
      <w:r>
        <w:rPr>
          <w:rFonts w:ascii="Arial" w:eastAsia="Arial" w:hAnsi="Arial" w:cs="Arial"/>
          <w:b/>
        </w:rPr>
        <w:t>PRO FORMA FOR TRANSPARENCY INFORMATION ABOUT OUTSIDE APPOINTMENTS OR EMPLOYMENT TAKEN UP BY FORMER MEMBERS OF THE DEPARTMENT AT SCS1 AND SCS2 LEVEL AND EQUIVALENTS INCLUDING SPECIAL ADVISERS OF EQUIVALENT STANDING</w:t>
      </w:r>
    </w:p>
    <w:p w:rsidR="00954BC5" w:rsidRDefault="00954BC5">
      <w:pPr>
        <w:ind w:left="-540"/>
        <w:jc w:val="center"/>
      </w:pPr>
    </w:p>
    <w:p w:rsidR="00954BC5" w:rsidRDefault="00954BC5">
      <w:pPr>
        <w:ind w:hanging="540"/>
      </w:pPr>
    </w:p>
    <w:p w:rsidR="00954BC5" w:rsidRDefault="00793DF6">
      <w:pPr>
        <w:numPr>
          <w:ilvl w:val="0"/>
          <w:numId w:val="2"/>
        </w:numPr>
        <w:ind w:left="360"/>
        <w:jc w:val="both"/>
      </w:pPr>
      <w:r>
        <w:rPr>
          <w:rFonts w:ascii="Arial" w:eastAsia="Arial" w:hAnsi="Arial" w:cs="Arial"/>
        </w:rPr>
        <w:t xml:space="preserve">Transparency about the advice given on individual applications under the Business Appointment Rules helps to ensure the maintenance of a high level of compliance.  </w:t>
      </w:r>
    </w:p>
    <w:p w:rsidR="00954BC5" w:rsidRDefault="00954BC5">
      <w:pPr>
        <w:jc w:val="both"/>
        <w:rPr>
          <w:rFonts w:ascii="Arial" w:eastAsia="Arial" w:hAnsi="Arial" w:cs="Arial"/>
        </w:rPr>
      </w:pPr>
    </w:p>
    <w:p w:rsidR="00954BC5" w:rsidRDefault="00793DF6">
      <w:pPr>
        <w:numPr>
          <w:ilvl w:val="0"/>
          <w:numId w:val="2"/>
        </w:numPr>
        <w:ind w:left="360"/>
        <w:jc w:val="both"/>
      </w:pPr>
      <w:r>
        <w:rPr>
          <w:rFonts w:ascii="Arial" w:eastAsia="Arial" w:hAnsi="Arial" w:cs="Arial"/>
        </w:rPr>
        <w:t>The Rules require departments to publish on their websites summary information about the a</w:t>
      </w:r>
      <w:r>
        <w:rPr>
          <w:rFonts w:ascii="Arial" w:eastAsia="Arial" w:hAnsi="Arial" w:cs="Arial"/>
        </w:rPr>
        <w:t xml:space="preserve">dvice they give to applicants at SCS2 and SCS1 level and equivalents, including special advisers of equivalent standing.  </w:t>
      </w:r>
    </w:p>
    <w:p w:rsidR="00954BC5" w:rsidRDefault="00954BC5">
      <w:pPr>
        <w:jc w:val="both"/>
        <w:rPr>
          <w:rFonts w:ascii="Arial" w:eastAsia="Arial" w:hAnsi="Arial" w:cs="Arial"/>
        </w:rPr>
      </w:pPr>
    </w:p>
    <w:p w:rsidR="00954BC5" w:rsidRDefault="00793DF6">
      <w:pPr>
        <w:numPr>
          <w:ilvl w:val="0"/>
          <w:numId w:val="2"/>
        </w:numPr>
        <w:ind w:left="360"/>
        <w:jc w:val="both"/>
      </w:pPr>
      <w:bookmarkStart w:id="0" w:name="_gjdgxs" w:colFirst="0" w:colLast="0"/>
      <w:bookmarkEnd w:id="0"/>
      <w:r>
        <w:rPr>
          <w:rFonts w:ascii="Arial" w:eastAsia="Arial" w:hAnsi="Arial" w:cs="Arial"/>
        </w:rPr>
        <w:t>This follows the approach adopted by the Advisory Committee on Business Appointments which publishes information on the advice it gi</w:t>
      </w:r>
      <w:r>
        <w:rPr>
          <w:rFonts w:ascii="Arial" w:eastAsia="Arial" w:hAnsi="Arial" w:cs="Arial"/>
        </w:rPr>
        <w:t xml:space="preserve">ves on applications from SCS3 level and above and equivalents, including special advisers of equivalent standing – see  </w:t>
      </w:r>
      <w:hyperlink r:id="rId7">
        <w:r>
          <w:rPr>
            <w:rFonts w:ascii="Arial" w:eastAsia="Arial" w:hAnsi="Arial" w:cs="Arial"/>
            <w:color w:val="0000FF"/>
            <w:u w:val="single"/>
          </w:rPr>
          <w:t>http://acoba.independent.gov.uk/</w:t>
        </w:r>
      </w:hyperlink>
    </w:p>
    <w:p w:rsidR="00954BC5" w:rsidRDefault="00954BC5">
      <w:pPr>
        <w:jc w:val="both"/>
        <w:rPr>
          <w:rFonts w:ascii="Arial" w:eastAsia="Arial" w:hAnsi="Arial" w:cs="Arial"/>
        </w:rPr>
      </w:pPr>
    </w:p>
    <w:p w:rsidR="00954BC5" w:rsidRDefault="00793DF6">
      <w:pPr>
        <w:numPr>
          <w:ilvl w:val="0"/>
          <w:numId w:val="2"/>
        </w:numPr>
        <w:ind w:left="360"/>
        <w:jc w:val="both"/>
      </w:pPr>
      <w:r>
        <w:rPr>
          <w:rFonts w:ascii="Arial" w:eastAsia="Arial" w:hAnsi="Arial" w:cs="Arial"/>
        </w:rPr>
        <w:t>Published information should include the following</w:t>
      </w:r>
      <w:r>
        <w:rPr>
          <w:rFonts w:ascii="Arial" w:eastAsia="Arial" w:hAnsi="Arial" w:cs="Arial"/>
        </w:rPr>
        <w:t xml:space="preserve"> details:</w:t>
      </w:r>
    </w:p>
    <w:p w:rsidR="00954BC5" w:rsidRDefault="00954BC5">
      <w:pPr>
        <w:jc w:val="both"/>
        <w:rPr>
          <w:rFonts w:ascii="Arial" w:eastAsia="Arial" w:hAnsi="Arial" w:cs="Arial"/>
        </w:rPr>
      </w:pPr>
    </w:p>
    <w:p w:rsidR="00954BC5" w:rsidRDefault="00793DF6">
      <w:pPr>
        <w:numPr>
          <w:ilvl w:val="1"/>
          <w:numId w:val="2"/>
        </w:numPr>
        <w:ind w:left="1080"/>
        <w:jc w:val="both"/>
      </w:pPr>
      <w:r>
        <w:rPr>
          <w:rFonts w:ascii="Arial" w:eastAsia="Arial" w:hAnsi="Arial" w:cs="Arial"/>
        </w:rPr>
        <w:t>Full name of the applicant, and title of their former Civil Service role;</w:t>
      </w:r>
    </w:p>
    <w:p w:rsidR="00954BC5" w:rsidRDefault="00793DF6">
      <w:pPr>
        <w:numPr>
          <w:ilvl w:val="1"/>
          <w:numId w:val="2"/>
        </w:numPr>
        <w:ind w:left="1080"/>
        <w:jc w:val="both"/>
      </w:pPr>
      <w:r>
        <w:rPr>
          <w:rFonts w:ascii="Arial" w:eastAsia="Arial" w:hAnsi="Arial" w:cs="Arial"/>
        </w:rPr>
        <w:t>Date applicant left/retired from the Civil Service;</w:t>
      </w:r>
    </w:p>
    <w:p w:rsidR="00954BC5" w:rsidRDefault="00793DF6">
      <w:pPr>
        <w:numPr>
          <w:ilvl w:val="1"/>
          <w:numId w:val="2"/>
        </w:numPr>
        <w:ind w:left="1080"/>
        <w:jc w:val="both"/>
      </w:pPr>
      <w:r>
        <w:rPr>
          <w:rFonts w:ascii="Arial" w:eastAsia="Arial" w:hAnsi="Arial" w:cs="Arial"/>
        </w:rPr>
        <w:t>The applicant’s new employment or appointment, including when taken up;</w:t>
      </w:r>
    </w:p>
    <w:p w:rsidR="00954BC5" w:rsidRDefault="00793DF6">
      <w:pPr>
        <w:numPr>
          <w:ilvl w:val="1"/>
          <w:numId w:val="2"/>
        </w:numPr>
        <w:ind w:left="1080"/>
        <w:jc w:val="both"/>
      </w:pPr>
      <w:r>
        <w:rPr>
          <w:rFonts w:ascii="Arial" w:eastAsia="Arial" w:hAnsi="Arial" w:cs="Arial"/>
        </w:rPr>
        <w:t>Summary of the department’s decision on the app</w:t>
      </w:r>
      <w:r>
        <w:rPr>
          <w:rFonts w:ascii="Arial" w:eastAsia="Arial" w:hAnsi="Arial" w:cs="Arial"/>
        </w:rPr>
        <w:t>licant’s application, including details of any waiting period or other conditions or restrictions applied.</w:t>
      </w:r>
    </w:p>
    <w:p w:rsidR="00954BC5" w:rsidRDefault="00954BC5">
      <w:pPr>
        <w:jc w:val="both"/>
        <w:rPr>
          <w:rFonts w:ascii="Arial" w:eastAsia="Arial" w:hAnsi="Arial" w:cs="Arial"/>
        </w:rPr>
      </w:pPr>
    </w:p>
    <w:p w:rsidR="00954BC5" w:rsidRDefault="00793DF6">
      <w:pPr>
        <w:numPr>
          <w:ilvl w:val="0"/>
          <w:numId w:val="2"/>
        </w:numPr>
        <w:ind w:left="360"/>
        <w:jc w:val="both"/>
      </w:pPr>
      <w:r>
        <w:rPr>
          <w:rFonts w:ascii="Arial" w:eastAsia="Arial" w:hAnsi="Arial" w:cs="Arial"/>
        </w:rPr>
        <w:t>Departments may wish to use the pro forma overleaf for this purpose.</w:t>
      </w:r>
    </w:p>
    <w:p w:rsidR="00954BC5" w:rsidRDefault="00954BC5">
      <w:pPr>
        <w:jc w:val="both"/>
        <w:rPr>
          <w:rFonts w:ascii="Arial" w:eastAsia="Arial" w:hAnsi="Arial" w:cs="Arial"/>
        </w:rPr>
      </w:pPr>
    </w:p>
    <w:p w:rsidR="00954BC5" w:rsidRDefault="00793DF6">
      <w:pPr>
        <w:numPr>
          <w:ilvl w:val="0"/>
          <w:numId w:val="2"/>
        </w:numPr>
        <w:ind w:left="360"/>
        <w:jc w:val="both"/>
      </w:pPr>
      <w:r>
        <w:rPr>
          <w:rFonts w:ascii="Arial" w:eastAsia="Arial" w:hAnsi="Arial" w:cs="Arial"/>
        </w:rPr>
        <w:t xml:space="preserve">It is important that departments do </w:t>
      </w:r>
      <w:r>
        <w:rPr>
          <w:rFonts w:ascii="Arial" w:eastAsia="Arial" w:hAnsi="Arial" w:cs="Arial"/>
          <w:u w:val="single"/>
        </w:rPr>
        <w:t>not</w:t>
      </w:r>
      <w:r>
        <w:rPr>
          <w:rFonts w:ascii="Arial" w:eastAsia="Arial" w:hAnsi="Arial" w:cs="Arial"/>
        </w:rPr>
        <w:t xml:space="preserve"> publish any information until the appl</w:t>
      </w:r>
      <w:r>
        <w:rPr>
          <w:rFonts w:ascii="Arial" w:eastAsia="Arial" w:hAnsi="Arial" w:cs="Arial"/>
        </w:rPr>
        <w:t xml:space="preserve">icant has taken up the appointment or employment, or it has been publicly announced. </w:t>
      </w:r>
    </w:p>
    <w:p w:rsidR="00954BC5" w:rsidRDefault="00954BC5">
      <w:pPr>
        <w:jc w:val="both"/>
        <w:rPr>
          <w:rFonts w:ascii="Arial" w:eastAsia="Arial" w:hAnsi="Arial" w:cs="Arial"/>
        </w:rPr>
      </w:pPr>
    </w:p>
    <w:p w:rsidR="00954BC5" w:rsidRDefault="00793DF6">
      <w:pPr>
        <w:numPr>
          <w:ilvl w:val="0"/>
          <w:numId w:val="2"/>
        </w:numPr>
        <w:ind w:left="360"/>
        <w:jc w:val="both"/>
      </w:pPr>
      <w:r>
        <w:rPr>
          <w:rFonts w:ascii="Arial" w:eastAsia="Arial" w:hAnsi="Arial" w:cs="Arial"/>
        </w:rPr>
        <w:t xml:space="preserve">No information should be published where the applicant does not take up a proposed appointment or employment. </w:t>
      </w:r>
    </w:p>
    <w:p w:rsidR="00954BC5" w:rsidRDefault="00954BC5">
      <w:pPr>
        <w:jc w:val="both"/>
        <w:rPr>
          <w:rFonts w:ascii="Arial" w:eastAsia="Arial" w:hAnsi="Arial" w:cs="Arial"/>
        </w:rPr>
      </w:pPr>
    </w:p>
    <w:p w:rsidR="00954BC5" w:rsidRDefault="00793DF6">
      <w:pPr>
        <w:numPr>
          <w:ilvl w:val="0"/>
          <w:numId w:val="2"/>
        </w:numPr>
        <w:ind w:left="360"/>
        <w:jc w:val="both"/>
      </w:pPr>
      <w:r>
        <w:rPr>
          <w:rFonts w:ascii="Arial" w:eastAsia="Arial" w:hAnsi="Arial" w:cs="Arial"/>
        </w:rPr>
        <w:t xml:space="preserve">Applicants should be informed about publication and be given the opportunity to check the text before it goes live on the website. </w:t>
      </w:r>
    </w:p>
    <w:p w:rsidR="00954BC5" w:rsidRDefault="00954BC5">
      <w:pPr>
        <w:jc w:val="both"/>
        <w:rPr>
          <w:rFonts w:ascii="Arial" w:eastAsia="Arial" w:hAnsi="Arial" w:cs="Arial"/>
          <w:color w:val="000000"/>
        </w:rPr>
      </w:pPr>
    </w:p>
    <w:p w:rsidR="00954BC5" w:rsidRDefault="00954BC5">
      <w:pPr>
        <w:jc w:val="both"/>
        <w:rPr>
          <w:rFonts w:ascii="Arial" w:eastAsia="Arial" w:hAnsi="Arial" w:cs="Arial"/>
        </w:rPr>
      </w:pPr>
    </w:p>
    <w:p w:rsidR="00954BC5" w:rsidRDefault="00954BC5">
      <w:pPr>
        <w:jc w:val="both"/>
        <w:rPr>
          <w:rFonts w:ascii="Arial" w:eastAsia="Arial" w:hAnsi="Arial" w:cs="Arial"/>
        </w:rPr>
      </w:pPr>
    </w:p>
    <w:p w:rsidR="00954BC5" w:rsidRDefault="00954BC5">
      <w:pPr>
        <w:jc w:val="both"/>
        <w:rPr>
          <w:rFonts w:ascii="Arial" w:eastAsia="Arial" w:hAnsi="Arial" w:cs="Arial"/>
        </w:rPr>
      </w:pPr>
    </w:p>
    <w:p w:rsidR="00954BC5" w:rsidRDefault="00954BC5">
      <w:pPr>
        <w:jc w:val="both"/>
        <w:rPr>
          <w:rFonts w:ascii="Arial" w:eastAsia="Arial" w:hAnsi="Arial" w:cs="Arial"/>
        </w:rPr>
      </w:pPr>
    </w:p>
    <w:p w:rsidR="00954BC5" w:rsidRDefault="00954BC5">
      <w:pPr>
        <w:ind w:left="-540"/>
        <w:rPr>
          <w:rFonts w:ascii="Arial" w:eastAsia="Arial" w:hAnsi="Arial" w:cs="Arial"/>
        </w:rPr>
      </w:pPr>
    </w:p>
    <w:p w:rsidR="00954BC5" w:rsidRDefault="00954BC5">
      <w:pPr>
        <w:ind w:left="-540"/>
        <w:rPr>
          <w:rFonts w:ascii="Arial" w:eastAsia="Arial" w:hAnsi="Arial" w:cs="Arial"/>
        </w:rPr>
      </w:pPr>
    </w:p>
    <w:p w:rsidR="00954BC5" w:rsidRDefault="00954BC5">
      <w:pPr>
        <w:ind w:left="-540"/>
        <w:rPr>
          <w:rFonts w:ascii="Arial" w:eastAsia="Arial" w:hAnsi="Arial" w:cs="Arial"/>
        </w:rPr>
      </w:pPr>
    </w:p>
    <w:p w:rsidR="00954BC5" w:rsidRDefault="00954BC5">
      <w:pPr>
        <w:ind w:left="-540"/>
        <w:rPr>
          <w:rFonts w:ascii="Arial" w:eastAsia="Arial" w:hAnsi="Arial" w:cs="Arial"/>
        </w:rPr>
      </w:pPr>
    </w:p>
    <w:p w:rsidR="00954BC5" w:rsidRDefault="00954BC5">
      <w:pPr>
        <w:ind w:left="-540"/>
        <w:rPr>
          <w:rFonts w:ascii="Arial" w:eastAsia="Arial" w:hAnsi="Arial" w:cs="Arial"/>
        </w:rPr>
      </w:pPr>
    </w:p>
    <w:p w:rsidR="00954BC5" w:rsidRDefault="00954BC5">
      <w:pPr>
        <w:ind w:left="-540"/>
        <w:rPr>
          <w:rFonts w:ascii="Arial" w:eastAsia="Arial" w:hAnsi="Arial" w:cs="Arial"/>
        </w:rPr>
      </w:pPr>
    </w:p>
    <w:p w:rsidR="00954BC5" w:rsidRDefault="00793DF6" w:rsidP="00475022">
      <w:pPr>
        <w:ind w:left="-540"/>
        <w:jc w:val="center"/>
        <w:rPr>
          <w:rFonts w:ascii="Arial" w:eastAsia="Arial" w:hAnsi="Arial" w:cs="Arial"/>
          <w:b/>
        </w:rPr>
      </w:pPr>
      <w:r>
        <w:rPr>
          <w:rFonts w:ascii="Arial" w:eastAsia="Arial" w:hAnsi="Arial" w:cs="Arial"/>
          <w:b/>
        </w:rPr>
        <w:lastRenderedPageBreak/>
        <w:t>PRO FORMA FOR TRANSPARENCY INFORMATION ABOUT OUTSIDE APPOINTMENTS OR EMPLOYMENT TAKEN UP BY FORMER MEMBERS OF THE</w:t>
      </w:r>
      <w:r>
        <w:rPr>
          <w:rFonts w:ascii="Arial" w:eastAsia="Arial" w:hAnsi="Arial" w:cs="Arial"/>
          <w:b/>
        </w:rPr>
        <w:t xml:space="preserve"> DEPARTMENT AT SCS1 AND SCS2 LEVEL AND EQUIVALENTS (INCLUDING SPECIAL ADVISERS OF EQUIVALENT STANDING)</w:t>
      </w:r>
    </w:p>
    <w:p w:rsidR="001201F2" w:rsidRDefault="001201F2" w:rsidP="00475022">
      <w:pPr>
        <w:ind w:left="-540"/>
        <w:jc w:val="center"/>
        <w:rPr>
          <w:rFonts w:ascii="Arial" w:eastAsia="Arial" w:hAnsi="Arial" w:cs="Arial"/>
        </w:rPr>
      </w:pPr>
    </w:p>
    <w:tbl>
      <w:tblPr>
        <w:tblStyle w:val="a"/>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0"/>
        <w:gridCol w:w="4816"/>
      </w:tblGrid>
      <w:tr w:rsidR="00954BC5">
        <w:tc>
          <w:tcPr>
            <w:tcW w:w="4220" w:type="dxa"/>
          </w:tcPr>
          <w:p w:rsidR="00954BC5" w:rsidRDefault="00793DF6">
            <w:pPr>
              <w:spacing w:before="240" w:after="240"/>
              <w:rPr>
                <w:rFonts w:ascii="Arial" w:eastAsia="Arial" w:hAnsi="Arial" w:cs="Arial"/>
              </w:rPr>
            </w:pPr>
            <w:r>
              <w:rPr>
                <w:rFonts w:ascii="Arial" w:eastAsia="Arial" w:hAnsi="Arial" w:cs="Arial"/>
              </w:rPr>
              <w:t xml:space="preserve">Full Name of Applicant </w:t>
            </w:r>
          </w:p>
        </w:tc>
        <w:tc>
          <w:tcPr>
            <w:tcW w:w="4816" w:type="dxa"/>
          </w:tcPr>
          <w:p w:rsidR="00954BC5" w:rsidRDefault="00793DF6">
            <w:pPr>
              <w:spacing w:before="80" w:after="80"/>
              <w:rPr>
                <w:rFonts w:ascii="Arial" w:eastAsia="Arial" w:hAnsi="Arial" w:cs="Arial"/>
              </w:rPr>
            </w:pPr>
            <w:r>
              <w:rPr>
                <w:rFonts w:ascii="Arial" w:eastAsia="Arial" w:hAnsi="Arial" w:cs="Arial"/>
              </w:rPr>
              <w:t>Liam Maxwell</w:t>
            </w:r>
          </w:p>
        </w:tc>
      </w:tr>
      <w:tr w:rsidR="00954BC5">
        <w:tc>
          <w:tcPr>
            <w:tcW w:w="4220" w:type="dxa"/>
          </w:tcPr>
          <w:p w:rsidR="00954BC5" w:rsidRDefault="00793DF6">
            <w:pPr>
              <w:spacing w:before="240" w:after="240"/>
              <w:rPr>
                <w:rFonts w:ascii="Arial" w:eastAsia="Arial" w:hAnsi="Arial" w:cs="Arial"/>
              </w:rPr>
            </w:pPr>
            <w:r>
              <w:rPr>
                <w:rFonts w:ascii="Arial" w:eastAsia="Arial" w:hAnsi="Arial" w:cs="Arial"/>
              </w:rPr>
              <w:t xml:space="preserve">Title of Former Civil Service Role </w:t>
            </w:r>
          </w:p>
          <w:p w:rsidR="00954BC5" w:rsidRDefault="00954BC5">
            <w:pPr>
              <w:spacing w:before="240" w:after="240"/>
              <w:rPr>
                <w:rFonts w:ascii="Arial" w:eastAsia="Arial" w:hAnsi="Arial" w:cs="Arial"/>
              </w:rPr>
            </w:pPr>
          </w:p>
        </w:tc>
        <w:tc>
          <w:tcPr>
            <w:tcW w:w="4816" w:type="dxa"/>
            <w:tcBorders>
              <w:left w:val="single" w:sz="4" w:space="0" w:color="000000"/>
              <w:right w:val="single" w:sz="4" w:space="0" w:color="000000"/>
            </w:tcBorders>
          </w:tcPr>
          <w:p w:rsidR="00954BC5" w:rsidRDefault="00793DF6">
            <w:pPr>
              <w:spacing w:before="80" w:after="80"/>
              <w:rPr>
                <w:rFonts w:ascii="Arial" w:eastAsia="Arial" w:hAnsi="Arial" w:cs="Arial"/>
              </w:rPr>
            </w:pPr>
            <w:r>
              <w:rPr>
                <w:rFonts w:ascii="Arial" w:eastAsia="Arial" w:hAnsi="Arial" w:cs="Arial"/>
              </w:rPr>
              <w:t>DCMS April 2016 - November 2018</w:t>
            </w:r>
          </w:p>
          <w:p w:rsidR="00954BC5" w:rsidRDefault="00793DF6">
            <w:pPr>
              <w:spacing w:before="80" w:after="80"/>
              <w:rPr>
                <w:rFonts w:ascii="Arial" w:eastAsia="Arial" w:hAnsi="Arial" w:cs="Arial"/>
              </w:rPr>
            </w:pPr>
            <w:r>
              <w:rPr>
                <w:rFonts w:ascii="Arial" w:eastAsia="Arial" w:hAnsi="Arial" w:cs="Arial"/>
              </w:rPr>
              <w:t>National Technology Adviser HM Government</w:t>
            </w:r>
          </w:p>
          <w:p w:rsidR="00954BC5" w:rsidRDefault="00954BC5">
            <w:pPr>
              <w:spacing w:before="80" w:after="80"/>
              <w:rPr>
                <w:rFonts w:ascii="Arial" w:eastAsia="Arial" w:hAnsi="Arial" w:cs="Arial"/>
              </w:rPr>
            </w:pPr>
          </w:p>
          <w:p w:rsidR="00954BC5" w:rsidRDefault="00793DF6">
            <w:pPr>
              <w:spacing w:before="80" w:after="80"/>
              <w:rPr>
                <w:rFonts w:ascii="Arial" w:eastAsia="Arial" w:hAnsi="Arial" w:cs="Arial"/>
              </w:rPr>
            </w:pPr>
            <w:r>
              <w:rPr>
                <w:rFonts w:ascii="Arial" w:eastAsia="Arial" w:hAnsi="Arial" w:cs="Arial"/>
              </w:rPr>
              <w:t xml:space="preserve">Cabinet Office Dec 2012 - March 2016 </w:t>
            </w:r>
          </w:p>
          <w:p w:rsidR="00954BC5" w:rsidRDefault="00793DF6">
            <w:pPr>
              <w:spacing w:before="80" w:after="80"/>
              <w:rPr>
                <w:rFonts w:ascii="Arial" w:eastAsia="Arial" w:hAnsi="Arial" w:cs="Arial"/>
              </w:rPr>
            </w:pPr>
            <w:r>
              <w:rPr>
                <w:rFonts w:ascii="Arial" w:eastAsia="Arial" w:hAnsi="Arial" w:cs="Arial"/>
              </w:rPr>
              <w:t>Chief Technology Officer, HM Government</w:t>
            </w:r>
          </w:p>
        </w:tc>
      </w:tr>
      <w:tr w:rsidR="00954BC5">
        <w:tc>
          <w:tcPr>
            <w:tcW w:w="4220" w:type="dxa"/>
          </w:tcPr>
          <w:p w:rsidR="00954BC5" w:rsidRDefault="00793DF6">
            <w:pPr>
              <w:spacing w:before="240" w:after="240"/>
              <w:rPr>
                <w:rFonts w:ascii="Arial" w:eastAsia="Arial" w:hAnsi="Arial" w:cs="Arial"/>
              </w:rPr>
            </w:pPr>
            <w:r>
              <w:rPr>
                <w:rFonts w:ascii="Arial" w:eastAsia="Arial" w:hAnsi="Arial" w:cs="Arial"/>
              </w:rPr>
              <w:t xml:space="preserve">Date Left </w:t>
            </w:r>
          </w:p>
        </w:tc>
        <w:tc>
          <w:tcPr>
            <w:tcW w:w="4816" w:type="dxa"/>
          </w:tcPr>
          <w:p w:rsidR="00954BC5" w:rsidRDefault="00793DF6">
            <w:pPr>
              <w:spacing w:before="80" w:after="80"/>
              <w:rPr>
                <w:rFonts w:ascii="Arial" w:eastAsia="Arial" w:hAnsi="Arial" w:cs="Arial"/>
              </w:rPr>
            </w:pPr>
            <w:r>
              <w:rPr>
                <w:rFonts w:ascii="Arial" w:eastAsia="Arial" w:hAnsi="Arial" w:cs="Arial"/>
              </w:rPr>
              <w:t>2 November 2018</w:t>
            </w:r>
          </w:p>
        </w:tc>
      </w:tr>
      <w:tr w:rsidR="00954BC5">
        <w:tc>
          <w:tcPr>
            <w:tcW w:w="4220" w:type="dxa"/>
          </w:tcPr>
          <w:p w:rsidR="00954BC5" w:rsidRDefault="00793DF6">
            <w:pPr>
              <w:spacing w:before="240" w:after="240"/>
              <w:rPr>
                <w:rFonts w:ascii="Arial" w:eastAsia="Arial" w:hAnsi="Arial" w:cs="Arial"/>
              </w:rPr>
            </w:pPr>
            <w:r>
              <w:rPr>
                <w:rFonts w:ascii="Arial" w:eastAsia="Arial" w:hAnsi="Arial" w:cs="Arial"/>
              </w:rPr>
              <w:t>New Employer</w:t>
            </w:r>
          </w:p>
        </w:tc>
        <w:tc>
          <w:tcPr>
            <w:tcW w:w="4816" w:type="dxa"/>
          </w:tcPr>
          <w:p w:rsidR="00954BC5" w:rsidRDefault="00793DF6" w:rsidP="001201F2">
            <w:pPr>
              <w:rPr>
                <w:rFonts w:ascii="Arial" w:eastAsia="Arial" w:hAnsi="Arial" w:cs="Arial"/>
              </w:rPr>
            </w:pPr>
            <w:r>
              <w:rPr>
                <w:rFonts w:ascii="Arial" w:eastAsia="Arial" w:hAnsi="Arial" w:cs="Arial"/>
                <w:highlight w:val="white"/>
              </w:rPr>
              <w:t>Amazon Web Services EMEA SARL</w:t>
            </w:r>
          </w:p>
        </w:tc>
      </w:tr>
      <w:tr w:rsidR="00954BC5" w:rsidTr="001201F2">
        <w:trPr>
          <w:trHeight w:val="974"/>
        </w:trPr>
        <w:tc>
          <w:tcPr>
            <w:tcW w:w="4220" w:type="dxa"/>
          </w:tcPr>
          <w:p w:rsidR="00954BC5" w:rsidRDefault="00793DF6">
            <w:pPr>
              <w:spacing w:before="240" w:after="240"/>
              <w:rPr>
                <w:rFonts w:ascii="Arial" w:eastAsia="Arial" w:hAnsi="Arial" w:cs="Arial"/>
              </w:rPr>
            </w:pPr>
            <w:r>
              <w:rPr>
                <w:rFonts w:ascii="Arial" w:eastAsia="Arial" w:hAnsi="Arial" w:cs="Arial"/>
              </w:rPr>
              <w:t>New Appointment/Employment (including when taken up)</w:t>
            </w:r>
          </w:p>
        </w:tc>
        <w:tc>
          <w:tcPr>
            <w:tcW w:w="4816" w:type="dxa"/>
          </w:tcPr>
          <w:p w:rsidR="00954BC5" w:rsidRDefault="00793DF6">
            <w:pPr>
              <w:shd w:val="clear" w:color="auto" w:fill="FFFFFF"/>
              <w:rPr>
                <w:rFonts w:ascii="Arial" w:eastAsia="Arial" w:hAnsi="Arial" w:cs="Arial"/>
              </w:rPr>
            </w:pPr>
            <w:r>
              <w:rPr>
                <w:rFonts w:ascii="Arial" w:eastAsia="Arial" w:hAnsi="Arial" w:cs="Arial"/>
                <w:color w:val="222222"/>
                <w:highlight w:val="white"/>
              </w:rPr>
              <w:t>Director, Government Transformation</w:t>
            </w:r>
          </w:p>
          <w:p w:rsidR="00954BC5" w:rsidRDefault="00793DF6">
            <w:pPr>
              <w:shd w:val="clear" w:color="auto" w:fill="FFFFFF"/>
              <w:rPr>
                <w:rFonts w:ascii="Arial" w:eastAsia="Arial" w:hAnsi="Arial" w:cs="Arial"/>
              </w:rPr>
            </w:pPr>
            <w:r>
              <w:rPr>
                <w:rFonts w:ascii="Arial" w:eastAsia="Arial" w:hAnsi="Arial" w:cs="Arial"/>
              </w:rPr>
              <w:t>Started - 5 November 2018</w:t>
            </w:r>
          </w:p>
        </w:tc>
      </w:tr>
      <w:tr w:rsidR="00954BC5">
        <w:tc>
          <w:tcPr>
            <w:tcW w:w="4220" w:type="dxa"/>
          </w:tcPr>
          <w:p w:rsidR="00954BC5" w:rsidRDefault="00793DF6">
            <w:pPr>
              <w:spacing w:before="240" w:after="240"/>
              <w:rPr>
                <w:rFonts w:ascii="Arial" w:eastAsia="Arial" w:hAnsi="Arial" w:cs="Arial"/>
              </w:rPr>
            </w:pPr>
            <w:r>
              <w:rPr>
                <w:rFonts w:ascii="Arial" w:eastAsia="Arial" w:hAnsi="Arial" w:cs="Arial"/>
              </w:rPr>
              <w:t>Department’s Decision on Application (including details of any waiting period or other conditions or restrictions applied)</w:t>
            </w:r>
          </w:p>
        </w:tc>
        <w:tc>
          <w:tcPr>
            <w:tcW w:w="4816" w:type="dxa"/>
          </w:tcPr>
          <w:p w:rsidR="00954BC5" w:rsidRDefault="00793DF6">
            <w:pPr>
              <w:spacing w:before="80" w:after="80"/>
              <w:rPr>
                <w:rFonts w:ascii="Arial" w:eastAsia="Arial" w:hAnsi="Arial" w:cs="Arial"/>
                <w:sz w:val="20"/>
                <w:szCs w:val="20"/>
              </w:rPr>
            </w:pPr>
            <w:r>
              <w:rPr>
                <w:rFonts w:ascii="Arial" w:eastAsia="Arial" w:hAnsi="Arial" w:cs="Arial"/>
              </w:rPr>
              <w:t>Business Appointments Application was approved based on the information provided with the following restri</w:t>
            </w:r>
            <w:r>
              <w:rPr>
                <w:rFonts w:ascii="Arial" w:eastAsia="Arial" w:hAnsi="Arial" w:cs="Arial"/>
              </w:rPr>
              <w:t>ctions:</w:t>
            </w:r>
          </w:p>
          <w:p w:rsidR="00954BC5" w:rsidRDefault="00793DF6">
            <w:pPr>
              <w:numPr>
                <w:ilvl w:val="0"/>
                <w:numId w:val="1"/>
              </w:numPr>
              <w:shd w:val="clear" w:color="auto" w:fill="FFFFFF"/>
              <w:rPr>
                <w:rFonts w:ascii="Arial" w:eastAsia="Arial" w:hAnsi="Arial" w:cs="Arial"/>
                <w:sz w:val="22"/>
                <w:szCs w:val="22"/>
              </w:rPr>
            </w:pPr>
            <w:r>
              <w:rPr>
                <w:rFonts w:ascii="Arial" w:eastAsia="Arial" w:hAnsi="Arial" w:cs="Arial"/>
                <w:sz w:val="22"/>
                <w:szCs w:val="22"/>
              </w:rPr>
              <w:t xml:space="preserve">Liam should undertake not to lobby HMG on behalf of AWS for two years. Liam should also contact the department about any contractual business between AWS and HMG during the two years following his departure from HMG. </w:t>
            </w:r>
            <w:r>
              <w:rPr>
                <w:rFonts w:ascii="Arial" w:eastAsia="Arial" w:hAnsi="Arial" w:cs="Arial"/>
                <w:color w:val="222222"/>
                <w:sz w:val="22"/>
                <w:szCs w:val="22"/>
              </w:rPr>
              <w:t xml:space="preserve"> For these purposes Government </w:t>
            </w:r>
            <w:r>
              <w:rPr>
                <w:rFonts w:ascii="Arial" w:eastAsia="Arial" w:hAnsi="Arial" w:cs="Arial"/>
                <w:color w:val="222222"/>
                <w:sz w:val="22"/>
                <w:szCs w:val="22"/>
              </w:rPr>
              <w:t xml:space="preserve">and HMG means Whitehall Departments. These are not restrictions that could or should apply to the wider public sector (local government, NHS </w:t>
            </w:r>
            <w:proofErr w:type="spellStart"/>
            <w:r>
              <w:rPr>
                <w:rFonts w:ascii="Arial" w:eastAsia="Arial" w:hAnsi="Arial" w:cs="Arial"/>
                <w:color w:val="222222"/>
                <w:sz w:val="22"/>
                <w:szCs w:val="22"/>
              </w:rPr>
              <w:t>etc</w:t>
            </w:r>
            <w:proofErr w:type="spellEnd"/>
            <w:r>
              <w:rPr>
                <w:rFonts w:ascii="Arial" w:eastAsia="Arial" w:hAnsi="Arial" w:cs="Arial"/>
                <w:color w:val="222222"/>
                <w:sz w:val="22"/>
                <w:szCs w:val="22"/>
              </w:rPr>
              <w:t>). </w:t>
            </w:r>
          </w:p>
          <w:p w:rsidR="00954BC5" w:rsidRDefault="00793DF6">
            <w:pPr>
              <w:numPr>
                <w:ilvl w:val="0"/>
                <w:numId w:val="1"/>
              </w:numPr>
              <w:rPr>
                <w:rFonts w:ascii="Arial" w:eastAsia="Arial" w:hAnsi="Arial" w:cs="Arial"/>
                <w:sz w:val="22"/>
                <w:szCs w:val="22"/>
              </w:rPr>
            </w:pPr>
            <w:r>
              <w:rPr>
                <w:rFonts w:ascii="Arial" w:eastAsia="Arial" w:hAnsi="Arial" w:cs="Arial"/>
                <w:sz w:val="22"/>
                <w:szCs w:val="22"/>
              </w:rPr>
              <w:t xml:space="preserve">He has had access to commercially valuable information from competitors. These are subject to confidentiality agreements which he is bound to keep beyond his service in government. </w:t>
            </w:r>
          </w:p>
          <w:p w:rsidR="00954BC5" w:rsidRPr="00475022" w:rsidRDefault="00793DF6" w:rsidP="00475022">
            <w:pPr>
              <w:numPr>
                <w:ilvl w:val="0"/>
                <w:numId w:val="1"/>
              </w:numPr>
              <w:spacing w:after="80"/>
              <w:rPr>
                <w:rFonts w:ascii="Arial" w:eastAsia="Arial" w:hAnsi="Arial" w:cs="Arial"/>
                <w:sz w:val="22"/>
                <w:szCs w:val="22"/>
              </w:rPr>
            </w:pPr>
            <w:r>
              <w:rPr>
                <w:rFonts w:ascii="Arial" w:eastAsia="Arial" w:hAnsi="Arial" w:cs="Arial"/>
                <w:sz w:val="22"/>
                <w:szCs w:val="22"/>
              </w:rPr>
              <w:t>He should not share this insight internally in the company until a time pe</w:t>
            </w:r>
            <w:r>
              <w:rPr>
                <w:rFonts w:ascii="Arial" w:eastAsia="Arial" w:hAnsi="Arial" w:cs="Arial"/>
                <w:sz w:val="22"/>
                <w:szCs w:val="22"/>
              </w:rPr>
              <w:t xml:space="preserve">riod has elapsed when it is no longer private to government. </w:t>
            </w:r>
          </w:p>
        </w:tc>
      </w:tr>
    </w:tbl>
    <w:p w:rsidR="00475022" w:rsidRDefault="00475022">
      <w:pPr>
        <w:rPr>
          <w:rFonts w:ascii="Arial" w:eastAsia="Arial" w:hAnsi="Arial" w:cs="Arial"/>
        </w:rPr>
      </w:pPr>
    </w:p>
    <w:p w:rsidR="001201F2" w:rsidRDefault="001201F2" w:rsidP="00475022">
      <w:pPr>
        <w:pBdr>
          <w:top w:val="nil"/>
          <w:left w:val="nil"/>
          <w:bottom w:val="nil"/>
          <w:right w:val="nil"/>
          <w:between w:val="nil"/>
        </w:pBdr>
        <w:ind w:left="-540"/>
        <w:jc w:val="center"/>
        <w:rPr>
          <w:rFonts w:ascii="Arial" w:eastAsia="Arial" w:hAnsi="Arial" w:cs="Arial"/>
          <w:b/>
          <w:color w:val="000000"/>
        </w:rPr>
      </w:pPr>
    </w:p>
    <w:p w:rsidR="001201F2" w:rsidRDefault="001201F2" w:rsidP="00475022">
      <w:pPr>
        <w:pBdr>
          <w:top w:val="nil"/>
          <w:left w:val="nil"/>
          <w:bottom w:val="nil"/>
          <w:right w:val="nil"/>
          <w:between w:val="nil"/>
        </w:pBdr>
        <w:ind w:left="-540"/>
        <w:jc w:val="center"/>
        <w:rPr>
          <w:rFonts w:ascii="Arial" w:eastAsia="Arial" w:hAnsi="Arial" w:cs="Arial"/>
          <w:b/>
          <w:color w:val="000000"/>
        </w:rPr>
      </w:pPr>
    </w:p>
    <w:p w:rsidR="001201F2" w:rsidRDefault="001201F2" w:rsidP="00475022">
      <w:pPr>
        <w:pBdr>
          <w:top w:val="nil"/>
          <w:left w:val="nil"/>
          <w:bottom w:val="nil"/>
          <w:right w:val="nil"/>
          <w:between w:val="nil"/>
        </w:pBdr>
        <w:ind w:left="-540"/>
        <w:jc w:val="center"/>
        <w:rPr>
          <w:rFonts w:ascii="Arial" w:eastAsia="Arial" w:hAnsi="Arial" w:cs="Arial"/>
          <w:b/>
          <w:color w:val="000000"/>
        </w:rPr>
      </w:pPr>
    </w:p>
    <w:p w:rsidR="00475022" w:rsidRDefault="00475022" w:rsidP="00475022">
      <w:pPr>
        <w:pBdr>
          <w:top w:val="nil"/>
          <w:left w:val="nil"/>
          <w:bottom w:val="nil"/>
          <w:right w:val="nil"/>
          <w:between w:val="nil"/>
        </w:pBdr>
        <w:ind w:left="-540"/>
        <w:jc w:val="center"/>
        <w:rPr>
          <w:rFonts w:ascii="Arial" w:eastAsia="Arial" w:hAnsi="Arial" w:cs="Arial"/>
          <w:color w:val="000000"/>
        </w:rPr>
      </w:pPr>
      <w:r>
        <w:rPr>
          <w:rFonts w:ascii="Arial" w:eastAsia="Arial" w:hAnsi="Arial" w:cs="Arial"/>
          <w:b/>
          <w:color w:val="000000"/>
        </w:rPr>
        <w:lastRenderedPageBreak/>
        <w:t>PRO FORMA FOR TRANSPARENCY INFORMATION ABOUT OUTSIDE APPOINTMENTS OR EMPLOYMENT TAKEN UP BY FORMER MEMBERS OF THE DEPARTMENT AT SCS1 AND SCS2 LEVEL AND EQUIVALENTS (INCLUDING SPECIAL ADVISERS OF EQUIVALENT STANDING)</w:t>
      </w:r>
    </w:p>
    <w:p w:rsidR="00475022" w:rsidRDefault="00475022" w:rsidP="00475022">
      <w:pPr>
        <w:pBdr>
          <w:top w:val="nil"/>
          <w:left w:val="nil"/>
          <w:bottom w:val="nil"/>
          <w:right w:val="nil"/>
          <w:between w:val="nil"/>
        </w:pBdr>
        <w:ind w:hanging="540"/>
        <w:rPr>
          <w:rFonts w:ascii="Arial" w:eastAsia="Arial" w:hAnsi="Arial" w:cs="Arial"/>
          <w:color w:val="000000"/>
        </w:rPr>
      </w:pPr>
    </w:p>
    <w:tbl>
      <w:tblPr>
        <w:tblStyle w:val="a"/>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5"/>
        <w:gridCol w:w="5115"/>
      </w:tblGrid>
      <w:tr w:rsidR="00475022" w:rsidTr="008116F3">
        <w:trPr>
          <w:trHeight w:val="900"/>
        </w:trPr>
        <w:tc>
          <w:tcPr>
            <w:tcW w:w="4095" w:type="dxa"/>
          </w:tcPr>
          <w:p w:rsidR="00475022" w:rsidRDefault="00475022" w:rsidP="008116F3">
            <w:pPr>
              <w:pBdr>
                <w:top w:val="nil"/>
                <w:left w:val="nil"/>
                <w:bottom w:val="nil"/>
                <w:right w:val="nil"/>
                <w:between w:val="nil"/>
              </w:pBdr>
              <w:spacing w:before="240" w:after="240"/>
              <w:rPr>
                <w:rFonts w:ascii="Arial" w:eastAsia="Arial" w:hAnsi="Arial" w:cs="Arial"/>
                <w:color w:val="000000"/>
              </w:rPr>
            </w:pPr>
            <w:r>
              <w:rPr>
                <w:rFonts w:ascii="Arial" w:eastAsia="Arial" w:hAnsi="Arial" w:cs="Arial"/>
                <w:color w:val="000000"/>
              </w:rPr>
              <w:t xml:space="preserve">Full Name of Applicant </w:t>
            </w:r>
          </w:p>
          <w:p w:rsidR="00475022" w:rsidRDefault="00475022" w:rsidP="008116F3">
            <w:pPr>
              <w:pBdr>
                <w:top w:val="nil"/>
                <w:left w:val="nil"/>
                <w:bottom w:val="nil"/>
                <w:right w:val="nil"/>
                <w:between w:val="nil"/>
              </w:pBdr>
              <w:spacing w:before="240" w:after="240"/>
              <w:rPr>
                <w:rFonts w:ascii="Arial" w:eastAsia="Arial" w:hAnsi="Arial" w:cs="Arial"/>
                <w:color w:val="000000"/>
              </w:rPr>
            </w:pPr>
          </w:p>
        </w:tc>
        <w:tc>
          <w:tcPr>
            <w:tcW w:w="5115" w:type="dxa"/>
          </w:tcPr>
          <w:p w:rsidR="00475022" w:rsidRDefault="00475022" w:rsidP="008116F3">
            <w:pPr>
              <w:widowControl w:val="0"/>
              <w:pBdr>
                <w:top w:val="nil"/>
                <w:left w:val="nil"/>
                <w:bottom w:val="nil"/>
                <w:right w:val="nil"/>
                <w:between w:val="nil"/>
              </w:pBdr>
              <w:spacing w:after="100" w:line="276" w:lineRule="auto"/>
              <w:rPr>
                <w:rFonts w:ascii="Arial" w:eastAsia="Arial" w:hAnsi="Arial" w:cs="Arial"/>
                <w:color w:val="101000"/>
              </w:rPr>
            </w:pPr>
            <w:bookmarkStart w:id="1" w:name="_GoBack"/>
            <w:r>
              <w:rPr>
                <w:rFonts w:ascii="Arial" w:eastAsia="Arial" w:hAnsi="Arial" w:cs="Arial"/>
                <w:color w:val="101000"/>
              </w:rPr>
              <w:t xml:space="preserve">Lottie </w:t>
            </w:r>
            <w:proofErr w:type="spellStart"/>
            <w:r>
              <w:rPr>
                <w:rFonts w:ascii="Arial" w:eastAsia="Arial" w:hAnsi="Arial" w:cs="Arial"/>
                <w:color w:val="101000"/>
              </w:rPr>
              <w:t>Dominiczak</w:t>
            </w:r>
            <w:proofErr w:type="spellEnd"/>
          </w:p>
          <w:bookmarkEnd w:id="1"/>
          <w:p w:rsidR="00475022" w:rsidRDefault="00475022" w:rsidP="008116F3">
            <w:pPr>
              <w:pBdr>
                <w:top w:val="nil"/>
                <w:left w:val="nil"/>
                <w:bottom w:val="nil"/>
                <w:right w:val="nil"/>
                <w:between w:val="nil"/>
              </w:pBdr>
              <w:spacing w:before="80" w:after="80"/>
              <w:rPr>
                <w:rFonts w:ascii="Arial" w:eastAsia="Arial" w:hAnsi="Arial" w:cs="Arial"/>
                <w:color w:val="000000"/>
              </w:rPr>
            </w:pPr>
          </w:p>
        </w:tc>
      </w:tr>
      <w:tr w:rsidR="00475022" w:rsidTr="008116F3">
        <w:tc>
          <w:tcPr>
            <w:tcW w:w="4095" w:type="dxa"/>
          </w:tcPr>
          <w:p w:rsidR="00475022" w:rsidRDefault="00475022" w:rsidP="008116F3">
            <w:pPr>
              <w:pBdr>
                <w:top w:val="nil"/>
                <w:left w:val="nil"/>
                <w:bottom w:val="nil"/>
                <w:right w:val="nil"/>
                <w:between w:val="nil"/>
              </w:pBdr>
              <w:spacing w:before="240" w:after="240"/>
              <w:rPr>
                <w:rFonts w:ascii="Arial" w:eastAsia="Arial" w:hAnsi="Arial" w:cs="Arial"/>
                <w:color w:val="000000"/>
              </w:rPr>
            </w:pPr>
            <w:r>
              <w:rPr>
                <w:rFonts w:ascii="Arial" w:eastAsia="Arial" w:hAnsi="Arial" w:cs="Arial"/>
                <w:color w:val="000000"/>
              </w:rPr>
              <w:t xml:space="preserve">Title of Former Civil Service Role </w:t>
            </w:r>
          </w:p>
          <w:p w:rsidR="00475022" w:rsidRDefault="00475022" w:rsidP="008116F3">
            <w:pPr>
              <w:pBdr>
                <w:top w:val="nil"/>
                <w:left w:val="nil"/>
                <w:bottom w:val="nil"/>
                <w:right w:val="nil"/>
                <w:between w:val="nil"/>
              </w:pBdr>
              <w:spacing w:before="240" w:after="240"/>
              <w:rPr>
                <w:rFonts w:ascii="Arial" w:eastAsia="Arial" w:hAnsi="Arial" w:cs="Arial"/>
                <w:color w:val="000000"/>
              </w:rPr>
            </w:pPr>
          </w:p>
        </w:tc>
        <w:tc>
          <w:tcPr>
            <w:tcW w:w="5115" w:type="dxa"/>
          </w:tcPr>
          <w:p w:rsidR="00475022" w:rsidRDefault="00475022" w:rsidP="008116F3">
            <w:pPr>
              <w:pBdr>
                <w:top w:val="nil"/>
                <w:left w:val="nil"/>
                <w:bottom w:val="nil"/>
                <w:right w:val="nil"/>
                <w:between w:val="nil"/>
              </w:pBdr>
              <w:spacing w:before="240" w:after="240"/>
              <w:rPr>
                <w:rFonts w:ascii="Arial" w:eastAsia="Arial" w:hAnsi="Arial" w:cs="Arial"/>
                <w:color w:val="000000"/>
              </w:rPr>
            </w:pPr>
            <w:bookmarkStart w:id="2" w:name="_30j0zll" w:colFirst="0" w:colLast="0"/>
            <w:bookmarkEnd w:id="2"/>
            <w:r>
              <w:rPr>
                <w:rFonts w:ascii="Arial" w:eastAsia="Arial" w:hAnsi="Arial" w:cs="Arial"/>
                <w:color w:val="000000"/>
              </w:rPr>
              <w:t xml:space="preserve">DCMS - Special Adviser to Secretary of State </w:t>
            </w:r>
          </w:p>
          <w:p w:rsidR="00475022" w:rsidRDefault="00475022" w:rsidP="008116F3">
            <w:pPr>
              <w:pBdr>
                <w:top w:val="nil"/>
                <w:left w:val="nil"/>
                <w:bottom w:val="nil"/>
                <w:right w:val="nil"/>
                <w:between w:val="nil"/>
              </w:pBdr>
              <w:spacing w:before="240" w:after="240"/>
              <w:rPr>
                <w:rFonts w:ascii="Arial" w:eastAsia="Arial" w:hAnsi="Arial" w:cs="Arial"/>
                <w:color w:val="000000"/>
              </w:rPr>
            </w:pPr>
            <w:r>
              <w:rPr>
                <w:rFonts w:ascii="Arial" w:eastAsia="Arial" w:hAnsi="Arial" w:cs="Arial"/>
                <w:color w:val="000000"/>
              </w:rPr>
              <w:t>12/02/2018 - 30/9/2018</w:t>
            </w:r>
          </w:p>
        </w:tc>
      </w:tr>
      <w:tr w:rsidR="00475022" w:rsidTr="008116F3">
        <w:tc>
          <w:tcPr>
            <w:tcW w:w="4095" w:type="dxa"/>
          </w:tcPr>
          <w:p w:rsidR="00475022" w:rsidRDefault="00475022" w:rsidP="008116F3">
            <w:pPr>
              <w:pBdr>
                <w:top w:val="nil"/>
                <w:left w:val="nil"/>
                <w:bottom w:val="nil"/>
                <w:right w:val="nil"/>
                <w:between w:val="nil"/>
              </w:pBdr>
              <w:spacing w:before="240" w:after="240"/>
              <w:rPr>
                <w:rFonts w:ascii="Arial" w:eastAsia="Arial" w:hAnsi="Arial" w:cs="Arial"/>
                <w:color w:val="000000"/>
              </w:rPr>
            </w:pPr>
            <w:r>
              <w:rPr>
                <w:rFonts w:ascii="Arial" w:eastAsia="Arial" w:hAnsi="Arial" w:cs="Arial"/>
                <w:color w:val="000000"/>
              </w:rPr>
              <w:t xml:space="preserve">Date Left/Retired from the Civil Service </w:t>
            </w:r>
          </w:p>
          <w:p w:rsidR="00475022" w:rsidRDefault="00475022" w:rsidP="008116F3">
            <w:pPr>
              <w:pBdr>
                <w:top w:val="nil"/>
                <w:left w:val="nil"/>
                <w:bottom w:val="nil"/>
                <w:right w:val="nil"/>
                <w:between w:val="nil"/>
              </w:pBdr>
              <w:spacing w:before="240" w:after="240"/>
              <w:rPr>
                <w:rFonts w:ascii="Arial" w:eastAsia="Arial" w:hAnsi="Arial" w:cs="Arial"/>
                <w:color w:val="000000"/>
              </w:rPr>
            </w:pPr>
          </w:p>
        </w:tc>
        <w:tc>
          <w:tcPr>
            <w:tcW w:w="5115" w:type="dxa"/>
          </w:tcPr>
          <w:p w:rsidR="00475022" w:rsidRDefault="00475022" w:rsidP="008116F3">
            <w:pPr>
              <w:pBdr>
                <w:top w:val="nil"/>
                <w:left w:val="nil"/>
                <w:bottom w:val="nil"/>
                <w:right w:val="nil"/>
                <w:between w:val="nil"/>
              </w:pBdr>
              <w:spacing w:before="240" w:after="240"/>
              <w:rPr>
                <w:rFonts w:ascii="Arial" w:eastAsia="Arial" w:hAnsi="Arial" w:cs="Arial"/>
                <w:color w:val="000000"/>
              </w:rPr>
            </w:pPr>
            <w:r>
              <w:rPr>
                <w:rFonts w:ascii="Arial" w:eastAsia="Arial" w:hAnsi="Arial" w:cs="Arial"/>
                <w:color w:val="000000"/>
              </w:rPr>
              <w:t>30/9/2018</w:t>
            </w:r>
          </w:p>
        </w:tc>
      </w:tr>
      <w:tr w:rsidR="00475022" w:rsidTr="008116F3">
        <w:tc>
          <w:tcPr>
            <w:tcW w:w="4095" w:type="dxa"/>
          </w:tcPr>
          <w:p w:rsidR="00475022" w:rsidRDefault="00475022" w:rsidP="008116F3">
            <w:pPr>
              <w:pBdr>
                <w:top w:val="nil"/>
                <w:left w:val="nil"/>
                <w:bottom w:val="nil"/>
                <w:right w:val="nil"/>
                <w:between w:val="nil"/>
              </w:pBdr>
              <w:spacing w:before="240" w:after="240"/>
              <w:rPr>
                <w:rFonts w:ascii="Arial" w:eastAsia="Arial" w:hAnsi="Arial" w:cs="Arial"/>
                <w:color w:val="000000"/>
              </w:rPr>
            </w:pPr>
            <w:r>
              <w:rPr>
                <w:rFonts w:ascii="Arial" w:eastAsia="Arial" w:hAnsi="Arial" w:cs="Arial"/>
                <w:color w:val="000000"/>
              </w:rPr>
              <w:t>New Employer</w:t>
            </w:r>
          </w:p>
          <w:p w:rsidR="00475022" w:rsidRDefault="00475022" w:rsidP="008116F3">
            <w:pPr>
              <w:pBdr>
                <w:top w:val="nil"/>
                <w:left w:val="nil"/>
                <w:bottom w:val="nil"/>
                <w:right w:val="nil"/>
                <w:between w:val="nil"/>
              </w:pBdr>
              <w:spacing w:before="240" w:after="240"/>
              <w:rPr>
                <w:rFonts w:ascii="Arial" w:eastAsia="Arial" w:hAnsi="Arial" w:cs="Arial"/>
                <w:color w:val="000000"/>
              </w:rPr>
            </w:pPr>
          </w:p>
        </w:tc>
        <w:tc>
          <w:tcPr>
            <w:tcW w:w="5115" w:type="dxa"/>
          </w:tcPr>
          <w:p w:rsidR="00475022" w:rsidRDefault="00475022" w:rsidP="008116F3">
            <w:pPr>
              <w:widowControl w:val="0"/>
              <w:pBdr>
                <w:top w:val="nil"/>
                <w:left w:val="nil"/>
                <w:bottom w:val="nil"/>
                <w:right w:val="nil"/>
                <w:between w:val="nil"/>
              </w:pBdr>
              <w:spacing w:after="100" w:line="276" w:lineRule="auto"/>
              <w:rPr>
                <w:rFonts w:ascii="Arial" w:eastAsia="Arial" w:hAnsi="Arial" w:cs="Arial"/>
                <w:color w:val="000000"/>
              </w:rPr>
            </w:pPr>
            <w:r>
              <w:rPr>
                <w:rFonts w:ascii="Arial" w:eastAsia="Arial" w:hAnsi="Arial" w:cs="Arial"/>
                <w:color w:val="000000"/>
              </w:rPr>
              <w:t>Uber</w:t>
            </w:r>
          </w:p>
          <w:p w:rsidR="00475022" w:rsidRDefault="00475022" w:rsidP="008116F3">
            <w:pPr>
              <w:pBdr>
                <w:top w:val="nil"/>
                <w:left w:val="nil"/>
                <w:bottom w:val="nil"/>
                <w:right w:val="nil"/>
                <w:between w:val="nil"/>
              </w:pBdr>
              <w:spacing w:before="240" w:after="240"/>
              <w:rPr>
                <w:rFonts w:ascii="Arial" w:eastAsia="Arial" w:hAnsi="Arial" w:cs="Arial"/>
                <w:color w:val="000000"/>
              </w:rPr>
            </w:pPr>
          </w:p>
        </w:tc>
      </w:tr>
      <w:tr w:rsidR="00475022" w:rsidTr="008116F3">
        <w:tc>
          <w:tcPr>
            <w:tcW w:w="4095" w:type="dxa"/>
          </w:tcPr>
          <w:p w:rsidR="00475022" w:rsidRDefault="00475022" w:rsidP="008116F3">
            <w:pPr>
              <w:pBdr>
                <w:top w:val="nil"/>
                <w:left w:val="nil"/>
                <w:bottom w:val="nil"/>
                <w:right w:val="nil"/>
                <w:between w:val="nil"/>
              </w:pBdr>
              <w:spacing w:before="240" w:after="240"/>
              <w:rPr>
                <w:rFonts w:ascii="Arial" w:eastAsia="Arial" w:hAnsi="Arial" w:cs="Arial"/>
                <w:color w:val="000000"/>
              </w:rPr>
            </w:pPr>
            <w:r>
              <w:rPr>
                <w:rFonts w:ascii="Arial" w:eastAsia="Arial" w:hAnsi="Arial" w:cs="Arial"/>
                <w:color w:val="000000"/>
              </w:rPr>
              <w:t>New Appointment/Employment (including when taken up)</w:t>
            </w:r>
          </w:p>
          <w:p w:rsidR="00475022" w:rsidRDefault="00475022" w:rsidP="008116F3">
            <w:pPr>
              <w:pBdr>
                <w:top w:val="nil"/>
                <w:left w:val="nil"/>
                <w:bottom w:val="nil"/>
                <w:right w:val="nil"/>
                <w:between w:val="nil"/>
              </w:pBdr>
              <w:spacing w:before="240" w:after="240"/>
              <w:rPr>
                <w:rFonts w:ascii="Arial" w:eastAsia="Arial" w:hAnsi="Arial" w:cs="Arial"/>
                <w:color w:val="000000"/>
              </w:rPr>
            </w:pPr>
          </w:p>
        </w:tc>
        <w:tc>
          <w:tcPr>
            <w:tcW w:w="5115" w:type="dxa"/>
          </w:tcPr>
          <w:p w:rsidR="00475022" w:rsidRDefault="00475022" w:rsidP="008116F3">
            <w:pPr>
              <w:widowControl w:val="0"/>
              <w:pBdr>
                <w:top w:val="nil"/>
                <w:left w:val="nil"/>
                <w:bottom w:val="nil"/>
                <w:right w:val="nil"/>
                <w:between w:val="nil"/>
              </w:pBdr>
              <w:spacing w:after="100" w:line="276" w:lineRule="auto"/>
              <w:rPr>
                <w:rFonts w:ascii="Arial" w:eastAsia="Arial" w:hAnsi="Arial" w:cs="Arial"/>
                <w:color w:val="000000"/>
              </w:rPr>
            </w:pPr>
            <w:r>
              <w:rPr>
                <w:rFonts w:ascii="Arial" w:eastAsia="Arial" w:hAnsi="Arial" w:cs="Arial"/>
                <w:color w:val="000000"/>
              </w:rPr>
              <w:t>Head of Communications, UK and Ireland</w:t>
            </w:r>
          </w:p>
          <w:p w:rsidR="00475022" w:rsidRDefault="00475022" w:rsidP="008116F3">
            <w:pPr>
              <w:widowControl w:val="0"/>
              <w:pBdr>
                <w:top w:val="nil"/>
                <w:left w:val="nil"/>
                <w:bottom w:val="nil"/>
                <w:right w:val="nil"/>
                <w:between w:val="nil"/>
              </w:pBdr>
              <w:spacing w:after="100" w:line="276" w:lineRule="auto"/>
              <w:rPr>
                <w:rFonts w:ascii="Arial" w:eastAsia="Arial" w:hAnsi="Arial" w:cs="Arial"/>
                <w:color w:val="000000"/>
              </w:rPr>
            </w:pPr>
            <w:r>
              <w:rPr>
                <w:rFonts w:ascii="Arial" w:eastAsia="Arial" w:hAnsi="Arial" w:cs="Arial"/>
                <w:color w:val="000000"/>
              </w:rPr>
              <w:t>Started - October 2018</w:t>
            </w:r>
          </w:p>
        </w:tc>
      </w:tr>
      <w:tr w:rsidR="00475022" w:rsidTr="008116F3">
        <w:tc>
          <w:tcPr>
            <w:tcW w:w="4095" w:type="dxa"/>
          </w:tcPr>
          <w:p w:rsidR="00475022" w:rsidRDefault="00475022" w:rsidP="008116F3">
            <w:pPr>
              <w:pBdr>
                <w:top w:val="nil"/>
                <w:left w:val="nil"/>
                <w:bottom w:val="nil"/>
                <w:right w:val="nil"/>
                <w:between w:val="nil"/>
              </w:pBdr>
              <w:spacing w:before="240" w:after="240"/>
              <w:rPr>
                <w:rFonts w:ascii="Arial" w:eastAsia="Arial" w:hAnsi="Arial" w:cs="Arial"/>
                <w:color w:val="000000"/>
              </w:rPr>
            </w:pPr>
            <w:r>
              <w:rPr>
                <w:rFonts w:ascii="Arial" w:eastAsia="Arial" w:hAnsi="Arial" w:cs="Arial"/>
                <w:color w:val="000000"/>
              </w:rPr>
              <w:t>Department’s Decision on Application (including details of any waiting period or other conditions or restrictions applied)</w:t>
            </w:r>
          </w:p>
        </w:tc>
        <w:tc>
          <w:tcPr>
            <w:tcW w:w="5115" w:type="dxa"/>
          </w:tcPr>
          <w:p w:rsidR="00475022" w:rsidRDefault="00475022" w:rsidP="008116F3">
            <w:pPr>
              <w:widowControl w:val="0"/>
              <w:pBdr>
                <w:top w:val="nil"/>
                <w:left w:val="nil"/>
                <w:bottom w:val="nil"/>
                <w:right w:val="nil"/>
                <w:between w:val="nil"/>
              </w:pBdr>
              <w:spacing w:after="100" w:line="276" w:lineRule="auto"/>
              <w:rPr>
                <w:rFonts w:ascii="Arial" w:eastAsia="Arial" w:hAnsi="Arial" w:cs="Arial"/>
                <w:color w:val="000000"/>
              </w:rPr>
            </w:pPr>
            <w:r>
              <w:rPr>
                <w:rFonts w:ascii="Arial" w:eastAsia="Arial" w:hAnsi="Arial" w:cs="Arial"/>
                <w:color w:val="000000"/>
              </w:rPr>
              <w:t>Approved subject to the following restrictions:</w:t>
            </w:r>
          </w:p>
          <w:p w:rsidR="00475022" w:rsidRDefault="00475022" w:rsidP="008116F3">
            <w:pPr>
              <w:widowControl w:val="0"/>
              <w:pBdr>
                <w:top w:val="nil"/>
                <w:left w:val="nil"/>
                <w:bottom w:val="nil"/>
                <w:right w:val="nil"/>
                <w:between w:val="nil"/>
              </w:pBdr>
              <w:spacing w:after="100" w:line="276" w:lineRule="auto"/>
              <w:ind w:firstLine="5"/>
              <w:rPr>
                <w:rFonts w:ascii="Arial" w:eastAsia="Arial" w:hAnsi="Arial" w:cs="Arial"/>
                <w:color w:val="000000"/>
              </w:rPr>
            </w:pPr>
            <w:r>
              <w:rPr>
                <w:rFonts w:ascii="Arial" w:eastAsia="Arial" w:hAnsi="Arial" w:cs="Arial"/>
                <w:color w:val="000000"/>
              </w:rPr>
              <w:t xml:space="preserve">1. </w:t>
            </w:r>
            <w:r>
              <w:rPr>
                <w:rFonts w:ascii="Arial" w:eastAsia="Arial" w:hAnsi="Arial" w:cs="Arial"/>
                <w:color w:val="101000"/>
              </w:rPr>
              <w:t xml:space="preserve">Lottie </w:t>
            </w:r>
            <w:proofErr w:type="spellStart"/>
            <w:r>
              <w:rPr>
                <w:rFonts w:ascii="Arial" w:eastAsia="Arial" w:hAnsi="Arial" w:cs="Arial"/>
                <w:color w:val="101000"/>
              </w:rPr>
              <w:t>Dominiczak</w:t>
            </w:r>
            <w:proofErr w:type="spellEnd"/>
            <w:r>
              <w:rPr>
                <w:rFonts w:ascii="Arial" w:eastAsia="Arial" w:hAnsi="Arial" w:cs="Arial"/>
                <w:color w:val="101000"/>
              </w:rPr>
              <w:t xml:space="preserve"> </w:t>
            </w:r>
            <w:r>
              <w:rPr>
                <w:rFonts w:ascii="Arial" w:eastAsia="Arial" w:hAnsi="Arial" w:cs="Arial"/>
                <w:color w:val="000000"/>
              </w:rPr>
              <w:t xml:space="preserve">should not draw on privileged information available to her as a Crown servant. </w:t>
            </w:r>
          </w:p>
          <w:p w:rsidR="00475022" w:rsidRDefault="00475022" w:rsidP="008116F3">
            <w:pPr>
              <w:widowControl w:val="0"/>
              <w:pBdr>
                <w:top w:val="nil"/>
                <w:left w:val="nil"/>
                <w:bottom w:val="nil"/>
                <w:right w:val="nil"/>
                <w:between w:val="nil"/>
              </w:pBdr>
              <w:spacing w:after="100" w:line="276" w:lineRule="auto"/>
              <w:ind w:firstLine="5"/>
              <w:rPr>
                <w:rFonts w:ascii="Arial" w:eastAsia="Arial" w:hAnsi="Arial" w:cs="Arial"/>
                <w:color w:val="000000"/>
              </w:rPr>
            </w:pPr>
            <w:r>
              <w:rPr>
                <w:rFonts w:ascii="Arial" w:eastAsia="Arial" w:hAnsi="Arial" w:cs="Arial"/>
                <w:color w:val="000000"/>
              </w:rPr>
              <w:t xml:space="preserve">2. For two years from </w:t>
            </w:r>
            <w:r>
              <w:rPr>
                <w:rFonts w:ascii="Arial" w:eastAsia="Arial" w:hAnsi="Arial" w:cs="Arial"/>
                <w:color w:val="101000"/>
              </w:rPr>
              <w:t xml:space="preserve">Lottie </w:t>
            </w:r>
            <w:proofErr w:type="spellStart"/>
            <w:r>
              <w:rPr>
                <w:rFonts w:ascii="Arial" w:eastAsia="Arial" w:hAnsi="Arial" w:cs="Arial"/>
                <w:color w:val="101000"/>
              </w:rPr>
              <w:t>Dominiczak</w:t>
            </w:r>
            <w:proofErr w:type="spellEnd"/>
            <w:r>
              <w:rPr>
                <w:rFonts w:ascii="Arial" w:eastAsia="Arial" w:hAnsi="Arial" w:cs="Arial"/>
                <w:color w:val="000000"/>
              </w:rPr>
              <w:t xml:space="preserve"> last paid day of service [30/09/18], she should not become personally involved in lobbying the UK Government on behalf of Uber directly or indirectly, or make use of her contacts in Government and/or Crown service to influence policy or secure business on behalf of Uber.</w:t>
            </w:r>
          </w:p>
          <w:p w:rsidR="00475022" w:rsidRDefault="00475022" w:rsidP="008116F3">
            <w:pPr>
              <w:pBdr>
                <w:top w:val="nil"/>
                <w:left w:val="nil"/>
                <w:bottom w:val="nil"/>
                <w:right w:val="nil"/>
                <w:between w:val="nil"/>
              </w:pBdr>
              <w:rPr>
                <w:rFonts w:ascii="Arial" w:eastAsia="Arial" w:hAnsi="Arial" w:cs="Arial"/>
                <w:color w:val="000000"/>
              </w:rPr>
            </w:pPr>
          </w:p>
          <w:p w:rsidR="00475022" w:rsidRDefault="00475022" w:rsidP="008116F3">
            <w:pPr>
              <w:pBdr>
                <w:top w:val="nil"/>
                <w:left w:val="nil"/>
                <w:bottom w:val="nil"/>
                <w:right w:val="nil"/>
                <w:between w:val="nil"/>
              </w:pBdr>
              <w:ind w:left="175" w:hanging="175"/>
              <w:rPr>
                <w:rFonts w:ascii="Arial" w:eastAsia="Arial" w:hAnsi="Arial" w:cs="Arial"/>
                <w:color w:val="000000"/>
              </w:rPr>
            </w:pPr>
          </w:p>
        </w:tc>
      </w:tr>
    </w:tbl>
    <w:p w:rsidR="00475022" w:rsidRDefault="00475022">
      <w:pPr>
        <w:rPr>
          <w:rFonts w:ascii="Arial" w:eastAsia="Arial" w:hAnsi="Arial" w:cs="Arial"/>
        </w:rPr>
      </w:pPr>
    </w:p>
    <w:sectPr w:rsidR="00475022">
      <w:headerReference w:type="even" r:id="rId8"/>
      <w:headerReference w:type="default" r:id="rId9"/>
      <w:footerReference w:type="even" r:id="rId10"/>
      <w:footerReference w:type="default" r:id="rId11"/>
      <w:headerReference w:type="first" r:id="rId12"/>
      <w:footerReference w:type="first" r:id="rId13"/>
      <w:pgSz w:w="11906" w:h="16838"/>
      <w:pgMar w:top="899" w:right="1286" w:bottom="1079"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F6" w:rsidRDefault="00793DF6">
      <w:r>
        <w:separator/>
      </w:r>
    </w:p>
  </w:endnote>
  <w:endnote w:type="continuationSeparator" w:id="0">
    <w:p w:rsidR="00793DF6" w:rsidRDefault="007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5" w:rsidRDefault="00954BC5">
    <w:pPr>
      <w:pBdr>
        <w:top w:val="nil"/>
        <w:left w:val="nil"/>
        <w:bottom w:val="nil"/>
        <w:right w:val="nil"/>
        <w:between w:val="nil"/>
      </w:pBdr>
      <w:tabs>
        <w:tab w:val="center" w:pos="4513"/>
        <w:tab w:val="right" w:pos="902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5" w:rsidRDefault="00954BC5">
    <w:pPr>
      <w:pBdr>
        <w:top w:val="nil"/>
        <w:left w:val="nil"/>
        <w:bottom w:val="nil"/>
        <w:right w:val="nil"/>
        <w:between w:val="nil"/>
      </w:pBdr>
      <w:tabs>
        <w:tab w:val="center" w:pos="4513"/>
        <w:tab w:val="right" w:pos="9026"/>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5" w:rsidRDefault="00954BC5">
    <w:pPr>
      <w:pBdr>
        <w:top w:val="nil"/>
        <w:left w:val="nil"/>
        <w:bottom w:val="nil"/>
        <w:right w:val="nil"/>
        <w:between w:val="nil"/>
      </w:pBdr>
      <w:tabs>
        <w:tab w:val="center" w:pos="4513"/>
        <w:tab w:val="right" w:pos="902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F6" w:rsidRDefault="00793DF6">
      <w:r>
        <w:separator/>
      </w:r>
    </w:p>
  </w:footnote>
  <w:footnote w:type="continuationSeparator" w:id="0">
    <w:p w:rsidR="00793DF6" w:rsidRDefault="0079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5" w:rsidRDefault="00954BC5">
    <w:pPr>
      <w:pBdr>
        <w:top w:val="nil"/>
        <w:left w:val="nil"/>
        <w:bottom w:val="nil"/>
        <w:right w:val="nil"/>
        <w:between w:val="nil"/>
      </w:pBdr>
      <w:tabs>
        <w:tab w:val="center" w:pos="4513"/>
        <w:tab w:val="right" w:pos="9026"/>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5" w:rsidRDefault="00954BC5">
    <w:pPr>
      <w:pBdr>
        <w:top w:val="nil"/>
        <w:left w:val="nil"/>
        <w:bottom w:val="nil"/>
        <w:right w:val="nil"/>
        <w:between w:val="nil"/>
      </w:pBdr>
      <w:tabs>
        <w:tab w:val="center" w:pos="4513"/>
        <w:tab w:val="right" w:pos="9026"/>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5" w:rsidRDefault="00954BC5">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A6732"/>
    <w:multiLevelType w:val="multilevel"/>
    <w:tmpl w:val="616A8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792442"/>
    <w:multiLevelType w:val="multilevel"/>
    <w:tmpl w:val="4B1279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C5"/>
    <w:rsid w:val="001201F2"/>
    <w:rsid w:val="00241EEC"/>
    <w:rsid w:val="00475022"/>
    <w:rsid w:val="00666936"/>
    <w:rsid w:val="00793DF6"/>
    <w:rsid w:val="00954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CE00"/>
  <w15:docId w15:val="{A2E401BF-79E6-4B3C-A273-8EE49FF1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coba.independent.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Brosnan</dc:creator>
  <cp:lastModifiedBy>Kate Brosnan</cp:lastModifiedBy>
  <cp:revision>2</cp:revision>
  <dcterms:created xsi:type="dcterms:W3CDTF">2018-12-13T15:57:00Z</dcterms:created>
  <dcterms:modified xsi:type="dcterms:W3CDTF">2018-12-13T15:57:00Z</dcterms:modified>
</cp:coreProperties>
</file>