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Arial" w:cs="Arial" w:eastAsia="Arial" w:hAnsi="Arial"/>
          <w:b w:val="1"/>
          <w:sz w:val="22"/>
          <w:szCs w:val="22"/>
        </w:rPr>
      </w:pPr>
      <w:bookmarkStart w:colFirst="0" w:colLast="0" w:name="_pimeez11uesa" w:id="0"/>
      <w:bookmarkEnd w:id="0"/>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color w:val="ff0000"/>
          <w:sz w:val="22"/>
          <w:szCs w:val="22"/>
        </w:rPr>
      </w:pPr>
      <w:bookmarkStart w:colFirst="0" w:colLast="0" w:name="_gjdgxs" w:id="1"/>
      <w:bookmarkEnd w:id="1"/>
      <w:r w:rsidDel="00000000" w:rsidR="00000000" w:rsidRPr="00000000">
        <w:rPr>
          <w:rFonts w:ascii="Arial" w:cs="Arial" w:eastAsia="Arial" w:hAnsi="Arial"/>
          <w:b w:val="1"/>
          <w:sz w:val="22"/>
          <w:szCs w:val="22"/>
          <w:rtl w:val="0"/>
        </w:rPr>
        <w:t xml:space="preserve">COMMITTEE ON STANDARDS IN PUBLIC </w:t>
      </w:r>
      <w:r w:rsidDel="00000000" w:rsidR="00000000" w:rsidRPr="00000000">
        <w:rPr>
          <w:rFonts w:ascii="Arial" w:cs="Arial" w:eastAsia="Arial" w:hAnsi="Arial"/>
          <w:b w:val="1"/>
          <w:sz w:val="22"/>
          <w:szCs w:val="22"/>
          <w:rtl w:val="0"/>
        </w:rPr>
        <w:t xml:space="preserve">LIFE</w:t>
      </w: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TWO HUNDRED AND SIXTIETH MEETING</w:t>
      </w:r>
    </w:p>
    <w:p w:rsidR="00000000" w:rsidDel="00000000" w:rsidP="00000000" w:rsidRDefault="00000000" w:rsidRPr="00000000" w14:paraId="00000003">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TO BE HELD ON THURSDAY 18 OCTOBER 2018 AT 10</w:t>
      </w:r>
      <w:r w:rsidDel="00000000" w:rsidR="00000000" w:rsidRPr="00000000">
        <w:rPr>
          <w:rFonts w:ascii="Arial" w:cs="Arial" w:eastAsia="Arial" w:hAnsi="Arial"/>
          <w:b w:val="1"/>
          <w:sz w:val="22"/>
          <w:szCs w:val="22"/>
          <w:rtl w:val="0"/>
        </w:rPr>
        <w:t xml:space="preserve">.00</w:t>
      </w:r>
    </w:p>
    <w:p w:rsidR="00000000" w:rsidDel="00000000" w:rsidP="00000000" w:rsidRDefault="00000000" w:rsidRPr="00000000" w14:paraId="00000004">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CONFERENCE ROOM E, 70 WHITEHALL</w:t>
      </w:r>
    </w:p>
    <w:p w:rsidR="00000000" w:rsidDel="00000000" w:rsidP="00000000" w:rsidRDefault="00000000" w:rsidRPr="00000000" w14:paraId="00000005">
      <w:pPr>
        <w:contextualSpacing w:val="0"/>
        <w:jc w:val="center"/>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AGENDA</w:t>
      </w:r>
    </w:p>
    <w:p w:rsidR="00000000" w:rsidDel="00000000" w:rsidP="00000000" w:rsidRDefault="00000000" w:rsidRPr="00000000" w14:paraId="00000007">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meeting will be chaired by Lord Bew.  Lord Evans will also be in attendance.</w:t>
      </w:r>
    </w:p>
    <w:p w:rsidR="00000000" w:rsidDel="00000000" w:rsidP="00000000" w:rsidRDefault="00000000" w:rsidRPr="00000000" w14:paraId="00000009">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Kevin Dunion OBE, Convener, the Standards Commission for Scotland and Lorna Johnston, Executive Director of the Standards Commission for Scotland, with join the Committee at the end of formal business for a general discussion.</w:t>
      </w:r>
    </w:p>
    <w:p w:rsidR="00000000" w:rsidDel="00000000" w:rsidP="00000000" w:rsidRDefault="00000000" w:rsidRPr="00000000" w14:paraId="0000000B">
      <w:pPr>
        <w:contextualSpacing w:val="0"/>
        <w:jc w:val="left"/>
        <w:rPr>
          <w:rFonts w:ascii="Arial" w:cs="Arial" w:eastAsia="Arial" w:hAnsi="Arial"/>
          <w:b w:val="1"/>
          <w:sz w:val="22"/>
          <w:szCs w:val="22"/>
        </w:rPr>
      </w:pPr>
      <w:r w:rsidDel="00000000" w:rsidR="00000000" w:rsidRPr="00000000">
        <w:rPr>
          <w:rtl w:val="0"/>
        </w:rPr>
      </w:r>
    </w:p>
    <w:tbl>
      <w:tblPr>
        <w:tblStyle w:val="Table1"/>
        <w:tblW w:w="10800.0" w:type="dxa"/>
        <w:jc w:val="left"/>
        <w:tblInd w:w="-8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1950"/>
        <w:gridCol w:w="5145"/>
        <w:gridCol w:w="1860"/>
        <w:gridCol w:w="1275"/>
        <w:tblGridChange w:id="0">
          <w:tblGrid>
            <w:gridCol w:w="570"/>
            <w:gridCol w:w="1950"/>
            <w:gridCol w:w="5145"/>
            <w:gridCol w:w="1860"/>
            <w:gridCol w:w="1275"/>
          </w:tblGrid>
        </w:tblGridChange>
      </w:tblGrid>
      <w:tr>
        <w:tc>
          <w:tcPr/>
          <w:p w:rsidR="00000000" w:rsidDel="00000000" w:rsidP="00000000" w:rsidRDefault="00000000" w:rsidRPr="00000000" w14:paraId="0000000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p w:rsidR="00000000" w:rsidDel="00000000" w:rsidP="00000000" w:rsidRDefault="00000000" w:rsidRPr="00000000" w14:paraId="0000000D">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Agenda item</w:t>
            </w:r>
            <w:r w:rsidDel="00000000" w:rsidR="00000000" w:rsidRPr="00000000">
              <w:rPr>
                <w:rtl w:val="0"/>
              </w:rPr>
            </w:r>
          </w:p>
        </w:tc>
        <w:tc>
          <w:tcPr/>
          <w:p w:rsidR="00000000" w:rsidDel="00000000" w:rsidP="00000000" w:rsidRDefault="00000000" w:rsidRPr="00000000" w14:paraId="0000000E">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Details</w:t>
            </w:r>
            <w:r w:rsidDel="00000000" w:rsidR="00000000" w:rsidRPr="00000000">
              <w:rPr>
                <w:rtl w:val="0"/>
              </w:rPr>
            </w:r>
          </w:p>
        </w:tc>
        <w:tc>
          <w:tcPr/>
          <w:p w:rsidR="00000000" w:rsidDel="00000000" w:rsidP="00000000" w:rsidRDefault="00000000" w:rsidRPr="00000000" w14:paraId="0000000F">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Papers</w:t>
            </w:r>
          </w:p>
          <w:p w:rsidR="00000000" w:rsidDel="00000000" w:rsidP="00000000" w:rsidRDefault="00000000" w:rsidRPr="00000000" w14:paraId="00000010">
            <w:pPr>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11">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Indicative timings</w:t>
            </w:r>
            <w:r w:rsidDel="00000000" w:rsidR="00000000" w:rsidRPr="00000000">
              <w:rPr>
                <w:rtl w:val="0"/>
              </w:rPr>
            </w:r>
          </w:p>
        </w:tc>
      </w:tr>
      <w:tr>
        <w:trPr>
          <w:trHeight w:val="540" w:hRule="atLeast"/>
        </w:trPr>
        <w:tc>
          <w:tcPr/>
          <w:p w:rsidR="00000000" w:rsidDel="00000000" w:rsidP="00000000" w:rsidRDefault="00000000" w:rsidRPr="00000000" w14:paraId="00000012">
            <w:pPr>
              <w:spacing w:after="0" w:before="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13">
            <w:pPr>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Apologies</w:t>
            </w:r>
          </w:p>
        </w:tc>
        <w:tc>
          <w:tcPr/>
          <w:p w:rsidR="00000000" w:rsidDel="00000000" w:rsidP="00000000" w:rsidRDefault="00000000" w:rsidRPr="00000000" w14:paraId="0000001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Monisha Shah (leave of absence).</w:t>
            </w:r>
          </w:p>
        </w:tc>
        <w:tc>
          <w:tcPr/>
          <w:p w:rsidR="00000000" w:rsidDel="00000000" w:rsidP="00000000" w:rsidRDefault="00000000" w:rsidRPr="00000000" w14:paraId="00000015">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01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10.</w:t>
            </w:r>
            <w:r w:rsidDel="00000000" w:rsidR="00000000" w:rsidRPr="00000000">
              <w:rPr>
                <w:rFonts w:ascii="Arial" w:cs="Arial" w:eastAsia="Arial" w:hAnsi="Arial"/>
                <w:sz w:val="22"/>
                <w:szCs w:val="22"/>
                <w:rtl w:val="0"/>
              </w:rPr>
              <w:t xml:space="preserve">00</w:t>
            </w:r>
            <w:r w:rsidDel="00000000" w:rsidR="00000000" w:rsidRPr="00000000">
              <w:rPr>
                <w:rtl w:val="0"/>
              </w:rPr>
            </w:r>
          </w:p>
        </w:tc>
      </w:tr>
      <w:tr>
        <w:trPr>
          <w:trHeight w:val="920" w:hRule="atLeast"/>
        </w:trPr>
        <w:tc>
          <w:tcPr/>
          <w:p w:rsidR="00000000" w:rsidDel="00000000" w:rsidP="00000000" w:rsidRDefault="00000000" w:rsidRPr="00000000" w14:paraId="0000001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14:paraId="0000001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Registers</w:t>
            </w:r>
          </w:p>
          <w:p w:rsidR="00000000" w:rsidDel="00000000" w:rsidP="00000000" w:rsidRDefault="00000000" w:rsidRPr="00000000" w14:paraId="00000019">
            <w:pPr>
              <w:contextualSpacing w:val="0"/>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1A">
            <w:pPr>
              <w:contextualSpacing w:val="0"/>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The Committee will be asked to agree the register of interests for publication on the Committee’s </w:t>
            </w:r>
            <w:r w:rsidDel="00000000" w:rsidR="00000000" w:rsidRPr="00000000">
              <w:rPr>
                <w:rFonts w:ascii="Arial" w:cs="Arial" w:eastAsia="Arial" w:hAnsi="Arial"/>
                <w:sz w:val="22"/>
                <w:szCs w:val="22"/>
                <w:rtl w:val="0"/>
              </w:rPr>
              <w:t xml:space="preserve">website</w:t>
            </w:r>
            <w:r w:rsidDel="00000000" w:rsidR="00000000" w:rsidRPr="00000000">
              <w:rPr>
                <w:rFonts w:ascii="Arial" w:cs="Arial" w:eastAsia="Arial" w:hAnsi="Arial"/>
                <w:sz w:val="22"/>
                <w:szCs w:val="22"/>
                <w:rtl w:val="0"/>
              </w:rPr>
              <w:t xml:space="preserve">.</w:t>
            </w:r>
            <w:r w:rsidDel="00000000" w:rsidR="00000000" w:rsidRPr="00000000">
              <w:rPr>
                <w:rtl w:val="0"/>
              </w:rPr>
            </w:r>
          </w:p>
        </w:tc>
        <w:tc>
          <w:tcPr/>
          <w:p w:rsidR="00000000" w:rsidDel="00000000" w:rsidP="00000000" w:rsidRDefault="00000000" w:rsidRPr="00000000" w14:paraId="0000001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Electronic copy </w:t>
            </w:r>
            <w:r w:rsidDel="00000000" w:rsidR="00000000" w:rsidRPr="00000000">
              <w:rPr>
                <w:rFonts w:ascii="Arial" w:cs="Arial" w:eastAsia="Arial" w:hAnsi="Arial"/>
                <w:sz w:val="22"/>
                <w:szCs w:val="22"/>
                <w:rtl w:val="0"/>
              </w:rPr>
              <w:t xml:space="preserve">only</w:t>
            </w: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10.00</w:t>
            </w:r>
          </w:p>
        </w:tc>
      </w:tr>
      <w:tr>
        <w:trPr>
          <w:trHeight w:val="1180" w:hRule="atLeast"/>
        </w:trPr>
        <w:tc>
          <w:tcPr/>
          <w:p w:rsidR="00000000" w:rsidDel="00000000" w:rsidP="00000000" w:rsidRDefault="00000000" w:rsidRPr="00000000" w14:paraId="0000001E">
            <w:pPr>
              <w:spacing w:after="0" w:before="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14:paraId="0000001F">
            <w:pPr>
              <w:spacing w:after="0" w:before="0" w:line="240" w:lineRule="auto"/>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Minutes and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b w:val="0"/>
                <w:color w:val="000000"/>
                <w:sz w:val="22"/>
                <w:szCs w:val="22"/>
                <w:rtl w:val="0"/>
              </w:rPr>
              <w:t xml:space="preserve">atters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color w:val="000000"/>
                <w:sz w:val="22"/>
                <w:szCs w:val="22"/>
                <w:rtl w:val="0"/>
              </w:rPr>
              <w:t xml:space="preserve">rising</w:t>
            </w:r>
          </w:p>
          <w:p w:rsidR="00000000" w:rsidDel="00000000" w:rsidP="00000000" w:rsidRDefault="00000000" w:rsidRPr="00000000" w14:paraId="00000020">
            <w:pPr>
              <w:spacing w:after="0" w:before="0" w:line="240" w:lineRule="auto"/>
              <w:contextualSpacing w:val="0"/>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2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asked to approve the minutes from July’s Committee meeting and note any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sz w:val="22"/>
                <w:szCs w:val="22"/>
                <w:rtl w:val="0"/>
              </w:rPr>
              <w:t xml:space="preserve">atters </w:t>
            </w:r>
            <w:r w:rsidDel="00000000" w:rsidR="00000000" w:rsidRPr="00000000">
              <w:rPr>
                <w:rFonts w:ascii="Arial" w:cs="Arial" w:eastAsia="Arial" w:hAnsi="Arial"/>
                <w:sz w:val="22"/>
                <w:szCs w:val="22"/>
                <w:rtl w:val="0"/>
              </w:rPr>
              <w:t xml:space="preserve">arisin</w:t>
            </w:r>
            <w:r w:rsidDel="00000000" w:rsidR="00000000" w:rsidRPr="00000000">
              <w:rPr>
                <w:rFonts w:ascii="Arial" w:cs="Arial" w:eastAsia="Arial" w:hAnsi="Arial"/>
                <w:sz w:val="22"/>
                <w:szCs w:val="22"/>
                <w:rtl w:val="0"/>
              </w:rPr>
              <w:t xml:space="preserve">g</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2">
            <w:pPr>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Invitation from Robert Hazell to co-host seminar on </w:t>
            </w:r>
            <w:r w:rsidDel="00000000" w:rsidR="00000000" w:rsidRPr="00000000">
              <w:rPr>
                <w:rFonts w:ascii="Arial" w:cs="Arial" w:eastAsia="Arial" w:hAnsi="Arial"/>
                <w:color w:val="222222"/>
                <w:sz w:val="22"/>
                <w:szCs w:val="22"/>
                <w:highlight w:val="white"/>
                <w:rtl w:val="0"/>
              </w:rPr>
              <w:t xml:space="preserve">online targeting of voters through social media; </w:t>
            </w:r>
          </w:p>
          <w:p w:rsidR="00000000" w:rsidDel="00000000" w:rsidP="00000000" w:rsidRDefault="00000000" w:rsidRPr="00000000" w14:paraId="00000023">
            <w:pPr>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Westminster </w:t>
            </w:r>
            <w:r w:rsidDel="00000000" w:rsidR="00000000" w:rsidRPr="00000000">
              <w:rPr>
                <w:rFonts w:ascii="Arial" w:cs="Arial" w:eastAsia="Arial" w:hAnsi="Arial"/>
                <w:sz w:val="22"/>
                <w:szCs w:val="22"/>
                <w:rtl w:val="0"/>
              </w:rPr>
              <w:t xml:space="preserve">harassment</w:t>
            </w:r>
            <w:r w:rsidDel="00000000" w:rsidR="00000000" w:rsidRPr="00000000">
              <w:rPr>
                <w:rFonts w:ascii="Arial" w:cs="Arial" w:eastAsia="Arial" w:hAnsi="Arial"/>
                <w:sz w:val="22"/>
                <w:szCs w:val="22"/>
                <w:rtl w:val="0"/>
              </w:rPr>
              <w:t xml:space="preserve">.</w:t>
            </w:r>
            <w:r w:rsidDel="00000000" w:rsidR="00000000" w:rsidRPr="00000000">
              <w:rPr>
                <w:rtl w:val="0"/>
              </w:rPr>
            </w:r>
          </w:p>
        </w:tc>
        <w:tc>
          <w:tcPr/>
          <w:p w:rsidR="00000000" w:rsidDel="00000000" w:rsidP="00000000" w:rsidRDefault="00000000" w:rsidRPr="00000000" w14:paraId="0000002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CSPL (18) </w:t>
            </w:r>
            <w:r w:rsidDel="00000000" w:rsidR="00000000" w:rsidRPr="00000000">
              <w:rPr>
                <w:rFonts w:ascii="Arial" w:cs="Arial" w:eastAsia="Arial" w:hAnsi="Arial"/>
                <w:sz w:val="22"/>
                <w:szCs w:val="22"/>
                <w:rtl w:val="0"/>
              </w:rPr>
              <w:t xml:space="preserve">89</w:t>
            </w: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CSPL (</w:t>
            </w:r>
            <w:r w:rsidDel="00000000" w:rsidR="00000000" w:rsidRPr="00000000">
              <w:rPr>
                <w:rFonts w:ascii="Arial" w:cs="Arial" w:eastAsia="Arial" w:hAnsi="Arial"/>
                <w:sz w:val="22"/>
                <w:szCs w:val="22"/>
                <w:rtl w:val="0"/>
              </w:rPr>
              <w:t xml:space="preserve">18</w:t>
            </w:r>
            <w:r w:rsidDel="00000000" w:rsidR="00000000" w:rsidRPr="00000000">
              <w:rPr>
                <w:rFonts w:ascii="Arial" w:cs="Arial" w:eastAsia="Arial" w:hAnsi="Arial"/>
                <w:sz w:val="22"/>
                <w:szCs w:val="22"/>
                <w:rtl w:val="0"/>
              </w:rPr>
              <w:t xml:space="preserve">) 90</w:t>
            </w:r>
          </w:p>
          <w:p w:rsidR="00000000" w:rsidDel="00000000" w:rsidP="00000000" w:rsidRDefault="00000000" w:rsidRPr="00000000" w14:paraId="0000002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Oral report</w:t>
            </w:r>
          </w:p>
        </w:tc>
        <w:tc>
          <w:tcPr/>
          <w:p w:rsidR="00000000" w:rsidDel="00000000" w:rsidP="00000000" w:rsidRDefault="00000000" w:rsidRPr="00000000" w14:paraId="0000002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10.05</w:t>
            </w:r>
          </w:p>
        </w:tc>
      </w:tr>
      <w:tr>
        <w:trPr>
          <w:trHeight w:val="660" w:hRule="atLeast"/>
        </w:trPr>
        <w:tc>
          <w:tcPr>
            <w:shd w:fill="ffffff" w:val="clear"/>
          </w:tcPr>
          <w:p w:rsidR="00000000" w:rsidDel="00000000" w:rsidP="00000000" w:rsidRDefault="00000000" w:rsidRPr="00000000" w14:paraId="0000002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shd w:fill="ffffff" w:val="clear"/>
          </w:tcPr>
          <w:p w:rsidR="00000000" w:rsidDel="00000000" w:rsidP="00000000" w:rsidRDefault="00000000" w:rsidRPr="00000000" w14:paraId="0000002D">
            <w:pPr>
              <w:contextualSpacing w:val="0"/>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Local Government Ethical standards</w:t>
            </w:r>
            <w:r w:rsidDel="00000000" w:rsidR="00000000" w:rsidRPr="00000000">
              <w:rPr>
                <w:rtl w:val="0"/>
              </w:rPr>
            </w:r>
          </w:p>
        </w:tc>
        <w:tc>
          <w:tcPr>
            <w:shd w:fill="ffffff" w:val="clear"/>
          </w:tcPr>
          <w:p w:rsidR="00000000" w:rsidDel="00000000" w:rsidP="00000000" w:rsidRDefault="00000000" w:rsidRPr="00000000" w14:paraId="0000002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comment on the first draft of the </w:t>
            </w:r>
            <w:r w:rsidDel="00000000" w:rsidR="00000000" w:rsidRPr="00000000">
              <w:rPr>
                <w:rFonts w:ascii="Arial" w:cs="Arial" w:eastAsia="Arial" w:hAnsi="Arial"/>
                <w:sz w:val="22"/>
                <w:szCs w:val="22"/>
                <w:rtl w:val="0"/>
              </w:rPr>
              <w:t xml:space="preserve">review</w:t>
            </w:r>
            <w:r w:rsidDel="00000000" w:rsidR="00000000" w:rsidRPr="00000000">
              <w:rPr>
                <w:rFonts w:ascii="Arial" w:cs="Arial" w:eastAsia="Arial" w:hAnsi="Arial"/>
                <w:sz w:val="22"/>
                <w:szCs w:val="22"/>
                <w:rtl w:val="0"/>
              </w:rPr>
              <w:t xml:space="preserve"> of ethical standards in local government.</w:t>
            </w:r>
          </w:p>
        </w:tc>
        <w:tc>
          <w:tcPr>
            <w:shd w:fill="ffffff" w:val="clear"/>
          </w:tcPr>
          <w:p w:rsidR="00000000" w:rsidDel="00000000" w:rsidP="00000000" w:rsidRDefault="00000000" w:rsidRPr="00000000" w14:paraId="0000002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CSPL (18) 91</w:t>
            </w:r>
          </w:p>
        </w:tc>
        <w:tc>
          <w:tcPr>
            <w:shd w:fill="ffffff" w:val="clear"/>
          </w:tcPr>
          <w:p w:rsidR="00000000" w:rsidDel="00000000" w:rsidP="00000000" w:rsidRDefault="00000000" w:rsidRPr="00000000" w14:paraId="000000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10.15</w:t>
            </w:r>
          </w:p>
        </w:tc>
      </w:tr>
      <w:tr>
        <w:trPr>
          <w:trHeight w:val="840" w:hRule="atLeast"/>
        </w:trPr>
        <w:tc>
          <w:tcPr>
            <w:shd w:fill="ffffff" w:val="clear"/>
          </w:tcPr>
          <w:p w:rsidR="00000000" w:rsidDel="00000000" w:rsidP="00000000" w:rsidRDefault="00000000" w:rsidRPr="00000000" w14:paraId="0000003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shd w:fill="ffffff" w:val="clear"/>
          </w:tcPr>
          <w:p w:rsidR="00000000" w:rsidDel="00000000" w:rsidP="00000000" w:rsidRDefault="00000000" w:rsidRPr="00000000" w14:paraId="0000003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Intimidation in Public Life </w:t>
            </w:r>
          </w:p>
        </w:tc>
        <w:tc>
          <w:tcPr>
            <w:shd w:fill="ffffff" w:val="clear"/>
          </w:tcPr>
          <w:p w:rsidR="00000000" w:rsidDel="00000000" w:rsidP="00000000" w:rsidRDefault="00000000" w:rsidRPr="00000000" w14:paraId="0000003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note progress with the follow-up plan for Intimidation in Public </w:t>
            </w:r>
            <w:r w:rsidDel="00000000" w:rsidR="00000000" w:rsidRPr="00000000">
              <w:rPr>
                <w:rFonts w:ascii="Arial" w:cs="Arial" w:eastAsia="Arial" w:hAnsi="Arial"/>
                <w:sz w:val="22"/>
                <w:szCs w:val="22"/>
                <w:rtl w:val="0"/>
              </w:rPr>
              <w:t xml:space="preserve">Life</w:t>
            </w:r>
            <w:r w:rsidDel="00000000" w:rsidR="00000000" w:rsidRPr="00000000">
              <w:rPr>
                <w:rFonts w:ascii="Arial" w:cs="Arial" w:eastAsia="Arial" w:hAnsi="Arial"/>
                <w:sz w:val="22"/>
                <w:szCs w:val="22"/>
                <w:rtl w:val="0"/>
              </w:rPr>
              <w:t xml:space="preserve">.</w:t>
            </w:r>
          </w:p>
        </w:tc>
        <w:tc>
          <w:tcPr>
            <w:shd w:fill="ffffff" w:val="clear"/>
          </w:tcPr>
          <w:p w:rsidR="00000000" w:rsidDel="00000000" w:rsidP="00000000" w:rsidRDefault="00000000" w:rsidRPr="00000000" w14:paraId="0000003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CSPL (18) 92</w:t>
            </w:r>
          </w:p>
        </w:tc>
        <w:tc>
          <w:tcPr>
            <w:shd w:fill="ffffff" w:val="clear"/>
          </w:tcPr>
          <w:p w:rsidR="00000000" w:rsidDel="00000000" w:rsidP="00000000" w:rsidRDefault="00000000" w:rsidRPr="00000000" w14:paraId="0000003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11.15</w:t>
            </w:r>
          </w:p>
        </w:tc>
      </w:tr>
      <w:tr>
        <w:trPr>
          <w:trHeight w:val="840" w:hRule="atLeast"/>
        </w:trPr>
        <w:tc>
          <w:tcPr>
            <w:shd w:fill="ffffff" w:val="clear"/>
          </w:tcPr>
          <w:p w:rsidR="00000000" w:rsidDel="00000000" w:rsidP="00000000" w:rsidRDefault="00000000" w:rsidRPr="00000000" w14:paraId="0000003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shd w:fill="ffffff" w:val="clear"/>
          </w:tcPr>
          <w:p w:rsidR="00000000" w:rsidDel="00000000" w:rsidP="00000000" w:rsidRDefault="00000000" w:rsidRPr="00000000" w14:paraId="00000037">
            <w:pPr>
              <w:contextualSpacing w:val="0"/>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Standards Check </w:t>
            </w:r>
            <w:r w:rsidDel="00000000" w:rsidR="00000000" w:rsidRPr="00000000">
              <w:rPr>
                <w:rtl w:val="0"/>
              </w:rPr>
            </w:r>
          </w:p>
          <w:p w:rsidR="00000000" w:rsidDel="00000000" w:rsidP="00000000" w:rsidRDefault="00000000" w:rsidRPr="00000000" w14:paraId="00000038">
            <w:pPr>
              <w:contextualSpacing w:val="0"/>
              <w:rPr>
                <w:rFonts w:ascii="Arial" w:cs="Arial" w:eastAsia="Arial" w:hAnsi="Arial"/>
                <w:color w:val="ff0000"/>
                <w:sz w:val="22"/>
                <w:szCs w:val="22"/>
              </w:rPr>
            </w:pPr>
            <w:r w:rsidDel="00000000" w:rsidR="00000000" w:rsidRPr="00000000">
              <w:rPr>
                <w:rtl w:val="0"/>
              </w:rPr>
            </w:r>
          </w:p>
        </w:tc>
        <w:tc>
          <w:tcPr>
            <w:shd w:fill="ffffff" w:val="clear"/>
          </w:tcPr>
          <w:p w:rsidR="00000000" w:rsidDel="00000000" w:rsidP="00000000" w:rsidRDefault="00000000" w:rsidRPr="00000000" w14:paraId="00000039">
            <w:pPr>
              <w:contextualSpacing w:val="0"/>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The Committee will be asked to note an update on recent standards </w:t>
            </w:r>
            <w:r w:rsidDel="00000000" w:rsidR="00000000" w:rsidRPr="00000000">
              <w:rPr>
                <w:rFonts w:ascii="Arial" w:cs="Arial" w:eastAsia="Arial" w:hAnsi="Arial"/>
                <w:sz w:val="22"/>
                <w:szCs w:val="22"/>
                <w:rtl w:val="0"/>
              </w:rPr>
              <w:t xml:space="preserve">issues</w:t>
            </w:r>
            <w:r w:rsidDel="00000000" w:rsidR="00000000" w:rsidRPr="00000000">
              <w:rPr>
                <w:rFonts w:ascii="Arial" w:cs="Arial" w:eastAsia="Arial" w:hAnsi="Arial"/>
                <w:sz w:val="22"/>
                <w:szCs w:val="22"/>
                <w:rtl w:val="0"/>
              </w:rPr>
              <w:t xml:space="preserve">.</w:t>
            </w:r>
            <w:r w:rsidDel="00000000" w:rsidR="00000000" w:rsidRPr="00000000">
              <w:rPr>
                <w:rtl w:val="0"/>
              </w:rPr>
            </w:r>
          </w:p>
        </w:tc>
        <w:tc>
          <w:tcPr>
            <w:shd w:fill="ffffff" w:val="clear"/>
          </w:tcPr>
          <w:p w:rsidR="00000000" w:rsidDel="00000000" w:rsidP="00000000" w:rsidRDefault="00000000" w:rsidRPr="00000000" w14:paraId="0000003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CSPL (18) 93 electronic copies only of articles)</w:t>
            </w:r>
          </w:p>
        </w:tc>
        <w:tc>
          <w:tcPr>
            <w:shd w:fill="ffffff" w:val="clear"/>
          </w:tcPr>
          <w:p w:rsidR="00000000" w:rsidDel="00000000" w:rsidP="00000000" w:rsidRDefault="00000000" w:rsidRPr="00000000" w14:paraId="0000003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11.30</w:t>
            </w:r>
          </w:p>
        </w:tc>
      </w:tr>
      <w:tr>
        <w:trPr>
          <w:trHeight w:val="560" w:hRule="atLeast"/>
        </w:trPr>
        <w:tc>
          <w:tcPr/>
          <w:p w:rsidR="00000000" w:rsidDel="00000000" w:rsidP="00000000" w:rsidRDefault="00000000" w:rsidRPr="00000000" w14:paraId="0000003C">
            <w:pPr>
              <w:ind w:left="-30.000000000000213"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14:paraId="0000003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Forward Agenda</w:t>
            </w:r>
          </w:p>
          <w:p w:rsidR="00000000" w:rsidDel="00000000" w:rsidP="00000000" w:rsidRDefault="00000000" w:rsidRPr="00000000" w14:paraId="0000003E">
            <w:pPr>
              <w:contextualSpacing w:val="0"/>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3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note:</w:t>
            </w:r>
          </w:p>
          <w:p w:rsidR="00000000" w:rsidDel="00000000" w:rsidP="00000000" w:rsidRDefault="00000000" w:rsidRPr="00000000" w14:paraId="00000040">
            <w:pPr>
              <w:numPr>
                <w:ilvl w:val="0"/>
                <w:numId w:val="1"/>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forthcoming </w:t>
            </w:r>
            <w:r w:rsidDel="00000000" w:rsidR="00000000" w:rsidRPr="00000000">
              <w:rPr>
                <w:rFonts w:ascii="Arial" w:cs="Arial" w:eastAsia="Arial" w:hAnsi="Arial"/>
                <w:sz w:val="22"/>
                <w:szCs w:val="22"/>
                <w:rtl w:val="0"/>
              </w:rPr>
              <w:t xml:space="preserve">events</w:t>
            </w:r>
            <w:r w:rsidDel="00000000" w:rsidR="00000000" w:rsidRPr="00000000">
              <w:rPr>
                <w:rFonts w:ascii="Arial" w:cs="Arial" w:eastAsia="Arial" w:hAnsi="Arial"/>
                <w:sz w:val="22"/>
                <w:szCs w:val="22"/>
                <w:rtl w:val="0"/>
              </w:rPr>
              <w:t xml:space="preserve">; and</w:t>
            </w:r>
          </w:p>
          <w:p w:rsidR="00000000" w:rsidDel="00000000" w:rsidP="00000000" w:rsidRDefault="00000000" w:rsidRPr="00000000" w14:paraId="00000041">
            <w:pPr>
              <w:numPr>
                <w:ilvl w:val="0"/>
                <w:numId w:val="1"/>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forward </w:t>
            </w:r>
            <w:r w:rsidDel="00000000" w:rsidR="00000000" w:rsidRPr="00000000">
              <w:rPr>
                <w:rFonts w:ascii="Arial" w:cs="Arial" w:eastAsia="Arial" w:hAnsi="Arial"/>
                <w:sz w:val="22"/>
                <w:szCs w:val="22"/>
                <w:rtl w:val="0"/>
              </w:rPr>
              <w:t xml:space="preserve">agenda</w:t>
            </w:r>
            <w:r w:rsidDel="00000000" w:rsidR="00000000" w:rsidRPr="00000000">
              <w:rPr>
                <w:rFonts w:ascii="Arial" w:cs="Arial" w:eastAsia="Arial" w:hAnsi="Arial"/>
                <w:color w:val="ff0000"/>
                <w:sz w:val="22"/>
                <w:szCs w:val="22"/>
                <w:rtl w:val="0"/>
              </w:rPr>
              <w:t xml:space="preserve">.</w:t>
            </w:r>
          </w:p>
        </w:tc>
        <w:tc>
          <w:tcPr/>
          <w:p w:rsidR="00000000" w:rsidDel="00000000" w:rsidP="00000000" w:rsidRDefault="00000000" w:rsidRPr="00000000" w14:paraId="0000004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CSPL (18) 94</w:t>
            </w:r>
          </w:p>
          <w:p w:rsidR="00000000" w:rsidDel="00000000" w:rsidP="00000000" w:rsidRDefault="00000000" w:rsidRPr="00000000" w14:paraId="0000004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CSPL (18) 95</w:t>
            </w:r>
          </w:p>
        </w:tc>
        <w:tc>
          <w:tcPr/>
          <w:p w:rsidR="00000000" w:rsidDel="00000000" w:rsidP="00000000" w:rsidRDefault="00000000" w:rsidRPr="00000000" w14:paraId="0000004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11.35</w:t>
            </w:r>
          </w:p>
        </w:tc>
      </w:tr>
      <w:tr>
        <w:trPr>
          <w:trHeight w:val="1760" w:hRule="atLeast"/>
        </w:trPr>
        <w:tc>
          <w:tcPr/>
          <w:p w:rsidR="00000000" w:rsidDel="00000000" w:rsidP="00000000" w:rsidRDefault="00000000" w:rsidRPr="00000000" w14:paraId="0000004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p w:rsidR="00000000" w:rsidDel="00000000" w:rsidP="00000000" w:rsidRDefault="00000000" w:rsidRPr="00000000" w14:paraId="0000004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AOB</w:t>
            </w:r>
          </w:p>
          <w:p w:rsidR="00000000" w:rsidDel="00000000" w:rsidP="00000000" w:rsidRDefault="00000000" w:rsidRPr="00000000" w14:paraId="00000048">
            <w:pPr>
              <w:contextualSpacing w:val="0"/>
              <w:rPr>
                <w:rFonts w:ascii="Arial" w:cs="Arial" w:eastAsia="Arial" w:hAnsi="Arial"/>
                <w:color w:val="ff0000"/>
                <w:sz w:val="22"/>
                <w:szCs w:val="22"/>
              </w:rPr>
            </w:pPr>
            <w:r w:rsidDel="00000000" w:rsidR="00000000" w:rsidRPr="00000000">
              <w:rPr>
                <w:rtl w:val="0"/>
              </w:rPr>
            </w:r>
          </w:p>
        </w:tc>
        <w:tc>
          <w:tcPr/>
          <w:p w:rsidR="00000000" w:rsidDel="00000000" w:rsidP="00000000" w:rsidRDefault="00000000" w:rsidRPr="00000000" w14:paraId="0000004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will be invited to note:</w:t>
            </w:r>
            <w:r w:rsidDel="00000000" w:rsidR="00000000" w:rsidRPr="00000000">
              <w:rPr>
                <w:rtl w:val="0"/>
              </w:rPr>
            </w:r>
          </w:p>
          <w:p w:rsidR="00000000" w:rsidDel="00000000" w:rsidP="00000000" w:rsidRDefault="00000000" w:rsidRPr="00000000" w14:paraId="0000004A">
            <w:pPr>
              <w:numPr>
                <w:ilvl w:val="0"/>
                <w:numId w:val="3"/>
              </w:numPr>
              <w:spacing w:after="0" w:before="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Communications update for</w:t>
            </w:r>
            <w:r w:rsidDel="00000000" w:rsidR="00000000" w:rsidRPr="00000000">
              <w:rPr>
                <w:rFonts w:ascii="Arial" w:cs="Arial" w:eastAsia="Arial" w:hAnsi="Arial"/>
                <w:sz w:val="22"/>
                <w:szCs w:val="22"/>
                <w:rtl w:val="0"/>
              </w:rPr>
              <w:t xml:space="preserve"> Aug </w:t>
            </w:r>
            <w:r w:rsidDel="00000000" w:rsidR="00000000" w:rsidRPr="00000000">
              <w:rPr>
                <w:rFonts w:ascii="Arial" w:cs="Arial" w:eastAsia="Arial" w:hAnsi="Arial"/>
                <w:sz w:val="22"/>
                <w:szCs w:val="22"/>
                <w:rtl w:val="0"/>
              </w:rPr>
              <w:t xml:space="preserve">2018</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B">
            <w:pPr>
              <w:numPr>
                <w:ilvl w:val="0"/>
                <w:numId w:val="3"/>
              </w:numPr>
              <w:spacing w:after="0" w:before="0"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Date of next meeting: 15 November</w:t>
            </w:r>
            <w:r w:rsidDel="00000000" w:rsidR="00000000" w:rsidRPr="00000000">
              <w:rPr>
                <w:rFonts w:ascii="Arial" w:cs="Arial" w:eastAsia="Arial" w:hAnsi="Arial"/>
                <w:sz w:val="22"/>
                <w:szCs w:val="22"/>
                <w:rtl w:val="0"/>
              </w:rPr>
              <w:t xml:space="preserve"> 2018 in Conference Room E, 70 Whitehall</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C">
            <w:pPr>
              <w:spacing w:after="0" w:before="0" w:lineRule="auto"/>
              <w:ind w:left="720" w:firstLine="0"/>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CSPL (18)</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96</w:t>
            </w:r>
          </w:p>
          <w:p w:rsidR="00000000" w:rsidDel="00000000" w:rsidP="00000000" w:rsidRDefault="00000000" w:rsidRPr="00000000" w14:paraId="0000004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11.40</w:t>
            </w:r>
          </w:p>
          <w:p w:rsidR="00000000" w:rsidDel="00000000" w:rsidP="00000000" w:rsidRDefault="00000000" w:rsidRPr="00000000" w14:paraId="0000005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contextualSpacing w:val="0"/>
              <w:rPr>
                <w:rFonts w:ascii="Arial" w:cs="Arial" w:eastAsia="Arial" w:hAnsi="Arial"/>
                <w:sz w:val="22"/>
                <w:szCs w:val="22"/>
              </w:rPr>
            </w:pPr>
            <w:r w:rsidDel="00000000" w:rsidR="00000000" w:rsidRPr="00000000">
              <w:rPr>
                <w:rtl w:val="0"/>
              </w:rPr>
            </w:r>
          </w:p>
        </w:tc>
      </w:tr>
      <w:tr>
        <w:trPr>
          <w:trHeight w:val="1760" w:hRule="atLeast"/>
        </w:trPr>
        <w:tc>
          <w:tcPr/>
          <w:p w:rsidR="00000000" w:rsidDel="00000000" w:rsidP="00000000" w:rsidRDefault="00000000" w:rsidRPr="00000000" w14:paraId="00000056">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7">
            <w:pPr>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Discussion over lunch with Kevin Dunion OBE Convenor of the Standards Commission for Scotland, and Lorna Johnston, Executive Director of the Standards Commission for Scotland.</w:t>
            </w:r>
          </w:p>
        </w:tc>
        <w:tc>
          <w:tcPr/>
          <w:p w:rsidR="00000000" w:rsidDel="00000000" w:rsidP="00000000" w:rsidRDefault="00000000" w:rsidRPr="00000000" w14:paraId="0000005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CSPL (18) 97</w:t>
            </w:r>
          </w:p>
        </w:tc>
        <w:tc>
          <w:tcPr/>
          <w:p w:rsidR="00000000" w:rsidDel="00000000" w:rsidP="00000000" w:rsidRDefault="00000000" w:rsidRPr="00000000" w14:paraId="0000005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11.45</w:t>
            </w:r>
          </w:p>
        </w:tc>
      </w:tr>
    </w:tbl>
    <w:p w:rsidR="00000000" w:rsidDel="00000000" w:rsidP="00000000" w:rsidRDefault="00000000" w:rsidRPr="00000000" w14:paraId="0000005B">
      <w:pPr>
        <w:contextualSpacing w:val="0"/>
        <w:rPr>
          <w:rFonts w:ascii="Arial" w:cs="Arial" w:eastAsia="Arial" w:hAnsi="Arial"/>
          <w:sz w:val="22"/>
          <w:szCs w:val="22"/>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0" w:top="566.9291338582677" w:left="1440.0000000000002" w:right="1440.00000000000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center" w:pos="4513"/>
        <w:tab w:val="right" w:pos="9026"/>
      </w:tabs>
      <w:spacing w:after="2160" w:lineRule="auto"/>
      <w:contextualSpacing w:val="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pos="4513"/>
        <w:tab w:val="right" w:pos="9026"/>
      </w:tabs>
      <w:spacing w:before="720" w:lineRule="auto"/>
      <w:contextualSpacing w:val="0"/>
      <w:jc w:val="left"/>
      <w:rPr>
        <w:rFonts w:ascii="Arial" w:cs="Arial" w:eastAsia="Arial" w:hAnsi="Arial"/>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center"/>
    </w:pPr>
    <w:rPr>
      <w:rFonts w:ascii="Cambria" w:cs="Cambria" w:eastAsia="Cambria" w:hAnsi="Cambria"/>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