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1E0" w:firstRow="1" w:lastRow="1" w:firstColumn="1" w:lastColumn="1" w:noHBand="0" w:noVBand="0"/>
      </w:tblPr>
      <w:tblGrid>
        <w:gridCol w:w="6310"/>
        <w:gridCol w:w="4227"/>
      </w:tblGrid>
      <w:tr w:rsidR="00376C65" w:rsidRPr="007E190E" w14:paraId="4CCA7C08" w14:textId="77777777" w:rsidTr="00300C80">
        <w:tc>
          <w:tcPr>
            <w:tcW w:w="2994" w:type="pct"/>
            <w:shd w:val="clear" w:color="auto" w:fill="auto"/>
          </w:tcPr>
          <w:p w14:paraId="45490FFA" w14:textId="77777777" w:rsidR="00376C65" w:rsidRPr="006C039C" w:rsidRDefault="00376C65" w:rsidP="00B67E86">
            <w:pPr>
              <w:pStyle w:val="IAHeadTitle"/>
              <w:rPr>
                <w:rStyle w:val="IAHeadLabChar"/>
                <w:b w:val="0"/>
              </w:rPr>
            </w:pPr>
            <w:bookmarkStart w:id="0" w:name="_GoBack"/>
            <w:bookmarkEnd w:id="0"/>
            <w:r w:rsidRPr="00376C65">
              <w:t>Title</w:t>
            </w:r>
            <w:r w:rsidRPr="00A90857">
              <w:t>:</w:t>
            </w:r>
            <w:r w:rsidRPr="00006E17">
              <w:rPr>
                <w:rStyle w:val="IAHeadLabChar"/>
              </w:rPr>
              <w:t xml:space="preserve"> </w:t>
            </w:r>
            <w:sdt>
              <w:sdtPr>
                <w:rPr>
                  <w:b w:val="0"/>
                </w:rPr>
                <w:alias w:val="IATitle"/>
                <w:tag w:val="IATitle"/>
                <w:id w:val="188572923"/>
                <w:placeholder>
                  <w:docPart w:val="0E7961A552E34DF69B8E660E6BB48B12"/>
                </w:placeholder>
                <w:text w:multiLine="1"/>
              </w:sdtPr>
              <w:sdtEndPr/>
              <w:sdtContent>
                <w:r w:rsidR="00FC546A" w:rsidRPr="00FC546A">
                  <w:rPr>
                    <w:b w:val="0"/>
                  </w:rPr>
                  <w:t>Bringing Safety Requirements in key areas on all Passenger Vessels on Domestic Voyages in line with modern Technical Standards</w:t>
                </w:r>
              </w:sdtContent>
            </w:sdt>
          </w:p>
          <w:p w14:paraId="1EF6D20C" w14:textId="71FD468D" w:rsidR="00376C65" w:rsidRPr="006C039C" w:rsidRDefault="00376C65" w:rsidP="00B67E86">
            <w:pPr>
              <w:pStyle w:val="IAHeadTitle"/>
              <w:rPr>
                <w:rStyle w:val="IAHeadLabChar"/>
                <w:b w:val="0"/>
              </w:rPr>
            </w:pPr>
            <w:r w:rsidRPr="007E190E">
              <w:t>IA No:</w:t>
            </w:r>
            <w:r w:rsidRPr="006C039C">
              <w:rPr>
                <w:rStyle w:val="IAHeadLabChar"/>
              </w:rPr>
              <w:t xml:space="preserve"> </w:t>
            </w:r>
            <w:sdt>
              <w:sdtPr>
                <w:rPr>
                  <w:rStyle w:val="IAHeadLabChar"/>
                  <w:b w:val="0"/>
                </w:rPr>
                <w:alias w:val="IANo"/>
                <w:tag w:val="IANo"/>
                <w:id w:val="991836119"/>
                <w:placeholder>
                  <w:docPart w:val="AA3CDD6558564C5A9DB2921FC1393E48"/>
                </w:placeholder>
                <w:text w:multiLine="1"/>
              </w:sdtPr>
              <w:sdtEndPr>
                <w:rPr>
                  <w:rStyle w:val="IAHeadLabChar"/>
                </w:rPr>
              </w:sdtEndPr>
              <w:sdtContent>
                <w:r w:rsidR="00816133">
                  <w:rPr>
                    <w:rStyle w:val="IAHeadLabChar"/>
                    <w:b w:val="0"/>
                  </w:rPr>
                  <w:t>DfT00400</w:t>
                </w:r>
              </w:sdtContent>
            </w:sdt>
          </w:p>
          <w:p w14:paraId="7DE4E33B" w14:textId="71C7ACC5" w:rsidR="00376C65" w:rsidRPr="006C039C" w:rsidRDefault="00376C65" w:rsidP="00B67E86">
            <w:pPr>
              <w:pStyle w:val="IAHeadTitle"/>
              <w:rPr>
                <w:rStyle w:val="IAHeadLabChar"/>
                <w:b w:val="0"/>
              </w:rPr>
            </w:pPr>
            <w:r w:rsidRPr="005B66B4">
              <w:t>RPC</w:t>
            </w:r>
            <w:r>
              <w:t xml:space="preserve"> </w:t>
            </w:r>
            <w:r w:rsidRPr="005B66B4">
              <w:t>Reference</w:t>
            </w:r>
            <w:r>
              <w:t xml:space="preserve"> No:</w:t>
            </w:r>
            <w:r w:rsidRPr="006C039C">
              <w:rPr>
                <w:rStyle w:val="IAHeadLabChar"/>
              </w:rPr>
              <w:t xml:space="preserve"> </w:t>
            </w:r>
            <w:sdt>
              <w:sdtPr>
                <w:rPr>
                  <w:rStyle w:val="IAHeadLabChar"/>
                  <w:b w:val="0"/>
                </w:rPr>
                <w:alias w:val="IARPCReference"/>
                <w:tag w:val="IARPCReference"/>
                <w:id w:val="1024068128"/>
                <w:placeholder>
                  <w:docPart w:val="FC153E3017AF402595D1D2851EF4D404"/>
                </w:placeholder>
                <w:text w:multiLine="1"/>
              </w:sdtPr>
              <w:sdtEndPr>
                <w:rPr>
                  <w:rStyle w:val="IAHeadLabChar"/>
                </w:rPr>
              </w:sdtEndPr>
              <w:sdtContent>
                <w:r w:rsidR="002E230A" w:rsidRPr="002E230A">
                  <w:rPr>
                    <w:rStyle w:val="IAHeadLabChar"/>
                    <w:b w:val="0"/>
                  </w:rPr>
                  <w:t>RPC18- DFT-MCA-42849(1)</w:t>
                </w:r>
              </w:sdtContent>
            </w:sdt>
          </w:p>
          <w:p w14:paraId="50EE5C92" w14:textId="77777777" w:rsidR="00376C65" w:rsidRPr="006C039C" w:rsidRDefault="00376C65" w:rsidP="00B67E86">
            <w:pPr>
              <w:pStyle w:val="IAHeadTitle"/>
              <w:rPr>
                <w:rStyle w:val="IAHeadLabChar"/>
                <w:b w:val="0"/>
              </w:rPr>
            </w:pPr>
            <w:r w:rsidRPr="00A90857">
              <w:t xml:space="preserve">Lead </w:t>
            </w:r>
            <w:r w:rsidRPr="005B66B4">
              <w:t>department</w:t>
            </w:r>
            <w:r w:rsidRPr="00A90857">
              <w:t xml:space="preserve"> or agency:</w:t>
            </w:r>
            <w:r w:rsidR="006C039C" w:rsidRPr="006C039C">
              <w:rPr>
                <w:rStyle w:val="IAHeadLabChar"/>
              </w:rPr>
              <w:t xml:space="preserve"> </w:t>
            </w:r>
            <w:sdt>
              <w:sdtPr>
                <w:rPr>
                  <w:rStyle w:val="IAHeadLabChar"/>
                  <w:b w:val="0"/>
                </w:rPr>
                <w:alias w:val="IALeadDept"/>
                <w:tag w:val="IALeadDept"/>
                <w:id w:val="-889806955"/>
                <w:placeholder>
                  <w:docPart w:val="0CD7674B6DF04AE48AD691CAD417BAD7"/>
                </w:placeholder>
                <w:text w:multiLine="1"/>
              </w:sdtPr>
              <w:sdtEndPr>
                <w:rPr>
                  <w:rStyle w:val="IAHeadLabChar"/>
                </w:rPr>
              </w:sdtEndPr>
              <w:sdtContent>
                <w:r w:rsidR="0094340B">
                  <w:rPr>
                    <w:rStyle w:val="IAHeadLabChar"/>
                    <w:b w:val="0"/>
                  </w:rPr>
                  <w:t>Maritime and Coastguard Agency (MCA)</w:t>
                </w:r>
              </w:sdtContent>
            </w:sdt>
          </w:p>
          <w:p w14:paraId="63623CE8" w14:textId="77777777" w:rsidR="00376C65" w:rsidRDefault="00376C65" w:rsidP="0094340B">
            <w:pPr>
              <w:pStyle w:val="IAHeadTitle"/>
            </w:pPr>
            <w:r w:rsidRPr="003E0510">
              <w:t>Other dep</w:t>
            </w:r>
            <w:r w:rsidRPr="00E217A2">
              <w:t>a</w:t>
            </w:r>
            <w:r w:rsidRPr="003E0510">
              <w:t>rtments or agencies:</w:t>
            </w:r>
            <w:r w:rsidRPr="006C039C">
              <w:rPr>
                <w:rStyle w:val="IAHeadLabChar"/>
              </w:rPr>
              <w:t xml:space="preserve"> </w:t>
            </w:r>
            <w:sdt>
              <w:sdtPr>
                <w:rPr>
                  <w:rStyle w:val="IAHeadLabChar"/>
                  <w:b w:val="0"/>
                </w:rPr>
                <w:alias w:val="IAOtherDepts"/>
                <w:tag w:val="IAOtherDepts"/>
                <w:id w:val="-1429033859"/>
                <w:placeholder>
                  <w:docPart w:val="DA8AABE41F114F78AE4B1D6EA9894F33"/>
                </w:placeholder>
                <w:text w:multiLine="1"/>
              </w:sdtPr>
              <w:sdtEndPr>
                <w:rPr>
                  <w:rStyle w:val="IAHeadLabChar"/>
                </w:rPr>
              </w:sdtEndPr>
              <w:sdtContent>
                <w:r w:rsidR="0094340B">
                  <w:rPr>
                    <w:rStyle w:val="IAHeadLabChar"/>
                    <w:b w:val="0"/>
                  </w:rPr>
                  <w:t>Department for Transport (DfT)</w:t>
                </w:r>
              </w:sdtContent>
            </w:sdt>
          </w:p>
        </w:tc>
        <w:tc>
          <w:tcPr>
            <w:tcW w:w="2006" w:type="pct"/>
            <w:shd w:val="clear" w:color="auto" w:fill="auto"/>
            <w:noWrap/>
            <w:tcMar>
              <w:top w:w="0" w:type="dxa"/>
              <w:left w:w="0" w:type="dxa"/>
              <w:bottom w:w="0" w:type="dxa"/>
              <w:right w:w="0" w:type="dxa"/>
            </w:tcMar>
          </w:tcPr>
          <w:tbl>
            <w:tblPr>
              <w:tblW w:w="5000" w:type="pct"/>
              <w:tblBorders>
                <w:insideH w:val="single" w:sz="4" w:space="0" w:color="333333"/>
                <w:insideV w:val="single" w:sz="4" w:space="0" w:color="333333"/>
              </w:tblBorders>
              <w:tblCellMar>
                <w:top w:w="45" w:type="dxa"/>
                <w:left w:w="113" w:type="dxa"/>
                <w:bottom w:w="45" w:type="dxa"/>
                <w:right w:w="113" w:type="dxa"/>
              </w:tblCellMar>
              <w:tblLook w:val="01E0" w:firstRow="1" w:lastRow="1" w:firstColumn="1" w:lastColumn="1" w:noHBand="0" w:noVBand="0"/>
            </w:tblPr>
            <w:tblGrid>
              <w:gridCol w:w="4217"/>
            </w:tblGrid>
            <w:tr w:rsidR="00376C65" w:rsidRPr="00383295" w14:paraId="6055CC63" w14:textId="77777777" w:rsidTr="00300C80">
              <w:tc>
                <w:tcPr>
                  <w:tcW w:w="5000" w:type="pct"/>
                  <w:shd w:val="clear" w:color="auto" w:fill="333333"/>
                  <w:tcMar>
                    <w:top w:w="57" w:type="dxa"/>
                    <w:left w:w="0" w:type="dxa"/>
                    <w:bottom w:w="57" w:type="dxa"/>
                    <w:right w:w="0" w:type="dxa"/>
                  </w:tcMar>
                  <w:vAlign w:val="center"/>
                </w:tcPr>
                <w:p w14:paraId="4AC77163" w14:textId="77777777" w:rsidR="00376C65" w:rsidRPr="00383295" w:rsidRDefault="00376C65" w:rsidP="006C039C">
                  <w:pPr>
                    <w:pStyle w:val="Title"/>
                  </w:pPr>
                  <w:r w:rsidRPr="00383295">
                    <w:t>Impact Assessment (IA)</w:t>
                  </w:r>
                </w:p>
              </w:tc>
            </w:tr>
            <w:tr w:rsidR="00376C65" w:rsidRPr="00966271" w14:paraId="4271E9E0" w14:textId="77777777" w:rsidTr="00300C80">
              <w:tc>
                <w:tcPr>
                  <w:tcW w:w="5000" w:type="pct"/>
                  <w:shd w:val="clear" w:color="auto" w:fill="auto"/>
                </w:tcPr>
                <w:p w14:paraId="568EE19B" w14:textId="6544332C" w:rsidR="00376C65" w:rsidRPr="00631B4C" w:rsidRDefault="00376C65" w:rsidP="008A2D5B">
                  <w:pPr>
                    <w:pStyle w:val="IATableHeading"/>
                  </w:pPr>
                  <w:r w:rsidRPr="008A2D5B">
                    <w:t>Date</w:t>
                  </w:r>
                  <w:r w:rsidRPr="00631B4C">
                    <w:t>:</w:t>
                  </w:r>
                  <w:r w:rsidRPr="008A2D5B">
                    <w:rPr>
                      <w:rStyle w:val="IATableLabelCharChar"/>
                      <w:b w:val="0"/>
                    </w:rPr>
                    <w:t xml:space="preserve"> </w:t>
                  </w:r>
                  <w:sdt>
                    <w:sdtPr>
                      <w:rPr>
                        <w:rStyle w:val="IATableLabelCharChar"/>
                        <w:b w:val="0"/>
                      </w:rPr>
                      <w:alias w:val="IADate"/>
                      <w:tag w:val="IADate"/>
                      <w:id w:val="1776278570"/>
                      <w:placeholder>
                        <w:docPart w:val="E554668D3B7941B59E2EFC1220F97B63"/>
                      </w:placeholder>
                      <w:date w:fullDate="2018-07-13T00:00:00Z">
                        <w:dateFormat w:val="dd/MM/yyyy"/>
                        <w:lid w:val="en-GB"/>
                        <w:storeMappedDataAs w:val="dateTime"/>
                        <w:calendar w:val="gregorian"/>
                      </w:date>
                    </w:sdtPr>
                    <w:sdtEndPr>
                      <w:rPr>
                        <w:rStyle w:val="IATableLabelCharChar"/>
                      </w:rPr>
                    </w:sdtEndPr>
                    <w:sdtContent>
                      <w:r w:rsidR="00742166">
                        <w:rPr>
                          <w:rStyle w:val="IATableLabelCharChar"/>
                          <w:b w:val="0"/>
                        </w:rPr>
                        <w:t>13/07/2018</w:t>
                      </w:r>
                    </w:sdtContent>
                  </w:sdt>
                </w:p>
              </w:tc>
            </w:tr>
            <w:tr w:rsidR="00376C65" w:rsidRPr="00966271" w14:paraId="78B951A0" w14:textId="77777777" w:rsidTr="00300C80">
              <w:tc>
                <w:tcPr>
                  <w:tcW w:w="5000" w:type="pct"/>
                  <w:shd w:val="clear" w:color="auto" w:fill="auto"/>
                </w:tcPr>
                <w:p w14:paraId="272605CD" w14:textId="482CF2DA" w:rsidR="00376C65" w:rsidRPr="007F0ED9" w:rsidRDefault="00376C65" w:rsidP="00F11DBC">
                  <w:pPr>
                    <w:pStyle w:val="IATableHeading"/>
                  </w:pPr>
                  <w:bookmarkStart w:id="1" w:name="Stage"/>
                  <w:r w:rsidRPr="006C039C">
                    <w:t>Stage</w:t>
                  </w:r>
                  <w:r w:rsidRPr="007F0ED9">
                    <w:t>:</w:t>
                  </w:r>
                  <w:r w:rsidRPr="008A2D5B">
                    <w:rPr>
                      <w:rStyle w:val="IATableLabelCharChar"/>
                      <w:b w:val="0"/>
                    </w:rPr>
                    <w:t xml:space="preserve"> </w:t>
                  </w:r>
                  <w:r w:rsidR="006C5365">
                    <w:rPr>
                      <w:rStyle w:val="IATableLabelCharChar"/>
                      <w:b w:val="0"/>
                    </w:rPr>
                    <w:t>Consultation</w:t>
                  </w:r>
                  <w:bookmarkEnd w:id="1"/>
                  <w:r w:rsidR="00F11DBC" w:rsidRPr="007F0ED9">
                    <w:t xml:space="preserve"> </w:t>
                  </w:r>
                </w:p>
              </w:tc>
            </w:tr>
            <w:tr w:rsidR="00376C65" w:rsidRPr="00966271" w14:paraId="7D7BF8A3" w14:textId="77777777" w:rsidTr="00300C80">
              <w:tc>
                <w:tcPr>
                  <w:tcW w:w="5000" w:type="pct"/>
                  <w:shd w:val="clear" w:color="auto" w:fill="auto"/>
                </w:tcPr>
                <w:p w14:paraId="787D6441" w14:textId="77777777" w:rsidR="00376C65" w:rsidRPr="007F0ED9" w:rsidRDefault="00376C65" w:rsidP="008A2D5B">
                  <w:pPr>
                    <w:pStyle w:val="IATableHeading"/>
                  </w:pPr>
                  <w:r w:rsidRPr="006C039C">
                    <w:t>Source</w:t>
                  </w:r>
                  <w:r w:rsidRPr="007F0ED9">
                    <w:t xml:space="preserve"> of intervention:</w:t>
                  </w:r>
                  <w:r w:rsidRPr="008A2D5B">
                    <w:rPr>
                      <w:rStyle w:val="IATableLabelCharChar"/>
                      <w:b w:val="0"/>
                    </w:rPr>
                    <w:t xml:space="preserve"> </w:t>
                  </w:r>
                  <w:sdt>
                    <w:sdtPr>
                      <w:rPr>
                        <w:rStyle w:val="IATableLabelCharChar"/>
                        <w:b w:val="0"/>
                      </w:rPr>
                      <w:alias w:val="IAInterSource"/>
                      <w:tag w:val="IAInterSource"/>
                      <w:id w:val="-1267075560"/>
                      <w:placeholder>
                        <w:docPart w:val="D255E5E4375A4931A00B06094923911F"/>
                      </w:placeholder>
                      <w:comboBox>
                        <w:listItem w:displayText="Domestic" w:value="Domestic"/>
                        <w:listItem w:displayText="EU" w:value="EU"/>
                        <w:listItem w:displayText="International" w:value="International"/>
                      </w:comboBox>
                    </w:sdtPr>
                    <w:sdtEndPr>
                      <w:rPr>
                        <w:rStyle w:val="IATableLabelCharChar"/>
                      </w:rPr>
                    </w:sdtEndPr>
                    <w:sdtContent>
                      <w:r w:rsidR="006C5365">
                        <w:rPr>
                          <w:rStyle w:val="IATableLabelCharChar"/>
                          <w:b w:val="0"/>
                        </w:rPr>
                        <w:t>Domestic</w:t>
                      </w:r>
                    </w:sdtContent>
                  </w:sdt>
                </w:p>
              </w:tc>
            </w:tr>
            <w:tr w:rsidR="00376C65" w:rsidRPr="007E190E" w14:paraId="18ECBBA8" w14:textId="77777777" w:rsidTr="00300C80">
              <w:tc>
                <w:tcPr>
                  <w:tcW w:w="5000" w:type="pct"/>
                  <w:shd w:val="clear" w:color="auto" w:fill="auto"/>
                </w:tcPr>
                <w:p w14:paraId="17FE7C21" w14:textId="77777777" w:rsidR="00376C65" w:rsidRPr="007E190E" w:rsidRDefault="00376C65" w:rsidP="008A2D5B">
                  <w:pPr>
                    <w:pStyle w:val="IATableHeading"/>
                  </w:pPr>
                  <w:r w:rsidRPr="006C039C">
                    <w:t>Type</w:t>
                  </w:r>
                  <w:r w:rsidRPr="007F0ED9">
                    <w:t xml:space="preserve"> of measure:</w:t>
                  </w:r>
                  <w:r w:rsidRPr="008A2D5B">
                    <w:rPr>
                      <w:rStyle w:val="IATableLabelCharChar"/>
                      <w:b w:val="0"/>
                    </w:rPr>
                    <w:t xml:space="preserve"> </w:t>
                  </w:r>
                  <w:sdt>
                    <w:sdtPr>
                      <w:rPr>
                        <w:rStyle w:val="IATableLabelCharChar"/>
                        <w:b w:val="0"/>
                      </w:rPr>
                      <w:alias w:val="IAMeasureType"/>
                      <w:tag w:val="IAMeasureType"/>
                      <w:id w:val="-1313869455"/>
                      <w:placeholder>
                        <w:docPart w:val="406844780E5E45CBB8F739B688BAFC4B"/>
                      </w:placeholder>
                      <w:comboBox>
                        <w:listItem w:value="Choose an item."/>
                        <w:listItem w:displayText="Primary legislation" w:value="Primary legislation"/>
                        <w:listItem w:displayText="Secondary legislation" w:value="Secondary legislation"/>
                        <w:listItem w:displayText="Other" w:value="Other"/>
                      </w:comboBox>
                    </w:sdtPr>
                    <w:sdtEndPr>
                      <w:rPr>
                        <w:rStyle w:val="IATableLabelCharChar"/>
                      </w:rPr>
                    </w:sdtEndPr>
                    <w:sdtContent>
                      <w:r w:rsidR="00B34FDF">
                        <w:rPr>
                          <w:rStyle w:val="IATableLabelCharChar"/>
                          <w:b w:val="0"/>
                        </w:rPr>
                        <w:t>Secondary legislation</w:t>
                      </w:r>
                    </w:sdtContent>
                  </w:sdt>
                </w:p>
              </w:tc>
            </w:tr>
            <w:tr w:rsidR="00376C65" w:rsidRPr="007E190E" w14:paraId="76E1FF6F" w14:textId="77777777" w:rsidTr="00300C80">
              <w:tc>
                <w:tcPr>
                  <w:tcW w:w="5000" w:type="pct"/>
                  <w:shd w:val="clear" w:color="auto" w:fill="auto"/>
                </w:tcPr>
                <w:p w14:paraId="4CE7E250" w14:textId="77777777" w:rsidR="00376C65" w:rsidRPr="000F004E" w:rsidRDefault="00376C65" w:rsidP="00817B2A">
                  <w:pPr>
                    <w:pStyle w:val="IATableHeading"/>
                  </w:pPr>
                  <w:r w:rsidRPr="006C039C">
                    <w:t>Contact for enquiries:</w:t>
                  </w:r>
                  <w:r w:rsidR="008A2D5B">
                    <w:t xml:space="preserve"> </w:t>
                  </w:r>
                  <w:sdt>
                    <w:sdtPr>
                      <w:rPr>
                        <w:rStyle w:val="IATableLabelCharChar"/>
                        <w:b w:val="0"/>
                      </w:rPr>
                      <w:alias w:val="IAEnquiryContacts"/>
                      <w:tag w:val="IAEnquiryContacts"/>
                      <w:id w:val="1937473250"/>
                      <w:placeholder>
                        <w:docPart w:val="62323E80704A4EC79AD2D95FBF205596"/>
                      </w:placeholder>
                      <w:text/>
                    </w:sdtPr>
                    <w:sdtEndPr>
                      <w:rPr>
                        <w:rStyle w:val="DefaultParagraphFont"/>
                      </w:rPr>
                    </w:sdtEndPr>
                    <w:sdtContent>
                      <w:r w:rsidR="00817B2A">
                        <w:rPr>
                          <w:rStyle w:val="IATableLabelCharChar"/>
                          <w:b w:val="0"/>
                        </w:rPr>
                        <w:t>Joanna Dormon, Danny Fellowes</w:t>
                      </w:r>
                    </w:sdtContent>
                  </w:sdt>
                </w:p>
              </w:tc>
            </w:tr>
          </w:tbl>
          <w:p w14:paraId="57114680" w14:textId="77777777" w:rsidR="00300C80" w:rsidRPr="007E190E" w:rsidRDefault="00300C80" w:rsidP="000944C1">
            <w:pPr>
              <w:rPr>
                <w:rFonts w:eastAsia="SimSun"/>
              </w:rPr>
            </w:pPr>
          </w:p>
        </w:tc>
      </w:tr>
      <w:tr w:rsidR="00376C65" w:rsidRPr="007E190E" w14:paraId="1AF252B6" w14:textId="77777777" w:rsidTr="00300C80">
        <w:tc>
          <w:tcPr>
            <w:tcW w:w="2994" w:type="pct"/>
            <w:shd w:val="clear" w:color="auto" w:fill="auto"/>
          </w:tcPr>
          <w:p w14:paraId="0F052F74" w14:textId="77777777" w:rsidR="00376C65" w:rsidRPr="00300C80" w:rsidRDefault="00376C65" w:rsidP="00300C80">
            <w:pPr>
              <w:pStyle w:val="Heading1"/>
              <w:rPr>
                <w:rFonts w:eastAsia="SimSun"/>
              </w:rPr>
            </w:pPr>
            <w:r w:rsidRPr="007E190E">
              <w:rPr>
                <w:rFonts w:eastAsia="SimSun"/>
              </w:rPr>
              <w:t>Su</w:t>
            </w:r>
            <w:r w:rsidR="00300C80">
              <w:rPr>
                <w:rFonts w:eastAsia="SimSun"/>
              </w:rPr>
              <w:t>mmary: Intervention and Options</w:t>
            </w:r>
          </w:p>
        </w:tc>
        <w:tc>
          <w:tcPr>
            <w:tcW w:w="2006" w:type="pct"/>
            <w:shd w:val="clear" w:color="auto" w:fill="E0E0E0"/>
            <w:vAlign w:val="center"/>
          </w:tcPr>
          <w:p w14:paraId="54FA21DF" w14:textId="59A15F11" w:rsidR="00376C65" w:rsidRPr="007E190E" w:rsidRDefault="00376C65" w:rsidP="00300C80">
            <w:pPr>
              <w:pStyle w:val="IARPC"/>
              <w:rPr>
                <w:b/>
                <w:color w:val="auto"/>
              </w:rPr>
            </w:pPr>
            <w:r w:rsidRPr="007E190E">
              <w:rPr>
                <w:b/>
                <w:color w:val="auto"/>
              </w:rPr>
              <w:t xml:space="preserve">RPC Opinion: </w:t>
            </w:r>
            <w:sdt>
              <w:sdtPr>
                <w:rPr>
                  <w:rStyle w:val="IARPCChar"/>
                </w:rPr>
                <w:alias w:val="IARPC"/>
                <w:tag w:val="IARPC"/>
                <w:id w:val="-2121975641"/>
                <w:placeholder>
                  <w:docPart w:val="59054587C6C94CD5BA573F0B6159E318"/>
                </w:placeholder>
                <w:comboBox>
                  <w:listItem w:value="RPC Opinion Status"/>
                  <w:listItem w:displayText="Awaiting Scrutiny" w:value="Awaiting Scrutiny"/>
                  <w:listItem w:displayText="RED" w:value="RED"/>
                  <w:listItem w:displayText="AMBER" w:value="AMBER"/>
                  <w:listItem w:displayText="GREEN" w:value="GREEN"/>
                  <w:listItem w:displayText="EANDCB Validated" w:value="EANDCB Validated"/>
                  <w:listItem w:displayText="Not Applicable" w:value="Not Applicable"/>
                </w:comboBox>
              </w:sdtPr>
              <w:sdtEndPr>
                <w:rPr>
                  <w:rStyle w:val="IARPCChar"/>
                </w:rPr>
              </w:sdtEndPr>
              <w:sdtContent>
                <w:r w:rsidR="002E230A">
                  <w:rPr>
                    <w:rStyle w:val="IARPCChar"/>
                  </w:rPr>
                  <w:t>GREEN</w:t>
                </w:r>
              </w:sdtContent>
            </w:sdt>
          </w:p>
        </w:tc>
      </w:tr>
    </w:tbl>
    <w:p w14:paraId="5D5BDCC4" w14:textId="77777777" w:rsidR="00376C65" w:rsidRPr="000E3B5D" w:rsidRDefault="00376C65" w:rsidP="000E3B5D">
      <w:pPr>
        <w:pStyle w:val="IASpacer"/>
      </w:pPr>
    </w:p>
    <w:tbl>
      <w:tblPr>
        <w:tblW w:w="5000" w:type="pct"/>
        <w:tblInd w:w="-5" w:type="dxa"/>
        <w:tblBorders>
          <w:top w:val="single" w:sz="4" w:space="0" w:color="auto"/>
          <w:left w:val="single" w:sz="4" w:space="0" w:color="auto"/>
          <w:bottom w:val="single" w:sz="4" w:space="0" w:color="auto"/>
          <w:right w:val="single" w:sz="4" w:space="0" w:color="auto"/>
        </w:tblBorders>
        <w:shd w:val="clear" w:color="auto" w:fill="E0E0E0"/>
        <w:tblCellMar>
          <w:top w:w="57" w:type="dxa"/>
          <w:left w:w="113" w:type="dxa"/>
          <w:bottom w:w="57" w:type="dxa"/>
          <w:right w:w="113" w:type="dxa"/>
        </w:tblCellMar>
        <w:tblLook w:val="01E0" w:firstRow="1" w:lastRow="1" w:firstColumn="1" w:lastColumn="1" w:noHBand="0" w:noVBand="0"/>
      </w:tblPr>
      <w:tblGrid>
        <w:gridCol w:w="1760"/>
        <w:gridCol w:w="1610"/>
        <w:gridCol w:w="2632"/>
        <w:gridCol w:w="1614"/>
        <w:gridCol w:w="2921"/>
      </w:tblGrid>
      <w:tr w:rsidR="00372A69" w:rsidRPr="000E02BE" w14:paraId="051B527C" w14:textId="77777777" w:rsidTr="00712919">
        <w:trPr>
          <w:trHeight w:val="20"/>
        </w:trPr>
        <w:tc>
          <w:tcPr>
            <w:tcW w:w="5000" w:type="pct"/>
            <w:gridSpan w:val="5"/>
            <w:tcBorders>
              <w:top w:val="single" w:sz="4" w:space="0" w:color="auto"/>
              <w:bottom w:val="nil"/>
              <w:right w:val="single" w:sz="4" w:space="0" w:color="auto"/>
            </w:tcBorders>
            <w:shd w:val="clear" w:color="auto" w:fill="E0E0E0"/>
          </w:tcPr>
          <w:p w14:paraId="28314470" w14:textId="77777777" w:rsidR="00372A69" w:rsidRPr="000E02BE" w:rsidRDefault="00372A69" w:rsidP="00712919">
            <w:pPr>
              <w:pStyle w:val="IATableHeading"/>
              <w:jc w:val="center"/>
            </w:pPr>
            <w:bookmarkStart w:id="2" w:name="CostText"/>
            <w:r>
              <w:t>Cost of Preferred (or more likely) Optio</w:t>
            </w:r>
            <w:r w:rsidR="00F06858">
              <w:t>n</w:t>
            </w:r>
            <w:bookmarkEnd w:id="2"/>
          </w:p>
        </w:tc>
      </w:tr>
      <w:tr w:rsidR="00372A69" w:rsidRPr="000E02BE" w14:paraId="48AC161D" w14:textId="77777777" w:rsidTr="008F2DE8">
        <w:trPr>
          <w:trHeight w:val="20"/>
        </w:trPr>
        <w:tc>
          <w:tcPr>
            <w:tcW w:w="835" w:type="pct"/>
            <w:tcBorders>
              <w:top w:val="single" w:sz="4" w:space="0" w:color="auto"/>
              <w:bottom w:val="nil"/>
              <w:right w:val="single" w:sz="4" w:space="0" w:color="auto"/>
            </w:tcBorders>
            <w:shd w:val="clear" w:color="auto" w:fill="E0E0E0"/>
            <w:tcMar>
              <w:bottom w:w="0" w:type="dxa"/>
            </w:tcMar>
            <w:vAlign w:val="center"/>
          </w:tcPr>
          <w:p w14:paraId="043811B4" w14:textId="77777777" w:rsidR="00372A69" w:rsidRPr="000E02BE" w:rsidRDefault="00372A69" w:rsidP="00712919">
            <w:pPr>
              <w:pStyle w:val="IATableHeading"/>
            </w:pPr>
            <w:r>
              <w:t>Total Net Present Value</w:t>
            </w:r>
          </w:p>
        </w:tc>
        <w:tc>
          <w:tcPr>
            <w:tcW w:w="764" w:type="pct"/>
            <w:tcBorders>
              <w:top w:val="single" w:sz="4" w:space="0" w:color="auto"/>
              <w:bottom w:val="nil"/>
              <w:right w:val="single" w:sz="4" w:space="0" w:color="auto"/>
            </w:tcBorders>
            <w:shd w:val="clear" w:color="auto" w:fill="E0E0E0"/>
            <w:tcMar>
              <w:bottom w:w="0" w:type="dxa"/>
            </w:tcMar>
            <w:vAlign w:val="center"/>
          </w:tcPr>
          <w:p w14:paraId="760BD1C5" w14:textId="77777777" w:rsidR="00372A69" w:rsidRPr="000E02BE" w:rsidRDefault="00372A69" w:rsidP="00712919">
            <w:pPr>
              <w:pStyle w:val="IATableHeading"/>
            </w:pPr>
            <w:r>
              <w:t>Business Net Present Value</w:t>
            </w:r>
          </w:p>
        </w:tc>
        <w:tc>
          <w:tcPr>
            <w:tcW w:w="1249" w:type="pct"/>
            <w:tcBorders>
              <w:top w:val="single" w:sz="4" w:space="0" w:color="auto"/>
              <w:bottom w:val="nil"/>
              <w:right w:val="single" w:sz="4" w:space="0" w:color="auto"/>
            </w:tcBorders>
            <w:shd w:val="clear" w:color="auto" w:fill="E0E0E0"/>
            <w:tcMar>
              <w:bottom w:w="0" w:type="dxa"/>
            </w:tcMar>
            <w:vAlign w:val="center"/>
          </w:tcPr>
          <w:p w14:paraId="3E7B794A" w14:textId="655A5098" w:rsidR="00372A69" w:rsidRPr="00712919" w:rsidRDefault="00372A69" w:rsidP="00712919">
            <w:pPr>
              <w:pStyle w:val="IATableHeading"/>
            </w:pPr>
            <w:r w:rsidRPr="00712919">
              <w:t xml:space="preserve">Net cost </w:t>
            </w:r>
            <w:r w:rsidR="00332B05" w:rsidRPr="00712919">
              <w:t xml:space="preserve">to business </w:t>
            </w:r>
            <w:r w:rsidRPr="00712919">
              <w:t>per year</w:t>
            </w:r>
            <w:r w:rsidR="006656EC" w:rsidRPr="00712919">
              <w:t xml:space="preserve"> </w:t>
            </w:r>
            <w:r w:rsidR="006656EC" w:rsidRPr="00712919">
              <w:rPr>
                <w:b w:val="0"/>
                <w:sz w:val="16"/>
              </w:rPr>
              <w:t>(</w:t>
            </w:r>
            <w:r w:rsidR="00332B05" w:rsidRPr="00712919">
              <w:rPr>
                <w:b w:val="0"/>
                <w:sz w:val="16"/>
              </w:rPr>
              <w:t>EAN</w:t>
            </w:r>
            <w:r w:rsidR="00E81F35" w:rsidRPr="00712919">
              <w:rPr>
                <w:b w:val="0"/>
                <w:sz w:val="16"/>
              </w:rPr>
              <w:t>D</w:t>
            </w:r>
            <w:r w:rsidR="00332B05" w:rsidRPr="00712919">
              <w:rPr>
                <w:b w:val="0"/>
                <w:sz w:val="16"/>
              </w:rPr>
              <w:t xml:space="preserve">CB </w:t>
            </w:r>
            <w:r w:rsidR="006C6483" w:rsidRPr="00712919">
              <w:rPr>
                <w:b w:val="0"/>
                <w:sz w:val="16"/>
              </w:rPr>
              <w:t>i</w:t>
            </w:r>
            <w:r w:rsidR="006656EC" w:rsidRPr="00712919">
              <w:rPr>
                <w:b w:val="0"/>
                <w:sz w:val="16"/>
              </w:rPr>
              <w:t>n 20</w:t>
            </w:r>
            <w:r w:rsidR="00AD043B">
              <w:rPr>
                <w:b w:val="0"/>
                <w:sz w:val="16"/>
              </w:rPr>
              <w:t>16</w:t>
            </w:r>
            <w:r w:rsidR="006656EC" w:rsidRPr="00712919">
              <w:rPr>
                <w:b w:val="0"/>
                <w:sz w:val="16"/>
              </w:rPr>
              <w:t xml:space="preserve"> prices</w:t>
            </w:r>
            <w:r w:rsidR="00704D5E">
              <w:rPr>
                <w:b w:val="0"/>
                <w:sz w:val="16"/>
              </w:rPr>
              <w:t>, 2017 present value</w:t>
            </w:r>
            <w:r w:rsidR="006656EC" w:rsidRPr="00712919">
              <w:rPr>
                <w:b w:val="0"/>
                <w:sz w:val="16"/>
              </w:rPr>
              <w:t>)</w:t>
            </w:r>
          </w:p>
        </w:tc>
        <w:tc>
          <w:tcPr>
            <w:tcW w:w="766" w:type="pct"/>
            <w:tcBorders>
              <w:top w:val="single" w:sz="4" w:space="0" w:color="auto"/>
              <w:left w:val="single" w:sz="4" w:space="0" w:color="auto"/>
              <w:bottom w:val="nil"/>
              <w:right w:val="single" w:sz="4" w:space="0" w:color="auto"/>
            </w:tcBorders>
            <w:shd w:val="clear" w:color="auto" w:fill="E0E0E0"/>
            <w:tcMar>
              <w:bottom w:w="0" w:type="dxa"/>
            </w:tcMar>
            <w:vAlign w:val="center"/>
          </w:tcPr>
          <w:p w14:paraId="21E8D624" w14:textId="77777777" w:rsidR="00A0444F" w:rsidRDefault="00372A69" w:rsidP="00712919">
            <w:pPr>
              <w:pStyle w:val="IATableHeading"/>
            </w:pPr>
            <w:r>
              <w:t>On</w:t>
            </w:r>
            <w:r w:rsidR="00290335">
              <w:t>e</w:t>
            </w:r>
            <w:r>
              <w:t xml:space="preserve">-In, </w:t>
            </w:r>
          </w:p>
          <w:p w14:paraId="7C6BD6C6" w14:textId="77777777" w:rsidR="00372A69" w:rsidRPr="000E02BE" w:rsidRDefault="003228BF" w:rsidP="00712919">
            <w:pPr>
              <w:pStyle w:val="IATableHeading"/>
            </w:pPr>
            <w:r>
              <w:t>T</w:t>
            </w:r>
            <w:r w:rsidR="00E81F35">
              <w:t>hree</w:t>
            </w:r>
            <w:r w:rsidR="00372A69">
              <w:t>-Out</w:t>
            </w:r>
          </w:p>
        </w:tc>
        <w:tc>
          <w:tcPr>
            <w:tcW w:w="1386" w:type="pct"/>
            <w:tcBorders>
              <w:top w:val="single" w:sz="4" w:space="0" w:color="auto"/>
              <w:left w:val="single" w:sz="4" w:space="0" w:color="auto"/>
              <w:bottom w:val="nil"/>
              <w:right w:val="single" w:sz="4" w:space="0" w:color="auto"/>
            </w:tcBorders>
            <w:shd w:val="clear" w:color="auto" w:fill="E0E0E0"/>
            <w:tcMar>
              <w:bottom w:w="0" w:type="dxa"/>
            </w:tcMar>
            <w:vAlign w:val="center"/>
          </w:tcPr>
          <w:p w14:paraId="501B76DF" w14:textId="77777777" w:rsidR="00463490" w:rsidRPr="000E02BE" w:rsidRDefault="00227EBE" w:rsidP="00300C80">
            <w:pPr>
              <w:pStyle w:val="IATableHeading"/>
            </w:pPr>
            <w:r>
              <w:t>Business Impact Target</w:t>
            </w:r>
            <w:r w:rsidR="00300C80">
              <w:t xml:space="preserve"> </w:t>
            </w:r>
            <w:r w:rsidR="009A1142">
              <w:t>S</w:t>
            </w:r>
            <w:r>
              <w:t>tatus</w:t>
            </w:r>
          </w:p>
        </w:tc>
      </w:tr>
      <w:tr w:rsidR="00372A69" w:rsidRPr="0061761A" w14:paraId="3BE06D93" w14:textId="77777777" w:rsidTr="00704D5E">
        <w:trPr>
          <w:trHeight w:val="178"/>
        </w:trPr>
        <w:tc>
          <w:tcPr>
            <w:tcW w:w="835" w:type="pct"/>
            <w:tcBorders>
              <w:top w:val="nil"/>
              <w:bottom w:val="single" w:sz="4" w:space="0" w:color="auto"/>
              <w:right w:val="single" w:sz="4" w:space="0" w:color="auto"/>
            </w:tcBorders>
            <w:shd w:val="clear" w:color="auto" w:fill="E0E0E0"/>
            <w:vAlign w:val="center"/>
          </w:tcPr>
          <w:p w14:paraId="0CD92CDB" w14:textId="77777777" w:rsidR="00372A69" w:rsidRPr="00596C0B" w:rsidRDefault="00784110" w:rsidP="008369A3">
            <w:pPr>
              <w:pStyle w:val="IAIIOTNPV"/>
            </w:pPr>
            <w:sdt>
              <w:sdtPr>
                <w:alias w:val="IATNPV"/>
                <w:tag w:val="IATNPV"/>
                <w:id w:val="-522015739"/>
                <w:placeholder>
                  <w:docPart w:val="C50A0D257A7540838645B68A9CAC0785"/>
                </w:placeholder>
              </w:sdtPr>
              <w:sdtEndPr/>
              <w:sdtContent>
                <w:r w:rsidR="00596C0B" w:rsidRPr="00596C0B">
                  <w:t>-£5.6</w:t>
                </w:r>
                <w:r w:rsidR="002215B3" w:rsidRPr="00596C0B">
                  <w:t>m</w:t>
                </w:r>
              </w:sdtContent>
            </w:sdt>
          </w:p>
        </w:tc>
        <w:tc>
          <w:tcPr>
            <w:tcW w:w="764" w:type="pct"/>
            <w:tcBorders>
              <w:top w:val="nil"/>
              <w:bottom w:val="single" w:sz="4" w:space="0" w:color="auto"/>
              <w:right w:val="single" w:sz="4" w:space="0" w:color="auto"/>
            </w:tcBorders>
            <w:shd w:val="clear" w:color="auto" w:fill="E0E0E0"/>
            <w:vAlign w:val="center"/>
          </w:tcPr>
          <w:p w14:paraId="029A8AA1" w14:textId="77777777" w:rsidR="00372A69" w:rsidRPr="00596C0B" w:rsidRDefault="00784110" w:rsidP="00712919">
            <w:pPr>
              <w:pStyle w:val="IAIIOTNPV"/>
            </w:pPr>
            <w:sdt>
              <w:sdtPr>
                <w:alias w:val="IABNPV"/>
                <w:tag w:val="IABNPV"/>
                <w:id w:val="1583868403"/>
                <w:placeholder>
                  <w:docPart w:val="E8A2FB08AA304FD497B6051BC638E5F0"/>
                </w:placeholder>
              </w:sdtPr>
              <w:sdtEndPr/>
              <w:sdtContent>
                <w:r w:rsidR="00596C0B" w:rsidRPr="00596C0B">
                  <w:t>-£10.4</w:t>
                </w:r>
                <w:r w:rsidR="002215B3" w:rsidRPr="00596C0B">
                  <w:t>m</w:t>
                </w:r>
              </w:sdtContent>
            </w:sdt>
          </w:p>
        </w:tc>
        <w:tc>
          <w:tcPr>
            <w:tcW w:w="1249" w:type="pct"/>
            <w:tcBorders>
              <w:top w:val="nil"/>
              <w:bottom w:val="single" w:sz="4" w:space="0" w:color="auto"/>
              <w:right w:val="single" w:sz="4" w:space="0" w:color="auto"/>
            </w:tcBorders>
            <w:shd w:val="clear" w:color="auto" w:fill="E0E0E0"/>
            <w:vAlign w:val="center"/>
          </w:tcPr>
          <w:p w14:paraId="7DC4F762" w14:textId="40D41F02" w:rsidR="00372A69" w:rsidRPr="00CC5BA6" w:rsidRDefault="00784110" w:rsidP="00300C80">
            <w:pPr>
              <w:pStyle w:val="IAIIOTNPV"/>
              <w:rPr>
                <w:highlight w:val="yellow"/>
              </w:rPr>
            </w:pPr>
            <w:sdt>
              <w:sdtPr>
                <w:rPr>
                  <w:highlight w:val="yellow"/>
                </w:rPr>
                <w:alias w:val="IANCTBPY"/>
                <w:tag w:val="IANCTBPY"/>
                <w:id w:val="-235092728"/>
                <w:placeholder>
                  <w:docPart w:val="7CB905A5F6564121BC7B54A797138041"/>
                </w:placeholder>
              </w:sdtPr>
              <w:sdtEndPr/>
              <w:sdtContent>
                <w:sdt>
                  <w:sdtPr>
                    <w:rPr>
                      <w:highlight w:val="yellow"/>
                    </w:rPr>
                    <w:alias w:val="IANCTBPY"/>
                    <w:tag w:val="IANCTBPY"/>
                    <w:id w:val="-1948151259"/>
                    <w:placeholder>
                      <w:docPart w:val="B8A7116AD599452F98E65A2F55D661DA"/>
                    </w:placeholder>
                  </w:sdtPr>
                  <w:sdtEndPr/>
                  <w:sdtContent>
                    <w:r w:rsidR="003957E2">
                      <w:t>£</w:t>
                    </w:r>
                    <w:r w:rsidR="00B074CC">
                      <w:t>1.1</w:t>
                    </w:r>
                    <w:r w:rsidR="003957E2">
                      <w:t>m</w:t>
                    </w:r>
                  </w:sdtContent>
                </w:sdt>
              </w:sdtContent>
            </w:sdt>
          </w:p>
        </w:tc>
        <w:tc>
          <w:tcPr>
            <w:tcW w:w="766" w:type="pct"/>
            <w:tcBorders>
              <w:top w:val="nil"/>
              <w:left w:val="single" w:sz="4" w:space="0" w:color="auto"/>
              <w:bottom w:val="single" w:sz="4" w:space="0" w:color="auto"/>
              <w:right w:val="single" w:sz="4" w:space="0" w:color="auto"/>
            </w:tcBorders>
            <w:shd w:val="clear" w:color="auto" w:fill="E0E0E0"/>
            <w:vAlign w:val="center"/>
          </w:tcPr>
          <w:p w14:paraId="085373F4" w14:textId="77777777" w:rsidR="00372A69" w:rsidRPr="000E02BE" w:rsidRDefault="00784110" w:rsidP="00300C80">
            <w:pPr>
              <w:pStyle w:val="IAIIOTNPV"/>
            </w:pPr>
            <w:sdt>
              <w:sdtPr>
                <w:alias w:val="IAInScopeInOut"/>
                <w:tag w:val="IAInScopeInOut"/>
                <w:id w:val="-1862118539"/>
                <w:placeholder>
                  <w:docPart w:val="4107BE3E758A4FD6B0BB146DFA867A50"/>
                </w:placeholder>
                <w:comboBox>
                  <w:listItem w:displayText="Not in scope" w:value="Not in scope"/>
                  <w:listItem w:displayText="In scope" w:value="In scope"/>
                </w:comboBox>
              </w:sdtPr>
              <w:sdtEndPr/>
              <w:sdtContent>
                <w:r w:rsidR="003D5446">
                  <w:t>N/A</w:t>
                </w:r>
              </w:sdtContent>
            </w:sdt>
          </w:p>
        </w:tc>
        <w:tc>
          <w:tcPr>
            <w:tcW w:w="1386" w:type="pct"/>
            <w:tcBorders>
              <w:top w:val="nil"/>
              <w:left w:val="single" w:sz="4" w:space="0" w:color="auto"/>
              <w:bottom w:val="single" w:sz="4" w:space="0" w:color="auto"/>
              <w:right w:val="single" w:sz="4" w:space="0" w:color="auto"/>
            </w:tcBorders>
            <w:shd w:val="clear" w:color="auto" w:fill="E0E0E0"/>
            <w:vAlign w:val="center"/>
          </w:tcPr>
          <w:p w14:paraId="0493F9BD" w14:textId="77777777" w:rsidR="00372A69" w:rsidRPr="000E02BE" w:rsidRDefault="00784110" w:rsidP="00712919">
            <w:pPr>
              <w:pStyle w:val="IAIIOTNPV"/>
            </w:pPr>
            <w:sdt>
              <w:sdtPr>
                <w:alias w:val="IAPrefMQ"/>
                <w:tag w:val="IAPrefMQ"/>
                <w:id w:val="149959430"/>
                <w:placeholder>
                  <w:docPart w:val="25F776313A9E419CAA5E224541841132"/>
                </w:placeholder>
                <w:comboBox>
                  <w:listItem w:displayText="Qualifying provision" w:value="Qualifying provision"/>
                  <w:listItem w:displayText="Non qualifying provision" w:value="Non qualifying provision"/>
                  <w:listItem w:displayText="Not a regulatory provision" w:value="Not a regulatory provision"/>
                </w:comboBox>
              </w:sdtPr>
              <w:sdtEndPr/>
              <w:sdtContent>
                <w:r w:rsidR="003D5446">
                  <w:t>N/A</w:t>
                </w:r>
              </w:sdtContent>
            </w:sdt>
          </w:p>
        </w:tc>
      </w:tr>
      <w:tr w:rsidR="007208D9" w:rsidRPr="00826F71" w14:paraId="2EA74696" w14:textId="77777777" w:rsidTr="00712919">
        <w:tblPrEx>
          <w:shd w:val="clear" w:color="auto" w:fill="auto"/>
        </w:tblPrEx>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2BD876CC" w14:textId="77777777" w:rsidR="007208D9" w:rsidRDefault="00686F5E" w:rsidP="00712919">
            <w:pPr>
              <w:pStyle w:val="IATableLines"/>
            </w:pPr>
            <w:bookmarkStart w:id="3" w:name="Summary1"/>
            <w:r>
              <w:t xml:space="preserve">What is the problem under consideration? Why is </w:t>
            </w:r>
            <w:r w:rsidRPr="00712919">
              <w:t>government</w:t>
            </w:r>
            <w:r>
              <w:t xml:space="preserve"> intervention </w:t>
            </w:r>
            <w:r w:rsidRPr="00712919">
              <w:t>necessary</w:t>
            </w:r>
            <w:r>
              <w:t>?</w:t>
            </w:r>
            <w:bookmarkEnd w:id="3"/>
          </w:p>
          <w:sdt>
            <w:sdtPr>
              <w:rPr>
                <w:rStyle w:val="IATableTextChar"/>
              </w:rPr>
              <w:alias w:val="IAIOA1"/>
              <w:tag w:val="IAIOA1"/>
              <w:id w:val="-442774345"/>
              <w:placeholder>
                <w:docPart w:val="2F4148F8EE3748B8BBDA7353BE05318C"/>
              </w:placeholder>
            </w:sdtPr>
            <w:sdtEndPr>
              <w:rPr>
                <w:rStyle w:val="DefaultParagraphFont"/>
              </w:rPr>
            </w:sdtEndPr>
            <w:sdtContent>
              <w:sdt>
                <w:sdtPr>
                  <w:rPr>
                    <w:rStyle w:val="IATableTextChar"/>
                    <w:sz w:val="22"/>
                  </w:rPr>
                  <w:alias w:val="IAIOA1"/>
                  <w:tag w:val="IAIOA1"/>
                  <w:id w:val="2026053243"/>
                  <w:placeholder>
                    <w:docPart w:val="B4B4523A921841C6B1B6318FF5037FCE"/>
                  </w:placeholder>
                </w:sdtPr>
                <w:sdtEndPr>
                  <w:rPr>
                    <w:rStyle w:val="DefaultParagraphFont"/>
                    <w:sz w:val="20"/>
                  </w:rPr>
                </w:sdtEndPr>
                <w:sdtContent>
                  <w:p w14:paraId="2A523425" w14:textId="77777777" w:rsidR="00E75380" w:rsidRPr="00D80FE6" w:rsidRDefault="00D80FE6" w:rsidP="003715BD">
                    <w:pPr>
                      <w:pStyle w:val="IATableText"/>
                      <w:rPr>
                        <w:rFonts w:asciiTheme="minorHAnsi" w:eastAsiaTheme="minorHAnsi" w:hAnsiTheme="minorHAnsi" w:cstheme="minorBidi"/>
                        <w:sz w:val="22"/>
                        <w:szCs w:val="22"/>
                        <w:lang w:val="en-US" w:eastAsia="en-US"/>
                      </w:rPr>
                    </w:pPr>
                    <w:r w:rsidRPr="005748B0">
                      <w:rPr>
                        <w:rStyle w:val="IATableTextChar"/>
                      </w:rPr>
                      <w:t xml:space="preserve">The technical standards applicable to the current domestic passenger fleet vary depending on the age of the vessel. </w:t>
                    </w:r>
                    <w:r w:rsidRPr="005748B0">
                      <w:t xml:space="preserve">Since 2000, the MCA has introduced more rigorous regulations for domestic passenger vessels. These regulations apply, in general, to new build vessels. It is the MCA policy, in line with previous recommendations, where possible, to apply a single safety standard to new and existing vessels. Government intervention is required to revise the technical standards applied to existing vessels to bridge the safety gap between old and new vessels. </w:t>
                    </w:r>
                  </w:p>
                </w:sdtContent>
              </w:sdt>
            </w:sdtContent>
          </w:sdt>
        </w:tc>
      </w:tr>
      <w:tr w:rsidR="00712919" w:rsidRPr="00826F71" w14:paraId="404EA2B5" w14:textId="77777777" w:rsidTr="00712919">
        <w:tblPrEx>
          <w:shd w:val="clear" w:color="auto" w:fill="auto"/>
        </w:tblPrEx>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624BA57B" w14:textId="77777777" w:rsidR="00F72B22" w:rsidRDefault="00712919" w:rsidP="000933F1">
            <w:pPr>
              <w:pStyle w:val="IATableLines"/>
            </w:pPr>
            <w:bookmarkStart w:id="4" w:name="Summary2"/>
            <w:r>
              <w:t>What are the policy objectives and the intended effects?</w:t>
            </w:r>
            <w:bookmarkEnd w:id="4"/>
          </w:p>
          <w:sdt>
            <w:sdtPr>
              <w:rPr>
                <w:rStyle w:val="IATableTextChar"/>
              </w:rPr>
              <w:alias w:val="IAIOA2"/>
              <w:tag w:val="IAIOA2"/>
              <w:id w:val="-449162479"/>
              <w:placeholder>
                <w:docPart w:val="AB2915F7BF78424EB677FE948C532135"/>
              </w:placeholder>
            </w:sdtPr>
            <w:sdtEndPr>
              <w:rPr>
                <w:rStyle w:val="DefaultParagraphFont"/>
                <w:rFonts w:eastAsia="Times New Roman"/>
                <w:lang w:eastAsia="en-GB"/>
              </w:rPr>
            </w:sdtEndPr>
            <w:sdtContent>
              <w:sdt>
                <w:sdtPr>
                  <w:rPr>
                    <w:rStyle w:val="IATableTextChar"/>
                  </w:rPr>
                  <w:alias w:val="IAIOA2"/>
                  <w:tag w:val="IAIOA2"/>
                  <w:id w:val="1726957563"/>
                  <w:placeholder>
                    <w:docPart w:val="C7006060178D40E48E8D9D187A0E9829"/>
                  </w:placeholder>
                </w:sdtPr>
                <w:sdtEndPr>
                  <w:rPr>
                    <w:rStyle w:val="DefaultParagraphFont"/>
                    <w:rFonts w:eastAsia="Times New Roman"/>
                    <w:lang w:eastAsia="en-GB"/>
                  </w:rPr>
                </w:sdtEndPr>
                <w:sdtContent>
                  <w:p w14:paraId="0B185A58" w14:textId="77777777" w:rsidR="000933F1" w:rsidRPr="003D5446" w:rsidRDefault="003D5446" w:rsidP="003D5446">
                    <w:pPr>
                      <w:pStyle w:val="EBBodyPara"/>
                      <w:rPr>
                        <w:rFonts w:cs="Times New Roman"/>
                        <w:bCs w:val="0"/>
                        <w:color w:val="auto"/>
                        <w:sz w:val="24"/>
                        <w:szCs w:val="24"/>
                        <w:lang w:eastAsia="en-US"/>
                      </w:rPr>
                    </w:pPr>
                    <w:r w:rsidRPr="005748B0">
                      <w:rPr>
                        <w:sz w:val="20"/>
                        <w:szCs w:val="20"/>
                      </w:rPr>
                      <w:t xml:space="preserve">The objective of this policy is to provide suitable regulation for existing domestic passenger vessels which is comparable with modern regulations whilst being proportionate and pragmatic. The aim is to have a consistent domestic passenger ship safety standard irrespective of the age of the </w:t>
                    </w:r>
                    <w:r w:rsidRPr="00163E1A">
                      <w:t>vessel</w:t>
                    </w:r>
                    <w:r>
                      <w:t>.</w:t>
                    </w:r>
                  </w:p>
                </w:sdtContent>
              </w:sdt>
            </w:sdtContent>
          </w:sdt>
        </w:tc>
      </w:tr>
      <w:tr w:rsidR="00712919" w:rsidRPr="00826F71" w14:paraId="627F1BCA" w14:textId="77777777" w:rsidTr="00712919">
        <w:tblPrEx>
          <w:shd w:val="clear" w:color="auto" w:fill="auto"/>
        </w:tblPrEx>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23C4D133" w14:textId="77777777" w:rsidR="00712919" w:rsidRDefault="00712919" w:rsidP="00031C8E">
            <w:pPr>
              <w:pStyle w:val="IATableLines"/>
            </w:pPr>
            <w:r w:rsidRPr="004B0DAA">
              <w:t>What policy options have been considered, including any alternatives to regulation? Please justify preferred option (further details in Evidence Base)</w:t>
            </w:r>
          </w:p>
          <w:sdt>
            <w:sdtPr>
              <w:rPr>
                <w:rStyle w:val="IATableTextChar"/>
                <w:rFonts w:cs="Arial"/>
                <w:bCs/>
                <w:color w:val="000000"/>
                <w:sz w:val="22"/>
                <w:szCs w:val="22"/>
              </w:rPr>
              <w:alias w:val="IAIOA3"/>
              <w:tag w:val="IAIOA3"/>
              <w:id w:val="525136885"/>
              <w:placeholder>
                <w:docPart w:val="B721DFCA5AF245A09DDF803AE3DD5EE4"/>
              </w:placeholder>
            </w:sdtPr>
            <w:sdtEndPr>
              <w:rPr>
                <w:rStyle w:val="DefaultParagraphFont"/>
                <w:rFonts w:eastAsia="Times New Roman"/>
                <w:lang w:eastAsia="en-GB"/>
              </w:rPr>
            </w:sdtEndPr>
            <w:sdtContent>
              <w:sdt>
                <w:sdtPr>
                  <w:rPr>
                    <w:rStyle w:val="IATableTextChar"/>
                    <w:rFonts w:cs="Arial"/>
                    <w:bCs/>
                    <w:color w:val="000000"/>
                    <w:sz w:val="22"/>
                    <w:szCs w:val="22"/>
                  </w:rPr>
                  <w:alias w:val="IAIOA3"/>
                  <w:tag w:val="IAIOA3"/>
                  <w:id w:val="37010757"/>
                  <w:placeholder>
                    <w:docPart w:val="89980FB56BF04AF4AC36EC0ED8107EE9"/>
                  </w:placeholder>
                </w:sdtPr>
                <w:sdtEndPr>
                  <w:rPr>
                    <w:rStyle w:val="DefaultParagraphFont"/>
                    <w:rFonts w:eastAsia="Times New Roman"/>
                    <w:lang w:eastAsia="en-GB"/>
                  </w:rPr>
                </w:sdtEndPr>
                <w:sdtContent>
                  <w:p w14:paraId="4930AAB7" w14:textId="644A118A" w:rsidR="003804C2" w:rsidRPr="005748B0" w:rsidRDefault="003804C2" w:rsidP="003804C2">
                    <w:pPr>
                      <w:pStyle w:val="IATableText"/>
                    </w:pPr>
                    <w:r w:rsidRPr="005748B0">
                      <w:rPr>
                        <w:rFonts w:eastAsia="Times New Roman" w:cs="Arial"/>
                        <w:b/>
                        <w:bCs/>
                        <w:color w:val="000000"/>
                        <w:lang w:eastAsia="en-GB"/>
                      </w:rPr>
                      <w:t xml:space="preserve">Option 0: </w:t>
                    </w:r>
                    <w:r w:rsidR="004276FD" w:rsidRPr="005748B0">
                      <w:rPr>
                        <w:rFonts w:cs="Arial"/>
                      </w:rPr>
                      <w:t>Do nothing, maintain regulatory status quo. Promulgate best practice guidance suggesting ways for operators to improve level of vessel safety</w:t>
                    </w:r>
                    <w:r w:rsidRPr="005748B0">
                      <w:rPr>
                        <w:rFonts w:eastAsia="Times New Roman" w:cs="Arial"/>
                        <w:bCs/>
                        <w:color w:val="000000"/>
                        <w:lang w:eastAsia="en-GB"/>
                      </w:rPr>
                      <w:t xml:space="preserve">. This is </w:t>
                    </w:r>
                    <w:r w:rsidR="000103F5" w:rsidRPr="005748B0">
                      <w:rPr>
                        <w:rFonts w:eastAsia="Times New Roman" w:cs="Arial"/>
                        <w:bCs/>
                        <w:color w:val="000000"/>
                        <w:lang w:eastAsia="en-GB"/>
                      </w:rPr>
                      <w:t xml:space="preserve">the baseline or counterfactual against which the options are being appraised against. </w:t>
                    </w:r>
                  </w:p>
                  <w:p w14:paraId="2CC0FDB4" w14:textId="5A5EC158" w:rsidR="00BD5482" w:rsidRPr="005748B0" w:rsidRDefault="003804C2" w:rsidP="003804C2">
                    <w:pPr>
                      <w:pStyle w:val="EBBodyPara"/>
                      <w:rPr>
                        <w:b/>
                        <w:sz w:val="20"/>
                        <w:szCs w:val="20"/>
                      </w:rPr>
                    </w:pPr>
                    <w:r w:rsidRPr="005748B0">
                      <w:rPr>
                        <w:b/>
                        <w:sz w:val="20"/>
                        <w:szCs w:val="20"/>
                      </w:rPr>
                      <w:t>O</w:t>
                    </w:r>
                    <w:r w:rsidR="00BD5482" w:rsidRPr="005748B0">
                      <w:rPr>
                        <w:b/>
                        <w:sz w:val="20"/>
                        <w:szCs w:val="20"/>
                      </w:rPr>
                      <w:t>ption 1</w:t>
                    </w:r>
                    <w:r w:rsidRPr="005748B0">
                      <w:rPr>
                        <w:b/>
                        <w:sz w:val="20"/>
                        <w:szCs w:val="20"/>
                      </w:rPr>
                      <w:t xml:space="preserve">: </w:t>
                    </w:r>
                    <w:r w:rsidR="004B0DAA" w:rsidRPr="005748B0">
                      <w:rPr>
                        <w:sz w:val="20"/>
                        <w:szCs w:val="20"/>
                      </w:rPr>
                      <w:t xml:space="preserve">Tailored amendment of the Regulations to achieve improvements in key safety areas with allowances, where possible, for alternative arrangements </w:t>
                    </w:r>
                    <w:r w:rsidR="00797A2D" w:rsidRPr="005748B0">
                      <w:rPr>
                        <w:sz w:val="20"/>
                        <w:szCs w:val="20"/>
                      </w:rPr>
                      <w:t>addressing</w:t>
                    </w:r>
                    <w:r w:rsidR="004B0DAA" w:rsidRPr="005748B0">
                      <w:rPr>
                        <w:sz w:val="20"/>
                        <w:szCs w:val="20"/>
                      </w:rPr>
                      <w:t xml:space="preserve"> the safety concern without prohibitive expense. Re-evaluate vessel against amended requirements and modify as required. This would</w:t>
                    </w:r>
                    <w:r w:rsidRPr="005748B0">
                      <w:rPr>
                        <w:sz w:val="20"/>
                        <w:szCs w:val="20"/>
                      </w:rPr>
                      <w:t xml:space="preserve"> provide a balance between not imposing significant costs, whilst ensuring an acceptable level of safety for the travelling public</w:t>
                    </w:r>
                    <w:r w:rsidRPr="005748B0">
                      <w:rPr>
                        <w:bCs w:val="0"/>
                        <w:sz w:val="20"/>
                        <w:szCs w:val="20"/>
                      </w:rPr>
                      <w:t xml:space="preserve">. </w:t>
                    </w:r>
                    <w:r w:rsidRPr="005748B0">
                      <w:rPr>
                        <w:b/>
                        <w:sz w:val="20"/>
                        <w:szCs w:val="20"/>
                      </w:rPr>
                      <w:t xml:space="preserve">This is the preferred option. </w:t>
                    </w:r>
                  </w:p>
                  <w:p w14:paraId="300C49FC" w14:textId="7D18D292" w:rsidR="00031C8E" w:rsidRPr="00BD5482" w:rsidRDefault="00BD5482" w:rsidP="003804C2">
                    <w:pPr>
                      <w:pStyle w:val="EBBodyPara"/>
                    </w:pPr>
                    <w:r w:rsidRPr="005748B0">
                      <w:rPr>
                        <w:b/>
                        <w:bCs w:val="0"/>
                        <w:sz w:val="20"/>
                        <w:szCs w:val="20"/>
                      </w:rPr>
                      <w:t xml:space="preserve">Option 2: </w:t>
                    </w:r>
                    <w:r w:rsidRPr="005748B0">
                      <w:rPr>
                        <w:sz w:val="20"/>
                        <w:szCs w:val="20"/>
                      </w:rPr>
                      <w:t>Compliance in full with requirements applicable to new vessels. Complete re-evaluation of the vessel and modification to achieve retrospective compliance</w:t>
                    </w:r>
                    <w:r w:rsidRPr="005748B0">
                      <w:rPr>
                        <w:bCs w:val="0"/>
                        <w:sz w:val="20"/>
                        <w:szCs w:val="20"/>
                      </w:rPr>
                      <w:t xml:space="preserve">. </w:t>
                    </w:r>
                    <w:r w:rsidRPr="005748B0">
                      <w:rPr>
                        <w:sz w:val="20"/>
                        <w:szCs w:val="20"/>
                      </w:rPr>
                      <w:t>This may necessitate significant modification and technical requirements in some areas may not be able to be satisfied for certain vessels, regardless of expenditure.</w:t>
                    </w:r>
                    <w:r w:rsidRPr="00163E1A">
                      <w:t xml:space="preserve"> </w:t>
                    </w:r>
                  </w:p>
                </w:sdtContent>
              </w:sdt>
            </w:sdtContent>
          </w:sdt>
        </w:tc>
      </w:tr>
    </w:tbl>
    <w:p w14:paraId="415A0D05" w14:textId="77777777" w:rsidR="00686F5E" w:rsidRPr="000E3B5D" w:rsidRDefault="00686F5E" w:rsidP="000E3B5D">
      <w:pPr>
        <w:pStyle w:val="IASpac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113" w:type="dxa"/>
        </w:tblCellMar>
        <w:tblLook w:val="01E0" w:firstRow="1" w:lastRow="1" w:firstColumn="1" w:lastColumn="1" w:noHBand="0" w:noVBand="0"/>
      </w:tblPr>
      <w:tblGrid>
        <w:gridCol w:w="10537"/>
      </w:tblGrid>
      <w:tr w:rsidR="00720FFE" w14:paraId="6EE3ADB0" w14:textId="77777777" w:rsidTr="000E3B5D">
        <w:tc>
          <w:tcPr>
            <w:tcW w:w="5000" w:type="pct"/>
            <w:shd w:val="clear" w:color="auto" w:fill="auto"/>
          </w:tcPr>
          <w:p w14:paraId="36B23D3A" w14:textId="77777777" w:rsidR="00720FFE" w:rsidRPr="000E3B5D" w:rsidRDefault="00720FFE" w:rsidP="0050716D">
            <w:pPr>
              <w:pStyle w:val="IATableText"/>
              <w:spacing w:after="0"/>
            </w:pPr>
            <w:r w:rsidRPr="000E3B5D">
              <w:t xml:space="preserve">Will the policy be reviewed?  It </w:t>
            </w:r>
            <w:bookmarkStart w:id="5" w:name="IAPolicyReview"/>
            <w:sdt>
              <w:sdtPr>
                <w:alias w:val="IAPolicyReview"/>
                <w:tag w:val="IAPolicyReview"/>
                <w:id w:val="420299941"/>
                <w:placeholder>
                  <w:docPart w:val="B112D56BC9E94683A550BF8ED8C6FD19"/>
                </w:placeholder>
                <w:comboBox>
                  <w:listItem w:displayText="will" w:value="will"/>
                  <w:listItem w:displayText="will not" w:value="will not"/>
                </w:comboBox>
              </w:sdtPr>
              <w:sdtEndPr/>
              <w:sdtContent>
                <w:r w:rsidR="003804C2">
                  <w:t>will</w:t>
                </w:r>
              </w:sdtContent>
            </w:sdt>
            <w:bookmarkEnd w:id="5"/>
            <w:r w:rsidRPr="000E3B5D">
              <w:t xml:space="preserve"> be reviewed.  If applicable, set review date:  </w:t>
            </w:r>
            <w:sdt>
              <w:sdtPr>
                <w:alias w:val="IAReviewMonth"/>
                <w:tag w:val="IAReviewMonth"/>
                <w:id w:val="1970554628"/>
                <w:placeholder>
                  <w:docPart w:val="5B49015169354F7A84B094834D18AEA7"/>
                </w:placeholder>
                <w:comboBox>
                  <w:listItem w:value="Month"/>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00FC546A">
                  <w:t>January</w:t>
                </w:r>
              </w:sdtContent>
            </w:sdt>
            <w:r w:rsidRPr="000E3B5D">
              <w:t>/</w:t>
            </w:r>
            <w:sdt>
              <w:sdtPr>
                <w:alias w:val="IAReviewYear"/>
                <w:tag w:val="IAReviewYear"/>
                <w:id w:val="-118304788"/>
                <w:placeholder>
                  <w:docPart w:val="E26674A8DFE54735985FD1D37CD424BE"/>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FC546A">
                  <w:t>2024</w:t>
                </w:r>
              </w:sdtContent>
            </w:sdt>
          </w:p>
        </w:tc>
      </w:tr>
    </w:tbl>
    <w:p w14:paraId="2F8B2E0D" w14:textId="77777777" w:rsidR="007E190E" w:rsidRPr="007E190E" w:rsidRDefault="007E190E" w:rsidP="000E3B5D">
      <w:pPr>
        <w:pStyle w:val="IASpacer"/>
      </w:pPr>
      <w:bookmarkStart w:id="6" w:name="Summary4"/>
    </w:p>
    <w:tbl>
      <w:tblPr>
        <w:tblW w:w="499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57" w:type="dxa"/>
          <w:left w:w="113" w:type="dxa"/>
          <w:bottom w:w="57" w:type="dxa"/>
          <w:right w:w="113" w:type="dxa"/>
        </w:tblCellMar>
        <w:tblLook w:val="01E0" w:firstRow="1" w:lastRow="1" w:firstColumn="1" w:lastColumn="1" w:noHBand="0" w:noVBand="0"/>
      </w:tblPr>
      <w:tblGrid>
        <w:gridCol w:w="6466"/>
        <w:gridCol w:w="1014"/>
        <w:gridCol w:w="1014"/>
        <w:gridCol w:w="359"/>
        <w:gridCol w:w="655"/>
        <w:gridCol w:w="1014"/>
      </w:tblGrid>
      <w:tr w:rsidR="006656EC" w:rsidRPr="00D50283" w14:paraId="575D852F" w14:textId="77777777" w:rsidTr="003715BD">
        <w:tc>
          <w:tcPr>
            <w:tcW w:w="7252" w:type="dxa"/>
            <w:gridSpan w:val="2"/>
            <w:shd w:val="clear" w:color="auto" w:fill="E0E0E0"/>
            <w:vAlign w:val="center"/>
          </w:tcPr>
          <w:p w14:paraId="09727EF8" w14:textId="77777777" w:rsidR="006656EC" w:rsidRPr="00D50283" w:rsidRDefault="006656EC" w:rsidP="000E3B5D">
            <w:pPr>
              <w:pStyle w:val="IATableHeading"/>
            </w:pPr>
            <w:r w:rsidRPr="00D50283">
              <w:t xml:space="preserve">Does implementation go beyond minimum EU </w:t>
            </w:r>
            <w:r w:rsidRPr="000E3B5D">
              <w:t>requirements</w:t>
            </w:r>
            <w:r w:rsidRPr="00D50283">
              <w:t>?</w:t>
            </w:r>
          </w:p>
        </w:tc>
        <w:tc>
          <w:tcPr>
            <w:tcW w:w="2949" w:type="dxa"/>
            <w:gridSpan w:val="4"/>
            <w:tcBorders>
              <w:bottom w:val="single" w:sz="4" w:space="0" w:color="auto"/>
            </w:tcBorders>
            <w:shd w:val="clear" w:color="auto" w:fill="E0E0E0"/>
            <w:vAlign w:val="center"/>
          </w:tcPr>
          <w:p w14:paraId="087DA632" w14:textId="77777777" w:rsidR="006656EC" w:rsidRPr="000E3B5D" w:rsidRDefault="00784110" w:rsidP="000E3B5D">
            <w:pPr>
              <w:pStyle w:val="IATableLabel"/>
            </w:pPr>
            <w:sdt>
              <w:sdtPr>
                <w:rPr>
                  <w:rStyle w:val="IATableLinesChar"/>
                  <w:b w:val="0"/>
                </w:rPr>
                <w:alias w:val="IACheckEU"/>
                <w:tag w:val="IACheckEU"/>
                <w:id w:val="-1213111027"/>
                <w:placeholder>
                  <w:docPart w:val="1B5091D4294D4EAAB7075D6D16653E88"/>
                </w:placeholder>
                <w:comboBox>
                  <w:listItem w:value="Yes / No / N/A"/>
                  <w:listItem w:displayText="Yes" w:value="Yes"/>
                  <w:listItem w:displayText="No" w:value="No"/>
                  <w:listItem w:displayText="N/A" w:value="N/A"/>
                </w:comboBox>
              </w:sdtPr>
              <w:sdtEndPr>
                <w:rPr>
                  <w:rStyle w:val="IATableLinesChar"/>
                </w:rPr>
              </w:sdtEndPr>
              <w:sdtContent>
                <w:r w:rsidR="0066784A">
                  <w:rPr>
                    <w:rStyle w:val="IATableLinesChar"/>
                    <w:b w:val="0"/>
                  </w:rPr>
                  <w:t>N/A</w:t>
                </w:r>
              </w:sdtContent>
            </w:sdt>
          </w:p>
        </w:tc>
      </w:tr>
      <w:tr w:rsidR="00422963" w:rsidRPr="00D50283" w14:paraId="14C34E77" w14:textId="77777777" w:rsidTr="003715BD">
        <w:tc>
          <w:tcPr>
            <w:tcW w:w="6269" w:type="dxa"/>
            <w:shd w:val="clear" w:color="auto" w:fill="E0E0E0"/>
            <w:vAlign w:val="center"/>
          </w:tcPr>
          <w:p w14:paraId="39CB3EAE" w14:textId="77777777" w:rsidR="00422963" w:rsidRPr="00720FFE" w:rsidRDefault="00422963" w:rsidP="000E3B5D">
            <w:pPr>
              <w:pStyle w:val="IATableHeading"/>
            </w:pPr>
            <w:r w:rsidRPr="00D50283">
              <w:t>Are a</w:t>
            </w:r>
            <w:r>
              <w:t>ny of these organisations in scope</w:t>
            </w:r>
            <w:r w:rsidRPr="00D50283">
              <w:t>?</w:t>
            </w:r>
          </w:p>
        </w:tc>
        <w:tc>
          <w:tcPr>
            <w:tcW w:w="983" w:type="dxa"/>
            <w:shd w:val="clear" w:color="auto" w:fill="E0E0E0"/>
            <w:vAlign w:val="center"/>
          </w:tcPr>
          <w:p w14:paraId="4530748C" w14:textId="77777777" w:rsidR="00422963" w:rsidRDefault="00422963" w:rsidP="00336977">
            <w:pPr>
              <w:pStyle w:val="IATableHeading"/>
            </w:pPr>
            <w:r w:rsidRPr="000E3B5D">
              <w:t>Micro</w:t>
            </w:r>
          </w:p>
          <w:p w14:paraId="6EF408CE" w14:textId="77777777" w:rsidR="00336977" w:rsidRPr="00336977" w:rsidRDefault="00784110" w:rsidP="00336977">
            <w:pPr>
              <w:pStyle w:val="IATableLabel"/>
            </w:pPr>
            <w:sdt>
              <w:sdtPr>
                <w:rPr>
                  <w:rStyle w:val="IATableLinesChar"/>
                  <w:b w:val="0"/>
                </w:rPr>
                <w:id w:val="-1516763178"/>
                <w:placeholder>
                  <w:docPart w:val="F67AB867315340718402EA2D85327772"/>
                </w:placeholder>
                <w:comboBox>
                  <w:listItem w:value="Yes/No"/>
                  <w:listItem w:displayText="Yes" w:value="Yes"/>
                  <w:listItem w:displayText="No" w:value="No"/>
                </w:comboBox>
              </w:sdtPr>
              <w:sdtEndPr>
                <w:rPr>
                  <w:rStyle w:val="IATableLinesChar"/>
                </w:rPr>
              </w:sdtEndPr>
              <w:sdtContent>
                <w:r w:rsidR="00A97107">
                  <w:rPr>
                    <w:rStyle w:val="IATableLinesChar"/>
                    <w:b w:val="0"/>
                  </w:rPr>
                  <w:t>Yes</w:t>
                </w:r>
              </w:sdtContent>
            </w:sdt>
          </w:p>
        </w:tc>
        <w:tc>
          <w:tcPr>
            <w:tcW w:w="983" w:type="dxa"/>
            <w:shd w:val="clear" w:color="auto" w:fill="E0E0E0"/>
            <w:vAlign w:val="center"/>
          </w:tcPr>
          <w:p w14:paraId="2302C0E5" w14:textId="77777777" w:rsidR="000E3B5D" w:rsidRDefault="00422963" w:rsidP="000E3B5D">
            <w:pPr>
              <w:pStyle w:val="IATableHeading"/>
            </w:pPr>
            <w:r w:rsidRPr="000E3B5D">
              <w:t>Small</w:t>
            </w:r>
            <w:bookmarkStart w:id="7" w:name="IACheckSmall"/>
          </w:p>
          <w:bookmarkEnd w:id="7"/>
          <w:p w14:paraId="3BAEE6FC" w14:textId="77777777" w:rsidR="00422963" w:rsidRPr="000E3B5D" w:rsidRDefault="00784110" w:rsidP="000E3B5D">
            <w:pPr>
              <w:pStyle w:val="IATableLabel"/>
            </w:pPr>
            <w:sdt>
              <w:sdtPr>
                <w:rPr>
                  <w:rStyle w:val="IATableLinesChar"/>
                  <w:b w:val="0"/>
                </w:rPr>
                <w:id w:val="-2078963521"/>
                <w:placeholder>
                  <w:docPart w:val="0CD58350DA6B44C2AA78EBA4815852B2"/>
                </w:placeholder>
                <w:comboBox>
                  <w:listItem w:value="Yes/No"/>
                  <w:listItem w:displayText="Yes" w:value="Yes"/>
                  <w:listItem w:displayText="No" w:value="No"/>
                </w:comboBox>
              </w:sdtPr>
              <w:sdtEndPr>
                <w:rPr>
                  <w:rStyle w:val="IATableLinesChar"/>
                </w:rPr>
              </w:sdtEndPr>
              <w:sdtContent>
                <w:r w:rsidR="00A97107">
                  <w:rPr>
                    <w:rStyle w:val="IATableLinesChar"/>
                    <w:b w:val="0"/>
                  </w:rPr>
                  <w:t>Yes</w:t>
                </w:r>
              </w:sdtContent>
            </w:sdt>
          </w:p>
        </w:tc>
        <w:tc>
          <w:tcPr>
            <w:tcW w:w="983" w:type="dxa"/>
            <w:gridSpan w:val="2"/>
            <w:shd w:val="clear" w:color="auto" w:fill="E0E0E0"/>
            <w:vAlign w:val="center"/>
          </w:tcPr>
          <w:p w14:paraId="3FE02A90" w14:textId="77777777" w:rsidR="000E3B5D" w:rsidRDefault="00422963" w:rsidP="000E3B5D">
            <w:pPr>
              <w:pStyle w:val="IATableHeading"/>
            </w:pPr>
            <w:r w:rsidRPr="000E3B5D">
              <w:t>Medium</w:t>
            </w:r>
            <w:bookmarkStart w:id="8" w:name="IACheckMedium"/>
          </w:p>
          <w:bookmarkEnd w:id="8"/>
          <w:p w14:paraId="15CDA810" w14:textId="77777777" w:rsidR="00422963" w:rsidRPr="0050716D" w:rsidRDefault="00784110" w:rsidP="0050716D">
            <w:pPr>
              <w:pStyle w:val="IATableLabel"/>
            </w:pPr>
            <w:sdt>
              <w:sdtPr>
                <w:rPr>
                  <w:rStyle w:val="IATableLinesChar"/>
                  <w:b w:val="0"/>
                </w:rPr>
                <w:id w:val="385993769"/>
                <w:placeholder>
                  <w:docPart w:val="0C19463BE91F47F1B301CA1622629C68"/>
                </w:placeholder>
                <w:comboBox>
                  <w:listItem w:value="Yes/No"/>
                  <w:listItem w:displayText="Yes" w:value="Yes"/>
                  <w:listItem w:displayText="No" w:value="No"/>
                </w:comboBox>
              </w:sdtPr>
              <w:sdtEndPr>
                <w:rPr>
                  <w:rStyle w:val="IATableLinesChar"/>
                </w:rPr>
              </w:sdtEndPr>
              <w:sdtContent>
                <w:r w:rsidR="00A97107">
                  <w:rPr>
                    <w:rStyle w:val="IATableLinesChar"/>
                    <w:b w:val="0"/>
                  </w:rPr>
                  <w:t>Yes</w:t>
                </w:r>
              </w:sdtContent>
            </w:sdt>
          </w:p>
        </w:tc>
        <w:tc>
          <w:tcPr>
            <w:tcW w:w="983" w:type="dxa"/>
            <w:shd w:val="clear" w:color="auto" w:fill="E0E0E0"/>
            <w:vAlign w:val="center"/>
          </w:tcPr>
          <w:p w14:paraId="0DB527CF" w14:textId="77777777" w:rsidR="000E3B5D" w:rsidRDefault="00422963" w:rsidP="000E3B5D">
            <w:pPr>
              <w:pStyle w:val="IATableHeading"/>
            </w:pPr>
            <w:r w:rsidRPr="000E3B5D">
              <w:t>Large</w:t>
            </w:r>
            <w:bookmarkStart w:id="9" w:name="IACheckLarge"/>
          </w:p>
          <w:p w14:paraId="79C4FA4D" w14:textId="77777777" w:rsidR="00422963" w:rsidRPr="000E3B5D" w:rsidRDefault="00784110" w:rsidP="0050716D">
            <w:pPr>
              <w:pStyle w:val="IATableLabel"/>
            </w:pPr>
            <w:sdt>
              <w:sdtPr>
                <w:rPr>
                  <w:rStyle w:val="IATableLinesChar"/>
                  <w:b w:val="0"/>
                </w:rPr>
                <w:id w:val="909273607"/>
                <w:placeholder>
                  <w:docPart w:val="A23D6182A8EE4A6F8BA8193EAB255579"/>
                </w:placeholder>
                <w:comboBox>
                  <w:listItem w:value="Yes/No"/>
                  <w:listItem w:displayText="Yes" w:value="Yes"/>
                  <w:listItem w:displayText="No" w:value="No"/>
                </w:comboBox>
              </w:sdtPr>
              <w:sdtEndPr>
                <w:rPr>
                  <w:rStyle w:val="IATableLinesChar"/>
                </w:rPr>
              </w:sdtEndPr>
              <w:sdtContent>
                <w:r w:rsidR="00A97107">
                  <w:rPr>
                    <w:rStyle w:val="IATableLinesChar"/>
                    <w:b w:val="0"/>
                  </w:rPr>
                  <w:t>Yes</w:t>
                </w:r>
              </w:sdtContent>
            </w:sdt>
            <w:bookmarkEnd w:id="9"/>
          </w:p>
        </w:tc>
      </w:tr>
      <w:tr w:rsidR="00422963" w14:paraId="31573C60" w14:textId="77777777" w:rsidTr="003715BD">
        <w:tblPrEx>
          <w:shd w:val="clear" w:color="auto" w:fill="auto"/>
        </w:tblPrEx>
        <w:tc>
          <w:tcPr>
            <w:tcW w:w="725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14:paraId="23A5F3B0" w14:textId="77777777" w:rsidR="00422963" w:rsidRDefault="00422963" w:rsidP="000E3B5D">
            <w:pPr>
              <w:pStyle w:val="IATableHeading"/>
              <w:rPr>
                <w:rFonts w:eastAsia="Times New Roman"/>
                <w:sz w:val="16"/>
                <w:szCs w:val="16"/>
              </w:rPr>
            </w:pPr>
            <w:r>
              <w:t>What is the CO</w:t>
            </w:r>
            <w:r w:rsidRPr="00FC07D5">
              <w:rPr>
                <w:vertAlign w:val="subscript"/>
              </w:rPr>
              <w:t>2</w:t>
            </w:r>
            <w:r>
              <w:t xml:space="preserve"> equivalent change in greenhouse gas emissions? </w:t>
            </w:r>
            <w:r>
              <w:br/>
              <w:t>(Million tonnes CO</w:t>
            </w:r>
            <w:r w:rsidRPr="00FC07D5">
              <w:rPr>
                <w:vertAlign w:val="subscript"/>
              </w:rPr>
              <w:t>2</w:t>
            </w:r>
            <w:r>
              <w:t xml:space="preserve"> equivalent)</w:t>
            </w:r>
            <w:r>
              <w:rPr>
                <w:sz w:val="18"/>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E0E0E0"/>
          </w:tcPr>
          <w:p w14:paraId="30827337" w14:textId="77777777" w:rsidR="00422963" w:rsidRDefault="003715BD" w:rsidP="003715BD">
            <w:pPr>
              <w:pStyle w:val="IATableHeading"/>
            </w:pPr>
            <w:r>
              <w:t>Traded:</w:t>
            </w:r>
          </w:p>
          <w:sdt>
            <w:sdtPr>
              <w:alias w:val="IACO2Traded"/>
              <w:tag w:val="IACO2Traded"/>
              <w:id w:val="1070082152"/>
              <w:placeholder>
                <w:docPart w:val="CA65C05F8DA9401ABC63FFB3EFC7C763"/>
              </w:placeholder>
              <w:text/>
            </w:sdtPr>
            <w:sdtEndPr/>
            <w:sdtContent>
              <w:p w14:paraId="178ADB60" w14:textId="77777777" w:rsidR="003715BD" w:rsidRPr="003715BD" w:rsidRDefault="00FC546A" w:rsidP="00FC546A">
                <w:pPr>
                  <w:pStyle w:val="IATableLabel"/>
                </w:pPr>
                <w:r>
                  <w:t>N/A</w:t>
                </w:r>
              </w:p>
            </w:sdtContent>
          </w:sdt>
        </w:tc>
        <w:tc>
          <w:tcPr>
            <w:tcW w:w="1618" w:type="dxa"/>
            <w:gridSpan w:val="2"/>
            <w:tcBorders>
              <w:top w:val="single" w:sz="4" w:space="0" w:color="auto"/>
              <w:left w:val="single" w:sz="4" w:space="0" w:color="auto"/>
              <w:bottom w:val="single" w:sz="4" w:space="0" w:color="auto"/>
              <w:right w:val="single" w:sz="4" w:space="0" w:color="auto"/>
            </w:tcBorders>
            <w:shd w:val="clear" w:color="auto" w:fill="E0E0E0"/>
          </w:tcPr>
          <w:p w14:paraId="450EB5E9" w14:textId="77777777" w:rsidR="003715BD" w:rsidRDefault="003715BD" w:rsidP="003715BD">
            <w:pPr>
              <w:pStyle w:val="IATableHeading"/>
            </w:pPr>
            <w:r>
              <w:t>Non-traded:</w:t>
            </w:r>
          </w:p>
          <w:sdt>
            <w:sdtPr>
              <w:alias w:val="IACO2NonTraded"/>
              <w:tag w:val="IACO2NonTraded"/>
              <w:id w:val="335502836"/>
              <w:placeholder>
                <w:docPart w:val="1A9BEBB4FB1645AEB3D4412858E96F3E"/>
              </w:placeholder>
              <w:text/>
            </w:sdtPr>
            <w:sdtEndPr/>
            <w:sdtContent>
              <w:p w14:paraId="606582C9" w14:textId="77777777" w:rsidR="003715BD" w:rsidRPr="003715BD" w:rsidRDefault="00FC546A" w:rsidP="00FC546A">
                <w:pPr>
                  <w:pStyle w:val="IATableLabel"/>
                </w:pPr>
                <w:r>
                  <w:t>N/A</w:t>
                </w:r>
              </w:p>
            </w:sdtContent>
          </w:sdt>
        </w:tc>
      </w:tr>
      <w:bookmarkEnd w:id="6"/>
    </w:tbl>
    <w:p w14:paraId="7AB4032B" w14:textId="77777777" w:rsidR="005E4B5D" w:rsidRDefault="005E4B5D" w:rsidP="005E4B5D">
      <w:pPr>
        <w:pStyle w:val="IASpacer"/>
      </w:pPr>
    </w:p>
    <w:p w14:paraId="5C239E8C" w14:textId="77777777" w:rsidR="005748B0" w:rsidRDefault="005748B0" w:rsidP="005E4B5D">
      <w:pPr>
        <w:pStyle w:val="IASign-off"/>
      </w:pPr>
      <w:bookmarkStart w:id="10" w:name="EvidenceBulletEnd"/>
      <w:bookmarkStart w:id="11" w:name="SignOfftext"/>
      <w:bookmarkEnd w:id="10"/>
    </w:p>
    <w:p w14:paraId="66EA6FB8" w14:textId="77777777" w:rsidR="0007467B" w:rsidRPr="00DF2F4B" w:rsidRDefault="0007467B" w:rsidP="005E4B5D">
      <w:pPr>
        <w:pStyle w:val="IASign-off"/>
      </w:pPr>
      <w:r w:rsidRPr="007B7203">
        <w:t>I have read the Impact Assessment and I am satisfied that, given the available evidence, it represents a reasonable view of the likely costs, benefits and impact of the leading options.</w:t>
      </w:r>
    </w:p>
    <w:tbl>
      <w:tblPr>
        <w:tblW w:w="5000" w:type="pct"/>
        <w:tblLayout w:type="fixed"/>
        <w:tblCellMar>
          <w:left w:w="0" w:type="dxa"/>
          <w:right w:w="0" w:type="dxa"/>
        </w:tblCellMar>
        <w:tblLook w:val="0000" w:firstRow="0" w:lastRow="0" w:firstColumn="0" w:lastColumn="0" w:noHBand="0" w:noVBand="0"/>
      </w:tblPr>
      <w:tblGrid>
        <w:gridCol w:w="4679"/>
        <w:gridCol w:w="2552"/>
        <w:gridCol w:w="679"/>
        <w:gridCol w:w="2637"/>
      </w:tblGrid>
      <w:tr w:rsidR="0007467B" w14:paraId="359006B0" w14:textId="77777777" w:rsidTr="00594D7B">
        <w:trPr>
          <w:trHeight w:hRule="exact" w:val="767"/>
        </w:trPr>
        <w:tc>
          <w:tcPr>
            <w:tcW w:w="2218" w:type="pct"/>
            <w:vAlign w:val="bottom"/>
          </w:tcPr>
          <w:p w14:paraId="4ACCE3A6" w14:textId="77777777" w:rsidR="0007467B" w:rsidRPr="00055A40" w:rsidRDefault="0007467B" w:rsidP="00594D7B">
            <w:pPr>
              <w:pStyle w:val="IATableHeading"/>
            </w:pPr>
            <w:r w:rsidRPr="00055A40">
              <w:t xml:space="preserve">Signed by the responsible </w:t>
            </w:r>
            <w:r w:rsidRPr="00055A40">
              <w:fldChar w:fldCharType="begin">
                <w:ffData>
                  <w:name w:val="IASignedBy"/>
                  <w:enabled/>
                  <w:calcOnExit w:val="0"/>
                  <w:ddList>
                    <w:listEntry w:val="SELECT SIGNATORY"/>
                    <w:listEntry w:val="Chair"/>
                    <w:listEntry w:val="Chief Executive"/>
                    <w:listEntry w:val="Minister"/>
                  </w:ddList>
                </w:ffData>
              </w:fldChar>
            </w:r>
            <w:r w:rsidRPr="00055A40">
              <w:instrText xml:space="preserve"> FORMDROPDOWN </w:instrText>
            </w:r>
            <w:r w:rsidR="00784110">
              <w:fldChar w:fldCharType="separate"/>
            </w:r>
            <w:r w:rsidRPr="00055A40">
              <w:fldChar w:fldCharType="end"/>
            </w:r>
            <w:r w:rsidRPr="00055A40">
              <w:t>:</w:t>
            </w:r>
          </w:p>
        </w:tc>
        <w:tc>
          <w:tcPr>
            <w:tcW w:w="1210" w:type="pct"/>
            <w:tcBorders>
              <w:bottom w:val="dashSmallGap" w:sz="4" w:space="0" w:color="auto"/>
            </w:tcBorders>
            <w:vAlign w:val="bottom"/>
          </w:tcPr>
          <w:p w14:paraId="3146302C" w14:textId="77777777" w:rsidR="0007467B" w:rsidRPr="00055A40" w:rsidRDefault="0007467B" w:rsidP="00F6316C">
            <w:pPr>
              <w:pStyle w:val="IATableHeading"/>
              <w:jc w:val="center"/>
            </w:pPr>
          </w:p>
        </w:tc>
        <w:tc>
          <w:tcPr>
            <w:tcW w:w="322" w:type="pct"/>
            <w:vAlign w:val="bottom"/>
          </w:tcPr>
          <w:p w14:paraId="6CB2CBCB" w14:textId="77777777" w:rsidR="0007467B" w:rsidRPr="00055A40" w:rsidRDefault="0007467B" w:rsidP="00594D7B">
            <w:pPr>
              <w:pStyle w:val="IATableHeading"/>
            </w:pPr>
            <w:r w:rsidRPr="00055A40">
              <w:t> Date</w:t>
            </w:r>
            <w:r>
              <w:t xml:space="preserve"> : </w:t>
            </w:r>
          </w:p>
        </w:tc>
        <w:tc>
          <w:tcPr>
            <w:tcW w:w="1250" w:type="pct"/>
            <w:tcBorders>
              <w:bottom w:val="dashSmallGap" w:sz="4" w:space="0" w:color="auto"/>
            </w:tcBorders>
            <w:vAlign w:val="bottom"/>
          </w:tcPr>
          <w:p w14:paraId="22411359" w14:textId="77777777" w:rsidR="0007467B" w:rsidRPr="00055A40" w:rsidRDefault="00784110" w:rsidP="005308E6">
            <w:pPr>
              <w:pStyle w:val="IAIOSigDate"/>
            </w:pPr>
            <w:sdt>
              <w:sdtPr>
                <w:alias w:val="SigDate"/>
                <w:tag w:val="SigDate"/>
                <w:id w:val="-315489572"/>
                <w:placeholder>
                  <w:docPart w:val="A95BE3BC291848E88C3E41FB52861B1D"/>
                </w:placeholder>
                <w:showingPlcHdr/>
                <w:date>
                  <w:dateFormat w:val="dd MMMM yyyy"/>
                  <w:lid w:val="en-GB"/>
                  <w:storeMappedDataAs w:val="dateTime"/>
                  <w:calendar w:val="gregorian"/>
                </w:date>
              </w:sdtPr>
              <w:sdtEndPr/>
              <w:sdtContent>
                <w:r w:rsidR="005308E6">
                  <w:rPr>
                    <w:rStyle w:val="PlaceholderText"/>
                  </w:rPr>
                  <w:t>En</w:t>
                </w:r>
                <w:r w:rsidR="005308E6" w:rsidRPr="00C13701">
                  <w:rPr>
                    <w:rStyle w:val="PlaceholderText"/>
                  </w:rPr>
                  <w:t>ter a date</w:t>
                </w:r>
              </w:sdtContent>
            </w:sdt>
          </w:p>
        </w:tc>
      </w:tr>
      <w:bookmarkEnd w:id="11"/>
    </w:tbl>
    <w:p w14:paraId="715D611B" w14:textId="77777777" w:rsidR="0007467B" w:rsidRDefault="0007467B" w:rsidP="005A3880">
      <w:pPr>
        <w:pStyle w:val="Heading1"/>
        <w:sectPr w:rsidR="0007467B" w:rsidSect="00376C65">
          <w:headerReference w:type="default" r:id="rId8"/>
          <w:footerReference w:type="default" r:id="rId9"/>
          <w:footnotePr>
            <w:numRestart w:val="eachSect"/>
          </w:footnotePr>
          <w:type w:val="continuous"/>
          <w:pgSz w:w="11907" w:h="16840" w:code="9"/>
          <w:pgMar w:top="680" w:right="680" w:bottom="680" w:left="680" w:header="284" w:footer="284" w:gutter="0"/>
          <w:cols w:space="708"/>
          <w:docGrid w:linePitch="360"/>
        </w:sectPr>
      </w:pPr>
    </w:p>
    <w:p w14:paraId="26633A7A" w14:textId="1368D018" w:rsidR="007D5347" w:rsidRDefault="007D5347" w:rsidP="009B24BC">
      <w:pPr>
        <w:pStyle w:val="Heading1"/>
        <w:tabs>
          <w:tab w:val="clear" w:pos="10206"/>
          <w:tab w:val="right" w:pos="10490"/>
        </w:tabs>
      </w:pPr>
      <w:r w:rsidRPr="00475400">
        <w:rPr>
          <w:rFonts w:ascii="Arial" w:hAnsi="Arial"/>
        </w:rPr>
        <w:lastRenderedPageBreak/>
        <w:t>Summary: Analysis &amp; Evidence</w:t>
      </w:r>
      <w:r>
        <w:tab/>
      </w:r>
      <w:r w:rsidRPr="00511814">
        <w:rPr>
          <w:rFonts w:ascii="Arial" w:hAnsi="Arial"/>
          <w:b w:val="0"/>
        </w:rPr>
        <w:t xml:space="preserve">Policy Option </w:t>
      </w:r>
      <w:r w:rsidR="00BD5482">
        <w:rPr>
          <w:rFonts w:ascii="Arial" w:hAnsi="Arial"/>
          <w:b w:val="0"/>
        </w:rPr>
        <w:t>1</w:t>
      </w:r>
    </w:p>
    <w:p w14:paraId="47C722ED" w14:textId="77777777" w:rsidR="007D5347" w:rsidRPr="007A73C6" w:rsidRDefault="007D5347" w:rsidP="007A73C6">
      <w:pPr>
        <w:pStyle w:val="IAHeadLab"/>
        <w:spacing w:before="60" w:after="60"/>
        <w:rPr>
          <w:rStyle w:val="IAHeadLabChar"/>
        </w:rPr>
      </w:pPr>
      <w:r w:rsidRPr="00892576">
        <w:t>Description:</w:t>
      </w:r>
      <w:r w:rsidRPr="007A73C6">
        <w:rPr>
          <w:rStyle w:val="IAHeadLabChar"/>
        </w:rPr>
        <w:t xml:space="preserve"> </w:t>
      </w:r>
      <w:r w:rsidR="007A73C6">
        <w:rPr>
          <w:rStyle w:val="IAHeadLabChar"/>
          <w:b/>
        </w:rPr>
        <w:t xml:space="preserve"> </w:t>
      </w:r>
      <w:sdt>
        <w:sdtPr>
          <w:rPr>
            <w:rStyle w:val="IAHeadLabChar"/>
            <w:b/>
          </w:rPr>
          <w:id w:val="-1582912138"/>
          <w:placeholder>
            <w:docPart w:val="59CD9054018E4909B6DEFDF704221B41"/>
          </w:placeholder>
          <w:text/>
        </w:sdtPr>
        <w:sdtEndPr>
          <w:rPr>
            <w:rStyle w:val="IAHeadLabChar"/>
          </w:rPr>
        </w:sdtEndPr>
        <w:sdtContent>
          <w:r w:rsidR="000F4745" w:rsidRPr="000F4745">
            <w:rPr>
              <w:rStyle w:val="IAHeadLabChar"/>
              <w:b/>
            </w:rPr>
            <w:t>Tailored amendment of the Regulations to achieve improvements in key safety areas</w:t>
          </w:r>
        </w:sdtContent>
      </w:sdt>
    </w:p>
    <w:p w14:paraId="3D93B850" w14:textId="77777777" w:rsidR="007D5347" w:rsidRDefault="007D5347" w:rsidP="00511814">
      <w:pPr>
        <w:pStyle w:val="IATableHeading"/>
      </w:pPr>
      <w:r>
        <w:t>FULL ECONOMIC ASSESSMENT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113" w:type="dxa"/>
          <w:bottom w:w="28" w:type="dxa"/>
          <w:right w:w="113" w:type="dxa"/>
        </w:tblCellMar>
        <w:tblLook w:val="01E0" w:firstRow="1" w:lastRow="1" w:firstColumn="1" w:lastColumn="1" w:noHBand="0" w:noVBand="0"/>
      </w:tblPr>
      <w:tblGrid>
        <w:gridCol w:w="1302"/>
        <w:gridCol w:w="1298"/>
        <w:gridCol w:w="1481"/>
        <w:gridCol w:w="1851"/>
        <w:gridCol w:w="1878"/>
        <w:gridCol w:w="2707"/>
      </w:tblGrid>
      <w:tr w:rsidR="007D5347" w:rsidRPr="007E190E" w14:paraId="3950CCBA" w14:textId="77777777" w:rsidTr="007A73C6">
        <w:trPr>
          <w:trHeight w:val="20"/>
        </w:trPr>
        <w:tc>
          <w:tcPr>
            <w:tcW w:w="619" w:type="pct"/>
            <w:vMerge w:val="restart"/>
            <w:shd w:val="clear" w:color="auto" w:fill="auto"/>
            <w:vAlign w:val="center"/>
          </w:tcPr>
          <w:p w14:paraId="6712A336" w14:textId="77777777" w:rsidR="007D5347" w:rsidRPr="007A73C6" w:rsidRDefault="007D5347" w:rsidP="007A73C6">
            <w:pPr>
              <w:pStyle w:val="IATableHeading"/>
            </w:pPr>
            <w:r w:rsidRPr="00826F71">
              <w:t>Price Base Year</w:t>
            </w:r>
            <w:r w:rsidR="007A73C6">
              <w:t xml:space="preserve">: </w:t>
            </w:r>
            <w:sdt>
              <w:sdtPr>
                <w:alias w:val="PriceBaseYear"/>
                <w:tag w:val="PriceBaseYear"/>
                <w:id w:val="-198707286"/>
                <w:placeholder>
                  <w:docPart w:val="BC3FC203C5294AFE933B49F4B24D436A"/>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F8451D">
                  <w:t>2017</w:t>
                </w:r>
              </w:sdtContent>
            </w:sdt>
          </w:p>
        </w:tc>
        <w:tc>
          <w:tcPr>
            <w:tcW w:w="617" w:type="pct"/>
            <w:vMerge w:val="restart"/>
            <w:shd w:val="clear" w:color="auto" w:fill="auto"/>
            <w:vAlign w:val="center"/>
          </w:tcPr>
          <w:p w14:paraId="510C39C4" w14:textId="77777777" w:rsidR="007D5347" w:rsidRPr="00826F71" w:rsidRDefault="007D5347" w:rsidP="007A73C6">
            <w:pPr>
              <w:pStyle w:val="IATableHeading"/>
            </w:pPr>
            <w:r w:rsidRPr="00826F71">
              <w:t>PV Base Year</w:t>
            </w:r>
            <w:r w:rsidR="007A73C6">
              <w:t xml:space="preserve">: </w:t>
            </w:r>
            <w:sdt>
              <w:sdtPr>
                <w:alias w:val="PVBaseYear"/>
                <w:tag w:val="PVBaseYear"/>
                <w:id w:val="871192663"/>
                <w:placeholder>
                  <w:docPart w:val="B3E91D0E9E1D45FDAD9704B463727AE0"/>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00290D32">
                  <w:t>2019</w:t>
                </w:r>
              </w:sdtContent>
            </w:sdt>
          </w:p>
        </w:tc>
        <w:tc>
          <w:tcPr>
            <w:tcW w:w="704" w:type="pct"/>
            <w:vMerge w:val="restart"/>
            <w:shd w:val="clear" w:color="auto" w:fill="auto"/>
            <w:vAlign w:val="center"/>
          </w:tcPr>
          <w:p w14:paraId="5D10E44D" w14:textId="77777777" w:rsidR="007D5347" w:rsidRPr="007A73C6" w:rsidRDefault="007D5347" w:rsidP="007A73C6">
            <w:pPr>
              <w:pStyle w:val="IATableHeading"/>
              <w:rPr>
                <w:b w:val="0"/>
              </w:rPr>
            </w:pPr>
            <w:r w:rsidRPr="00826F71">
              <w:t>Time Period Years</w:t>
            </w:r>
            <w:r w:rsidR="007A73C6">
              <w:t xml:space="preserve">: </w:t>
            </w:r>
            <w:sdt>
              <w:sdtPr>
                <w:id w:val="-1161151631"/>
                <w:placeholder>
                  <w:docPart w:val="3F8BD1DBBE084CCFA3AC107E95D3A273"/>
                </w:placeholder>
              </w:sdtPr>
              <w:sdtEndPr/>
              <w:sdtContent>
                <w:r w:rsidR="00792A9A">
                  <w:t>10</w:t>
                </w:r>
              </w:sdtContent>
            </w:sdt>
          </w:p>
        </w:tc>
        <w:tc>
          <w:tcPr>
            <w:tcW w:w="3060" w:type="pct"/>
            <w:gridSpan w:val="3"/>
            <w:shd w:val="clear" w:color="auto" w:fill="FFFFFF"/>
          </w:tcPr>
          <w:p w14:paraId="6C133E7A" w14:textId="77777777" w:rsidR="007D5347" w:rsidRPr="00826F71" w:rsidRDefault="007D5347" w:rsidP="000944C1">
            <w:pPr>
              <w:pStyle w:val="IATableHeading"/>
              <w:jc w:val="center"/>
            </w:pPr>
            <w:r w:rsidRPr="00826F71">
              <w:t xml:space="preserve">Net </w:t>
            </w:r>
            <w:r w:rsidRPr="0075393B">
              <w:t>B</w:t>
            </w:r>
            <w:r w:rsidRPr="00826F71">
              <w:t>enefit (</w:t>
            </w:r>
            <w:r>
              <w:t>Present Value (</w:t>
            </w:r>
            <w:r w:rsidRPr="00826F71">
              <w:t>PV</w:t>
            </w:r>
            <w:r>
              <w:t>)</w:t>
            </w:r>
            <w:r w:rsidRPr="00826F71">
              <w:t>)</w:t>
            </w:r>
            <w:r>
              <w:t xml:space="preserve"> (£m)</w:t>
            </w:r>
          </w:p>
        </w:tc>
      </w:tr>
      <w:tr w:rsidR="007D5347" w:rsidRPr="007E190E" w14:paraId="352D9102" w14:textId="77777777" w:rsidTr="009B24BC">
        <w:trPr>
          <w:trHeight w:val="20"/>
        </w:trPr>
        <w:tc>
          <w:tcPr>
            <w:tcW w:w="619" w:type="pct"/>
            <w:vMerge/>
            <w:shd w:val="clear" w:color="auto" w:fill="auto"/>
          </w:tcPr>
          <w:p w14:paraId="6BCABF87" w14:textId="77777777" w:rsidR="007D5347" w:rsidRPr="007E190E" w:rsidRDefault="007D5347" w:rsidP="000944C1">
            <w:pPr>
              <w:rPr>
                <w:b/>
                <w:sz w:val="20"/>
              </w:rPr>
            </w:pPr>
          </w:p>
        </w:tc>
        <w:tc>
          <w:tcPr>
            <w:tcW w:w="617" w:type="pct"/>
            <w:vMerge/>
            <w:shd w:val="clear" w:color="auto" w:fill="auto"/>
          </w:tcPr>
          <w:p w14:paraId="5C229494" w14:textId="77777777" w:rsidR="007D5347" w:rsidRPr="007E190E" w:rsidRDefault="007D5347" w:rsidP="000944C1">
            <w:pPr>
              <w:rPr>
                <w:b/>
                <w:sz w:val="20"/>
              </w:rPr>
            </w:pPr>
          </w:p>
        </w:tc>
        <w:tc>
          <w:tcPr>
            <w:tcW w:w="704" w:type="pct"/>
            <w:vMerge/>
            <w:shd w:val="clear" w:color="auto" w:fill="auto"/>
          </w:tcPr>
          <w:p w14:paraId="35AAD964" w14:textId="77777777" w:rsidR="007D5347" w:rsidRPr="007E190E" w:rsidRDefault="007D5347" w:rsidP="000944C1">
            <w:pPr>
              <w:rPr>
                <w:b/>
                <w:sz w:val="20"/>
              </w:rPr>
            </w:pPr>
          </w:p>
        </w:tc>
        <w:tc>
          <w:tcPr>
            <w:tcW w:w="880" w:type="pct"/>
            <w:shd w:val="clear" w:color="auto" w:fill="auto"/>
          </w:tcPr>
          <w:p w14:paraId="7662B32E" w14:textId="77777777" w:rsidR="007D5347" w:rsidRPr="007E190E" w:rsidRDefault="007D5347" w:rsidP="00C62A9A">
            <w:pPr>
              <w:pStyle w:val="IATableHeading"/>
              <w:rPr>
                <w:bCs/>
              </w:rPr>
            </w:pPr>
            <w:r w:rsidRPr="00304C1D">
              <w:t>Low:</w:t>
            </w:r>
            <w:r w:rsidRPr="00C62A9A">
              <w:rPr>
                <w:b w:val="0"/>
              </w:rPr>
              <w:t xml:space="preserve"> </w:t>
            </w:r>
            <w:sdt>
              <w:sdtPr>
                <w:rPr>
                  <w:rStyle w:val="IATableLabelCharChar"/>
                  <w:b w:val="0"/>
                </w:rPr>
                <w:id w:val="708615138"/>
                <w:placeholder>
                  <w:docPart w:val="763122592DE84B1C9D8E1B2726A1A770"/>
                </w:placeholder>
              </w:sdtPr>
              <w:sdtEndPr>
                <w:rPr>
                  <w:rStyle w:val="DefaultParagraphFont"/>
                </w:rPr>
              </w:sdtEndPr>
              <w:sdtContent>
                <w:r w:rsidR="0057382C">
                  <w:rPr>
                    <w:rStyle w:val="IATableLabelCharChar"/>
                    <w:b w:val="0"/>
                  </w:rPr>
                  <w:t>0.1</w:t>
                </w:r>
              </w:sdtContent>
            </w:sdt>
          </w:p>
        </w:tc>
        <w:tc>
          <w:tcPr>
            <w:tcW w:w="893" w:type="pct"/>
            <w:shd w:val="clear" w:color="auto" w:fill="auto"/>
          </w:tcPr>
          <w:p w14:paraId="4380F475" w14:textId="77777777" w:rsidR="007D5347" w:rsidRPr="007E190E" w:rsidRDefault="007D5347" w:rsidP="00356715">
            <w:pPr>
              <w:pStyle w:val="IATableHeading"/>
              <w:rPr>
                <w:rFonts w:cs="Arial"/>
                <w:bCs/>
                <w:szCs w:val="18"/>
              </w:rPr>
            </w:pPr>
            <w:r w:rsidRPr="00304C1D">
              <w:t>High:</w:t>
            </w:r>
            <w:r w:rsidR="00C62A9A" w:rsidRPr="00C62A9A">
              <w:rPr>
                <w:b w:val="0"/>
              </w:rPr>
              <w:t xml:space="preserve"> </w:t>
            </w:r>
            <w:sdt>
              <w:sdtPr>
                <w:rPr>
                  <w:rStyle w:val="IATableLabelCharChar"/>
                  <w:b w:val="0"/>
                </w:rPr>
                <w:id w:val="405884576"/>
                <w:placeholder>
                  <w:docPart w:val="A01AD2298B30492892C35CBEE78BABA9"/>
                </w:placeholder>
              </w:sdtPr>
              <w:sdtEndPr>
                <w:rPr>
                  <w:rStyle w:val="DefaultParagraphFont"/>
                </w:rPr>
              </w:sdtEndPr>
              <w:sdtContent>
                <w:r w:rsidR="00356715">
                  <w:rPr>
                    <w:rStyle w:val="IATableLabelCharChar"/>
                    <w:b w:val="0"/>
                  </w:rPr>
                  <w:t>-</w:t>
                </w:r>
                <w:r w:rsidR="0057382C">
                  <w:rPr>
                    <w:rStyle w:val="IATableLabelCharChar"/>
                    <w:b w:val="0"/>
                  </w:rPr>
                  <w:t>11.2</w:t>
                </w:r>
              </w:sdtContent>
            </w:sdt>
          </w:p>
        </w:tc>
        <w:tc>
          <w:tcPr>
            <w:tcW w:w="1287" w:type="pct"/>
            <w:shd w:val="clear" w:color="auto" w:fill="FFFFFF"/>
          </w:tcPr>
          <w:p w14:paraId="452EF303" w14:textId="77777777" w:rsidR="007D5347" w:rsidRPr="007E190E" w:rsidRDefault="007D5347" w:rsidP="000944C1">
            <w:pPr>
              <w:pStyle w:val="IATableHeading"/>
              <w:rPr>
                <w:szCs w:val="18"/>
              </w:rPr>
            </w:pPr>
            <w:r w:rsidRPr="00304C1D">
              <w:t xml:space="preserve">Best </w:t>
            </w:r>
            <w:r>
              <w:t>E</w:t>
            </w:r>
            <w:r w:rsidRPr="00304C1D">
              <w:t>stimate:</w:t>
            </w:r>
            <w:r w:rsidR="00C62A9A" w:rsidRPr="00C62A9A">
              <w:rPr>
                <w:b w:val="0"/>
              </w:rPr>
              <w:t xml:space="preserve"> </w:t>
            </w:r>
            <w:sdt>
              <w:sdtPr>
                <w:rPr>
                  <w:rStyle w:val="IATableLabelCharChar"/>
                  <w:b w:val="0"/>
                </w:rPr>
                <w:id w:val="-250732311"/>
                <w:placeholder>
                  <w:docPart w:val="837CBDFE84CB4988804666E24A2C133A"/>
                </w:placeholder>
              </w:sdtPr>
              <w:sdtEndPr>
                <w:rPr>
                  <w:rStyle w:val="DefaultParagraphFont"/>
                </w:rPr>
              </w:sdtEndPr>
              <w:sdtContent>
                <w:r w:rsidR="00356715">
                  <w:rPr>
                    <w:rStyle w:val="IATableLabelCharChar"/>
                    <w:b w:val="0"/>
                  </w:rPr>
                  <w:t>-</w:t>
                </w:r>
                <w:r w:rsidR="0057382C">
                  <w:rPr>
                    <w:rStyle w:val="IATableLabelCharChar"/>
                    <w:b w:val="0"/>
                  </w:rPr>
                  <w:t>5.6</w:t>
                </w:r>
              </w:sdtContent>
            </w:sdt>
          </w:p>
        </w:tc>
      </w:tr>
    </w:tbl>
    <w:p w14:paraId="3020C82E" w14:textId="77777777" w:rsidR="007D5347" w:rsidRPr="00511814" w:rsidRDefault="007D5347" w:rsidP="00511814">
      <w:pPr>
        <w:pStyle w:val="IASpace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5" w:type="dxa"/>
          <w:left w:w="113" w:type="dxa"/>
          <w:bottom w:w="45" w:type="dxa"/>
          <w:right w:w="113" w:type="dxa"/>
        </w:tblCellMar>
        <w:tblLook w:val="0620" w:firstRow="1" w:lastRow="0" w:firstColumn="0" w:lastColumn="0" w:noHBand="1" w:noVBand="1"/>
      </w:tblPr>
      <w:tblGrid>
        <w:gridCol w:w="2049"/>
        <w:gridCol w:w="2003"/>
        <w:gridCol w:w="812"/>
        <w:gridCol w:w="2944"/>
        <w:gridCol w:w="1825"/>
        <w:gridCol w:w="884"/>
      </w:tblGrid>
      <w:tr w:rsidR="007D5347" w:rsidRPr="007E190E" w14:paraId="703CBA21" w14:textId="77777777" w:rsidTr="00594D7B">
        <w:tc>
          <w:tcPr>
            <w:tcW w:w="2049" w:type="dxa"/>
            <w:shd w:val="clear" w:color="auto" w:fill="FFFFFF"/>
          </w:tcPr>
          <w:p w14:paraId="74AC4701" w14:textId="77777777" w:rsidR="007D5347" w:rsidRPr="00133095" w:rsidRDefault="007D5347" w:rsidP="00133095">
            <w:pPr>
              <w:pStyle w:val="IATOM"/>
            </w:pPr>
            <w:r w:rsidRPr="00133095">
              <w:t>COSTS (£m)</w:t>
            </w:r>
          </w:p>
        </w:tc>
        <w:tc>
          <w:tcPr>
            <w:tcW w:w="2815" w:type="dxa"/>
            <w:gridSpan w:val="2"/>
            <w:tcBorders>
              <w:top w:val="single" w:sz="12" w:space="0" w:color="auto"/>
              <w:bottom w:val="single" w:sz="6" w:space="0" w:color="auto"/>
            </w:tcBorders>
            <w:shd w:val="clear" w:color="auto" w:fill="auto"/>
          </w:tcPr>
          <w:p w14:paraId="102CD758" w14:textId="77777777" w:rsidR="007D5347" w:rsidRDefault="007D5347" w:rsidP="00133095">
            <w:pPr>
              <w:pStyle w:val="IATableHeading"/>
              <w:jc w:val="right"/>
            </w:pPr>
            <w:r w:rsidRPr="00826F71">
              <w:t xml:space="preserve">Total Transition </w:t>
            </w:r>
          </w:p>
          <w:p w14:paraId="234E06B0" w14:textId="77777777" w:rsidR="007D5347" w:rsidRPr="00826F71" w:rsidRDefault="007D5347" w:rsidP="00133095">
            <w:pPr>
              <w:pStyle w:val="IATableHeading"/>
              <w:jc w:val="right"/>
            </w:pPr>
            <w:r w:rsidRPr="00475400">
              <w:rPr>
                <w:b w:val="0"/>
                <w:sz w:val="16"/>
                <w:szCs w:val="18"/>
              </w:rPr>
              <w:t>(Constant Price)</w:t>
            </w:r>
            <w:r w:rsidRPr="00475400">
              <w:rPr>
                <w:b w:val="0"/>
                <w:sz w:val="18"/>
              </w:rPr>
              <w:tab/>
              <w:t xml:space="preserve">  </w:t>
            </w:r>
            <w:r w:rsidRPr="00475400">
              <w:rPr>
                <w:b w:val="0"/>
                <w:sz w:val="16"/>
                <w:szCs w:val="18"/>
              </w:rPr>
              <w:t>Yea</w:t>
            </w:r>
            <w:r w:rsidRPr="00475400">
              <w:rPr>
                <w:b w:val="0"/>
                <w:bCs/>
                <w:sz w:val="16"/>
                <w:szCs w:val="18"/>
              </w:rPr>
              <w:t>r</w:t>
            </w:r>
            <w:r w:rsidRPr="00475400">
              <w:rPr>
                <w:b w:val="0"/>
                <w:sz w:val="16"/>
                <w:szCs w:val="18"/>
              </w:rPr>
              <w:t>s</w:t>
            </w:r>
          </w:p>
        </w:tc>
        <w:tc>
          <w:tcPr>
            <w:tcW w:w="2944" w:type="dxa"/>
            <w:tcBorders>
              <w:bottom w:val="single" w:sz="6" w:space="0" w:color="auto"/>
              <w:right w:val="single" w:sz="12" w:space="0" w:color="auto"/>
            </w:tcBorders>
            <w:shd w:val="clear" w:color="auto" w:fill="auto"/>
          </w:tcPr>
          <w:p w14:paraId="03635EDD" w14:textId="77777777" w:rsidR="007D5347" w:rsidRPr="007E190E" w:rsidRDefault="007D5347" w:rsidP="00133095">
            <w:pPr>
              <w:pStyle w:val="IATableHeading"/>
              <w:jc w:val="right"/>
              <w:rPr>
                <w:rFonts w:cs="Arial"/>
                <w:bCs/>
              </w:rPr>
            </w:pPr>
            <w:r w:rsidRPr="00826F71">
              <w:t>Average Annual</w:t>
            </w:r>
            <w:r w:rsidRPr="000C031E">
              <w:t xml:space="preserve"> </w:t>
            </w:r>
            <w:r>
              <w:br/>
            </w:r>
            <w:r w:rsidRPr="00475400">
              <w:rPr>
                <w:b w:val="0"/>
                <w:sz w:val="16"/>
              </w:rPr>
              <w:t xml:space="preserve">(excl. Transition) </w:t>
            </w:r>
            <w:r w:rsidRPr="00475400">
              <w:rPr>
                <w:rFonts w:cs="Arial"/>
                <w:b w:val="0"/>
                <w:bCs/>
                <w:sz w:val="16"/>
              </w:rPr>
              <w:t>(Constant Price)</w:t>
            </w:r>
          </w:p>
        </w:tc>
        <w:tc>
          <w:tcPr>
            <w:tcW w:w="2709" w:type="dxa"/>
            <w:gridSpan w:val="2"/>
            <w:tcBorders>
              <w:top w:val="single" w:sz="12" w:space="0" w:color="auto"/>
              <w:left w:val="single" w:sz="12" w:space="0" w:color="auto"/>
              <w:bottom w:val="single" w:sz="6" w:space="0" w:color="auto"/>
            </w:tcBorders>
            <w:shd w:val="clear" w:color="auto" w:fill="auto"/>
          </w:tcPr>
          <w:p w14:paraId="163AFE5C" w14:textId="77777777" w:rsidR="007D5347" w:rsidRPr="00826F71" w:rsidRDefault="007D5347" w:rsidP="00133095">
            <w:pPr>
              <w:pStyle w:val="IATableHeading"/>
              <w:jc w:val="right"/>
            </w:pPr>
            <w:r w:rsidRPr="00826F71">
              <w:t>Total Cost</w:t>
            </w:r>
            <w:r w:rsidRPr="007E190E">
              <w:t xml:space="preserve"> </w:t>
            </w:r>
            <w:r w:rsidRPr="007E190E">
              <w:br/>
            </w:r>
            <w:r w:rsidRPr="00475400">
              <w:rPr>
                <w:b w:val="0"/>
                <w:sz w:val="16"/>
              </w:rPr>
              <w:t>(Present Value)</w:t>
            </w:r>
          </w:p>
        </w:tc>
      </w:tr>
      <w:tr w:rsidR="007D5347" w:rsidRPr="007E190E" w14:paraId="4FBFF627" w14:textId="77777777" w:rsidTr="00594D7B">
        <w:tc>
          <w:tcPr>
            <w:tcW w:w="2049" w:type="dxa"/>
            <w:tcBorders>
              <w:top w:val="single" w:sz="6" w:space="0" w:color="auto"/>
              <w:bottom w:val="single" w:sz="6" w:space="0" w:color="auto"/>
            </w:tcBorders>
            <w:shd w:val="clear" w:color="auto" w:fill="auto"/>
            <w:vAlign w:val="center"/>
          </w:tcPr>
          <w:p w14:paraId="64BD725B" w14:textId="77777777" w:rsidR="007D5347" w:rsidRPr="00F63895" w:rsidRDefault="007D5347" w:rsidP="00133095">
            <w:pPr>
              <w:pStyle w:val="IATableHeading"/>
            </w:pPr>
            <w:r w:rsidRPr="00F63895">
              <w:t xml:space="preserve">Low </w:t>
            </w:r>
          </w:p>
        </w:tc>
        <w:tc>
          <w:tcPr>
            <w:tcW w:w="2003" w:type="dxa"/>
            <w:tcBorders>
              <w:top w:val="single" w:sz="6" w:space="0" w:color="auto"/>
              <w:bottom w:val="single" w:sz="6" w:space="0" w:color="auto"/>
            </w:tcBorders>
            <w:shd w:val="clear" w:color="auto" w:fill="auto"/>
            <w:vAlign w:val="center"/>
          </w:tcPr>
          <w:p w14:paraId="52D8FC54" w14:textId="77777777" w:rsidR="007D5347" w:rsidRPr="00CB1671" w:rsidRDefault="00784110" w:rsidP="009F082F">
            <w:pPr>
              <w:pStyle w:val="POTPY"/>
              <w:rPr>
                <w:highlight w:val="yellow"/>
              </w:rPr>
            </w:pPr>
            <w:sdt>
              <w:sdtPr>
                <w:rPr>
                  <w:rStyle w:val="PlaceholderText"/>
                </w:rPr>
                <w:id w:val="-77830252"/>
                <w:placeholder>
                  <w:docPart w:val="E6DCD352E4194CD591BF2ABFAA421D5D"/>
                </w:placeholder>
                <w:text/>
              </w:sdtPr>
              <w:sdtEndPr>
                <w:rPr>
                  <w:rStyle w:val="PlaceholderText"/>
                </w:rPr>
              </w:sdtEndPr>
              <w:sdtContent>
                <w:r w:rsidR="000C608B" w:rsidRPr="000C608B">
                  <w:rPr>
                    <w:rStyle w:val="PlaceholderText"/>
                  </w:rPr>
                  <w:t>5.2</w:t>
                </w:r>
              </w:sdtContent>
            </w:sdt>
          </w:p>
        </w:tc>
        <w:tc>
          <w:tcPr>
            <w:tcW w:w="812" w:type="dxa"/>
            <w:vMerge w:val="restart"/>
            <w:tcBorders>
              <w:top w:val="single" w:sz="6" w:space="0" w:color="auto"/>
            </w:tcBorders>
            <w:shd w:val="clear" w:color="auto" w:fill="auto"/>
            <w:vAlign w:val="center"/>
          </w:tcPr>
          <w:p w14:paraId="6954F23D" w14:textId="77777777" w:rsidR="007D5347" w:rsidRPr="006C635C" w:rsidRDefault="00784110" w:rsidP="009F082F">
            <w:pPr>
              <w:pStyle w:val="POTPY"/>
              <w:jc w:val="center"/>
              <w:rPr>
                <w:highlight w:val="yellow"/>
              </w:rPr>
            </w:pPr>
            <w:sdt>
              <w:sdtPr>
                <w:id w:val="1979646714"/>
                <w:placeholder>
                  <w:docPart w:val="CAF8EE0CADAF4BC7AD35AF05722F472E"/>
                </w:placeholder>
                <w:text/>
              </w:sdtPr>
              <w:sdtEndPr/>
              <w:sdtContent>
                <w:r w:rsidR="00792A9A" w:rsidRPr="00563B31">
                  <w:rPr>
                    <w:rStyle w:val="PlaceholderText"/>
                  </w:rPr>
                  <w:t>1</w:t>
                </w:r>
              </w:sdtContent>
            </w:sdt>
          </w:p>
        </w:tc>
        <w:tc>
          <w:tcPr>
            <w:tcW w:w="2944" w:type="dxa"/>
            <w:tcBorders>
              <w:top w:val="single" w:sz="6" w:space="0" w:color="auto"/>
              <w:bottom w:val="single" w:sz="6" w:space="0" w:color="auto"/>
              <w:right w:val="single" w:sz="12" w:space="0" w:color="auto"/>
            </w:tcBorders>
            <w:shd w:val="clear" w:color="auto" w:fill="auto"/>
            <w:vAlign w:val="center"/>
          </w:tcPr>
          <w:p w14:paraId="7ADDF230" w14:textId="77777777" w:rsidR="007D5347" w:rsidRPr="000C608B" w:rsidRDefault="00784110" w:rsidP="00475400">
            <w:pPr>
              <w:pStyle w:val="POTPY"/>
            </w:pPr>
            <w:sdt>
              <w:sdtPr>
                <w:id w:val="-652059727"/>
                <w:placeholder>
                  <w:docPart w:val="4FE68B5B167A44DBA7BE25B0DECEEAC4"/>
                </w:placeholder>
                <w:text/>
              </w:sdtPr>
              <w:sdtEndPr/>
              <w:sdtContent>
                <w:r w:rsidR="000C608B" w:rsidRPr="000C608B">
                  <w:rPr>
                    <w:rStyle w:val="PlaceholderText"/>
                  </w:rPr>
                  <w:t>0.2</w:t>
                </w:r>
              </w:sdtContent>
            </w:sdt>
          </w:p>
        </w:tc>
        <w:tc>
          <w:tcPr>
            <w:tcW w:w="2709" w:type="dxa"/>
            <w:gridSpan w:val="2"/>
            <w:tcBorders>
              <w:top w:val="single" w:sz="6" w:space="0" w:color="auto"/>
              <w:left w:val="single" w:sz="12" w:space="0" w:color="auto"/>
              <w:bottom w:val="single" w:sz="6" w:space="0" w:color="auto"/>
            </w:tcBorders>
            <w:shd w:val="clear" w:color="auto" w:fill="auto"/>
            <w:vAlign w:val="center"/>
          </w:tcPr>
          <w:p w14:paraId="2FA10816" w14:textId="77777777" w:rsidR="007D5347" w:rsidRPr="00835802" w:rsidRDefault="00784110" w:rsidP="009F082F">
            <w:pPr>
              <w:pStyle w:val="POPVBY"/>
            </w:pPr>
            <w:sdt>
              <w:sdtPr>
                <w:id w:val="2075307757"/>
                <w:placeholder>
                  <w:docPart w:val="FAEA4048BF0C4905B6557C2D3A0DACA9"/>
                </w:placeholder>
                <w:text/>
              </w:sdtPr>
              <w:sdtEndPr/>
              <w:sdtContent>
                <w:r w:rsidR="00835802" w:rsidRPr="00835802">
                  <w:rPr>
                    <w:rStyle w:val="PlaceholderText"/>
                  </w:rPr>
                  <w:t>7.2</w:t>
                </w:r>
              </w:sdtContent>
            </w:sdt>
          </w:p>
        </w:tc>
      </w:tr>
      <w:tr w:rsidR="007D5347" w:rsidRPr="007E190E" w14:paraId="7EDD4162" w14:textId="77777777" w:rsidTr="00594D7B">
        <w:tc>
          <w:tcPr>
            <w:tcW w:w="2049" w:type="dxa"/>
            <w:tcBorders>
              <w:top w:val="single" w:sz="6" w:space="0" w:color="auto"/>
              <w:bottom w:val="single" w:sz="12" w:space="0" w:color="auto"/>
            </w:tcBorders>
            <w:shd w:val="clear" w:color="auto" w:fill="auto"/>
            <w:vAlign w:val="center"/>
          </w:tcPr>
          <w:p w14:paraId="12531EEC" w14:textId="77777777" w:rsidR="007D5347" w:rsidRPr="00F63895" w:rsidRDefault="007D5347" w:rsidP="00133095">
            <w:pPr>
              <w:pStyle w:val="IATableHeading"/>
            </w:pPr>
            <w:r w:rsidRPr="00F63895">
              <w:t xml:space="preserve">High </w:t>
            </w:r>
          </w:p>
        </w:tc>
        <w:tc>
          <w:tcPr>
            <w:tcW w:w="2003" w:type="dxa"/>
            <w:tcBorders>
              <w:top w:val="single" w:sz="6" w:space="0" w:color="auto"/>
              <w:bottom w:val="single" w:sz="12" w:space="0" w:color="auto"/>
            </w:tcBorders>
            <w:shd w:val="clear" w:color="auto" w:fill="auto"/>
            <w:vAlign w:val="center"/>
          </w:tcPr>
          <w:p w14:paraId="19D5F4AA" w14:textId="77777777" w:rsidR="007D5347" w:rsidRPr="00CB1671" w:rsidRDefault="00784110" w:rsidP="00475400">
            <w:pPr>
              <w:pStyle w:val="POTPY"/>
              <w:rPr>
                <w:highlight w:val="yellow"/>
              </w:rPr>
            </w:pPr>
            <w:sdt>
              <w:sdtPr>
                <w:rPr>
                  <w:rStyle w:val="PlaceholderText"/>
                </w:rPr>
                <w:id w:val="-1812019430"/>
                <w:placeholder>
                  <w:docPart w:val="0C619A7CB4F246368364B4E0022D126C"/>
                </w:placeholder>
                <w:text/>
              </w:sdtPr>
              <w:sdtEndPr>
                <w:rPr>
                  <w:rStyle w:val="PlaceholderText"/>
                </w:rPr>
              </w:sdtEndPr>
              <w:sdtContent>
                <w:r w:rsidR="000C608B">
                  <w:rPr>
                    <w:rStyle w:val="PlaceholderText"/>
                  </w:rPr>
                  <w:t>11.5</w:t>
                </w:r>
              </w:sdtContent>
            </w:sdt>
          </w:p>
        </w:tc>
        <w:tc>
          <w:tcPr>
            <w:tcW w:w="812" w:type="dxa"/>
            <w:vMerge/>
            <w:shd w:val="clear" w:color="auto" w:fill="FFFFFF"/>
            <w:vAlign w:val="center"/>
          </w:tcPr>
          <w:p w14:paraId="4017E8B0" w14:textId="77777777" w:rsidR="007D5347" w:rsidRPr="00CB1671" w:rsidRDefault="007D5347" w:rsidP="00475400">
            <w:pPr>
              <w:pStyle w:val="POTPY"/>
              <w:rPr>
                <w:highlight w:val="yellow"/>
              </w:rPr>
            </w:pPr>
          </w:p>
        </w:tc>
        <w:tc>
          <w:tcPr>
            <w:tcW w:w="2944" w:type="dxa"/>
            <w:tcBorders>
              <w:top w:val="single" w:sz="6" w:space="0" w:color="auto"/>
              <w:bottom w:val="single" w:sz="12" w:space="0" w:color="auto"/>
              <w:right w:val="single" w:sz="12" w:space="0" w:color="auto"/>
            </w:tcBorders>
            <w:shd w:val="clear" w:color="auto" w:fill="auto"/>
            <w:vAlign w:val="center"/>
          </w:tcPr>
          <w:p w14:paraId="704673FD" w14:textId="77777777" w:rsidR="007D5347" w:rsidRPr="000C608B" w:rsidRDefault="00784110" w:rsidP="00475400">
            <w:pPr>
              <w:pStyle w:val="POTPY"/>
            </w:pPr>
            <w:sdt>
              <w:sdtPr>
                <w:id w:val="1763879085"/>
                <w:placeholder>
                  <w:docPart w:val="8F9D84AB80074998A5E363FCB3155580"/>
                </w:placeholder>
                <w:text/>
              </w:sdtPr>
              <w:sdtEndPr/>
              <w:sdtContent>
                <w:r w:rsidR="000C608B" w:rsidRPr="000C608B">
                  <w:rPr>
                    <w:rStyle w:val="PlaceholderText"/>
                  </w:rPr>
                  <w:t>0.2</w:t>
                </w:r>
              </w:sdtContent>
            </w:sdt>
          </w:p>
        </w:tc>
        <w:tc>
          <w:tcPr>
            <w:tcW w:w="2709" w:type="dxa"/>
            <w:gridSpan w:val="2"/>
            <w:tcBorders>
              <w:top w:val="single" w:sz="6" w:space="0" w:color="auto"/>
              <w:left w:val="single" w:sz="12" w:space="0" w:color="auto"/>
              <w:bottom w:val="single" w:sz="12" w:space="0" w:color="auto"/>
            </w:tcBorders>
            <w:shd w:val="clear" w:color="auto" w:fill="auto"/>
            <w:vAlign w:val="center"/>
          </w:tcPr>
          <w:p w14:paraId="59DC98C2" w14:textId="77777777" w:rsidR="007D5347" w:rsidRPr="00835802" w:rsidRDefault="00784110" w:rsidP="00475400">
            <w:pPr>
              <w:pStyle w:val="POPVBY"/>
            </w:pPr>
            <w:sdt>
              <w:sdtPr>
                <w:id w:val="860249524"/>
                <w:placeholder>
                  <w:docPart w:val="6B54342D5ECC440EA3BC7D663C7E7C5C"/>
                </w:placeholder>
                <w:text/>
              </w:sdtPr>
              <w:sdtEndPr/>
              <w:sdtContent>
                <w:r w:rsidR="00835802" w:rsidRPr="00835802">
                  <w:rPr>
                    <w:rStyle w:val="PlaceholderText"/>
                  </w:rPr>
                  <w:t>13.6</w:t>
                </w:r>
              </w:sdtContent>
            </w:sdt>
          </w:p>
        </w:tc>
      </w:tr>
      <w:tr w:rsidR="007D5347" w:rsidRPr="007E190E" w14:paraId="3FB74ED3" w14:textId="77777777" w:rsidTr="000C608B">
        <w:tblPrEx>
          <w:tblCellMar>
            <w:left w:w="108" w:type="dxa"/>
            <w:right w:w="108" w:type="dxa"/>
          </w:tblCellMar>
        </w:tblPrEx>
        <w:tc>
          <w:tcPr>
            <w:tcW w:w="2049" w:type="dxa"/>
            <w:tcBorders>
              <w:top w:val="single" w:sz="12" w:space="0" w:color="auto"/>
              <w:bottom w:val="single" w:sz="12" w:space="0" w:color="auto"/>
              <w:right w:val="single" w:sz="12" w:space="0" w:color="auto"/>
            </w:tcBorders>
            <w:shd w:val="clear" w:color="auto" w:fill="FFFFFF"/>
            <w:vAlign w:val="center"/>
          </w:tcPr>
          <w:p w14:paraId="092256EC" w14:textId="77777777" w:rsidR="007D5347" w:rsidRPr="00133095" w:rsidRDefault="007D5347" w:rsidP="00133095">
            <w:pPr>
              <w:pStyle w:val="IATableHeading"/>
            </w:pPr>
            <w:r w:rsidRPr="00F63895">
              <w:t>Best Estimate</w:t>
            </w:r>
          </w:p>
        </w:tc>
        <w:tc>
          <w:tcPr>
            <w:tcW w:w="2003" w:type="dxa"/>
            <w:tcBorders>
              <w:top w:val="single" w:sz="12" w:space="0" w:color="auto"/>
              <w:left w:val="single" w:sz="12" w:space="0" w:color="auto"/>
              <w:bottom w:val="single" w:sz="12" w:space="0" w:color="auto"/>
              <w:right w:val="single" w:sz="12" w:space="0" w:color="auto"/>
            </w:tcBorders>
            <w:shd w:val="clear" w:color="auto" w:fill="FFFFFF"/>
            <w:vAlign w:val="center"/>
          </w:tcPr>
          <w:p w14:paraId="056D5B34" w14:textId="77777777" w:rsidR="007D5347" w:rsidRPr="006C635C" w:rsidRDefault="00784110" w:rsidP="009F082F">
            <w:pPr>
              <w:pStyle w:val="POTPY"/>
              <w:rPr>
                <w:highlight w:val="yellow"/>
              </w:rPr>
            </w:pPr>
            <w:sdt>
              <w:sdtPr>
                <w:rPr>
                  <w:rStyle w:val="PlaceholderText"/>
                </w:rPr>
                <w:id w:val="-449399305"/>
                <w:placeholder>
                  <w:docPart w:val="47C37EB670CE4B2EBE4170A913083196"/>
                </w:placeholder>
                <w:text/>
              </w:sdtPr>
              <w:sdtEndPr>
                <w:rPr>
                  <w:rStyle w:val="PlaceholderText"/>
                </w:rPr>
              </w:sdtEndPr>
              <w:sdtContent>
                <w:r w:rsidR="000C608B" w:rsidRPr="000C608B">
                  <w:rPr>
                    <w:rStyle w:val="PlaceholderText"/>
                  </w:rPr>
                  <w:t>8.4</w:t>
                </w:r>
              </w:sdtContent>
            </w:sdt>
          </w:p>
        </w:tc>
        <w:tc>
          <w:tcPr>
            <w:tcW w:w="812" w:type="dxa"/>
            <w:vMerge/>
            <w:tcBorders>
              <w:left w:val="single" w:sz="12" w:space="0" w:color="auto"/>
              <w:right w:val="single" w:sz="12" w:space="0" w:color="auto"/>
            </w:tcBorders>
            <w:shd w:val="clear" w:color="auto" w:fill="FFFFFF"/>
            <w:vAlign w:val="center"/>
          </w:tcPr>
          <w:p w14:paraId="4F508799" w14:textId="77777777" w:rsidR="007D5347" w:rsidRPr="006C635C" w:rsidRDefault="007D5347" w:rsidP="00475400">
            <w:pPr>
              <w:pStyle w:val="POTPY"/>
              <w:rPr>
                <w:highlight w:val="yellow"/>
              </w:rPr>
            </w:pPr>
          </w:p>
        </w:tc>
        <w:tc>
          <w:tcPr>
            <w:tcW w:w="2944" w:type="dxa"/>
            <w:tcBorders>
              <w:top w:val="single" w:sz="12" w:space="0" w:color="auto"/>
              <w:left w:val="single" w:sz="12" w:space="0" w:color="auto"/>
              <w:bottom w:val="single" w:sz="12" w:space="0" w:color="auto"/>
              <w:right w:val="single" w:sz="12" w:space="0" w:color="auto"/>
            </w:tcBorders>
            <w:shd w:val="clear" w:color="auto" w:fill="FFFFFF"/>
            <w:vAlign w:val="center"/>
          </w:tcPr>
          <w:p w14:paraId="5F6ECAC7" w14:textId="77777777" w:rsidR="007D5347" w:rsidRPr="000C608B" w:rsidRDefault="00784110" w:rsidP="009F082F">
            <w:pPr>
              <w:pStyle w:val="POTPY"/>
            </w:pPr>
            <w:sdt>
              <w:sdtPr>
                <w:id w:val="-1782409209"/>
                <w:placeholder>
                  <w:docPart w:val="131A9644B08B4503BCA19B69F5ACCEB1"/>
                </w:placeholder>
                <w:text/>
              </w:sdtPr>
              <w:sdtEndPr/>
              <w:sdtContent>
                <w:r w:rsidR="000C608B" w:rsidRPr="000C608B">
                  <w:rPr>
                    <w:rStyle w:val="PlaceholderText"/>
                  </w:rPr>
                  <w:t>0.2</w:t>
                </w:r>
              </w:sdtContent>
            </w:sdt>
          </w:p>
        </w:tc>
        <w:tc>
          <w:tcPr>
            <w:tcW w:w="2709" w:type="dxa"/>
            <w:gridSpan w:val="2"/>
            <w:tcBorders>
              <w:top w:val="single" w:sz="12" w:space="0" w:color="auto"/>
              <w:left w:val="single" w:sz="12" w:space="0" w:color="auto"/>
              <w:bottom w:val="single" w:sz="12" w:space="0" w:color="auto"/>
            </w:tcBorders>
            <w:shd w:val="clear" w:color="auto" w:fill="FFFFFF"/>
            <w:vAlign w:val="center"/>
          </w:tcPr>
          <w:p w14:paraId="38661819" w14:textId="77777777" w:rsidR="007D5347" w:rsidRPr="00835802" w:rsidRDefault="00784110" w:rsidP="009F082F">
            <w:pPr>
              <w:pStyle w:val="POPVBY"/>
            </w:pPr>
            <w:sdt>
              <w:sdtPr>
                <w:id w:val="-415863655"/>
                <w:placeholder>
                  <w:docPart w:val="75356EF355F945FC9747FF6BAB073F7C"/>
                </w:placeholder>
                <w:text/>
              </w:sdtPr>
              <w:sdtEndPr/>
              <w:sdtContent>
                <w:r w:rsidR="00835802" w:rsidRPr="00835802">
                  <w:rPr>
                    <w:rStyle w:val="PlaceholderText"/>
                  </w:rPr>
                  <w:t>10.4</w:t>
                </w:r>
              </w:sdtContent>
            </w:sdt>
          </w:p>
        </w:tc>
      </w:tr>
      <w:tr w:rsidR="007D5347" w:rsidRPr="00826F71" w14:paraId="186B1B11" w14:textId="77777777" w:rsidTr="00594D7B">
        <w:tc>
          <w:tcPr>
            <w:tcW w:w="10517" w:type="dxa"/>
            <w:gridSpan w:val="6"/>
            <w:tcBorders>
              <w:bottom w:val="single" w:sz="6" w:space="0" w:color="auto"/>
            </w:tcBorders>
            <w:shd w:val="clear" w:color="auto" w:fill="auto"/>
            <w:tcMar>
              <w:top w:w="45" w:type="dxa"/>
              <w:bottom w:w="45" w:type="dxa"/>
            </w:tcMar>
          </w:tcPr>
          <w:p w14:paraId="7657C306" w14:textId="77777777" w:rsidR="007D5347" w:rsidRDefault="007D5347" w:rsidP="009F082F">
            <w:pPr>
              <w:pStyle w:val="IATableLines"/>
            </w:pPr>
            <w:r w:rsidRPr="00544292">
              <w:t xml:space="preserve">Description and scale of </w:t>
            </w:r>
            <w:r w:rsidRPr="00826F71">
              <w:t>key monetised costs</w:t>
            </w:r>
            <w:r w:rsidR="009F082F">
              <w:t xml:space="preserve"> by ‘main affected groups’</w:t>
            </w:r>
          </w:p>
          <w:sdt>
            <w:sdtPr>
              <w:rPr>
                <w:rStyle w:val="IATableTextChar"/>
                <w:sz w:val="22"/>
                <w:szCs w:val="22"/>
              </w:rPr>
              <w:alias w:val="PMC"/>
              <w:tag w:val="PMC"/>
              <w:id w:val="2088724317"/>
              <w:placeholder>
                <w:docPart w:val="FEA48C737C0D4683BAFFAC5251D07A8F"/>
              </w:placeholder>
            </w:sdtPr>
            <w:sdtEndPr>
              <w:rPr>
                <w:rStyle w:val="DefaultParagraphFont"/>
                <w:rFonts w:eastAsia="Times New Roman"/>
                <w:lang w:eastAsia="en-US"/>
              </w:rPr>
            </w:sdtEndPr>
            <w:sdtContent>
              <w:p w14:paraId="1FE1BD3C" w14:textId="77777777" w:rsidR="006608BD" w:rsidRPr="005748B0" w:rsidRDefault="006608BD" w:rsidP="006608BD">
                <w:pPr>
                  <w:rPr>
                    <w:rStyle w:val="IATableTextChar"/>
                    <w:sz w:val="20"/>
                    <w:szCs w:val="20"/>
                  </w:rPr>
                </w:pPr>
                <w:r w:rsidRPr="005748B0">
                  <w:rPr>
                    <w:rStyle w:val="IATableTextChar"/>
                    <w:sz w:val="20"/>
                    <w:szCs w:val="20"/>
                  </w:rPr>
                  <w:t xml:space="preserve">The key </w:t>
                </w:r>
                <w:r w:rsidR="00F20F66" w:rsidRPr="005748B0">
                  <w:rPr>
                    <w:rStyle w:val="IATableTextChar"/>
                    <w:sz w:val="20"/>
                    <w:szCs w:val="20"/>
                  </w:rPr>
                  <w:t>costs to business (vessel owners)</w:t>
                </w:r>
                <w:r w:rsidR="00563B31" w:rsidRPr="005748B0">
                  <w:rPr>
                    <w:rStyle w:val="IATableTextChar"/>
                    <w:sz w:val="20"/>
                    <w:szCs w:val="20"/>
                  </w:rPr>
                  <w:t xml:space="preserve"> </w:t>
                </w:r>
                <w:r w:rsidRPr="005748B0">
                  <w:rPr>
                    <w:rStyle w:val="IATableTextChar"/>
                    <w:sz w:val="20"/>
                    <w:szCs w:val="20"/>
                  </w:rPr>
                  <w:t xml:space="preserve">are related to </w:t>
                </w:r>
                <w:r w:rsidR="00F20F66" w:rsidRPr="005748B0">
                  <w:rPr>
                    <w:rStyle w:val="IATableTextChar"/>
                    <w:sz w:val="20"/>
                    <w:szCs w:val="20"/>
                  </w:rPr>
                  <w:t>purchasing and maintaining the following safe</w:t>
                </w:r>
                <w:r w:rsidRPr="005748B0">
                  <w:rPr>
                    <w:rStyle w:val="IATableTextChar"/>
                    <w:sz w:val="20"/>
                    <w:szCs w:val="20"/>
                  </w:rPr>
                  <w:t xml:space="preserve">ty equipment for their vessels. The costs </w:t>
                </w:r>
                <w:r w:rsidR="00DC3C1F" w:rsidRPr="005748B0">
                  <w:rPr>
                    <w:rStyle w:val="IATableTextChar"/>
                    <w:sz w:val="20"/>
                    <w:szCs w:val="20"/>
                  </w:rPr>
                  <w:t>below present the central case (or best estimate):</w:t>
                </w:r>
              </w:p>
              <w:p w14:paraId="32256A9C"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L</w:t>
                </w:r>
                <w:r w:rsidR="006608BD" w:rsidRPr="005748B0">
                  <w:rPr>
                    <w:rStyle w:val="IATableTextChar"/>
                    <w:sz w:val="20"/>
                    <w:szCs w:val="20"/>
                  </w:rPr>
                  <w:t>iferafts</w:t>
                </w:r>
                <w:r w:rsidRPr="005748B0">
                  <w:rPr>
                    <w:rStyle w:val="IATableTextChar"/>
                    <w:sz w:val="20"/>
                    <w:szCs w:val="20"/>
                  </w:rPr>
                  <w:t xml:space="preserve"> - </w:t>
                </w:r>
                <w:r w:rsidR="00EB2632" w:rsidRPr="005748B0">
                  <w:rPr>
                    <w:rStyle w:val="IATableTextChar"/>
                    <w:sz w:val="20"/>
                    <w:szCs w:val="20"/>
                  </w:rPr>
                  <w:t>£2,544,000</w:t>
                </w:r>
              </w:p>
              <w:p w14:paraId="6077A4E8"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L</w:t>
                </w:r>
                <w:r w:rsidR="006608BD" w:rsidRPr="005748B0">
                  <w:rPr>
                    <w:rStyle w:val="IATableTextChar"/>
                    <w:sz w:val="20"/>
                    <w:szCs w:val="20"/>
                  </w:rPr>
                  <w:t>ifejackets</w:t>
                </w:r>
                <w:r w:rsidRPr="005748B0">
                  <w:rPr>
                    <w:rStyle w:val="IATableTextChar"/>
                    <w:sz w:val="20"/>
                    <w:szCs w:val="20"/>
                  </w:rPr>
                  <w:t xml:space="preserve"> </w:t>
                </w:r>
                <w:r w:rsidR="00982147" w:rsidRPr="005748B0">
                  <w:rPr>
                    <w:rStyle w:val="IATableTextChar"/>
                    <w:sz w:val="20"/>
                    <w:szCs w:val="20"/>
                  </w:rPr>
                  <w:t xml:space="preserve">- </w:t>
                </w:r>
                <w:r w:rsidR="00EB2632" w:rsidRPr="005748B0">
                  <w:rPr>
                    <w:rStyle w:val="IATableTextChar"/>
                    <w:sz w:val="20"/>
                    <w:szCs w:val="20"/>
                  </w:rPr>
                  <w:t>£253,000</w:t>
                </w:r>
              </w:p>
              <w:p w14:paraId="68FE47FF"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L</w:t>
                </w:r>
                <w:r w:rsidR="006608BD" w:rsidRPr="005748B0">
                  <w:rPr>
                    <w:rStyle w:val="IATableTextChar"/>
                    <w:sz w:val="20"/>
                    <w:szCs w:val="20"/>
                  </w:rPr>
                  <w:t>ifejacket lights</w:t>
                </w:r>
                <w:r w:rsidRPr="005748B0">
                  <w:rPr>
                    <w:rStyle w:val="IATableTextChar"/>
                    <w:sz w:val="20"/>
                    <w:szCs w:val="20"/>
                  </w:rPr>
                  <w:t xml:space="preserve"> - </w:t>
                </w:r>
                <w:r w:rsidR="00EB2632" w:rsidRPr="005748B0">
                  <w:rPr>
                    <w:rStyle w:val="IATableTextChar"/>
                    <w:sz w:val="20"/>
                    <w:szCs w:val="20"/>
                  </w:rPr>
                  <w:t>£984,000</w:t>
                </w:r>
              </w:p>
              <w:p w14:paraId="7E1CFB2B"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F</w:t>
                </w:r>
                <w:r w:rsidR="00F20F66" w:rsidRPr="005748B0">
                  <w:rPr>
                    <w:rStyle w:val="IATableTextChar"/>
                    <w:sz w:val="20"/>
                    <w:szCs w:val="20"/>
                  </w:rPr>
                  <w:t>ire d</w:t>
                </w:r>
                <w:r w:rsidR="00563B31" w:rsidRPr="005748B0">
                  <w:rPr>
                    <w:rStyle w:val="IATableTextChar"/>
                    <w:sz w:val="20"/>
                    <w:szCs w:val="20"/>
                  </w:rPr>
                  <w:t>etection</w:t>
                </w:r>
                <w:r w:rsidR="006608BD" w:rsidRPr="005748B0">
                  <w:rPr>
                    <w:rStyle w:val="IATableTextChar"/>
                    <w:sz w:val="20"/>
                    <w:szCs w:val="20"/>
                  </w:rPr>
                  <w:t xml:space="preserve"> equipment</w:t>
                </w:r>
                <w:r w:rsidRPr="005748B0">
                  <w:rPr>
                    <w:rStyle w:val="IATableTextChar"/>
                    <w:sz w:val="20"/>
                    <w:szCs w:val="20"/>
                  </w:rPr>
                  <w:t xml:space="preserve"> - </w:t>
                </w:r>
                <w:r w:rsidR="00EB2632" w:rsidRPr="005748B0">
                  <w:rPr>
                    <w:rStyle w:val="IATableTextChar"/>
                    <w:sz w:val="20"/>
                    <w:szCs w:val="20"/>
                  </w:rPr>
                  <w:t>£1,608,000</w:t>
                </w:r>
              </w:p>
              <w:p w14:paraId="38DC924A"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F</w:t>
                </w:r>
                <w:r w:rsidR="00F20F66" w:rsidRPr="005748B0">
                  <w:rPr>
                    <w:rStyle w:val="IATableTextChar"/>
                    <w:sz w:val="20"/>
                    <w:szCs w:val="20"/>
                  </w:rPr>
                  <w:t>ixed fire f</w:t>
                </w:r>
                <w:r w:rsidR="00563B31" w:rsidRPr="005748B0">
                  <w:rPr>
                    <w:rStyle w:val="IATableTextChar"/>
                    <w:sz w:val="20"/>
                    <w:szCs w:val="20"/>
                  </w:rPr>
                  <w:t>ighting</w:t>
                </w:r>
                <w:r w:rsidR="006608BD" w:rsidRPr="005748B0">
                  <w:rPr>
                    <w:rStyle w:val="IATableTextChar"/>
                    <w:sz w:val="20"/>
                    <w:szCs w:val="20"/>
                  </w:rPr>
                  <w:t xml:space="preserve"> equipment</w:t>
                </w:r>
                <w:r w:rsidRPr="005748B0">
                  <w:rPr>
                    <w:rStyle w:val="IATableTextChar"/>
                    <w:sz w:val="20"/>
                    <w:szCs w:val="20"/>
                  </w:rPr>
                  <w:t xml:space="preserve"> - </w:t>
                </w:r>
                <w:r w:rsidR="00EB2632" w:rsidRPr="005748B0">
                  <w:rPr>
                    <w:rStyle w:val="IATableTextChar"/>
                    <w:sz w:val="20"/>
                    <w:szCs w:val="20"/>
                  </w:rPr>
                  <w:t>£437,000</w:t>
                </w:r>
              </w:p>
              <w:p w14:paraId="00E4E97E"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H</w:t>
                </w:r>
                <w:r w:rsidR="006608BD" w:rsidRPr="005748B0">
                  <w:rPr>
                    <w:rStyle w:val="IATableTextChar"/>
                    <w:sz w:val="20"/>
                    <w:szCs w:val="20"/>
                  </w:rPr>
                  <w:t>and pumps</w:t>
                </w:r>
                <w:r w:rsidRPr="005748B0">
                  <w:rPr>
                    <w:rStyle w:val="IATableTextChar"/>
                    <w:sz w:val="20"/>
                    <w:szCs w:val="20"/>
                  </w:rPr>
                  <w:t xml:space="preserve"> - </w:t>
                </w:r>
                <w:r w:rsidR="00EB2632" w:rsidRPr="005748B0">
                  <w:rPr>
                    <w:rStyle w:val="IATableTextChar"/>
                    <w:sz w:val="20"/>
                    <w:szCs w:val="20"/>
                  </w:rPr>
                  <w:t>£87,000</w:t>
                </w:r>
              </w:p>
              <w:p w14:paraId="68DE3A9F"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B</w:t>
                </w:r>
                <w:r w:rsidR="00F20F66" w:rsidRPr="005748B0">
                  <w:rPr>
                    <w:rStyle w:val="IATableTextChar"/>
                    <w:sz w:val="20"/>
                    <w:szCs w:val="20"/>
                  </w:rPr>
                  <w:t>ilge pumpi</w:t>
                </w:r>
                <w:r w:rsidR="006608BD" w:rsidRPr="005748B0">
                  <w:rPr>
                    <w:rStyle w:val="IATableTextChar"/>
                    <w:sz w:val="20"/>
                    <w:szCs w:val="20"/>
                  </w:rPr>
                  <w:t>ng arrangements</w:t>
                </w:r>
                <w:r w:rsidRPr="005748B0">
                  <w:rPr>
                    <w:rStyle w:val="IATableTextChar"/>
                    <w:sz w:val="20"/>
                    <w:szCs w:val="20"/>
                  </w:rPr>
                  <w:t xml:space="preserve"> - </w:t>
                </w:r>
                <w:r w:rsidR="00EB2632" w:rsidRPr="005748B0">
                  <w:rPr>
                    <w:rStyle w:val="IATableTextChar"/>
                    <w:sz w:val="20"/>
                    <w:szCs w:val="20"/>
                  </w:rPr>
                  <w:t>£1,021,000</w:t>
                </w:r>
              </w:p>
              <w:p w14:paraId="307BDA47" w14:textId="77777777" w:rsidR="006608BD" w:rsidRPr="005748B0" w:rsidRDefault="00DC3C1F" w:rsidP="00EB2632">
                <w:pPr>
                  <w:pStyle w:val="ListParagraph"/>
                  <w:numPr>
                    <w:ilvl w:val="0"/>
                    <w:numId w:val="40"/>
                  </w:numPr>
                  <w:rPr>
                    <w:rStyle w:val="IATableTextChar"/>
                    <w:sz w:val="20"/>
                    <w:szCs w:val="20"/>
                  </w:rPr>
                </w:pPr>
                <w:r w:rsidRPr="005748B0">
                  <w:rPr>
                    <w:rStyle w:val="IATableTextChar"/>
                    <w:sz w:val="20"/>
                    <w:szCs w:val="20"/>
                  </w:rPr>
                  <w:t>B</w:t>
                </w:r>
                <w:r w:rsidR="00F20F66" w:rsidRPr="005748B0">
                  <w:rPr>
                    <w:rStyle w:val="IATableTextChar"/>
                    <w:sz w:val="20"/>
                    <w:szCs w:val="20"/>
                  </w:rPr>
                  <w:t>ilge alarm a</w:t>
                </w:r>
                <w:r w:rsidR="00563B31" w:rsidRPr="005748B0">
                  <w:rPr>
                    <w:rStyle w:val="IATableTextChar"/>
                    <w:sz w:val="20"/>
                    <w:szCs w:val="20"/>
                  </w:rPr>
                  <w:t>rrangements</w:t>
                </w:r>
                <w:r w:rsidRPr="005748B0">
                  <w:rPr>
                    <w:rStyle w:val="IATableTextChar"/>
                    <w:sz w:val="20"/>
                    <w:szCs w:val="20"/>
                  </w:rPr>
                  <w:t xml:space="preserve"> - </w:t>
                </w:r>
                <w:r w:rsidR="00EB2632" w:rsidRPr="005748B0">
                  <w:rPr>
                    <w:rStyle w:val="IATableTextChar"/>
                    <w:sz w:val="20"/>
                    <w:szCs w:val="20"/>
                  </w:rPr>
                  <w:t>£636,000</w:t>
                </w:r>
              </w:p>
              <w:p w14:paraId="1A71A60B" w14:textId="77777777" w:rsidR="006608BD" w:rsidRPr="005748B0" w:rsidRDefault="006608BD" w:rsidP="00EB2632">
                <w:pPr>
                  <w:pStyle w:val="ListParagraph"/>
                  <w:numPr>
                    <w:ilvl w:val="0"/>
                    <w:numId w:val="40"/>
                  </w:numPr>
                  <w:rPr>
                    <w:rStyle w:val="IATableTextChar"/>
                    <w:sz w:val="20"/>
                    <w:szCs w:val="20"/>
                  </w:rPr>
                </w:pPr>
                <w:r w:rsidRPr="005748B0">
                  <w:rPr>
                    <w:rStyle w:val="IATableTextChar"/>
                    <w:sz w:val="20"/>
                    <w:szCs w:val="20"/>
                  </w:rPr>
                  <w:t>S</w:t>
                </w:r>
                <w:r w:rsidR="00F20F66" w:rsidRPr="005748B0">
                  <w:rPr>
                    <w:rStyle w:val="IATableTextChar"/>
                    <w:sz w:val="20"/>
                    <w:szCs w:val="20"/>
                  </w:rPr>
                  <w:t>hip modifications for post damage</w:t>
                </w:r>
                <w:r w:rsidR="0077106F" w:rsidRPr="005748B0">
                  <w:rPr>
                    <w:rStyle w:val="IATableTextChar"/>
                    <w:sz w:val="20"/>
                    <w:szCs w:val="20"/>
                  </w:rPr>
                  <w:t xml:space="preserve"> survivability</w:t>
                </w:r>
                <w:r w:rsidR="00DC3C1F" w:rsidRPr="005748B0">
                  <w:rPr>
                    <w:rStyle w:val="IATableTextChar"/>
                    <w:sz w:val="20"/>
                    <w:szCs w:val="20"/>
                  </w:rPr>
                  <w:t xml:space="preserve"> - </w:t>
                </w:r>
                <w:r w:rsidR="00EB2632" w:rsidRPr="005748B0">
                  <w:rPr>
                    <w:rStyle w:val="IATableTextChar"/>
                    <w:sz w:val="20"/>
                    <w:szCs w:val="20"/>
                  </w:rPr>
                  <w:t>£2,527,000</w:t>
                </w:r>
              </w:p>
              <w:p w14:paraId="14FBBC14" w14:textId="77777777" w:rsidR="009F082F" w:rsidRPr="006608BD" w:rsidRDefault="00DB448D" w:rsidP="006608BD">
                <w:pPr>
                  <w:rPr>
                    <w:rFonts w:eastAsia="SimSun"/>
                    <w:sz w:val="20"/>
                    <w:szCs w:val="20"/>
                    <w:lang w:eastAsia="zh-CN"/>
                  </w:rPr>
                </w:pPr>
                <w:r w:rsidRPr="005748B0">
                  <w:rPr>
                    <w:rStyle w:val="IATableTextChar"/>
                    <w:sz w:val="20"/>
                    <w:szCs w:val="20"/>
                  </w:rPr>
                  <w:t>There is also a familiarisation c</w:t>
                </w:r>
                <w:r w:rsidR="00563B31" w:rsidRPr="005748B0">
                  <w:rPr>
                    <w:rStyle w:val="IATableTextChar"/>
                    <w:sz w:val="20"/>
                    <w:szCs w:val="20"/>
                  </w:rPr>
                  <w:t>ost</w:t>
                </w:r>
                <w:r w:rsidR="00DC3C1F" w:rsidRPr="005748B0">
                  <w:rPr>
                    <w:rStyle w:val="IATableTextChar"/>
                    <w:sz w:val="20"/>
                    <w:szCs w:val="20"/>
                  </w:rPr>
                  <w:t xml:space="preserve"> of </w:t>
                </w:r>
                <w:r w:rsidR="00EB2632" w:rsidRPr="005748B0">
                  <w:rPr>
                    <w:rStyle w:val="IATableTextChar"/>
                    <w:sz w:val="20"/>
                    <w:szCs w:val="20"/>
                  </w:rPr>
                  <w:t xml:space="preserve">£319,000 </w:t>
                </w:r>
                <w:r w:rsidRPr="005748B0">
                  <w:rPr>
                    <w:rStyle w:val="IATableTextChar"/>
                    <w:sz w:val="20"/>
                    <w:szCs w:val="20"/>
                  </w:rPr>
                  <w:t>for understanding the requirements of the updated regulations.</w:t>
                </w:r>
                <w:r w:rsidR="00C5670B" w:rsidRPr="005748B0">
                  <w:rPr>
                    <w:rStyle w:val="IATableTextChar"/>
                    <w:sz w:val="20"/>
                    <w:szCs w:val="20"/>
                  </w:rPr>
                  <w:t xml:space="preserve"> See section </w:t>
                </w:r>
                <w:r w:rsidR="00C5670B" w:rsidRPr="005748B0">
                  <w:rPr>
                    <w:rStyle w:val="IATableTextChar"/>
                    <w:sz w:val="20"/>
                    <w:szCs w:val="20"/>
                  </w:rPr>
                  <w:fldChar w:fldCharType="begin"/>
                </w:r>
                <w:r w:rsidR="00C5670B" w:rsidRPr="005748B0">
                  <w:rPr>
                    <w:rStyle w:val="IATableTextChar"/>
                    <w:sz w:val="20"/>
                    <w:szCs w:val="20"/>
                  </w:rPr>
                  <w:instrText xml:space="preserve"> REF _Ref512519145 \r \h </w:instrText>
                </w:r>
                <w:r w:rsidR="006F0831" w:rsidRPr="005748B0">
                  <w:rPr>
                    <w:rStyle w:val="IATableTextChar"/>
                    <w:sz w:val="20"/>
                    <w:szCs w:val="20"/>
                  </w:rPr>
                  <w:instrText xml:space="preserve"> \* MERGEFORMAT </w:instrText>
                </w:r>
                <w:r w:rsidR="00C5670B" w:rsidRPr="005748B0">
                  <w:rPr>
                    <w:rStyle w:val="IATableTextChar"/>
                    <w:sz w:val="20"/>
                    <w:szCs w:val="20"/>
                  </w:rPr>
                </w:r>
                <w:r w:rsidR="00C5670B" w:rsidRPr="005748B0">
                  <w:rPr>
                    <w:rStyle w:val="IATableTextChar"/>
                    <w:sz w:val="20"/>
                    <w:szCs w:val="20"/>
                  </w:rPr>
                  <w:fldChar w:fldCharType="separate"/>
                </w:r>
                <w:r w:rsidR="00742166">
                  <w:rPr>
                    <w:rStyle w:val="IATableTextChar"/>
                    <w:sz w:val="20"/>
                    <w:szCs w:val="20"/>
                  </w:rPr>
                  <w:t>10.1</w:t>
                </w:r>
                <w:r w:rsidR="00C5670B" w:rsidRPr="005748B0">
                  <w:rPr>
                    <w:rStyle w:val="IATableTextChar"/>
                    <w:sz w:val="20"/>
                    <w:szCs w:val="20"/>
                  </w:rPr>
                  <w:fldChar w:fldCharType="end"/>
                </w:r>
                <w:r w:rsidR="00C5670B" w:rsidRPr="005748B0">
                  <w:rPr>
                    <w:rStyle w:val="IATableTextChar"/>
                    <w:sz w:val="20"/>
                    <w:szCs w:val="20"/>
                  </w:rPr>
                  <w:t xml:space="preserve"> for</w:t>
                </w:r>
                <w:r w:rsidR="00DC3C1F" w:rsidRPr="005748B0">
                  <w:rPr>
                    <w:rStyle w:val="IATableTextChar"/>
                    <w:sz w:val="20"/>
                    <w:szCs w:val="20"/>
                  </w:rPr>
                  <w:t xml:space="preserve"> a full overview</w:t>
                </w:r>
                <w:r w:rsidR="00042C4F" w:rsidRPr="005748B0">
                  <w:rPr>
                    <w:rStyle w:val="IATableTextChar"/>
                    <w:sz w:val="20"/>
                    <w:szCs w:val="20"/>
                  </w:rPr>
                  <w:t xml:space="preserve"> of</w:t>
                </w:r>
                <w:r w:rsidR="00C5670B" w:rsidRPr="005748B0">
                  <w:rPr>
                    <w:rStyle w:val="IATableTextChar"/>
                    <w:sz w:val="20"/>
                    <w:szCs w:val="20"/>
                  </w:rPr>
                  <w:t xml:space="preserve"> t</w:t>
                </w:r>
                <w:r w:rsidR="00DC3C1F" w:rsidRPr="005748B0">
                  <w:rPr>
                    <w:rStyle w:val="IATableTextChar"/>
                    <w:sz w:val="20"/>
                    <w:szCs w:val="20"/>
                  </w:rPr>
                  <w:t>he scale of the monetised costs in the low, central and high scenarios.</w:t>
                </w:r>
              </w:p>
            </w:sdtContent>
          </w:sdt>
        </w:tc>
      </w:tr>
      <w:tr w:rsidR="007D5347" w:rsidRPr="00826F71" w14:paraId="249111F5" w14:textId="77777777" w:rsidTr="00594D7B">
        <w:tc>
          <w:tcPr>
            <w:tcW w:w="10517" w:type="dxa"/>
            <w:gridSpan w:val="6"/>
            <w:tcBorders>
              <w:top w:val="single" w:sz="6" w:space="0" w:color="auto"/>
              <w:bottom w:val="single" w:sz="12" w:space="0" w:color="auto"/>
            </w:tcBorders>
            <w:shd w:val="clear" w:color="auto" w:fill="auto"/>
            <w:tcMar>
              <w:top w:w="45" w:type="dxa"/>
              <w:bottom w:w="45" w:type="dxa"/>
            </w:tcMar>
          </w:tcPr>
          <w:p w14:paraId="5FFA1FCF" w14:textId="77777777" w:rsidR="007D5347" w:rsidRDefault="007D5347" w:rsidP="009F082F">
            <w:pPr>
              <w:pStyle w:val="IATableLines"/>
            </w:pPr>
            <w:r w:rsidRPr="00544292">
              <w:t>Other</w:t>
            </w:r>
            <w:r w:rsidRPr="00826F71">
              <w:t xml:space="preserve"> key non-monetised costs</w:t>
            </w:r>
            <w:r w:rsidR="009F082F">
              <w:t xml:space="preserve"> by ‘main affected groups’</w:t>
            </w:r>
          </w:p>
          <w:sdt>
            <w:sdtPr>
              <w:rPr>
                <w:rStyle w:val="IATableTextChar"/>
              </w:rPr>
              <w:alias w:val="PNMC"/>
              <w:tag w:val="PNMC"/>
              <w:id w:val="115721666"/>
              <w:placeholder>
                <w:docPart w:val="F05A045BA5C547FFA819812082F99F64"/>
              </w:placeholder>
            </w:sdtPr>
            <w:sdtEndPr>
              <w:rPr>
                <w:rStyle w:val="DefaultParagraphFont"/>
              </w:rPr>
            </w:sdtEndPr>
            <w:sdtContent>
              <w:p w14:paraId="19A330BA" w14:textId="77777777" w:rsidR="009F082F" w:rsidRPr="009F082F" w:rsidRDefault="00792A9A" w:rsidP="00563B31">
                <w:pPr>
                  <w:pStyle w:val="IATableText"/>
                  <w:rPr>
                    <w:sz w:val="24"/>
                    <w:szCs w:val="24"/>
                  </w:rPr>
                </w:pPr>
                <w:r w:rsidRPr="005748B0">
                  <w:rPr>
                    <w:rStyle w:val="IATableTextChar"/>
                  </w:rPr>
                  <w:t>The costs associated with the improved damage survivability requirements are bespoke to each vessel and cannot be</w:t>
                </w:r>
                <w:r w:rsidR="00563B31" w:rsidRPr="005748B0">
                  <w:rPr>
                    <w:rStyle w:val="IATableTextChar"/>
                  </w:rPr>
                  <w:t xml:space="preserve"> fully</w:t>
                </w:r>
                <w:r w:rsidRPr="005748B0">
                  <w:rPr>
                    <w:rStyle w:val="IATableTextChar"/>
                  </w:rPr>
                  <w:t xml:space="preserve"> monetised without engineering analysis of each vessel</w:t>
                </w:r>
                <w:r w:rsidR="00563B31" w:rsidRPr="005748B0">
                  <w:rPr>
                    <w:rStyle w:val="IATableTextChar"/>
                  </w:rPr>
                  <w:t>.</w:t>
                </w:r>
              </w:p>
            </w:sdtContent>
          </w:sdt>
        </w:tc>
      </w:tr>
      <w:tr w:rsidR="007D5347" w:rsidRPr="007E190E" w14:paraId="62D932E5" w14:textId="77777777" w:rsidTr="00594D7B">
        <w:tc>
          <w:tcPr>
            <w:tcW w:w="2049" w:type="dxa"/>
            <w:shd w:val="clear" w:color="auto" w:fill="FFFFFF"/>
          </w:tcPr>
          <w:p w14:paraId="6C6ABB4B" w14:textId="77777777" w:rsidR="007D5347" w:rsidRPr="007E190E" w:rsidRDefault="007D5347" w:rsidP="00133095">
            <w:pPr>
              <w:pStyle w:val="IATOM"/>
            </w:pPr>
            <w:r w:rsidRPr="007E190E">
              <w:t>BENEFITS (£m)</w:t>
            </w:r>
          </w:p>
        </w:tc>
        <w:tc>
          <w:tcPr>
            <w:tcW w:w="2815" w:type="dxa"/>
            <w:gridSpan w:val="2"/>
            <w:tcBorders>
              <w:top w:val="single" w:sz="12" w:space="0" w:color="auto"/>
              <w:bottom w:val="single" w:sz="6" w:space="0" w:color="auto"/>
            </w:tcBorders>
            <w:shd w:val="clear" w:color="auto" w:fill="auto"/>
          </w:tcPr>
          <w:p w14:paraId="55A01D89" w14:textId="77777777" w:rsidR="007D5347" w:rsidRDefault="007D5347" w:rsidP="00133095">
            <w:pPr>
              <w:pStyle w:val="IATableHeading"/>
              <w:jc w:val="right"/>
            </w:pPr>
            <w:r w:rsidRPr="00826F71">
              <w:t xml:space="preserve">Total Transition </w:t>
            </w:r>
          </w:p>
          <w:p w14:paraId="7A9A032F" w14:textId="77777777" w:rsidR="007D5347" w:rsidRPr="00826F71" w:rsidRDefault="007D5347" w:rsidP="00133095">
            <w:pPr>
              <w:pStyle w:val="IATableHeading"/>
              <w:jc w:val="right"/>
            </w:pPr>
            <w:r w:rsidRPr="00475400">
              <w:rPr>
                <w:b w:val="0"/>
                <w:sz w:val="16"/>
                <w:szCs w:val="18"/>
              </w:rPr>
              <w:t>(Constant Price)</w:t>
            </w:r>
            <w:r w:rsidRPr="00475400">
              <w:rPr>
                <w:b w:val="0"/>
                <w:sz w:val="18"/>
              </w:rPr>
              <w:tab/>
              <w:t xml:space="preserve">  </w:t>
            </w:r>
            <w:r w:rsidRPr="00475400">
              <w:rPr>
                <w:b w:val="0"/>
                <w:sz w:val="16"/>
                <w:szCs w:val="18"/>
              </w:rPr>
              <w:t>Yea</w:t>
            </w:r>
            <w:r w:rsidRPr="00475400">
              <w:rPr>
                <w:b w:val="0"/>
                <w:bCs/>
                <w:sz w:val="16"/>
                <w:szCs w:val="18"/>
              </w:rPr>
              <w:t>r</w:t>
            </w:r>
            <w:r w:rsidRPr="00475400">
              <w:rPr>
                <w:b w:val="0"/>
                <w:sz w:val="16"/>
                <w:szCs w:val="18"/>
              </w:rPr>
              <w:t>s</w:t>
            </w:r>
          </w:p>
        </w:tc>
        <w:tc>
          <w:tcPr>
            <w:tcW w:w="2944" w:type="dxa"/>
            <w:tcBorders>
              <w:bottom w:val="single" w:sz="6" w:space="0" w:color="auto"/>
              <w:right w:val="single" w:sz="12" w:space="0" w:color="auto"/>
            </w:tcBorders>
            <w:shd w:val="clear" w:color="auto" w:fill="auto"/>
          </w:tcPr>
          <w:p w14:paraId="017909EE" w14:textId="77777777" w:rsidR="007D5347" w:rsidRPr="007E190E" w:rsidRDefault="007D5347" w:rsidP="00133095">
            <w:pPr>
              <w:pStyle w:val="IATableHeading"/>
              <w:jc w:val="right"/>
              <w:rPr>
                <w:rFonts w:cs="Arial"/>
                <w:bCs/>
              </w:rPr>
            </w:pPr>
            <w:r w:rsidRPr="00826F71">
              <w:t>Average Annual</w:t>
            </w:r>
            <w:r w:rsidRPr="000C031E">
              <w:t xml:space="preserve"> </w:t>
            </w:r>
            <w:r>
              <w:br/>
            </w:r>
            <w:r w:rsidRPr="00475400">
              <w:rPr>
                <w:b w:val="0"/>
                <w:sz w:val="16"/>
              </w:rPr>
              <w:t xml:space="preserve">(excl. Transition) </w:t>
            </w:r>
            <w:r w:rsidRPr="00475400">
              <w:rPr>
                <w:rFonts w:cs="Arial"/>
                <w:b w:val="0"/>
                <w:bCs/>
                <w:sz w:val="16"/>
              </w:rPr>
              <w:t>(Constant Price)</w:t>
            </w:r>
          </w:p>
        </w:tc>
        <w:tc>
          <w:tcPr>
            <w:tcW w:w="2709" w:type="dxa"/>
            <w:gridSpan w:val="2"/>
            <w:tcBorders>
              <w:top w:val="single" w:sz="12" w:space="0" w:color="auto"/>
              <w:left w:val="single" w:sz="12" w:space="0" w:color="auto"/>
              <w:bottom w:val="single" w:sz="6" w:space="0" w:color="auto"/>
            </w:tcBorders>
            <w:shd w:val="clear" w:color="auto" w:fill="auto"/>
          </w:tcPr>
          <w:p w14:paraId="1B7E99A6" w14:textId="77777777" w:rsidR="007D5347" w:rsidRPr="00826F71" w:rsidRDefault="00E03A21" w:rsidP="00133095">
            <w:pPr>
              <w:pStyle w:val="IATableHeading"/>
              <w:jc w:val="right"/>
            </w:pPr>
            <w:r>
              <w:t>Total Benefit</w:t>
            </w:r>
            <w:r w:rsidR="007D5347" w:rsidRPr="007E190E">
              <w:t xml:space="preserve"> </w:t>
            </w:r>
            <w:r w:rsidR="007D5347" w:rsidRPr="007E190E">
              <w:br/>
            </w:r>
            <w:r w:rsidR="007D5347" w:rsidRPr="00475400">
              <w:rPr>
                <w:b w:val="0"/>
                <w:sz w:val="16"/>
              </w:rPr>
              <w:t>(Present Value)</w:t>
            </w:r>
          </w:p>
        </w:tc>
      </w:tr>
      <w:tr w:rsidR="009F082F" w:rsidRPr="007E190E" w14:paraId="28A56274" w14:textId="77777777" w:rsidTr="00594D7B">
        <w:tc>
          <w:tcPr>
            <w:tcW w:w="2049" w:type="dxa"/>
            <w:tcBorders>
              <w:top w:val="single" w:sz="6" w:space="0" w:color="auto"/>
              <w:bottom w:val="single" w:sz="6" w:space="0" w:color="auto"/>
            </w:tcBorders>
            <w:shd w:val="clear" w:color="auto" w:fill="auto"/>
            <w:vAlign w:val="center"/>
          </w:tcPr>
          <w:p w14:paraId="41826C5F" w14:textId="77777777" w:rsidR="009F082F" w:rsidRPr="00F63895" w:rsidRDefault="009F082F" w:rsidP="009F082F">
            <w:pPr>
              <w:pStyle w:val="IATableHeading"/>
            </w:pPr>
            <w:r w:rsidRPr="00F63895">
              <w:t xml:space="preserve">Low </w:t>
            </w:r>
          </w:p>
        </w:tc>
        <w:tc>
          <w:tcPr>
            <w:tcW w:w="2003" w:type="dxa"/>
            <w:tcBorders>
              <w:top w:val="single" w:sz="6" w:space="0" w:color="auto"/>
              <w:bottom w:val="single" w:sz="6" w:space="0" w:color="auto"/>
            </w:tcBorders>
            <w:shd w:val="clear" w:color="auto" w:fill="auto"/>
            <w:vAlign w:val="center"/>
          </w:tcPr>
          <w:p w14:paraId="43844D55" w14:textId="77777777" w:rsidR="009F082F" w:rsidRPr="00E03A21" w:rsidRDefault="00784110" w:rsidP="009F082F">
            <w:pPr>
              <w:pStyle w:val="POTPY"/>
            </w:pPr>
            <w:sdt>
              <w:sdtPr>
                <w:rPr>
                  <w:rStyle w:val="PlaceholderText"/>
                </w:rPr>
                <w:id w:val="521830073"/>
                <w:placeholder>
                  <w:docPart w:val="8E46857312E447CC8A3CF42E83547C4B"/>
                </w:placeholder>
                <w:text/>
              </w:sdtPr>
              <w:sdtEndPr>
                <w:rPr>
                  <w:rStyle w:val="PlaceholderText"/>
                </w:rPr>
              </w:sdtEndPr>
              <w:sdtContent>
                <w:r w:rsidR="00792A9A" w:rsidRPr="00901406">
                  <w:rPr>
                    <w:rStyle w:val="PlaceholderText"/>
                  </w:rPr>
                  <w:t>0.0</w:t>
                </w:r>
              </w:sdtContent>
            </w:sdt>
          </w:p>
        </w:tc>
        <w:tc>
          <w:tcPr>
            <w:tcW w:w="812" w:type="dxa"/>
            <w:vMerge w:val="restart"/>
            <w:tcBorders>
              <w:top w:val="single" w:sz="6" w:space="0" w:color="auto"/>
            </w:tcBorders>
            <w:shd w:val="clear" w:color="auto" w:fill="auto"/>
            <w:vAlign w:val="center"/>
          </w:tcPr>
          <w:p w14:paraId="45978108" w14:textId="77777777" w:rsidR="009F082F" w:rsidRPr="00E03A21" w:rsidRDefault="00784110" w:rsidP="00E03A21">
            <w:pPr>
              <w:pStyle w:val="POTPY"/>
              <w:jc w:val="center"/>
            </w:pPr>
            <w:sdt>
              <w:sdtPr>
                <w:id w:val="-697006926"/>
                <w:placeholder>
                  <w:docPart w:val="E51083BB2B31496FB07D304BD929D3A8"/>
                </w:placeholder>
                <w:text/>
              </w:sdtPr>
              <w:sdtEndPr/>
              <w:sdtContent>
                <w:r w:rsidR="00E03A21" w:rsidRPr="00E03A21">
                  <w:rPr>
                    <w:rStyle w:val="PlaceholderText"/>
                  </w:rPr>
                  <w:t>N/A</w:t>
                </w:r>
              </w:sdtContent>
            </w:sdt>
          </w:p>
        </w:tc>
        <w:tc>
          <w:tcPr>
            <w:tcW w:w="2944" w:type="dxa"/>
            <w:tcBorders>
              <w:top w:val="single" w:sz="6" w:space="0" w:color="auto"/>
              <w:bottom w:val="single" w:sz="6" w:space="0" w:color="auto"/>
              <w:right w:val="single" w:sz="12" w:space="0" w:color="auto"/>
            </w:tcBorders>
            <w:shd w:val="clear" w:color="auto" w:fill="auto"/>
            <w:vAlign w:val="center"/>
          </w:tcPr>
          <w:p w14:paraId="603DF0DD" w14:textId="77777777" w:rsidR="009F082F" w:rsidRPr="00415098" w:rsidRDefault="00784110" w:rsidP="009F082F">
            <w:pPr>
              <w:pStyle w:val="POTPY"/>
            </w:pPr>
            <w:sdt>
              <w:sdtPr>
                <w:id w:val="-167023795"/>
                <w:placeholder>
                  <w:docPart w:val="681DCCE261914F3DA519378E18066E44"/>
                </w:placeholder>
                <w:text/>
              </w:sdtPr>
              <w:sdtEndPr/>
              <w:sdtContent>
                <w:r w:rsidR="00415098" w:rsidRPr="00415098">
                  <w:rPr>
                    <w:rStyle w:val="PlaceholderText"/>
                  </w:rPr>
                  <w:t>0.7</w:t>
                </w:r>
              </w:sdtContent>
            </w:sdt>
          </w:p>
        </w:tc>
        <w:tc>
          <w:tcPr>
            <w:tcW w:w="2709" w:type="dxa"/>
            <w:gridSpan w:val="2"/>
            <w:tcBorders>
              <w:top w:val="single" w:sz="6" w:space="0" w:color="auto"/>
              <w:left w:val="single" w:sz="12" w:space="0" w:color="auto"/>
              <w:bottom w:val="single" w:sz="6" w:space="0" w:color="auto"/>
            </w:tcBorders>
            <w:shd w:val="clear" w:color="auto" w:fill="auto"/>
            <w:vAlign w:val="center"/>
          </w:tcPr>
          <w:p w14:paraId="434E29C6" w14:textId="77777777" w:rsidR="009F082F" w:rsidRPr="00141E23" w:rsidRDefault="00784110" w:rsidP="009F082F">
            <w:pPr>
              <w:pStyle w:val="POPVBY"/>
            </w:pPr>
            <w:sdt>
              <w:sdtPr>
                <w:id w:val="-1003511280"/>
                <w:placeholder>
                  <w:docPart w:val="26E1C348EEC5448392CE4FE96E277DB2"/>
                </w:placeholder>
                <w:text/>
              </w:sdtPr>
              <w:sdtEndPr/>
              <w:sdtContent>
                <w:r w:rsidR="00141E23" w:rsidRPr="00141E23">
                  <w:rPr>
                    <w:rStyle w:val="PlaceholderText"/>
                  </w:rPr>
                  <w:t>7.3</w:t>
                </w:r>
              </w:sdtContent>
            </w:sdt>
          </w:p>
        </w:tc>
      </w:tr>
      <w:tr w:rsidR="009F082F" w:rsidRPr="007E190E" w14:paraId="27ACD4BF" w14:textId="77777777" w:rsidTr="00594D7B">
        <w:tc>
          <w:tcPr>
            <w:tcW w:w="2049" w:type="dxa"/>
            <w:tcBorders>
              <w:top w:val="single" w:sz="6" w:space="0" w:color="auto"/>
              <w:bottom w:val="single" w:sz="12" w:space="0" w:color="auto"/>
            </w:tcBorders>
            <w:shd w:val="clear" w:color="auto" w:fill="auto"/>
            <w:vAlign w:val="center"/>
          </w:tcPr>
          <w:p w14:paraId="6BBEC797" w14:textId="77777777" w:rsidR="009F082F" w:rsidRPr="00826F71" w:rsidRDefault="009F082F" w:rsidP="009F082F">
            <w:pPr>
              <w:pStyle w:val="IATableHeading"/>
            </w:pPr>
            <w:r w:rsidRPr="00F63895">
              <w:t xml:space="preserve">High </w:t>
            </w:r>
          </w:p>
        </w:tc>
        <w:tc>
          <w:tcPr>
            <w:tcW w:w="2003" w:type="dxa"/>
            <w:tcBorders>
              <w:top w:val="single" w:sz="6" w:space="0" w:color="auto"/>
              <w:bottom w:val="single" w:sz="12" w:space="0" w:color="auto"/>
            </w:tcBorders>
            <w:shd w:val="clear" w:color="auto" w:fill="auto"/>
            <w:vAlign w:val="center"/>
          </w:tcPr>
          <w:p w14:paraId="10FBE8B0" w14:textId="77777777" w:rsidR="009F082F" w:rsidRPr="00E03A21" w:rsidRDefault="00784110" w:rsidP="009F082F">
            <w:pPr>
              <w:pStyle w:val="POTPY"/>
            </w:pPr>
            <w:sdt>
              <w:sdtPr>
                <w:id w:val="-1511829943"/>
                <w:placeholder>
                  <w:docPart w:val="65D423DF745F485CAD6119301E6D20D8"/>
                </w:placeholder>
                <w:text/>
              </w:sdtPr>
              <w:sdtEndPr/>
              <w:sdtContent>
                <w:r w:rsidR="00792A9A" w:rsidRPr="00E03A21">
                  <w:rPr>
                    <w:rStyle w:val="PlaceholderText"/>
                  </w:rPr>
                  <w:t>0.0</w:t>
                </w:r>
              </w:sdtContent>
            </w:sdt>
          </w:p>
        </w:tc>
        <w:tc>
          <w:tcPr>
            <w:tcW w:w="812" w:type="dxa"/>
            <w:vMerge/>
            <w:shd w:val="clear" w:color="auto" w:fill="FFFFFF"/>
            <w:vAlign w:val="center"/>
          </w:tcPr>
          <w:p w14:paraId="2B1A7318" w14:textId="77777777" w:rsidR="009F082F" w:rsidRPr="00191563" w:rsidRDefault="009F082F" w:rsidP="009F082F">
            <w:pPr>
              <w:pStyle w:val="POTPY"/>
              <w:rPr>
                <w:highlight w:val="yellow"/>
              </w:rPr>
            </w:pPr>
          </w:p>
        </w:tc>
        <w:tc>
          <w:tcPr>
            <w:tcW w:w="2944" w:type="dxa"/>
            <w:tcBorders>
              <w:top w:val="single" w:sz="6" w:space="0" w:color="auto"/>
              <w:bottom w:val="single" w:sz="12" w:space="0" w:color="auto"/>
              <w:right w:val="single" w:sz="12" w:space="0" w:color="auto"/>
            </w:tcBorders>
            <w:shd w:val="clear" w:color="auto" w:fill="auto"/>
            <w:vAlign w:val="center"/>
          </w:tcPr>
          <w:p w14:paraId="30BE1A50" w14:textId="77777777" w:rsidR="009F082F" w:rsidRPr="00415098" w:rsidRDefault="00784110" w:rsidP="009F082F">
            <w:pPr>
              <w:pStyle w:val="POTPY"/>
            </w:pPr>
            <w:sdt>
              <w:sdtPr>
                <w:id w:val="-1422173234"/>
                <w:placeholder>
                  <w:docPart w:val="9D39371601174F7C909FA176CDB531F7"/>
                </w:placeholder>
                <w:text/>
              </w:sdtPr>
              <w:sdtEndPr/>
              <w:sdtContent>
                <w:r w:rsidR="00415098" w:rsidRPr="00415098">
                  <w:rPr>
                    <w:rStyle w:val="PlaceholderText"/>
                  </w:rPr>
                  <w:t>0.2</w:t>
                </w:r>
              </w:sdtContent>
            </w:sdt>
          </w:p>
        </w:tc>
        <w:tc>
          <w:tcPr>
            <w:tcW w:w="2709" w:type="dxa"/>
            <w:gridSpan w:val="2"/>
            <w:tcBorders>
              <w:top w:val="single" w:sz="6" w:space="0" w:color="auto"/>
              <w:left w:val="single" w:sz="12" w:space="0" w:color="auto"/>
              <w:bottom w:val="single" w:sz="12" w:space="0" w:color="auto"/>
            </w:tcBorders>
            <w:shd w:val="clear" w:color="auto" w:fill="auto"/>
            <w:vAlign w:val="center"/>
          </w:tcPr>
          <w:p w14:paraId="08044A8E" w14:textId="77777777" w:rsidR="009F082F" w:rsidRPr="00141E23" w:rsidRDefault="00784110" w:rsidP="00141E23">
            <w:pPr>
              <w:pStyle w:val="POPVBY"/>
            </w:pPr>
            <w:sdt>
              <w:sdtPr>
                <w:rPr>
                  <w:rStyle w:val="PlaceholderText"/>
                </w:rPr>
                <w:id w:val="939488101"/>
                <w:placeholder>
                  <w:docPart w:val="F1532AF15F6745E7885457F94308BB4E"/>
                </w:placeholder>
                <w:text/>
              </w:sdtPr>
              <w:sdtEndPr>
                <w:rPr>
                  <w:rStyle w:val="PlaceholderText"/>
                </w:rPr>
              </w:sdtEndPr>
              <w:sdtContent>
                <w:r w:rsidR="00141E23" w:rsidRPr="00141E23">
                  <w:rPr>
                    <w:rStyle w:val="PlaceholderText"/>
                  </w:rPr>
                  <w:t>2.4</w:t>
                </w:r>
              </w:sdtContent>
            </w:sdt>
          </w:p>
        </w:tc>
      </w:tr>
      <w:tr w:rsidR="009F082F" w:rsidRPr="007E190E" w14:paraId="3AA24DAA" w14:textId="77777777" w:rsidTr="00415098">
        <w:tc>
          <w:tcPr>
            <w:tcW w:w="2049" w:type="dxa"/>
            <w:tcBorders>
              <w:top w:val="single" w:sz="12" w:space="0" w:color="auto"/>
              <w:bottom w:val="single" w:sz="12" w:space="0" w:color="auto"/>
              <w:right w:val="single" w:sz="12" w:space="0" w:color="auto"/>
            </w:tcBorders>
            <w:shd w:val="clear" w:color="auto" w:fill="FFFFFF"/>
            <w:vAlign w:val="center"/>
          </w:tcPr>
          <w:p w14:paraId="2C6A6ED7" w14:textId="77777777" w:rsidR="009F082F" w:rsidRPr="007E190E" w:rsidRDefault="009F082F" w:rsidP="009F082F">
            <w:pPr>
              <w:pStyle w:val="IATableHeading"/>
              <w:rPr>
                <w:rFonts w:cs="Arial"/>
              </w:rPr>
            </w:pPr>
            <w:r w:rsidRPr="00F63895">
              <w:t>Best Estimate</w:t>
            </w:r>
          </w:p>
        </w:tc>
        <w:tc>
          <w:tcPr>
            <w:tcW w:w="2003" w:type="dxa"/>
            <w:tcBorders>
              <w:top w:val="single" w:sz="12" w:space="0" w:color="auto"/>
              <w:left w:val="single" w:sz="12" w:space="0" w:color="auto"/>
              <w:bottom w:val="single" w:sz="12" w:space="0" w:color="auto"/>
              <w:right w:val="single" w:sz="12" w:space="0" w:color="auto"/>
            </w:tcBorders>
            <w:shd w:val="clear" w:color="auto" w:fill="FFFFFF"/>
            <w:vAlign w:val="center"/>
          </w:tcPr>
          <w:p w14:paraId="0A2B0494" w14:textId="77777777" w:rsidR="009F082F" w:rsidRPr="00E03A21" w:rsidRDefault="00784110" w:rsidP="009F082F">
            <w:pPr>
              <w:pStyle w:val="POTPY"/>
            </w:pPr>
            <w:sdt>
              <w:sdtPr>
                <w:id w:val="1315527614"/>
                <w:placeholder>
                  <w:docPart w:val="23A454A7F252442BA1ECD2FF4D0C9C7E"/>
                </w:placeholder>
                <w:text/>
              </w:sdtPr>
              <w:sdtEndPr/>
              <w:sdtContent>
                <w:r w:rsidR="00792A9A" w:rsidRPr="00E03A21">
                  <w:rPr>
                    <w:rStyle w:val="PlaceholderText"/>
                  </w:rPr>
                  <w:t>0.0</w:t>
                </w:r>
              </w:sdtContent>
            </w:sdt>
          </w:p>
        </w:tc>
        <w:tc>
          <w:tcPr>
            <w:tcW w:w="812" w:type="dxa"/>
            <w:vMerge/>
            <w:tcBorders>
              <w:left w:val="single" w:sz="12" w:space="0" w:color="auto"/>
              <w:right w:val="single" w:sz="12" w:space="0" w:color="auto"/>
            </w:tcBorders>
            <w:shd w:val="clear" w:color="auto" w:fill="FFFFFF"/>
            <w:vAlign w:val="center"/>
          </w:tcPr>
          <w:p w14:paraId="2F5B4668" w14:textId="77777777" w:rsidR="009F082F" w:rsidRPr="00D54448" w:rsidRDefault="009F082F" w:rsidP="009F082F">
            <w:pPr>
              <w:pStyle w:val="POTPY"/>
              <w:rPr>
                <w:highlight w:val="yellow"/>
              </w:rPr>
            </w:pPr>
          </w:p>
        </w:tc>
        <w:tc>
          <w:tcPr>
            <w:tcW w:w="2944" w:type="dxa"/>
            <w:tcBorders>
              <w:top w:val="single" w:sz="12" w:space="0" w:color="auto"/>
              <w:left w:val="single" w:sz="12" w:space="0" w:color="auto"/>
              <w:bottom w:val="single" w:sz="12" w:space="0" w:color="auto"/>
              <w:right w:val="single" w:sz="12" w:space="0" w:color="auto"/>
            </w:tcBorders>
            <w:shd w:val="clear" w:color="auto" w:fill="auto"/>
            <w:vAlign w:val="center"/>
          </w:tcPr>
          <w:p w14:paraId="5BA8D6CD" w14:textId="77777777" w:rsidR="009F082F" w:rsidRPr="00415098" w:rsidRDefault="00784110" w:rsidP="009F082F">
            <w:pPr>
              <w:pStyle w:val="POTPY"/>
            </w:pPr>
            <w:sdt>
              <w:sdtPr>
                <w:id w:val="-255512841"/>
                <w:placeholder>
                  <w:docPart w:val="0FB98A823ECF4F06B3679601F8A69BE2"/>
                </w:placeholder>
                <w:text/>
              </w:sdtPr>
              <w:sdtEndPr/>
              <w:sdtContent>
                <w:r w:rsidR="00DA17C0" w:rsidRPr="00415098">
                  <w:rPr>
                    <w:rStyle w:val="PlaceholderText"/>
                  </w:rPr>
                  <w:t>0.5</w:t>
                </w:r>
              </w:sdtContent>
            </w:sdt>
          </w:p>
        </w:tc>
        <w:tc>
          <w:tcPr>
            <w:tcW w:w="2709" w:type="dxa"/>
            <w:gridSpan w:val="2"/>
            <w:tcBorders>
              <w:top w:val="single" w:sz="12" w:space="0" w:color="auto"/>
              <w:left w:val="single" w:sz="12" w:space="0" w:color="auto"/>
              <w:bottom w:val="single" w:sz="12" w:space="0" w:color="auto"/>
            </w:tcBorders>
            <w:shd w:val="clear" w:color="auto" w:fill="FFFFFF"/>
            <w:vAlign w:val="center"/>
          </w:tcPr>
          <w:p w14:paraId="77455A33" w14:textId="77777777" w:rsidR="009F082F" w:rsidRPr="00141E23" w:rsidRDefault="00784110" w:rsidP="00141E23">
            <w:pPr>
              <w:pStyle w:val="POPVBY"/>
            </w:pPr>
            <w:sdt>
              <w:sdtPr>
                <w:rPr>
                  <w:rStyle w:val="PlaceholderText"/>
                </w:rPr>
                <w:id w:val="480889118"/>
                <w:placeholder>
                  <w:docPart w:val="38E2DCA3406344AAB3A84215F611428F"/>
                </w:placeholder>
                <w:text/>
              </w:sdtPr>
              <w:sdtEndPr>
                <w:rPr>
                  <w:rStyle w:val="PlaceholderText"/>
                </w:rPr>
              </w:sdtEndPr>
              <w:sdtContent>
                <w:r w:rsidR="00141E23" w:rsidRPr="00141E23">
                  <w:rPr>
                    <w:rStyle w:val="PlaceholderText"/>
                  </w:rPr>
                  <w:t>4.9</w:t>
                </w:r>
              </w:sdtContent>
            </w:sdt>
          </w:p>
        </w:tc>
      </w:tr>
      <w:tr w:rsidR="00792A9A" w:rsidRPr="009F082F" w14:paraId="5CB6F0A6" w14:textId="77777777" w:rsidTr="000944C1">
        <w:tc>
          <w:tcPr>
            <w:tcW w:w="10517" w:type="dxa"/>
            <w:gridSpan w:val="6"/>
            <w:shd w:val="clear" w:color="auto" w:fill="auto"/>
            <w:tcMar>
              <w:top w:w="45" w:type="dxa"/>
              <w:bottom w:w="45" w:type="dxa"/>
            </w:tcMar>
          </w:tcPr>
          <w:p w14:paraId="7F8A4566" w14:textId="77777777" w:rsidR="00792A9A" w:rsidRDefault="00792A9A" w:rsidP="000944C1">
            <w:pPr>
              <w:pStyle w:val="IATableLines"/>
            </w:pPr>
            <w:r w:rsidRPr="00544292">
              <w:t xml:space="preserve">Description and scale of </w:t>
            </w:r>
            <w:r w:rsidRPr="00826F71">
              <w:t xml:space="preserve">key monetised </w:t>
            </w:r>
            <w:r>
              <w:t>benefits by ‘main affected groups’</w:t>
            </w:r>
          </w:p>
          <w:p w14:paraId="769567AB" w14:textId="77777777" w:rsidR="00792A9A" w:rsidRPr="005748B0" w:rsidRDefault="00792A9A" w:rsidP="001660F4">
            <w:pPr>
              <w:pStyle w:val="IATableText"/>
            </w:pPr>
            <w:r w:rsidRPr="005748B0">
              <w:rPr>
                <w:rStyle w:val="IATableTextChar"/>
              </w:rPr>
              <w:t xml:space="preserve">For additional liferaft capacity, the monetised benefits of prevented individual fatalities and injuries has been </w:t>
            </w:r>
            <w:r w:rsidR="00E03A21" w:rsidRPr="005748B0">
              <w:rPr>
                <w:rStyle w:val="IATableTextChar"/>
              </w:rPr>
              <w:t>estimated</w:t>
            </w:r>
            <w:r w:rsidR="00CB1215" w:rsidRPr="005748B0">
              <w:rPr>
                <w:rStyle w:val="IATableTextChar"/>
              </w:rPr>
              <w:t xml:space="preserve"> at £4,856,000 in the central case</w:t>
            </w:r>
            <w:r w:rsidR="00154018" w:rsidRPr="005748B0">
              <w:rPr>
                <w:rStyle w:val="IATableTextChar"/>
              </w:rPr>
              <w:t>.</w:t>
            </w:r>
          </w:p>
        </w:tc>
      </w:tr>
      <w:tr w:rsidR="007D5347" w:rsidRPr="00826F71" w14:paraId="38292E14" w14:textId="77777777" w:rsidTr="00594D7B">
        <w:tc>
          <w:tcPr>
            <w:tcW w:w="10517" w:type="dxa"/>
            <w:gridSpan w:val="6"/>
            <w:shd w:val="clear" w:color="auto" w:fill="auto"/>
            <w:tcMar>
              <w:top w:w="45" w:type="dxa"/>
              <w:bottom w:w="45" w:type="dxa"/>
            </w:tcMar>
          </w:tcPr>
          <w:p w14:paraId="713AEEF0" w14:textId="77777777" w:rsidR="007D5347" w:rsidRDefault="007D5347" w:rsidP="009F082F">
            <w:pPr>
              <w:pStyle w:val="IATableLines"/>
            </w:pPr>
            <w:r w:rsidRPr="00544292">
              <w:t>Other</w:t>
            </w:r>
            <w:r w:rsidRPr="00826F71">
              <w:t xml:space="preserve"> key non-monetised </w:t>
            </w:r>
            <w:r>
              <w:t>benefits</w:t>
            </w:r>
            <w:r w:rsidR="009F082F">
              <w:t xml:space="preserve"> by ‘main affected groups’</w:t>
            </w:r>
          </w:p>
          <w:sdt>
            <w:sdtPr>
              <w:rPr>
                <w:rStyle w:val="IATableTextChar"/>
              </w:rPr>
              <w:alias w:val="PNMB"/>
              <w:tag w:val="PNMB"/>
              <w:id w:val="754557158"/>
              <w:placeholder>
                <w:docPart w:val="4AF7EC815A2B4D65B46DDBE4B8975316"/>
              </w:placeholder>
            </w:sdtPr>
            <w:sdtEndPr>
              <w:rPr>
                <w:rStyle w:val="DefaultParagraphFont"/>
              </w:rPr>
            </w:sdtEndPr>
            <w:sdtContent>
              <w:sdt>
                <w:sdtPr>
                  <w:rPr>
                    <w:rStyle w:val="IATableTextChar"/>
                  </w:rPr>
                  <w:alias w:val="PNMB"/>
                  <w:tag w:val="PNMB"/>
                  <w:id w:val="-2124214833"/>
                  <w:placeholder>
                    <w:docPart w:val="821426ED917D4D88AD24B7669D82DB89"/>
                  </w:placeholder>
                </w:sdtPr>
                <w:sdtEndPr>
                  <w:rPr>
                    <w:rStyle w:val="DefaultParagraphFont"/>
                  </w:rPr>
                </w:sdtEndPr>
                <w:sdtContent>
                  <w:p w14:paraId="7CED56D5" w14:textId="77777777" w:rsidR="009F082F" w:rsidRPr="009F082F" w:rsidRDefault="00563B31" w:rsidP="001660F4">
                    <w:pPr>
                      <w:pStyle w:val="IATableText"/>
                      <w:rPr>
                        <w:sz w:val="24"/>
                        <w:szCs w:val="24"/>
                      </w:rPr>
                    </w:pPr>
                    <w:r w:rsidRPr="005748B0">
                      <w:rPr>
                        <w:rStyle w:val="IATableTextChar"/>
                      </w:rPr>
                      <w:t>Higher vessel s</w:t>
                    </w:r>
                    <w:r w:rsidR="00792A9A" w:rsidRPr="005748B0">
                      <w:rPr>
                        <w:rStyle w:val="IATableTextChar"/>
                      </w:rPr>
                      <w:t>afety</w:t>
                    </w:r>
                    <w:r w:rsidR="001660F4" w:rsidRPr="005748B0">
                      <w:rPr>
                        <w:rStyle w:val="IATableTextChar"/>
                      </w:rPr>
                      <w:t xml:space="preserve"> (above the additional liferaft capacity that has been monetised)</w:t>
                    </w:r>
                    <w:r w:rsidR="00792A9A" w:rsidRPr="005748B0">
                      <w:rPr>
                        <w:rStyle w:val="IATableTextChar"/>
                      </w:rPr>
                      <w:t xml:space="preserve"> is the key non-monetised benefit </w:t>
                    </w:r>
                    <w:r w:rsidRPr="005748B0">
                      <w:rPr>
                        <w:rStyle w:val="IATableTextChar"/>
                      </w:rPr>
                      <w:t>for passengers and businesses</w:t>
                    </w:r>
                    <w:r w:rsidR="00792A9A" w:rsidRPr="005748B0">
                      <w:rPr>
                        <w:rStyle w:val="IATableTextChar"/>
                      </w:rPr>
                      <w:t>.</w:t>
                    </w:r>
                  </w:p>
                </w:sdtContent>
              </w:sdt>
            </w:sdtContent>
          </w:sdt>
        </w:tc>
      </w:tr>
      <w:tr w:rsidR="007D5347" w:rsidRPr="00826F71" w14:paraId="0D6FA992" w14:textId="77777777" w:rsidTr="00594D7B">
        <w:trPr>
          <w:trHeight w:val="37"/>
        </w:trPr>
        <w:tc>
          <w:tcPr>
            <w:tcW w:w="9633" w:type="dxa"/>
            <w:gridSpan w:val="5"/>
            <w:tcBorders>
              <w:top w:val="single" w:sz="6" w:space="0" w:color="auto"/>
              <w:bottom w:val="nil"/>
            </w:tcBorders>
            <w:shd w:val="clear" w:color="auto" w:fill="auto"/>
          </w:tcPr>
          <w:p w14:paraId="1ED9831E" w14:textId="77777777" w:rsidR="007D5347" w:rsidRPr="00455895" w:rsidRDefault="007D5347" w:rsidP="00AA3F3D">
            <w:pPr>
              <w:pStyle w:val="IATableHeading"/>
              <w:tabs>
                <w:tab w:val="right" w:pos="9370"/>
              </w:tabs>
            </w:pPr>
            <w:r w:rsidRPr="00F1653E">
              <w:t>Key assumptions/sensitivities/risks</w:t>
            </w:r>
            <w:r>
              <w:tab/>
              <w:t>Discount rate (%)</w:t>
            </w:r>
          </w:p>
        </w:tc>
        <w:tc>
          <w:tcPr>
            <w:tcW w:w="884" w:type="dxa"/>
            <w:tcBorders>
              <w:top w:val="single" w:sz="6" w:space="0" w:color="auto"/>
              <w:bottom w:val="single" w:sz="4" w:space="0" w:color="auto"/>
            </w:tcBorders>
            <w:shd w:val="clear" w:color="auto" w:fill="auto"/>
          </w:tcPr>
          <w:p w14:paraId="1987E52D" w14:textId="77777777" w:rsidR="007D5347" w:rsidRPr="007E6CF8" w:rsidRDefault="00784110" w:rsidP="009F3B4C">
            <w:pPr>
              <w:pStyle w:val="IATableText"/>
              <w:jc w:val="center"/>
            </w:pPr>
            <w:sdt>
              <w:sdtPr>
                <w:id w:val="-1516845395"/>
                <w:placeholder>
                  <w:docPart w:val="9B6CEF8FA4D04943A1D1E1AE2493D999"/>
                </w:placeholder>
                <w:text/>
              </w:sdtPr>
              <w:sdtEndPr/>
              <w:sdtContent>
                <w:r w:rsidR="00DA17C0">
                  <w:rPr>
                    <w:rStyle w:val="PlaceholderText"/>
                  </w:rPr>
                  <w:t>3.5%</w:t>
                </w:r>
              </w:sdtContent>
            </w:sdt>
          </w:p>
        </w:tc>
      </w:tr>
      <w:tr w:rsidR="007D5347" w:rsidRPr="007E190E" w14:paraId="2CDF65B4" w14:textId="77777777" w:rsidTr="008D463C">
        <w:trPr>
          <w:trHeight w:val="1779"/>
        </w:trPr>
        <w:tc>
          <w:tcPr>
            <w:tcW w:w="10517" w:type="dxa"/>
            <w:gridSpan w:val="6"/>
            <w:tcBorders>
              <w:top w:val="nil"/>
              <w:bottom w:val="single" w:sz="12" w:space="0" w:color="auto"/>
            </w:tcBorders>
            <w:shd w:val="clear" w:color="auto" w:fill="auto"/>
          </w:tcPr>
          <w:sdt>
            <w:sdtPr>
              <w:rPr>
                <w:rStyle w:val="IATableTextChar"/>
              </w:rPr>
              <w:alias w:val="Risks"/>
              <w:tag w:val="Risks"/>
              <w:id w:val="238303064"/>
              <w:placeholder>
                <w:docPart w:val="4030B8300ADE4D55902A6F3E5266D5A4"/>
              </w:placeholder>
            </w:sdtPr>
            <w:sdtEndPr>
              <w:rPr>
                <w:rStyle w:val="DefaultParagraphFont"/>
              </w:rPr>
            </w:sdtEndPr>
            <w:sdtContent>
              <w:sdt>
                <w:sdtPr>
                  <w:rPr>
                    <w:rStyle w:val="IATableTextChar"/>
                  </w:rPr>
                  <w:alias w:val="Risks"/>
                  <w:tag w:val="Risks"/>
                  <w:id w:val="-750190506"/>
                  <w:placeholder>
                    <w:docPart w:val="C9B1CEC76180479984AFBBD6B4885295"/>
                  </w:placeholder>
                </w:sdtPr>
                <w:sdtEndPr>
                  <w:rPr>
                    <w:rStyle w:val="DefaultParagraphFont"/>
                  </w:rPr>
                </w:sdtEndPr>
                <w:sdtContent>
                  <w:p w14:paraId="0FC8FEB0" w14:textId="77777777" w:rsidR="007D5347" w:rsidRPr="008D463C" w:rsidRDefault="00792A9A" w:rsidP="000A3684">
                    <w:pPr>
                      <w:pStyle w:val="IATableText"/>
                      <w:rPr>
                        <w:sz w:val="22"/>
                        <w:szCs w:val="22"/>
                      </w:rPr>
                    </w:pPr>
                    <w:r w:rsidRPr="005748B0">
                      <w:rPr>
                        <w:rStyle w:val="IATableTextChar"/>
                      </w:rPr>
                      <w:t>The actual costs for equipment cannot be estimated</w:t>
                    </w:r>
                    <w:r w:rsidR="00563B31" w:rsidRPr="005748B0">
                      <w:rPr>
                        <w:rStyle w:val="IATableTextChar"/>
                      </w:rPr>
                      <w:t xml:space="preserve"> with certainty and are based on estimates provided by</w:t>
                    </w:r>
                    <w:r w:rsidRPr="005748B0">
                      <w:rPr>
                        <w:rStyle w:val="IATableTextChar"/>
                      </w:rPr>
                      <w:t xml:space="preserve"> industry </w:t>
                    </w:r>
                    <w:r w:rsidR="00E701FB" w:rsidRPr="005748B0">
                      <w:rPr>
                        <w:rStyle w:val="IATableTextChar"/>
                      </w:rPr>
                      <w:t xml:space="preserve">and </w:t>
                    </w:r>
                    <w:r w:rsidR="001E1B3A" w:rsidRPr="005748B0">
                      <w:rPr>
                        <w:rStyle w:val="IATableTextChar"/>
                      </w:rPr>
                      <w:t xml:space="preserve">the </w:t>
                    </w:r>
                    <w:r w:rsidR="00E701FB" w:rsidRPr="005748B0">
                      <w:rPr>
                        <w:rStyle w:val="IATableTextChar"/>
                      </w:rPr>
                      <w:t>MCA</w:t>
                    </w:r>
                    <w:r w:rsidRPr="005748B0">
                      <w:rPr>
                        <w:rStyle w:val="IATableTextChar"/>
                      </w:rPr>
                      <w:t xml:space="preserve">. </w:t>
                    </w:r>
                    <w:r w:rsidR="00E701FB" w:rsidRPr="005748B0">
                      <w:rPr>
                        <w:rStyle w:val="IATableTextChar"/>
                      </w:rPr>
                      <w:t>W</w:t>
                    </w:r>
                    <w:r w:rsidRPr="005748B0">
                      <w:rPr>
                        <w:rStyle w:val="IATableTextChar"/>
                      </w:rPr>
                      <w:t>e built in sensitivities using the range of quotes received</w:t>
                    </w:r>
                    <w:r w:rsidR="001E1B3A" w:rsidRPr="005748B0">
                      <w:rPr>
                        <w:rStyle w:val="IATableTextChar"/>
                      </w:rPr>
                      <w:t xml:space="preserve"> to construct a low, central and high scenario in each case</w:t>
                    </w:r>
                    <w:r w:rsidRPr="005748B0">
                      <w:rPr>
                        <w:rStyle w:val="IATableTextChar"/>
                      </w:rPr>
                      <w:t>. We have assum</w:t>
                    </w:r>
                    <w:r w:rsidR="00E701FB" w:rsidRPr="005748B0">
                      <w:rPr>
                        <w:rStyle w:val="IATableTextChar"/>
                      </w:rPr>
                      <w:t xml:space="preserve">ed </w:t>
                    </w:r>
                    <w:r w:rsidR="000A3684" w:rsidRPr="005748B0">
                      <w:rPr>
                        <w:rStyle w:val="IATableTextChar"/>
                      </w:rPr>
                      <w:t xml:space="preserve">the number of passengers on </w:t>
                    </w:r>
                    <w:r w:rsidR="00E701FB" w:rsidRPr="005748B0">
                      <w:rPr>
                        <w:rStyle w:val="IATableTextChar"/>
                      </w:rPr>
                      <w:t>ships</w:t>
                    </w:r>
                    <w:r w:rsidR="000A3684" w:rsidRPr="005748B0">
                      <w:rPr>
                        <w:rStyle w:val="IATableTextChar"/>
                      </w:rPr>
                      <w:t xml:space="preserve"> is</w:t>
                    </w:r>
                    <w:r w:rsidR="00E701FB" w:rsidRPr="005748B0">
                      <w:rPr>
                        <w:rStyle w:val="IATableTextChar"/>
                      </w:rPr>
                      <w:t xml:space="preserve"> </w:t>
                    </w:r>
                    <w:r w:rsidRPr="005748B0">
                      <w:rPr>
                        <w:rStyle w:val="IATableTextChar"/>
                      </w:rPr>
                      <w:t>based on estimates for the most common ship operating in similar waters.</w:t>
                    </w:r>
                    <w:r w:rsidR="00CF4B43" w:rsidRPr="005748B0">
                      <w:rPr>
                        <w:rStyle w:val="IATableTextChar"/>
                      </w:rPr>
                      <w:t xml:space="preserve"> For costs related to post damage survivability, there is a risk that </w:t>
                    </w:r>
                    <w:r w:rsidR="00E36CDA" w:rsidRPr="005748B0">
                      <w:rPr>
                        <w:rStyle w:val="IATableTextChar"/>
                      </w:rPr>
                      <w:t xml:space="preserve">it may </w:t>
                    </w:r>
                    <w:r w:rsidR="00CF4B43" w:rsidRPr="005748B0">
                      <w:rPr>
                        <w:rStyle w:val="IATableTextChar"/>
                      </w:rPr>
                      <w:t>not</w:t>
                    </w:r>
                    <w:r w:rsidR="00E36CDA" w:rsidRPr="005748B0">
                      <w:rPr>
                        <w:rStyle w:val="IATableTextChar"/>
                      </w:rPr>
                      <w:t xml:space="preserve"> be</w:t>
                    </w:r>
                    <w:r w:rsidR="00CF4B43" w:rsidRPr="005748B0">
                      <w:rPr>
                        <w:rStyle w:val="IATableTextChar"/>
                      </w:rPr>
                      <w:t xml:space="preserve"> viable, either commercially to the operator or practically</w:t>
                    </w:r>
                    <w:r w:rsidR="00E36CDA" w:rsidRPr="005748B0">
                      <w:rPr>
                        <w:rStyle w:val="IATableTextChar"/>
                      </w:rPr>
                      <w:t xml:space="preserve"> due to</w:t>
                    </w:r>
                    <w:r w:rsidR="00CF4B43" w:rsidRPr="005748B0">
                      <w:rPr>
                        <w:rStyle w:val="IATableTextChar"/>
                      </w:rPr>
                      <w:t xml:space="preserve"> the original ship design</w:t>
                    </w:r>
                    <w:r w:rsidR="00E36CDA" w:rsidRPr="005748B0">
                      <w:rPr>
                        <w:rStyle w:val="IATableTextChar"/>
                      </w:rPr>
                      <w:t xml:space="preserve">, to upgrade certain vessels to meet the new requirements. </w:t>
                    </w:r>
                    <w:r w:rsidR="00037AC1" w:rsidRPr="005748B0">
                      <w:rPr>
                        <w:rStyle w:val="IATableTextChar"/>
                      </w:rPr>
                      <w:t>For the monetised benefits, uncertainty</w:t>
                    </w:r>
                    <w:r w:rsidR="000A3684" w:rsidRPr="005748B0">
                      <w:rPr>
                        <w:rStyle w:val="IATableTextChar"/>
                      </w:rPr>
                      <w:t xml:space="preserve"> exists</w:t>
                    </w:r>
                    <w:r w:rsidR="00037AC1" w:rsidRPr="005748B0">
                      <w:rPr>
                        <w:rStyle w:val="IATableTextChar"/>
                      </w:rPr>
                      <w:t xml:space="preserve"> </w:t>
                    </w:r>
                    <w:r w:rsidR="00050C69" w:rsidRPr="005748B0">
                      <w:rPr>
                        <w:rStyle w:val="IATableTextChar"/>
                      </w:rPr>
                      <w:t>over the</w:t>
                    </w:r>
                    <w:r w:rsidR="00833C6A" w:rsidRPr="005748B0">
                      <w:rPr>
                        <w:rStyle w:val="IATableTextChar"/>
                      </w:rPr>
                      <w:t xml:space="preserve"> </w:t>
                    </w:r>
                    <w:r w:rsidR="00037AC1" w:rsidRPr="005748B0">
                      <w:rPr>
                        <w:rStyle w:val="IATableTextChar"/>
                      </w:rPr>
                      <w:t>average value of prevention of a fatal accident</w:t>
                    </w:r>
                    <w:r w:rsidR="00050C69" w:rsidRPr="005748B0">
                      <w:rPr>
                        <w:rStyle w:val="IATableTextChar"/>
                      </w:rPr>
                      <w:t xml:space="preserve"> for maritime accidents, and the likelihood of events such as a person drowning </w:t>
                    </w:r>
                    <w:r w:rsidR="002C0125" w:rsidRPr="005748B0">
                      <w:rPr>
                        <w:rStyle w:val="IATableTextChar"/>
                      </w:rPr>
                      <w:t>occurring</w:t>
                    </w:r>
                    <w:r w:rsidR="00050C69">
                      <w:rPr>
                        <w:rStyle w:val="IATableTextChar"/>
                        <w:sz w:val="22"/>
                        <w:szCs w:val="22"/>
                      </w:rPr>
                      <w:t>.</w:t>
                    </w:r>
                  </w:p>
                </w:sdtContent>
              </w:sdt>
            </w:sdtContent>
          </w:sdt>
        </w:tc>
      </w:tr>
    </w:tbl>
    <w:p w14:paraId="114D73F9" w14:textId="77777777" w:rsidR="007D5347" w:rsidRPr="002F2E4B" w:rsidRDefault="007D5347" w:rsidP="002F2E4B">
      <w:pPr>
        <w:pStyle w:val="IASpacer"/>
      </w:pPr>
    </w:p>
    <w:p w14:paraId="6366D92B" w14:textId="3CBF17FF" w:rsidR="007D5347" w:rsidRPr="00475400" w:rsidRDefault="007D5347" w:rsidP="00475400">
      <w:pPr>
        <w:pStyle w:val="IATableHeading"/>
        <w:spacing w:after="20"/>
      </w:pPr>
      <w:r w:rsidRPr="00AA3F3D">
        <w:t xml:space="preserve">BUSINESS ASSESSMENT (Option </w:t>
      </w:r>
      <w:r w:rsidR="00BD5482">
        <w:t>1</w:t>
      </w:r>
      <w:r w:rsidRPr="00AA3F3D">
        <w:t>)</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1903"/>
        <w:gridCol w:w="1897"/>
        <w:gridCol w:w="1751"/>
        <w:gridCol w:w="4966"/>
      </w:tblGrid>
      <w:tr w:rsidR="007D5347" w:rsidRPr="000E02BE" w14:paraId="7F5A70DD" w14:textId="77777777" w:rsidTr="009B24BC">
        <w:trPr>
          <w:cantSplit/>
        </w:trPr>
        <w:tc>
          <w:tcPr>
            <w:tcW w:w="5551" w:type="dxa"/>
            <w:gridSpan w:val="3"/>
            <w:tcMar>
              <w:bottom w:w="0" w:type="dxa"/>
            </w:tcMar>
          </w:tcPr>
          <w:p w14:paraId="7BA62BEC" w14:textId="77777777" w:rsidR="007D5347" w:rsidRPr="000E02BE" w:rsidRDefault="007D5347" w:rsidP="00AA3F3D">
            <w:pPr>
              <w:pStyle w:val="IATableHeading"/>
            </w:pPr>
            <w:r w:rsidRPr="000E02BE">
              <w:t xml:space="preserve">Direct impact on </w:t>
            </w:r>
            <w:r>
              <w:t>business (Equivalent Annual) £m</w:t>
            </w:r>
            <w:r w:rsidRPr="000E02BE">
              <w:t xml:space="preserve">: </w:t>
            </w:r>
          </w:p>
        </w:tc>
        <w:tc>
          <w:tcPr>
            <w:tcW w:w="4966" w:type="dxa"/>
            <w:vMerge w:val="restart"/>
            <w:vAlign w:val="center"/>
          </w:tcPr>
          <w:p w14:paraId="30EFECC1" w14:textId="77777777" w:rsidR="007D5347" w:rsidRPr="000E02BE" w:rsidRDefault="007D5347" w:rsidP="00B10FBA">
            <w:pPr>
              <w:pStyle w:val="IATableHeading"/>
            </w:pPr>
            <w:r w:rsidRPr="00475400">
              <w:t>Score for Business Impact Target (qualifying provisions only) £m:</w:t>
            </w:r>
            <w:r w:rsidR="00B10FBA">
              <w:t xml:space="preserve"> </w:t>
            </w:r>
            <w:r>
              <w:t xml:space="preserve"> </w:t>
            </w:r>
            <w:sdt>
              <w:sdtPr>
                <w:rPr>
                  <w:rStyle w:val="IATableLabelCharChar"/>
                  <w:b w:val="0"/>
                </w:rPr>
                <w:id w:val="-569804449"/>
                <w:placeholder>
                  <w:docPart w:val="D1C58E279DAE4F1B8A0C88EF965E5CA5"/>
                </w:placeholder>
              </w:sdtPr>
              <w:sdtEndPr>
                <w:rPr>
                  <w:rStyle w:val="DefaultParagraphFont"/>
                </w:rPr>
              </w:sdtEndPr>
              <w:sdtContent>
                <w:r w:rsidR="00DA17C0">
                  <w:rPr>
                    <w:rStyle w:val="IATableLabelCharChar"/>
                    <w:b w:val="0"/>
                  </w:rPr>
                  <w:t>N/A</w:t>
                </w:r>
              </w:sdtContent>
            </w:sdt>
          </w:p>
        </w:tc>
      </w:tr>
      <w:tr w:rsidR="007D5347" w:rsidRPr="00E75380" w14:paraId="0EF27DA3" w14:textId="77777777" w:rsidTr="009B24BC">
        <w:trPr>
          <w:cantSplit/>
        </w:trPr>
        <w:tc>
          <w:tcPr>
            <w:tcW w:w="1903" w:type="dxa"/>
            <w:shd w:val="clear" w:color="auto" w:fill="FFFFFF"/>
            <w:tcMar>
              <w:top w:w="0" w:type="dxa"/>
            </w:tcMar>
          </w:tcPr>
          <w:p w14:paraId="4BA8DCCC" w14:textId="03DA5E6A" w:rsidR="007D5347" w:rsidRPr="001034F4" w:rsidRDefault="007D5347" w:rsidP="005A3880">
            <w:pPr>
              <w:pStyle w:val="IATableLabel"/>
            </w:pPr>
            <w:r w:rsidRPr="001034F4">
              <w:t>Costs:</w:t>
            </w:r>
            <w:r w:rsidR="00B10FBA" w:rsidRPr="001034F4">
              <w:t xml:space="preserve"> </w:t>
            </w:r>
            <w:r w:rsidRPr="001034F4">
              <w:t xml:space="preserve"> </w:t>
            </w:r>
            <w:sdt>
              <w:sdtPr>
                <w:id w:val="-1527167442"/>
                <w:placeholder>
                  <w:docPart w:val="384F7D9832E2470490E9FCBF34F42E1B"/>
                </w:placeholder>
              </w:sdtPr>
              <w:sdtEndPr/>
              <w:sdtContent>
                <w:r w:rsidR="00B074CC">
                  <w:t>1.2</w:t>
                </w:r>
              </w:sdtContent>
            </w:sdt>
          </w:p>
        </w:tc>
        <w:tc>
          <w:tcPr>
            <w:tcW w:w="1897" w:type="dxa"/>
            <w:shd w:val="clear" w:color="auto" w:fill="FFFFFF"/>
            <w:tcMar>
              <w:top w:w="0" w:type="dxa"/>
            </w:tcMar>
          </w:tcPr>
          <w:p w14:paraId="282B6A88" w14:textId="77777777" w:rsidR="007D5347" w:rsidRPr="001034F4" w:rsidRDefault="007D5347" w:rsidP="005A3880">
            <w:pPr>
              <w:pStyle w:val="IATableLabel"/>
            </w:pPr>
            <w:r w:rsidRPr="001034F4">
              <w:t>Benefits:</w:t>
            </w:r>
            <w:r w:rsidR="00B10FBA" w:rsidRPr="001034F4">
              <w:t xml:space="preserve"> </w:t>
            </w:r>
            <w:r w:rsidRPr="001034F4">
              <w:t xml:space="preserve"> </w:t>
            </w:r>
            <w:sdt>
              <w:sdtPr>
                <w:id w:val="-1602018325"/>
                <w:placeholder>
                  <w:docPart w:val="E9309126830C4F73ACB47C3DAA5D28E5"/>
                </w:placeholder>
              </w:sdtPr>
              <w:sdtEndPr/>
              <w:sdtContent>
                <w:r w:rsidR="001034F4" w:rsidRPr="001034F4">
                  <w:t>0.0</w:t>
                </w:r>
              </w:sdtContent>
            </w:sdt>
          </w:p>
        </w:tc>
        <w:tc>
          <w:tcPr>
            <w:tcW w:w="1751" w:type="dxa"/>
            <w:shd w:val="clear" w:color="auto" w:fill="FFFFFF"/>
            <w:tcMar>
              <w:top w:w="0" w:type="dxa"/>
            </w:tcMar>
          </w:tcPr>
          <w:p w14:paraId="24A2B6E1" w14:textId="72E4DCE1" w:rsidR="007D5347" w:rsidRPr="001034F4" w:rsidRDefault="007D5347" w:rsidP="005A3880">
            <w:pPr>
              <w:pStyle w:val="IATableLabel"/>
            </w:pPr>
            <w:r w:rsidRPr="001034F4">
              <w:t>Net:</w:t>
            </w:r>
            <w:r w:rsidR="00B10FBA" w:rsidRPr="001034F4">
              <w:t xml:space="preserve"> </w:t>
            </w:r>
            <w:r w:rsidRPr="001034F4">
              <w:t xml:space="preserve"> </w:t>
            </w:r>
            <w:sdt>
              <w:sdtPr>
                <w:id w:val="291571921"/>
                <w:placeholder>
                  <w:docPart w:val="D96EE0F039AB4909B542B3B0A4D61500"/>
                </w:placeholder>
              </w:sdtPr>
              <w:sdtEndPr/>
              <w:sdtContent>
                <w:r w:rsidR="00B074CC">
                  <w:t>1.2</w:t>
                </w:r>
              </w:sdtContent>
            </w:sdt>
          </w:p>
        </w:tc>
        <w:tc>
          <w:tcPr>
            <w:tcW w:w="4966" w:type="dxa"/>
            <w:vMerge/>
            <w:shd w:val="clear" w:color="auto" w:fill="FFFFFF"/>
          </w:tcPr>
          <w:p w14:paraId="114E968E" w14:textId="77777777" w:rsidR="007D5347" w:rsidRPr="00F63895" w:rsidRDefault="007D5347" w:rsidP="00712919">
            <w:pPr>
              <w:pStyle w:val="IATableText"/>
            </w:pPr>
          </w:p>
        </w:tc>
      </w:tr>
    </w:tbl>
    <w:p w14:paraId="07CA8499" w14:textId="77777777" w:rsidR="00D77F7E" w:rsidRPr="009B24BC" w:rsidRDefault="00D77F7E" w:rsidP="009B24BC">
      <w:pPr>
        <w:rPr>
          <w:sz w:val="2"/>
        </w:rPr>
      </w:pPr>
      <w:bookmarkStart w:id="12" w:name="EvidenceHead"/>
    </w:p>
    <w:p w14:paraId="7F4DA5C3" w14:textId="77777777" w:rsidR="008D463C" w:rsidRDefault="008D463C" w:rsidP="00D77F7E">
      <w:pPr>
        <w:rPr>
          <w:sz w:val="2"/>
        </w:rPr>
      </w:pPr>
    </w:p>
    <w:p w14:paraId="60DD3548" w14:textId="77777777" w:rsidR="008D463C" w:rsidRPr="008D463C" w:rsidRDefault="008D463C" w:rsidP="008D463C">
      <w:pPr>
        <w:rPr>
          <w:sz w:val="2"/>
        </w:rPr>
      </w:pPr>
    </w:p>
    <w:p w14:paraId="2151E659" w14:textId="77777777" w:rsidR="008D463C" w:rsidRPr="008D463C" w:rsidRDefault="008D463C" w:rsidP="008D463C">
      <w:pPr>
        <w:rPr>
          <w:sz w:val="2"/>
        </w:rPr>
      </w:pPr>
    </w:p>
    <w:p w14:paraId="5DFE99FB" w14:textId="77777777" w:rsidR="00D77F7E" w:rsidRPr="008D463C" w:rsidRDefault="00D77F7E" w:rsidP="008D463C">
      <w:pPr>
        <w:tabs>
          <w:tab w:val="left" w:pos="2418"/>
        </w:tabs>
        <w:rPr>
          <w:sz w:val="2"/>
        </w:rPr>
        <w:sectPr w:rsidR="00D77F7E" w:rsidRPr="008D463C" w:rsidSect="00376C65">
          <w:headerReference w:type="even" r:id="rId10"/>
          <w:footerReference w:type="default" r:id="rId11"/>
          <w:footnotePr>
            <w:numRestart w:val="eachSect"/>
          </w:footnotePr>
          <w:pgSz w:w="11907" w:h="16840" w:code="9"/>
          <w:pgMar w:top="680" w:right="680" w:bottom="680" w:left="680" w:header="284" w:footer="284" w:gutter="0"/>
          <w:cols w:space="708"/>
          <w:formProt w:val="0"/>
          <w:docGrid w:linePitch="360"/>
        </w:sectPr>
      </w:pPr>
    </w:p>
    <w:p w14:paraId="782E206C" w14:textId="48E2CCAE" w:rsidR="00BD5482" w:rsidRDefault="00BD5482" w:rsidP="00BD5482">
      <w:pPr>
        <w:pStyle w:val="Heading1"/>
        <w:tabs>
          <w:tab w:val="clear" w:pos="10206"/>
          <w:tab w:val="right" w:pos="10490"/>
        </w:tabs>
      </w:pPr>
      <w:bookmarkStart w:id="13" w:name="EvidenceBase"/>
      <w:r w:rsidRPr="00475400">
        <w:rPr>
          <w:rFonts w:ascii="Arial" w:hAnsi="Arial"/>
        </w:rPr>
        <w:lastRenderedPageBreak/>
        <w:t>Summary: Analysis &amp; Evidence</w:t>
      </w:r>
      <w:r>
        <w:tab/>
      </w:r>
      <w:r w:rsidRPr="00511814">
        <w:rPr>
          <w:rFonts w:ascii="Arial" w:hAnsi="Arial"/>
          <w:b w:val="0"/>
        </w:rPr>
        <w:t xml:space="preserve">Policy Option </w:t>
      </w:r>
      <w:r>
        <w:rPr>
          <w:rFonts w:ascii="Arial" w:hAnsi="Arial"/>
          <w:b w:val="0"/>
        </w:rPr>
        <w:t>2</w:t>
      </w:r>
    </w:p>
    <w:p w14:paraId="1C9EBFC7" w14:textId="00D5E258" w:rsidR="00BD5482" w:rsidRPr="007A73C6" w:rsidRDefault="00BD5482" w:rsidP="00BD5482">
      <w:pPr>
        <w:pStyle w:val="IAHeadLab"/>
        <w:spacing w:before="60" w:after="60"/>
        <w:rPr>
          <w:rStyle w:val="IAHeadLabChar"/>
        </w:rPr>
      </w:pPr>
      <w:r w:rsidRPr="00892576">
        <w:t>Description:</w:t>
      </w:r>
      <w:r w:rsidRPr="007A73C6">
        <w:rPr>
          <w:rStyle w:val="IAHeadLabChar"/>
        </w:rPr>
        <w:t xml:space="preserve"> </w:t>
      </w:r>
      <w:r>
        <w:rPr>
          <w:rStyle w:val="IAHeadLabChar"/>
          <w:b/>
        </w:rPr>
        <w:t xml:space="preserve"> </w:t>
      </w:r>
      <w:sdt>
        <w:sdtPr>
          <w:id w:val="-1450766948"/>
          <w:placeholder>
            <w:docPart w:val="CE67B93E03DF4FD498E96CB28A01EB45"/>
          </w:placeholder>
          <w:text/>
        </w:sdtPr>
        <w:sdtEndPr/>
        <w:sdtContent>
          <w:r w:rsidRPr="00BD5482">
            <w:t>Compliance in full with requirements applicable to new vessels</w:t>
          </w:r>
        </w:sdtContent>
      </w:sdt>
    </w:p>
    <w:p w14:paraId="1130088B" w14:textId="77777777" w:rsidR="00BD5482" w:rsidRPr="00816B34" w:rsidRDefault="00BD5482" w:rsidP="00BD5482">
      <w:pPr>
        <w:pStyle w:val="IATableHeading"/>
      </w:pPr>
      <w:r w:rsidRPr="00816B34">
        <w:t>FULL ECONOMIC ASSESSMENT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28" w:type="dxa"/>
          <w:left w:w="113" w:type="dxa"/>
          <w:bottom w:w="28" w:type="dxa"/>
          <w:right w:w="113" w:type="dxa"/>
        </w:tblCellMar>
        <w:tblLook w:val="01E0" w:firstRow="1" w:lastRow="1" w:firstColumn="1" w:lastColumn="1" w:noHBand="0" w:noVBand="0"/>
      </w:tblPr>
      <w:tblGrid>
        <w:gridCol w:w="1302"/>
        <w:gridCol w:w="1298"/>
        <w:gridCol w:w="1481"/>
        <w:gridCol w:w="1851"/>
        <w:gridCol w:w="1878"/>
        <w:gridCol w:w="2707"/>
      </w:tblGrid>
      <w:tr w:rsidR="00BD5482" w:rsidRPr="00816B34" w14:paraId="0832599C" w14:textId="77777777" w:rsidTr="00592B63">
        <w:trPr>
          <w:trHeight w:val="20"/>
        </w:trPr>
        <w:tc>
          <w:tcPr>
            <w:tcW w:w="619" w:type="pct"/>
            <w:vMerge w:val="restart"/>
            <w:shd w:val="clear" w:color="auto" w:fill="auto"/>
            <w:vAlign w:val="center"/>
          </w:tcPr>
          <w:p w14:paraId="7AC46867" w14:textId="77777777" w:rsidR="00BD5482" w:rsidRPr="00816B34" w:rsidRDefault="00BD5482" w:rsidP="00592B63">
            <w:pPr>
              <w:pStyle w:val="IATableHeading"/>
            </w:pPr>
            <w:r w:rsidRPr="00816B34">
              <w:t xml:space="preserve">Price Base Year: </w:t>
            </w:r>
            <w:sdt>
              <w:sdtPr>
                <w:alias w:val="PriceBaseYear"/>
                <w:tag w:val="PriceBaseYear"/>
                <w:id w:val="1434628455"/>
                <w:placeholder>
                  <w:docPart w:val="8556925AFBA4407DABCE340AFAAC9545"/>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Pr="00816B34">
                  <w:t>2017</w:t>
                </w:r>
              </w:sdtContent>
            </w:sdt>
          </w:p>
        </w:tc>
        <w:tc>
          <w:tcPr>
            <w:tcW w:w="617" w:type="pct"/>
            <w:vMerge w:val="restart"/>
            <w:shd w:val="clear" w:color="auto" w:fill="auto"/>
            <w:vAlign w:val="center"/>
          </w:tcPr>
          <w:p w14:paraId="5BE62230" w14:textId="77777777" w:rsidR="00BD5482" w:rsidRPr="00816B34" w:rsidRDefault="00BD5482" w:rsidP="00592B63">
            <w:pPr>
              <w:pStyle w:val="IATableHeading"/>
            </w:pPr>
            <w:r w:rsidRPr="00816B34">
              <w:t xml:space="preserve">PV Base Year: </w:t>
            </w:r>
            <w:sdt>
              <w:sdtPr>
                <w:alias w:val="PVBaseYear"/>
                <w:tag w:val="PVBaseYear"/>
                <w:id w:val="781929468"/>
                <w:placeholder>
                  <w:docPart w:val="9A714F0824624F6E83FEEAD44C856696"/>
                </w:placeholder>
                <w:comboBox>
                  <w:listItem w:value="Year"/>
                  <w:listItem w:displayText="2010" w:value="2010"/>
                  <w:listItem w:displayText="2011" w:value="2011"/>
                  <w:listItem w:displayText="2012" w:value="2012"/>
                  <w:listItem w:displayText="2013" w:value="2013"/>
                  <w:listItem w:displayText="2014" w:value="2014"/>
                  <w:listItem w:displayText="2015" w:value="2015"/>
                  <w:listItem w:displayText="2016" w:value="2016"/>
                  <w:listItem w:displayText="2017" w:value="2017"/>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sidRPr="00816B34">
                  <w:t>2019</w:t>
                </w:r>
              </w:sdtContent>
            </w:sdt>
          </w:p>
        </w:tc>
        <w:tc>
          <w:tcPr>
            <w:tcW w:w="704" w:type="pct"/>
            <w:vMerge w:val="restart"/>
            <w:shd w:val="clear" w:color="auto" w:fill="auto"/>
            <w:vAlign w:val="center"/>
          </w:tcPr>
          <w:p w14:paraId="26BA857F" w14:textId="77777777" w:rsidR="00BD5482" w:rsidRPr="00816B34" w:rsidRDefault="00BD5482" w:rsidP="00592B63">
            <w:pPr>
              <w:pStyle w:val="IATableHeading"/>
              <w:rPr>
                <w:b w:val="0"/>
              </w:rPr>
            </w:pPr>
            <w:r w:rsidRPr="00816B34">
              <w:t xml:space="preserve">Time Period Years: </w:t>
            </w:r>
            <w:sdt>
              <w:sdtPr>
                <w:id w:val="1771049712"/>
                <w:placeholder>
                  <w:docPart w:val="05471B99BD944D38AA2517BDDF28A797"/>
                </w:placeholder>
              </w:sdtPr>
              <w:sdtEndPr/>
              <w:sdtContent>
                <w:r w:rsidRPr="00816B34">
                  <w:t>10</w:t>
                </w:r>
              </w:sdtContent>
            </w:sdt>
          </w:p>
        </w:tc>
        <w:tc>
          <w:tcPr>
            <w:tcW w:w="3060" w:type="pct"/>
            <w:gridSpan w:val="3"/>
            <w:shd w:val="clear" w:color="auto" w:fill="FFFFFF"/>
          </w:tcPr>
          <w:p w14:paraId="5CA02EDA" w14:textId="77777777" w:rsidR="00BD5482" w:rsidRPr="00816B34" w:rsidRDefault="00BD5482" w:rsidP="00592B63">
            <w:pPr>
              <w:pStyle w:val="IATableHeading"/>
              <w:jc w:val="center"/>
            </w:pPr>
            <w:r w:rsidRPr="00816B34">
              <w:t>Net Benefit (Present Value (PV)) (£m)</w:t>
            </w:r>
          </w:p>
        </w:tc>
      </w:tr>
      <w:tr w:rsidR="00BD5482" w:rsidRPr="00BD5482" w14:paraId="1CC264C6" w14:textId="77777777" w:rsidTr="00592B63">
        <w:trPr>
          <w:trHeight w:val="20"/>
        </w:trPr>
        <w:tc>
          <w:tcPr>
            <w:tcW w:w="619" w:type="pct"/>
            <w:vMerge/>
            <w:shd w:val="clear" w:color="auto" w:fill="auto"/>
          </w:tcPr>
          <w:p w14:paraId="0EA4652E" w14:textId="77777777" w:rsidR="00BD5482" w:rsidRPr="00BD5482" w:rsidRDefault="00BD5482" w:rsidP="00592B63">
            <w:pPr>
              <w:rPr>
                <w:b/>
                <w:sz w:val="20"/>
                <w:highlight w:val="yellow"/>
              </w:rPr>
            </w:pPr>
          </w:p>
        </w:tc>
        <w:tc>
          <w:tcPr>
            <w:tcW w:w="617" w:type="pct"/>
            <w:vMerge/>
            <w:shd w:val="clear" w:color="auto" w:fill="auto"/>
          </w:tcPr>
          <w:p w14:paraId="53CA4F54" w14:textId="77777777" w:rsidR="00BD5482" w:rsidRPr="00BD5482" w:rsidRDefault="00BD5482" w:rsidP="00592B63">
            <w:pPr>
              <w:rPr>
                <w:b/>
                <w:sz w:val="20"/>
                <w:highlight w:val="yellow"/>
              </w:rPr>
            </w:pPr>
          </w:p>
        </w:tc>
        <w:tc>
          <w:tcPr>
            <w:tcW w:w="704" w:type="pct"/>
            <w:vMerge/>
            <w:shd w:val="clear" w:color="auto" w:fill="auto"/>
          </w:tcPr>
          <w:p w14:paraId="13523D82" w14:textId="77777777" w:rsidR="00BD5482" w:rsidRPr="00BD5482" w:rsidRDefault="00BD5482" w:rsidP="00592B63">
            <w:pPr>
              <w:rPr>
                <w:b/>
                <w:sz w:val="20"/>
                <w:highlight w:val="yellow"/>
              </w:rPr>
            </w:pPr>
          </w:p>
        </w:tc>
        <w:tc>
          <w:tcPr>
            <w:tcW w:w="880" w:type="pct"/>
            <w:shd w:val="clear" w:color="auto" w:fill="auto"/>
          </w:tcPr>
          <w:p w14:paraId="550E5E98" w14:textId="1B551740" w:rsidR="00BD5482" w:rsidRPr="009468DF" w:rsidRDefault="00BD5482" w:rsidP="00592B63">
            <w:pPr>
              <w:pStyle w:val="IATableHeading"/>
              <w:rPr>
                <w:bCs/>
              </w:rPr>
            </w:pPr>
            <w:r w:rsidRPr="009468DF">
              <w:t>Low:</w:t>
            </w:r>
            <w:r w:rsidRPr="009468DF">
              <w:rPr>
                <w:b w:val="0"/>
              </w:rPr>
              <w:t xml:space="preserve"> </w:t>
            </w:r>
            <w:sdt>
              <w:sdtPr>
                <w:rPr>
                  <w:rStyle w:val="IATableLabelCharChar"/>
                  <w:b w:val="0"/>
                </w:rPr>
                <w:id w:val="-1082065540"/>
                <w:placeholder>
                  <w:docPart w:val="C4173C8D14754594BDB6A6FBD90016CB"/>
                </w:placeholder>
              </w:sdtPr>
              <w:sdtEndPr>
                <w:rPr>
                  <w:rStyle w:val="DefaultParagraphFont"/>
                </w:rPr>
              </w:sdtEndPr>
              <w:sdtContent>
                <w:r w:rsidR="00F851B9" w:rsidRPr="009468DF">
                  <w:rPr>
                    <w:rStyle w:val="IATableLabelCharChar"/>
                    <w:b w:val="0"/>
                  </w:rPr>
                  <w:t>-0.6</w:t>
                </w:r>
              </w:sdtContent>
            </w:sdt>
          </w:p>
        </w:tc>
        <w:tc>
          <w:tcPr>
            <w:tcW w:w="893" w:type="pct"/>
            <w:shd w:val="clear" w:color="auto" w:fill="auto"/>
          </w:tcPr>
          <w:p w14:paraId="234FDA2B" w14:textId="354EFC7B" w:rsidR="00BD5482" w:rsidRPr="009468DF" w:rsidRDefault="00BD5482" w:rsidP="00592B63">
            <w:pPr>
              <w:pStyle w:val="IATableHeading"/>
              <w:rPr>
                <w:rFonts w:cs="Arial"/>
                <w:bCs/>
                <w:szCs w:val="18"/>
              </w:rPr>
            </w:pPr>
            <w:r w:rsidRPr="009468DF">
              <w:t>High:</w:t>
            </w:r>
            <w:r w:rsidRPr="009468DF">
              <w:rPr>
                <w:b w:val="0"/>
              </w:rPr>
              <w:t xml:space="preserve"> </w:t>
            </w:r>
            <w:sdt>
              <w:sdtPr>
                <w:rPr>
                  <w:rStyle w:val="IATableLabelCharChar"/>
                  <w:b w:val="0"/>
                </w:rPr>
                <w:id w:val="-140428733"/>
                <w:placeholder>
                  <w:docPart w:val="1EBD52B3137847C68B77864A4C51E2C9"/>
                </w:placeholder>
              </w:sdtPr>
              <w:sdtEndPr>
                <w:rPr>
                  <w:rStyle w:val="DefaultParagraphFont"/>
                </w:rPr>
              </w:sdtEndPr>
              <w:sdtContent>
                <w:r w:rsidR="00F851B9" w:rsidRPr="009468DF">
                  <w:rPr>
                    <w:rStyle w:val="IATableLabelCharChar"/>
                    <w:b w:val="0"/>
                  </w:rPr>
                  <w:t>-12.5</w:t>
                </w:r>
              </w:sdtContent>
            </w:sdt>
          </w:p>
        </w:tc>
        <w:tc>
          <w:tcPr>
            <w:tcW w:w="1287" w:type="pct"/>
            <w:shd w:val="clear" w:color="auto" w:fill="FFFFFF"/>
          </w:tcPr>
          <w:p w14:paraId="49715B25" w14:textId="47104371" w:rsidR="00BD5482" w:rsidRPr="009468DF" w:rsidRDefault="00BD5482" w:rsidP="00592B63">
            <w:pPr>
              <w:pStyle w:val="IATableHeading"/>
              <w:rPr>
                <w:szCs w:val="18"/>
              </w:rPr>
            </w:pPr>
            <w:r w:rsidRPr="009468DF">
              <w:t>Best Estimate:</w:t>
            </w:r>
            <w:r w:rsidRPr="009468DF">
              <w:rPr>
                <w:b w:val="0"/>
              </w:rPr>
              <w:t xml:space="preserve"> </w:t>
            </w:r>
            <w:sdt>
              <w:sdtPr>
                <w:rPr>
                  <w:rStyle w:val="IATableLabelCharChar"/>
                  <w:b w:val="0"/>
                </w:rPr>
                <w:id w:val="1593818332"/>
                <w:placeholder>
                  <w:docPart w:val="47EEC50BBC3E4DA1A1B1E2EE67CBDE38"/>
                </w:placeholder>
              </w:sdtPr>
              <w:sdtEndPr>
                <w:rPr>
                  <w:rStyle w:val="DefaultParagraphFont"/>
                </w:rPr>
              </w:sdtEndPr>
              <w:sdtContent>
                <w:r w:rsidR="00F851B9" w:rsidRPr="009468DF">
                  <w:rPr>
                    <w:rStyle w:val="IATableLabelCharChar"/>
                    <w:b w:val="0"/>
                  </w:rPr>
                  <w:t>-6.7</w:t>
                </w:r>
              </w:sdtContent>
            </w:sdt>
          </w:p>
        </w:tc>
      </w:tr>
    </w:tbl>
    <w:p w14:paraId="68A0BA99" w14:textId="77777777" w:rsidR="00BD5482" w:rsidRPr="00BD5482" w:rsidRDefault="00BD5482" w:rsidP="00BD5482">
      <w:pPr>
        <w:pStyle w:val="IASpacer"/>
        <w:rPr>
          <w:highlight w:val="yellow"/>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45" w:type="dxa"/>
          <w:left w:w="113" w:type="dxa"/>
          <w:bottom w:w="45" w:type="dxa"/>
          <w:right w:w="113" w:type="dxa"/>
        </w:tblCellMar>
        <w:tblLook w:val="0620" w:firstRow="1" w:lastRow="0" w:firstColumn="0" w:lastColumn="0" w:noHBand="1" w:noVBand="1"/>
      </w:tblPr>
      <w:tblGrid>
        <w:gridCol w:w="2049"/>
        <w:gridCol w:w="2003"/>
        <w:gridCol w:w="812"/>
        <w:gridCol w:w="2944"/>
        <w:gridCol w:w="1825"/>
        <w:gridCol w:w="884"/>
      </w:tblGrid>
      <w:tr w:rsidR="00BD5482" w:rsidRPr="00BD5482" w14:paraId="35656C6F" w14:textId="77777777" w:rsidTr="00592B63">
        <w:tc>
          <w:tcPr>
            <w:tcW w:w="2049" w:type="dxa"/>
            <w:shd w:val="clear" w:color="auto" w:fill="FFFFFF"/>
          </w:tcPr>
          <w:p w14:paraId="79236209" w14:textId="77777777" w:rsidR="00BD5482" w:rsidRPr="00816B34" w:rsidRDefault="00BD5482" w:rsidP="00592B63">
            <w:pPr>
              <w:pStyle w:val="IATOM"/>
            </w:pPr>
            <w:r w:rsidRPr="00816B34">
              <w:t>COSTS (£m)</w:t>
            </w:r>
          </w:p>
        </w:tc>
        <w:tc>
          <w:tcPr>
            <w:tcW w:w="2815" w:type="dxa"/>
            <w:gridSpan w:val="2"/>
            <w:tcBorders>
              <w:top w:val="single" w:sz="12" w:space="0" w:color="auto"/>
              <w:bottom w:val="single" w:sz="6" w:space="0" w:color="auto"/>
            </w:tcBorders>
            <w:shd w:val="clear" w:color="auto" w:fill="auto"/>
          </w:tcPr>
          <w:p w14:paraId="5D74E708" w14:textId="77777777" w:rsidR="00BD5482" w:rsidRPr="00816B34" w:rsidRDefault="00BD5482" w:rsidP="00592B63">
            <w:pPr>
              <w:pStyle w:val="IATableHeading"/>
              <w:jc w:val="right"/>
            </w:pPr>
            <w:r w:rsidRPr="00816B34">
              <w:t xml:space="preserve">Total Transition </w:t>
            </w:r>
          </w:p>
          <w:p w14:paraId="68D0102B" w14:textId="77777777" w:rsidR="00BD5482" w:rsidRPr="00816B34" w:rsidRDefault="00BD5482" w:rsidP="00592B63">
            <w:pPr>
              <w:pStyle w:val="IATableHeading"/>
              <w:jc w:val="right"/>
            </w:pPr>
            <w:r w:rsidRPr="00816B34">
              <w:rPr>
                <w:b w:val="0"/>
                <w:sz w:val="16"/>
                <w:szCs w:val="18"/>
              </w:rPr>
              <w:t>(Constant Price)</w:t>
            </w:r>
            <w:r w:rsidRPr="00816B34">
              <w:rPr>
                <w:b w:val="0"/>
                <w:sz w:val="18"/>
              </w:rPr>
              <w:tab/>
              <w:t xml:space="preserve">  </w:t>
            </w:r>
            <w:r w:rsidRPr="00816B34">
              <w:rPr>
                <w:b w:val="0"/>
                <w:sz w:val="16"/>
                <w:szCs w:val="18"/>
              </w:rPr>
              <w:t>Yea</w:t>
            </w:r>
            <w:r w:rsidRPr="00816B34">
              <w:rPr>
                <w:b w:val="0"/>
                <w:bCs/>
                <w:sz w:val="16"/>
                <w:szCs w:val="18"/>
              </w:rPr>
              <w:t>r</w:t>
            </w:r>
            <w:r w:rsidRPr="00816B34">
              <w:rPr>
                <w:b w:val="0"/>
                <w:sz w:val="16"/>
                <w:szCs w:val="18"/>
              </w:rPr>
              <w:t>s</w:t>
            </w:r>
          </w:p>
        </w:tc>
        <w:tc>
          <w:tcPr>
            <w:tcW w:w="2944" w:type="dxa"/>
            <w:tcBorders>
              <w:bottom w:val="single" w:sz="6" w:space="0" w:color="auto"/>
              <w:right w:val="single" w:sz="12" w:space="0" w:color="auto"/>
            </w:tcBorders>
            <w:shd w:val="clear" w:color="auto" w:fill="auto"/>
          </w:tcPr>
          <w:p w14:paraId="110941E7" w14:textId="77777777" w:rsidR="00BD5482" w:rsidRPr="00816B34" w:rsidRDefault="00BD5482" w:rsidP="00592B63">
            <w:pPr>
              <w:pStyle w:val="IATableHeading"/>
              <w:jc w:val="right"/>
              <w:rPr>
                <w:rFonts w:cs="Arial"/>
                <w:bCs/>
              </w:rPr>
            </w:pPr>
            <w:r w:rsidRPr="00816B34">
              <w:t xml:space="preserve">Average Annual </w:t>
            </w:r>
            <w:r w:rsidRPr="00816B34">
              <w:br/>
            </w:r>
            <w:r w:rsidRPr="00816B34">
              <w:rPr>
                <w:b w:val="0"/>
                <w:sz w:val="16"/>
              </w:rPr>
              <w:t xml:space="preserve">(excl. Transition) </w:t>
            </w:r>
            <w:r w:rsidRPr="00816B34">
              <w:rPr>
                <w:rFonts w:cs="Arial"/>
                <w:b w:val="0"/>
                <w:bCs/>
                <w:sz w:val="16"/>
              </w:rPr>
              <w:t>(Constant Price)</w:t>
            </w:r>
          </w:p>
        </w:tc>
        <w:tc>
          <w:tcPr>
            <w:tcW w:w="2709" w:type="dxa"/>
            <w:gridSpan w:val="2"/>
            <w:tcBorders>
              <w:top w:val="single" w:sz="12" w:space="0" w:color="auto"/>
              <w:left w:val="single" w:sz="12" w:space="0" w:color="auto"/>
              <w:bottom w:val="single" w:sz="6" w:space="0" w:color="auto"/>
            </w:tcBorders>
            <w:shd w:val="clear" w:color="auto" w:fill="auto"/>
          </w:tcPr>
          <w:p w14:paraId="2B31ED32" w14:textId="77777777" w:rsidR="00BD5482" w:rsidRPr="00816B34" w:rsidRDefault="00BD5482" w:rsidP="00592B63">
            <w:pPr>
              <w:pStyle w:val="IATableHeading"/>
              <w:jc w:val="right"/>
            </w:pPr>
            <w:r w:rsidRPr="00816B34">
              <w:t xml:space="preserve">Total Cost </w:t>
            </w:r>
            <w:r w:rsidRPr="00816B34">
              <w:br/>
            </w:r>
            <w:r w:rsidRPr="00816B34">
              <w:rPr>
                <w:b w:val="0"/>
                <w:sz w:val="16"/>
              </w:rPr>
              <w:t>(Present Value)</w:t>
            </w:r>
          </w:p>
        </w:tc>
      </w:tr>
      <w:tr w:rsidR="00BD5482" w:rsidRPr="00BD5482" w14:paraId="7C1F17EB" w14:textId="77777777" w:rsidTr="00592B63">
        <w:tc>
          <w:tcPr>
            <w:tcW w:w="2049" w:type="dxa"/>
            <w:tcBorders>
              <w:top w:val="single" w:sz="6" w:space="0" w:color="auto"/>
              <w:bottom w:val="single" w:sz="6" w:space="0" w:color="auto"/>
            </w:tcBorders>
            <w:shd w:val="clear" w:color="auto" w:fill="auto"/>
            <w:vAlign w:val="center"/>
          </w:tcPr>
          <w:p w14:paraId="0EFDACED" w14:textId="77777777" w:rsidR="00BD5482" w:rsidRPr="009468DF" w:rsidRDefault="00BD5482" w:rsidP="00592B63">
            <w:pPr>
              <w:pStyle w:val="IATableHeading"/>
            </w:pPr>
            <w:r w:rsidRPr="009468DF">
              <w:t xml:space="preserve">Low </w:t>
            </w:r>
          </w:p>
        </w:tc>
        <w:tc>
          <w:tcPr>
            <w:tcW w:w="2003" w:type="dxa"/>
            <w:tcBorders>
              <w:top w:val="single" w:sz="6" w:space="0" w:color="auto"/>
              <w:bottom w:val="single" w:sz="6" w:space="0" w:color="auto"/>
            </w:tcBorders>
            <w:shd w:val="clear" w:color="auto" w:fill="auto"/>
            <w:vAlign w:val="center"/>
          </w:tcPr>
          <w:p w14:paraId="34DFC854" w14:textId="278761AD" w:rsidR="00BD5482" w:rsidRPr="00E26D76" w:rsidRDefault="00784110" w:rsidP="00592B63">
            <w:pPr>
              <w:pStyle w:val="POTPY"/>
            </w:pPr>
            <w:sdt>
              <w:sdtPr>
                <w:rPr>
                  <w:rStyle w:val="PlaceholderText"/>
                </w:rPr>
                <w:id w:val="-1294215053"/>
                <w:placeholder>
                  <w:docPart w:val="6DC48419597F483197639975441DD5FE"/>
                </w:placeholder>
                <w:text/>
              </w:sdtPr>
              <w:sdtEndPr>
                <w:rPr>
                  <w:rStyle w:val="PlaceholderText"/>
                </w:rPr>
              </w:sdtEndPr>
              <w:sdtContent>
                <w:r w:rsidR="00E26D76" w:rsidRPr="00E26D76">
                  <w:rPr>
                    <w:rStyle w:val="PlaceholderText"/>
                  </w:rPr>
                  <w:t>5.9</w:t>
                </w:r>
              </w:sdtContent>
            </w:sdt>
          </w:p>
        </w:tc>
        <w:tc>
          <w:tcPr>
            <w:tcW w:w="812" w:type="dxa"/>
            <w:vMerge w:val="restart"/>
            <w:tcBorders>
              <w:top w:val="single" w:sz="6" w:space="0" w:color="auto"/>
            </w:tcBorders>
            <w:shd w:val="clear" w:color="auto" w:fill="auto"/>
            <w:vAlign w:val="center"/>
          </w:tcPr>
          <w:p w14:paraId="08151C41" w14:textId="77777777" w:rsidR="00BD5482" w:rsidRPr="00BD5482" w:rsidRDefault="00784110" w:rsidP="00592B63">
            <w:pPr>
              <w:pStyle w:val="POTPY"/>
              <w:jc w:val="center"/>
              <w:rPr>
                <w:highlight w:val="yellow"/>
              </w:rPr>
            </w:pPr>
            <w:sdt>
              <w:sdtPr>
                <w:id w:val="256176928"/>
                <w:placeholder>
                  <w:docPart w:val="D6374E7CB2F64A93B35B3A361CF1F2D9"/>
                </w:placeholder>
                <w:text/>
              </w:sdtPr>
              <w:sdtEndPr/>
              <w:sdtContent>
                <w:r w:rsidR="00BD5482" w:rsidRPr="009468DF">
                  <w:rPr>
                    <w:rStyle w:val="PlaceholderText"/>
                  </w:rPr>
                  <w:t>1</w:t>
                </w:r>
              </w:sdtContent>
            </w:sdt>
          </w:p>
        </w:tc>
        <w:tc>
          <w:tcPr>
            <w:tcW w:w="2944" w:type="dxa"/>
            <w:tcBorders>
              <w:top w:val="single" w:sz="6" w:space="0" w:color="auto"/>
              <w:bottom w:val="single" w:sz="6" w:space="0" w:color="auto"/>
              <w:right w:val="single" w:sz="12" w:space="0" w:color="auto"/>
            </w:tcBorders>
            <w:shd w:val="clear" w:color="auto" w:fill="auto"/>
            <w:vAlign w:val="center"/>
          </w:tcPr>
          <w:p w14:paraId="2CE9A602" w14:textId="77777777" w:rsidR="00BD5482" w:rsidRPr="00E26D76" w:rsidRDefault="00784110" w:rsidP="00592B63">
            <w:pPr>
              <w:pStyle w:val="POTPY"/>
            </w:pPr>
            <w:sdt>
              <w:sdtPr>
                <w:id w:val="1918979528"/>
                <w:placeholder>
                  <w:docPart w:val="3EC4CA34333A48DF8C0AB0673643DA55"/>
                </w:placeholder>
                <w:text/>
              </w:sdtPr>
              <w:sdtEndPr/>
              <w:sdtContent>
                <w:r w:rsidR="00BD5482" w:rsidRPr="00E26D76">
                  <w:rPr>
                    <w:rStyle w:val="PlaceholderText"/>
                  </w:rPr>
                  <w:t>0.2</w:t>
                </w:r>
              </w:sdtContent>
            </w:sdt>
          </w:p>
        </w:tc>
        <w:tc>
          <w:tcPr>
            <w:tcW w:w="2709" w:type="dxa"/>
            <w:gridSpan w:val="2"/>
            <w:tcBorders>
              <w:top w:val="single" w:sz="6" w:space="0" w:color="auto"/>
              <w:left w:val="single" w:sz="12" w:space="0" w:color="auto"/>
              <w:bottom w:val="single" w:sz="6" w:space="0" w:color="auto"/>
            </w:tcBorders>
            <w:shd w:val="clear" w:color="auto" w:fill="auto"/>
            <w:vAlign w:val="center"/>
          </w:tcPr>
          <w:p w14:paraId="1A925DA4" w14:textId="5534EDDF" w:rsidR="00BD5482" w:rsidRPr="00E26D76" w:rsidRDefault="00784110" w:rsidP="00592B63">
            <w:pPr>
              <w:pStyle w:val="POPVBY"/>
            </w:pPr>
            <w:sdt>
              <w:sdtPr>
                <w:id w:val="1341578684"/>
                <w:placeholder>
                  <w:docPart w:val="999A1B57BB3F4F31AE8A170B24458535"/>
                </w:placeholder>
                <w:text/>
              </w:sdtPr>
              <w:sdtEndPr/>
              <w:sdtContent>
                <w:r w:rsidR="00E26D76" w:rsidRPr="00E26D76">
                  <w:rPr>
                    <w:rStyle w:val="PlaceholderText"/>
                  </w:rPr>
                  <w:t>7.9</w:t>
                </w:r>
              </w:sdtContent>
            </w:sdt>
          </w:p>
        </w:tc>
      </w:tr>
      <w:tr w:rsidR="00BD5482" w:rsidRPr="00BD5482" w14:paraId="0950A134" w14:textId="77777777" w:rsidTr="00592B63">
        <w:tc>
          <w:tcPr>
            <w:tcW w:w="2049" w:type="dxa"/>
            <w:tcBorders>
              <w:top w:val="single" w:sz="6" w:space="0" w:color="auto"/>
              <w:bottom w:val="single" w:sz="12" w:space="0" w:color="auto"/>
            </w:tcBorders>
            <w:shd w:val="clear" w:color="auto" w:fill="auto"/>
            <w:vAlign w:val="center"/>
          </w:tcPr>
          <w:p w14:paraId="4FE58D2E" w14:textId="77777777" w:rsidR="00BD5482" w:rsidRPr="009468DF" w:rsidRDefault="00BD5482" w:rsidP="00592B63">
            <w:pPr>
              <w:pStyle w:val="IATableHeading"/>
            </w:pPr>
            <w:r w:rsidRPr="009468DF">
              <w:t xml:space="preserve">High </w:t>
            </w:r>
          </w:p>
        </w:tc>
        <w:tc>
          <w:tcPr>
            <w:tcW w:w="2003" w:type="dxa"/>
            <w:tcBorders>
              <w:top w:val="single" w:sz="6" w:space="0" w:color="auto"/>
              <w:bottom w:val="single" w:sz="12" w:space="0" w:color="auto"/>
            </w:tcBorders>
            <w:shd w:val="clear" w:color="auto" w:fill="auto"/>
            <w:vAlign w:val="center"/>
          </w:tcPr>
          <w:p w14:paraId="3465EC76" w14:textId="13B1B250" w:rsidR="00BD5482" w:rsidRPr="00E26D76" w:rsidRDefault="00784110" w:rsidP="00592B63">
            <w:pPr>
              <w:pStyle w:val="POTPY"/>
            </w:pPr>
            <w:sdt>
              <w:sdtPr>
                <w:rPr>
                  <w:rStyle w:val="PlaceholderText"/>
                </w:rPr>
                <w:id w:val="-463657623"/>
                <w:placeholder>
                  <w:docPart w:val="EE7924BCCC18412B8A211623AFB534BC"/>
                </w:placeholder>
                <w:text/>
              </w:sdtPr>
              <w:sdtEndPr>
                <w:rPr>
                  <w:rStyle w:val="PlaceholderText"/>
                </w:rPr>
              </w:sdtEndPr>
              <w:sdtContent>
                <w:r w:rsidR="00E26D76" w:rsidRPr="00E26D76">
                  <w:rPr>
                    <w:rStyle w:val="PlaceholderText"/>
                  </w:rPr>
                  <w:t>12.8</w:t>
                </w:r>
              </w:sdtContent>
            </w:sdt>
          </w:p>
        </w:tc>
        <w:tc>
          <w:tcPr>
            <w:tcW w:w="812" w:type="dxa"/>
            <w:vMerge/>
            <w:shd w:val="clear" w:color="auto" w:fill="FFFFFF"/>
            <w:vAlign w:val="center"/>
          </w:tcPr>
          <w:p w14:paraId="452D4109" w14:textId="77777777" w:rsidR="00BD5482" w:rsidRPr="00BD5482" w:rsidRDefault="00BD5482" w:rsidP="00592B63">
            <w:pPr>
              <w:pStyle w:val="POTPY"/>
              <w:rPr>
                <w:highlight w:val="yellow"/>
              </w:rPr>
            </w:pPr>
          </w:p>
        </w:tc>
        <w:tc>
          <w:tcPr>
            <w:tcW w:w="2944" w:type="dxa"/>
            <w:tcBorders>
              <w:top w:val="single" w:sz="6" w:space="0" w:color="auto"/>
              <w:bottom w:val="single" w:sz="12" w:space="0" w:color="auto"/>
              <w:right w:val="single" w:sz="12" w:space="0" w:color="auto"/>
            </w:tcBorders>
            <w:shd w:val="clear" w:color="auto" w:fill="auto"/>
            <w:vAlign w:val="center"/>
          </w:tcPr>
          <w:p w14:paraId="7424CBC3" w14:textId="77777777" w:rsidR="00BD5482" w:rsidRPr="00E26D76" w:rsidRDefault="00784110" w:rsidP="00592B63">
            <w:pPr>
              <w:pStyle w:val="POTPY"/>
            </w:pPr>
            <w:sdt>
              <w:sdtPr>
                <w:id w:val="-2097092053"/>
                <w:placeholder>
                  <w:docPart w:val="0EB1E64CCC924199A97F0ACEBD86344E"/>
                </w:placeholder>
                <w:text/>
              </w:sdtPr>
              <w:sdtEndPr/>
              <w:sdtContent>
                <w:r w:rsidR="00BD5482" w:rsidRPr="00E26D76">
                  <w:rPr>
                    <w:rStyle w:val="PlaceholderText"/>
                  </w:rPr>
                  <w:t>0.2</w:t>
                </w:r>
              </w:sdtContent>
            </w:sdt>
          </w:p>
        </w:tc>
        <w:tc>
          <w:tcPr>
            <w:tcW w:w="2709" w:type="dxa"/>
            <w:gridSpan w:val="2"/>
            <w:tcBorders>
              <w:top w:val="single" w:sz="6" w:space="0" w:color="auto"/>
              <w:left w:val="single" w:sz="12" w:space="0" w:color="auto"/>
              <w:bottom w:val="single" w:sz="12" w:space="0" w:color="auto"/>
            </w:tcBorders>
            <w:shd w:val="clear" w:color="auto" w:fill="auto"/>
            <w:vAlign w:val="center"/>
          </w:tcPr>
          <w:p w14:paraId="42A9DB58" w14:textId="28F3DF54" w:rsidR="00BD5482" w:rsidRPr="00E26D76" w:rsidRDefault="00784110" w:rsidP="00592B63">
            <w:pPr>
              <w:pStyle w:val="POPVBY"/>
            </w:pPr>
            <w:sdt>
              <w:sdtPr>
                <w:id w:val="-609589002"/>
                <w:placeholder>
                  <w:docPart w:val="31F9B25F6F574D2790D36B3918352365"/>
                </w:placeholder>
                <w:text/>
              </w:sdtPr>
              <w:sdtEndPr/>
              <w:sdtContent>
                <w:r w:rsidR="00E26D76" w:rsidRPr="00E26D76">
                  <w:rPr>
                    <w:rStyle w:val="PlaceholderText"/>
                  </w:rPr>
                  <w:t>15.0</w:t>
                </w:r>
              </w:sdtContent>
            </w:sdt>
          </w:p>
        </w:tc>
      </w:tr>
      <w:tr w:rsidR="00BD5482" w:rsidRPr="00BD5482" w14:paraId="330BEFDB" w14:textId="77777777" w:rsidTr="00592B63">
        <w:tblPrEx>
          <w:tblCellMar>
            <w:left w:w="108" w:type="dxa"/>
            <w:right w:w="108" w:type="dxa"/>
          </w:tblCellMar>
        </w:tblPrEx>
        <w:tc>
          <w:tcPr>
            <w:tcW w:w="2049" w:type="dxa"/>
            <w:tcBorders>
              <w:top w:val="single" w:sz="12" w:space="0" w:color="auto"/>
              <w:bottom w:val="single" w:sz="12" w:space="0" w:color="auto"/>
              <w:right w:val="single" w:sz="12" w:space="0" w:color="auto"/>
            </w:tcBorders>
            <w:shd w:val="clear" w:color="auto" w:fill="FFFFFF"/>
            <w:vAlign w:val="center"/>
          </w:tcPr>
          <w:p w14:paraId="75450062" w14:textId="77777777" w:rsidR="00BD5482" w:rsidRPr="009468DF" w:rsidRDefault="00BD5482" w:rsidP="00592B63">
            <w:pPr>
              <w:pStyle w:val="IATableHeading"/>
            </w:pPr>
            <w:r w:rsidRPr="009468DF">
              <w:t>Best Estimate</w:t>
            </w:r>
          </w:p>
        </w:tc>
        <w:tc>
          <w:tcPr>
            <w:tcW w:w="2003" w:type="dxa"/>
            <w:tcBorders>
              <w:top w:val="single" w:sz="12" w:space="0" w:color="auto"/>
              <w:left w:val="single" w:sz="12" w:space="0" w:color="auto"/>
              <w:bottom w:val="single" w:sz="12" w:space="0" w:color="auto"/>
              <w:right w:val="single" w:sz="12" w:space="0" w:color="auto"/>
            </w:tcBorders>
            <w:shd w:val="clear" w:color="auto" w:fill="FFFFFF"/>
            <w:vAlign w:val="center"/>
          </w:tcPr>
          <w:p w14:paraId="732CAE27" w14:textId="126A4ED5" w:rsidR="00BD5482" w:rsidRPr="00E26D76" w:rsidRDefault="00784110" w:rsidP="00592B63">
            <w:pPr>
              <w:pStyle w:val="POTPY"/>
            </w:pPr>
            <w:sdt>
              <w:sdtPr>
                <w:rPr>
                  <w:rStyle w:val="PlaceholderText"/>
                </w:rPr>
                <w:id w:val="19127183"/>
                <w:placeholder>
                  <w:docPart w:val="989DBCAA10424EFC82E4A8EACD40BAAC"/>
                </w:placeholder>
                <w:text/>
              </w:sdtPr>
              <w:sdtEndPr>
                <w:rPr>
                  <w:rStyle w:val="PlaceholderText"/>
                </w:rPr>
              </w:sdtEndPr>
              <w:sdtContent>
                <w:r w:rsidR="00E26D76" w:rsidRPr="00E26D76">
                  <w:rPr>
                    <w:rStyle w:val="PlaceholderText"/>
                  </w:rPr>
                  <w:t>9.5</w:t>
                </w:r>
              </w:sdtContent>
            </w:sdt>
          </w:p>
        </w:tc>
        <w:tc>
          <w:tcPr>
            <w:tcW w:w="812" w:type="dxa"/>
            <w:vMerge/>
            <w:tcBorders>
              <w:left w:val="single" w:sz="12" w:space="0" w:color="auto"/>
              <w:right w:val="single" w:sz="12" w:space="0" w:color="auto"/>
            </w:tcBorders>
            <w:shd w:val="clear" w:color="auto" w:fill="FFFFFF"/>
            <w:vAlign w:val="center"/>
          </w:tcPr>
          <w:p w14:paraId="1422066E" w14:textId="77777777" w:rsidR="00BD5482" w:rsidRPr="00BD5482" w:rsidRDefault="00BD5482" w:rsidP="00592B63">
            <w:pPr>
              <w:pStyle w:val="POTPY"/>
              <w:rPr>
                <w:highlight w:val="yellow"/>
              </w:rPr>
            </w:pPr>
          </w:p>
        </w:tc>
        <w:tc>
          <w:tcPr>
            <w:tcW w:w="2944" w:type="dxa"/>
            <w:tcBorders>
              <w:top w:val="single" w:sz="12" w:space="0" w:color="auto"/>
              <w:left w:val="single" w:sz="12" w:space="0" w:color="auto"/>
              <w:bottom w:val="single" w:sz="12" w:space="0" w:color="auto"/>
              <w:right w:val="single" w:sz="12" w:space="0" w:color="auto"/>
            </w:tcBorders>
            <w:shd w:val="clear" w:color="auto" w:fill="FFFFFF"/>
            <w:vAlign w:val="center"/>
          </w:tcPr>
          <w:p w14:paraId="785D71F7" w14:textId="77777777" w:rsidR="00BD5482" w:rsidRPr="00E26D76" w:rsidRDefault="00784110" w:rsidP="00592B63">
            <w:pPr>
              <w:pStyle w:val="POTPY"/>
            </w:pPr>
            <w:sdt>
              <w:sdtPr>
                <w:id w:val="1831171720"/>
                <w:placeholder>
                  <w:docPart w:val="70E1CB47EFB04E76943AA74960E2AA0F"/>
                </w:placeholder>
                <w:text/>
              </w:sdtPr>
              <w:sdtEndPr/>
              <w:sdtContent>
                <w:r w:rsidR="00BD5482" w:rsidRPr="00E26D76">
                  <w:rPr>
                    <w:rStyle w:val="PlaceholderText"/>
                  </w:rPr>
                  <w:t>0.2</w:t>
                </w:r>
              </w:sdtContent>
            </w:sdt>
          </w:p>
        </w:tc>
        <w:tc>
          <w:tcPr>
            <w:tcW w:w="2709" w:type="dxa"/>
            <w:gridSpan w:val="2"/>
            <w:tcBorders>
              <w:top w:val="single" w:sz="12" w:space="0" w:color="auto"/>
              <w:left w:val="single" w:sz="12" w:space="0" w:color="auto"/>
              <w:bottom w:val="single" w:sz="12" w:space="0" w:color="auto"/>
            </w:tcBorders>
            <w:shd w:val="clear" w:color="auto" w:fill="FFFFFF"/>
            <w:vAlign w:val="center"/>
          </w:tcPr>
          <w:p w14:paraId="33E9FFED" w14:textId="4DF2BD48" w:rsidR="00BD5482" w:rsidRPr="00E26D76" w:rsidRDefault="00784110" w:rsidP="00592B63">
            <w:pPr>
              <w:pStyle w:val="POPVBY"/>
            </w:pPr>
            <w:sdt>
              <w:sdtPr>
                <w:id w:val="-1644653245"/>
                <w:placeholder>
                  <w:docPart w:val="E076279F85894353A77FB81D3526BEEA"/>
                </w:placeholder>
                <w:text/>
              </w:sdtPr>
              <w:sdtEndPr/>
              <w:sdtContent>
                <w:r w:rsidR="00E26D76" w:rsidRPr="00E26D76">
                  <w:rPr>
                    <w:rStyle w:val="PlaceholderText"/>
                  </w:rPr>
                  <w:t>11.5</w:t>
                </w:r>
              </w:sdtContent>
            </w:sdt>
          </w:p>
        </w:tc>
      </w:tr>
      <w:tr w:rsidR="00BD5482" w:rsidRPr="00BD5482" w14:paraId="61237DDC" w14:textId="77777777" w:rsidTr="00592B63">
        <w:tc>
          <w:tcPr>
            <w:tcW w:w="10517" w:type="dxa"/>
            <w:gridSpan w:val="6"/>
            <w:tcBorders>
              <w:bottom w:val="single" w:sz="6" w:space="0" w:color="auto"/>
            </w:tcBorders>
            <w:shd w:val="clear" w:color="auto" w:fill="auto"/>
            <w:tcMar>
              <w:top w:w="45" w:type="dxa"/>
              <w:bottom w:w="45" w:type="dxa"/>
            </w:tcMar>
          </w:tcPr>
          <w:p w14:paraId="6BFD6658" w14:textId="77777777" w:rsidR="00BD5482" w:rsidRPr="00816B34" w:rsidRDefault="00BD5482" w:rsidP="00592B63">
            <w:pPr>
              <w:pStyle w:val="IATableLines"/>
            </w:pPr>
            <w:r w:rsidRPr="00816B34">
              <w:t>Description and scale of key monetised costs by ‘main affected groups’</w:t>
            </w:r>
          </w:p>
          <w:sdt>
            <w:sdtPr>
              <w:rPr>
                <w:rStyle w:val="IATableTextChar"/>
                <w:sz w:val="22"/>
                <w:szCs w:val="22"/>
                <w:highlight w:val="yellow"/>
              </w:rPr>
              <w:alias w:val="PMC"/>
              <w:tag w:val="PMC"/>
              <w:id w:val="-1930649005"/>
              <w:placeholder>
                <w:docPart w:val="55C3761E6ABE4DBE952657E177C92025"/>
              </w:placeholder>
            </w:sdtPr>
            <w:sdtEndPr>
              <w:rPr>
                <w:rStyle w:val="DefaultParagraphFont"/>
                <w:rFonts w:eastAsia="Times New Roman"/>
                <w:lang w:eastAsia="en-US"/>
              </w:rPr>
            </w:sdtEndPr>
            <w:sdtContent>
              <w:p w14:paraId="734C2A3D" w14:textId="77777777" w:rsidR="00BD5482" w:rsidRPr="00AB0614" w:rsidRDefault="00BD5482" w:rsidP="00592B63">
                <w:pPr>
                  <w:rPr>
                    <w:rStyle w:val="IATableTextChar"/>
                    <w:sz w:val="20"/>
                    <w:szCs w:val="20"/>
                  </w:rPr>
                </w:pPr>
                <w:r w:rsidRPr="00AB0614">
                  <w:rPr>
                    <w:rStyle w:val="IATableTextChar"/>
                    <w:sz w:val="20"/>
                    <w:szCs w:val="20"/>
                  </w:rPr>
                  <w:t>The key costs to business (vessel owners) are related to purchasing and maintaining the following safety equipment for their vessels. The costs below present the central case (or best estimate):</w:t>
                </w:r>
              </w:p>
              <w:p w14:paraId="4BFD5222"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Liferafts - £2,544,000</w:t>
                </w:r>
              </w:p>
              <w:p w14:paraId="5044B273"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Lifejackets - £253,000</w:t>
                </w:r>
              </w:p>
              <w:p w14:paraId="767EC648"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Lifejacket lights - £984,000</w:t>
                </w:r>
              </w:p>
              <w:p w14:paraId="7889B68F"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Fire detection equipment - £1,608,000</w:t>
                </w:r>
              </w:p>
              <w:p w14:paraId="562D7645"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Fixed fire fighting equipment - £437,000</w:t>
                </w:r>
              </w:p>
              <w:p w14:paraId="291F2BAE"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Hand pumps - £87,000</w:t>
                </w:r>
              </w:p>
              <w:p w14:paraId="2BDB7A4B"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Bilge pumping arrangements - £1,021,000</w:t>
                </w:r>
              </w:p>
              <w:p w14:paraId="1DEF5F0C" w14:textId="77777777"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Bilge alarm arrangements - £636,000</w:t>
                </w:r>
              </w:p>
              <w:p w14:paraId="031E13FF" w14:textId="40328622" w:rsidR="00BD5482" w:rsidRPr="00AB0614" w:rsidRDefault="00BD5482" w:rsidP="00592B63">
                <w:pPr>
                  <w:pStyle w:val="ListParagraph"/>
                  <w:numPr>
                    <w:ilvl w:val="0"/>
                    <w:numId w:val="40"/>
                  </w:numPr>
                  <w:rPr>
                    <w:rStyle w:val="IATableTextChar"/>
                    <w:sz w:val="20"/>
                    <w:szCs w:val="20"/>
                  </w:rPr>
                </w:pPr>
                <w:r w:rsidRPr="00AB0614">
                  <w:rPr>
                    <w:rStyle w:val="IATableTextChar"/>
                    <w:sz w:val="20"/>
                    <w:szCs w:val="20"/>
                  </w:rPr>
                  <w:t>Ship modifications fo</w:t>
                </w:r>
                <w:r w:rsidR="009468DF" w:rsidRPr="00AB0614">
                  <w:rPr>
                    <w:rStyle w:val="IATableTextChar"/>
                    <w:sz w:val="20"/>
                    <w:szCs w:val="20"/>
                  </w:rPr>
                  <w:t>r post damage survivability - £3,629</w:t>
                </w:r>
                <w:r w:rsidRPr="00AB0614">
                  <w:rPr>
                    <w:rStyle w:val="IATableTextChar"/>
                    <w:sz w:val="20"/>
                    <w:szCs w:val="20"/>
                  </w:rPr>
                  <w:t>,000</w:t>
                </w:r>
              </w:p>
              <w:p w14:paraId="33F1DFCD" w14:textId="1A35C526" w:rsidR="00BD5482" w:rsidRPr="00BD5482" w:rsidRDefault="00BD5482" w:rsidP="00926406">
                <w:pPr>
                  <w:rPr>
                    <w:rFonts w:eastAsia="SimSun"/>
                    <w:sz w:val="20"/>
                    <w:szCs w:val="20"/>
                    <w:highlight w:val="yellow"/>
                    <w:lang w:eastAsia="zh-CN"/>
                  </w:rPr>
                </w:pPr>
                <w:r w:rsidRPr="00AB0614">
                  <w:rPr>
                    <w:rStyle w:val="IATableTextChar"/>
                    <w:sz w:val="20"/>
                    <w:szCs w:val="20"/>
                  </w:rPr>
                  <w:t xml:space="preserve">There is also a familiarisation cost of £319,000 for understanding the requirements of the updated regulations. See section </w:t>
                </w:r>
                <w:r w:rsidR="00926406" w:rsidRPr="00AB0614">
                  <w:rPr>
                    <w:rStyle w:val="IATableTextChar"/>
                    <w:sz w:val="20"/>
                    <w:szCs w:val="20"/>
                  </w:rPr>
                  <w:fldChar w:fldCharType="begin"/>
                </w:r>
                <w:r w:rsidR="00926406" w:rsidRPr="00AB0614">
                  <w:rPr>
                    <w:rStyle w:val="IATableTextChar"/>
                    <w:sz w:val="20"/>
                    <w:szCs w:val="20"/>
                  </w:rPr>
                  <w:instrText xml:space="preserve"> REF _Ref518989597 \r \h </w:instrText>
                </w:r>
                <w:r w:rsidR="00816B34" w:rsidRPr="00AB0614">
                  <w:rPr>
                    <w:rStyle w:val="IATableTextChar"/>
                    <w:sz w:val="20"/>
                    <w:szCs w:val="20"/>
                  </w:rPr>
                  <w:instrText xml:space="preserve"> \* MERGEFORMAT </w:instrText>
                </w:r>
                <w:r w:rsidR="00926406" w:rsidRPr="00AB0614">
                  <w:rPr>
                    <w:rStyle w:val="IATableTextChar"/>
                    <w:sz w:val="20"/>
                    <w:szCs w:val="20"/>
                  </w:rPr>
                </w:r>
                <w:r w:rsidR="00926406" w:rsidRPr="00AB0614">
                  <w:rPr>
                    <w:rStyle w:val="IATableTextChar"/>
                    <w:sz w:val="20"/>
                    <w:szCs w:val="20"/>
                  </w:rPr>
                  <w:fldChar w:fldCharType="separate"/>
                </w:r>
                <w:r w:rsidR="00742166">
                  <w:rPr>
                    <w:rStyle w:val="IATableTextChar"/>
                    <w:sz w:val="20"/>
                    <w:szCs w:val="20"/>
                  </w:rPr>
                  <w:t>11.1</w:t>
                </w:r>
                <w:r w:rsidR="00926406" w:rsidRPr="00AB0614">
                  <w:rPr>
                    <w:rStyle w:val="IATableTextChar"/>
                    <w:sz w:val="20"/>
                    <w:szCs w:val="20"/>
                  </w:rPr>
                  <w:fldChar w:fldCharType="end"/>
                </w:r>
                <w:r w:rsidRPr="00AB0614">
                  <w:rPr>
                    <w:rStyle w:val="IATableTextChar"/>
                    <w:sz w:val="20"/>
                    <w:szCs w:val="20"/>
                  </w:rPr>
                  <w:t xml:space="preserve"> for a full overview of the scale of the monetised costs in the low, central and high scenarios.</w:t>
                </w:r>
              </w:p>
            </w:sdtContent>
          </w:sdt>
        </w:tc>
      </w:tr>
      <w:tr w:rsidR="00BD5482" w:rsidRPr="00BD5482" w14:paraId="0F989322" w14:textId="77777777" w:rsidTr="00592B63">
        <w:tc>
          <w:tcPr>
            <w:tcW w:w="10517" w:type="dxa"/>
            <w:gridSpan w:val="6"/>
            <w:tcBorders>
              <w:top w:val="single" w:sz="6" w:space="0" w:color="auto"/>
              <w:bottom w:val="single" w:sz="12" w:space="0" w:color="auto"/>
            </w:tcBorders>
            <w:shd w:val="clear" w:color="auto" w:fill="auto"/>
            <w:tcMar>
              <w:top w:w="45" w:type="dxa"/>
              <w:bottom w:w="45" w:type="dxa"/>
            </w:tcMar>
          </w:tcPr>
          <w:p w14:paraId="29A04F38" w14:textId="7DC28976" w:rsidR="00BD5482" w:rsidRPr="005748B0" w:rsidRDefault="00BD5482" w:rsidP="00592B63">
            <w:pPr>
              <w:pStyle w:val="IATableLines"/>
            </w:pPr>
            <w:r w:rsidRPr="005748B0">
              <w:t>Other key non-monetised costs by ‘main affected groups’</w:t>
            </w:r>
          </w:p>
          <w:sdt>
            <w:sdtPr>
              <w:rPr>
                <w:rStyle w:val="IATableTextChar"/>
                <w:highlight w:val="yellow"/>
              </w:rPr>
              <w:alias w:val="PNMC"/>
              <w:tag w:val="PNMC"/>
              <w:id w:val="-1402977032"/>
              <w:placeholder>
                <w:docPart w:val="D2DE24E6E0344C18AD1471893580767E"/>
              </w:placeholder>
            </w:sdtPr>
            <w:sdtEndPr>
              <w:rPr>
                <w:rStyle w:val="DefaultParagraphFont"/>
              </w:rPr>
            </w:sdtEndPr>
            <w:sdtContent>
              <w:p w14:paraId="060BD936" w14:textId="4D920D24" w:rsidR="00BD5482" w:rsidRPr="001D3688" w:rsidRDefault="00BD5482" w:rsidP="000F67A7">
                <w:pPr>
                  <w:pStyle w:val="IATableText"/>
                </w:pPr>
                <w:r w:rsidRPr="00AB0614">
                  <w:rPr>
                    <w:rStyle w:val="IATableTextChar"/>
                  </w:rPr>
                  <w:t>The costs associated with the improved damage survivability requirements are bespoke to each vessel and cannot be fully monetised without engineering analysis of each vessel.</w:t>
                </w:r>
                <w:r w:rsidR="005748B0" w:rsidRPr="00AB0614">
                  <w:rPr>
                    <w:rStyle w:val="IATableTextChar"/>
                  </w:rPr>
                  <w:t xml:space="preserve"> The cost of any replacement vessels will be greater</w:t>
                </w:r>
                <w:r w:rsidR="006355D9">
                  <w:rPr>
                    <w:rStyle w:val="IATableTextChar"/>
                  </w:rPr>
                  <w:t xml:space="preserve"> under O</w:t>
                </w:r>
                <w:r w:rsidR="005748B0" w:rsidRPr="00AB0614">
                  <w:rPr>
                    <w:rStyle w:val="IATableTextChar"/>
                  </w:rPr>
                  <w:t>ption 2 due to the additi</w:t>
                </w:r>
                <w:r w:rsidR="000F67A7">
                  <w:rPr>
                    <w:rStyle w:val="IATableTextChar"/>
                  </w:rPr>
                  <w:t>on of Class B vessels which may</w:t>
                </w:r>
                <w:r w:rsidR="005748B0" w:rsidRPr="00AB0614">
                  <w:rPr>
                    <w:rStyle w:val="IATableTextChar"/>
                  </w:rPr>
                  <w:t xml:space="preserve"> have</w:t>
                </w:r>
                <w:r w:rsidR="000F67A7">
                  <w:rPr>
                    <w:rStyle w:val="IATableTextChar"/>
                  </w:rPr>
                  <w:t xml:space="preserve"> greater</w:t>
                </w:r>
                <w:r w:rsidR="005748B0" w:rsidRPr="00AB0614">
                  <w:rPr>
                    <w:rStyle w:val="IATableTextChar"/>
                  </w:rPr>
                  <w:t xml:space="preserve"> difficulty complying with</w:t>
                </w:r>
                <w:r w:rsidR="000F67A7">
                  <w:rPr>
                    <w:rStyle w:val="IATableTextChar"/>
                  </w:rPr>
                  <w:t xml:space="preserve"> newer</w:t>
                </w:r>
                <w:r w:rsidR="005748B0" w:rsidRPr="00AB0614">
                  <w:rPr>
                    <w:rStyle w:val="IATableTextChar"/>
                  </w:rPr>
                  <w:t xml:space="preserve"> damage survivability standards. </w:t>
                </w:r>
                <w:r w:rsidR="00AB0614" w:rsidRPr="00AB0614">
                  <w:rPr>
                    <w:rStyle w:val="IATableTextChar"/>
                  </w:rPr>
                  <w:t xml:space="preserve">The cost of </w:t>
                </w:r>
                <w:r w:rsidR="000F67A7">
                  <w:rPr>
                    <w:rStyle w:val="IATableTextChar"/>
                  </w:rPr>
                  <w:t>assessing</w:t>
                </w:r>
                <w:r w:rsidR="001D3688">
                  <w:rPr>
                    <w:rStyle w:val="IATableTextChar"/>
                  </w:rPr>
                  <w:t xml:space="preserve"> existing vessels against</w:t>
                </w:r>
                <w:r w:rsidR="00AB0614" w:rsidRPr="00AB0614">
                  <w:rPr>
                    <w:rStyle w:val="IATableTextChar"/>
                  </w:rPr>
                  <w:t xml:space="preserve"> Classification</w:t>
                </w:r>
                <w:r w:rsidR="005748B0" w:rsidRPr="006355D9">
                  <w:rPr>
                    <w:rStyle w:val="IATableTextChar"/>
                  </w:rPr>
                  <w:t xml:space="preserve"> </w:t>
                </w:r>
                <w:r w:rsidR="006355D9" w:rsidRPr="006355D9">
                  <w:rPr>
                    <w:rStyle w:val="IATableTextChar"/>
                  </w:rPr>
                  <w:t>Society Rules</w:t>
                </w:r>
                <w:r w:rsidR="00FB6565">
                  <w:rPr>
                    <w:rStyle w:val="IATableTextChar"/>
                  </w:rPr>
                  <w:t xml:space="preserve"> will </w:t>
                </w:r>
                <w:r w:rsidR="001D3688">
                  <w:rPr>
                    <w:rStyle w:val="IATableTextChar"/>
                  </w:rPr>
                  <w:t>cost operators through the preparation of pre-classification information pack</w:t>
                </w:r>
                <w:r w:rsidR="00FF797F">
                  <w:rPr>
                    <w:rStyle w:val="IATableTextChar"/>
                  </w:rPr>
                  <w:t>s</w:t>
                </w:r>
                <w:r w:rsidR="001D3688">
                  <w:rPr>
                    <w:rStyle w:val="IATableTextChar"/>
                  </w:rPr>
                  <w:t>, surveys and assessments costs.</w:t>
                </w:r>
              </w:p>
            </w:sdtContent>
          </w:sdt>
        </w:tc>
      </w:tr>
      <w:tr w:rsidR="00BD5482" w:rsidRPr="00BD5482" w14:paraId="53404FDE" w14:textId="77777777" w:rsidTr="00592B63">
        <w:tc>
          <w:tcPr>
            <w:tcW w:w="2049" w:type="dxa"/>
            <w:shd w:val="clear" w:color="auto" w:fill="FFFFFF"/>
          </w:tcPr>
          <w:p w14:paraId="6B5140C3" w14:textId="77777777" w:rsidR="00BD5482" w:rsidRPr="00816B34" w:rsidRDefault="00BD5482" w:rsidP="00592B63">
            <w:pPr>
              <w:pStyle w:val="IATOM"/>
            </w:pPr>
            <w:r w:rsidRPr="00816B34">
              <w:t>BENEFITS (£m)</w:t>
            </w:r>
          </w:p>
        </w:tc>
        <w:tc>
          <w:tcPr>
            <w:tcW w:w="2815" w:type="dxa"/>
            <w:gridSpan w:val="2"/>
            <w:tcBorders>
              <w:top w:val="single" w:sz="12" w:space="0" w:color="auto"/>
              <w:bottom w:val="single" w:sz="6" w:space="0" w:color="auto"/>
            </w:tcBorders>
            <w:shd w:val="clear" w:color="auto" w:fill="auto"/>
          </w:tcPr>
          <w:p w14:paraId="272E68A2" w14:textId="77777777" w:rsidR="00BD5482" w:rsidRPr="00816B34" w:rsidRDefault="00BD5482" w:rsidP="00592B63">
            <w:pPr>
              <w:pStyle w:val="IATableHeading"/>
              <w:jc w:val="right"/>
            </w:pPr>
            <w:r w:rsidRPr="00816B34">
              <w:t xml:space="preserve">Total Transition </w:t>
            </w:r>
          </w:p>
          <w:p w14:paraId="3A70E8FE" w14:textId="77777777" w:rsidR="00BD5482" w:rsidRPr="00816B34" w:rsidRDefault="00BD5482" w:rsidP="00592B63">
            <w:pPr>
              <w:pStyle w:val="IATableHeading"/>
              <w:jc w:val="right"/>
            </w:pPr>
            <w:r w:rsidRPr="00816B34">
              <w:rPr>
                <w:b w:val="0"/>
                <w:sz w:val="16"/>
                <w:szCs w:val="18"/>
              </w:rPr>
              <w:t>(Constant Price)</w:t>
            </w:r>
            <w:r w:rsidRPr="00816B34">
              <w:rPr>
                <w:b w:val="0"/>
                <w:sz w:val="18"/>
              </w:rPr>
              <w:tab/>
              <w:t xml:space="preserve">  </w:t>
            </w:r>
            <w:r w:rsidRPr="00816B34">
              <w:rPr>
                <w:b w:val="0"/>
                <w:sz w:val="16"/>
                <w:szCs w:val="18"/>
              </w:rPr>
              <w:t>Yea</w:t>
            </w:r>
            <w:r w:rsidRPr="00816B34">
              <w:rPr>
                <w:b w:val="0"/>
                <w:bCs/>
                <w:sz w:val="16"/>
                <w:szCs w:val="18"/>
              </w:rPr>
              <w:t>r</w:t>
            </w:r>
            <w:r w:rsidRPr="00816B34">
              <w:rPr>
                <w:b w:val="0"/>
                <w:sz w:val="16"/>
                <w:szCs w:val="18"/>
              </w:rPr>
              <w:t>s</w:t>
            </w:r>
          </w:p>
        </w:tc>
        <w:tc>
          <w:tcPr>
            <w:tcW w:w="2944" w:type="dxa"/>
            <w:tcBorders>
              <w:bottom w:val="single" w:sz="6" w:space="0" w:color="auto"/>
              <w:right w:val="single" w:sz="12" w:space="0" w:color="auto"/>
            </w:tcBorders>
            <w:shd w:val="clear" w:color="auto" w:fill="auto"/>
          </w:tcPr>
          <w:p w14:paraId="18A71F75" w14:textId="77777777" w:rsidR="00BD5482" w:rsidRPr="00816B34" w:rsidRDefault="00BD5482" w:rsidP="00592B63">
            <w:pPr>
              <w:pStyle w:val="IATableHeading"/>
              <w:jc w:val="right"/>
              <w:rPr>
                <w:rFonts w:cs="Arial"/>
                <w:bCs/>
              </w:rPr>
            </w:pPr>
            <w:r w:rsidRPr="00816B34">
              <w:t xml:space="preserve">Average Annual </w:t>
            </w:r>
            <w:r w:rsidRPr="00816B34">
              <w:br/>
            </w:r>
            <w:r w:rsidRPr="00816B34">
              <w:rPr>
                <w:b w:val="0"/>
                <w:sz w:val="16"/>
              </w:rPr>
              <w:t xml:space="preserve">(excl. Transition) </w:t>
            </w:r>
            <w:r w:rsidRPr="00816B34">
              <w:rPr>
                <w:rFonts w:cs="Arial"/>
                <w:b w:val="0"/>
                <w:bCs/>
                <w:sz w:val="16"/>
              </w:rPr>
              <w:t>(Constant Price)</w:t>
            </w:r>
          </w:p>
        </w:tc>
        <w:tc>
          <w:tcPr>
            <w:tcW w:w="2709" w:type="dxa"/>
            <w:gridSpan w:val="2"/>
            <w:tcBorders>
              <w:top w:val="single" w:sz="12" w:space="0" w:color="auto"/>
              <w:left w:val="single" w:sz="12" w:space="0" w:color="auto"/>
              <w:bottom w:val="single" w:sz="6" w:space="0" w:color="auto"/>
            </w:tcBorders>
            <w:shd w:val="clear" w:color="auto" w:fill="auto"/>
          </w:tcPr>
          <w:p w14:paraId="5E6E9468" w14:textId="77777777" w:rsidR="00BD5482" w:rsidRPr="00816B34" w:rsidRDefault="00BD5482" w:rsidP="00592B63">
            <w:pPr>
              <w:pStyle w:val="IATableHeading"/>
              <w:jc w:val="right"/>
            </w:pPr>
            <w:r w:rsidRPr="00816B34">
              <w:t xml:space="preserve">Total Benefit </w:t>
            </w:r>
            <w:r w:rsidRPr="00816B34">
              <w:br/>
            </w:r>
            <w:r w:rsidRPr="00816B34">
              <w:rPr>
                <w:b w:val="0"/>
                <w:sz w:val="16"/>
              </w:rPr>
              <w:t>(Present Value)</w:t>
            </w:r>
          </w:p>
        </w:tc>
      </w:tr>
      <w:tr w:rsidR="00BD5482" w:rsidRPr="00BD5482" w14:paraId="3E333D01" w14:textId="77777777" w:rsidTr="00592B63">
        <w:tc>
          <w:tcPr>
            <w:tcW w:w="2049" w:type="dxa"/>
            <w:tcBorders>
              <w:top w:val="single" w:sz="6" w:space="0" w:color="auto"/>
              <w:bottom w:val="single" w:sz="6" w:space="0" w:color="auto"/>
            </w:tcBorders>
            <w:shd w:val="clear" w:color="auto" w:fill="auto"/>
            <w:vAlign w:val="center"/>
          </w:tcPr>
          <w:p w14:paraId="6544DBAD" w14:textId="77777777" w:rsidR="00BD5482" w:rsidRPr="009468DF" w:rsidRDefault="00BD5482" w:rsidP="00592B63">
            <w:pPr>
              <w:pStyle w:val="IATableHeading"/>
            </w:pPr>
            <w:r w:rsidRPr="009468DF">
              <w:t xml:space="preserve">Low </w:t>
            </w:r>
          </w:p>
        </w:tc>
        <w:tc>
          <w:tcPr>
            <w:tcW w:w="2003" w:type="dxa"/>
            <w:tcBorders>
              <w:top w:val="single" w:sz="6" w:space="0" w:color="auto"/>
              <w:bottom w:val="single" w:sz="6" w:space="0" w:color="auto"/>
            </w:tcBorders>
            <w:shd w:val="clear" w:color="auto" w:fill="auto"/>
            <w:vAlign w:val="center"/>
          </w:tcPr>
          <w:p w14:paraId="1DAC687F" w14:textId="77777777" w:rsidR="00BD5482" w:rsidRPr="009468DF" w:rsidRDefault="00784110" w:rsidP="00592B63">
            <w:pPr>
              <w:pStyle w:val="POTPY"/>
            </w:pPr>
            <w:sdt>
              <w:sdtPr>
                <w:rPr>
                  <w:rStyle w:val="PlaceholderText"/>
                </w:rPr>
                <w:id w:val="788938795"/>
                <w:placeholder>
                  <w:docPart w:val="AC7C237F0E304A548887D769995D8259"/>
                </w:placeholder>
                <w:text/>
              </w:sdtPr>
              <w:sdtEndPr>
                <w:rPr>
                  <w:rStyle w:val="PlaceholderText"/>
                </w:rPr>
              </w:sdtEndPr>
              <w:sdtContent>
                <w:r w:rsidR="00BD5482" w:rsidRPr="009468DF">
                  <w:rPr>
                    <w:rStyle w:val="PlaceholderText"/>
                  </w:rPr>
                  <w:t>0.0</w:t>
                </w:r>
              </w:sdtContent>
            </w:sdt>
          </w:p>
        </w:tc>
        <w:tc>
          <w:tcPr>
            <w:tcW w:w="812" w:type="dxa"/>
            <w:vMerge w:val="restart"/>
            <w:tcBorders>
              <w:top w:val="single" w:sz="6" w:space="0" w:color="auto"/>
            </w:tcBorders>
            <w:shd w:val="clear" w:color="auto" w:fill="auto"/>
            <w:vAlign w:val="center"/>
          </w:tcPr>
          <w:p w14:paraId="7A319225" w14:textId="77777777" w:rsidR="00BD5482" w:rsidRPr="00BD5482" w:rsidRDefault="00784110" w:rsidP="00592B63">
            <w:pPr>
              <w:pStyle w:val="POTPY"/>
              <w:jc w:val="center"/>
              <w:rPr>
                <w:highlight w:val="yellow"/>
              </w:rPr>
            </w:pPr>
            <w:sdt>
              <w:sdtPr>
                <w:id w:val="-33972382"/>
                <w:placeholder>
                  <w:docPart w:val="7C62CC19EB3C4EACB0E149BBADA578F3"/>
                </w:placeholder>
                <w:text/>
              </w:sdtPr>
              <w:sdtEndPr/>
              <w:sdtContent>
                <w:r w:rsidR="00BD5482" w:rsidRPr="009468DF">
                  <w:rPr>
                    <w:rStyle w:val="PlaceholderText"/>
                  </w:rPr>
                  <w:t>N/A</w:t>
                </w:r>
              </w:sdtContent>
            </w:sdt>
          </w:p>
        </w:tc>
        <w:tc>
          <w:tcPr>
            <w:tcW w:w="2944" w:type="dxa"/>
            <w:tcBorders>
              <w:top w:val="single" w:sz="6" w:space="0" w:color="auto"/>
              <w:bottom w:val="single" w:sz="6" w:space="0" w:color="auto"/>
              <w:right w:val="single" w:sz="12" w:space="0" w:color="auto"/>
            </w:tcBorders>
            <w:shd w:val="clear" w:color="auto" w:fill="auto"/>
            <w:vAlign w:val="center"/>
          </w:tcPr>
          <w:p w14:paraId="5AC0969E" w14:textId="77777777" w:rsidR="00BD5482" w:rsidRPr="009468DF" w:rsidRDefault="00784110" w:rsidP="00592B63">
            <w:pPr>
              <w:pStyle w:val="POTPY"/>
            </w:pPr>
            <w:sdt>
              <w:sdtPr>
                <w:id w:val="-464119114"/>
                <w:placeholder>
                  <w:docPart w:val="F72EC1D3A3804BE0AEA8849064496DB2"/>
                </w:placeholder>
                <w:text/>
              </w:sdtPr>
              <w:sdtEndPr/>
              <w:sdtContent>
                <w:r w:rsidR="00BD5482" w:rsidRPr="009468DF">
                  <w:rPr>
                    <w:rStyle w:val="PlaceholderText"/>
                  </w:rPr>
                  <w:t>0.7</w:t>
                </w:r>
              </w:sdtContent>
            </w:sdt>
          </w:p>
        </w:tc>
        <w:tc>
          <w:tcPr>
            <w:tcW w:w="2709" w:type="dxa"/>
            <w:gridSpan w:val="2"/>
            <w:tcBorders>
              <w:top w:val="single" w:sz="6" w:space="0" w:color="auto"/>
              <w:left w:val="single" w:sz="12" w:space="0" w:color="auto"/>
              <w:bottom w:val="single" w:sz="6" w:space="0" w:color="auto"/>
            </w:tcBorders>
            <w:shd w:val="clear" w:color="auto" w:fill="auto"/>
            <w:vAlign w:val="center"/>
          </w:tcPr>
          <w:p w14:paraId="295F0AEF" w14:textId="77777777" w:rsidR="00BD5482" w:rsidRPr="009468DF" w:rsidRDefault="00784110" w:rsidP="00592B63">
            <w:pPr>
              <w:pStyle w:val="POPVBY"/>
            </w:pPr>
            <w:sdt>
              <w:sdtPr>
                <w:id w:val="-208185222"/>
                <w:placeholder>
                  <w:docPart w:val="55EB3925C0BD4816B7814E73C4C34028"/>
                </w:placeholder>
                <w:text/>
              </w:sdtPr>
              <w:sdtEndPr/>
              <w:sdtContent>
                <w:r w:rsidR="00BD5482" w:rsidRPr="009468DF">
                  <w:rPr>
                    <w:rStyle w:val="PlaceholderText"/>
                  </w:rPr>
                  <w:t>7.3</w:t>
                </w:r>
              </w:sdtContent>
            </w:sdt>
          </w:p>
        </w:tc>
      </w:tr>
      <w:tr w:rsidR="00BD5482" w:rsidRPr="00BD5482" w14:paraId="3D80C4A4" w14:textId="77777777" w:rsidTr="00592B63">
        <w:tc>
          <w:tcPr>
            <w:tcW w:w="2049" w:type="dxa"/>
            <w:tcBorders>
              <w:top w:val="single" w:sz="6" w:space="0" w:color="auto"/>
              <w:bottom w:val="single" w:sz="12" w:space="0" w:color="auto"/>
            </w:tcBorders>
            <w:shd w:val="clear" w:color="auto" w:fill="auto"/>
            <w:vAlign w:val="center"/>
          </w:tcPr>
          <w:p w14:paraId="4EB82275" w14:textId="77777777" w:rsidR="00BD5482" w:rsidRPr="009468DF" w:rsidRDefault="00BD5482" w:rsidP="00592B63">
            <w:pPr>
              <w:pStyle w:val="IATableHeading"/>
            </w:pPr>
            <w:r w:rsidRPr="009468DF">
              <w:t xml:space="preserve">High </w:t>
            </w:r>
          </w:p>
        </w:tc>
        <w:tc>
          <w:tcPr>
            <w:tcW w:w="2003" w:type="dxa"/>
            <w:tcBorders>
              <w:top w:val="single" w:sz="6" w:space="0" w:color="auto"/>
              <w:bottom w:val="single" w:sz="12" w:space="0" w:color="auto"/>
            </w:tcBorders>
            <w:shd w:val="clear" w:color="auto" w:fill="auto"/>
            <w:vAlign w:val="center"/>
          </w:tcPr>
          <w:p w14:paraId="090ECD35" w14:textId="77777777" w:rsidR="00BD5482" w:rsidRPr="009468DF" w:rsidRDefault="00784110" w:rsidP="00592B63">
            <w:pPr>
              <w:pStyle w:val="POTPY"/>
            </w:pPr>
            <w:sdt>
              <w:sdtPr>
                <w:id w:val="-2083364427"/>
                <w:placeholder>
                  <w:docPart w:val="7FF2CF27EEC540F598409F2C1FFE5BD2"/>
                </w:placeholder>
                <w:text/>
              </w:sdtPr>
              <w:sdtEndPr/>
              <w:sdtContent>
                <w:r w:rsidR="00BD5482" w:rsidRPr="009468DF">
                  <w:rPr>
                    <w:rStyle w:val="PlaceholderText"/>
                  </w:rPr>
                  <w:t>0.0</w:t>
                </w:r>
              </w:sdtContent>
            </w:sdt>
          </w:p>
        </w:tc>
        <w:tc>
          <w:tcPr>
            <w:tcW w:w="812" w:type="dxa"/>
            <w:vMerge/>
            <w:shd w:val="clear" w:color="auto" w:fill="FFFFFF"/>
            <w:vAlign w:val="center"/>
          </w:tcPr>
          <w:p w14:paraId="17E3108C" w14:textId="77777777" w:rsidR="00BD5482" w:rsidRPr="00BD5482" w:rsidRDefault="00BD5482" w:rsidP="00592B63">
            <w:pPr>
              <w:pStyle w:val="POTPY"/>
              <w:rPr>
                <w:highlight w:val="yellow"/>
              </w:rPr>
            </w:pPr>
          </w:p>
        </w:tc>
        <w:tc>
          <w:tcPr>
            <w:tcW w:w="2944" w:type="dxa"/>
            <w:tcBorders>
              <w:top w:val="single" w:sz="6" w:space="0" w:color="auto"/>
              <w:bottom w:val="single" w:sz="12" w:space="0" w:color="auto"/>
              <w:right w:val="single" w:sz="12" w:space="0" w:color="auto"/>
            </w:tcBorders>
            <w:shd w:val="clear" w:color="auto" w:fill="auto"/>
            <w:vAlign w:val="center"/>
          </w:tcPr>
          <w:p w14:paraId="7CFE775D" w14:textId="77777777" w:rsidR="00BD5482" w:rsidRPr="009468DF" w:rsidRDefault="00784110" w:rsidP="00592B63">
            <w:pPr>
              <w:pStyle w:val="POTPY"/>
            </w:pPr>
            <w:sdt>
              <w:sdtPr>
                <w:id w:val="-1324193170"/>
                <w:placeholder>
                  <w:docPart w:val="47162943909A4AE88EBAAECA5904A384"/>
                </w:placeholder>
                <w:text/>
              </w:sdtPr>
              <w:sdtEndPr/>
              <w:sdtContent>
                <w:r w:rsidR="00BD5482" w:rsidRPr="009468DF">
                  <w:rPr>
                    <w:rStyle w:val="PlaceholderText"/>
                  </w:rPr>
                  <w:t>0.2</w:t>
                </w:r>
              </w:sdtContent>
            </w:sdt>
          </w:p>
        </w:tc>
        <w:tc>
          <w:tcPr>
            <w:tcW w:w="2709" w:type="dxa"/>
            <w:gridSpan w:val="2"/>
            <w:tcBorders>
              <w:top w:val="single" w:sz="6" w:space="0" w:color="auto"/>
              <w:left w:val="single" w:sz="12" w:space="0" w:color="auto"/>
              <w:bottom w:val="single" w:sz="12" w:space="0" w:color="auto"/>
            </w:tcBorders>
            <w:shd w:val="clear" w:color="auto" w:fill="auto"/>
            <w:vAlign w:val="center"/>
          </w:tcPr>
          <w:p w14:paraId="493626F1" w14:textId="77777777" w:rsidR="00BD5482" w:rsidRPr="009468DF" w:rsidRDefault="00784110" w:rsidP="00592B63">
            <w:pPr>
              <w:pStyle w:val="POPVBY"/>
            </w:pPr>
            <w:sdt>
              <w:sdtPr>
                <w:rPr>
                  <w:rStyle w:val="PlaceholderText"/>
                </w:rPr>
                <w:id w:val="1373492704"/>
                <w:placeholder>
                  <w:docPart w:val="308699B2465244F09FA3FB238056D00A"/>
                </w:placeholder>
                <w:text/>
              </w:sdtPr>
              <w:sdtEndPr>
                <w:rPr>
                  <w:rStyle w:val="PlaceholderText"/>
                </w:rPr>
              </w:sdtEndPr>
              <w:sdtContent>
                <w:r w:rsidR="00BD5482" w:rsidRPr="009468DF">
                  <w:rPr>
                    <w:rStyle w:val="PlaceholderText"/>
                  </w:rPr>
                  <w:t>2.4</w:t>
                </w:r>
              </w:sdtContent>
            </w:sdt>
          </w:p>
        </w:tc>
      </w:tr>
      <w:tr w:rsidR="00BD5482" w:rsidRPr="00BD5482" w14:paraId="3BEC0D78" w14:textId="77777777" w:rsidTr="00592B63">
        <w:tc>
          <w:tcPr>
            <w:tcW w:w="2049" w:type="dxa"/>
            <w:tcBorders>
              <w:top w:val="single" w:sz="12" w:space="0" w:color="auto"/>
              <w:bottom w:val="single" w:sz="12" w:space="0" w:color="auto"/>
              <w:right w:val="single" w:sz="12" w:space="0" w:color="auto"/>
            </w:tcBorders>
            <w:shd w:val="clear" w:color="auto" w:fill="FFFFFF"/>
            <w:vAlign w:val="center"/>
          </w:tcPr>
          <w:p w14:paraId="1004A04C" w14:textId="77777777" w:rsidR="00BD5482" w:rsidRPr="009468DF" w:rsidRDefault="00BD5482" w:rsidP="00592B63">
            <w:pPr>
              <w:pStyle w:val="IATableHeading"/>
              <w:rPr>
                <w:rFonts w:cs="Arial"/>
              </w:rPr>
            </w:pPr>
            <w:r w:rsidRPr="009468DF">
              <w:t>Best Estimate</w:t>
            </w:r>
          </w:p>
        </w:tc>
        <w:tc>
          <w:tcPr>
            <w:tcW w:w="2003" w:type="dxa"/>
            <w:tcBorders>
              <w:top w:val="single" w:sz="12" w:space="0" w:color="auto"/>
              <w:left w:val="single" w:sz="12" w:space="0" w:color="auto"/>
              <w:bottom w:val="single" w:sz="12" w:space="0" w:color="auto"/>
              <w:right w:val="single" w:sz="12" w:space="0" w:color="auto"/>
            </w:tcBorders>
            <w:shd w:val="clear" w:color="auto" w:fill="FFFFFF"/>
            <w:vAlign w:val="center"/>
          </w:tcPr>
          <w:p w14:paraId="1C86397C" w14:textId="77777777" w:rsidR="00BD5482" w:rsidRPr="009468DF" w:rsidRDefault="00784110" w:rsidP="00592B63">
            <w:pPr>
              <w:pStyle w:val="POTPY"/>
            </w:pPr>
            <w:sdt>
              <w:sdtPr>
                <w:id w:val="1763872543"/>
                <w:placeholder>
                  <w:docPart w:val="99A1ED0153554FCEA7D9EC8C76ADDE7F"/>
                </w:placeholder>
                <w:text/>
              </w:sdtPr>
              <w:sdtEndPr/>
              <w:sdtContent>
                <w:r w:rsidR="00BD5482" w:rsidRPr="009468DF">
                  <w:rPr>
                    <w:rStyle w:val="PlaceholderText"/>
                  </w:rPr>
                  <w:t>0.0</w:t>
                </w:r>
              </w:sdtContent>
            </w:sdt>
          </w:p>
        </w:tc>
        <w:tc>
          <w:tcPr>
            <w:tcW w:w="812" w:type="dxa"/>
            <w:vMerge/>
            <w:tcBorders>
              <w:left w:val="single" w:sz="12" w:space="0" w:color="auto"/>
              <w:right w:val="single" w:sz="12" w:space="0" w:color="auto"/>
            </w:tcBorders>
            <w:shd w:val="clear" w:color="auto" w:fill="FFFFFF"/>
            <w:vAlign w:val="center"/>
          </w:tcPr>
          <w:p w14:paraId="64581486" w14:textId="77777777" w:rsidR="00BD5482" w:rsidRPr="00BD5482" w:rsidRDefault="00BD5482" w:rsidP="00592B63">
            <w:pPr>
              <w:pStyle w:val="POTPY"/>
              <w:rPr>
                <w:highlight w:val="yellow"/>
              </w:rPr>
            </w:pPr>
          </w:p>
        </w:tc>
        <w:tc>
          <w:tcPr>
            <w:tcW w:w="2944" w:type="dxa"/>
            <w:tcBorders>
              <w:top w:val="single" w:sz="12" w:space="0" w:color="auto"/>
              <w:left w:val="single" w:sz="12" w:space="0" w:color="auto"/>
              <w:bottom w:val="single" w:sz="12" w:space="0" w:color="auto"/>
              <w:right w:val="single" w:sz="12" w:space="0" w:color="auto"/>
            </w:tcBorders>
            <w:shd w:val="clear" w:color="auto" w:fill="auto"/>
            <w:vAlign w:val="center"/>
          </w:tcPr>
          <w:p w14:paraId="221847A7" w14:textId="77777777" w:rsidR="00BD5482" w:rsidRPr="009468DF" w:rsidRDefault="00784110" w:rsidP="00592B63">
            <w:pPr>
              <w:pStyle w:val="POTPY"/>
            </w:pPr>
            <w:sdt>
              <w:sdtPr>
                <w:id w:val="-313418487"/>
                <w:placeholder>
                  <w:docPart w:val="D490FE8E49214273AAC1F849B266A84C"/>
                </w:placeholder>
                <w:text/>
              </w:sdtPr>
              <w:sdtEndPr/>
              <w:sdtContent>
                <w:r w:rsidR="00BD5482" w:rsidRPr="009468DF">
                  <w:rPr>
                    <w:rStyle w:val="PlaceholderText"/>
                  </w:rPr>
                  <w:t>0.5</w:t>
                </w:r>
              </w:sdtContent>
            </w:sdt>
          </w:p>
        </w:tc>
        <w:tc>
          <w:tcPr>
            <w:tcW w:w="2709" w:type="dxa"/>
            <w:gridSpan w:val="2"/>
            <w:tcBorders>
              <w:top w:val="single" w:sz="12" w:space="0" w:color="auto"/>
              <w:left w:val="single" w:sz="12" w:space="0" w:color="auto"/>
              <w:bottom w:val="single" w:sz="12" w:space="0" w:color="auto"/>
            </w:tcBorders>
            <w:shd w:val="clear" w:color="auto" w:fill="FFFFFF"/>
            <w:vAlign w:val="center"/>
          </w:tcPr>
          <w:p w14:paraId="18818585" w14:textId="77777777" w:rsidR="00BD5482" w:rsidRPr="009468DF" w:rsidRDefault="00784110" w:rsidP="00592B63">
            <w:pPr>
              <w:pStyle w:val="POPVBY"/>
            </w:pPr>
            <w:sdt>
              <w:sdtPr>
                <w:rPr>
                  <w:rStyle w:val="PlaceholderText"/>
                </w:rPr>
                <w:id w:val="-917246438"/>
                <w:placeholder>
                  <w:docPart w:val="29106CC3792F4A4C99A15EDFC7F509C2"/>
                </w:placeholder>
                <w:text/>
              </w:sdtPr>
              <w:sdtEndPr>
                <w:rPr>
                  <w:rStyle w:val="PlaceholderText"/>
                </w:rPr>
              </w:sdtEndPr>
              <w:sdtContent>
                <w:r w:rsidR="00BD5482" w:rsidRPr="009468DF">
                  <w:rPr>
                    <w:rStyle w:val="PlaceholderText"/>
                  </w:rPr>
                  <w:t>4.9</w:t>
                </w:r>
              </w:sdtContent>
            </w:sdt>
          </w:p>
        </w:tc>
      </w:tr>
      <w:tr w:rsidR="00BD5482" w:rsidRPr="00BD5482" w14:paraId="0EE819C1" w14:textId="77777777" w:rsidTr="00592B63">
        <w:tc>
          <w:tcPr>
            <w:tcW w:w="10517" w:type="dxa"/>
            <w:gridSpan w:val="6"/>
            <w:shd w:val="clear" w:color="auto" w:fill="auto"/>
            <w:tcMar>
              <w:top w:w="45" w:type="dxa"/>
              <w:bottom w:w="45" w:type="dxa"/>
            </w:tcMar>
          </w:tcPr>
          <w:p w14:paraId="69CD7960" w14:textId="77777777" w:rsidR="00BD5482" w:rsidRPr="00816B34" w:rsidRDefault="00BD5482" w:rsidP="00592B63">
            <w:pPr>
              <w:pStyle w:val="IATableLines"/>
            </w:pPr>
            <w:r w:rsidRPr="00816B34">
              <w:t>Description and scale of key monetised benefits by ‘main affected groups’</w:t>
            </w:r>
          </w:p>
          <w:p w14:paraId="0AB64E57" w14:textId="77777777" w:rsidR="00BD5482" w:rsidRPr="00AB0614" w:rsidRDefault="00BD5482" w:rsidP="00592B63">
            <w:pPr>
              <w:pStyle w:val="IATableText"/>
              <w:rPr>
                <w:highlight w:val="yellow"/>
              </w:rPr>
            </w:pPr>
            <w:r w:rsidRPr="00AB0614">
              <w:rPr>
                <w:rStyle w:val="IATableTextChar"/>
              </w:rPr>
              <w:t>For additional liferaft capacity, the monetised benefits of prevented individual fatalities and injuries has been estimated at £4,856,000 in the central case.</w:t>
            </w:r>
          </w:p>
        </w:tc>
      </w:tr>
      <w:tr w:rsidR="00BD5482" w:rsidRPr="00BD5482" w14:paraId="4B74E535" w14:textId="77777777" w:rsidTr="00592B63">
        <w:tc>
          <w:tcPr>
            <w:tcW w:w="10517" w:type="dxa"/>
            <w:gridSpan w:val="6"/>
            <w:shd w:val="clear" w:color="auto" w:fill="auto"/>
            <w:tcMar>
              <w:top w:w="45" w:type="dxa"/>
              <w:bottom w:w="45" w:type="dxa"/>
            </w:tcMar>
          </w:tcPr>
          <w:p w14:paraId="7930B2CA" w14:textId="77777777" w:rsidR="00BD5482" w:rsidRPr="005748B0" w:rsidRDefault="00BD5482" w:rsidP="00592B63">
            <w:pPr>
              <w:pStyle w:val="IATableLines"/>
            </w:pPr>
            <w:r w:rsidRPr="005748B0">
              <w:t>Other key non-monetised benefits by ‘main affected groups’</w:t>
            </w:r>
          </w:p>
          <w:sdt>
            <w:sdtPr>
              <w:rPr>
                <w:rStyle w:val="IATableTextChar"/>
              </w:rPr>
              <w:alias w:val="PNMB"/>
              <w:tag w:val="PNMB"/>
              <w:id w:val="-1180729180"/>
              <w:placeholder>
                <w:docPart w:val="64257912A8E24FCDA67E413F65FAA9C2"/>
              </w:placeholder>
            </w:sdtPr>
            <w:sdtEndPr>
              <w:rPr>
                <w:rStyle w:val="DefaultParagraphFont"/>
                <w:highlight w:val="yellow"/>
              </w:rPr>
            </w:sdtEndPr>
            <w:sdtContent>
              <w:sdt>
                <w:sdtPr>
                  <w:rPr>
                    <w:rStyle w:val="IATableTextChar"/>
                  </w:rPr>
                  <w:alias w:val="PNMB"/>
                  <w:tag w:val="PNMB"/>
                  <w:id w:val="1738677111"/>
                  <w:placeholder>
                    <w:docPart w:val="0DF415D764BA470F8D8A06D239A30A05"/>
                  </w:placeholder>
                </w:sdtPr>
                <w:sdtEndPr>
                  <w:rPr>
                    <w:rStyle w:val="DefaultParagraphFont"/>
                    <w:highlight w:val="yellow"/>
                  </w:rPr>
                </w:sdtEndPr>
                <w:sdtContent>
                  <w:p w14:paraId="5C47D9A1" w14:textId="77777777" w:rsidR="00BD5482" w:rsidRPr="00BD5482" w:rsidRDefault="00BD5482" w:rsidP="00592B63">
                    <w:pPr>
                      <w:pStyle w:val="IATableText"/>
                      <w:rPr>
                        <w:sz w:val="24"/>
                        <w:szCs w:val="24"/>
                        <w:highlight w:val="yellow"/>
                      </w:rPr>
                    </w:pPr>
                    <w:r w:rsidRPr="00AB0614">
                      <w:rPr>
                        <w:rStyle w:val="IATableTextChar"/>
                      </w:rPr>
                      <w:t>Higher vessel safety (above the additional liferaft capacity that has been monetised) is the key non-monetised benefit for passengers and businesses.</w:t>
                    </w:r>
                  </w:p>
                </w:sdtContent>
              </w:sdt>
            </w:sdtContent>
          </w:sdt>
        </w:tc>
      </w:tr>
      <w:tr w:rsidR="00BD5482" w:rsidRPr="00BD5482" w14:paraId="26B66373" w14:textId="77777777" w:rsidTr="00592B63">
        <w:trPr>
          <w:trHeight w:val="37"/>
        </w:trPr>
        <w:tc>
          <w:tcPr>
            <w:tcW w:w="9633" w:type="dxa"/>
            <w:gridSpan w:val="5"/>
            <w:tcBorders>
              <w:top w:val="single" w:sz="6" w:space="0" w:color="auto"/>
              <w:bottom w:val="nil"/>
            </w:tcBorders>
            <w:shd w:val="clear" w:color="auto" w:fill="auto"/>
          </w:tcPr>
          <w:p w14:paraId="5E89F56C" w14:textId="77777777" w:rsidR="00BD5482" w:rsidRPr="00816B34" w:rsidRDefault="00BD5482" w:rsidP="00592B63">
            <w:pPr>
              <w:pStyle w:val="IATableHeading"/>
              <w:tabs>
                <w:tab w:val="right" w:pos="9370"/>
              </w:tabs>
            </w:pPr>
            <w:r w:rsidRPr="00816B34">
              <w:t>Key assumptions/sensitivities/risks</w:t>
            </w:r>
            <w:r w:rsidRPr="00816B34">
              <w:tab/>
              <w:t>Discount rate (%)</w:t>
            </w:r>
          </w:p>
        </w:tc>
        <w:tc>
          <w:tcPr>
            <w:tcW w:w="884" w:type="dxa"/>
            <w:tcBorders>
              <w:top w:val="single" w:sz="6" w:space="0" w:color="auto"/>
              <w:bottom w:val="single" w:sz="4" w:space="0" w:color="auto"/>
            </w:tcBorders>
            <w:shd w:val="clear" w:color="auto" w:fill="auto"/>
          </w:tcPr>
          <w:p w14:paraId="6D9921E6" w14:textId="77777777" w:rsidR="00BD5482" w:rsidRPr="00816B34" w:rsidRDefault="00784110" w:rsidP="00592B63">
            <w:pPr>
              <w:pStyle w:val="IATableText"/>
              <w:jc w:val="center"/>
            </w:pPr>
            <w:sdt>
              <w:sdtPr>
                <w:id w:val="-164714081"/>
                <w:placeholder>
                  <w:docPart w:val="8D3246E8FF994BEB9DE43B4838528732"/>
                </w:placeholder>
                <w:text/>
              </w:sdtPr>
              <w:sdtEndPr/>
              <w:sdtContent>
                <w:r w:rsidR="00BD5482" w:rsidRPr="00816B34">
                  <w:rPr>
                    <w:rStyle w:val="PlaceholderText"/>
                  </w:rPr>
                  <w:t>3.5%</w:t>
                </w:r>
              </w:sdtContent>
            </w:sdt>
          </w:p>
        </w:tc>
      </w:tr>
      <w:tr w:rsidR="00BD5482" w:rsidRPr="00BD5482" w14:paraId="547DE673" w14:textId="77777777" w:rsidTr="00592B63">
        <w:trPr>
          <w:trHeight w:val="1779"/>
        </w:trPr>
        <w:tc>
          <w:tcPr>
            <w:tcW w:w="10517" w:type="dxa"/>
            <w:gridSpan w:val="6"/>
            <w:tcBorders>
              <w:top w:val="nil"/>
              <w:bottom w:val="single" w:sz="12" w:space="0" w:color="auto"/>
            </w:tcBorders>
            <w:shd w:val="clear" w:color="auto" w:fill="auto"/>
          </w:tcPr>
          <w:sdt>
            <w:sdtPr>
              <w:rPr>
                <w:rStyle w:val="IATableTextChar"/>
              </w:rPr>
              <w:alias w:val="Risks"/>
              <w:tag w:val="Risks"/>
              <w:id w:val="-1367288289"/>
              <w:placeholder>
                <w:docPart w:val="4C08F025BF8B4573B64DED27007C48B9"/>
              </w:placeholder>
            </w:sdtPr>
            <w:sdtEndPr>
              <w:rPr>
                <w:rStyle w:val="DefaultParagraphFont"/>
              </w:rPr>
            </w:sdtEndPr>
            <w:sdtContent>
              <w:sdt>
                <w:sdtPr>
                  <w:rPr>
                    <w:rStyle w:val="IATableTextChar"/>
                  </w:rPr>
                  <w:alias w:val="Risks"/>
                  <w:tag w:val="Risks"/>
                  <w:id w:val="-1169709673"/>
                  <w:placeholder>
                    <w:docPart w:val="DB7946F5EC764278A06D87FEF71A24B1"/>
                  </w:placeholder>
                </w:sdtPr>
                <w:sdtEndPr>
                  <w:rPr>
                    <w:rStyle w:val="DefaultParagraphFont"/>
                  </w:rPr>
                </w:sdtEndPr>
                <w:sdtContent>
                  <w:p w14:paraId="3E120606" w14:textId="77777777" w:rsidR="00BD5482" w:rsidRPr="00BD5482" w:rsidRDefault="00BD5482" w:rsidP="00592B63">
                    <w:pPr>
                      <w:pStyle w:val="IATableText"/>
                      <w:rPr>
                        <w:sz w:val="22"/>
                        <w:szCs w:val="22"/>
                        <w:highlight w:val="yellow"/>
                      </w:rPr>
                    </w:pPr>
                    <w:r w:rsidRPr="00AB0614">
                      <w:rPr>
                        <w:rStyle w:val="IATableTextChar"/>
                      </w:rPr>
                      <w:t>The actual costs for equipment cannot be estimated with certainty and are based on estimates provided by industry and the MCA. We built in sensitivities using the range of quotes received to construct a low, central and high scenario in each case. We have assumed the number of passengers on ships is based on estimates for the most common ship operating in similar waters. For costs related to post damage survivability, there is a risk that it may not be viable, either commercially to the operator or practically due to the original ship design, to upgrade certain vessels to meet the new requirements. For the monetised benefits, uncertainty exists over the average value of prevention of a fatal accident for maritime accidents, and the likelihood of events such as a person drowning occurring</w:t>
                    </w:r>
                    <w:r w:rsidRPr="00816B34">
                      <w:rPr>
                        <w:rStyle w:val="IATableTextChar"/>
                        <w:sz w:val="22"/>
                        <w:szCs w:val="22"/>
                      </w:rPr>
                      <w:t>.</w:t>
                    </w:r>
                  </w:p>
                </w:sdtContent>
              </w:sdt>
            </w:sdtContent>
          </w:sdt>
        </w:tc>
      </w:tr>
    </w:tbl>
    <w:p w14:paraId="7CFEB48C" w14:textId="77777777" w:rsidR="00BD5482" w:rsidRPr="00BD5482" w:rsidRDefault="00BD5482" w:rsidP="00BD5482">
      <w:pPr>
        <w:pStyle w:val="IASpacer"/>
        <w:rPr>
          <w:highlight w:val="yellow"/>
        </w:rPr>
      </w:pPr>
    </w:p>
    <w:p w14:paraId="526158D8" w14:textId="32B0AD0C" w:rsidR="00BD5482" w:rsidRPr="00816B34" w:rsidRDefault="00BD5482" w:rsidP="00BD5482">
      <w:pPr>
        <w:pStyle w:val="IATableHeading"/>
        <w:spacing w:after="20"/>
      </w:pPr>
      <w:r w:rsidRPr="00816B34">
        <w:t>BUSINESS ASSESSMENT (Option 2)</w:t>
      </w:r>
    </w:p>
    <w:tbl>
      <w:tblPr>
        <w:tblW w:w="5000" w:type="pct"/>
        <w:tblBorders>
          <w:top w:val="single" w:sz="12" w:space="0" w:color="auto"/>
          <w:left w:val="single" w:sz="12" w:space="0" w:color="auto"/>
          <w:bottom w:val="single" w:sz="12" w:space="0" w:color="auto"/>
          <w:right w:val="single" w:sz="12" w:space="0" w:color="auto"/>
          <w:insideV w:val="single" w:sz="4" w:space="0" w:color="auto"/>
        </w:tblBorders>
        <w:tblLayout w:type="fixed"/>
        <w:tblCellMar>
          <w:top w:w="28" w:type="dxa"/>
          <w:left w:w="113" w:type="dxa"/>
          <w:bottom w:w="28" w:type="dxa"/>
          <w:right w:w="113" w:type="dxa"/>
        </w:tblCellMar>
        <w:tblLook w:val="01E0" w:firstRow="1" w:lastRow="1" w:firstColumn="1" w:lastColumn="1" w:noHBand="0" w:noVBand="0"/>
      </w:tblPr>
      <w:tblGrid>
        <w:gridCol w:w="1903"/>
        <w:gridCol w:w="1897"/>
        <w:gridCol w:w="1751"/>
        <w:gridCol w:w="4966"/>
      </w:tblGrid>
      <w:tr w:rsidR="00BD5482" w:rsidRPr="000E02BE" w14:paraId="0CCA963D" w14:textId="77777777" w:rsidTr="00592B63">
        <w:trPr>
          <w:cantSplit/>
        </w:trPr>
        <w:tc>
          <w:tcPr>
            <w:tcW w:w="5551" w:type="dxa"/>
            <w:gridSpan w:val="3"/>
            <w:tcMar>
              <w:bottom w:w="0" w:type="dxa"/>
            </w:tcMar>
          </w:tcPr>
          <w:p w14:paraId="7B9A2537" w14:textId="77777777" w:rsidR="00BD5482" w:rsidRPr="00BD5482" w:rsidRDefault="00BD5482" w:rsidP="00592B63">
            <w:pPr>
              <w:pStyle w:val="IATableHeading"/>
              <w:rPr>
                <w:highlight w:val="yellow"/>
              </w:rPr>
            </w:pPr>
            <w:r w:rsidRPr="00816B34">
              <w:t xml:space="preserve">Direct impact on business (Equivalent Annual) £m: </w:t>
            </w:r>
          </w:p>
        </w:tc>
        <w:tc>
          <w:tcPr>
            <w:tcW w:w="4966" w:type="dxa"/>
            <w:vMerge w:val="restart"/>
            <w:vAlign w:val="center"/>
          </w:tcPr>
          <w:p w14:paraId="6392AB82" w14:textId="77777777" w:rsidR="00BD5482" w:rsidRPr="000E02BE" w:rsidRDefault="00BD5482" w:rsidP="00592B63">
            <w:pPr>
              <w:pStyle w:val="IATableHeading"/>
            </w:pPr>
            <w:r w:rsidRPr="00816B34">
              <w:t xml:space="preserve">Score for Business Impact Target (qualifying provisions only) £m:  </w:t>
            </w:r>
            <w:sdt>
              <w:sdtPr>
                <w:rPr>
                  <w:rStyle w:val="IATableLabelCharChar"/>
                  <w:b w:val="0"/>
                </w:rPr>
                <w:id w:val="-43215350"/>
                <w:placeholder>
                  <w:docPart w:val="0E5BF001C05C48CF855930200DC8B6AD"/>
                </w:placeholder>
              </w:sdtPr>
              <w:sdtEndPr>
                <w:rPr>
                  <w:rStyle w:val="DefaultParagraphFont"/>
                </w:rPr>
              </w:sdtEndPr>
              <w:sdtContent>
                <w:r w:rsidRPr="00816B34">
                  <w:rPr>
                    <w:rStyle w:val="IATableLabelCharChar"/>
                    <w:b w:val="0"/>
                  </w:rPr>
                  <w:t>N/A</w:t>
                </w:r>
              </w:sdtContent>
            </w:sdt>
          </w:p>
        </w:tc>
      </w:tr>
      <w:tr w:rsidR="00BD5482" w:rsidRPr="00E75380" w14:paraId="0CBB1215" w14:textId="77777777" w:rsidTr="00592B63">
        <w:trPr>
          <w:cantSplit/>
        </w:trPr>
        <w:tc>
          <w:tcPr>
            <w:tcW w:w="1903" w:type="dxa"/>
            <w:shd w:val="clear" w:color="auto" w:fill="FFFFFF"/>
            <w:tcMar>
              <w:top w:w="0" w:type="dxa"/>
            </w:tcMar>
          </w:tcPr>
          <w:p w14:paraId="52F246E0" w14:textId="5FC9351A" w:rsidR="00BD5482" w:rsidRPr="003E0281" w:rsidRDefault="00BD5482" w:rsidP="00592B63">
            <w:pPr>
              <w:pStyle w:val="IATableLabel"/>
            </w:pPr>
            <w:r w:rsidRPr="003E0281">
              <w:t xml:space="preserve">Costs:  </w:t>
            </w:r>
            <w:sdt>
              <w:sdtPr>
                <w:id w:val="1866630936"/>
                <w:placeholder>
                  <w:docPart w:val="228A156883A1460CBF6E327E49B2A0F2"/>
                </w:placeholder>
              </w:sdtPr>
              <w:sdtEndPr/>
              <w:sdtContent>
                <w:r w:rsidR="003E0281" w:rsidRPr="003E0281">
                  <w:t>1.3</w:t>
                </w:r>
              </w:sdtContent>
            </w:sdt>
          </w:p>
        </w:tc>
        <w:tc>
          <w:tcPr>
            <w:tcW w:w="1897" w:type="dxa"/>
            <w:shd w:val="clear" w:color="auto" w:fill="FFFFFF"/>
            <w:tcMar>
              <w:top w:w="0" w:type="dxa"/>
            </w:tcMar>
          </w:tcPr>
          <w:p w14:paraId="3395D95D" w14:textId="77777777" w:rsidR="00BD5482" w:rsidRPr="003E0281" w:rsidRDefault="00BD5482" w:rsidP="00592B63">
            <w:pPr>
              <w:pStyle w:val="IATableLabel"/>
            </w:pPr>
            <w:r w:rsidRPr="003E0281">
              <w:t xml:space="preserve">Benefits:  </w:t>
            </w:r>
            <w:sdt>
              <w:sdtPr>
                <w:id w:val="-100883369"/>
                <w:placeholder>
                  <w:docPart w:val="72BE811C85AA488889D9A9904AEAB55D"/>
                </w:placeholder>
              </w:sdtPr>
              <w:sdtEndPr/>
              <w:sdtContent>
                <w:r w:rsidRPr="003E0281">
                  <w:t>0.0</w:t>
                </w:r>
              </w:sdtContent>
            </w:sdt>
          </w:p>
        </w:tc>
        <w:tc>
          <w:tcPr>
            <w:tcW w:w="1751" w:type="dxa"/>
            <w:shd w:val="clear" w:color="auto" w:fill="FFFFFF"/>
            <w:tcMar>
              <w:top w:w="0" w:type="dxa"/>
            </w:tcMar>
          </w:tcPr>
          <w:p w14:paraId="16C0A466" w14:textId="383B46D9" w:rsidR="00BD5482" w:rsidRPr="003E0281" w:rsidRDefault="00BD5482" w:rsidP="00592B63">
            <w:pPr>
              <w:pStyle w:val="IATableLabel"/>
            </w:pPr>
            <w:r w:rsidRPr="003E0281">
              <w:t xml:space="preserve">Net:  </w:t>
            </w:r>
            <w:sdt>
              <w:sdtPr>
                <w:id w:val="-122317705"/>
                <w:placeholder>
                  <w:docPart w:val="F4010F7202E3439196B1041EEADFB2A7"/>
                </w:placeholder>
              </w:sdtPr>
              <w:sdtEndPr/>
              <w:sdtContent>
                <w:r w:rsidR="003E0281" w:rsidRPr="003E0281">
                  <w:t>1.3</w:t>
                </w:r>
              </w:sdtContent>
            </w:sdt>
          </w:p>
        </w:tc>
        <w:tc>
          <w:tcPr>
            <w:tcW w:w="4966" w:type="dxa"/>
            <w:vMerge/>
            <w:shd w:val="clear" w:color="auto" w:fill="FFFFFF"/>
          </w:tcPr>
          <w:p w14:paraId="776F87D6" w14:textId="77777777" w:rsidR="00BD5482" w:rsidRPr="00F63895" w:rsidRDefault="00BD5482" w:rsidP="00592B63">
            <w:pPr>
              <w:pStyle w:val="IATableText"/>
            </w:pPr>
          </w:p>
        </w:tc>
      </w:tr>
    </w:tbl>
    <w:p w14:paraId="0B660E20" w14:textId="7E697A63" w:rsidR="00F70A77" w:rsidRDefault="00F70A77" w:rsidP="0039163B">
      <w:pPr>
        <w:pStyle w:val="Heading1"/>
      </w:pPr>
      <w:r>
        <w:lastRenderedPageBreak/>
        <w:t>Evidence Base</w:t>
      </w:r>
    </w:p>
    <w:bookmarkEnd w:id="12"/>
    <w:bookmarkEnd w:id="13"/>
    <w:p w14:paraId="6538903A" w14:textId="77777777" w:rsidR="004B3B7B" w:rsidRDefault="00AC3587" w:rsidP="00625669">
      <w:pPr>
        <w:pStyle w:val="Heading2"/>
      </w:pPr>
      <w:r>
        <w:t>Background</w:t>
      </w:r>
    </w:p>
    <w:p w14:paraId="46020086" w14:textId="77777777" w:rsidR="00AC3587" w:rsidRPr="00E25E83" w:rsidRDefault="00AC3587" w:rsidP="00AC3587">
      <w:pPr>
        <w:pStyle w:val="EBBodyPara"/>
      </w:pPr>
      <w:r w:rsidRPr="00E25E83">
        <w:t>The technical standards applicable to the current domestic passenger fleet vary depending on the area of operation, hull construction material</w:t>
      </w:r>
      <w:r>
        <w:t>,</w:t>
      </w:r>
      <w:r w:rsidRPr="00E25E83">
        <w:t xml:space="preserve"> </w:t>
      </w:r>
      <w:r>
        <w:t>l</w:t>
      </w:r>
      <w:r w:rsidRPr="00E25E83">
        <w:t xml:space="preserve">ength and importantly, age. </w:t>
      </w:r>
      <w:r>
        <w:t xml:space="preserve">The table </w:t>
      </w:r>
      <w:r w:rsidR="00940A7B">
        <w:t>in a</w:t>
      </w:r>
      <w:r w:rsidR="00C77E30">
        <w:t>nnex A</w:t>
      </w:r>
      <w:r>
        <w:t xml:space="preserve"> has been included for the benefit of vessel owners, to allow them to understand the relevant standards applicable for their vessel.</w:t>
      </w:r>
    </w:p>
    <w:p w14:paraId="55DAED65" w14:textId="77777777" w:rsidR="00AC3587" w:rsidRPr="00E25E83" w:rsidRDefault="00AC3587" w:rsidP="00AC3587">
      <w:pPr>
        <w:pStyle w:val="EBBodyPara"/>
      </w:pPr>
      <w:r w:rsidRPr="00E25E83">
        <w:t>In general, passenger vessels on domestic voyages certified before 6</w:t>
      </w:r>
      <w:r w:rsidRPr="00E25E83">
        <w:rPr>
          <w:vertAlign w:val="superscript"/>
        </w:rPr>
        <w:t>th</w:t>
      </w:r>
      <w:r w:rsidRPr="00E25E83">
        <w:t xml:space="preserve"> April 2010 on categorised</w:t>
      </w:r>
      <w:r>
        <w:t xml:space="preserve"> </w:t>
      </w:r>
      <w:r w:rsidRPr="00E25E83">
        <w:t>waters</w:t>
      </w:r>
      <w:r>
        <w:t xml:space="preserve"> (inland waters)</w:t>
      </w:r>
      <w:r w:rsidRPr="00E25E83">
        <w:t xml:space="preserve"> and 1</w:t>
      </w:r>
      <w:r w:rsidRPr="00E25E83">
        <w:rPr>
          <w:vertAlign w:val="superscript"/>
        </w:rPr>
        <w:t>st</w:t>
      </w:r>
      <w:r w:rsidRPr="00E25E83">
        <w:t xml:space="preserve"> July 1998 for seagoing vessel are required to meet the standards detailed in </w:t>
      </w:r>
      <w:r>
        <w:t>several domestic regulations dating from 1998 and 1999</w:t>
      </w:r>
      <w:r>
        <w:rPr>
          <w:rStyle w:val="FootnoteReference"/>
        </w:rPr>
        <w:footnoteReference w:id="1"/>
      </w:r>
      <w:r>
        <w:t xml:space="preserve">. </w:t>
      </w:r>
      <w:r w:rsidRPr="00E25E83">
        <w:t xml:space="preserve">Collectively, these regulations are referred to as the </w:t>
      </w:r>
      <w:r>
        <w:t>19</w:t>
      </w:r>
      <w:r w:rsidRPr="00E25E83">
        <w:t xml:space="preserve">98/99 regulations throughout this document. </w:t>
      </w:r>
    </w:p>
    <w:p w14:paraId="4AD217EE" w14:textId="77777777" w:rsidR="00AC3587" w:rsidRPr="00E25E83" w:rsidRDefault="00AC3587" w:rsidP="00AC3587">
      <w:pPr>
        <w:pStyle w:val="EBBodyPara"/>
      </w:pPr>
      <w:r w:rsidRPr="00E25E83">
        <w:t>The technical requirements contained in these regulations remain mostly unchanged since 1980</w:t>
      </w:r>
      <w:r w:rsidRPr="00E25E83">
        <w:rPr>
          <w:vertAlign w:val="superscript"/>
        </w:rPr>
        <w:footnoteReference w:id="2"/>
      </w:r>
      <w:r w:rsidRPr="00E25E83">
        <w:t xml:space="preserve"> and take little account for advances in technology and modern safety philosophy. Since </w:t>
      </w:r>
      <w:r>
        <w:t>these</w:t>
      </w:r>
      <w:r w:rsidRPr="00E25E83">
        <w:t xml:space="preserve"> regulations were introduced, several </w:t>
      </w:r>
      <w:r>
        <w:t xml:space="preserve">new technical </w:t>
      </w:r>
      <w:r w:rsidRPr="00E25E83">
        <w:t xml:space="preserve">standards have subsequently been published over </w:t>
      </w:r>
      <w:r w:rsidRPr="00163E1A">
        <w:t>time</w:t>
      </w:r>
      <w:r>
        <w:rPr>
          <w:rStyle w:val="FootnoteReference"/>
        </w:rPr>
        <w:footnoteReference w:id="3"/>
      </w:r>
      <w:r>
        <w:t>. Many of these new regulations were implemented in response to the Marchioness disaster and the subsequent safety inquiry (see Section</w:t>
      </w:r>
      <w:r w:rsidR="0068121A">
        <w:t xml:space="preserve"> </w:t>
      </w:r>
      <w:r w:rsidR="0068121A">
        <w:fldChar w:fldCharType="begin"/>
      </w:r>
      <w:r w:rsidR="0068121A">
        <w:instrText xml:space="preserve"> REF _Ref517699845 \r \h </w:instrText>
      </w:r>
      <w:r w:rsidR="0068121A">
        <w:fldChar w:fldCharType="separate"/>
      </w:r>
      <w:r w:rsidR="00742166">
        <w:t>1.1</w:t>
      </w:r>
      <w:r w:rsidR="0068121A">
        <w:fldChar w:fldCharType="end"/>
      </w:r>
      <w:r>
        <w:t>). The new regulations are</w:t>
      </w:r>
      <w:r w:rsidRPr="00E25E83">
        <w:t xml:space="preserve"> </w:t>
      </w:r>
      <w:r>
        <w:t xml:space="preserve">largely </w:t>
      </w:r>
      <w:r w:rsidRPr="00E25E83">
        <w:t>only applicable to new domestic passenger vessels certified after the legislation was enacted. These modern regulations significantly improve the safety standards of new vessels, in particular</w:t>
      </w:r>
      <w:r>
        <w:t xml:space="preserve"> </w:t>
      </w:r>
      <w:r w:rsidR="00D8200E">
        <w:t>regarding</w:t>
      </w:r>
      <w:r w:rsidRPr="00E25E83">
        <w:t xml:space="preserve"> fire safety, life-saving appliances and damage survivability. </w:t>
      </w:r>
    </w:p>
    <w:p w14:paraId="78ECCFF0" w14:textId="77777777" w:rsidR="00AC3587" w:rsidRPr="00E25E83" w:rsidRDefault="00AC3587" w:rsidP="00AC3587">
      <w:pPr>
        <w:pStyle w:val="EBBodyPara"/>
      </w:pPr>
      <w:r w:rsidRPr="00E25E83">
        <w:t xml:space="preserve">However, concurrent with the development of new safety standards, the </w:t>
      </w:r>
      <w:r>
        <w:t>technical standards</w:t>
      </w:r>
      <w:r w:rsidRPr="00E25E83">
        <w:t xml:space="preserve"> applicable to existing vessels </w:t>
      </w:r>
      <w:r>
        <w:t>have</w:t>
      </w:r>
      <w:r w:rsidRPr="00E25E83">
        <w:t xml:space="preserve"> remained mostly unchanged. It is considered that the technical standards contained within the 1998/1999 regulations</w:t>
      </w:r>
      <w:r w:rsidR="000B2739">
        <w:rPr>
          <w:vertAlign w:val="superscript"/>
        </w:rPr>
        <w:t xml:space="preserve">1 </w:t>
      </w:r>
      <w:r w:rsidRPr="00E25E83">
        <w:t>present a lower level of safety compared to regulations introduced more recently</w:t>
      </w:r>
      <w:r>
        <w:t xml:space="preserve">. </w:t>
      </w:r>
      <w:r w:rsidRPr="00E25E83">
        <w:t xml:space="preserve">It is acknowledged that many vessels which are certified in accordance with the </w:t>
      </w:r>
      <w:r>
        <w:t>19</w:t>
      </w:r>
      <w:r w:rsidRPr="00E25E83">
        <w:t xml:space="preserve">98/99 </w:t>
      </w:r>
      <w:r>
        <w:t>r</w:t>
      </w:r>
      <w:r w:rsidRPr="00E25E83">
        <w:t xml:space="preserve">egulations, could not be modified to comply with modern standards without excessive cost. This led to a review of the standards applied to those existing vessels. </w:t>
      </w:r>
    </w:p>
    <w:p w14:paraId="2FF21928" w14:textId="77777777" w:rsidR="00AC3587" w:rsidRPr="00E25E83" w:rsidRDefault="00AC3587" w:rsidP="00AC3587">
      <w:pPr>
        <w:pStyle w:val="EBBodyPara"/>
      </w:pPr>
      <w:r w:rsidRPr="00E25E83">
        <w:t>The aim of th</w:t>
      </w:r>
      <w:r w:rsidR="00C02859">
        <w:t>e</w:t>
      </w:r>
      <w:r w:rsidRPr="00E25E83">
        <w:t xml:space="preserve"> review </w:t>
      </w:r>
      <w:r w:rsidR="00C02859">
        <w:t>wa</w:t>
      </w:r>
      <w:r w:rsidRPr="00E25E83">
        <w:t xml:space="preserve">s to increase the safety standard applied to existing vessels so that </w:t>
      </w:r>
      <w:r>
        <w:t>the overall safety of the existing vessels is</w:t>
      </w:r>
      <w:r w:rsidRPr="00E25E83">
        <w:t xml:space="preserve"> comparable with</w:t>
      </w:r>
      <w:r>
        <w:t xml:space="preserve"> the safety of</w:t>
      </w:r>
      <w:r w:rsidRPr="00E25E83">
        <w:t xml:space="preserve"> vessels certified in accordance with modern requirements. Key areas</w:t>
      </w:r>
      <w:r>
        <w:t xml:space="preserve"> identified</w:t>
      </w:r>
      <w:r w:rsidRPr="00E25E83">
        <w:t xml:space="preserve"> for improvement are based on research carried out by the </w:t>
      </w:r>
      <w:r w:rsidR="00472DED" w:rsidRPr="00E25E83">
        <w:t>M</w:t>
      </w:r>
      <w:r w:rsidR="005D506D">
        <w:t xml:space="preserve">aritime and </w:t>
      </w:r>
      <w:r w:rsidR="00472DED" w:rsidRPr="00E25E83">
        <w:t>C</w:t>
      </w:r>
      <w:r w:rsidR="005D506D">
        <w:t xml:space="preserve">oastguard </w:t>
      </w:r>
      <w:r w:rsidR="00472DED" w:rsidRPr="00E25E83">
        <w:t>A</w:t>
      </w:r>
      <w:r w:rsidR="005D506D">
        <w:t>gency (MCA)</w:t>
      </w:r>
      <w:r w:rsidRPr="00E25E83">
        <w:t xml:space="preserve"> and close collaboration with industry. </w:t>
      </w:r>
    </w:p>
    <w:p w14:paraId="75BBEDD1" w14:textId="77777777" w:rsidR="002577E8" w:rsidRDefault="00AC3587" w:rsidP="002577E8">
      <w:pPr>
        <w:pStyle w:val="EBBodyPara"/>
      </w:pPr>
      <w:r w:rsidRPr="00E25E83">
        <w:t>Vessels which continue to be certifie</w:t>
      </w:r>
      <w:r>
        <w:t>d in accordance with the 1998/</w:t>
      </w:r>
      <w:r w:rsidRPr="00E25E83">
        <w:t xml:space="preserve">99 </w:t>
      </w:r>
      <w:r>
        <w:t>regulations</w:t>
      </w:r>
      <w:r w:rsidRPr="00E25E83">
        <w:t xml:space="preserve"> are </w:t>
      </w:r>
      <w:r w:rsidRPr="00163E1A">
        <w:t>sometimes</w:t>
      </w:r>
      <w:r w:rsidRPr="00E25E83">
        <w:t xml:space="preserve"> referred to as having ‘Grandfather Rights’. </w:t>
      </w:r>
      <w:r w:rsidR="00957A32">
        <w:tab/>
      </w:r>
      <w:bookmarkStart w:id="14" w:name="_Ref490478473"/>
    </w:p>
    <w:p w14:paraId="459F6668" w14:textId="77777777" w:rsidR="00D75DA0" w:rsidRPr="00D75DA0" w:rsidRDefault="00D75DA0" w:rsidP="002577E8">
      <w:pPr>
        <w:pStyle w:val="Heading3"/>
      </w:pPr>
      <w:bookmarkStart w:id="15" w:name="_Ref517699845"/>
      <w:r w:rsidRPr="00D75DA0">
        <w:t>Marchioness</w:t>
      </w:r>
      <w:bookmarkEnd w:id="14"/>
      <w:bookmarkEnd w:id="15"/>
      <w:r w:rsidRPr="00D75DA0">
        <w:t xml:space="preserve"> </w:t>
      </w:r>
    </w:p>
    <w:p w14:paraId="0F288AD0" w14:textId="77777777" w:rsidR="00D75DA0" w:rsidRPr="00D75DA0" w:rsidRDefault="00D75DA0" w:rsidP="00D75DA0">
      <w:pPr>
        <w:pStyle w:val="EBBodyPara"/>
        <w:keepNext/>
      </w:pPr>
      <w:r w:rsidRPr="00D75DA0">
        <w:t>The passenger ship MARCHIONESS and dredger BOWBELLE collided on the Thames on the 20th August 1989 and 51 people lost their lives. The Marchioness Disaster led to Lord Justice Clark’s Thames Safety Inquiry. The Thames Safety Inquiry contained a key recommendation that new safety regulations for ships</w:t>
      </w:r>
      <w:r w:rsidR="002577E8">
        <w:t xml:space="preserve"> </w:t>
      </w:r>
      <w:r w:rsidRPr="00D75DA0">
        <w:lastRenderedPageBreak/>
        <w:t>should, as a general rule, be applied equally to both new and existing vessels, subject to a power to grant exemptions. The inquiry said that the exemption power should only be exercised where –</w:t>
      </w:r>
    </w:p>
    <w:p w14:paraId="2161F7AD" w14:textId="77777777" w:rsidR="00D75DA0" w:rsidRPr="00D75DA0" w:rsidRDefault="00D75DA0" w:rsidP="00D75DA0">
      <w:pPr>
        <w:pStyle w:val="EBBodyPara"/>
        <w:keepNext/>
        <w:numPr>
          <w:ilvl w:val="0"/>
          <w:numId w:val="28"/>
        </w:numPr>
      </w:pPr>
      <w:r w:rsidRPr="00D75DA0">
        <w:t xml:space="preserve">compliance by an existing vessel with a new safety standard would be unreasonable, whether on grounds of practicability or for some other reason, and </w:t>
      </w:r>
    </w:p>
    <w:p w14:paraId="46675E78" w14:textId="77777777" w:rsidR="00D75DA0" w:rsidRPr="00D75DA0" w:rsidRDefault="00D75DA0" w:rsidP="00D75DA0">
      <w:pPr>
        <w:pStyle w:val="EBBodyPara"/>
        <w:keepNext/>
        <w:numPr>
          <w:ilvl w:val="0"/>
          <w:numId w:val="28"/>
        </w:numPr>
      </w:pPr>
      <w:r w:rsidRPr="00D75DA0">
        <w:t>the operator can also satisfy the Department that a satisfactory alternative measure will be put in place, which will achieve an equivalent level of safety.</w:t>
      </w:r>
    </w:p>
    <w:p w14:paraId="06A00B65" w14:textId="77777777" w:rsidR="00D75DA0" w:rsidRPr="00D75DA0" w:rsidRDefault="00D75DA0" w:rsidP="00D75DA0">
      <w:pPr>
        <w:pStyle w:val="EBBodyPara"/>
        <w:keepNext/>
      </w:pPr>
      <w:r w:rsidRPr="00D75DA0">
        <w:t xml:space="preserve">It is important to note that significant changes have been made to domestic passenger ship regulation since the Marchioness accident, which are applicable to new and existing vessels, including the introduction of safety management systems and new Codes for both seagoing ships and those on inland waterways. The proposed regulations in this assessment serve to bridge the gap between the safety standard applied to existing and new vessels built to modern regulations. </w:t>
      </w:r>
    </w:p>
    <w:p w14:paraId="44E1E773" w14:textId="77777777" w:rsidR="00D75DA0" w:rsidRPr="00D75DA0" w:rsidRDefault="00D75DA0" w:rsidP="00D75DA0">
      <w:pPr>
        <w:pStyle w:val="Heading3"/>
      </w:pPr>
      <w:bookmarkStart w:id="16" w:name="_Ref491165207"/>
      <w:r w:rsidRPr="00D75DA0">
        <w:t>Research</w:t>
      </w:r>
      <w:bookmarkEnd w:id="16"/>
    </w:p>
    <w:p w14:paraId="297904BD" w14:textId="77777777" w:rsidR="00D75DA0" w:rsidRPr="00D75DA0" w:rsidRDefault="00D75DA0" w:rsidP="00D75DA0">
      <w:pPr>
        <w:pStyle w:val="EBBodyPara"/>
        <w:keepNext/>
      </w:pPr>
      <w:r w:rsidRPr="00D75DA0">
        <w:t>A Formal Safety Assessment</w:t>
      </w:r>
      <w:r w:rsidR="00D43399">
        <w:t xml:space="preserve"> (FSA)</w:t>
      </w:r>
      <w:r w:rsidRPr="00D75DA0">
        <w:t xml:space="preserve"> was undertaken by the MCA, with consultant facilitation, between 2001 and 2003, which looked at all aspects of domestic passenger ship safety. This work considered domestic passenger ships operating on inland waterways and at sea. The outcome of this led to more detailed research being undertaken by independent consultants who focused on stability, evacuation, fire safety, bridge visibility and safety management standards and covered all operating environments in the UK. </w:t>
      </w:r>
    </w:p>
    <w:p w14:paraId="22B797F6" w14:textId="77777777" w:rsidR="00D75DA0" w:rsidRPr="00D75DA0" w:rsidRDefault="00D75DA0" w:rsidP="00D75DA0">
      <w:pPr>
        <w:pStyle w:val="EBBodyPara"/>
        <w:keepNext/>
      </w:pPr>
      <w:r w:rsidRPr="00D75DA0">
        <w:t xml:space="preserve">The MCA purpose in conducting the research was to provide a baseline for future risk-based regulation of domestic passenger ships by highlighting any areas where the current regulatory framework could be improved to address the identified risks. These research reports were published in March 2005. </w:t>
      </w:r>
    </w:p>
    <w:p w14:paraId="784D6EE9" w14:textId="77777777" w:rsidR="00D75DA0" w:rsidRPr="00D75DA0" w:rsidRDefault="00D75DA0" w:rsidP="00D75DA0">
      <w:pPr>
        <w:pStyle w:val="EBBodyPara"/>
        <w:keepNext/>
      </w:pPr>
      <w:r w:rsidRPr="00D75DA0">
        <w:t>The FSA research concluded that the overall level of safety on passenger ships on the Thames was within the Health and Safety Executive’s “tolerable” range. This means that the level of risk is within that generally accepted by the public, provided risks are demonstrated to be as low as reasonably practicable. The reports identified areas where improvements could be made to current standards, for example by further embedding the safety management concept (which have already been implemented to a certain extent).</w:t>
      </w:r>
    </w:p>
    <w:p w14:paraId="4DA4E9D6" w14:textId="77777777" w:rsidR="00D75DA0" w:rsidRPr="00D75DA0" w:rsidRDefault="00D75DA0" w:rsidP="00D75DA0">
      <w:pPr>
        <w:pStyle w:val="EBBodyPara"/>
        <w:keepNext/>
      </w:pPr>
      <w:r w:rsidRPr="00D75DA0">
        <w:t xml:space="preserve">Many of the results of the initial </w:t>
      </w:r>
      <w:r w:rsidR="00D43399">
        <w:t xml:space="preserve">FSA </w:t>
      </w:r>
      <w:r w:rsidRPr="00D75DA0">
        <w:t xml:space="preserve">have been used to develop policy to date. Results from the Risk Assessment have been used within this Impact Assessment to calculate the monetised benefits associated with reduced risk to life when additional safety equipment is provided. </w:t>
      </w:r>
    </w:p>
    <w:p w14:paraId="4AABA70F" w14:textId="77777777" w:rsidR="00D75DA0" w:rsidRPr="00D75DA0" w:rsidRDefault="00D75DA0" w:rsidP="00D75DA0">
      <w:pPr>
        <w:pStyle w:val="Heading2"/>
      </w:pPr>
      <w:r w:rsidRPr="00D75DA0">
        <w:t xml:space="preserve">Problem under consideration </w:t>
      </w:r>
    </w:p>
    <w:p w14:paraId="3634CF01" w14:textId="77777777" w:rsidR="00D75DA0" w:rsidRPr="00D75DA0" w:rsidRDefault="00D75DA0" w:rsidP="00D75DA0">
      <w:pPr>
        <w:pStyle w:val="EBBodyPara"/>
        <w:keepNext/>
      </w:pPr>
      <w:r w:rsidRPr="00D75DA0">
        <w:t xml:space="preserve">Since 2000, the MCA has introduced more rigorous regulations for domestic passenger vessels. These regulations apply, in general, to new build vessels. These standards developed are considered to provide a high safety standard in line with other internationally recognised standards. Concurrent with these developments, the regulations for existing vessels have remained mostly unchanged (this applies to approximately 84% of the domestic passenger ship fleet). </w:t>
      </w:r>
      <w:r w:rsidR="00472DED" w:rsidRPr="00D75DA0">
        <w:t xml:space="preserve">Generally, operators of these existing vessels have not voluntarily installed safety equipment over and above what is required in the regulations, even when a piece of safety equipment would otherwise be required for a new vessel. </w:t>
      </w:r>
    </w:p>
    <w:p w14:paraId="22F62A10" w14:textId="77777777" w:rsidR="00271DE0" w:rsidRPr="00271DE0" w:rsidRDefault="00271DE0" w:rsidP="001A16B0">
      <w:pPr>
        <w:pStyle w:val="Heading2"/>
      </w:pPr>
      <w:r w:rsidRPr="00271DE0">
        <w:t>Rationale</w:t>
      </w:r>
      <w:r w:rsidR="00687A78">
        <w:t xml:space="preserve"> for intervention</w:t>
      </w:r>
    </w:p>
    <w:p w14:paraId="58B87357" w14:textId="37EBA6E1" w:rsidR="007940C7" w:rsidRDefault="00271DE0" w:rsidP="007940C7">
      <w:pPr>
        <w:pStyle w:val="EBBodyPara"/>
        <w:keepNext/>
      </w:pPr>
      <w:r w:rsidRPr="00271DE0">
        <w:t xml:space="preserve">Safety is the overarching rationale for revising the standards applied to domestic Passenger Vessels, with respect to the safety of passengers and crew. </w:t>
      </w:r>
      <w:r w:rsidR="00F16CC4">
        <w:t>The proposed amendments to Regulations aim to raise safety levels for existing ships to align more closely with those for new ships. I</w:t>
      </w:r>
      <w:r w:rsidRPr="00271DE0">
        <w:t>n the interests of encouraging continuous improvement of safety standards, it</w:t>
      </w:r>
      <w:r w:rsidR="00F16CC4">
        <w:t xml:space="preserve"> i</w:t>
      </w:r>
      <w:r w:rsidRPr="00271DE0">
        <w:t>s necessary to take a pragmatic approach in applying new standards to the existing fleet. Given that it is difficult for passengers to objectively ass</w:t>
      </w:r>
      <w:r w:rsidR="00C84E0F">
        <w:t>ess the safety of a vessel,</w:t>
      </w:r>
      <w:r w:rsidR="00A9204B">
        <w:t xml:space="preserve"> </w:t>
      </w:r>
      <w:r w:rsidR="00392386">
        <w:t xml:space="preserve">and </w:t>
      </w:r>
      <w:r w:rsidR="00C84E0F">
        <w:t>the impact</w:t>
      </w:r>
      <w:r w:rsidR="00392386">
        <w:t xml:space="preserve"> on pas</w:t>
      </w:r>
      <w:r w:rsidR="00C84E0F">
        <w:t>sengers compared to freight will be greater if an</w:t>
      </w:r>
      <w:r w:rsidR="00392386">
        <w:t xml:space="preserve"> incident</w:t>
      </w:r>
      <w:r w:rsidR="00C84E0F">
        <w:t xml:space="preserve"> occurs</w:t>
      </w:r>
      <w:r w:rsidRPr="00271DE0">
        <w:t>, we believe a higher standard of safety is warranted relative to non-passenger carrying vessels.</w:t>
      </w:r>
      <w:r w:rsidR="007940C7" w:rsidRPr="007940C7">
        <w:t xml:space="preserve"> </w:t>
      </w:r>
      <w:r w:rsidR="00037647">
        <w:t xml:space="preserve">Additionally given that </w:t>
      </w:r>
      <w:r w:rsidR="00037647">
        <w:lastRenderedPageBreak/>
        <w:t>new vessels make up a relatively small proportion of the current domestic fleet, there is a lack of clear choice for passen</w:t>
      </w:r>
      <w:r w:rsidR="00B70C9B">
        <w:t>gers.</w:t>
      </w:r>
    </w:p>
    <w:p w14:paraId="372DAE0B" w14:textId="2298BA0C" w:rsidR="007940C7" w:rsidRPr="00D75DA0" w:rsidRDefault="001A2B03" w:rsidP="007940C7">
      <w:pPr>
        <w:pStyle w:val="EBBodyPara"/>
        <w:keepNext/>
      </w:pPr>
      <w:r>
        <w:t>In summary</w:t>
      </w:r>
      <w:r w:rsidR="007940C7" w:rsidRPr="00D75DA0">
        <w:t xml:space="preserve"> </w:t>
      </w:r>
      <w:r w:rsidR="00437872">
        <w:t>below are the</w:t>
      </w:r>
      <w:r w:rsidR="007940C7" w:rsidRPr="00D75DA0">
        <w:t xml:space="preserve"> main market failures that continue to exacerbate this difference in safety standard:</w:t>
      </w:r>
    </w:p>
    <w:p w14:paraId="6E7AA2E0" w14:textId="70A7FA85" w:rsidR="007940C7" w:rsidRPr="00D75DA0" w:rsidRDefault="001A2B03" w:rsidP="001A2B03">
      <w:pPr>
        <w:pStyle w:val="EBBodyPara"/>
        <w:keepNext/>
        <w:numPr>
          <w:ilvl w:val="0"/>
          <w:numId w:val="29"/>
        </w:numPr>
      </w:pPr>
      <w:r>
        <w:t xml:space="preserve">There is informational asymmetry as passengers do not understand the relative risks of the different vessels they travel on. </w:t>
      </w:r>
      <w:r w:rsidR="00057BFA">
        <w:t>P</w:t>
      </w:r>
      <w:r w:rsidRPr="00D75DA0">
        <w:t xml:space="preserve">assengers are unable to differentiate between </w:t>
      </w:r>
      <w:r>
        <w:t xml:space="preserve">the risk profile of </w:t>
      </w:r>
      <w:r w:rsidRPr="00D75DA0">
        <w:t xml:space="preserve">vessels that have higher safety </w:t>
      </w:r>
      <w:r w:rsidR="00057BFA">
        <w:t>standards and those that do not</w:t>
      </w:r>
      <w:r w:rsidR="009E7D1F">
        <w:t xml:space="preserve"> due to </w:t>
      </w:r>
      <w:r w:rsidR="00774DAC">
        <w:t xml:space="preserve">the </w:t>
      </w:r>
      <w:r w:rsidR="009E7D1F">
        <w:t>complex</w:t>
      </w:r>
      <w:r w:rsidR="00774DAC">
        <w:t>ity</w:t>
      </w:r>
      <w:r w:rsidR="009E7D1F">
        <w:t xml:space="preserve"> and inherently technical nature of standards on ships</w:t>
      </w:r>
      <w:r w:rsidR="00057BFA">
        <w:t>. C</w:t>
      </w:r>
      <w:r>
        <w:t>onsequently</w:t>
      </w:r>
      <w:r w:rsidR="00057BFA">
        <w:t xml:space="preserve"> there is no incentive for vessels to increase safety as </w:t>
      </w:r>
      <w:r w:rsidR="00774DAC">
        <w:t>vessels</w:t>
      </w:r>
      <w:r w:rsidR="00057BFA">
        <w:t xml:space="preserve"> cannot make the distinction clear to passengers in order to charge more and recover the costs of safety improvements</w:t>
      </w:r>
      <w:r>
        <w:t xml:space="preserve">. </w:t>
      </w:r>
      <w:r w:rsidR="00057BFA">
        <w:t xml:space="preserve">As a result of safety equipment presenting a cost to operators, those who </w:t>
      </w:r>
      <w:r w:rsidR="007940C7" w:rsidRPr="00D75DA0">
        <w:t>have chosen to install non-mandatory safety equipment following advances i</w:t>
      </w:r>
      <w:r w:rsidR="00057BFA">
        <w:t>n technology and lowering costs</w:t>
      </w:r>
      <w:r w:rsidR="002C5114">
        <w:t>,</w:t>
      </w:r>
      <w:r w:rsidR="007940C7" w:rsidRPr="00D75DA0">
        <w:t xml:space="preserve"> are seen to b</w:t>
      </w:r>
      <w:r>
        <w:t>e at a commercial disadvantage.</w:t>
      </w:r>
    </w:p>
    <w:p w14:paraId="71C76521" w14:textId="37F5A72C" w:rsidR="007940C7" w:rsidRDefault="00392386" w:rsidP="00392386">
      <w:pPr>
        <w:pStyle w:val="EBBodyPara"/>
        <w:keepNext/>
        <w:numPr>
          <w:ilvl w:val="0"/>
          <w:numId w:val="29"/>
        </w:numPr>
      </w:pPr>
      <w:r>
        <w:t>There are negative externalities if low safety standards impact on other parts of industry, passengers and government beyond what is already internalised in the costs to a business if a safety incident occurs. As a result, a</w:t>
      </w:r>
      <w:r w:rsidR="007940C7" w:rsidRPr="00D75DA0">
        <w:t xml:space="preserve"> two-tier safety level within the UK domestic passenger ship fleet presents a reputational risk to the industry and the MCA/DfT. If an accident were to occur on a vessel constructed and </w:t>
      </w:r>
      <w:r w:rsidR="00437872">
        <w:t>maintained to older regulations.</w:t>
      </w:r>
    </w:p>
    <w:p w14:paraId="582619DA" w14:textId="37BA0158" w:rsidR="00437872" w:rsidRPr="00D75DA0" w:rsidRDefault="00437872" w:rsidP="00392386">
      <w:pPr>
        <w:pStyle w:val="EBBodyPara"/>
        <w:keepNext/>
        <w:numPr>
          <w:ilvl w:val="0"/>
          <w:numId w:val="29"/>
        </w:numPr>
      </w:pPr>
      <w:r>
        <w:t xml:space="preserve">Market competitiveness is impacted </w:t>
      </w:r>
      <w:r w:rsidR="00774DAC">
        <w:t>as existing vessels have an advantage over new entrants into the market due to being able to adhere to lower safety standards at a lower cost. This is not rectified through, for example, higher premiums on insurance for existing vessels</w:t>
      </w:r>
      <w:r w:rsidR="00BA564B">
        <w:t>,</w:t>
      </w:r>
      <w:r w:rsidR="00E05F5C">
        <w:t xml:space="preserve"> </w:t>
      </w:r>
      <w:r w:rsidR="00774DAC">
        <w:t>due to the fact that existing vessel are still certified in the same way as newer vessels, leading to the perception of similar safety levels.</w:t>
      </w:r>
    </w:p>
    <w:p w14:paraId="097FA9A3" w14:textId="21F7608F" w:rsidR="00271DE0" w:rsidRPr="00290D32" w:rsidRDefault="007940C7" w:rsidP="00290D32">
      <w:pPr>
        <w:pStyle w:val="EBBodyPara"/>
        <w:keepNext/>
      </w:pPr>
      <w:r w:rsidRPr="00D75DA0">
        <w:t>These market failures mean that the level of safety provided on older domestic passenger vessels is likely to</w:t>
      </w:r>
      <w:r w:rsidR="00AC445F">
        <w:t xml:space="preserve"> be</w:t>
      </w:r>
      <w:r w:rsidRPr="00D75DA0">
        <w:t xml:space="preserve"> be</w:t>
      </w:r>
      <w:r w:rsidR="00392386">
        <w:t>low the socially optimum level</w:t>
      </w:r>
      <w:r w:rsidRPr="00D75DA0">
        <w:t xml:space="preserve">. </w:t>
      </w:r>
      <w:r w:rsidR="00E56140">
        <w:t xml:space="preserve">The result is </w:t>
      </w:r>
      <w:r w:rsidR="00E05F5C">
        <w:t xml:space="preserve">a </w:t>
      </w:r>
      <w:r w:rsidR="00E56140">
        <w:t xml:space="preserve">higher risk of a safety incident occurring on domestic passenger vessels, and when an incident does occur it leading to a serious injury or loss of life. </w:t>
      </w:r>
      <w:r w:rsidRPr="00D75DA0">
        <w:t xml:space="preserve">It is considered that well-designed government intervention will bridge this gap. </w:t>
      </w:r>
    </w:p>
    <w:p w14:paraId="019B956E" w14:textId="77777777" w:rsidR="00271DE0" w:rsidRPr="00271DE0" w:rsidRDefault="00271DE0" w:rsidP="00271DE0">
      <w:pPr>
        <w:pStyle w:val="Heading2"/>
      </w:pPr>
      <w:r w:rsidRPr="00271DE0">
        <w:t>Policy objective</w:t>
      </w:r>
    </w:p>
    <w:p w14:paraId="48C04DD0" w14:textId="77777777" w:rsidR="00271DE0" w:rsidRDefault="00271DE0" w:rsidP="00271DE0">
      <w:pPr>
        <w:spacing w:after="120" w:line="259" w:lineRule="auto"/>
        <w:rPr>
          <w:rFonts w:cs="Arial"/>
          <w:bCs/>
          <w:color w:val="000000"/>
          <w:sz w:val="22"/>
          <w:szCs w:val="22"/>
          <w:lang w:eastAsia="en-GB"/>
        </w:rPr>
      </w:pPr>
      <w:r w:rsidRPr="00271DE0">
        <w:rPr>
          <w:rFonts w:cs="Arial"/>
          <w:bCs/>
          <w:color w:val="000000"/>
          <w:sz w:val="22"/>
          <w:szCs w:val="22"/>
          <w:lang w:eastAsia="en-GB"/>
        </w:rPr>
        <w:t>The objective of this policy is to provide suitable regulation for existing domestic passenger vessels which is comparable with modern regulations whilst being proportionate and pragmatic. The aim is to have a consistent domestic passenger ship safety standard irrespective of the age of the vessel.</w:t>
      </w:r>
    </w:p>
    <w:p w14:paraId="64BDAF8C" w14:textId="5F318463" w:rsidR="00740D03" w:rsidRDefault="00740D03" w:rsidP="00740D03">
      <w:pPr>
        <w:pStyle w:val="Heading2"/>
      </w:pPr>
      <w:r>
        <w:t>Consultation</w:t>
      </w:r>
    </w:p>
    <w:p w14:paraId="3AE92900" w14:textId="77777777" w:rsidR="00740D03" w:rsidRDefault="00740D03" w:rsidP="00740D03">
      <w:pPr>
        <w:rPr>
          <w:rFonts w:cs="Arial"/>
          <w:bCs/>
          <w:color w:val="000000"/>
          <w:sz w:val="22"/>
          <w:szCs w:val="22"/>
          <w:lang w:eastAsia="en-GB"/>
        </w:rPr>
      </w:pPr>
      <w:r>
        <w:rPr>
          <w:rFonts w:cs="Arial"/>
          <w:bCs/>
          <w:color w:val="000000"/>
          <w:sz w:val="22"/>
          <w:szCs w:val="22"/>
          <w:lang w:eastAsia="en-GB"/>
        </w:rPr>
        <w:t>We are consulting to</w:t>
      </w:r>
      <w:r w:rsidRPr="00740D03">
        <w:rPr>
          <w:rFonts w:cs="Arial"/>
          <w:bCs/>
          <w:color w:val="000000"/>
          <w:sz w:val="22"/>
          <w:szCs w:val="22"/>
          <w:lang w:eastAsia="en-GB"/>
        </w:rPr>
        <w:t xml:space="preserve"> consider both the policy and t</w:t>
      </w:r>
      <w:r>
        <w:rPr>
          <w:rFonts w:cs="Arial"/>
          <w:bCs/>
          <w:color w:val="000000"/>
          <w:sz w:val="22"/>
          <w:szCs w:val="22"/>
          <w:lang w:eastAsia="en-GB"/>
        </w:rPr>
        <w:t>he associated costs in this</w:t>
      </w:r>
      <w:r w:rsidRPr="00740D03">
        <w:rPr>
          <w:rFonts w:cs="Arial"/>
          <w:bCs/>
          <w:color w:val="000000"/>
          <w:sz w:val="22"/>
          <w:szCs w:val="22"/>
          <w:lang w:eastAsia="en-GB"/>
        </w:rPr>
        <w:t xml:space="preserve"> Impact Assessment. The intent of the consultation is to more fully explore the viability of each of the separate proposed measures – both from a cost perspective and from a feasibility point of view. It is aimed to identify whether any considerations have been overlooked and provide justification for any areas where the proposals could be scaled back. </w:t>
      </w:r>
    </w:p>
    <w:p w14:paraId="51757A83" w14:textId="77777777" w:rsidR="00740D03" w:rsidRDefault="00740D03" w:rsidP="00740D03">
      <w:pPr>
        <w:rPr>
          <w:rFonts w:cs="Arial"/>
          <w:bCs/>
          <w:color w:val="000000"/>
          <w:sz w:val="22"/>
          <w:szCs w:val="22"/>
          <w:lang w:eastAsia="en-GB"/>
        </w:rPr>
      </w:pPr>
    </w:p>
    <w:p w14:paraId="272F5DE3" w14:textId="7DEDECF7" w:rsidR="00740D03" w:rsidRPr="00740D03" w:rsidRDefault="00740D03" w:rsidP="00740D03">
      <w:pPr>
        <w:rPr>
          <w:rFonts w:cs="Arial"/>
          <w:bCs/>
          <w:color w:val="000000"/>
          <w:sz w:val="22"/>
          <w:szCs w:val="22"/>
          <w:lang w:eastAsia="en-GB"/>
        </w:rPr>
      </w:pPr>
      <w:r w:rsidRPr="00740D03">
        <w:rPr>
          <w:rFonts w:cs="Arial"/>
          <w:bCs/>
          <w:color w:val="000000"/>
          <w:sz w:val="22"/>
          <w:szCs w:val="22"/>
          <w:lang w:eastAsia="en-GB"/>
        </w:rPr>
        <w:t>Following this first consultation on the policy and the Impact Assessment</w:t>
      </w:r>
      <w:r>
        <w:rPr>
          <w:rFonts w:cs="Arial"/>
          <w:bCs/>
          <w:color w:val="000000"/>
          <w:sz w:val="22"/>
          <w:szCs w:val="22"/>
          <w:lang w:eastAsia="en-GB"/>
        </w:rPr>
        <w:t>,</w:t>
      </w:r>
      <w:r w:rsidRPr="00740D03">
        <w:rPr>
          <w:rFonts w:cs="Arial"/>
          <w:bCs/>
          <w:color w:val="000000"/>
          <w:sz w:val="22"/>
          <w:szCs w:val="22"/>
          <w:lang w:eastAsia="en-GB"/>
        </w:rPr>
        <w:t xml:space="preserve"> a finalised Impact Assessment will be complete</w:t>
      </w:r>
      <w:r>
        <w:rPr>
          <w:rFonts w:cs="Arial"/>
          <w:bCs/>
          <w:color w:val="000000"/>
          <w:sz w:val="22"/>
          <w:szCs w:val="22"/>
          <w:lang w:eastAsia="en-GB"/>
        </w:rPr>
        <w:t>d</w:t>
      </w:r>
      <w:r w:rsidRPr="00740D03">
        <w:rPr>
          <w:rFonts w:cs="Arial"/>
          <w:bCs/>
          <w:color w:val="000000"/>
          <w:sz w:val="22"/>
          <w:szCs w:val="22"/>
          <w:lang w:eastAsia="en-GB"/>
        </w:rPr>
        <w:t xml:space="preserve"> and the draft Regulations prepared, these Regulations will then be subject to a second shorter consultation. There is much scope for stakeholders to influence the policy around the individual proposals and also to refine the cost benefit information. The consultation document which will be provided alongside this Impact Assessment will further explain the policy behind each proposal and which vessels will be impacted as well as asking key questions and inviting comment.</w:t>
      </w:r>
    </w:p>
    <w:p w14:paraId="5C047017" w14:textId="77777777" w:rsidR="00740D03" w:rsidRPr="00271DE0" w:rsidRDefault="00740D03" w:rsidP="00271DE0">
      <w:pPr>
        <w:spacing w:after="120" w:line="259" w:lineRule="auto"/>
        <w:rPr>
          <w:rFonts w:cs="Arial"/>
          <w:bCs/>
          <w:color w:val="000000"/>
          <w:sz w:val="22"/>
          <w:szCs w:val="22"/>
          <w:lang w:eastAsia="en-GB"/>
        </w:rPr>
      </w:pPr>
    </w:p>
    <w:p w14:paraId="14760EE4" w14:textId="77777777" w:rsidR="00271DE0" w:rsidRPr="0031624F" w:rsidRDefault="00271DE0" w:rsidP="00271DE0">
      <w:pPr>
        <w:pStyle w:val="Heading2"/>
      </w:pPr>
      <w:r w:rsidRPr="0031624F">
        <w:lastRenderedPageBreak/>
        <w:t>Description of options considered</w:t>
      </w:r>
    </w:p>
    <w:p w14:paraId="1025F61B" w14:textId="77777777" w:rsidR="00271DE0" w:rsidRPr="00271DE0" w:rsidRDefault="00271DE0" w:rsidP="00271DE0">
      <w:pPr>
        <w:pStyle w:val="Heading3"/>
      </w:pPr>
      <w:r w:rsidRPr="00271DE0">
        <w:t>Option 0: Do nothing</w:t>
      </w:r>
    </w:p>
    <w:p w14:paraId="1B5F22E8" w14:textId="77777777" w:rsidR="00373126" w:rsidRDefault="00373126" w:rsidP="00373126">
      <w:pPr>
        <w:suppressAutoHyphens/>
        <w:rPr>
          <w:rFonts w:cs="Arial"/>
          <w:sz w:val="22"/>
          <w:szCs w:val="22"/>
        </w:rPr>
      </w:pPr>
      <w:r w:rsidRPr="00555AB1">
        <w:rPr>
          <w:rFonts w:cs="Arial"/>
          <w:sz w:val="22"/>
          <w:szCs w:val="22"/>
        </w:rPr>
        <w:t>Do nothing and maintain the regulatory status quo. Promulgate best practice guidance suggesting ways for operators to improve level of vessel safety.</w:t>
      </w:r>
    </w:p>
    <w:p w14:paraId="2BCAE17E" w14:textId="77777777" w:rsidR="000421FA" w:rsidRPr="00555AB1" w:rsidRDefault="000421FA" w:rsidP="00373126">
      <w:pPr>
        <w:suppressAutoHyphens/>
        <w:rPr>
          <w:rFonts w:cs="Arial"/>
          <w:sz w:val="22"/>
          <w:szCs w:val="22"/>
        </w:rPr>
      </w:pPr>
    </w:p>
    <w:p w14:paraId="213975FE" w14:textId="77777777" w:rsidR="00555AB1" w:rsidRPr="00271DE0" w:rsidRDefault="00373126" w:rsidP="00555AB1">
      <w:pPr>
        <w:spacing w:after="120" w:line="259" w:lineRule="auto"/>
        <w:rPr>
          <w:rFonts w:cs="Arial"/>
          <w:bCs/>
          <w:color w:val="000000"/>
          <w:sz w:val="22"/>
          <w:szCs w:val="22"/>
          <w:lang w:eastAsia="en-GB"/>
        </w:rPr>
      </w:pPr>
      <w:r w:rsidRPr="00555AB1">
        <w:rPr>
          <w:rFonts w:cs="Arial"/>
          <w:sz w:val="22"/>
          <w:szCs w:val="22"/>
        </w:rPr>
        <w:t xml:space="preserve">This option would not address the safety gaps between older vessels and those built to new standards. Whilst major improvements have been achieved since the Marchioness tragedy the reality is that safety gaps in some areas mean that the consequences of such an incident have not appreciably changed. </w:t>
      </w:r>
      <w:r w:rsidR="00555AB1" w:rsidRPr="00271DE0">
        <w:rPr>
          <w:rFonts w:cs="Arial"/>
          <w:bCs/>
          <w:color w:val="000000"/>
          <w:sz w:val="22"/>
          <w:szCs w:val="22"/>
          <w:lang w:eastAsia="en-GB"/>
        </w:rPr>
        <w:t xml:space="preserve">Although </w:t>
      </w:r>
      <w:r w:rsidR="00555AB1">
        <w:rPr>
          <w:rFonts w:cs="Arial"/>
          <w:bCs/>
          <w:color w:val="000000"/>
          <w:sz w:val="22"/>
          <w:szCs w:val="22"/>
          <w:lang w:eastAsia="en-GB"/>
        </w:rPr>
        <w:t>some</w:t>
      </w:r>
      <w:r w:rsidR="00555AB1" w:rsidRPr="00271DE0">
        <w:rPr>
          <w:rFonts w:cs="Arial"/>
          <w:bCs/>
          <w:color w:val="000000"/>
          <w:sz w:val="22"/>
          <w:szCs w:val="22"/>
          <w:lang w:eastAsia="en-GB"/>
        </w:rPr>
        <w:t xml:space="preserve"> operators have chosen to take advantage of safety advances, </w:t>
      </w:r>
      <w:r w:rsidR="00555AB1">
        <w:rPr>
          <w:rFonts w:cs="Arial"/>
          <w:bCs/>
          <w:color w:val="000000"/>
          <w:sz w:val="22"/>
          <w:szCs w:val="22"/>
          <w:lang w:eastAsia="en-GB"/>
        </w:rPr>
        <w:t>many</w:t>
      </w:r>
      <w:r w:rsidR="00555AB1" w:rsidRPr="00271DE0">
        <w:rPr>
          <w:rFonts w:cs="Arial"/>
          <w:bCs/>
          <w:color w:val="000000"/>
          <w:sz w:val="22"/>
          <w:szCs w:val="22"/>
          <w:lang w:eastAsia="en-GB"/>
        </w:rPr>
        <w:t xml:space="preserve"> have not. Operating vessels with less safety equipment can be seen as commercially attractive due to the reduced capital investment and maintenance required for safety equipment. Therefore, regulation is required to advance the level of safety within the domestic passenger ship fleet whilst promoting a level playing field. </w:t>
      </w:r>
    </w:p>
    <w:p w14:paraId="343D01FB" w14:textId="3D47D0CC" w:rsidR="001139CF" w:rsidRDefault="00271DE0" w:rsidP="00BD5482">
      <w:pPr>
        <w:spacing w:after="120" w:line="259" w:lineRule="auto"/>
        <w:rPr>
          <w:rFonts w:cs="Arial"/>
          <w:bCs/>
          <w:color w:val="000000"/>
          <w:sz w:val="22"/>
          <w:szCs w:val="22"/>
          <w:lang w:eastAsia="en-GB"/>
        </w:rPr>
      </w:pPr>
      <w:r w:rsidRPr="00271DE0">
        <w:rPr>
          <w:rFonts w:cs="Arial"/>
          <w:bCs/>
          <w:color w:val="000000"/>
          <w:sz w:val="22"/>
          <w:szCs w:val="22"/>
          <w:lang w:eastAsia="en-GB"/>
        </w:rPr>
        <w:t xml:space="preserve">Furthermore, following formal investigations, </w:t>
      </w:r>
      <w:r w:rsidR="00D43399">
        <w:rPr>
          <w:rFonts w:cs="Arial"/>
          <w:bCs/>
          <w:color w:val="000000"/>
          <w:sz w:val="22"/>
          <w:szCs w:val="22"/>
          <w:lang w:eastAsia="en-GB"/>
        </w:rPr>
        <w:t xml:space="preserve">FSAs </w:t>
      </w:r>
      <w:r w:rsidRPr="00271DE0">
        <w:rPr>
          <w:rFonts w:cs="Arial"/>
          <w:bCs/>
          <w:color w:val="000000"/>
          <w:sz w:val="22"/>
          <w:szCs w:val="22"/>
          <w:lang w:eastAsia="en-GB"/>
        </w:rPr>
        <w:t>and research undertaken following the Marchioness disaster in 1989, using extensive resources over many years and the findings of which were presented to the public in 2005, Ministers have publicly committed to the implementation of the recommendations and a review of all the safety standards. Failure to implement this would mean that the recognised safety concerns were not being addressed</w:t>
      </w:r>
      <w:r w:rsidR="00555AB1">
        <w:rPr>
          <w:rFonts w:cs="Arial"/>
          <w:bCs/>
          <w:color w:val="000000"/>
          <w:sz w:val="22"/>
          <w:szCs w:val="22"/>
          <w:lang w:eastAsia="en-GB"/>
        </w:rPr>
        <w:t xml:space="preserve"> and identified risks would be perpetuated</w:t>
      </w:r>
      <w:r w:rsidRPr="00271DE0">
        <w:rPr>
          <w:rFonts w:cs="Arial"/>
          <w:bCs/>
          <w:color w:val="000000"/>
          <w:sz w:val="22"/>
          <w:szCs w:val="22"/>
          <w:lang w:eastAsia="en-GB"/>
        </w:rPr>
        <w:t>. Such a situation could be seen as a betrayal of the travelling public who are entitled to expect the protection of robust and modern safety standards.</w:t>
      </w:r>
    </w:p>
    <w:p w14:paraId="4CAB51E1" w14:textId="6370F86E" w:rsidR="000103F5" w:rsidRPr="00BD5482" w:rsidRDefault="000103F5" w:rsidP="00BD5482">
      <w:pPr>
        <w:spacing w:after="120" w:line="259" w:lineRule="auto"/>
        <w:rPr>
          <w:rFonts w:cs="Arial"/>
          <w:bCs/>
          <w:color w:val="000000"/>
          <w:sz w:val="22"/>
          <w:szCs w:val="22"/>
          <w:lang w:eastAsia="en-GB"/>
        </w:rPr>
      </w:pPr>
      <w:r w:rsidRPr="009F0D83">
        <w:rPr>
          <w:rFonts w:cs="Arial"/>
          <w:bCs/>
          <w:color w:val="000000"/>
          <w:sz w:val="22"/>
          <w:szCs w:val="22"/>
          <w:lang w:eastAsia="en-GB"/>
        </w:rPr>
        <w:t xml:space="preserve">This is </w:t>
      </w:r>
      <w:r>
        <w:rPr>
          <w:rFonts w:cs="Arial"/>
          <w:bCs/>
          <w:color w:val="000000"/>
          <w:sz w:val="22"/>
          <w:szCs w:val="22"/>
          <w:lang w:eastAsia="en-GB"/>
        </w:rPr>
        <w:t>the baseline or counterfactual against which the options are being appraised against.</w:t>
      </w:r>
    </w:p>
    <w:p w14:paraId="2381B9CD" w14:textId="6B36B64A" w:rsidR="00E937B6" w:rsidRPr="00E937B6" w:rsidRDefault="00592B63" w:rsidP="00E937B6">
      <w:pPr>
        <w:pStyle w:val="Heading3"/>
      </w:pPr>
      <w:r>
        <w:t>Option 1</w:t>
      </w:r>
      <w:r w:rsidR="00E937B6" w:rsidRPr="00E937B6">
        <w:t xml:space="preserve">: Implement </w:t>
      </w:r>
      <w:r w:rsidR="00E937B6">
        <w:t>revised</w:t>
      </w:r>
      <w:r w:rsidR="00E937B6" w:rsidRPr="00E937B6">
        <w:t xml:space="preserve"> standards that provide a balance between not imposing significant costs, whilst ensuring a minimum level of safety for the travelling public</w:t>
      </w:r>
    </w:p>
    <w:p w14:paraId="42C1A91E" w14:textId="5FA7C01A" w:rsidR="00415022" w:rsidRDefault="00862B4B" w:rsidP="00415022">
      <w:pPr>
        <w:suppressAutoHyphens/>
        <w:rPr>
          <w:rFonts w:cs="Arial"/>
          <w:sz w:val="22"/>
          <w:szCs w:val="22"/>
        </w:rPr>
      </w:pPr>
      <w:r>
        <w:rPr>
          <w:rFonts w:cs="Arial"/>
          <w:sz w:val="22"/>
          <w:szCs w:val="22"/>
        </w:rPr>
        <w:t>This option would apply t</w:t>
      </w:r>
      <w:r w:rsidR="00415022" w:rsidRPr="00862B4B">
        <w:rPr>
          <w:rFonts w:cs="Arial"/>
          <w:sz w:val="22"/>
          <w:szCs w:val="22"/>
        </w:rPr>
        <w:t>ailored amendment</w:t>
      </w:r>
      <w:r>
        <w:rPr>
          <w:rFonts w:cs="Arial"/>
          <w:sz w:val="22"/>
          <w:szCs w:val="22"/>
        </w:rPr>
        <w:t>s</w:t>
      </w:r>
      <w:r w:rsidR="00415022" w:rsidRPr="00862B4B">
        <w:rPr>
          <w:rFonts w:cs="Arial"/>
          <w:sz w:val="22"/>
          <w:szCs w:val="22"/>
        </w:rPr>
        <w:t xml:space="preserve"> of the Regulations to achieve improvements in key safety areas</w:t>
      </w:r>
      <w:r w:rsidR="001A16B0">
        <w:rPr>
          <w:rFonts w:cs="Arial"/>
          <w:sz w:val="22"/>
          <w:szCs w:val="22"/>
        </w:rPr>
        <w:t xml:space="preserve"> of fire safety, damage stability, protection from water ingress and life-saving appliances</w:t>
      </w:r>
      <w:r w:rsidR="008707E7">
        <w:rPr>
          <w:rFonts w:cs="Arial"/>
          <w:sz w:val="22"/>
          <w:szCs w:val="22"/>
        </w:rPr>
        <w:t xml:space="preserve"> rather than </w:t>
      </w:r>
      <w:r w:rsidR="00D26F56">
        <w:rPr>
          <w:rFonts w:cs="Arial"/>
          <w:sz w:val="22"/>
          <w:szCs w:val="22"/>
        </w:rPr>
        <w:t xml:space="preserve">compliance with the requirements for a new ship in full </w:t>
      </w:r>
      <w:r w:rsidR="00592B63">
        <w:rPr>
          <w:rFonts w:cs="Arial"/>
          <w:sz w:val="22"/>
          <w:szCs w:val="22"/>
        </w:rPr>
        <w:t>as under Option 2</w:t>
      </w:r>
      <w:r w:rsidR="00C11CC8">
        <w:rPr>
          <w:rFonts w:cs="Arial"/>
          <w:sz w:val="22"/>
          <w:szCs w:val="22"/>
        </w:rPr>
        <w:t>.</w:t>
      </w:r>
      <w:r w:rsidR="00415022" w:rsidRPr="00862B4B">
        <w:rPr>
          <w:rFonts w:cs="Arial"/>
          <w:sz w:val="22"/>
          <w:szCs w:val="22"/>
        </w:rPr>
        <w:t xml:space="preserve"> </w:t>
      </w:r>
      <w:r>
        <w:rPr>
          <w:rFonts w:cs="Arial"/>
          <w:sz w:val="22"/>
          <w:szCs w:val="22"/>
        </w:rPr>
        <w:t>The ship would then be evaluated a</w:t>
      </w:r>
      <w:r w:rsidR="00415022" w:rsidRPr="00862B4B">
        <w:rPr>
          <w:rFonts w:cs="Arial"/>
          <w:sz w:val="22"/>
          <w:szCs w:val="22"/>
        </w:rPr>
        <w:t>gainst amended requirements and modif</w:t>
      </w:r>
      <w:r>
        <w:rPr>
          <w:rFonts w:cs="Arial"/>
          <w:sz w:val="22"/>
          <w:szCs w:val="22"/>
        </w:rPr>
        <w:t>ied</w:t>
      </w:r>
      <w:r w:rsidR="00415022" w:rsidRPr="00862B4B">
        <w:rPr>
          <w:rFonts w:cs="Arial"/>
          <w:sz w:val="22"/>
          <w:szCs w:val="22"/>
        </w:rPr>
        <w:t xml:space="preserve"> as required.</w:t>
      </w:r>
    </w:p>
    <w:p w14:paraId="1A81ADDB" w14:textId="77777777" w:rsidR="00D26F56" w:rsidRDefault="00D26F56" w:rsidP="00415022">
      <w:pPr>
        <w:suppressAutoHyphens/>
        <w:rPr>
          <w:rFonts w:cs="Arial"/>
          <w:sz w:val="22"/>
          <w:szCs w:val="22"/>
        </w:rPr>
      </w:pPr>
    </w:p>
    <w:p w14:paraId="7BF768BF" w14:textId="77777777" w:rsidR="00D26F56" w:rsidRDefault="00D26F56" w:rsidP="00D26F56">
      <w:pPr>
        <w:pStyle w:val="EBBodyPara"/>
        <w:keepNext/>
      </w:pPr>
      <w:r w:rsidRPr="00E937B6">
        <w:t xml:space="preserve">It is recognised that the cost of installing safety equipment on existing vessels can be substantially more expensive than it would be on new vessels. </w:t>
      </w:r>
      <w:r>
        <w:t xml:space="preserve">Where possible, </w:t>
      </w:r>
      <w:r w:rsidRPr="00E937B6">
        <w:t>allowances have been made</w:t>
      </w:r>
      <w:r>
        <w:t xml:space="preserve"> with the equipment </w:t>
      </w:r>
      <w:r w:rsidR="007940C7">
        <w:t xml:space="preserve">that </w:t>
      </w:r>
      <w:r>
        <w:t>would be accepted for these existing ships rather than direct application of the equipment requirements for new ships</w:t>
      </w:r>
      <w:r w:rsidR="007940C7">
        <w:t>.</w:t>
      </w:r>
      <w:r>
        <w:t xml:space="preserve"> </w:t>
      </w:r>
      <w:r w:rsidR="007940C7">
        <w:t>T</w:t>
      </w:r>
      <w:r>
        <w:t>he proposed amendments also have allowances</w:t>
      </w:r>
      <w:r w:rsidRPr="00E937B6">
        <w:t xml:space="preserve">, for alternative arrangements which ensure the safety concern is addressed, without it being prohibitively expensive. </w:t>
      </w:r>
    </w:p>
    <w:p w14:paraId="5D7A5E72" w14:textId="241AE0BC" w:rsidR="00472DED" w:rsidRPr="00E937B6" w:rsidRDefault="00472DED" w:rsidP="00472DED">
      <w:pPr>
        <w:pStyle w:val="EBBodyPara"/>
        <w:keepNext/>
      </w:pPr>
      <w:r>
        <w:t>In some cases, the requ</w:t>
      </w:r>
      <w:r w:rsidR="00592B63">
        <w:t>irement that is set for Option 1</w:t>
      </w:r>
      <w:r>
        <w:t xml:space="preserve"> is lower than th</w:t>
      </w:r>
      <w:r w:rsidR="00592B63">
        <w:t>at for a new ship under Option 2</w:t>
      </w:r>
      <w:r>
        <w:t>. An example of this is the proposed damage stability r</w:t>
      </w:r>
      <w:r w:rsidR="00592B63">
        <w:t>equirements where under Option 2</w:t>
      </w:r>
      <w:r w:rsidR="00BA564B">
        <w:t xml:space="preserve"> a Category B ship</w:t>
      </w:r>
      <w:r>
        <w:t xml:space="preserve"> would need to apply the requirements bu</w:t>
      </w:r>
      <w:r w:rsidR="00592B63">
        <w:t>t under Option 1</w:t>
      </w:r>
      <w:r>
        <w:t xml:space="preserve"> the proposed application starts at Category C, which would bring more vessels into scope of the requirement. See annex B for definitions of categories of water.</w:t>
      </w:r>
    </w:p>
    <w:p w14:paraId="4887C6A4" w14:textId="77777777" w:rsidR="00D26F56" w:rsidRPr="00E937B6" w:rsidRDefault="00D26F56" w:rsidP="00D26F56">
      <w:pPr>
        <w:pStyle w:val="EBBodyPara"/>
        <w:keepNext/>
      </w:pPr>
      <w:r w:rsidRPr="00E937B6">
        <w:t xml:space="preserve">The </w:t>
      </w:r>
      <w:r>
        <w:t>derivation</w:t>
      </w:r>
      <w:r w:rsidRPr="00E937B6">
        <w:t xml:space="preserve"> of the proposed amendments </w:t>
      </w:r>
      <w:r>
        <w:t>was</w:t>
      </w:r>
      <w:r w:rsidRPr="00E937B6">
        <w:t xml:space="preserve"> carried out in conjunction with industry representatives (48 operators and industry representatives). The proposed revised regulations reflect the advances in marine safety equipment and requires the provision of equipment which is</w:t>
      </w:r>
      <w:r w:rsidR="00217EF5">
        <w:t xml:space="preserve">, in general, </w:t>
      </w:r>
      <w:r w:rsidRPr="00E937B6">
        <w:t xml:space="preserve">comparable with a modern vessel. Only practicable changes which would provide a substantial increase in safety have been considered, following extensive discussions with affected stakeholders. </w:t>
      </w:r>
    </w:p>
    <w:p w14:paraId="1BDC6AB4" w14:textId="501244B1" w:rsidR="00415022" w:rsidRDefault="00415022" w:rsidP="00415022">
      <w:pPr>
        <w:suppressAutoHyphens/>
        <w:rPr>
          <w:rFonts w:cs="Arial"/>
          <w:sz w:val="22"/>
          <w:szCs w:val="22"/>
        </w:rPr>
      </w:pPr>
      <w:r w:rsidRPr="001139CF">
        <w:rPr>
          <w:rFonts w:cs="Arial"/>
          <w:sz w:val="22"/>
          <w:szCs w:val="22"/>
        </w:rPr>
        <w:t>Amending</w:t>
      </w:r>
      <w:r w:rsidRPr="00862B4B">
        <w:rPr>
          <w:rFonts w:cs="Arial"/>
          <w:sz w:val="22"/>
          <w:szCs w:val="22"/>
        </w:rPr>
        <w:t xml:space="preserve"> and updating only certain areas in the Regulations would substantially increase safety levels of older vessels without causing </w:t>
      </w:r>
      <w:r w:rsidR="007940C7">
        <w:rPr>
          <w:rFonts w:cs="Arial"/>
          <w:sz w:val="22"/>
          <w:szCs w:val="22"/>
        </w:rPr>
        <w:t>disproportionate cost</w:t>
      </w:r>
      <w:r w:rsidRPr="00862B4B">
        <w:rPr>
          <w:rFonts w:cs="Arial"/>
          <w:sz w:val="22"/>
          <w:szCs w:val="22"/>
        </w:rPr>
        <w:t xml:space="preserve">. </w:t>
      </w:r>
      <w:r w:rsidR="00862B4B" w:rsidRPr="00862B4B">
        <w:rPr>
          <w:rFonts w:cs="Arial"/>
          <w:sz w:val="22"/>
          <w:szCs w:val="22"/>
        </w:rPr>
        <w:t>Although i</w:t>
      </w:r>
      <w:r w:rsidRPr="00862B4B">
        <w:rPr>
          <w:rFonts w:cs="Arial"/>
          <w:sz w:val="22"/>
          <w:szCs w:val="22"/>
        </w:rPr>
        <w:t xml:space="preserve">t should be noted that to achieve risk reduction in the critical area of </w:t>
      </w:r>
      <w:r w:rsidR="00472DED" w:rsidRPr="00862B4B">
        <w:rPr>
          <w:rFonts w:cs="Arial"/>
          <w:sz w:val="22"/>
          <w:szCs w:val="22"/>
        </w:rPr>
        <w:t>post-damage survivability</w:t>
      </w:r>
      <w:r w:rsidR="000E642B">
        <w:rPr>
          <w:rStyle w:val="FootnoteReference"/>
          <w:rFonts w:cs="Arial"/>
          <w:szCs w:val="22"/>
        </w:rPr>
        <w:footnoteReference w:id="4"/>
      </w:r>
      <w:r w:rsidR="000E642B" w:rsidRPr="00862B4B">
        <w:rPr>
          <w:rFonts w:cs="Arial"/>
          <w:sz w:val="22"/>
          <w:szCs w:val="22"/>
        </w:rPr>
        <w:t>,</w:t>
      </w:r>
      <w:r w:rsidRPr="00862B4B">
        <w:rPr>
          <w:rFonts w:cs="Arial"/>
          <w:sz w:val="22"/>
          <w:szCs w:val="22"/>
        </w:rPr>
        <w:t xml:space="preserve"> it will </w:t>
      </w:r>
      <w:r w:rsidR="00862B4B" w:rsidRPr="00862B4B">
        <w:rPr>
          <w:rFonts w:cs="Arial"/>
          <w:sz w:val="22"/>
          <w:szCs w:val="22"/>
        </w:rPr>
        <w:t xml:space="preserve">still </w:t>
      </w:r>
      <w:r w:rsidRPr="00862B4B">
        <w:rPr>
          <w:rFonts w:cs="Arial"/>
          <w:sz w:val="22"/>
          <w:szCs w:val="22"/>
        </w:rPr>
        <w:t>be necessary for affected vessels to make substantial modifications which may not be possible for some vessels.</w:t>
      </w:r>
      <w:r w:rsidR="000E642B">
        <w:rPr>
          <w:rFonts w:cs="Arial"/>
          <w:sz w:val="22"/>
          <w:szCs w:val="22"/>
        </w:rPr>
        <w:t xml:space="preserve"> If a vessel cannot make the required modifications then it will no longer be able to be certified to operate under the same conditions.</w:t>
      </w:r>
    </w:p>
    <w:p w14:paraId="71F64F28" w14:textId="77777777" w:rsidR="008124B6" w:rsidRDefault="008124B6" w:rsidP="00415022">
      <w:pPr>
        <w:suppressAutoHyphens/>
        <w:rPr>
          <w:rFonts w:cs="Arial"/>
          <w:sz w:val="22"/>
          <w:szCs w:val="22"/>
        </w:rPr>
      </w:pPr>
    </w:p>
    <w:p w14:paraId="1147B496" w14:textId="77777777" w:rsidR="00415022" w:rsidRPr="00AC18FE" w:rsidRDefault="008124B6" w:rsidP="008124B6">
      <w:pPr>
        <w:suppressAutoHyphens/>
        <w:rPr>
          <w:rFonts w:cs="Arial"/>
          <w:b/>
          <w:sz w:val="22"/>
          <w:szCs w:val="22"/>
        </w:rPr>
      </w:pPr>
      <w:r w:rsidRPr="00AC18FE">
        <w:rPr>
          <w:rFonts w:cs="Arial"/>
          <w:b/>
          <w:sz w:val="22"/>
          <w:szCs w:val="22"/>
        </w:rPr>
        <w:lastRenderedPageBreak/>
        <w:t>This is the preferred option and provides a proportionate and pragmatic approach to raising the standards for existing vessels whilst minimising the impact on industry.</w:t>
      </w:r>
    </w:p>
    <w:p w14:paraId="0721FE46" w14:textId="77777777" w:rsidR="00BD5482" w:rsidRDefault="00BD5482" w:rsidP="008124B6">
      <w:pPr>
        <w:suppressAutoHyphens/>
        <w:rPr>
          <w:rFonts w:cs="Arial"/>
          <w:sz w:val="22"/>
          <w:szCs w:val="22"/>
        </w:rPr>
      </w:pPr>
    </w:p>
    <w:p w14:paraId="1A599848" w14:textId="31C0A6AF" w:rsidR="00BD5482" w:rsidRDefault="00592B63" w:rsidP="00BD5482">
      <w:pPr>
        <w:keepNext/>
        <w:keepLines/>
        <w:numPr>
          <w:ilvl w:val="1"/>
          <w:numId w:val="25"/>
        </w:numPr>
        <w:spacing w:before="360" w:after="240"/>
        <w:outlineLvl w:val="2"/>
        <w:rPr>
          <w:rFonts w:cs="Arial"/>
          <w:b/>
          <w:bCs/>
          <w:color w:val="000000"/>
          <w:szCs w:val="22"/>
          <w:lang w:eastAsia="en-GB"/>
        </w:rPr>
      </w:pPr>
      <w:r>
        <w:rPr>
          <w:rFonts w:cs="Arial"/>
          <w:b/>
          <w:bCs/>
          <w:color w:val="000000"/>
          <w:szCs w:val="22"/>
          <w:lang w:eastAsia="en-GB"/>
        </w:rPr>
        <w:t>Option 2</w:t>
      </w:r>
      <w:r w:rsidR="00BD5482" w:rsidRPr="00271DE0">
        <w:rPr>
          <w:rFonts w:cs="Arial"/>
          <w:b/>
          <w:bCs/>
          <w:color w:val="000000"/>
          <w:szCs w:val="22"/>
          <w:lang w:eastAsia="en-GB"/>
        </w:rPr>
        <w:t xml:space="preserve">: Full compliance with modern standards for all domestic passenger vessels </w:t>
      </w:r>
    </w:p>
    <w:p w14:paraId="7A33B5A1" w14:textId="6684389F" w:rsidR="00BD5482" w:rsidRPr="001A16B0" w:rsidRDefault="00BD5482" w:rsidP="00BD5482">
      <w:pPr>
        <w:suppressAutoHyphens/>
        <w:rPr>
          <w:rFonts w:cs="Arial"/>
          <w:sz w:val="22"/>
          <w:szCs w:val="22"/>
        </w:rPr>
      </w:pPr>
      <w:r w:rsidRPr="001A16B0">
        <w:rPr>
          <w:rFonts w:cs="Arial"/>
          <w:sz w:val="22"/>
          <w:szCs w:val="22"/>
        </w:rPr>
        <w:t>This option would require compliance in full with requirements applicable to new vessels.</w:t>
      </w:r>
      <w:r>
        <w:rPr>
          <w:rFonts w:cs="Arial"/>
          <w:sz w:val="22"/>
          <w:szCs w:val="22"/>
        </w:rPr>
        <w:t xml:space="preserve"> Compliance with requirements for new vessels would require </w:t>
      </w:r>
      <w:r w:rsidRPr="001A16B0">
        <w:rPr>
          <w:rFonts w:cs="Arial"/>
          <w:sz w:val="22"/>
          <w:szCs w:val="22"/>
        </w:rPr>
        <w:t xml:space="preserve">evaluation of the vessel </w:t>
      </w:r>
      <w:r>
        <w:rPr>
          <w:rFonts w:cs="Arial"/>
          <w:sz w:val="22"/>
          <w:szCs w:val="22"/>
        </w:rPr>
        <w:t>against either MSN 1823 edition 2, the SSPS code or Directive 2009/45/EC depending on the vessel type. This evaluation would need to take into account all requirements of the instrument and not just those in the key safety</w:t>
      </w:r>
      <w:r w:rsidR="00592B63">
        <w:rPr>
          <w:rFonts w:cs="Arial"/>
          <w:sz w:val="22"/>
          <w:szCs w:val="22"/>
        </w:rPr>
        <w:t xml:space="preserve"> areas identified under Option 1</w:t>
      </w:r>
      <w:r>
        <w:rPr>
          <w:rFonts w:cs="Arial"/>
          <w:sz w:val="22"/>
          <w:szCs w:val="22"/>
        </w:rPr>
        <w:t>. The vessel would then be modified</w:t>
      </w:r>
      <w:r w:rsidRPr="001A16B0">
        <w:rPr>
          <w:rFonts w:cs="Arial"/>
          <w:sz w:val="22"/>
          <w:szCs w:val="22"/>
        </w:rPr>
        <w:t xml:space="preserve"> to achieve this retrospective compliance</w:t>
      </w:r>
      <w:r>
        <w:rPr>
          <w:rFonts w:cs="Arial"/>
          <w:sz w:val="22"/>
          <w:szCs w:val="22"/>
        </w:rPr>
        <w:t>.</w:t>
      </w:r>
    </w:p>
    <w:p w14:paraId="2CCBD986" w14:textId="77777777" w:rsidR="00BD5482" w:rsidRPr="001A16B0" w:rsidRDefault="00BD5482" w:rsidP="00BD5482">
      <w:pPr>
        <w:suppressAutoHyphens/>
        <w:rPr>
          <w:rFonts w:cs="Arial"/>
          <w:sz w:val="22"/>
          <w:szCs w:val="22"/>
        </w:rPr>
      </w:pPr>
    </w:p>
    <w:p w14:paraId="6BA21781" w14:textId="2B0D7626" w:rsidR="00BD5482" w:rsidRDefault="00BD5482" w:rsidP="00BD5482">
      <w:pPr>
        <w:suppressAutoHyphens/>
        <w:rPr>
          <w:rFonts w:cs="Arial"/>
          <w:sz w:val="22"/>
          <w:szCs w:val="22"/>
        </w:rPr>
      </w:pPr>
      <w:r w:rsidRPr="001A16B0">
        <w:rPr>
          <w:rFonts w:cs="Arial"/>
          <w:sz w:val="22"/>
          <w:szCs w:val="22"/>
        </w:rPr>
        <w:t>Achieving compliance in full with requirements for new vessels would be extremely costly and, in many cases, require extens</w:t>
      </w:r>
      <w:r w:rsidR="00336E0C">
        <w:rPr>
          <w:rFonts w:cs="Arial"/>
          <w:sz w:val="22"/>
          <w:szCs w:val="22"/>
        </w:rPr>
        <w:t xml:space="preserve">ive modification of the vessel. </w:t>
      </w:r>
      <w:r w:rsidRPr="001A16B0">
        <w:rPr>
          <w:rFonts w:cs="Arial"/>
          <w:sz w:val="22"/>
          <w:szCs w:val="22"/>
        </w:rPr>
        <w:t>Whilst retrospective compliance would close the gap between old standards and new</w:t>
      </w:r>
      <w:r w:rsidR="0063358F">
        <w:rPr>
          <w:rFonts w:cs="Arial"/>
          <w:sz w:val="22"/>
          <w:szCs w:val="22"/>
        </w:rPr>
        <w:t>,</w:t>
      </w:r>
      <w:r w:rsidRPr="001A16B0">
        <w:rPr>
          <w:rFonts w:cs="Arial"/>
          <w:sz w:val="22"/>
          <w:szCs w:val="22"/>
        </w:rPr>
        <w:t xml:space="preserve"> it would likely r</w:t>
      </w:r>
      <w:r w:rsidR="0063358F">
        <w:rPr>
          <w:rFonts w:cs="Arial"/>
          <w:sz w:val="22"/>
          <w:szCs w:val="22"/>
        </w:rPr>
        <w:t>ender a high number of vessels unable to operate</w:t>
      </w:r>
      <w:r w:rsidRPr="001A16B0">
        <w:rPr>
          <w:rFonts w:cs="Arial"/>
          <w:sz w:val="22"/>
          <w:szCs w:val="22"/>
        </w:rPr>
        <w:t xml:space="preserve"> due to the wide-ranging modifications required</w:t>
      </w:r>
      <w:r w:rsidR="0063358F">
        <w:rPr>
          <w:rFonts w:cs="Arial"/>
          <w:sz w:val="22"/>
          <w:szCs w:val="22"/>
        </w:rPr>
        <w:t xml:space="preserve"> and the fact that</w:t>
      </w:r>
      <w:r>
        <w:rPr>
          <w:rFonts w:cs="Arial"/>
          <w:sz w:val="22"/>
          <w:szCs w:val="22"/>
        </w:rPr>
        <w:t xml:space="preserve"> the main requirements for new ships do not</w:t>
      </w:r>
      <w:r w:rsidR="0063358F">
        <w:rPr>
          <w:rFonts w:cs="Arial"/>
          <w:sz w:val="22"/>
          <w:szCs w:val="22"/>
        </w:rPr>
        <w:t xml:space="preserve"> currently</w:t>
      </w:r>
      <w:r>
        <w:rPr>
          <w:rFonts w:cs="Arial"/>
          <w:sz w:val="22"/>
          <w:szCs w:val="22"/>
        </w:rPr>
        <w:t xml:space="preserve"> tak</w:t>
      </w:r>
      <w:r w:rsidR="0063358F">
        <w:rPr>
          <w:rFonts w:cs="Arial"/>
          <w:sz w:val="22"/>
          <w:szCs w:val="22"/>
        </w:rPr>
        <w:t>e into account</w:t>
      </w:r>
      <w:r>
        <w:rPr>
          <w:rFonts w:cs="Arial"/>
          <w:sz w:val="22"/>
          <w:szCs w:val="22"/>
        </w:rPr>
        <w:t xml:space="preserve"> the difficulty in retrospective application to older vessels.</w:t>
      </w:r>
    </w:p>
    <w:p w14:paraId="1552B477" w14:textId="77777777" w:rsidR="00BD5482" w:rsidRDefault="00BD5482" w:rsidP="00BD5482">
      <w:pPr>
        <w:suppressAutoHyphens/>
        <w:rPr>
          <w:rFonts w:cs="Arial"/>
          <w:sz w:val="22"/>
          <w:szCs w:val="22"/>
        </w:rPr>
      </w:pPr>
    </w:p>
    <w:p w14:paraId="20E1F3AD" w14:textId="77777777" w:rsidR="00BD5482" w:rsidRPr="001139CF" w:rsidRDefault="00BD5482" w:rsidP="00BD5482">
      <w:pPr>
        <w:spacing w:after="120" w:line="259" w:lineRule="auto"/>
        <w:rPr>
          <w:rFonts w:cs="Arial"/>
          <w:bCs/>
          <w:color w:val="000000"/>
          <w:sz w:val="22"/>
          <w:szCs w:val="22"/>
          <w:lang w:eastAsia="en-GB"/>
        </w:rPr>
      </w:pPr>
      <w:r w:rsidRPr="00271DE0">
        <w:rPr>
          <w:rFonts w:cs="Arial"/>
          <w:bCs/>
          <w:color w:val="000000"/>
          <w:sz w:val="22"/>
          <w:szCs w:val="22"/>
          <w:lang w:eastAsia="en-GB"/>
        </w:rPr>
        <w:t xml:space="preserve">Under this option, </w:t>
      </w:r>
      <w:r>
        <w:rPr>
          <w:rFonts w:cs="Arial"/>
          <w:bCs/>
          <w:color w:val="000000"/>
          <w:sz w:val="22"/>
          <w:szCs w:val="22"/>
          <w:lang w:eastAsia="en-GB"/>
        </w:rPr>
        <w:t xml:space="preserve">seagoing </w:t>
      </w:r>
      <w:r w:rsidRPr="00271DE0">
        <w:rPr>
          <w:rFonts w:cs="Arial"/>
          <w:bCs/>
          <w:color w:val="000000"/>
          <w:sz w:val="22"/>
          <w:szCs w:val="22"/>
          <w:lang w:eastAsia="en-GB"/>
        </w:rPr>
        <w:t>vessels in this category would be required to comply with the EC Directive</w:t>
      </w:r>
      <w:r>
        <w:rPr>
          <w:rFonts w:cs="Arial"/>
          <w:bCs/>
          <w:color w:val="000000"/>
          <w:sz w:val="22"/>
          <w:szCs w:val="22"/>
          <w:lang w:eastAsia="en-GB"/>
        </w:rPr>
        <w:t xml:space="preserve"> 2009/45/EC</w:t>
      </w:r>
      <w:r w:rsidRPr="00271DE0">
        <w:rPr>
          <w:rFonts w:cs="Arial"/>
          <w:bCs/>
          <w:color w:val="000000"/>
          <w:sz w:val="22"/>
          <w:szCs w:val="22"/>
          <w:lang w:eastAsia="en-GB"/>
        </w:rPr>
        <w:t xml:space="preserve"> as if they were a</w:t>
      </w:r>
      <w:r>
        <w:rPr>
          <w:rFonts w:cs="Arial"/>
          <w:bCs/>
          <w:color w:val="000000"/>
          <w:sz w:val="22"/>
          <w:szCs w:val="22"/>
          <w:lang w:eastAsia="en-GB"/>
        </w:rPr>
        <w:t>n existing</w:t>
      </w:r>
      <w:r w:rsidRPr="00271DE0">
        <w:rPr>
          <w:rFonts w:cs="Arial"/>
          <w:bCs/>
          <w:color w:val="000000"/>
          <w:sz w:val="22"/>
          <w:szCs w:val="22"/>
          <w:lang w:eastAsia="en-GB"/>
        </w:rPr>
        <w:t xml:space="preserve"> vessel</w:t>
      </w:r>
      <w:r>
        <w:rPr>
          <w:rFonts w:cs="Arial"/>
          <w:bCs/>
          <w:color w:val="000000"/>
          <w:sz w:val="22"/>
          <w:szCs w:val="22"/>
          <w:lang w:eastAsia="en-GB"/>
        </w:rPr>
        <w:t xml:space="preserve"> as, unlike the UK Regulations the Directive has separate provisions for new and existing ships</w:t>
      </w:r>
      <w:r w:rsidRPr="00271DE0">
        <w:rPr>
          <w:rFonts w:cs="Arial"/>
          <w:bCs/>
          <w:color w:val="000000"/>
          <w:sz w:val="22"/>
          <w:szCs w:val="22"/>
          <w:lang w:eastAsia="en-GB"/>
        </w:rPr>
        <w:t>. This option would require a complete re-evaluation of the vessel under the new framework and, depending on the vessel and its operation, could require significant modification.</w:t>
      </w:r>
      <w:r>
        <w:rPr>
          <w:rFonts w:cs="Arial"/>
          <w:bCs/>
          <w:color w:val="000000"/>
          <w:sz w:val="22"/>
          <w:szCs w:val="22"/>
          <w:lang w:eastAsia="en-GB"/>
        </w:rPr>
        <w:t xml:space="preserve"> Although the EU directive does contain modified requirements for existing ships as opposed to new vessels i</w:t>
      </w:r>
      <w:r w:rsidRPr="00271DE0">
        <w:rPr>
          <w:rFonts w:cs="Arial"/>
          <w:bCs/>
          <w:color w:val="000000"/>
          <w:sz w:val="22"/>
          <w:szCs w:val="22"/>
          <w:lang w:eastAsia="en-GB"/>
        </w:rPr>
        <w:t xml:space="preserve">t is considered that requirements in some areas such as stability </w:t>
      </w:r>
      <w:r>
        <w:rPr>
          <w:rFonts w:cs="Arial"/>
          <w:bCs/>
          <w:color w:val="000000"/>
          <w:sz w:val="22"/>
          <w:szCs w:val="22"/>
          <w:lang w:eastAsia="en-GB"/>
        </w:rPr>
        <w:t>may be difficult to rectify</w:t>
      </w:r>
      <w:r w:rsidRPr="00271DE0">
        <w:rPr>
          <w:rFonts w:cs="Arial"/>
          <w:bCs/>
          <w:color w:val="000000"/>
          <w:sz w:val="22"/>
          <w:szCs w:val="22"/>
          <w:lang w:eastAsia="en-GB"/>
        </w:rPr>
        <w:t xml:space="preserve"> for certain vessels. </w:t>
      </w:r>
    </w:p>
    <w:p w14:paraId="174E0167" w14:textId="77777777" w:rsidR="00BD5482" w:rsidRDefault="00BD5482" w:rsidP="00BD5482">
      <w:pPr>
        <w:suppressAutoHyphens/>
        <w:rPr>
          <w:rFonts w:cs="Arial"/>
          <w:b/>
          <w:sz w:val="22"/>
          <w:szCs w:val="22"/>
        </w:rPr>
      </w:pPr>
      <w:r w:rsidRPr="001A16B0">
        <w:rPr>
          <w:rFonts w:cs="Arial"/>
          <w:b/>
          <w:sz w:val="22"/>
          <w:szCs w:val="22"/>
        </w:rPr>
        <w:t xml:space="preserve">This option offers the greatest reduction of risk but at potentially </w:t>
      </w:r>
      <w:r>
        <w:rPr>
          <w:rFonts w:cs="Arial"/>
          <w:b/>
          <w:sz w:val="22"/>
          <w:szCs w:val="22"/>
        </w:rPr>
        <w:t>disproportionate</w:t>
      </w:r>
      <w:r w:rsidRPr="001A16B0">
        <w:rPr>
          <w:rFonts w:cs="Arial"/>
          <w:b/>
          <w:sz w:val="22"/>
          <w:szCs w:val="22"/>
        </w:rPr>
        <w:t xml:space="preserve"> economic cost</w:t>
      </w:r>
      <w:r>
        <w:rPr>
          <w:rFonts w:cs="Arial"/>
          <w:b/>
          <w:sz w:val="22"/>
          <w:szCs w:val="22"/>
        </w:rPr>
        <w:t>.</w:t>
      </w:r>
    </w:p>
    <w:p w14:paraId="3E2486F1" w14:textId="77777777" w:rsidR="00BD5482" w:rsidRDefault="00BD5482" w:rsidP="008124B6">
      <w:pPr>
        <w:suppressAutoHyphens/>
        <w:rPr>
          <w:rFonts w:cs="Arial"/>
          <w:sz w:val="22"/>
          <w:szCs w:val="22"/>
        </w:rPr>
      </w:pPr>
    </w:p>
    <w:p w14:paraId="1A7DE736" w14:textId="77777777" w:rsidR="00231363" w:rsidRPr="00243E6E" w:rsidRDefault="00231363" w:rsidP="00231363">
      <w:pPr>
        <w:pStyle w:val="Heading2"/>
      </w:pPr>
      <w:r>
        <w:t>Overview of Analysis</w:t>
      </w:r>
    </w:p>
    <w:p w14:paraId="6B1BC00E" w14:textId="72AD5F91" w:rsidR="00231363" w:rsidRDefault="009611A5" w:rsidP="00231363">
      <w:pPr>
        <w:pStyle w:val="EBBodyPara"/>
        <w:keepNext/>
      </w:pPr>
      <w:r>
        <w:t>The costs and benefits of O</w:t>
      </w:r>
      <w:r w:rsidR="00231363">
        <w:t>ption 1</w:t>
      </w:r>
      <w:r>
        <w:t xml:space="preserve"> and O</w:t>
      </w:r>
      <w:r w:rsidR="00AD6588">
        <w:t xml:space="preserve">ption 2 </w:t>
      </w:r>
      <w:r w:rsidR="00231363">
        <w:t xml:space="preserve">have been estimated. </w:t>
      </w:r>
      <w:r w:rsidR="00231363" w:rsidRPr="00F12C97">
        <w:t xml:space="preserve">In accordance with HM Treasury Green Book guidance, the policy is appraised over a 10-year appraisal period from </w:t>
      </w:r>
      <w:r w:rsidR="00231363">
        <w:t>2019</w:t>
      </w:r>
      <w:r w:rsidR="00231363" w:rsidRPr="00F12C97">
        <w:t xml:space="preserve"> to </w:t>
      </w:r>
      <w:r w:rsidR="00231363">
        <w:t>2028 (inclusive)</w:t>
      </w:r>
      <w:r w:rsidR="00231363" w:rsidRPr="00F12C97">
        <w:t xml:space="preserve"> and a discount rate of 3.5% per year is used to discount all future costs and benefits to the start year we expect the reg</w:t>
      </w:r>
      <w:r w:rsidR="00231363">
        <w:t>ulations to be implemented, 2019</w:t>
      </w:r>
      <w:r w:rsidR="00231363" w:rsidRPr="00F12C97">
        <w:t>. Costs and benefits are estimated in 2017 prices. All figures are presented as discounted and real unless stated otherwise.</w:t>
      </w:r>
      <w:r w:rsidR="00231363">
        <w:t xml:space="preserve"> Figures presented are rounded when appropriate.</w:t>
      </w:r>
    </w:p>
    <w:p w14:paraId="22A3D731" w14:textId="01FAA597" w:rsidR="00231363" w:rsidRPr="00E937B6" w:rsidRDefault="00231363" w:rsidP="00231363">
      <w:pPr>
        <w:pStyle w:val="EBBodyPara"/>
        <w:keepNext/>
      </w:pPr>
      <w:r w:rsidRPr="00E937B6">
        <w:t>The proposed regulations will affect existing vessels i.e. vessels currently operating commercially as passenger ships.</w:t>
      </w:r>
      <w:r>
        <w:t xml:space="preserve"> Newer vessels are not affected as they are certified via more modern regulations and the cost of this has been estimated in previous impact assessments.</w:t>
      </w:r>
      <w:r w:rsidRPr="00E937B6">
        <w:t xml:space="preserve"> The cost to operators will be for additional equipment, modifications associated with the installation of such equipment, structural modifications to </w:t>
      </w:r>
      <w:r>
        <w:t xml:space="preserve">vessels </w:t>
      </w:r>
      <w:r w:rsidRPr="00E937B6">
        <w:t>and the periodic costs of maintaining additional equipment.</w:t>
      </w:r>
      <w:r>
        <w:t xml:space="preserve"> Through our consultation we will seek to refine these estimates.</w:t>
      </w:r>
      <w:r w:rsidRPr="00E937B6">
        <w:t xml:space="preserve"> </w:t>
      </w:r>
      <w:r w:rsidR="008371B3">
        <w:t>We have currently assume</w:t>
      </w:r>
      <w:r w:rsidR="00482885">
        <w:t xml:space="preserve">d a 1 year transitional period </w:t>
      </w:r>
      <w:r w:rsidR="008371B3">
        <w:t xml:space="preserve">whereby vessels will need to be </w:t>
      </w:r>
      <w:r w:rsidR="00EF1AFC">
        <w:t>compliant. We are consulting over what period is viable to allow vessels</w:t>
      </w:r>
      <w:r w:rsidR="006A5EB5">
        <w:t xml:space="preserve"> the</w:t>
      </w:r>
      <w:r w:rsidR="00EF1AFC">
        <w:t xml:space="preserve"> time to conduct the necessary</w:t>
      </w:r>
      <w:r w:rsidR="0044039A">
        <w:t xml:space="preserve"> </w:t>
      </w:r>
      <w:r w:rsidR="00EF1AFC">
        <w:t>modification</w:t>
      </w:r>
      <w:r w:rsidR="006A5EB5">
        <w:t>s</w:t>
      </w:r>
      <w:r w:rsidR="00EF1AFC">
        <w:t xml:space="preserve"> to comply</w:t>
      </w:r>
      <w:r w:rsidR="006F59E2">
        <w:t>,</w:t>
      </w:r>
      <w:r w:rsidR="00EF1AFC">
        <w:t xml:space="preserve"> and will adjust the transitional period as necessary for the final IA.</w:t>
      </w:r>
      <w:r w:rsidR="008371B3">
        <w:t xml:space="preserve"> </w:t>
      </w:r>
      <w:r>
        <w:t xml:space="preserve">A summary of monetised costs and benefits is presented in </w:t>
      </w:r>
      <w:r w:rsidRPr="00BA3CC4">
        <w:t xml:space="preserve">section </w:t>
      </w:r>
      <w:r w:rsidRPr="00BA3CC4">
        <w:fldChar w:fldCharType="begin"/>
      </w:r>
      <w:r w:rsidRPr="00BA3CC4">
        <w:instrText xml:space="preserve"> REF _Ref512519145 \r \h </w:instrText>
      </w:r>
      <w:r>
        <w:instrText xml:space="preserve"> \* MERGEFORMAT </w:instrText>
      </w:r>
      <w:r w:rsidRPr="00BA3CC4">
        <w:fldChar w:fldCharType="separate"/>
      </w:r>
      <w:r w:rsidR="00742166">
        <w:t>10.1</w:t>
      </w:r>
      <w:r w:rsidRPr="00BA3CC4">
        <w:fldChar w:fldCharType="end"/>
      </w:r>
      <w:r w:rsidR="009611A5">
        <w:t xml:space="preserve"> for O</w:t>
      </w:r>
      <w:r w:rsidR="002B7E13">
        <w:t xml:space="preserve">ption 1, and </w:t>
      </w:r>
      <w:r w:rsidR="002B7E13">
        <w:fldChar w:fldCharType="begin"/>
      </w:r>
      <w:r w:rsidR="002B7E13">
        <w:instrText xml:space="preserve"> REF _Ref518989597 \r \h </w:instrText>
      </w:r>
      <w:r w:rsidR="002B7E13">
        <w:fldChar w:fldCharType="separate"/>
      </w:r>
      <w:r w:rsidR="00742166">
        <w:t>11.1</w:t>
      </w:r>
      <w:r w:rsidR="002B7E13">
        <w:fldChar w:fldCharType="end"/>
      </w:r>
      <w:r w:rsidR="009611A5">
        <w:t xml:space="preserve"> for O</w:t>
      </w:r>
      <w:r w:rsidR="002B7E13">
        <w:t>ption 2.</w:t>
      </w:r>
    </w:p>
    <w:p w14:paraId="66218902" w14:textId="77777777" w:rsidR="00AD6588" w:rsidRPr="000944C1" w:rsidRDefault="00AD6588" w:rsidP="00AD6588">
      <w:pPr>
        <w:pStyle w:val="Heading2"/>
      </w:pPr>
      <w:bookmarkStart w:id="17" w:name="_Ref513641974"/>
      <w:r w:rsidRPr="000944C1">
        <w:t>Application and potential number of vessels affected</w:t>
      </w:r>
      <w:bookmarkEnd w:id="17"/>
    </w:p>
    <w:p w14:paraId="2F91FE86" w14:textId="77777777" w:rsidR="00AD6588" w:rsidRPr="000944C1" w:rsidRDefault="00AD6588" w:rsidP="00AD6588">
      <w:pPr>
        <w:spacing w:after="120" w:line="259" w:lineRule="auto"/>
        <w:rPr>
          <w:rFonts w:cs="Arial"/>
          <w:bCs/>
          <w:color w:val="000000"/>
          <w:sz w:val="22"/>
          <w:szCs w:val="22"/>
          <w:lang w:eastAsia="en-GB"/>
        </w:rPr>
      </w:pPr>
      <w:r w:rsidRPr="000944C1">
        <w:rPr>
          <w:rFonts w:cs="Arial"/>
          <w:bCs/>
          <w:color w:val="000000"/>
          <w:sz w:val="22"/>
          <w:szCs w:val="22"/>
          <w:lang w:eastAsia="en-GB"/>
        </w:rPr>
        <w:t xml:space="preserve">The total number of vessels </w:t>
      </w:r>
      <w:r>
        <w:rPr>
          <w:rFonts w:cs="Arial"/>
          <w:bCs/>
          <w:color w:val="000000"/>
          <w:sz w:val="22"/>
          <w:szCs w:val="22"/>
          <w:lang w:eastAsia="en-GB"/>
        </w:rPr>
        <w:t>that</w:t>
      </w:r>
      <w:r w:rsidRPr="000944C1">
        <w:rPr>
          <w:rFonts w:cs="Arial"/>
          <w:bCs/>
          <w:color w:val="000000"/>
          <w:sz w:val="22"/>
          <w:szCs w:val="22"/>
          <w:lang w:eastAsia="en-GB"/>
        </w:rPr>
        <w:t xml:space="preserve"> </w:t>
      </w:r>
      <w:r>
        <w:rPr>
          <w:rFonts w:cs="Arial"/>
          <w:bCs/>
          <w:color w:val="000000"/>
          <w:sz w:val="22"/>
          <w:szCs w:val="22"/>
          <w:lang w:eastAsia="en-GB"/>
        </w:rPr>
        <w:t>are</w:t>
      </w:r>
      <w:r w:rsidRPr="000944C1">
        <w:rPr>
          <w:rFonts w:cs="Arial"/>
          <w:bCs/>
          <w:color w:val="000000"/>
          <w:sz w:val="22"/>
          <w:szCs w:val="22"/>
          <w:lang w:eastAsia="en-GB"/>
        </w:rPr>
        <w:t xml:space="preserve"> affected by amending existing regulations is shown in the table below. </w:t>
      </w:r>
      <w:r>
        <w:rPr>
          <w:rFonts w:cs="Arial"/>
          <w:bCs/>
          <w:color w:val="000000"/>
          <w:sz w:val="22"/>
          <w:szCs w:val="22"/>
          <w:lang w:eastAsia="en-GB"/>
        </w:rPr>
        <w:t>This information has been obtained from MCA databases and certification records. According to MCA records, t</w:t>
      </w:r>
      <w:r w:rsidRPr="00C4288E">
        <w:rPr>
          <w:rFonts w:cs="Arial"/>
          <w:bCs/>
          <w:color w:val="000000"/>
          <w:sz w:val="22"/>
          <w:szCs w:val="22"/>
          <w:lang w:eastAsia="en-GB"/>
        </w:rPr>
        <w:t xml:space="preserve">here </w:t>
      </w:r>
      <w:r>
        <w:rPr>
          <w:rFonts w:cs="Arial"/>
          <w:bCs/>
          <w:color w:val="000000"/>
          <w:sz w:val="22"/>
          <w:szCs w:val="22"/>
          <w:lang w:eastAsia="en-GB"/>
        </w:rPr>
        <w:t>is</w:t>
      </w:r>
      <w:r w:rsidRPr="00C4288E">
        <w:rPr>
          <w:rFonts w:cs="Arial"/>
          <w:bCs/>
          <w:color w:val="000000"/>
          <w:sz w:val="22"/>
          <w:szCs w:val="22"/>
          <w:lang w:eastAsia="en-GB"/>
        </w:rPr>
        <w:t xml:space="preserve"> </w:t>
      </w:r>
      <w:r>
        <w:rPr>
          <w:rFonts w:cs="Arial"/>
          <w:bCs/>
          <w:color w:val="000000"/>
          <w:sz w:val="22"/>
          <w:szCs w:val="22"/>
          <w:lang w:eastAsia="en-GB"/>
        </w:rPr>
        <w:t>an estimated</w:t>
      </w:r>
      <w:r w:rsidRPr="00C4288E">
        <w:rPr>
          <w:rFonts w:cs="Arial"/>
          <w:bCs/>
          <w:color w:val="000000"/>
          <w:sz w:val="22"/>
          <w:szCs w:val="22"/>
          <w:lang w:eastAsia="en-GB"/>
        </w:rPr>
        <w:t xml:space="preserve"> 721 vessels in the </w:t>
      </w:r>
      <w:r>
        <w:rPr>
          <w:rFonts w:cs="Arial"/>
          <w:bCs/>
          <w:color w:val="000000"/>
          <w:sz w:val="22"/>
          <w:szCs w:val="22"/>
          <w:lang w:eastAsia="en-GB"/>
        </w:rPr>
        <w:t>domestic passenger ship fleet. T</w:t>
      </w:r>
      <w:r w:rsidRPr="00C4288E">
        <w:rPr>
          <w:rFonts w:cs="Arial"/>
          <w:bCs/>
          <w:color w:val="000000"/>
          <w:sz w:val="22"/>
          <w:szCs w:val="22"/>
          <w:lang w:eastAsia="en-GB"/>
        </w:rPr>
        <w:t>he proposed regulatory amendments may affect</w:t>
      </w:r>
      <w:r>
        <w:rPr>
          <w:rFonts w:cs="Arial"/>
          <w:bCs/>
          <w:color w:val="000000"/>
          <w:sz w:val="22"/>
          <w:szCs w:val="22"/>
          <w:lang w:eastAsia="en-GB"/>
        </w:rPr>
        <w:t xml:space="preserve"> 606 vessels, 84% of the fleet.</w:t>
      </w:r>
    </w:p>
    <w:tbl>
      <w:tblPr>
        <w:tblStyle w:val="PlainTable2"/>
        <w:tblW w:w="5000" w:type="pct"/>
        <w:tblBorders>
          <w:left w:val="single" w:sz="4" w:space="0" w:color="auto"/>
          <w:right w:val="single" w:sz="4" w:space="0" w:color="auto"/>
          <w:insideH w:val="single" w:sz="4" w:space="0" w:color="7F7F7F" w:themeColor="text1" w:themeTint="80"/>
        </w:tblBorders>
        <w:tblLook w:val="04E0" w:firstRow="1" w:lastRow="1" w:firstColumn="1" w:lastColumn="0" w:noHBand="0" w:noVBand="1"/>
      </w:tblPr>
      <w:tblGrid>
        <w:gridCol w:w="3073"/>
        <w:gridCol w:w="2430"/>
        <w:gridCol w:w="2616"/>
        <w:gridCol w:w="2428"/>
      </w:tblGrid>
      <w:tr w:rsidR="00AD6588" w:rsidRPr="000944C1" w14:paraId="7C16350E" w14:textId="77777777" w:rsidTr="00A9204B">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bottom w:val="single" w:sz="4" w:space="0" w:color="auto"/>
              <w:right w:val="nil"/>
            </w:tcBorders>
          </w:tcPr>
          <w:p w14:paraId="0EDE2AA2" w14:textId="77777777" w:rsidR="00AD6588" w:rsidRPr="00206452" w:rsidRDefault="00AD6588" w:rsidP="00A9204B">
            <w:pPr>
              <w:keepNext/>
              <w:spacing w:before="40" w:after="40"/>
              <w:rPr>
                <w:rFonts w:cs="Arial"/>
                <w:b w:val="0"/>
                <w:i/>
                <w:color w:val="000000"/>
                <w:sz w:val="22"/>
                <w:szCs w:val="22"/>
                <w:lang w:eastAsia="en-GB"/>
              </w:rPr>
            </w:pPr>
            <w:r w:rsidRPr="00CF21BC">
              <w:rPr>
                <w:rFonts w:cs="Arial"/>
                <w:b w:val="0"/>
                <w:i/>
                <w:color w:val="000000"/>
                <w:sz w:val="22"/>
                <w:szCs w:val="22"/>
                <w:lang w:eastAsia="en-GB"/>
              </w:rPr>
              <w:lastRenderedPageBreak/>
              <w:t>Table 1</w:t>
            </w:r>
            <w:r w:rsidRPr="00206452">
              <w:rPr>
                <w:rFonts w:cs="Arial"/>
                <w:b w:val="0"/>
                <w:i/>
                <w:color w:val="000000"/>
                <w:sz w:val="22"/>
                <w:szCs w:val="22"/>
                <w:lang w:eastAsia="en-GB"/>
              </w:rPr>
              <w:t xml:space="preserve">: The number of vessels affected </w:t>
            </w:r>
            <w:r>
              <w:rPr>
                <w:rFonts w:cs="Arial"/>
                <w:b w:val="0"/>
                <w:i/>
                <w:color w:val="000000"/>
                <w:sz w:val="22"/>
                <w:szCs w:val="22"/>
                <w:lang w:eastAsia="en-GB"/>
              </w:rPr>
              <w:t>by class of vessel</w:t>
            </w:r>
          </w:p>
        </w:tc>
      </w:tr>
      <w:tr w:rsidR="00AD6588" w:rsidRPr="000944C1" w14:paraId="6A2ADEF0" w14:textId="77777777" w:rsidTr="00A9204B">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1457" w:type="pct"/>
            <w:tcBorders>
              <w:top w:val="single" w:sz="4" w:space="0" w:color="auto"/>
              <w:bottom w:val="none" w:sz="0" w:space="0" w:color="auto"/>
              <w:right w:val="single" w:sz="4" w:space="0" w:color="auto"/>
            </w:tcBorders>
          </w:tcPr>
          <w:p w14:paraId="7AFE60BB" w14:textId="77777777" w:rsidR="00AD6588" w:rsidRPr="000944C1" w:rsidRDefault="00AD6588" w:rsidP="00A9204B">
            <w:pPr>
              <w:keepNext/>
              <w:spacing w:before="40" w:after="40"/>
              <w:rPr>
                <w:rFonts w:cs="Arial"/>
                <w:color w:val="000000"/>
                <w:sz w:val="22"/>
                <w:szCs w:val="22"/>
                <w:lang w:eastAsia="en-GB"/>
              </w:rPr>
            </w:pPr>
          </w:p>
        </w:tc>
        <w:tc>
          <w:tcPr>
            <w:tcW w:w="1152" w:type="pct"/>
            <w:tcBorders>
              <w:top w:val="single" w:sz="4" w:space="0" w:color="auto"/>
              <w:left w:val="single" w:sz="4" w:space="0" w:color="auto"/>
              <w:bottom w:val="single" w:sz="4" w:space="0" w:color="auto"/>
            </w:tcBorders>
            <w:noWrap/>
            <w:hideMark/>
          </w:tcPr>
          <w:p w14:paraId="0BD1CF83"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0944C1">
              <w:rPr>
                <w:rFonts w:cs="Arial"/>
                <w:color w:val="000000"/>
                <w:sz w:val="22"/>
                <w:szCs w:val="22"/>
                <w:lang w:eastAsia="en-GB"/>
              </w:rPr>
              <w:t>Class of vessel</w:t>
            </w:r>
          </w:p>
        </w:tc>
        <w:tc>
          <w:tcPr>
            <w:tcW w:w="1240" w:type="pct"/>
            <w:tcBorders>
              <w:top w:val="single" w:sz="4" w:space="0" w:color="auto"/>
              <w:bottom w:val="single" w:sz="4" w:space="0" w:color="auto"/>
              <w:right w:val="single" w:sz="4" w:space="0" w:color="808080"/>
            </w:tcBorders>
            <w:noWrap/>
            <w:hideMark/>
          </w:tcPr>
          <w:p w14:paraId="0B128586"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0944C1">
              <w:rPr>
                <w:rFonts w:cs="Arial"/>
                <w:color w:val="000000"/>
                <w:sz w:val="22"/>
                <w:szCs w:val="22"/>
                <w:lang w:eastAsia="en-GB"/>
              </w:rPr>
              <w:t>Category</w:t>
            </w:r>
            <w:r w:rsidRPr="000944C1">
              <w:rPr>
                <w:rFonts w:cs="Arial"/>
                <w:color w:val="000000"/>
                <w:sz w:val="22"/>
                <w:szCs w:val="22"/>
                <w:vertAlign w:val="superscript"/>
                <w:lang w:eastAsia="en-GB"/>
              </w:rPr>
              <w:footnoteReference w:id="5"/>
            </w:r>
            <w:r w:rsidRPr="000944C1">
              <w:rPr>
                <w:rFonts w:cs="Arial"/>
                <w:color w:val="000000"/>
                <w:sz w:val="22"/>
                <w:szCs w:val="22"/>
                <w:lang w:eastAsia="en-GB"/>
              </w:rPr>
              <w:t xml:space="preserve"> of water</w:t>
            </w:r>
          </w:p>
        </w:tc>
        <w:tc>
          <w:tcPr>
            <w:tcW w:w="1151" w:type="pct"/>
            <w:tcBorders>
              <w:top w:val="single" w:sz="4" w:space="0" w:color="auto"/>
              <w:left w:val="single" w:sz="4" w:space="0" w:color="808080"/>
              <w:bottom w:val="single" w:sz="4" w:space="0" w:color="auto"/>
            </w:tcBorders>
            <w:noWrap/>
            <w:hideMark/>
          </w:tcPr>
          <w:p w14:paraId="60990A3E"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color w:val="000000"/>
                <w:sz w:val="22"/>
                <w:szCs w:val="22"/>
                <w:lang w:eastAsia="en-GB"/>
              </w:rPr>
            </w:pPr>
            <w:r w:rsidRPr="000944C1">
              <w:rPr>
                <w:rFonts w:cs="Arial"/>
                <w:color w:val="000000"/>
                <w:sz w:val="22"/>
                <w:szCs w:val="22"/>
                <w:lang w:eastAsia="en-GB"/>
              </w:rPr>
              <w:t>Number of vessels</w:t>
            </w:r>
          </w:p>
        </w:tc>
      </w:tr>
      <w:tr w:rsidR="00AD6588" w:rsidRPr="000944C1" w14:paraId="43DD9E6A" w14:textId="77777777" w:rsidTr="00A9204B">
        <w:trPr>
          <w:trHeight w:val="300"/>
        </w:trPr>
        <w:tc>
          <w:tcPr>
            <w:cnfStyle w:val="001000000000" w:firstRow="0" w:lastRow="0" w:firstColumn="1" w:lastColumn="0" w:oddVBand="0" w:evenVBand="0" w:oddHBand="0" w:evenHBand="0" w:firstRowFirstColumn="0" w:firstRowLastColumn="0" w:lastRowFirstColumn="0" w:lastRowLastColumn="0"/>
            <w:tcW w:w="1457" w:type="pct"/>
            <w:vMerge w:val="restart"/>
            <w:tcBorders>
              <w:top w:val="single" w:sz="4" w:space="0" w:color="auto"/>
              <w:right w:val="single" w:sz="4" w:space="0" w:color="auto"/>
            </w:tcBorders>
          </w:tcPr>
          <w:p w14:paraId="09B7850B" w14:textId="77777777" w:rsidR="00AD6588" w:rsidRPr="000944C1" w:rsidRDefault="00AD6588" w:rsidP="00A9204B">
            <w:pPr>
              <w:keepNext/>
              <w:spacing w:before="40" w:after="40"/>
              <w:rPr>
                <w:rFonts w:cs="Arial"/>
                <w:color w:val="000000"/>
                <w:sz w:val="22"/>
                <w:szCs w:val="22"/>
                <w:lang w:eastAsia="en-GB"/>
              </w:rPr>
            </w:pPr>
            <w:r w:rsidRPr="000944C1">
              <w:rPr>
                <w:rFonts w:cs="Arial"/>
                <w:color w:val="000000"/>
                <w:sz w:val="22"/>
                <w:szCs w:val="22"/>
                <w:lang w:eastAsia="en-GB"/>
              </w:rPr>
              <w:t>Vessels operating on categorised waters</w:t>
            </w:r>
          </w:p>
        </w:tc>
        <w:tc>
          <w:tcPr>
            <w:tcW w:w="1152" w:type="pct"/>
            <w:tcBorders>
              <w:top w:val="single" w:sz="4" w:space="0" w:color="auto"/>
              <w:left w:val="single" w:sz="4" w:space="0" w:color="auto"/>
            </w:tcBorders>
            <w:noWrap/>
            <w:hideMark/>
          </w:tcPr>
          <w:p w14:paraId="6077A107"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Class V</w:t>
            </w:r>
          </w:p>
        </w:tc>
        <w:tc>
          <w:tcPr>
            <w:tcW w:w="1240" w:type="pct"/>
            <w:tcBorders>
              <w:top w:val="single" w:sz="4" w:space="0" w:color="auto"/>
              <w:right w:val="single" w:sz="4" w:space="0" w:color="808080"/>
            </w:tcBorders>
            <w:noWrap/>
            <w:hideMark/>
          </w:tcPr>
          <w:p w14:paraId="686985EC"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Category A</w:t>
            </w:r>
          </w:p>
        </w:tc>
        <w:tc>
          <w:tcPr>
            <w:tcW w:w="1151" w:type="pct"/>
            <w:tcBorders>
              <w:top w:val="single" w:sz="4" w:space="0" w:color="auto"/>
              <w:left w:val="single" w:sz="4" w:space="0" w:color="808080"/>
            </w:tcBorders>
            <w:noWrap/>
            <w:hideMark/>
          </w:tcPr>
          <w:p w14:paraId="33439CA8"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93</w:t>
            </w:r>
          </w:p>
        </w:tc>
      </w:tr>
      <w:tr w:rsidR="00AD6588" w:rsidRPr="000944C1" w14:paraId="7E7B0EFF" w14:textId="77777777" w:rsidTr="00A92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7" w:type="pct"/>
            <w:vMerge/>
            <w:tcBorders>
              <w:top w:val="none" w:sz="0" w:space="0" w:color="auto"/>
              <w:bottom w:val="none" w:sz="0" w:space="0" w:color="auto"/>
              <w:right w:val="single" w:sz="4" w:space="0" w:color="auto"/>
            </w:tcBorders>
          </w:tcPr>
          <w:p w14:paraId="281329FE" w14:textId="77777777" w:rsidR="00AD6588" w:rsidRPr="000944C1" w:rsidRDefault="00AD6588" w:rsidP="00A9204B">
            <w:pPr>
              <w:keepNext/>
              <w:spacing w:before="40" w:after="40"/>
              <w:rPr>
                <w:rFonts w:cs="Arial"/>
                <w:color w:val="000000"/>
                <w:sz w:val="22"/>
                <w:szCs w:val="22"/>
                <w:lang w:eastAsia="en-GB"/>
              </w:rPr>
            </w:pPr>
          </w:p>
        </w:tc>
        <w:tc>
          <w:tcPr>
            <w:tcW w:w="1152" w:type="pct"/>
            <w:tcBorders>
              <w:top w:val="none" w:sz="0" w:space="0" w:color="auto"/>
              <w:left w:val="single" w:sz="4" w:space="0" w:color="auto"/>
              <w:bottom w:val="none" w:sz="0" w:space="0" w:color="auto"/>
            </w:tcBorders>
            <w:noWrap/>
            <w:hideMark/>
          </w:tcPr>
          <w:p w14:paraId="023EB4D1"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Class V</w:t>
            </w:r>
          </w:p>
        </w:tc>
        <w:tc>
          <w:tcPr>
            <w:tcW w:w="1240" w:type="pct"/>
            <w:tcBorders>
              <w:top w:val="none" w:sz="0" w:space="0" w:color="auto"/>
              <w:bottom w:val="none" w:sz="0" w:space="0" w:color="auto"/>
              <w:right w:val="single" w:sz="4" w:space="0" w:color="808080"/>
            </w:tcBorders>
            <w:noWrap/>
            <w:hideMark/>
          </w:tcPr>
          <w:p w14:paraId="3AAB6A9A"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Category B</w:t>
            </w:r>
          </w:p>
        </w:tc>
        <w:tc>
          <w:tcPr>
            <w:tcW w:w="1151" w:type="pct"/>
            <w:tcBorders>
              <w:top w:val="none" w:sz="0" w:space="0" w:color="auto"/>
              <w:left w:val="single" w:sz="4" w:space="0" w:color="808080"/>
              <w:bottom w:val="none" w:sz="0" w:space="0" w:color="auto"/>
            </w:tcBorders>
            <w:noWrap/>
            <w:hideMark/>
          </w:tcPr>
          <w:p w14:paraId="5D256405"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86</w:t>
            </w:r>
          </w:p>
        </w:tc>
      </w:tr>
      <w:tr w:rsidR="00AD6588" w:rsidRPr="000944C1" w14:paraId="48EFF71B" w14:textId="77777777" w:rsidTr="00A9204B">
        <w:trPr>
          <w:trHeight w:val="300"/>
        </w:trPr>
        <w:tc>
          <w:tcPr>
            <w:cnfStyle w:val="001000000000" w:firstRow="0" w:lastRow="0" w:firstColumn="1" w:lastColumn="0" w:oddVBand="0" w:evenVBand="0" w:oddHBand="0" w:evenHBand="0" w:firstRowFirstColumn="0" w:firstRowLastColumn="0" w:lastRowFirstColumn="0" w:lastRowLastColumn="0"/>
            <w:tcW w:w="1457" w:type="pct"/>
            <w:vMerge/>
            <w:tcBorders>
              <w:right w:val="single" w:sz="4" w:space="0" w:color="auto"/>
            </w:tcBorders>
          </w:tcPr>
          <w:p w14:paraId="51FB3E27" w14:textId="77777777" w:rsidR="00AD6588" w:rsidRPr="000944C1" w:rsidRDefault="00AD6588" w:rsidP="00A9204B">
            <w:pPr>
              <w:keepNext/>
              <w:spacing w:before="40" w:after="40"/>
              <w:rPr>
                <w:rFonts w:cs="Arial"/>
                <w:color w:val="000000"/>
                <w:sz w:val="22"/>
                <w:szCs w:val="22"/>
                <w:lang w:eastAsia="en-GB"/>
              </w:rPr>
            </w:pPr>
          </w:p>
        </w:tc>
        <w:tc>
          <w:tcPr>
            <w:tcW w:w="1152" w:type="pct"/>
            <w:tcBorders>
              <w:left w:val="single" w:sz="4" w:space="0" w:color="auto"/>
            </w:tcBorders>
            <w:noWrap/>
            <w:hideMark/>
          </w:tcPr>
          <w:p w14:paraId="2E8C3F34"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Class V</w:t>
            </w:r>
          </w:p>
        </w:tc>
        <w:tc>
          <w:tcPr>
            <w:tcW w:w="1240" w:type="pct"/>
            <w:tcBorders>
              <w:right w:val="single" w:sz="4" w:space="0" w:color="808080"/>
            </w:tcBorders>
            <w:noWrap/>
            <w:hideMark/>
          </w:tcPr>
          <w:p w14:paraId="556169FB"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Category C</w:t>
            </w:r>
          </w:p>
        </w:tc>
        <w:tc>
          <w:tcPr>
            <w:tcW w:w="1151" w:type="pct"/>
            <w:tcBorders>
              <w:left w:val="single" w:sz="4" w:space="0" w:color="808080"/>
            </w:tcBorders>
            <w:noWrap/>
            <w:hideMark/>
          </w:tcPr>
          <w:p w14:paraId="152BB5F3"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223</w:t>
            </w:r>
          </w:p>
        </w:tc>
      </w:tr>
      <w:tr w:rsidR="00AD6588" w:rsidRPr="000944C1" w14:paraId="5D03DA46" w14:textId="77777777" w:rsidTr="00A92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7" w:type="pct"/>
            <w:vMerge/>
            <w:tcBorders>
              <w:top w:val="none" w:sz="0" w:space="0" w:color="auto"/>
              <w:bottom w:val="none" w:sz="0" w:space="0" w:color="auto"/>
              <w:right w:val="single" w:sz="4" w:space="0" w:color="auto"/>
            </w:tcBorders>
          </w:tcPr>
          <w:p w14:paraId="38E799C1" w14:textId="77777777" w:rsidR="00AD6588" w:rsidRPr="000944C1" w:rsidRDefault="00AD6588" w:rsidP="00A9204B">
            <w:pPr>
              <w:keepNext/>
              <w:spacing w:before="40" w:after="40"/>
              <w:rPr>
                <w:rFonts w:cs="Arial"/>
                <w:color w:val="000000"/>
                <w:sz w:val="22"/>
                <w:szCs w:val="22"/>
                <w:lang w:eastAsia="en-GB"/>
              </w:rPr>
            </w:pPr>
          </w:p>
        </w:tc>
        <w:tc>
          <w:tcPr>
            <w:tcW w:w="1152" w:type="pct"/>
            <w:tcBorders>
              <w:top w:val="none" w:sz="0" w:space="0" w:color="auto"/>
              <w:left w:val="single" w:sz="4" w:space="0" w:color="auto"/>
              <w:bottom w:val="none" w:sz="0" w:space="0" w:color="auto"/>
            </w:tcBorders>
            <w:noWrap/>
          </w:tcPr>
          <w:p w14:paraId="28025DE0"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Class IV</w:t>
            </w:r>
          </w:p>
        </w:tc>
        <w:tc>
          <w:tcPr>
            <w:tcW w:w="1240" w:type="pct"/>
            <w:tcBorders>
              <w:top w:val="none" w:sz="0" w:space="0" w:color="auto"/>
              <w:bottom w:val="none" w:sz="0" w:space="0" w:color="auto"/>
              <w:right w:val="single" w:sz="4" w:space="0" w:color="808080"/>
            </w:tcBorders>
            <w:noWrap/>
          </w:tcPr>
          <w:p w14:paraId="7DD82F44"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Category D</w:t>
            </w:r>
          </w:p>
        </w:tc>
        <w:tc>
          <w:tcPr>
            <w:tcW w:w="1151" w:type="pct"/>
            <w:tcBorders>
              <w:top w:val="none" w:sz="0" w:space="0" w:color="auto"/>
              <w:left w:val="single" w:sz="4" w:space="0" w:color="808080"/>
              <w:bottom w:val="none" w:sz="0" w:space="0" w:color="auto"/>
            </w:tcBorders>
            <w:noWrap/>
          </w:tcPr>
          <w:p w14:paraId="699A3C30"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49</w:t>
            </w:r>
          </w:p>
        </w:tc>
      </w:tr>
      <w:tr w:rsidR="00AD6588" w:rsidRPr="000944C1" w14:paraId="638823D4" w14:textId="77777777" w:rsidTr="00A9204B">
        <w:trPr>
          <w:trHeight w:val="300"/>
        </w:trPr>
        <w:tc>
          <w:tcPr>
            <w:cnfStyle w:val="001000000000" w:firstRow="0" w:lastRow="0" w:firstColumn="1" w:lastColumn="0" w:oddVBand="0" w:evenVBand="0" w:oddHBand="0" w:evenHBand="0" w:firstRowFirstColumn="0" w:firstRowLastColumn="0" w:lastRowFirstColumn="0" w:lastRowLastColumn="0"/>
            <w:tcW w:w="1457" w:type="pct"/>
            <w:vMerge w:val="restart"/>
            <w:tcBorders>
              <w:right w:val="single" w:sz="4" w:space="0" w:color="auto"/>
            </w:tcBorders>
          </w:tcPr>
          <w:p w14:paraId="77D98B4A" w14:textId="77777777" w:rsidR="00AD6588" w:rsidRPr="000944C1" w:rsidRDefault="00AD6588" w:rsidP="00A9204B">
            <w:pPr>
              <w:keepNext/>
              <w:spacing w:before="40" w:after="40"/>
              <w:rPr>
                <w:rFonts w:cs="Arial"/>
                <w:color w:val="000000"/>
                <w:sz w:val="22"/>
                <w:szCs w:val="22"/>
                <w:lang w:eastAsia="en-GB"/>
              </w:rPr>
            </w:pPr>
            <w:r w:rsidRPr="000944C1">
              <w:rPr>
                <w:rFonts w:cs="Arial"/>
                <w:color w:val="000000"/>
                <w:sz w:val="22"/>
                <w:szCs w:val="22"/>
                <w:lang w:eastAsia="en-GB"/>
              </w:rPr>
              <w:t>Seagoing vessels not under the scope of EC Directive 2009/45/EC</w:t>
            </w:r>
          </w:p>
        </w:tc>
        <w:tc>
          <w:tcPr>
            <w:tcW w:w="1152" w:type="pct"/>
            <w:tcBorders>
              <w:left w:val="single" w:sz="4" w:space="0" w:color="auto"/>
            </w:tcBorders>
            <w:noWrap/>
            <w:hideMark/>
          </w:tcPr>
          <w:p w14:paraId="6FC18A3E"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Class VI</w:t>
            </w:r>
          </w:p>
        </w:tc>
        <w:tc>
          <w:tcPr>
            <w:tcW w:w="1240" w:type="pct"/>
            <w:tcBorders>
              <w:right w:val="single" w:sz="4" w:space="0" w:color="808080"/>
            </w:tcBorders>
            <w:noWrap/>
            <w:hideMark/>
          </w:tcPr>
          <w:p w14:paraId="6EE1702B"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N/A</w:t>
            </w:r>
          </w:p>
        </w:tc>
        <w:tc>
          <w:tcPr>
            <w:tcW w:w="1151" w:type="pct"/>
            <w:tcBorders>
              <w:left w:val="single" w:sz="4" w:space="0" w:color="808080"/>
            </w:tcBorders>
            <w:noWrap/>
            <w:hideMark/>
          </w:tcPr>
          <w:p w14:paraId="5999275E"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123</w:t>
            </w:r>
          </w:p>
        </w:tc>
      </w:tr>
      <w:tr w:rsidR="00AD6588" w:rsidRPr="000944C1" w14:paraId="588DFE14" w14:textId="77777777" w:rsidTr="00A920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7" w:type="pct"/>
            <w:vMerge/>
            <w:tcBorders>
              <w:top w:val="none" w:sz="0" w:space="0" w:color="auto"/>
              <w:bottom w:val="none" w:sz="0" w:space="0" w:color="auto"/>
              <w:right w:val="single" w:sz="4" w:space="0" w:color="auto"/>
            </w:tcBorders>
          </w:tcPr>
          <w:p w14:paraId="78D35E52" w14:textId="77777777" w:rsidR="00AD6588" w:rsidRPr="000944C1" w:rsidRDefault="00AD6588" w:rsidP="00A9204B">
            <w:pPr>
              <w:keepNext/>
              <w:spacing w:before="40" w:after="40"/>
              <w:rPr>
                <w:rFonts w:cs="Arial"/>
                <w:color w:val="000000"/>
                <w:sz w:val="22"/>
                <w:szCs w:val="22"/>
                <w:lang w:eastAsia="en-GB"/>
              </w:rPr>
            </w:pPr>
          </w:p>
        </w:tc>
        <w:tc>
          <w:tcPr>
            <w:tcW w:w="1152" w:type="pct"/>
            <w:tcBorders>
              <w:top w:val="none" w:sz="0" w:space="0" w:color="auto"/>
              <w:left w:val="single" w:sz="4" w:space="0" w:color="auto"/>
              <w:bottom w:val="none" w:sz="0" w:space="0" w:color="auto"/>
            </w:tcBorders>
            <w:noWrap/>
            <w:hideMark/>
          </w:tcPr>
          <w:p w14:paraId="5FD6559D"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Class VI(A)</w:t>
            </w:r>
          </w:p>
        </w:tc>
        <w:tc>
          <w:tcPr>
            <w:tcW w:w="1240" w:type="pct"/>
            <w:tcBorders>
              <w:top w:val="none" w:sz="0" w:space="0" w:color="auto"/>
              <w:bottom w:val="none" w:sz="0" w:space="0" w:color="auto"/>
              <w:right w:val="single" w:sz="4" w:space="0" w:color="808080"/>
            </w:tcBorders>
            <w:noWrap/>
            <w:hideMark/>
          </w:tcPr>
          <w:p w14:paraId="3C9F628B"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N/A</w:t>
            </w:r>
          </w:p>
        </w:tc>
        <w:tc>
          <w:tcPr>
            <w:tcW w:w="1151" w:type="pct"/>
            <w:tcBorders>
              <w:top w:val="none" w:sz="0" w:space="0" w:color="auto"/>
              <w:left w:val="single" w:sz="4" w:space="0" w:color="808080"/>
              <w:bottom w:val="none" w:sz="0" w:space="0" w:color="auto"/>
            </w:tcBorders>
            <w:noWrap/>
            <w:hideMark/>
          </w:tcPr>
          <w:p w14:paraId="499447A9" w14:textId="77777777" w:rsidR="00AD6588" w:rsidRPr="000944C1" w:rsidRDefault="00AD6588" w:rsidP="00A9204B">
            <w:pPr>
              <w:keepNext/>
              <w:spacing w:before="40" w:after="40"/>
              <w:cnfStyle w:val="000000100000" w:firstRow="0" w:lastRow="0" w:firstColumn="0" w:lastColumn="0" w:oddVBand="0" w:evenVBand="0" w:oddHBand="1"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1</w:t>
            </w:r>
          </w:p>
        </w:tc>
      </w:tr>
      <w:tr w:rsidR="00AD6588" w:rsidRPr="000944C1" w14:paraId="1F073742" w14:textId="77777777" w:rsidTr="00A9204B">
        <w:trPr>
          <w:trHeight w:val="300"/>
        </w:trPr>
        <w:tc>
          <w:tcPr>
            <w:cnfStyle w:val="001000000000" w:firstRow="0" w:lastRow="0" w:firstColumn="1" w:lastColumn="0" w:oddVBand="0" w:evenVBand="0" w:oddHBand="0" w:evenHBand="0" w:firstRowFirstColumn="0" w:firstRowLastColumn="0" w:lastRowFirstColumn="0" w:lastRowLastColumn="0"/>
            <w:tcW w:w="1457" w:type="pct"/>
            <w:tcBorders>
              <w:bottom w:val="single" w:sz="4" w:space="0" w:color="7F7F7F" w:themeColor="text1" w:themeTint="80"/>
              <w:right w:val="single" w:sz="4" w:space="0" w:color="auto"/>
            </w:tcBorders>
          </w:tcPr>
          <w:p w14:paraId="5A591D61" w14:textId="77777777" w:rsidR="00AD6588" w:rsidRPr="000944C1" w:rsidRDefault="00AD6588" w:rsidP="00A9204B">
            <w:pPr>
              <w:keepNext/>
              <w:spacing w:before="40" w:after="40"/>
              <w:rPr>
                <w:rFonts w:cs="Arial"/>
                <w:color w:val="000000"/>
                <w:sz w:val="22"/>
                <w:szCs w:val="22"/>
                <w:lang w:eastAsia="en-GB"/>
              </w:rPr>
            </w:pPr>
            <w:r w:rsidRPr="000944C1">
              <w:rPr>
                <w:rFonts w:cs="Arial"/>
                <w:color w:val="000000"/>
                <w:sz w:val="22"/>
                <w:szCs w:val="22"/>
                <w:lang w:eastAsia="en-GB"/>
              </w:rPr>
              <w:t>EU Restricted Vessels</w:t>
            </w:r>
          </w:p>
        </w:tc>
        <w:tc>
          <w:tcPr>
            <w:tcW w:w="1152" w:type="pct"/>
            <w:tcBorders>
              <w:left w:val="single" w:sz="4" w:space="0" w:color="auto"/>
              <w:bottom w:val="single" w:sz="4" w:space="0" w:color="808080"/>
            </w:tcBorders>
            <w:noWrap/>
            <w:hideMark/>
          </w:tcPr>
          <w:p w14:paraId="27C90375"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N/A</w:t>
            </w:r>
          </w:p>
        </w:tc>
        <w:tc>
          <w:tcPr>
            <w:tcW w:w="1240" w:type="pct"/>
            <w:tcBorders>
              <w:bottom w:val="single" w:sz="4" w:space="0" w:color="808080"/>
              <w:right w:val="single" w:sz="4" w:space="0" w:color="808080"/>
            </w:tcBorders>
            <w:noWrap/>
            <w:hideMark/>
          </w:tcPr>
          <w:p w14:paraId="65966496"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N/A</w:t>
            </w:r>
          </w:p>
        </w:tc>
        <w:tc>
          <w:tcPr>
            <w:tcW w:w="1151" w:type="pct"/>
            <w:tcBorders>
              <w:left w:val="single" w:sz="4" w:space="0" w:color="808080"/>
              <w:bottom w:val="single" w:sz="4" w:space="0" w:color="808080"/>
            </w:tcBorders>
            <w:noWrap/>
            <w:hideMark/>
          </w:tcPr>
          <w:p w14:paraId="559DBA76" w14:textId="77777777" w:rsidR="00AD6588" w:rsidRPr="000944C1" w:rsidRDefault="00AD6588" w:rsidP="00A9204B">
            <w:pPr>
              <w:keepNext/>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0944C1">
              <w:rPr>
                <w:rFonts w:cs="Arial"/>
                <w:bCs/>
                <w:color w:val="000000"/>
                <w:sz w:val="22"/>
                <w:szCs w:val="22"/>
                <w:lang w:eastAsia="en-GB"/>
              </w:rPr>
              <w:t>31</w:t>
            </w:r>
          </w:p>
        </w:tc>
      </w:tr>
      <w:tr w:rsidR="00AD6588" w:rsidRPr="000944C1" w14:paraId="075101B6" w14:textId="77777777" w:rsidTr="00A9204B">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57" w:type="pct"/>
            <w:tcBorders>
              <w:top w:val="none" w:sz="0" w:space="0" w:color="auto"/>
              <w:bottom w:val="single" w:sz="4" w:space="0" w:color="auto"/>
              <w:right w:val="single" w:sz="4" w:space="0" w:color="auto"/>
            </w:tcBorders>
          </w:tcPr>
          <w:p w14:paraId="72DF9226" w14:textId="77777777" w:rsidR="00AD6588" w:rsidRPr="000944C1" w:rsidRDefault="00AD6588" w:rsidP="00A9204B">
            <w:pPr>
              <w:keepNext/>
              <w:spacing w:before="40" w:after="40"/>
              <w:rPr>
                <w:rFonts w:cs="Arial"/>
                <w:color w:val="000000"/>
                <w:sz w:val="22"/>
                <w:szCs w:val="22"/>
                <w:lang w:eastAsia="en-GB"/>
              </w:rPr>
            </w:pPr>
            <w:r w:rsidRPr="000944C1">
              <w:rPr>
                <w:rFonts w:cs="Arial"/>
                <w:color w:val="000000"/>
                <w:sz w:val="22"/>
                <w:szCs w:val="22"/>
                <w:lang w:eastAsia="en-GB"/>
              </w:rPr>
              <w:t>Total number of vessels</w:t>
            </w:r>
          </w:p>
        </w:tc>
        <w:tc>
          <w:tcPr>
            <w:tcW w:w="1152" w:type="pct"/>
            <w:tcBorders>
              <w:top w:val="single" w:sz="4" w:space="0" w:color="808080"/>
              <w:left w:val="single" w:sz="4" w:space="0" w:color="auto"/>
              <w:bottom w:val="single" w:sz="4" w:space="0" w:color="auto"/>
            </w:tcBorders>
            <w:noWrap/>
          </w:tcPr>
          <w:p w14:paraId="05F6BE55" w14:textId="77777777" w:rsidR="00AD6588" w:rsidRPr="000944C1" w:rsidRDefault="00AD6588" w:rsidP="00A9204B">
            <w:pPr>
              <w:keepNext/>
              <w:spacing w:before="40" w:after="40"/>
              <w:cnfStyle w:val="010000000000" w:firstRow="0" w:lastRow="1" w:firstColumn="0" w:lastColumn="0" w:oddVBand="0" w:evenVBand="0" w:oddHBand="0" w:evenHBand="0" w:firstRowFirstColumn="0" w:firstRowLastColumn="0" w:lastRowFirstColumn="0" w:lastRowLastColumn="0"/>
              <w:rPr>
                <w:rFonts w:cs="Arial"/>
                <w:color w:val="000000"/>
                <w:sz w:val="22"/>
                <w:szCs w:val="22"/>
                <w:lang w:eastAsia="en-GB"/>
              </w:rPr>
            </w:pPr>
          </w:p>
        </w:tc>
        <w:tc>
          <w:tcPr>
            <w:tcW w:w="1240" w:type="pct"/>
            <w:tcBorders>
              <w:top w:val="single" w:sz="4" w:space="0" w:color="808080"/>
              <w:bottom w:val="single" w:sz="4" w:space="0" w:color="auto"/>
              <w:right w:val="single" w:sz="4" w:space="0" w:color="808080"/>
            </w:tcBorders>
            <w:noWrap/>
          </w:tcPr>
          <w:p w14:paraId="65F0868A" w14:textId="77777777" w:rsidR="00AD6588" w:rsidRPr="000944C1" w:rsidRDefault="00AD6588" w:rsidP="00A9204B">
            <w:pPr>
              <w:keepNext/>
              <w:spacing w:before="40" w:after="40"/>
              <w:cnfStyle w:val="010000000000" w:firstRow="0" w:lastRow="1" w:firstColumn="0" w:lastColumn="0" w:oddVBand="0" w:evenVBand="0" w:oddHBand="0" w:evenHBand="0" w:firstRowFirstColumn="0" w:firstRowLastColumn="0" w:lastRowFirstColumn="0" w:lastRowLastColumn="0"/>
              <w:rPr>
                <w:rFonts w:cs="Arial"/>
                <w:color w:val="000000"/>
                <w:sz w:val="22"/>
                <w:szCs w:val="22"/>
                <w:lang w:eastAsia="en-GB"/>
              </w:rPr>
            </w:pPr>
          </w:p>
        </w:tc>
        <w:tc>
          <w:tcPr>
            <w:tcW w:w="1151" w:type="pct"/>
            <w:tcBorders>
              <w:top w:val="single" w:sz="4" w:space="0" w:color="808080"/>
              <w:left w:val="single" w:sz="4" w:space="0" w:color="808080"/>
              <w:bottom w:val="single" w:sz="4" w:space="0" w:color="auto"/>
            </w:tcBorders>
            <w:noWrap/>
          </w:tcPr>
          <w:p w14:paraId="576636CC" w14:textId="77777777" w:rsidR="00AD6588" w:rsidRPr="000944C1" w:rsidRDefault="00AD6588" w:rsidP="00A9204B">
            <w:pPr>
              <w:keepNext/>
              <w:spacing w:before="40" w:after="40"/>
              <w:cnfStyle w:val="010000000000" w:firstRow="0" w:lastRow="1" w:firstColumn="0" w:lastColumn="0" w:oddVBand="0" w:evenVBand="0" w:oddHBand="0" w:evenHBand="0" w:firstRowFirstColumn="0" w:firstRowLastColumn="0" w:lastRowFirstColumn="0" w:lastRowLastColumn="0"/>
              <w:rPr>
                <w:rFonts w:cs="Arial"/>
                <w:color w:val="000000"/>
                <w:sz w:val="22"/>
                <w:szCs w:val="22"/>
                <w:lang w:eastAsia="en-GB"/>
              </w:rPr>
            </w:pPr>
            <w:r w:rsidRPr="000944C1">
              <w:rPr>
                <w:rFonts w:cs="Arial"/>
                <w:color w:val="000000"/>
                <w:sz w:val="22"/>
                <w:szCs w:val="22"/>
                <w:lang w:eastAsia="en-GB"/>
              </w:rPr>
              <w:t>606</w:t>
            </w:r>
          </w:p>
        </w:tc>
      </w:tr>
    </w:tbl>
    <w:p w14:paraId="49BB4F2D" w14:textId="77777777" w:rsidR="00AD6588" w:rsidRDefault="00AD6588" w:rsidP="00AD6588">
      <w:pPr>
        <w:rPr>
          <w:rFonts w:cs="Arial"/>
          <w:bCs/>
          <w:color w:val="000000"/>
          <w:sz w:val="22"/>
          <w:szCs w:val="22"/>
          <w:lang w:eastAsia="en-GB"/>
        </w:rPr>
      </w:pPr>
    </w:p>
    <w:p w14:paraId="31D943B2" w14:textId="77777777" w:rsidR="00AD6588" w:rsidRPr="00C4288E" w:rsidRDefault="00AD6588" w:rsidP="00AD6588">
      <w:pPr>
        <w:spacing w:after="120" w:line="259" w:lineRule="auto"/>
        <w:rPr>
          <w:rFonts w:cs="Arial"/>
          <w:bCs/>
          <w:color w:val="000000"/>
          <w:sz w:val="22"/>
          <w:szCs w:val="22"/>
          <w:lang w:eastAsia="en-GB"/>
        </w:rPr>
      </w:pPr>
      <w:r>
        <w:rPr>
          <w:rFonts w:cs="Arial"/>
          <w:bCs/>
          <w:color w:val="000000"/>
          <w:sz w:val="22"/>
          <w:szCs w:val="22"/>
          <w:lang w:eastAsia="en-GB"/>
        </w:rPr>
        <w:t>T</w:t>
      </w:r>
      <w:r w:rsidRPr="00C4288E">
        <w:rPr>
          <w:rFonts w:cs="Arial"/>
          <w:bCs/>
          <w:color w:val="000000"/>
          <w:sz w:val="22"/>
          <w:szCs w:val="22"/>
          <w:lang w:eastAsia="en-GB"/>
        </w:rPr>
        <w:t>he existing regulations place requirements on vesse</w:t>
      </w:r>
      <w:r>
        <w:rPr>
          <w:rFonts w:cs="Arial"/>
          <w:bCs/>
          <w:color w:val="000000"/>
          <w:sz w:val="22"/>
          <w:szCs w:val="22"/>
          <w:lang w:eastAsia="en-GB"/>
        </w:rPr>
        <w:t xml:space="preserve">ls based on several parameters such as </w:t>
      </w:r>
      <w:r w:rsidRPr="00C4288E">
        <w:rPr>
          <w:rFonts w:cs="Arial"/>
          <w:bCs/>
          <w:color w:val="000000"/>
          <w:sz w:val="22"/>
          <w:szCs w:val="22"/>
          <w:lang w:eastAsia="en-GB"/>
        </w:rPr>
        <w:t>class, category of water, subdivision</w:t>
      </w:r>
      <w:r>
        <w:rPr>
          <w:rFonts w:cs="Arial"/>
          <w:bCs/>
          <w:color w:val="000000"/>
          <w:sz w:val="22"/>
          <w:szCs w:val="22"/>
          <w:lang w:eastAsia="en-GB"/>
        </w:rPr>
        <w:t xml:space="preserve"> standard and the number of passengers. As a result, t</w:t>
      </w:r>
      <w:r w:rsidRPr="00C4288E">
        <w:rPr>
          <w:rFonts w:cs="Arial"/>
          <w:bCs/>
          <w:color w:val="000000"/>
          <w:sz w:val="22"/>
          <w:szCs w:val="22"/>
          <w:lang w:eastAsia="en-GB"/>
        </w:rPr>
        <w:t>he potential number of vessels affected is different for each of the pr</w:t>
      </w:r>
      <w:r>
        <w:rPr>
          <w:rFonts w:cs="Arial"/>
          <w:bCs/>
          <w:color w:val="000000"/>
          <w:sz w:val="22"/>
          <w:szCs w:val="22"/>
          <w:lang w:eastAsia="en-GB"/>
        </w:rPr>
        <w:t>oposed amendments. The estimate of the</w:t>
      </w:r>
      <w:r w:rsidRPr="00C4288E">
        <w:rPr>
          <w:rFonts w:cs="Arial"/>
          <w:bCs/>
          <w:color w:val="000000"/>
          <w:sz w:val="22"/>
          <w:szCs w:val="22"/>
          <w:lang w:eastAsia="en-GB"/>
        </w:rPr>
        <w:t xml:space="preserve"> number of vessels affected and associated cost for each of the proposed amendments </w:t>
      </w:r>
      <w:r>
        <w:rPr>
          <w:rFonts w:cs="Arial"/>
          <w:bCs/>
          <w:color w:val="000000"/>
          <w:sz w:val="22"/>
          <w:szCs w:val="22"/>
          <w:lang w:eastAsia="en-GB"/>
        </w:rPr>
        <w:t>is presented separately in each section.</w:t>
      </w:r>
      <w:r w:rsidRPr="00C4288E">
        <w:rPr>
          <w:rFonts w:cs="Arial"/>
          <w:bCs/>
          <w:color w:val="000000"/>
          <w:sz w:val="22"/>
          <w:szCs w:val="22"/>
          <w:lang w:eastAsia="en-GB"/>
        </w:rPr>
        <w:t xml:space="preserve"> </w:t>
      </w:r>
    </w:p>
    <w:p w14:paraId="7706CF0A" w14:textId="77777777" w:rsidR="00AD6588" w:rsidRDefault="00AD6588" w:rsidP="00AD6588">
      <w:pPr>
        <w:spacing w:after="120" w:line="259" w:lineRule="auto"/>
        <w:rPr>
          <w:rFonts w:cs="Arial"/>
          <w:bCs/>
          <w:color w:val="000000"/>
          <w:sz w:val="22"/>
          <w:szCs w:val="22"/>
          <w:lang w:eastAsia="en-GB"/>
        </w:rPr>
      </w:pPr>
      <w:r w:rsidRPr="00C4288E">
        <w:rPr>
          <w:rFonts w:cs="Arial"/>
          <w:bCs/>
          <w:color w:val="000000"/>
          <w:sz w:val="22"/>
          <w:szCs w:val="22"/>
          <w:lang w:eastAsia="en-GB"/>
        </w:rPr>
        <w:t xml:space="preserve">It is noted that most vessels operate under different modes, which allows them to operate on different areas of water. The above table represent the most onerous distribution of vessels (i.e. the mode of each vessels which would be most affected by the revised regulations). </w:t>
      </w:r>
    </w:p>
    <w:p w14:paraId="44B64FF1" w14:textId="77777777" w:rsidR="00AD6588" w:rsidRPr="00E937B6" w:rsidRDefault="00AD6588" w:rsidP="00AD6588">
      <w:pPr>
        <w:pStyle w:val="Heading2"/>
      </w:pPr>
      <w:r w:rsidRPr="00E937B6">
        <w:t>Summary of approach to estimating the impact of the regulations to existing ships</w:t>
      </w:r>
    </w:p>
    <w:p w14:paraId="21259915" w14:textId="77777777" w:rsidR="00AD6588" w:rsidRPr="008124B6" w:rsidRDefault="00AD6588" w:rsidP="00AD6588">
      <w:pPr>
        <w:spacing w:after="120" w:line="259" w:lineRule="auto"/>
        <w:rPr>
          <w:rFonts w:cs="Arial"/>
          <w:bCs/>
          <w:color w:val="000000"/>
          <w:sz w:val="22"/>
          <w:szCs w:val="22"/>
          <w:lang w:eastAsia="en-GB"/>
        </w:rPr>
      </w:pPr>
      <w:r w:rsidRPr="00FA0EE8">
        <w:rPr>
          <w:sz w:val="22"/>
          <w:szCs w:val="22"/>
        </w:rPr>
        <w:t xml:space="preserve">Costs differ substantially between vessels as they have been built or modified to bespoke specifications and operate under different operating models and geographic areas. Equally, costs differ between vessels </w:t>
      </w:r>
      <w:r w:rsidRPr="00FA0EE8">
        <w:rPr>
          <w:rFonts w:cs="Arial"/>
          <w:bCs/>
          <w:color w:val="000000"/>
          <w:sz w:val="22"/>
          <w:szCs w:val="22"/>
          <w:lang w:eastAsia="en-GB"/>
        </w:rPr>
        <w:t xml:space="preserve">depending on the existing equipment on board and corresponding additional requirements. Therefore, </w:t>
      </w:r>
      <w:r w:rsidRPr="00FA0EE8">
        <w:rPr>
          <w:bCs/>
          <w:sz w:val="22"/>
          <w:szCs w:val="22"/>
        </w:rPr>
        <w:t xml:space="preserve">two </w:t>
      </w:r>
      <w:r w:rsidRPr="00FA0EE8">
        <w:rPr>
          <w:rFonts w:cs="Arial"/>
          <w:bCs/>
          <w:color w:val="000000"/>
          <w:sz w:val="22"/>
          <w:szCs w:val="22"/>
          <w:lang w:eastAsia="en-GB"/>
        </w:rPr>
        <w:t>vessels are rarely the same when considering the costs associated with proposed regulation.</w:t>
      </w:r>
      <w:r w:rsidRPr="00FA0EE8">
        <w:rPr>
          <w:bCs/>
          <w:sz w:val="22"/>
          <w:szCs w:val="22"/>
        </w:rPr>
        <w:t xml:space="preserve"> </w:t>
      </w:r>
      <w:r w:rsidRPr="00FA0EE8">
        <w:rPr>
          <w:rFonts w:cs="Arial"/>
          <w:bCs/>
          <w:color w:val="000000"/>
          <w:sz w:val="22"/>
          <w:szCs w:val="22"/>
          <w:lang w:eastAsia="en-GB"/>
        </w:rPr>
        <w:t xml:space="preserve">Indicative vessels which best represent the type of vessel </w:t>
      </w:r>
      <w:r>
        <w:rPr>
          <w:rFonts w:cs="Arial"/>
          <w:bCs/>
          <w:color w:val="000000"/>
          <w:sz w:val="22"/>
          <w:szCs w:val="22"/>
          <w:lang w:eastAsia="en-GB"/>
        </w:rPr>
        <w:t>are used</w:t>
      </w:r>
      <w:r w:rsidRPr="00FA0EE8">
        <w:rPr>
          <w:rFonts w:cs="Arial"/>
          <w:bCs/>
          <w:color w:val="000000"/>
          <w:sz w:val="22"/>
          <w:szCs w:val="22"/>
          <w:lang w:eastAsia="en-GB"/>
        </w:rPr>
        <w:t xml:space="preserve"> to estimate prices</w:t>
      </w:r>
      <w:r>
        <w:rPr>
          <w:rFonts w:cs="Arial"/>
          <w:bCs/>
          <w:color w:val="000000"/>
          <w:sz w:val="22"/>
          <w:szCs w:val="22"/>
          <w:lang w:eastAsia="en-GB"/>
        </w:rPr>
        <w:t xml:space="preserve"> for the cost of installation. </w:t>
      </w:r>
    </w:p>
    <w:p w14:paraId="3A6E8DE0" w14:textId="77777777" w:rsidR="00AD6588" w:rsidRPr="000944C1" w:rsidRDefault="00AD6588" w:rsidP="00AD6588">
      <w:pPr>
        <w:spacing w:after="120" w:line="259" w:lineRule="auto"/>
        <w:rPr>
          <w:rFonts w:cs="Arial"/>
          <w:bCs/>
          <w:color w:val="000000"/>
          <w:sz w:val="22"/>
          <w:szCs w:val="22"/>
          <w:lang w:eastAsia="en-GB"/>
        </w:rPr>
      </w:pPr>
      <w:r>
        <w:rPr>
          <w:rFonts w:cs="Arial"/>
          <w:bCs/>
          <w:color w:val="000000"/>
          <w:sz w:val="22"/>
          <w:szCs w:val="22"/>
          <w:lang w:eastAsia="en-GB"/>
        </w:rPr>
        <w:t>W</w:t>
      </w:r>
      <w:r w:rsidRPr="000944C1">
        <w:rPr>
          <w:rFonts w:cs="Arial"/>
          <w:bCs/>
          <w:color w:val="000000"/>
          <w:sz w:val="22"/>
          <w:szCs w:val="22"/>
          <w:lang w:eastAsia="en-GB"/>
        </w:rPr>
        <w:t>e have used data from the MCA Certificate Dat</w:t>
      </w:r>
      <w:r>
        <w:rPr>
          <w:rFonts w:cs="Arial"/>
          <w:bCs/>
          <w:color w:val="000000"/>
          <w:sz w:val="22"/>
          <w:szCs w:val="22"/>
          <w:lang w:eastAsia="en-GB"/>
        </w:rPr>
        <w:t>abase and Marine Office records</w:t>
      </w:r>
      <w:r w:rsidRPr="000944C1">
        <w:rPr>
          <w:rFonts w:cs="Arial"/>
          <w:bCs/>
          <w:color w:val="000000"/>
          <w:sz w:val="22"/>
          <w:szCs w:val="22"/>
          <w:lang w:eastAsia="en-GB"/>
        </w:rPr>
        <w:t xml:space="preserve"> to understand the characteristics of individual vessels. The costs faced by each vessel has been estimated wherever possible, and where not, indicative costs have been generated for typical vessel types.</w:t>
      </w:r>
    </w:p>
    <w:p w14:paraId="3E459CA6" w14:textId="77777777" w:rsidR="00AD6588" w:rsidRPr="000944C1" w:rsidRDefault="00AD6588" w:rsidP="00AD6588">
      <w:pPr>
        <w:spacing w:after="120" w:line="259" w:lineRule="auto"/>
        <w:rPr>
          <w:rFonts w:cs="Arial"/>
          <w:bCs/>
          <w:color w:val="000000"/>
          <w:sz w:val="22"/>
          <w:szCs w:val="22"/>
          <w:lang w:eastAsia="en-GB"/>
        </w:rPr>
      </w:pPr>
      <w:r w:rsidRPr="000944C1">
        <w:rPr>
          <w:rFonts w:cs="Arial"/>
          <w:bCs/>
          <w:color w:val="000000"/>
          <w:sz w:val="22"/>
          <w:szCs w:val="22"/>
          <w:lang w:eastAsia="en-GB"/>
        </w:rPr>
        <w:t>The revised regulations have been separated into the following requirements:</w:t>
      </w:r>
    </w:p>
    <w:p w14:paraId="0F9750B8" w14:textId="77777777" w:rsidR="00AD6588" w:rsidRPr="000944C1"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Life-saving appliances - Liferafts</w:t>
      </w:r>
    </w:p>
    <w:p w14:paraId="3B00501A" w14:textId="77777777" w:rsidR="00AD6588" w:rsidRPr="000944C1"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Life-saving appliances - Lifejackets</w:t>
      </w:r>
    </w:p>
    <w:p w14:paraId="160DC433" w14:textId="77777777" w:rsidR="00AD6588" w:rsidRPr="000944C1"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Life-saving appliances – Lifejacket Lights</w:t>
      </w:r>
    </w:p>
    <w:p w14:paraId="292C8855" w14:textId="77777777" w:rsidR="00AD6588" w:rsidRPr="000944C1"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Fire protection – Fire Detection</w:t>
      </w:r>
    </w:p>
    <w:p w14:paraId="2C76FA60" w14:textId="77777777" w:rsidR="00AD6588" w:rsidRPr="000944C1"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 xml:space="preserve">Fire protection – Fixed Fire Fighting </w:t>
      </w:r>
    </w:p>
    <w:p w14:paraId="6B6FF204" w14:textId="77777777" w:rsidR="00AD6588" w:rsidRPr="000944C1" w:rsidRDefault="00AD6588" w:rsidP="00AD6588">
      <w:pPr>
        <w:keepNext/>
        <w:numPr>
          <w:ilvl w:val="0"/>
          <w:numId w:val="30"/>
        </w:numPr>
        <w:spacing w:after="120"/>
        <w:rPr>
          <w:rFonts w:cs="Arial"/>
          <w:bCs/>
          <w:color w:val="000000"/>
          <w:sz w:val="22"/>
          <w:szCs w:val="22"/>
          <w:lang w:eastAsia="en-GB"/>
        </w:rPr>
      </w:pPr>
      <w:r>
        <w:rPr>
          <w:rFonts w:cs="Arial"/>
          <w:bCs/>
          <w:color w:val="000000"/>
          <w:sz w:val="22"/>
          <w:szCs w:val="22"/>
          <w:lang w:eastAsia="en-GB"/>
        </w:rPr>
        <w:t>Fire protection – Powered P</w:t>
      </w:r>
      <w:r w:rsidRPr="000944C1">
        <w:rPr>
          <w:rFonts w:cs="Arial"/>
          <w:bCs/>
          <w:color w:val="000000"/>
          <w:sz w:val="22"/>
          <w:szCs w:val="22"/>
          <w:lang w:eastAsia="en-GB"/>
        </w:rPr>
        <w:t>umps</w:t>
      </w:r>
    </w:p>
    <w:p w14:paraId="40A465AF" w14:textId="77777777" w:rsidR="00AD6588"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Bilge</w:t>
      </w:r>
      <w:r>
        <w:rPr>
          <w:rFonts w:cs="Arial"/>
          <w:bCs/>
          <w:color w:val="000000"/>
          <w:sz w:val="22"/>
          <w:szCs w:val="22"/>
          <w:lang w:eastAsia="en-GB"/>
        </w:rPr>
        <w:t xml:space="preserve"> Pumping Arrangements</w:t>
      </w:r>
    </w:p>
    <w:p w14:paraId="7DDDC981" w14:textId="77777777" w:rsidR="00AD6588" w:rsidRPr="006F1664" w:rsidRDefault="00AD6588" w:rsidP="00AD6588">
      <w:pPr>
        <w:keepNext/>
        <w:numPr>
          <w:ilvl w:val="0"/>
          <w:numId w:val="30"/>
        </w:numPr>
        <w:spacing w:after="120"/>
        <w:rPr>
          <w:rFonts w:cs="Arial"/>
          <w:bCs/>
          <w:color w:val="000000"/>
          <w:sz w:val="22"/>
          <w:szCs w:val="22"/>
          <w:lang w:eastAsia="en-GB"/>
        </w:rPr>
      </w:pPr>
      <w:r>
        <w:rPr>
          <w:rFonts w:cs="Arial"/>
          <w:bCs/>
          <w:color w:val="000000"/>
          <w:sz w:val="22"/>
          <w:szCs w:val="22"/>
          <w:lang w:eastAsia="en-GB"/>
        </w:rPr>
        <w:t>Bilge Alarm Arrangements</w:t>
      </w:r>
    </w:p>
    <w:p w14:paraId="40885F63" w14:textId="77777777" w:rsidR="00AD6588" w:rsidRPr="000944C1" w:rsidRDefault="00AD6588" w:rsidP="00AD6588">
      <w:pPr>
        <w:keepNext/>
        <w:numPr>
          <w:ilvl w:val="0"/>
          <w:numId w:val="30"/>
        </w:numPr>
        <w:spacing w:after="120"/>
        <w:rPr>
          <w:rFonts w:cs="Arial"/>
          <w:bCs/>
          <w:color w:val="000000"/>
          <w:sz w:val="22"/>
          <w:szCs w:val="22"/>
          <w:lang w:eastAsia="en-GB"/>
        </w:rPr>
      </w:pPr>
      <w:r w:rsidRPr="000944C1">
        <w:rPr>
          <w:rFonts w:cs="Arial"/>
          <w:bCs/>
          <w:color w:val="000000"/>
          <w:sz w:val="22"/>
          <w:szCs w:val="22"/>
          <w:lang w:eastAsia="en-GB"/>
        </w:rPr>
        <w:t>Post Damage Survivability</w:t>
      </w:r>
    </w:p>
    <w:p w14:paraId="4AC026D1" w14:textId="77777777" w:rsidR="00AD6588" w:rsidRPr="000944C1" w:rsidRDefault="00AD6588" w:rsidP="00AD6588">
      <w:pPr>
        <w:spacing w:after="120" w:line="259" w:lineRule="auto"/>
        <w:rPr>
          <w:rFonts w:cs="Arial"/>
          <w:bCs/>
          <w:color w:val="000000"/>
          <w:sz w:val="22"/>
          <w:szCs w:val="22"/>
          <w:lang w:eastAsia="en-GB"/>
        </w:rPr>
      </w:pPr>
      <w:r w:rsidRPr="000944C1">
        <w:rPr>
          <w:rFonts w:cs="Arial"/>
          <w:bCs/>
          <w:color w:val="000000"/>
          <w:sz w:val="22"/>
          <w:szCs w:val="22"/>
          <w:lang w:eastAsia="en-GB"/>
        </w:rPr>
        <w:t xml:space="preserve">Where additional equipment is required under the revised regulations, quotes were obtained from </w:t>
      </w:r>
      <w:r>
        <w:rPr>
          <w:rFonts w:cs="Arial"/>
          <w:bCs/>
          <w:color w:val="000000"/>
          <w:sz w:val="22"/>
          <w:szCs w:val="22"/>
          <w:lang w:eastAsia="en-GB"/>
        </w:rPr>
        <w:t>suppliers of marine equipment.</w:t>
      </w:r>
      <w:r w:rsidRPr="000944C1">
        <w:rPr>
          <w:rFonts w:cs="Arial"/>
          <w:bCs/>
          <w:color w:val="000000"/>
          <w:sz w:val="22"/>
          <w:szCs w:val="22"/>
          <w:lang w:eastAsia="en-GB"/>
        </w:rPr>
        <w:t xml:space="preserve"> The </w:t>
      </w:r>
      <w:r>
        <w:rPr>
          <w:rFonts w:cs="Arial"/>
          <w:bCs/>
          <w:color w:val="000000"/>
          <w:sz w:val="22"/>
          <w:szCs w:val="22"/>
          <w:lang w:eastAsia="en-GB"/>
        </w:rPr>
        <w:t xml:space="preserve">information on </w:t>
      </w:r>
      <w:r w:rsidRPr="000944C1">
        <w:rPr>
          <w:rFonts w:cs="Arial"/>
          <w:bCs/>
          <w:color w:val="000000"/>
          <w:sz w:val="22"/>
          <w:szCs w:val="22"/>
          <w:lang w:eastAsia="en-GB"/>
        </w:rPr>
        <w:t>cost</w:t>
      </w:r>
      <w:r>
        <w:rPr>
          <w:rFonts w:cs="Arial"/>
          <w:bCs/>
          <w:color w:val="000000"/>
          <w:sz w:val="22"/>
          <w:szCs w:val="22"/>
          <w:lang w:eastAsia="en-GB"/>
        </w:rPr>
        <w:t>s</w:t>
      </w:r>
      <w:r w:rsidRPr="000944C1">
        <w:rPr>
          <w:rFonts w:cs="Arial"/>
          <w:bCs/>
          <w:color w:val="000000"/>
          <w:sz w:val="22"/>
          <w:szCs w:val="22"/>
          <w:lang w:eastAsia="en-GB"/>
        </w:rPr>
        <w:t xml:space="preserve"> associated with the installation of equipment and </w:t>
      </w:r>
      <w:r w:rsidRPr="000944C1">
        <w:rPr>
          <w:rFonts w:cs="Arial"/>
          <w:bCs/>
          <w:color w:val="000000"/>
          <w:sz w:val="22"/>
          <w:szCs w:val="22"/>
          <w:lang w:eastAsia="en-GB"/>
        </w:rPr>
        <w:lastRenderedPageBreak/>
        <w:t xml:space="preserve">modification of vessels </w:t>
      </w:r>
      <w:r>
        <w:rPr>
          <w:rFonts w:cs="Arial"/>
          <w:bCs/>
          <w:color w:val="000000"/>
          <w:sz w:val="22"/>
          <w:szCs w:val="22"/>
          <w:lang w:eastAsia="en-GB"/>
        </w:rPr>
        <w:t>is from operators and shipyards.</w:t>
      </w:r>
      <w:r w:rsidRPr="00D04123">
        <w:rPr>
          <w:rFonts w:cs="Arial"/>
          <w:bCs/>
          <w:color w:val="000000"/>
          <w:sz w:val="22"/>
          <w:szCs w:val="22"/>
          <w:lang w:eastAsia="en-GB"/>
        </w:rPr>
        <w:t xml:space="preserve"> Individual suppliers are not named within this document </w:t>
      </w:r>
      <w:r>
        <w:rPr>
          <w:rFonts w:cs="Arial"/>
          <w:bCs/>
          <w:color w:val="000000"/>
          <w:sz w:val="22"/>
          <w:szCs w:val="22"/>
          <w:lang w:eastAsia="en-GB"/>
        </w:rPr>
        <w:t>due to commercial sensitivity.</w:t>
      </w:r>
    </w:p>
    <w:p w14:paraId="489DEF33" w14:textId="77777777" w:rsidR="00AD6588" w:rsidRPr="000944C1" w:rsidRDefault="00AD6588" w:rsidP="00AD6588">
      <w:pPr>
        <w:spacing w:after="120" w:line="259" w:lineRule="auto"/>
        <w:rPr>
          <w:rFonts w:cs="Arial"/>
          <w:bCs/>
          <w:color w:val="000000"/>
          <w:sz w:val="22"/>
          <w:szCs w:val="22"/>
          <w:lang w:eastAsia="en-GB"/>
        </w:rPr>
      </w:pPr>
      <w:r>
        <w:rPr>
          <w:rFonts w:cs="Arial"/>
          <w:bCs/>
          <w:color w:val="000000"/>
          <w:sz w:val="22"/>
          <w:szCs w:val="22"/>
          <w:lang w:eastAsia="en-GB"/>
        </w:rPr>
        <w:t xml:space="preserve">High and low estimates of the </w:t>
      </w:r>
      <w:r w:rsidRPr="000944C1">
        <w:rPr>
          <w:rFonts w:cs="Arial"/>
          <w:bCs/>
          <w:color w:val="000000"/>
          <w:sz w:val="22"/>
          <w:szCs w:val="22"/>
          <w:lang w:eastAsia="en-GB"/>
        </w:rPr>
        <w:t>costs</w:t>
      </w:r>
      <w:r>
        <w:rPr>
          <w:rFonts w:cs="Arial"/>
          <w:bCs/>
          <w:color w:val="000000"/>
          <w:sz w:val="22"/>
          <w:szCs w:val="22"/>
          <w:lang w:eastAsia="en-GB"/>
        </w:rPr>
        <w:t xml:space="preserve"> are provided to reflect uncertainty</w:t>
      </w:r>
      <w:r w:rsidRPr="000944C1">
        <w:rPr>
          <w:rFonts w:cs="Arial"/>
          <w:bCs/>
          <w:color w:val="000000"/>
          <w:sz w:val="22"/>
          <w:szCs w:val="22"/>
          <w:lang w:eastAsia="en-GB"/>
        </w:rPr>
        <w:t xml:space="preserve"> </w:t>
      </w:r>
      <w:r>
        <w:rPr>
          <w:rFonts w:cs="Arial"/>
          <w:bCs/>
          <w:color w:val="000000"/>
          <w:sz w:val="22"/>
          <w:szCs w:val="22"/>
          <w:lang w:eastAsia="en-GB"/>
        </w:rPr>
        <w:t>caused by</w:t>
      </w:r>
      <w:r w:rsidRPr="000944C1">
        <w:rPr>
          <w:rFonts w:cs="Arial"/>
          <w:bCs/>
          <w:color w:val="000000"/>
          <w:sz w:val="22"/>
          <w:szCs w:val="22"/>
          <w:lang w:eastAsia="en-GB"/>
        </w:rPr>
        <w:t xml:space="preserve"> vessel owners having the choice of fitting a basic or more sophisticated system. Whilst there is no requirement for vessel owners to go for the more sophisticated system, we expect many </w:t>
      </w:r>
      <w:r>
        <w:rPr>
          <w:rFonts w:cs="Arial"/>
          <w:bCs/>
          <w:color w:val="000000"/>
          <w:sz w:val="22"/>
          <w:szCs w:val="22"/>
          <w:lang w:eastAsia="en-GB"/>
        </w:rPr>
        <w:t>may do so as</w:t>
      </w:r>
      <w:r w:rsidRPr="000944C1">
        <w:rPr>
          <w:rFonts w:cs="Arial"/>
          <w:bCs/>
          <w:color w:val="000000"/>
          <w:sz w:val="22"/>
          <w:szCs w:val="22"/>
          <w:lang w:eastAsia="en-GB"/>
        </w:rPr>
        <w:t xml:space="preserve"> it may have simpler operating requirements.</w:t>
      </w:r>
      <w:r>
        <w:rPr>
          <w:rFonts w:cs="Arial"/>
          <w:bCs/>
          <w:color w:val="000000"/>
          <w:sz w:val="22"/>
          <w:szCs w:val="22"/>
          <w:lang w:eastAsia="en-GB"/>
        </w:rPr>
        <w:t xml:space="preserve"> Note for the calculation of benefits, the high scenario represents the outcome that is consistent with what the high cost outcome is for overall NPV and vice versa.</w:t>
      </w:r>
    </w:p>
    <w:p w14:paraId="6DEE581C" w14:textId="77777777" w:rsidR="00AD6588" w:rsidRDefault="00AD6588" w:rsidP="00AD6588">
      <w:pPr>
        <w:spacing w:after="120" w:line="259" w:lineRule="auto"/>
        <w:rPr>
          <w:rFonts w:cs="Arial"/>
          <w:bCs/>
          <w:color w:val="000000"/>
          <w:sz w:val="22"/>
          <w:szCs w:val="22"/>
          <w:lang w:eastAsia="en-GB"/>
        </w:rPr>
      </w:pPr>
      <w:r>
        <w:rPr>
          <w:rFonts w:cs="Arial"/>
          <w:bCs/>
          <w:color w:val="000000"/>
          <w:sz w:val="22"/>
          <w:szCs w:val="22"/>
          <w:lang w:eastAsia="en-GB"/>
        </w:rPr>
        <w:t>W</w:t>
      </w:r>
      <w:r w:rsidRPr="000944C1">
        <w:rPr>
          <w:rFonts w:cs="Arial"/>
          <w:bCs/>
          <w:color w:val="000000"/>
          <w:sz w:val="22"/>
          <w:szCs w:val="22"/>
          <w:lang w:eastAsia="en-GB"/>
        </w:rPr>
        <w:t>here we have been unable to estimate the monetised cost of a regulatory requirement, the scale of the cost has been</w:t>
      </w:r>
      <w:r>
        <w:rPr>
          <w:rFonts w:cs="Arial"/>
          <w:bCs/>
          <w:color w:val="000000"/>
          <w:sz w:val="22"/>
          <w:szCs w:val="22"/>
          <w:lang w:eastAsia="en-GB"/>
        </w:rPr>
        <w:t xml:space="preserve"> provided through consultation with </w:t>
      </w:r>
      <w:r w:rsidRPr="000944C1">
        <w:rPr>
          <w:rFonts w:cs="Arial"/>
          <w:bCs/>
          <w:color w:val="000000"/>
          <w:sz w:val="22"/>
          <w:szCs w:val="22"/>
          <w:lang w:eastAsia="en-GB"/>
        </w:rPr>
        <w:t>industry or</w:t>
      </w:r>
      <w:r>
        <w:rPr>
          <w:rFonts w:cs="Arial"/>
          <w:bCs/>
          <w:color w:val="000000"/>
          <w:sz w:val="22"/>
          <w:szCs w:val="22"/>
          <w:lang w:eastAsia="en-GB"/>
        </w:rPr>
        <w:t xml:space="preserve"> by</w:t>
      </w:r>
      <w:r w:rsidRPr="000944C1">
        <w:rPr>
          <w:rFonts w:cs="Arial"/>
          <w:bCs/>
          <w:color w:val="000000"/>
          <w:sz w:val="22"/>
          <w:szCs w:val="22"/>
          <w:lang w:eastAsia="en-GB"/>
        </w:rPr>
        <w:t xml:space="preserve"> MCA technical experts.</w:t>
      </w:r>
    </w:p>
    <w:p w14:paraId="06FFB2E0" w14:textId="5D4DC1CC" w:rsidR="00231363" w:rsidRPr="008124B6" w:rsidRDefault="00AD6588" w:rsidP="00600DC8">
      <w:pPr>
        <w:pStyle w:val="EBBodyPara"/>
        <w:keepNext/>
      </w:pPr>
      <w:r w:rsidRPr="00E937B6">
        <w:t>Operators may choose to relocate vessels</w:t>
      </w:r>
      <w:r>
        <w:t xml:space="preserve"> to a less onerous category of operation </w:t>
      </w:r>
      <w:r w:rsidRPr="00E937B6">
        <w:t xml:space="preserve">to avoid costs associated with </w:t>
      </w:r>
      <w:r>
        <w:t xml:space="preserve">certain </w:t>
      </w:r>
      <w:r w:rsidRPr="00E937B6">
        <w:t xml:space="preserve">proposed regulations. </w:t>
      </w:r>
      <w:r>
        <w:t xml:space="preserve">For example, a category C ship could choose to relocate to category B waters and thus not be required to amend the liferaft provision or to cease operation altogether. </w:t>
      </w:r>
      <w:r w:rsidRPr="00E937B6">
        <w:t xml:space="preserve"> Moving the vessel may incur costs associated with the move and potential loss in revenue. </w:t>
      </w:r>
      <w:r>
        <w:t>T</w:t>
      </w:r>
      <w:r w:rsidRPr="00E937B6">
        <w:t xml:space="preserve">his </w:t>
      </w:r>
      <w:r>
        <w:t>I</w:t>
      </w:r>
      <w:r w:rsidRPr="00E937B6">
        <w:t xml:space="preserve">mpact </w:t>
      </w:r>
      <w:r>
        <w:t>A</w:t>
      </w:r>
      <w:r w:rsidRPr="00E937B6">
        <w:t xml:space="preserve">ssessment assumes </w:t>
      </w:r>
      <w:r>
        <w:t>operators</w:t>
      </w:r>
      <w:r w:rsidRPr="00E937B6">
        <w:t xml:space="preserve"> will choose to implement changes to the vessel rather than change the area of operation. Whilst we do expect that some operators may move vessels </w:t>
      </w:r>
      <w:r>
        <w:t>as this may be more cost effective</w:t>
      </w:r>
      <w:r w:rsidRPr="00E937B6">
        <w:t xml:space="preserve"> than complying</w:t>
      </w:r>
      <w:r>
        <w:t xml:space="preserve"> with the proposed regulations,</w:t>
      </w:r>
      <w:r w:rsidRPr="00E937B6">
        <w:t xml:space="preserve"> it is difficult to estimate th</w:t>
      </w:r>
      <w:r>
        <w:t>e likelihood of this occurring and complex to model and therefore not proportionate to do so.</w:t>
      </w:r>
      <w:r w:rsidR="00C2157C">
        <w:t xml:space="preserve"> We consider this to be a conservative assumption.</w:t>
      </w:r>
    </w:p>
    <w:p w14:paraId="06E78622" w14:textId="3D0DFC7C" w:rsidR="00470384" w:rsidRDefault="00117E44" w:rsidP="00470384">
      <w:pPr>
        <w:pStyle w:val="Heading2"/>
      </w:pPr>
      <w:r>
        <w:t xml:space="preserve">Monetised </w:t>
      </w:r>
      <w:r w:rsidR="00470384">
        <w:t>and non-monetised costs and benefits of option</w:t>
      </w:r>
      <w:r w:rsidR="00231363">
        <w:t xml:space="preserve"> 1, the preferred option</w:t>
      </w:r>
    </w:p>
    <w:p w14:paraId="4F32FE1C" w14:textId="3A9401C2" w:rsidR="00531A61" w:rsidRDefault="00531A61" w:rsidP="00531A61">
      <w:pPr>
        <w:pStyle w:val="Heading3"/>
      </w:pPr>
      <w:bookmarkStart w:id="18" w:name="_Ref512519145"/>
      <w:r>
        <w:t>Summary of Monetised Costs and Benefits</w:t>
      </w:r>
      <w:r w:rsidR="00592B63">
        <w:t xml:space="preserve"> of Option 1</w:t>
      </w:r>
      <w:r w:rsidR="0002422E">
        <w:t>, the preferred option</w:t>
      </w:r>
      <w:bookmarkEnd w:id="18"/>
    </w:p>
    <w:p w14:paraId="18EE91CB" w14:textId="6FC4AC53" w:rsidR="00231363" w:rsidRDefault="003D124F" w:rsidP="00231363">
      <w:pPr>
        <w:pStyle w:val="EBBodyPara"/>
      </w:pPr>
      <w:r>
        <w:t>Table 2</w:t>
      </w:r>
      <w:r w:rsidR="00251B88">
        <w:t xml:space="preserve"> presents a summary of all costs and benefits that have been monetised. A full description of each cost and benefit is presented in section </w:t>
      </w:r>
      <w:r w:rsidR="00251B88">
        <w:fldChar w:fldCharType="begin"/>
      </w:r>
      <w:r w:rsidR="00251B88">
        <w:instrText xml:space="preserve"> REF _Ref512603682 \r \h </w:instrText>
      </w:r>
      <w:r w:rsidR="00251B88">
        <w:fldChar w:fldCharType="separate"/>
      </w:r>
      <w:r w:rsidR="00742166">
        <w:t>10.2</w:t>
      </w:r>
      <w:r w:rsidR="00251B88">
        <w:fldChar w:fldCharType="end"/>
      </w:r>
      <w:r w:rsidR="00251B88">
        <w:t>.</w:t>
      </w:r>
    </w:p>
    <w:p w14:paraId="0993B83A" w14:textId="77777777" w:rsidR="00AD6588" w:rsidRPr="004160E0" w:rsidRDefault="00AD6588" w:rsidP="00231363">
      <w:pPr>
        <w:pStyle w:val="EBBodyPara"/>
      </w:pPr>
    </w:p>
    <w:tbl>
      <w:tblPr>
        <w:tblStyle w:val="TableGrid"/>
        <w:tblW w:w="0" w:type="auto"/>
        <w:jc w:val="center"/>
        <w:tblLook w:val="04A0" w:firstRow="1" w:lastRow="0" w:firstColumn="1" w:lastColumn="0" w:noHBand="0" w:noVBand="1"/>
      </w:tblPr>
      <w:tblGrid>
        <w:gridCol w:w="4678"/>
        <w:gridCol w:w="1418"/>
        <w:gridCol w:w="1417"/>
        <w:gridCol w:w="1559"/>
        <w:gridCol w:w="1418"/>
      </w:tblGrid>
      <w:tr w:rsidR="00206452" w14:paraId="33DA4D96" w14:textId="77777777" w:rsidTr="00FD0C77">
        <w:trPr>
          <w:gridAfter w:val="1"/>
          <w:wAfter w:w="1418" w:type="dxa"/>
          <w:jc w:val="center"/>
        </w:trPr>
        <w:tc>
          <w:tcPr>
            <w:tcW w:w="9072" w:type="dxa"/>
            <w:gridSpan w:val="4"/>
            <w:tcBorders>
              <w:top w:val="nil"/>
              <w:left w:val="nil"/>
              <w:bottom w:val="single" w:sz="4" w:space="0" w:color="auto"/>
              <w:right w:val="nil"/>
            </w:tcBorders>
          </w:tcPr>
          <w:p w14:paraId="04F13065" w14:textId="77777777" w:rsidR="00206452" w:rsidRPr="00206452" w:rsidRDefault="00206452" w:rsidP="004632E8">
            <w:pPr>
              <w:pStyle w:val="EBBodyPara"/>
              <w:rPr>
                <w:i/>
              </w:rPr>
            </w:pPr>
            <w:r w:rsidRPr="00D3313F">
              <w:rPr>
                <w:i/>
              </w:rPr>
              <w:t>Table 2</w:t>
            </w:r>
            <w:r w:rsidRPr="00206452">
              <w:rPr>
                <w:i/>
              </w:rPr>
              <w:t>: Summary of all monetised costs and benefits of the preferred option</w:t>
            </w:r>
          </w:p>
        </w:tc>
      </w:tr>
      <w:tr w:rsidR="00FD0C77" w14:paraId="6684301F" w14:textId="77777777" w:rsidTr="009C6814">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58DF447D" w14:textId="77777777" w:rsidR="00FD0C77" w:rsidRPr="00A71B24" w:rsidRDefault="00FD0C77" w:rsidP="00FD0C77">
            <w:pPr>
              <w:pStyle w:val="EBBodyPara"/>
              <w:rPr>
                <w:b/>
              </w:rPr>
            </w:pPr>
            <w:r>
              <w:rPr>
                <w:b/>
                <w:bCs w:val="0"/>
              </w:rPr>
              <w:t>Requirement</w:t>
            </w:r>
          </w:p>
        </w:tc>
        <w:tc>
          <w:tcPr>
            <w:tcW w:w="1418" w:type="dxa"/>
            <w:tcBorders>
              <w:top w:val="single" w:sz="4" w:space="0" w:color="auto"/>
              <w:left w:val="nil"/>
              <w:bottom w:val="single" w:sz="4" w:space="0" w:color="auto"/>
              <w:right w:val="nil"/>
            </w:tcBorders>
            <w:shd w:val="clear" w:color="auto" w:fill="auto"/>
            <w:vAlign w:val="center"/>
          </w:tcPr>
          <w:p w14:paraId="085356D1" w14:textId="77777777" w:rsidR="00FD0C77" w:rsidRPr="00A71B24" w:rsidRDefault="00FD0C77" w:rsidP="00FD0C77">
            <w:pPr>
              <w:pStyle w:val="EBBodyPara"/>
              <w:rPr>
                <w:b/>
              </w:rPr>
            </w:pPr>
            <w:r>
              <w:rPr>
                <w:b/>
                <w:bCs w:val="0"/>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0363685" w14:textId="77777777" w:rsidR="00FD0C77" w:rsidRPr="00A71B24" w:rsidRDefault="00FD0C77" w:rsidP="00FD0C77">
            <w:pPr>
              <w:pStyle w:val="EBBodyPara"/>
              <w:rPr>
                <w:b/>
              </w:rPr>
            </w:pPr>
            <w:r>
              <w:rPr>
                <w:b/>
                <w:bCs w:val="0"/>
              </w:rPr>
              <w:t>Central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3AD62E56" w14:textId="77777777" w:rsidR="00FD0C77" w:rsidRPr="00A71B24" w:rsidRDefault="00FD0C77" w:rsidP="00FD0C77">
            <w:pPr>
              <w:pStyle w:val="EBBodyPara"/>
              <w:rPr>
                <w:b/>
              </w:rPr>
            </w:pPr>
            <w:r>
              <w:rPr>
                <w:b/>
                <w:bCs w:val="0"/>
              </w:rPr>
              <w:t>High</w:t>
            </w:r>
          </w:p>
        </w:tc>
        <w:tc>
          <w:tcPr>
            <w:tcW w:w="1418" w:type="dxa"/>
            <w:vAlign w:val="center"/>
          </w:tcPr>
          <w:p w14:paraId="45BC5E8D" w14:textId="77777777" w:rsidR="00FD0C77" w:rsidRDefault="00FD0C77" w:rsidP="00FD0C77">
            <w:r>
              <w:rPr>
                <w:rFonts w:cs="Arial"/>
                <w:b/>
                <w:bCs/>
                <w:color w:val="000000"/>
                <w:sz w:val="22"/>
                <w:szCs w:val="22"/>
              </w:rPr>
              <w:t xml:space="preserve">Number of Vessels </w:t>
            </w:r>
          </w:p>
        </w:tc>
      </w:tr>
      <w:tr w:rsidR="00BF56DE" w14:paraId="0F112C27"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836FA7D" w14:textId="77777777" w:rsidR="00BF56DE" w:rsidRDefault="00BF56DE" w:rsidP="00BF56DE">
            <w:pPr>
              <w:pStyle w:val="EBBodyPara"/>
            </w:pPr>
            <w:r>
              <w:rPr>
                <w:b/>
                <w:bCs w:val="0"/>
              </w:rPr>
              <w:t>Life-saving appliances – Liferafts (Cost)</w:t>
            </w:r>
          </w:p>
        </w:tc>
        <w:tc>
          <w:tcPr>
            <w:tcW w:w="1418" w:type="dxa"/>
            <w:tcBorders>
              <w:top w:val="single" w:sz="4" w:space="0" w:color="auto"/>
              <w:left w:val="nil"/>
              <w:bottom w:val="single" w:sz="4" w:space="0" w:color="auto"/>
              <w:right w:val="nil"/>
            </w:tcBorders>
            <w:shd w:val="clear" w:color="auto" w:fill="auto"/>
            <w:vAlign w:val="center"/>
          </w:tcPr>
          <w:p w14:paraId="70347675" w14:textId="77777777" w:rsidR="00BF56DE" w:rsidRDefault="00BF56DE" w:rsidP="00BF56DE">
            <w:pPr>
              <w:pStyle w:val="EBBodyPara"/>
            </w:pPr>
            <w:r>
              <w:t>£2,544,000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7B159D2" w14:textId="77777777" w:rsidR="00BF56DE" w:rsidRDefault="00BF56DE" w:rsidP="00BF56DE">
            <w:pPr>
              <w:pStyle w:val="EBBodyPara"/>
            </w:pPr>
            <w:r>
              <w:t>£2,544,000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9CF95BE" w14:textId="77777777" w:rsidR="00BF56DE" w:rsidRDefault="00BF56DE" w:rsidP="00BF56DE">
            <w:pPr>
              <w:pStyle w:val="EBBodyPara"/>
            </w:pPr>
            <w:r>
              <w:t>£2,544,000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0BB08CAB" w14:textId="77777777" w:rsidR="00BF56DE" w:rsidRDefault="00BF56DE" w:rsidP="00BF56DE">
            <w:r>
              <w:rPr>
                <w:rFonts w:cs="Arial"/>
                <w:color w:val="000000"/>
                <w:sz w:val="22"/>
                <w:szCs w:val="22"/>
              </w:rPr>
              <w:t>285</w:t>
            </w:r>
          </w:p>
        </w:tc>
      </w:tr>
      <w:tr w:rsidR="00BF56DE" w14:paraId="23EF7715"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0D79835" w14:textId="4225AB7F" w:rsidR="00BF56DE" w:rsidRDefault="00BF56DE" w:rsidP="00BF56DE">
            <w:pPr>
              <w:pStyle w:val="EBBodyPara"/>
            </w:pPr>
            <w:bookmarkStart w:id="19" w:name="RANGE!C24"/>
            <w:r>
              <w:rPr>
                <w:b/>
                <w:bCs w:val="0"/>
              </w:rPr>
              <w:t>Life-saving appliances – Liferafts (Benefit)</w:t>
            </w:r>
            <w:bookmarkEnd w:id="19"/>
          </w:p>
        </w:tc>
        <w:tc>
          <w:tcPr>
            <w:tcW w:w="1418" w:type="dxa"/>
            <w:tcBorders>
              <w:top w:val="nil"/>
              <w:left w:val="nil"/>
              <w:bottom w:val="single" w:sz="4" w:space="0" w:color="auto"/>
              <w:right w:val="nil"/>
            </w:tcBorders>
            <w:shd w:val="clear" w:color="auto" w:fill="auto"/>
            <w:vAlign w:val="center"/>
          </w:tcPr>
          <w:p w14:paraId="09F6DA09" w14:textId="77777777" w:rsidR="00BF56DE" w:rsidRDefault="00BF56DE" w:rsidP="00BF56DE">
            <w:pPr>
              <w:pStyle w:val="EBBodyPara"/>
            </w:pPr>
            <w:r>
              <w:t>£7,283,000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5E174842" w14:textId="77777777" w:rsidR="00BF56DE" w:rsidRDefault="00BF56DE" w:rsidP="00BF56DE">
            <w:pPr>
              <w:pStyle w:val="EBBodyPara"/>
            </w:pPr>
            <w:r>
              <w:t>£4,856,000</w:t>
            </w:r>
          </w:p>
        </w:tc>
        <w:tc>
          <w:tcPr>
            <w:tcW w:w="1559" w:type="dxa"/>
            <w:tcBorders>
              <w:top w:val="nil"/>
              <w:left w:val="nil"/>
              <w:bottom w:val="single" w:sz="4" w:space="0" w:color="auto"/>
              <w:right w:val="single" w:sz="4" w:space="0" w:color="auto"/>
            </w:tcBorders>
            <w:shd w:val="clear" w:color="auto" w:fill="auto"/>
            <w:vAlign w:val="center"/>
          </w:tcPr>
          <w:p w14:paraId="3E3C06A2" w14:textId="77777777" w:rsidR="00BF56DE" w:rsidRDefault="00BF56DE" w:rsidP="00BF56DE">
            <w:pPr>
              <w:pStyle w:val="EBBodyPara"/>
            </w:pPr>
            <w:r>
              <w:t>£2,428,000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1FD75BF5" w14:textId="77777777" w:rsidR="00BF56DE" w:rsidRDefault="00BF56DE" w:rsidP="00BF56DE">
            <w:r>
              <w:rPr>
                <w:rFonts w:cs="Arial"/>
                <w:color w:val="000000"/>
                <w:sz w:val="22"/>
                <w:szCs w:val="22"/>
              </w:rPr>
              <w:t>285</w:t>
            </w:r>
          </w:p>
        </w:tc>
      </w:tr>
      <w:tr w:rsidR="00BF56DE" w14:paraId="7F38D076"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34B8397F" w14:textId="77777777" w:rsidR="00BF56DE" w:rsidRDefault="00BF56DE" w:rsidP="00BF56DE">
            <w:pPr>
              <w:pStyle w:val="EBBodyPara"/>
            </w:pPr>
            <w:r>
              <w:rPr>
                <w:b/>
                <w:bCs w:val="0"/>
              </w:rPr>
              <w:t>Life-saving appliances - Lifejackets</w:t>
            </w:r>
          </w:p>
        </w:tc>
        <w:tc>
          <w:tcPr>
            <w:tcW w:w="1418" w:type="dxa"/>
            <w:tcBorders>
              <w:top w:val="nil"/>
              <w:left w:val="nil"/>
              <w:bottom w:val="single" w:sz="4" w:space="0" w:color="auto"/>
              <w:right w:val="nil"/>
            </w:tcBorders>
            <w:shd w:val="clear" w:color="auto" w:fill="auto"/>
            <w:vAlign w:val="center"/>
          </w:tcPr>
          <w:p w14:paraId="1A8280F3" w14:textId="77777777" w:rsidR="00BF56DE" w:rsidRDefault="00BF56DE" w:rsidP="00BF56DE">
            <w:pPr>
              <w:pStyle w:val="EBBodyPara"/>
            </w:pPr>
            <w:r>
              <w:t>£202,000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B99AC84" w14:textId="77777777" w:rsidR="00BF56DE" w:rsidRDefault="00BF56DE" w:rsidP="00BF56DE">
            <w:pPr>
              <w:pStyle w:val="EBBodyPara"/>
            </w:pPr>
            <w:r>
              <w:t>£253,000</w:t>
            </w:r>
          </w:p>
        </w:tc>
        <w:tc>
          <w:tcPr>
            <w:tcW w:w="1559" w:type="dxa"/>
            <w:tcBorders>
              <w:top w:val="nil"/>
              <w:left w:val="nil"/>
              <w:bottom w:val="single" w:sz="4" w:space="0" w:color="auto"/>
              <w:right w:val="single" w:sz="4" w:space="0" w:color="auto"/>
            </w:tcBorders>
            <w:shd w:val="clear" w:color="auto" w:fill="auto"/>
            <w:vAlign w:val="center"/>
          </w:tcPr>
          <w:p w14:paraId="717C0D4E" w14:textId="77777777" w:rsidR="00BF56DE" w:rsidRDefault="00BF56DE" w:rsidP="00BF56DE">
            <w:pPr>
              <w:pStyle w:val="EBBodyPara"/>
            </w:pPr>
            <w:r>
              <w:t>£337,000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F1762DF" w14:textId="77777777" w:rsidR="00BF56DE" w:rsidRDefault="00BF56DE" w:rsidP="00BF56DE">
            <w:r>
              <w:rPr>
                <w:rFonts w:cs="Arial"/>
                <w:color w:val="000000"/>
                <w:sz w:val="22"/>
                <w:szCs w:val="22"/>
              </w:rPr>
              <w:t>86</w:t>
            </w:r>
          </w:p>
        </w:tc>
      </w:tr>
      <w:tr w:rsidR="00BF56DE" w14:paraId="0A657C9F"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41A23BB3" w14:textId="77777777" w:rsidR="00BF56DE" w:rsidRDefault="00BF56DE" w:rsidP="00BF56DE">
            <w:pPr>
              <w:pStyle w:val="EBBodyPara"/>
            </w:pPr>
            <w:r>
              <w:rPr>
                <w:b/>
                <w:bCs w:val="0"/>
              </w:rPr>
              <w:t>Life-saving appliances – Lifejacket Lights</w:t>
            </w:r>
          </w:p>
        </w:tc>
        <w:tc>
          <w:tcPr>
            <w:tcW w:w="1418" w:type="dxa"/>
            <w:tcBorders>
              <w:top w:val="nil"/>
              <w:left w:val="nil"/>
              <w:bottom w:val="single" w:sz="4" w:space="0" w:color="auto"/>
              <w:right w:val="nil"/>
            </w:tcBorders>
            <w:shd w:val="clear" w:color="auto" w:fill="auto"/>
            <w:vAlign w:val="center"/>
          </w:tcPr>
          <w:p w14:paraId="07D90D2F" w14:textId="77777777" w:rsidR="00BF56DE" w:rsidRDefault="00BF56DE" w:rsidP="00BF56DE">
            <w:pPr>
              <w:pStyle w:val="EBBodyPara"/>
            </w:pPr>
            <w:r>
              <w:t>£886,000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CDB7EAB" w14:textId="77777777" w:rsidR="00BF56DE" w:rsidRDefault="00BF56DE" w:rsidP="00BF56DE">
            <w:pPr>
              <w:pStyle w:val="EBBodyPara"/>
            </w:pPr>
            <w:r>
              <w:t>£984,000</w:t>
            </w:r>
          </w:p>
        </w:tc>
        <w:tc>
          <w:tcPr>
            <w:tcW w:w="1559" w:type="dxa"/>
            <w:tcBorders>
              <w:top w:val="nil"/>
              <w:left w:val="nil"/>
              <w:bottom w:val="single" w:sz="4" w:space="0" w:color="auto"/>
              <w:right w:val="single" w:sz="4" w:space="0" w:color="auto"/>
            </w:tcBorders>
            <w:shd w:val="clear" w:color="auto" w:fill="auto"/>
            <w:vAlign w:val="center"/>
          </w:tcPr>
          <w:p w14:paraId="7B97419B" w14:textId="77777777" w:rsidR="00BF56DE" w:rsidRDefault="00BF56DE" w:rsidP="00BF56DE">
            <w:pPr>
              <w:pStyle w:val="EBBodyPara"/>
            </w:pPr>
            <w:r>
              <w:t>£1,230,000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74BCCF31" w14:textId="77777777" w:rsidR="00BF56DE" w:rsidRDefault="00BF56DE" w:rsidP="00BF56DE">
            <w:r>
              <w:rPr>
                <w:rFonts w:cs="Arial"/>
                <w:color w:val="000000"/>
                <w:sz w:val="22"/>
                <w:szCs w:val="22"/>
              </w:rPr>
              <w:t>261</w:t>
            </w:r>
          </w:p>
        </w:tc>
      </w:tr>
      <w:tr w:rsidR="00BF56DE" w14:paraId="21EB7AD6"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26A8FF0" w14:textId="77777777" w:rsidR="00BF56DE" w:rsidRDefault="00BF56DE" w:rsidP="00BF56DE">
            <w:pPr>
              <w:pStyle w:val="EBBodyPara"/>
            </w:pPr>
            <w:r>
              <w:rPr>
                <w:b/>
                <w:bCs w:val="0"/>
              </w:rPr>
              <w:t>Fire protection – Fire Detection</w:t>
            </w:r>
          </w:p>
        </w:tc>
        <w:tc>
          <w:tcPr>
            <w:tcW w:w="1418" w:type="dxa"/>
            <w:tcBorders>
              <w:top w:val="nil"/>
              <w:left w:val="nil"/>
              <w:bottom w:val="single" w:sz="4" w:space="0" w:color="auto"/>
              <w:right w:val="nil"/>
            </w:tcBorders>
            <w:shd w:val="clear" w:color="auto" w:fill="auto"/>
            <w:vAlign w:val="center"/>
          </w:tcPr>
          <w:p w14:paraId="7D20E285" w14:textId="77777777" w:rsidR="00BF56DE" w:rsidRDefault="00BF56DE" w:rsidP="00BF56DE">
            <w:pPr>
              <w:pStyle w:val="EBBodyPara"/>
            </w:pPr>
            <w:r>
              <w:t>£1,106,000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19EFDBA" w14:textId="77777777" w:rsidR="00BF56DE" w:rsidRDefault="00BF56DE" w:rsidP="00BF56DE">
            <w:pPr>
              <w:pStyle w:val="EBBodyPara"/>
            </w:pPr>
            <w:r>
              <w:t>£1,608,000</w:t>
            </w:r>
          </w:p>
        </w:tc>
        <w:tc>
          <w:tcPr>
            <w:tcW w:w="1559" w:type="dxa"/>
            <w:tcBorders>
              <w:top w:val="nil"/>
              <w:left w:val="nil"/>
              <w:bottom w:val="single" w:sz="4" w:space="0" w:color="auto"/>
              <w:right w:val="single" w:sz="4" w:space="0" w:color="auto"/>
            </w:tcBorders>
            <w:shd w:val="clear" w:color="auto" w:fill="auto"/>
            <w:vAlign w:val="center"/>
          </w:tcPr>
          <w:p w14:paraId="7B78BAAF" w14:textId="77777777" w:rsidR="00BF56DE" w:rsidRDefault="00BF56DE" w:rsidP="00BF56DE">
            <w:pPr>
              <w:pStyle w:val="EBBodyPara"/>
            </w:pPr>
            <w:r>
              <w:t>£2,110,000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619EBDFD" w14:textId="77777777" w:rsidR="00BF56DE" w:rsidRDefault="00BF56DE" w:rsidP="00BF56DE">
            <w:r>
              <w:rPr>
                <w:rFonts w:cs="Arial"/>
                <w:color w:val="000000"/>
                <w:sz w:val="22"/>
                <w:szCs w:val="22"/>
              </w:rPr>
              <w:t>606</w:t>
            </w:r>
          </w:p>
        </w:tc>
      </w:tr>
      <w:tr w:rsidR="00BF56DE" w14:paraId="272CA3E8"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61D43B1B" w14:textId="77777777" w:rsidR="00BF56DE" w:rsidRDefault="00BF56DE" w:rsidP="00BF56DE">
            <w:pPr>
              <w:pStyle w:val="EBBodyPara"/>
            </w:pPr>
            <w:r>
              <w:rPr>
                <w:b/>
                <w:bCs w:val="0"/>
              </w:rPr>
              <w:t>Fire protection – Fixed Fire Fighting</w:t>
            </w:r>
          </w:p>
        </w:tc>
        <w:tc>
          <w:tcPr>
            <w:tcW w:w="1418" w:type="dxa"/>
            <w:tcBorders>
              <w:top w:val="nil"/>
              <w:left w:val="nil"/>
              <w:bottom w:val="single" w:sz="4" w:space="0" w:color="auto"/>
              <w:right w:val="nil"/>
            </w:tcBorders>
            <w:shd w:val="clear" w:color="auto" w:fill="auto"/>
            <w:vAlign w:val="center"/>
          </w:tcPr>
          <w:p w14:paraId="25EC7312" w14:textId="77777777" w:rsidR="00BF56DE" w:rsidRDefault="00BF56DE" w:rsidP="00BF56DE">
            <w:pPr>
              <w:pStyle w:val="EBBodyPara"/>
            </w:pPr>
            <w:r>
              <w:t>£90,000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B074178" w14:textId="77777777" w:rsidR="00BF56DE" w:rsidRDefault="00BF56DE" w:rsidP="00BF56DE">
            <w:pPr>
              <w:pStyle w:val="EBBodyPara"/>
            </w:pPr>
            <w:r>
              <w:t>£437,000</w:t>
            </w:r>
          </w:p>
        </w:tc>
        <w:tc>
          <w:tcPr>
            <w:tcW w:w="1559" w:type="dxa"/>
            <w:tcBorders>
              <w:top w:val="nil"/>
              <w:left w:val="nil"/>
              <w:bottom w:val="single" w:sz="4" w:space="0" w:color="auto"/>
              <w:right w:val="single" w:sz="4" w:space="0" w:color="auto"/>
            </w:tcBorders>
            <w:shd w:val="clear" w:color="auto" w:fill="auto"/>
            <w:vAlign w:val="center"/>
          </w:tcPr>
          <w:p w14:paraId="606780D1" w14:textId="77777777" w:rsidR="00BF56DE" w:rsidRDefault="00BF56DE" w:rsidP="00BF56DE">
            <w:pPr>
              <w:pStyle w:val="EBBodyPara"/>
            </w:pPr>
            <w:r>
              <w:t>£810,000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7DC5C53D" w14:textId="77777777" w:rsidR="00BF56DE" w:rsidRDefault="00BF56DE" w:rsidP="00BF56DE">
            <w:r>
              <w:rPr>
                <w:rFonts w:cs="Arial"/>
                <w:color w:val="000000"/>
                <w:sz w:val="22"/>
                <w:szCs w:val="22"/>
              </w:rPr>
              <w:t>211</w:t>
            </w:r>
          </w:p>
        </w:tc>
      </w:tr>
      <w:tr w:rsidR="00BF56DE" w14:paraId="395F908F"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698C0BD" w14:textId="77777777" w:rsidR="00BF56DE" w:rsidRDefault="00BF56DE" w:rsidP="00BF56DE">
            <w:pPr>
              <w:pStyle w:val="EBBodyPara"/>
            </w:pPr>
            <w:r>
              <w:rPr>
                <w:b/>
                <w:bCs w:val="0"/>
              </w:rPr>
              <w:t>Fire protection – Hand pumps</w:t>
            </w:r>
          </w:p>
        </w:tc>
        <w:tc>
          <w:tcPr>
            <w:tcW w:w="1418" w:type="dxa"/>
            <w:tcBorders>
              <w:top w:val="nil"/>
              <w:left w:val="nil"/>
              <w:bottom w:val="single" w:sz="4" w:space="0" w:color="auto"/>
              <w:right w:val="nil"/>
            </w:tcBorders>
            <w:shd w:val="clear" w:color="auto" w:fill="auto"/>
            <w:vAlign w:val="center"/>
          </w:tcPr>
          <w:p w14:paraId="5D26FB1C" w14:textId="77777777" w:rsidR="00BF56DE" w:rsidRDefault="00BF56DE" w:rsidP="00BF56DE">
            <w:pPr>
              <w:pStyle w:val="EBBodyPara"/>
            </w:pPr>
            <w:r>
              <w:t>£76,000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B7C431B" w14:textId="77777777" w:rsidR="00BF56DE" w:rsidRDefault="00BF56DE" w:rsidP="00BF56DE">
            <w:pPr>
              <w:pStyle w:val="EBBodyPara"/>
            </w:pPr>
            <w:r>
              <w:t>£87,000</w:t>
            </w:r>
          </w:p>
        </w:tc>
        <w:tc>
          <w:tcPr>
            <w:tcW w:w="1559" w:type="dxa"/>
            <w:tcBorders>
              <w:top w:val="nil"/>
              <w:left w:val="nil"/>
              <w:bottom w:val="single" w:sz="4" w:space="0" w:color="auto"/>
              <w:right w:val="single" w:sz="4" w:space="0" w:color="auto"/>
            </w:tcBorders>
            <w:shd w:val="clear" w:color="auto" w:fill="auto"/>
            <w:vAlign w:val="center"/>
          </w:tcPr>
          <w:p w14:paraId="292725CC" w14:textId="77777777" w:rsidR="00BF56DE" w:rsidRDefault="00BF56DE" w:rsidP="00BF56DE">
            <w:pPr>
              <w:pStyle w:val="EBBodyPara"/>
            </w:pPr>
            <w:r>
              <w:t>£98,000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5DE1C56B" w14:textId="77777777" w:rsidR="00BF56DE" w:rsidRDefault="00BF56DE" w:rsidP="00BF56DE">
            <w:r>
              <w:rPr>
                <w:rFonts w:cs="Arial"/>
                <w:color w:val="000000"/>
                <w:sz w:val="22"/>
                <w:szCs w:val="22"/>
              </w:rPr>
              <w:t>355</w:t>
            </w:r>
          </w:p>
        </w:tc>
      </w:tr>
      <w:tr w:rsidR="00BF56DE" w14:paraId="13EC307D"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2398D00" w14:textId="77777777" w:rsidR="00BF56DE" w:rsidRPr="004632E8" w:rsidRDefault="00BF56DE" w:rsidP="00BF56DE">
            <w:pPr>
              <w:pStyle w:val="EBBodyPara"/>
            </w:pPr>
            <w:r>
              <w:rPr>
                <w:b/>
                <w:bCs w:val="0"/>
              </w:rPr>
              <w:t>Bilge Pumping Arrangements</w:t>
            </w:r>
          </w:p>
        </w:tc>
        <w:tc>
          <w:tcPr>
            <w:tcW w:w="1418" w:type="dxa"/>
            <w:tcBorders>
              <w:top w:val="nil"/>
              <w:left w:val="nil"/>
              <w:bottom w:val="single" w:sz="4" w:space="0" w:color="auto"/>
              <w:right w:val="nil"/>
            </w:tcBorders>
            <w:shd w:val="clear" w:color="auto" w:fill="auto"/>
            <w:vAlign w:val="center"/>
          </w:tcPr>
          <w:p w14:paraId="14E304AE" w14:textId="77777777" w:rsidR="00BF56DE" w:rsidRDefault="00BF56DE" w:rsidP="00BF56DE">
            <w:pPr>
              <w:pStyle w:val="EBBodyPara"/>
            </w:pPr>
            <w:r>
              <w:t>£447,000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4374C38" w14:textId="77777777" w:rsidR="00BF56DE" w:rsidRDefault="00BF56DE" w:rsidP="00BF56DE">
            <w:pPr>
              <w:pStyle w:val="EBBodyPara"/>
            </w:pPr>
            <w:r>
              <w:t>£1,021,000</w:t>
            </w:r>
          </w:p>
        </w:tc>
        <w:tc>
          <w:tcPr>
            <w:tcW w:w="1559" w:type="dxa"/>
            <w:tcBorders>
              <w:top w:val="nil"/>
              <w:left w:val="nil"/>
              <w:bottom w:val="single" w:sz="4" w:space="0" w:color="auto"/>
              <w:right w:val="single" w:sz="4" w:space="0" w:color="auto"/>
            </w:tcBorders>
            <w:shd w:val="clear" w:color="auto" w:fill="auto"/>
            <w:vAlign w:val="center"/>
          </w:tcPr>
          <w:p w14:paraId="3873E559" w14:textId="77777777" w:rsidR="00BF56DE" w:rsidRDefault="00BF56DE" w:rsidP="00BF56DE">
            <w:pPr>
              <w:pStyle w:val="EBBodyPara"/>
            </w:pPr>
            <w:r>
              <w:t>£1,595,000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51325B7A" w14:textId="77777777" w:rsidR="00BF56DE" w:rsidRDefault="00BF56DE" w:rsidP="00BF56DE">
            <w:r>
              <w:rPr>
                <w:rFonts w:cs="Arial"/>
                <w:color w:val="000000"/>
                <w:sz w:val="22"/>
                <w:szCs w:val="22"/>
              </w:rPr>
              <w:t>539</w:t>
            </w:r>
          </w:p>
        </w:tc>
      </w:tr>
      <w:tr w:rsidR="00BF56DE" w14:paraId="56ADCDC0"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670CE4BA" w14:textId="77777777" w:rsidR="00BF56DE" w:rsidRPr="004632E8" w:rsidRDefault="00BF56DE" w:rsidP="00BF56DE">
            <w:pPr>
              <w:pStyle w:val="EBBodyPara"/>
            </w:pPr>
            <w:r>
              <w:rPr>
                <w:b/>
                <w:bCs w:val="0"/>
              </w:rPr>
              <w:t>Bilge Alarm Arrangements</w:t>
            </w:r>
          </w:p>
        </w:tc>
        <w:tc>
          <w:tcPr>
            <w:tcW w:w="1418" w:type="dxa"/>
            <w:tcBorders>
              <w:top w:val="nil"/>
              <w:left w:val="nil"/>
              <w:bottom w:val="single" w:sz="4" w:space="0" w:color="auto"/>
              <w:right w:val="nil"/>
            </w:tcBorders>
            <w:shd w:val="clear" w:color="auto" w:fill="auto"/>
            <w:vAlign w:val="center"/>
          </w:tcPr>
          <w:p w14:paraId="74AFB20C" w14:textId="77777777" w:rsidR="00BF56DE" w:rsidRDefault="00BF56DE" w:rsidP="00BF56DE">
            <w:pPr>
              <w:pStyle w:val="EBBodyPara"/>
              <w:rPr>
                <w:b/>
                <w:bCs w:val="0"/>
              </w:rPr>
            </w:pPr>
            <w:r>
              <w:t>£61,000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34E6794" w14:textId="77777777" w:rsidR="00BF56DE" w:rsidRDefault="00BF56DE" w:rsidP="00BF56DE">
            <w:pPr>
              <w:pStyle w:val="EBBodyPara"/>
              <w:rPr>
                <w:b/>
                <w:bCs w:val="0"/>
              </w:rPr>
            </w:pPr>
            <w:r>
              <w:t>£636,000</w:t>
            </w:r>
          </w:p>
        </w:tc>
        <w:tc>
          <w:tcPr>
            <w:tcW w:w="1559" w:type="dxa"/>
            <w:tcBorders>
              <w:top w:val="nil"/>
              <w:left w:val="nil"/>
              <w:bottom w:val="single" w:sz="4" w:space="0" w:color="auto"/>
              <w:right w:val="single" w:sz="4" w:space="0" w:color="auto"/>
            </w:tcBorders>
            <w:shd w:val="clear" w:color="auto" w:fill="auto"/>
            <w:vAlign w:val="center"/>
          </w:tcPr>
          <w:p w14:paraId="41E85DED" w14:textId="77777777" w:rsidR="00BF56DE" w:rsidRDefault="00BF56DE" w:rsidP="00BF56DE">
            <w:pPr>
              <w:pStyle w:val="EBBodyPara"/>
              <w:rPr>
                <w:b/>
                <w:bCs w:val="0"/>
              </w:rPr>
            </w:pPr>
            <w:r>
              <w:t>£1,212,000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0A6819AE" w14:textId="77777777" w:rsidR="00BF56DE" w:rsidRDefault="00BF56DE" w:rsidP="00BF56DE">
            <w:r>
              <w:rPr>
                <w:rFonts w:cs="Arial"/>
                <w:color w:val="000000"/>
                <w:sz w:val="22"/>
                <w:szCs w:val="22"/>
              </w:rPr>
              <w:t>606</w:t>
            </w:r>
          </w:p>
        </w:tc>
      </w:tr>
      <w:tr w:rsidR="00BF56DE" w14:paraId="3735B37C"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64BB18A9" w14:textId="77777777" w:rsidR="00BF56DE" w:rsidRPr="004632E8" w:rsidRDefault="00BF56DE" w:rsidP="00BF56DE">
            <w:pPr>
              <w:pStyle w:val="EBBodyPara"/>
            </w:pPr>
            <w:r>
              <w:rPr>
                <w:b/>
                <w:bCs w:val="0"/>
              </w:rPr>
              <w:t>Post Damage Survivability</w:t>
            </w:r>
          </w:p>
        </w:tc>
        <w:tc>
          <w:tcPr>
            <w:tcW w:w="1418" w:type="dxa"/>
            <w:tcBorders>
              <w:top w:val="nil"/>
              <w:left w:val="nil"/>
              <w:bottom w:val="single" w:sz="4" w:space="0" w:color="auto"/>
              <w:right w:val="nil"/>
            </w:tcBorders>
            <w:shd w:val="clear" w:color="auto" w:fill="auto"/>
            <w:vAlign w:val="center"/>
          </w:tcPr>
          <w:p w14:paraId="78AE0A65" w14:textId="77777777" w:rsidR="00BF56DE" w:rsidRDefault="00BF56DE" w:rsidP="00BF56DE">
            <w:pPr>
              <w:pStyle w:val="EBBodyPara"/>
            </w:pPr>
            <w:r>
              <w:t>£1,624,000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47D1C053" w14:textId="77777777" w:rsidR="00BF56DE" w:rsidRDefault="00BF56DE" w:rsidP="00BF56DE">
            <w:pPr>
              <w:pStyle w:val="EBBodyPara"/>
            </w:pPr>
            <w:r>
              <w:t>£2,527,000</w:t>
            </w:r>
          </w:p>
        </w:tc>
        <w:tc>
          <w:tcPr>
            <w:tcW w:w="1559" w:type="dxa"/>
            <w:tcBorders>
              <w:top w:val="nil"/>
              <w:left w:val="nil"/>
              <w:bottom w:val="single" w:sz="4" w:space="0" w:color="auto"/>
              <w:right w:val="single" w:sz="4" w:space="0" w:color="auto"/>
            </w:tcBorders>
            <w:shd w:val="clear" w:color="auto" w:fill="auto"/>
            <w:vAlign w:val="center"/>
          </w:tcPr>
          <w:p w14:paraId="54CBFEE7" w14:textId="77777777" w:rsidR="00BF56DE" w:rsidRDefault="00BF56DE" w:rsidP="00BF56DE">
            <w:pPr>
              <w:pStyle w:val="EBBodyPara"/>
            </w:pPr>
            <w:r>
              <w:t>£3,045,000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30FEBA16" w14:textId="77777777" w:rsidR="00BF56DE" w:rsidRDefault="00BF56DE" w:rsidP="00BF56DE">
            <w:r>
              <w:rPr>
                <w:rFonts w:cs="Arial"/>
                <w:color w:val="000000"/>
                <w:sz w:val="22"/>
                <w:szCs w:val="22"/>
              </w:rPr>
              <w:t>204</w:t>
            </w:r>
          </w:p>
        </w:tc>
      </w:tr>
      <w:tr w:rsidR="00BF56DE" w14:paraId="10648317"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2337F8E" w14:textId="77777777" w:rsidR="00BF56DE" w:rsidRPr="004632E8" w:rsidRDefault="00BF56DE" w:rsidP="00BF56DE">
            <w:pPr>
              <w:pStyle w:val="EBBodyPara"/>
            </w:pPr>
            <w:r>
              <w:rPr>
                <w:b/>
                <w:bCs w:val="0"/>
              </w:rPr>
              <w:t>Familiarisation Cost</w:t>
            </w:r>
          </w:p>
        </w:tc>
        <w:tc>
          <w:tcPr>
            <w:tcW w:w="1418" w:type="dxa"/>
            <w:tcBorders>
              <w:top w:val="nil"/>
              <w:left w:val="nil"/>
              <w:bottom w:val="single" w:sz="4" w:space="0" w:color="auto"/>
              <w:right w:val="nil"/>
            </w:tcBorders>
            <w:shd w:val="clear" w:color="auto" w:fill="auto"/>
            <w:vAlign w:val="center"/>
          </w:tcPr>
          <w:p w14:paraId="2CB12675" w14:textId="77777777" w:rsidR="00BF56DE" w:rsidRDefault="00BF56DE" w:rsidP="00BF56DE">
            <w:pPr>
              <w:pStyle w:val="EBBodyPara"/>
            </w:pPr>
            <w:r>
              <w:t>£137,000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31D0F00" w14:textId="77777777" w:rsidR="00BF56DE" w:rsidRDefault="00BF56DE" w:rsidP="00BF56DE">
            <w:pPr>
              <w:pStyle w:val="EBBodyPara"/>
            </w:pPr>
            <w:r>
              <w:t>£319,000</w:t>
            </w:r>
          </w:p>
        </w:tc>
        <w:tc>
          <w:tcPr>
            <w:tcW w:w="1559" w:type="dxa"/>
            <w:tcBorders>
              <w:top w:val="nil"/>
              <w:left w:val="nil"/>
              <w:bottom w:val="single" w:sz="4" w:space="0" w:color="auto"/>
              <w:right w:val="single" w:sz="4" w:space="0" w:color="auto"/>
            </w:tcBorders>
            <w:shd w:val="clear" w:color="auto" w:fill="auto"/>
            <w:vAlign w:val="center"/>
          </w:tcPr>
          <w:p w14:paraId="2CD54B31" w14:textId="77777777" w:rsidR="00BF56DE" w:rsidRDefault="00BF56DE" w:rsidP="00BF56DE">
            <w:pPr>
              <w:pStyle w:val="EBBodyPara"/>
            </w:pPr>
            <w:r>
              <w:t>£651,000</w:t>
            </w:r>
          </w:p>
        </w:tc>
        <w:tc>
          <w:tcPr>
            <w:tcW w:w="1418" w:type="dxa"/>
            <w:vAlign w:val="bottom"/>
          </w:tcPr>
          <w:p w14:paraId="0DB268A0" w14:textId="77777777" w:rsidR="00BF56DE" w:rsidRDefault="00BF56DE" w:rsidP="00BF56DE">
            <w:r>
              <w:rPr>
                <w:rFonts w:cs="Arial"/>
                <w:color w:val="000000"/>
                <w:sz w:val="22"/>
                <w:szCs w:val="22"/>
              </w:rPr>
              <w:t xml:space="preserve">See </w:t>
            </w:r>
            <w:r>
              <w:rPr>
                <w:rFonts w:cs="Arial"/>
                <w:color w:val="000000"/>
                <w:sz w:val="22"/>
                <w:szCs w:val="22"/>
                <w:highlight w:val="yellow"/>
              </w:rPr>
              <w:fldChar w:fldCharType="begin"/>
            </w:r>
            <w:r>
              <w:rPr>
                <w:rFonts w:cs="Arial"/>
                <w:color w:val="000000"/>
                <w:sz w:val="22"/>
                <w:szCs w:val="22"/>
              </w:rPr>
              <w:instrText xml:space="preserve"> REF _Ref513657379 \r \h </w:instrText>
            </w:r>
            <w:r>
              <w:rPr>
                <w:rFonts w:cs="Arial"/>
                <w:color w:val="000000"/>
                <w:sz w:val="22"/>
                <w:szCs w:val="22"/>
                <w:highlight w:val="yellow"/>
              </w:rPr>
            </w:r>
            <w:r>
              <w:rPr>
                <w:rFonts w:cs="Arial"/>
                <w:color w:val="000000"/>
                <w:sz w:val="22"/>
                <w:szCs w:val="22"/>
                <w:highlight w:val="yellow"/>
              </w:rPr>
              <w:fldChar w:fldCharType="separate"/>
            </w:r>
            <w:r w:rsidR="00742166">
              <w:rPr>
                <w:rFonts w:cs="Arial"/>
                <w:color w:val="000000"/>
                <w:sz w:val="22"/>
                <w:szCs w:val="22"/>
              </w:rPr>
              <w:t>10.2.11</w:t>
            </w:r>
            <w:r>
              <w:rPr>
                <w:rFonts w:cs="Arial"/>
                <w:color w:val="000000"/>
                <w:sz w:val="22"/>
                <w:szCs w:val="22"/>
                <w:highlight w:val="yellow"/>
              </w:rPr>
              <w:fldChar w:fldCharType="end"/>
            </w:r>
          </w:p>
        </w:tc>
      </w:tr>
      <w:tr w:rsidR="00BF56DE" w14:paraId="4415104A" w14:textId="77777777" w:rsidTr="009C681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B05CF56" w14:textId="77777777" w:rsidR="00BF56DE" w:rsidRPr="004632E8" w:rsidRDefault="00BF56DE" w:rsidP="00BF56DE">
            <w:pPr>
              <w:pStyle w:val="EBBodyPara"/>
            </w:pPr>
            <w:r>
              <w:rPr>
                <w:b/>
                <w:bCs w:val="0"/>
              </w:rPr>
              <w:t>NPV</w:t>
            </w:r>
          </w:p>
        </w:tc>
        <w:tc>
          <w:tcPr>
            <w:tcW w:w="1418" w:type="dxa"/>
            <w:tcBorders>
              <w:top w:val="nil"/>
              <w:left w:val="nil"/>
              <w:bottom w:val="single" w:sz="4" w:space="0" w:color="auto"/>
              <w:right w:val="nil"/>
            </w:tcBorders>
            <w:shd w:val="clear" w:color="auto" w:fill="auto"/>
            <w:vAlign w:val="center"/>
          </w:tcPr>
          <w:p w14:paraId="28F0091C" w14:textId="77777777" w:rsidR="00BF56DE" w:rsidRDefault="00BF56DE" w:rsidP="00BF56DE">
            <w:pPr>
              <w:pStyle w:val="EBBodyPara"/>
            </w:pPr>
            <w:r>
              <w:t>£111,000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B9A3C2F" w14:textId="77777777" w:rsidR="00BF56DE" w:rsidRDefault="00BF56DE" w:rsidP="00BF56DE">
            <w:pPr>
              <w:pStyle w:val="EBBodyPara"/>
            </w:pPr>
            <w:r>
              <w:t>-£5,559,000</w:t>
            </w:r>
          </w:p>
        </w:tc>
        <w:tc>
          <w:tcPr>
            <w:tcW w:w="1559" w:type="dxa"/>
            <w:tcBorders>
              <w:top w:val="nil"/>
              <w:left w:val="nil"/>
              <w:bottom w:val="single" w:sz="4" w:space="0" w:color="auto"/>
              <w:right w:val="single" w:sz="4" w:space="0" w:color="auto"/>
            </w:tcBorders>
            <w:shd w:val="clear" w:color="auto" w:fill="auto"/>
            <w:vAlign w:val="center"/>
          </w:tcPr>
          <w:p w14:paraId="070395B8" w14:textId="77777777" w:rsidR="00BF56DE" w:rsidRDefault="00BF56DE" w:rsidP="00BF56DE">
            <w:pPr>
              <w:pStyle w:val="EBBodyPara"/>
            </w:pPr>
            <w:r>
              <w:t>-£11,204,000</w:t>
            </w:r>
          </w:p>
        </w:tc>
        <w:tc>
          <w:tcPr>
            <w:tcW w:w="1418" w:type="dxa"/>
            <w:vAlign w:val="bottom"/>
          </w:tcPr>
          <w:p w14:paraId="2F9361A0" w14:textId="77777777" w:rsidR="00BF56DE" w:rsidRDefault="00BF56DE" w:rsidP="00BF56DE">
            <w:r>
              <w:rPr>
                <w:rFonts w:cs="Arial"/>
                <w:color w:val="000000"/>
                <w:sz w:val="22"/>
                <w:szCs w:val="22"/>
              </w:rPr>
              <w:t> </w:t>
            </w:r>
          </w:p>
        </w:tc>
      </w:tr>
    </w:tbl>
    <w:p w14:paraId="771EC690" w14:textId="77777777" w:rsidR="004632E8" w:rsidRDefault="004632E8" w:rsidP="004632E8">
      <w:pPr>
        <w:pStyle w:val="EBBodyPara"/>
      </w:pPr>
    </w:p>
    <w:p w14:paraId="72B480CA" w14:textId="44C3B503" w:rsidR="004632E8" w:rsidRPr="009745ED" w:rsidRDefault="004632E8" w:rsidP="004632E8">
      <w:pPr>
        <w:pStyle w:val="EBBodyPara"/>
      </w:pPr>
      <w:r w:rsidRPr="00A61133">
        <w:t xml:space="preserve">The total EANDCB in the (preferred) central scenario is </w:t>
      </w:r>
      <w:r w:rsidR="003D225D">
        <w:t>£1.1</w:t>
      </w:r>
      <w:r w:rsidR="002D4C99" w:rsidRPr="001C4744">
        <w:t>m</w:t>
      </w:r>
      <w:r w:rsidR="003D225D">
        <w:t xml:space="preserve"> (2016 prices, 2017 present value) </w:t>
      </w:r>
      <w:r w:rsidRPr="00B37A4D">
        <w:t>combinin</w:t>
      </w:r>
      <w:r w:rsidR="001C4744">
        <w:t xml:space="preserve">g all the costs detailed above. </w:t>
      </w:r>
      <w:r w:rsidRPr="00A61133">
        <w:t xml:space="preserve">The total </w:t>
      </w:r>
      <w:r w:rsidRPr="00B37A4D">
        <w:t>NPV</w:t>
      </w:r>
      <w:r w:rsidR="002C3D3E">
        <w:t xml:space="preserve"> is</w:t>
      </w:r>
      <w:r w:rsidRPr="00B37A4D">
        <w:t xml:space="preserve"> </w:t>
      </w:r>
      <w:r w:rsidR="009745ED">
        <w:t>-£</w:t>
      </w:r>
      <w:r w:rsidR="00FD5B91" w:rsidRPr="00FD5B91">
        <w:t>5.6</w:t>
      </w:r>
      <w:r w:rsidRPr="00FD5B91">
        <w:t>m</w:t>
      </w:r>
      <w:r w:rsidR="00FD5B91">
        <w:t xml:space="preserve"> in the central case </w:t>
      </w:r>
      <w:r w:rsidR="00FD5B91" w:rsidRPr="00FD5B91">
        <w:t xml:space="preserve">with </w:t>
      </w:r>
      <w:r w:rsidRPr="00FD5B91">
        <w:t>£</w:t>
      </w:r>
      <w:r w:rsidR="00FD5B91" w:rsidRPr="00FD5B91">
        <w:t>0.1</w:t>
      </w:r>
      <w:r w:rsidRPr="00FD5B91">
        <w:t>m and -£</w:t>
      </w:r>
      <w:r w:rsidR="00FD5B91" w:rsidRPr="00FD5B91">
        <w:t>11.2</w:t>
      </w:r>
      <w:r w:rsidRPr="00FD5B91">
        <w:t>m in the</w:t>
      </w:r>
      <w:r w:rsidRPr="00B37A4D">
        <w:t xml:space="preserve"> low and</w:t>
      </w:r>
      <w:r w:rsidRPr="00A61133">
        <w:t xml:space="preserve"> high cases.</w:t>
      </w:r>
      <w:r w:rsidR="009745ED">
        <w:t xml:space="preserve"> See below for a d</w:t>
      </w:r>
      <w:r w:rsidR="002C3223">
        <w:t>etailed explanation of each impact</w:t>
      </w:r>
      <w:r w:rsidR="009745ED">
        <w:t>.</w:t>
      </w:r>
    </w:p>
    <w:p w14:paraId="11BDB69A" w14:textId="77777777" w:rsidR="00C4288E" w:rsidRPr="00C4288E" w:rsidRDefault="0002422E" w:rsidP="00C4288E">
      <w:pPr>
        <w:pStyle w:val="Heading3"/>
      </w:pPr>
      <w:bookmarkStart w:id="20" w:name="_Ref512603682"/>
      <w:r>
        <w:lastRenderedPageBreak/>
        <w:t>Calculations of the monetised and non-monetised impacts</w:t>
      </w:r>
      <w:bookmarkEnd w:id="20"/>
      <w:r>
        <w:t xml:space="preserve"> </w:t>
      </w:r>
    </w:p>
    <w:p w14:paraId="3612F71B" w14:textId="77777777" w:rsidR="00C4288E" w:rsidRPr="00C4288E" w:rsidRDefault="00C4288E" w:rsidP="00C4288E">
      <w:pPr>
        <w:pStyle w:val="Heading4"/>
      </w:pPr>
      <w:r w:rsidRPr="00C4288E">
        <w:t>Lifesaving appliances – Liferafts</w:t>
      </w:r>
    </w:p>
    <w:p w14:paraId="109E9363" w14:textId="77777777" w:rsidR="00C4288E" w:rsidRPr="00C4288E" w:rsidRDefault="00C4288E" w:rsidP="00C4288E">
      <w:pPr>
        <w:keepNext/>
        <w:spacing w:after="120" w:line="259" w:lineRule="auto"/>
        <w:rPr>
          <w:rFonts w:cs="Arial"/>
          <w:bCs/>
          <w:color w:val="000000"/>
          <w:sz w:val="22"/>
          <w:szCs w:val="22"/>
          <w:lang w:eastAsia="en-GB"/>
        </w:rPr>
      </w:pPr>
      <w:r w:rsidRPr="00C4288E">
        <w:rPr>
          <w:rFonts w:cs="Arial"/>
          <w:bCs/>
          <w:color w:val="000000"/>
          <w:sz w:val="22"/>
          <w:szCs w:val="22"/>
          <w:lang w:eastAsia="en-GB"/>
        </w:rPr>
        <w:t xml:space="preserve">Current requirements allow certain vessels to carry liferafts for fewer than 100% of the persons on board (as little as 60% of the persons on-board) and for the remaining capacity to be made up with buoyant apparatus. </w:t>
      </w:r>
      <w:r w:rsidR="00257551">
        <w:rPr>
          <w:rFonts w:cs="Arial"/>
          <w:bCs/>
          <w:color w:val="000000"/>
          <w:sz w:val="22"/>
          <w:szCs w:val="22"/>
          <w:lang w:eastAsia="en-GB"/>
        </w:rPr>
        <w:t xml:space="preserve">As a </w:t>
      </w:r>
      <w:r w:rsidR="006952FC">
        <w:rPr>
          <w:rFonts w:cs="Arial"/>
          <w:bCs/>
          <w:color w:val="000000"/>
          <w:sz w:val="22"/>
          <w:szCs w:val="22"/>
          <w:lang w:eastAsia="en-GB"/>
        </w:rPr>
        <w:t>result,</w:t>
      </w:r>
      <w:r w:rsidRPr="00C4288E">
        <w:rPr>
          <w:rFonts w:cs="Arial"/>
          <w:bCs/>
          <w:color w:val="000000"/>
          <w:sz w:val="22"/>
          <w:szCs w:val="22"/>
          <w:lang w:eastAsia="en-GB"/>
        </w:rPr>
        <w:t xml:space="preserve"> in the event of an evacuation up to 40% of persons on board may need to enter the water. </w:t>
      </w:r>
    </w:p>
    <w:p w14:paraId="2E8908DE" w14:textId="77777777" w:rsidR="00C4288E" w:rsidRPr="00C4288E" w:rsidRDefault="00574050" w:rsidP="00C4288E">
      <w:pPr>
        <w:keepNext/>
        <w:spacing w:after="120" w:line="259" w:lineRule="auto"/>
        <w:rPr>
          <w:rFonts w:cs="Arial"/>
          <w:bCs/>
          <w:color w:val="000000"/>
          <w:sz w:val="22"/>
          <w:szCs w:val="22"/>
          <w:lang w:eastAsia="en-GB"/>
        </w:rPr>
      </w:pPr>
      <w:r>
        <w:rPr>
          <w:rFonts w:cs="Arial"/>
          <w:bCs/>
          <w:color w:val="000000"/>
          <w:sz w:val="22"/>
          <w:szCs w:val="22"/>
          <w:lang w:eastAsia="en-GB"/>
        </w:rPr>
        <w:t>We are proposing</w:t>
      </w:r>
      <w:r w:rsidR="00C4288E" w:rsidRPr="00C4288E">
        <w:rPr>
          <w:rFonts w:cs="Arial"/>
          <w:bCs/>
          <w:color w:val="000000"/>
          <w:sz w:val="22"/>
          <w:szCs w:val="22"/>
          <w:lang w:eastAsia="en-GB"/>
        </w:rPr>
        <w:t xml:space="preserve"> to address this by ensuring that all seagoing vessels and vessels on Category C and D waters are required to fit liferafts to accommodate 100% of the persons on board. This allow</w:t>
      </w:r>
      <w:r w:rsidR="006C66C8">
        <w:rPr>
          <w:rFonts w:cs="Arial"/>
          <w:bCs/>
          <w:color w:val="000000"/>
          <w:sz w:val="22"/>
          <w:szCs w:val="22"/>
          <w:lang w:eastAsia="en-GB"/>
        </w:rPr>
        <w:t>s</w:t>
      </w:r>
      <w:r w:rsidR="00C4288E" w:rsidRPr="00C4288E">
        <w:rPr>
          <w:rFonts w:cs="Arial"/>
          <w:bCs/>
          <w:color w:val="000000"/>
          <w:sz w:val="22"/>
          <w:szCs w:val="22"/>
          <w:lang w:eastAsia="en-GB"/>
        </w:rPr>
        <w:t xml:space="preserve"> for the evacuation of all pers</w:t>
      </w:r>
      <w:r w:rsidR="00A54BB3">
        <w:rPr>
          <w:rFonts w:cs="Arial"/>
          <w:bCs/>
          <w:color w:val="000000"/>
          <w:sz w:val="22"/>
          <w:szCs w:val="22"/>
          <w:lang w:eastAsia="en-GB"/>
        </w:rPr>
        <w:t xml:space="preserve">ons on board into liferafts </w:t>
      </w:r>
      <w:r w:rsidR="00C4288E" w:rsidRPr="00C4288E">
        <w:rPr>
          <w:rFonts w:cs="Arial"/>
          <w:bCs/>
          <w:color w:val="000000"/>
          <w:sz w:val="22"/>
          <w:szCs w:val="22"/>
          <w:lang w:eastAsia="en-GB"/>
        </w:rPr>
        <w:t>without the need to enter the water.</w:t>
      </w:r>
    </w:p>
    <w:p w14:paraId="5A260690" w14:textId="77777777" w:rsidR="00C4288E" w:rsidRPr="00C4288E" w:rsidRDefault="00C4288E" w:rsidP="00C4288E">
      <w:pPr>
        <w:keepNext/>
        <w:numPr>
          <w:ilvl w:val="3"/>
          <w:numId w:val="25"/>
        </w:numPr>
        <w:spacing w:before="240" w:after="120"/>
        <w:ind w:left="1077" w:hanging="1077"/>
        <w:outlineLvl w:val="4"/>
        <w:rPr>
          <w:bCs/>
          <w:i/>
          <w:iCs/>
          <w:sz w:val="22"/>
          <w:szCs w:val="26"/>
          <w:lang w:eastAsia="en-GB"/>
        </w:rPr>
      </w:pPr>
      <w:bookmarkStart w:id="21" w:name="_Ref518990559"/>
      <w:r w:rsidRPr="00C4288E">
        <w:rPr>
          <w:bCs/>
          <w:i/>
          <w:iCs/>
          <w:sz w:val="22"/>
          <w:szCs w:val="26"/>
          <w:lang w:eastAsia="en-GB"/>
        </w:rPr>
        <w:t>Monetised costs</w:t>
      </w:r>
      <w:bookmarkEnd w:id="21"/>
    </w:p>
    <w:p w14:paraId="7FD69AF3" w14:textId="77777777" w:rsidR="00C4288E" w:rsidRPr="00C4288E" w:rsidRDefault="00C4288E" w:rsidP="00C4288E">
      <w:pPr>
        <w:spacing w:after="120" w:line="259" w:lineRule="auto"/>
        <w:rPr>
          <w:rFonts w:cs="Arial"/>
          <w:bCs/>
          <w:color w:val="000000"/>
          <w:sz w:val="22"/>
          <w:szCs w:val="22"/>
          <w:lang w:eastAsia="en-GB"/>
        </w:rPr>
      </w:pPr>
      <w:r w:rsidRPr="00C4288E">
        <w:rPr>
          <w:rFonts w:cs="Arial"/>
          <w:bCs/>
          <w:color w:val="000000"/>
          <w:sz w:val="22"/>
          <w:szCs w:val="22"/>
          <w:lang w:eastAsia="en-GB"/>
        </w:rPr>
        <w:t>Based on a review of MCA</w:t>
      </w:r>
      <w:r w:rsidR="00882308">
        <w:rPr>
          <w:rFonts w:cs="Arial"/>
          <w:bCs/>
          <w:color w:val="000000"/>
          <w:sz w:val="22"/>
          <w:szCs w:val="22"/>
          <w:lang w:eastAsia="en-GB"/>
        </w:rPr>
        <w:t xml:space="preserve"> databases and certification records</w:t>
      </w:r>
      <w:r w:rsidRPr="00C4288E">
        <w:rPr>
          <w:rFonts w:cs="Arial"/>
          <w:bCs/>
          <w:color w:val="000000"/>
          <w:sz w:val="22"/>
          <w:szCs w:val="22"/>
          <w:lang w:eastAsia="en-GB"/>
        </w:rPr>
        <w:t>, we estimate 285 ships would require additional liferaft provision. The number of liferafts needed per vessel is dependent on:</w:t>
      </w:r>
    </w:p>
    <w:p w14:paraId="670357E8" w14:textId="77777777" w:rsidR="00C4288E" w:rsidRPr="00C4288E" w:rsidRDefault="00CB72F5" w:rsidP="00C4288E">
      <w:pPr>
        <w:numPr>
          <w:ilvl w:val="0"/>
          <w:numId w:val="31"/>
        </w:numPr>
        <w:spacing w:after="120" w:line="259" w:lineRule="auto"/>
        <w:rPr>
          <w:rFonts w:cs="Arial"/>
          <w:bCs/>
          <w:color w:val="000000"/>
          <w:sz w:val="22"/>
          <w:szCs w:val="22"/>
          <w:lang w:eastAsia="en-GB"/>
        </w:rPr>
      </w:pPr>
      <w:r>
        <w:rPr>
          <w:rFonts w:cs="Arial"/>
          <w:bCs/>
          <w:color w:val="000000"/>
          <w:sz w:val="22"/>
          <w:szCs w:val="22"/>
          <w:lang w:eastAsia="en-GB"/>
        </w:rPr>
        <w:t>E</w:t>
      </w:r>
      <w:r w:rsidR="00C4288E" w:rsidRPr="00C4288E">
        <w:rPr>
          <w:rFonts w:cs="Arial"/>
          <w:bCs/>
          <w:color w:val="000000"/>
          <w:sz w:val="22"/>
          <w:szCs w:val="22"/>
          <w:lang w:eastAsia="en-GB"/>
        </w:rPr>
        <w:t>xisting liferaft provision (estimated using the current applicable requirement for each vessel); and</w:t>
      </w:r>
    </w:p>
    <w:p w14:paraId="06505466" w14:textId="77777777" w:rsidR="00C4288E" w:rsidRPr="00C4288E" w:rsidRDefault="00CB72F5" w:rsidP="00C4288E">
      <w:pPr>
        <w:numPr>
          <w:ilvl w:val="0"/>
          <w:numId w:val="31"/>
        </w:numPr>
        <w:spacing w:after="120" w:line="259" w:lineRule="auto"/>
        <w:rPr>
          <w:rFonts w:cs="Arial"/>
          <w:bCs/>
          <w:color w:val="000000"/>
          <w:sz w:val="22"/>
          <w:szCs w:val="22"/>
          <w:lang w:eastAsia="en-GB"/>
        </w:rPr>
      </w:pPr>
      <w:r w:rsidRPr="00C4288E">
        <w:rPr>
          <w:rFonts w:cs="Arial"/>
          <w:bCs/>
          <w:color w:val="000000"/>
          <w:sz w:val="22"/>
          <w:szCs w:val="22"/>
          <w:lang w:eastAsia="en-GB"/>
        </w:rPr>
        <w:t>Passenger</w:t>
      </w:r>
      <w:r w:rsidR="00C4288E" w:rsidRPr="00C4288E">
        <w:rPr>
          <w:rFonts w:cs="Arial"/>
          <w:bCs/>
          <w:color w:val="000000"/>
          <w:sz w:val="22"/>
          <w:szCs w:val="22"/>
          <w:lang w:eastAsia="en-GB"/>
        </w:rPr>
        <w:t xml:space="preserve"> carrying capacity (taken from administrative records). </w:t>
      </w:r>
    </w:p>
    <w:p w14:paraId="52C27CDC" w14:textId="77777777" w:rsidR="00C4288E" w:rsidRPr="00C4288E" w:rsidRDefault="00C4288E" w:rsidP="00C4288E">
      <w:pPr>
        <w:spacing w:after="120" w:line="259" w:lineRule="auto"/>
        <w:rPr>
          <w:rFonts w:cs="Arial"/>
          <w:bCs/>
          <w:color w:val="000000"/>
          <w:sz w:val="22"/>
          <w:szCs w:val="22"/>
          <w:lang w:eastAsia="en-GB"/>
        </w:rPr>
      </w:pPr>
      <w:r w:rsidRPr="00C4288E">
        <w:rPr>
          <w:rFonts w:cs="Arial"/>
          <w:bCs/>
          <w:color w:val="000000"/>
          <w:sz w:val="22"/>
          <w:szCs w:val="22"/>
          <w:lang w:eastAsia="en-GB"/>
        </w:rPr>
        <w:t>Using this data, we have been able to estimate the maximum additional liferaft capacity needed.</w:t>
      </w:r>
    </w:p>
    <w:p w14:paraId="5B6D9B03" w14:textId="1E3D02B5" w:rsidR="00C4288E" w:rsidRDefault="00C4288E" w:rsidP="00231363">
      <w:pPr>
        <w:spacing w:after="120" w:line="259" w:lineRule="auto"/>
        <w:rPr>
          <w:rFonts w:cs="Arial"/>
          <w:bCs/>
          <w:color w:val="000000"/>
          <w:sz w:val="22"/>
          <w:szCs w:val="22"/>
          <w:lang w:eastAsia="en-GB"/>
        </w:rPr>
      </w:pPr>
      <w:r w:rsidRPr="00C4288E">
        <w:rPr>
          <w:rFonts w:cs="Arial"/>
          <w:bCs/>
          <w:color w:val="000000"/>
          <w:sz w:val="22"/>
          <w:szCs w:val="22"/>
          <w:lang w:eastAsia="en-GB"/>
        </w:rPr>
        <w:t xml:space="preserve">The combination of liferafts purchased to meet the necessary carrying capacity will be dependent on the preferences of the vessel owner. However, we have assumed that each vessel owner would prefer the option that takes up the least amount of space, with cost taking a secondary priority. </w:t>
      </w:r>
      <w:r w:rsidR="00472DED" w:rsidRPr="00C4288E">
        <w:rPr>
          <w:rFonts w:cs="Arial"/>
          <w:bCs/>
          <w:color w:val="000000"/>
          <w:sz w:val="22"/>
          <w:szCs w:val="22"/>
          <w:lang w:eastAsia="en-GB"/>
        </w:rPr>
        <w:t>For example, whilst it may be cheaper to go for two liferafts carrying 50 passengers each, a 100-person liferaft would take up less space, therefore we assume in the analysis that a vessel owner would prefer the 100 person liferaft.</w:t>
      </w:r>
      <w:r w:rsidR="00472DED">
        <w:rPr>
          <w:rFonts w:cs="Arial"/>
          <w:bCs/>
          <w:color w:val="000000"/>
          <w:sz w:val="22"/>
          <w:szCs w:val="22"/>
          <w:lang w:eastAsia="en-GB"/>
        </w:rPr>
        <w:t xml:space="preserve"> </w:t>
      </w:r>
      <w:r w:rsidRPr="00C4288E">
        <w:rPr>
          <w:rFonts w:cs="Arial"/>
          <w:bCs/>
          <w:color w:val="000000"/>
          <w:sz w:val="22"/>
          <w:szCs w:val="22"/>
          <w:lang w:eastAsia="en-GB"/>
        </w:rPr>
        <w:t>Using prices quoted by retailers, the following cost assumptions have been used in the analysis:</w:t>
      </w:r>
    </w:p>
    <w:p w14:paraId="7CC4AA2D" w14:textId="77777777" w:rsidR="00231363" w:rsidRPr="00C4288E" w:rsidRDefault="00231363" w:rsidP="00231363">
      <w:pPr>
        <w:spacing w:after="120" w:line="259" w:lineRule="auto"/>
        <w:rPr>
          <w:rFonts w:cs="Arial"/>
          <w:bCs/>
          <w:color w:val="000000"/>
          <w:sz w:val="22"/>
          <w:szCs w:val="22"/>
          <w:lang w:eastAsia="en-GB"/>
        </w:rPr>
      </w:pPr>
    </w:p>
    <w:tbl>
      <w:tblPr>
        <w:tblStyle w:val="PlainTable2"/>
        <w:tblW w:w="4962" w:type="dxa"/>
        <w:jc w:val="center"/>
        <w:tblLook w:val="0620" w:firstRow="1" w:lastRow="0" w:firstColumn="0" w:lastColumn="0" w:noHBand="1" w:noVBand="1"/>
      </w:tblPr>
      <w:tblGrid>
        <w:gridCol w:w="2977"/>
        <w:gridCol w:w="1985"/>
      </w:tblGrid>
      <w:tr w:rsidR="00BC54C1" w:rsidRPr="00C4288E" w14:paraId="430CBCA6" w14:textId="77777777" w:rsidTr="00495F9C">
        <w:trPr>
          <w:cnfStyle w:val="100000000000" w:firstRow="1" w:lastRow="0" w:firstColumn="0" w:lastColumn="0" w:oddVBand="0" w:evenVBand="0" w:oddHBand="0" w:evenHBand="0" w:firstRowFirstColumn="0" w:firstRowLastColumn="0" w:lastRowFirstColumn="0" w:lastRowLastColumn="0"/>
          <w:trHeight w:val="300"/>
          <w:jc w:val="center"/>
        </w:trPr>
        <w:tc>
          <w:tcPr>
            <w:tcW w:w="4962" w:type="dxa"/>
            <w:gridSpan w:val="2"/>
            <w:tcBorders>
              <w:top w:val="nil"/>
            </w:tcBorders>
            <w:noWrap/>
          </w:tcPr>
          <w:p w14:paraId="16E0A453" w14:textId="77777777" w:rsidR="00BC54C1" w:rsidRPr="00BC54C1" w:rsidRDefault="00BC54C1" w:rsidP="00C4288E">
            <w:pPr>
              <w:spacing w:before="40" w:after="40"/>
              <w:rPr>
                <w:rFonts w:cs="Arial"/>
                <w:b w:val="0"/>
                <w:i/>
                <w:color w:val="000000"/>
                <w:sz w:val="22"/>
                <w:szCs w:val="22"/>
                <w:lang w:eastAsia="en-GB"/>
              </w:rPr>
            </w:pPr>
            <w:r w:rsidRPr="00D3313F">
              <w:rPr>
                <w:rFonts w:cs="Arial"/>
                <w:b w:val="0"/>
                <w:i/>
                <w:color w:val="000000"/>
                <w:sz w:val="22"/>
                <w:szCs w:val="22"/>
                <w:lang w:eastAsia="en-GB"/>
              </w:rPr>
              <w:t>Table 3</w:t>
            </w:r>
            <w:r w:rsidRPr="00BC54C1">
              <w:rPr>
                <w:rFonts w:cs="Arial"/>
                <w:b w:val="0"/>
                <w:i/>
                <w:color w:val="000000"/>
                <w:sz w:val="22"/>
                <w:szCs w:val="22"/>
                <w:lang w:eastAsia="en-GB"/>
              </w:rPr>
              <w:t>:</w:t>
            </w:r>
            <w:r>
              <w:rPr>
                <w:rFonts w:cs="Arial"/>
                <w:b w:val="0"/>
                <w:i/>
                <w:color w:val="000000"/>
                <w:sz w:val="22"/>
                <w:szCs w:val="22"/>
                <w:lang w:eastAsia="en-GB"/>
              </w:rPr>
              <w:t xml:space="preserve"> Liferaft Costs</w:t>
            </w:r>
          </w:p>
        </w:tc>
      </w:tr>
      <w:tr w:rsidR="00C4288E" w:rsidRPr="00C4288E" w14:paraId="578E9754" w14:textId="77777777" w:rsidTr="009828FA">
        <w:trPr>
          <w:trHeight w:val="300"/>
          <w:jc w:val="center"/>
        </w:trPr>
        <w:tc>
          <w:tcPr>
            <w:tcW w:w="2977" w:type="dxa"/>
            <w:noWrap/>
            <w:hideMark/>
          </w:tcPr>
          <w:p w14:paraId="5AAE047E" w14:textId="77777777" w:rsidR="00C4288E" w:rsidRPr="00130045" w:rsidRDefault="00C4288E" w:rsidP="00C4288E">
            <w:pPr>
              <w:spacing w:before="40" w:after="40"/>
              <w:rPr>
                <w:rFonts w:cs="Arial"/>
                <w:b/>
                <w:color w:val="000000"/>
                <w:sz w:val="22"/>
                <w:szCs w:val="22"/>
                <w:lang w:eastAsia="en-GB"/>
              </w:rPr>
            </w:pPr>
            <w:r w:rsidRPr="00130045">
              <w:rPr>
                <w:rFonts w:cs="Arial"/>
                <w:b/>
                <w:color w:val="000000"/>
                <w:sz w:val="22"/>
                <w:szCs w:val="22"/>
                <w:lang w:eastAsia="en-GB"/>
              </w:rPr>
              <w:t>Liferaft Capacity</w:t>
            </w:r>
            <w:r w:rsidR="006C66C8" w:rsidRPr="00130045">
              <w:rPr>
                <w:rFonts w:cs="Arial"/>
                <w:b/>
                <w:color w:val="000000"/>
                <w:sz w:val="22"/>
                <w:szCs w:val="22"/>
                <w:lang w:eastAsia="en-GB"/>
              </w:rPr>
              <w:t xml:space="preserve"> (people)</w:t>
            </w:r>
          </w:p>
        </w:tc>
        <w:tc>
          <w:tcPr>
            <w:tcW w:w="1985" w:type="dxa"/>
            <w:noWrap/>
            <w:hideMark/>
          </w:tcPr>
          <w:p w14:paraId="60EF4DF5" w14:textId="77777777" w:rsidR="00C4288E" w:rsidRPr="00130045" w:rsidRDefault="00C4288E" w:rsidP="00C4288E">
            <w:pPr>
              <w:spacing w:before="40" w:after="40"/>
              <w:rPr>
                <w:rFonts w:cs="Arial"/>
                <w:b/>
                <w:color w:val="000000"/>
                <w:sz w:val="22"/>
                <w:szCs w:val="22"/>
                <w:lang w:eastAsia="en-GB"/>
              </w:rPr>
            </w:pPr>
            <w:r w:rsidRPr="00130045">
              <w:rPr>
                <w:rFonts w:cs="Arial"/>
                <w:b/>
                <w:color w:val="000000"/>
                <w:sz w:val="22"/>
                <w:szCs w:val="22"/>
                <w:lang w:eastAsia="en-GB"/>
              </w:rPr>
              <w:t>Cost</w:t>
            </w:r>
            <w:r w:rsidR="009828FA" w:rsidRPr="00130045">
              <w:rPr>
                <w:rFonts w:cs="Arial"/>
                <w:b/>
                <w:color w:val="000000"/>
                <w:sz w:val="22"/>
                <w:szCs w:val="22"/>
                <w:lang w:eastAsia="en-GB"/>
              </w:rPr>
              <w:t xml:space="preserve"> per Liferaft</w:t>
            </w:r>
          </w:p>
        </w:tc>
      </w:tr>
      <w:tr w:rsidR="00C4288E" w:rsidRPr="00C4288E" w14:paraId="76571150" w14:textId="77777777" w:rsidTr="009828FA">
        <w:trPr>
          <w:trHeight w:val="300"/>
          <w:jc w:val="center"/>
        </w:trPr>
        <w:tc>
          <w:tcPr>
            <w:tcW w:w="2977" w:type="dxa"/>
            <w:noWrap/>
            <w:hideMark/>
          </w:tcPr>
          <w:p w14:paraId="14505DDD" w14:textId="77777777" w:rsidR="00C4288E" w:rsidRPr="00C4288E" w:rsidRDefault="006C66C8" w:rsidP="006C66C8">
            <w:pPr>
              <w:spacing w:before="40" w:after="40"/>
              <w:rPr>
                <w:rFonts w:cs="Arial"/>
                <w:bCs/>
                <w:color w:val="000000"/>
                <w:sz w:val="22"/>
                <w:szCs w:val="22"/>
                <w:lang w:eastAsia="en-GB"/>
              </w:rPr>
            </w:pPr>
            <w:r>
              <w:rPr>
                <w:rFonts w:cs="Arial"/>
                <w:bCs/>
                <w:color w:val="000000"/>
                <w:sz w:val="22"/>
                <w:szCs w:val="22"/>
                <w:lang w:eastAsia="en-GB"/>
              </w:rPr>
              <w:t xml:space="preserve">25 </w:t>
            </w:r>
          </w:p>
        </w:tc>
        <w:tc>
          <w:tcPr>
            <w:tcW w:w="1985" w:type="dxa"/>
            <w:noWrap/>
            <w:hideMark/>
          </w:tcPr>
          <w:p w14:paraId="6A2DB3C9" w14:textId="77777777" w:rsidR="00C4288E" w:rsidRPr="00C4288E" w:rsidRDefault="00C4288E" w:rsidP="00C4288E">
            <w:pPr>
              <w:spacing w:before="40" w:after="40"/>
              <w:rPr>
                <w:rFonts w:cs="Arial"/>
                <w:bCs/>
                <w:color w:val="000000"/>
                <w:sz w:val="22"/>
                <w:szCs w:val="22"/>
                <w:lang w:eastAsia="en-GB"/>
              </w:rPr>
            </w:pPr>
            <w:r w:rsidRPr="00C4288E">
              <w:rPr>
                <w:rFonts w:cs="Arial"/>
                <w:bCs/>
                <w:color w:val="000000"/>
                <w:sz w:val="22"/>
                <w:szCs w:val="22"/>
                <w:lang w:eastAsia="en-GB"/>
              </w:rPr>
              <w:t>£2,000</w:t>
            </w:r>
          </w:p>
        </w:tc>
      </w:tr>
      <w:tr w:rsidR="00C4288E" w:rsidRPr="00C4288E" w14:paraId="508FFA03" w14:textId="77777777" w:rsidTr="009828FA">
        <w:trPr>
          <w:trHeight w:val="300"/>
          <w:jc w:val="center"/>
        </w:trPr>
        <w:tc>
          <w:tcPr>
            <w:tcW w:w="2977" w:type="dxa"/>
            <w:noWrap/>
            <w:hideMark/>
          </w:tcPr>
          <w:p w14:paraId="05402E77" w14:textId="77777777" w:rsidR="00C4288E" w:rsidRPr="00C4288E" w:rsidRDefault="006C66C8" w:rsidP="006C66C8">
            <w:pPr>
              <w:spacing w:before="40" w:after="40"/>
              <w:rPr>
                <w:rFonts w:cs="Arial"/>
                <w:bCs/>
                <w:color w:val="000000"/>
                <w:sz w:val="22"/>
                <w:szCs w:val="22"/>
                <w:lang w:eastAsia="en-GB"/>
              </w:rPr>
            </w:pPr>
            <w:r>
              <w:rPr>
                <w:rFonts w:cs="Arial"/>
                <w:bCs/>
                <w:color w:val="000000"/>
                <w:sz w:val="22"/>
                <w:szCs w:val="22"/>
                <w:lang w:eastAsia="en-GB"/>
              </w:rPr>
              <w:t>50</w:t>
            </w:r>
          </w:p>
        </w:tc>
        <w:tc>
          <w:tcPr>
            <w:tcW w:w="1985" w:type="dxa"/>
            <w:noWrap/>
            <w:hideMark/>
          </w:tcPr>
          <w:p w14:paraId="0A433D36" w14:textId="77777777" w:rsidR="00C4288E" w:rsidRPr="00C4288E" w:rsidRDefault="00C4288E" w:rsidP="00C4288E">
            <w:pPr>
              <w:spacing w:before="40" w:after="40"/>
              <w:rPr>
                <w:rFonts w:cs="Arial"/>
                <w:bCs/>
                <w:color w:val="000000"/>
                <w:sz w:val="22"/>
                <w:szCs w:val="22"/>
                <w:lang w:eastAsia="en-GB"/>
              </w:rPr>
            </w:pPr>
            <w:r w:rsidRPr="00C4288E">
              <w:rPr>
                <w:rFonts w:cs="Arial"/>
                <w:bCs/>
                <w:color w:val="000000"/>
                <w:sz w:val="22"/>
                <w:szCs w:val="22"/>
                <w:lang w:eastAsia="en-GB"/>
              </w:rPr>
              <w:t>£3,210</w:t>
            </w:r>
          </w:p>
        </w:tc>
      </w:tr>
      <w:tr w:rsidR="00C4288E" w:rsidRPr="00C4288E" w14:paraId="34048017" w14:textId="77777777" w:rsidTr="009828FA">
        <w:trPr>
          <w:trHeight w:val="300"/>
          <w:jc w:val="center"/>
        </w:trPr>
        <w:tc>
          <w:tcPr>
            <w:tcW w:w="2977" w:type="dxa"/>
            <w:noWrap/>
            <w:hideMark/>
          </w:tcPr>
          <w:p w14:paraId="3E77242D" w14:textId="77777777" w:rsidR="00C4288E" w:rsidRPr="00C4288E" w:rsidRDefault="006C66C8" w:rsidP="006C66C8">
            <w:pPr>
              <w:spacing w:before="40" w:after="40"/>
              <w:rPr>
                <w:rFonts w:cs="Arial"/>
                <w:bCs/>
                <w:color w:val="000000"/>
                <w:sz w:val="22"/>
                <w:szCs w:val="22"/>
                <w:lang w:eastAsia="en-GB"/>
              </w:rPr>
            </w:pPr>
            <w:r>
              <w:rPr>
                <w:rFonts w:cs="Arial"/>
                <w:bCs/>
                <w:color w:val="000000"/>
                <w:sz w:val="22"/>
                <w:szCs w:val="22"/>
                <w:lang w:eastAsia="en-GB"/>
              </w:rPr>
              <w:t>100</w:t>
            </w:r>
          </w:p>
        </w:tc>
        <w:tc>
          <w:tcPr>
            <w:tcW w:w="1985" w:type="dxa"/>
            <w:noWrap/>
            <w:hideMark/>
          </w:tcPr>
          <w:p w14:paraId="7BB39914" w14:textId="77777777" w:rsidR="00C4288E" w:rsidRPr="00C4288E" w:rsidRDefault="00C4288E" w:rsidP="00C4288E">
            <w:pPr>
              <w:spacing w:before="40" w:after="40"/>
              <w:rPr>
                <w:rFonts w:cs="Arial"/>
                <w:bCs/>
                <w:color w:val="000000"/>
                <w:sz w:val="22"/>
                <w:szCs w:val="22"/>
                <w:lang w:eastAsia="en-GB"/>
              </w:rPr>
            </w:pPr>
            <w:r w:rsidRPr="00C4288E">
              <w:rPr>
                <w:rFonts w:cs="Arial"/>
                <w:bCs/>
                <w:color w:val="000000"/>
                <w:sz w:val="22"/>
                <w:szCs w:val="22"/>
                <w:lang w:eastAsia="en-GB"/>
              </w:rPr>
              <w:t>£6,945</w:t>
            </w:r>
          </w:p>
        </w:tc>
      </w:tr>
    </w:tbl>
    <w:p w14:paraId="2BB2B485" w14:textId="77777777" w:rsidR="00C4288E" w:rsidRPr="00C4288E" w:rsidRDefault="00C4288E" w:rsidP="00C4288E">
      <w:pPr>
        <w:spacing w:after="120" w:line="259" w:lineRule="auto"/>
        <w:rPr>
          <w:rFonts w:cs="Arial"/>
          <w:bCs/>
          <w:color w:val="000000"/>
          <w:sz w:val="22"/>
          <w:szCs w:val="22"/>
          <w:lang w:eastAsia="en-GB"/>
        </w:rPr>
      </w:pPr>
    </w:p>
    <w:p w14:paraId="01C414B5" w14:textId="77777777" w:rsidR="00C4288E" w:rsidRPr="00C4288E" w:rsidRDefault="00C4288E" w:rsidP="00C4288E">
      <w:pPr>
        <w:spacing w:after="120" w:line="259" w:lineRule="auto"/>
        <w:rPr>
          <w:rFonts w:cs="Arial"/>
          <w:bCs/>
          <w:color w:val="000000"/>
          <w:sz w:val="22"/>
          <w:szCs w:val="22"/>
          <w:lang w:eastAsia="en-GB"/>
        </w:rPr>
      </w:pPr>
      <w:r w:rsidRPr="00C4288E">
        <w:rPr>
          <w:rFonts w:cs="Arial"/>
          <w:bCs/>
          <w:color w:val="000000"/>
          <w:sz w:val="22"/>
          <w:szCs w:val="22"/>
          <w:lang w:eastAsia="en-GB"/>
        </w:rPr>
        <w:t xml:space="preserve">Liferafts are </w:t>
      </w:r>
      <w:r w:rsidR="00472DED">
        <w:rPr>
          <w:rFonts w:cs="Arial"/>
          <w:bCs/>
          <w:color w:val="000000"/>
          <w:sz w:val="22"/>
          <w:szCs w:val="22"/>
          <w:lang w:eastAsia="en-GB"/>
        </w:rPr>
        <w:t xml:space="preserve">initially </w:t>
      </w:r>
      <w:r w:rsidRPr="00C4288E">
        <w:rPr>
          <w:rFonts w:cs="Arial"/>
          <w:bCs/>
          <w:color w:val="000000"/>
          <w:sz w:val="22"/>
          <w:szCs w:val="22"/>
          <w:lang w:eastAsia="en-GB"/>
        </w:rPr>
        <w:t xml:space="preserve">serviced after 12 months </w:t>
      </w:r>
      <w:r w:rsidR="00472DED">
        <w:rPr>
          <w:rFonts w:cs="Arial"/>
          <w:bCs/>
          <w:color w:val="000000"/>
          <w:sz w:val="22"/>
          <w:szCs w:val="22"/>
          <w:lang w:eastAsia="en-GB"/>
        </w:rPr>
        <w:t xml:space="preserve">and </w:t>
      </w:r>
      <w:r w:rsidRPr="00C4288E">
        <w:rPr>
          <w:rFonts w:cs="Arial"/>
          <w:bCs/>
          <w:color w:val="000000"/>
          <w:sz w:val="22"/>
          <w:szCs w:val="22"/>
          <w:lang w:eastAsia="en-GB"/>
        </w:rPr>
        <w:t>every 24 months</w:t>
      </w:r>
      <w:r w:rsidR="0094083F">
        <w:rPr>
          <w:rFonts w:cs="Arial"/>
          <w:bCs/>
          <w:color w:val="000000"/>
          <w:sz w:val="22"/>
          <w:szCs w:val="22"/>
          <w:lang w:eastAsia="en-GB"/>
        </w:rPr>
        <w:t xml:space="preserve"> thereafter</w:t>
      </w:r>
      <w:r w:rsidRPr="00C4288E">
        <w:rPr>
          <w:rFonts w:cs="Arial"/>
          <w:bCs/>
          <w:color w:val="000000"/>
          <w:sz w:val="22"/>
          <w:szCs w:val="22"/>
          <w:lang w:eastAsia="en-GB"/>
        </w:rPr>
        <w:t xml:space="preserve">. </w:t>
      </w:r>
      <w:r w:rsidR="00DD7FA6">
        <w:rPr>
          <w:rFonts w:cs="Arial"/>
          <w:bCs/>
          <w:color w:val="000000"/>
          <w:sz w:val="22"/>
          <w:szCs w:val="22"/>
          <w:lang w:eastAsia="en-GB"/>
        </w:rPr>
        <w:t>Therefore,</w:t>
      </w:r>
      <w:r w:rsidR="00B84937">
        <w:rPr>
          <w:rFonts w:cs="Arial"/>
          <w:bCs/>
          <w:color w:val="000000"/>
          <w:sz w:val="22"/>
          <w:szCs w:val="22"/>
          <w:lang w:eastAsia="en-GB"/>
        </w:rPr>
        <w:t xml:space="preserve"> over </w:t>
      </w:r>
      <w:r w:rsidR="00797E5E">
        <w:rPr>
          <w:rFonts w:cs="Arial"/>
          <w:bCs/>
          <w:color w:val="000000"/>
          <w:sz w:val="22"/>
          <w:szCs w:val="22"/>
          <w:lang w:eastAsia="en-GB"/>
        </w:rPr>
        <w:t xml:space="preserve">the </w:t>
      </w:r>
      <w:r w:rsidR="00797E5E" w:rsidRPr="00C4288E">
        <w:rPr>
          <w:rFonts w:cs="Arial"/>
          <w:bCs/>
          <w:color w:val="000000"/>
          <w:sz w:val="22"/>
          <w:szCs w:val="22"/>
          <w:lang w:eastAsia="en-GB"/>
        </w:rPr>
        <w:t>appraisal</w:t>
      </w:r>
      <w:r w:rsidRPr="00C4288E">
        <w:rPr>
          <w:rFonts w:cs="Arial"/>
          <w:bCs/>
          <w:color w:val="000000"/>
          <w:sz w:val="22"/>
          <w:szCs w:val="22"/>
          <w:lang w:eastAsia="en-GB"/>
        </w:rPr>
        <w:t xml:space="preserve"> period liferafts will be serviced five times. The average servicing cost </w:t>
      </w:r>
      <w:r w:rsidR="00FB6800">
        <w:rPr>
          <w:rFonts w:cs="Arial"/>
          <w:bCs/>
          <w:color w:val="000000"/>
          <w:sz w:val="22"/>
          <w:szCs w:val="22"/>
          <w:lang w:eastAsia="en-GB"/>
        </w:rPr>
        <w:t>using estimates</w:t>
      </w:r>
      <w:r w:rsidR="00B72094">
        <w:rPr>
          <w:rFonts w:cs="Arial"/>
          <w:bCs/>
          <w:color w:val="000000"/>
          <w:sz w:val="22"/>
          <w:szCs w:val="22"/>
          <w:lang w:eastAsia="en-GB"/>
        </w:rPr>
        <w:t xml:space="preserve"> provided to the MCA by marine suppliers </w:t>
      </w:r>
      <w:r w:rsidRPr="00C4288E">
        <w:rPr>
          <w:rFonts w:cs="Arial"/>
          <w:bCs/>
          <w:color w:val="000000"/>
          <w:sz w:val="22"/>
          <w:szCs w:val="22"/>
          <w:lang w:eastAsia="en-GB"/>
        </w:rPr>
        <w:t>is approximately £450.</w:t>
      </w:r>
    </w:p>
    <w:p w14:paraId="5A5B14AE" w14:textId="77777777" w:rsidR="00C4288E" w:rsidRPr="00C4288E" w:rsidRDefault="00C4288E" w:rsidP="00C4288E">
      <w:pPr>
        <w:spacing w:after="120" w:line="259" w:lineRule="auto"/>
        <w:rPr>
          <w:rFonts w:cs="Arial"/>
          <w:bCs/>
          <w:color w:val="000000"/>
          <w:sz w:val="22"/>
          <w:szCs w:val="22"/>
          <w:lang w:eastAsia="en-GB"/>
        </w:rPr>
      </w:pPr>
      <w:r w:rsidRPr="00C4288E">
        <w:rPr>
          <w:rFonts w:cs="Arial"/>
          <w:bCs/>
          <w:color w:val="000000"/>
          <w:sz w:val="22"/>
          <w:szCs w:val="22"/>
          <w:lang w:eastAsia="en-GB"/>
        </w:rPr>
        <w:t xml:space="preserve">In addition to the cost of buying a liferaft, buyers would need to </w:t>
      </w:r>
      <w:r w:rsidR="00B84937">
        <w:rPr>
          <w:rFonts w:cs="Arial"/>
          <w:bCs/>
          <w:color w:val="000000"/>
          <w:sz w:val="22"/>
          <w:szCs w:val="22"/>
          <w:lang w:eastAsia="en-GB"/>
        </w:rPr>
        <w:t xml:space="preserve">get a hydrostatic release unit </w:t>
      </w:r>
      <w:r w:rsidRPr="00C4288E">
        <w:rPr>
          <w:rFonts w:cs="Arial"/>
          <w:bCs/>
          <w:color w:val="000000"/>
          <w:sz w:val="22"/>
          <w:szCs w:val="22"/>
          <w:lang w:eastAsia="en-GB"/>
        </w:rPr>
        <w:t>which has been estimated as £50 per liferaft.</w:t>
      </w:r>
      <w:r w:rsidR="00B84937">
        <w:rPr>
          <w:rFonts w:cs="Arial"/>
          <w:bCs/>
          <w:color w:val="000000"/>
          <w:sz w:val="22"/>
          <w:szCs w:val="22"/>
          <w:lang w:eastAsia="en-GB"/>
        </w:rPr>
        <w:t xml:space="preserve"> </w:t>
      </w:r>
      <w:r w:rsidR="00B84937" w:rsidRPr="00C4288E">
        <w:rPr>
          <w:rFonts w:cs="Arial"/>
          <w:bCs/>
          <w:color w:val="000000"/>
          <w:sz w:val="22"/>
          <w:szCs w:val="22"/>
          <w:lang w:eastAsia="en-GB"/>
        </w:rPr>
        <w:t>A</w:t>
      </w:r>
      <w:r w:rsidR="00B84937">
        <w:rPr>
          <w:rFonts w:cs="Arial"/>
          <w:bCs/>
          <w:color w:val="000000"/>
          <w:sz w:val="22"/>
          <w:szCs w:val="22"/>
          <w:lang w:eastAsia="en-GB"/>
        </w:rPr>
        <w:t xml:space="preserve"> hydrostatic release unit is a</w:t>
      </w:r>
      <w:r w:rsidR="00B84937" w:rsidRPr="00C4288E">
        <w:rPr>
          <w:rFonts w:cs="Arial"/>
          <w:bCs/>
          <w:color w:val="000000"/>
          <w:sz w:val="22"/>
          <w:szCs w:val="22"/>
          <w:lang w:eastAsia="en-GB"/>
        </w:rPr>
        <w:t xml:space="preserve"> device which allows the automatic release of liferafts when needed</w:t>
      </w:r>
      <w:r w:rsidR="00B84937">
        <w:rPr>
          <w:rFonts w:cs="Arial"/>
          <w:bCs/>
          <w:color w:val="000000"/>
          <w:sz w:val="22"/>
          <w:szCs w:val="22"/>
          <w:lang w:eastAsia="en-GB"/>
        </w:rPr>
        <w:t>.</w:t>
      </w:r>
    </w:p>
    <w:p w14:paraId="73354881" w14:textId="77777777" w:rsidR="00C4288E" w:rsidRPr="00C4288E" w:rsidRDefault="00C4288E" w:rsidP="00C4288E">
      <w:pPr>
        <w:spacing w:after="120" w:line="259" w:lineRule="auto"/>
        <w:rPr>
          <w:rFonts w:cs="Arial"/>
          <w:bCs/>
          <w:color w:val="000000"/>
          <w:sz w:val="22"/>
          <w:szCs w:val="22"/>
          <w:lang w:eastAsia="en-GB"/>
        </w:rPr>
      </w:pPr>
      <w:r w:rsidRPr="00C4288E">
        <w:rPr>
          <w:rFonts w:cs="Arial"/>
          <w:bCs/>
          <w:color w:val="000000"/>
          <w:sz w:val="22"/>
          <w:szCs w:val="22"/>
          <w:lang w:eastAsia="en-GB"/>
        </w:rPr>
        <w:t>This total cost of liferafts is summarised as follows:</w:t>
      </w:r>
    </w:p>
    <w:tbl>
      <w:tblPr>
        <w:tblStyle w:val="PlainTable2"/>
        <w:tblW w:w="9214" w:type="dxa"/>
        <w:jc w:val="center"/>
        <w:tblLayout w:type="fixed"/>
        <w:tblLook w:val="0760" w:firstRow="1" w:lastRow="1" w:firstColumn="0" w:lastColumn="1" w:noHBand="1" w:noVBand="1"/>
      </w:tblPr>
      <w:tblGrid>
        <w:gridCol w:w="1985"/>
        <w:gridCol w:w="1984"/>
        <w:gridCol w:w="1985"/>
        <w:gridCol w:w="1843"/>
        <w:gridCol w:w="1417"/>
      </w:tblGrid>
      <w:tr w:rsidR="00130045" w:rsidRPr="00C4288E" w14:paraId="410B994E" w14:textId="77777777" w:rsidTr="00F705BB">
        <w:trPr>
          <w:cnfStyle w:val="100000000000" w:firstRow="1" w:lastRow="0" w:firstColumn="0" w:lastColumn="0" w:oddVBand="0" w:evenVBand="0" w:oddHBand="0" w:evenHBand="0" w:firstRowFirstColumn="0" w:firstRowLastColumn="0" w:lastRowFirstColumn="0" w:lastRowLastColumn="0"/>
          <w:trHeight w:val="300"/>
          <w:jc w:val="center"/>
        </w:trPr>
        <w:tc>
          <w:tcPr>
            <w:cnfStyle w:val="000100000000" w:firstRow="0" w:lastRow="0" w:firstColumn="0" w:lastColumn="1" w:oddVBand="0" w:evenVBand="0" w:oddHBand="0" w:evenHBand="0" w:firstRowFirstColumn="0" w:firstRowLastColumn="0" w:lastRowFirstColumn="0" w:lastRowLastColumn="0"/>
            <w:tcW w:w="9214" w:type="dxa"/>
            <w:gridSpan w:val="5"/>
            <w:tcBorders>
              <w:top w:val="nil"/>
              <w:bottom w:val="single" w:sz="4" w:space="0" w:color="auto"/>
            </w:tcBorders>
            <w:noWrap/>
          </w:tcPr>
          <w:p w14:paraId="5E2B5FEB" w14:textId="77777777" w:rsidR="00130045" w:rsidRPr="00546C33" w:rsidRDefault="00546C33" w:rsidP="00B84937">
            <w:pPr>
              <w:spacing w:before="40" w:after="40"/>
              <w:rPr>
                <w:rFonts w:cs="Arial"/>
                <w:b w:val="0"/>
                <w:i/>
                <w:color w:val="000000"/>
                <w:sz w:val="22"/>
                <w:szCs w:val="22"/>
                <w:lang w:eastAsia="en-GB"/>
              </w:rPr>
            </w:pPr>
            <w:r w:rsidRPr="00D3313F">
              <w:rPr>
                <w:rFonts w:cs="Arial"/>
                <w:b w:val="0"/>
                <w:i/>
                <w:color w:val="000000"/>
                <w:sz w:val="22"/>
                <w:szCs w:val="22"/>
                <w:lang w:eastAsia="en-GB"/>
              </w:rPr>
              <w:t>Table 4</w:t>
            </w:r>
            <w:r w:rsidRPr="00546C33">
              <w:rPr>
                <w:rFonts w:cs="Arial"/>
                <w:b w:val="0"/>
                <w:i/>
                <w:color w:val="000000"/>
                <w:sz w:val="22"/>
                <w:szCs w:val="22"/>
                <w:lang w:eastAsia="en-GB"/>
              </w:rPr>
              <w:t>: The purchasing and maintenance costs of additional Liferaft</w:t>
            </w:r>
          </w:p>
        </w:tc>
      </w:tr>
      <w:tr w:rsidR="003E61D2" w:rsidRPr="00C4288E" w14:paraId="2B3DBC3A" w14:textId="77777777" w:rsidTr="00F705BB">
        <w:trPr>
          <w:trHeight w:val="300"/>
          <w:jc w:val="center"/>
        </w:trPr>
        <w:tc>
          <w:tcPr>
            <w:tcW w:w="1985" w:type="dxa"/>
            <w:tcBorders>
              <w:top w:val="single" w:sz="4" w:space="0" w:color="auto"/>
              <w:left w:val="single" w:sz="4" w:space="0" w:color="auto"/>
              <w:bottom w:val="single" w:sz="4" w:space="0" w:color="auto"/>
              <w:right w:val="single" w:sz="4" w:space="0" w:color="auto"/>
            </w:tcBorders>
            <w:noWrap/>
            <w:hideMark/>
          </w:tcPr>
          <w:p w14:paraId="7505247E" w14:textId="77777777" w:rsidR="003E61D2" w:rsidRPr="00130045" w:rsidRDefault="003E61D2" w:rsidP="00B84937">
            <w:pPr>
              <w:spacing w:before="40" w:after="40"/>
              <w:rPr>
                <w:rFonts w:cs="Arial"/>
                <w:b/>
                <w:color w:val="000000"/>
                <w:sz w:val="22"/>
                <w:szCs w:val="22"/>
                <w:lang w:eastAsia="en-GB"/>
              </w:rPr>
            </w:pPr>
            <w:r w:rsidRPr="00130045">
              <w:rPr>
                <w:rFonts w:cs="Arial"/>
                <w:b/>
                <w:color w:val="000000"/>
                <w:sz w:val="22"/>
                <w:szCs w:val="22"/>
                <w:lang w:eastAsia="en-GB"/>
              </w:rPr>
              <w:t>Liferaft Capacity</w:t>
            </w:r>
          </w:p>
        </w:tc>
        <w:tc>
          <w:tcPr>
            <w:tcW w:w="1984" w:type="dxa"/>
            <w:tcBorders>
              <w:top w:val="single" w:sz="4" w:space="0" w:color="auto"/>
              <w:left w:val="single" w:sz="4" w:space="0" w:color="auto"/>
              <w:bottom w:val="single" w:sz="4" w:space="0" w:color="auto"/>
              <w:right w:val="single" w:sz="4" w:space="0" w:color="auto"/>
            </w:tcBorders>
          </w:tcPr>
          <w:p w14:paraId="6155E9D6" w14:textId="77777777" w:rsidR="003E61D2" w:rsidRPr="00130045" w:rsidRDefault="00130045" w:rsidP="00B84937">
            <w:pPr>
              <w:spacing w:before="40" w:after="40"/>
              <w:rPr>
                <w:rFonts w:cs="Arial"/>
                <w:b/>
                <w:color w:val="000000"/>
                <w:sz w:val="22"/>
                <w:szCs w:val="22"/>
                <w:lang w:eastAsia="en-GB"/>
              </w:rPr>
            </w:pPr>
            <w:r>
              <w:rPr>
                <w:rFonts w:cs="Arial"/>
                <w:b/>
                <w:color w:val="000000"/>
                <w:sz w:val="22"/>
                <w:szCs w:val="22"/>
                <w:lang w:eastAsia="en-GB"/>
              </w:rPr>
              <w:t>Number of Liferafts required</w:t>
            </w:r>
          </w:p>
        </w:tc>
        <w:tc>
          <w:tcPr>
            <w:tcW w:w="1985" w:type="dxa"/>
            <w:tcBorders>
              <w:top w:val="single" w:sz="4" w:space="0" w:color="auto"/>
              <w:left w:val="single" w:sz="4" w:space="0" w:color="auto"/>
              <w:bottom w:val="single" w:sz="4" w:space="0" w:color="auto"/>
              <w:right w:val="single" w:sz="4" w:space="0" w:color="auto"/>
            </w:tcBorders>
          </w:tcPr>
          <w:p w14:paraId="37F89E85" w14:textId="77777777" w:rsidR="003E61D2" w:rsidRPr="00130045" w:rsidRDefault="003E61D2" w:rsidP="00B84937">
            <w:pPr>
              <w:spacing w:before="40" w:after="40"/>
              <w:rPr>
                <w:rFonts w:cs="Arial"/>
                <w:b/>
                <w:color w:val="000000"/>
                <w:sz w:val="22"/>
                <w:szCs w:val="22"/>
                <w:lang w:eastAsia="en-GB"/>
              </w:rPr>
            </w:pPr>
            <w:r w:rsidRPr="00130045">
              <w:rPr>
                <w:rFonts w:cs="Arial"/>
                <w:b/>
                <w:color w:val="000000"/>
                <w:sz w:val="22"/>
                <w:szCs w:val="22"/>
                <w:lang w:eastAsia="en-GB"/>
              </w:rPr>
              <w:t xml:space="preserve">Purchasing cost </w:t>
            </w:r>
          </w:p>
        </w:tc>
        <w:tc>
          <w:tcPr>
            <w:tcW w:w="1843" w:type="dxa"/>
            <w:tcBorders>
              <w:top w:val="single" w:sz="4" w:space="0" w:color="auto"/>
              <w:left w:val="single" w:sz="4" w:space="0" w:color="auto"/>
              <w:bottom w:val="single" w:sz="4" w:space="0" w:color="auto"/>
              <w:right w:val="single" w:sz="4" w:space="0" w:color="auto"/>
            </w:tcBorders>
          </w:tcPr>
          <w:p w14:paraId="57E61DBF" w14:textId="77777777" w:rsidR="003E61D2" w:rsidRPr="00130045" w:rsidRDefault="003E61D2" w:rsidP="00B84937">
            <w:pPr>
              <w:spacing w:before="40" w:after="40"/>
              <w:rPr>
                <w:rFonts w:cs="Arial"/>
                <w:b/>
                <w:color w:val="000000"/>
                <w:sz w:val="22"/>
                <w:szCs w:val="22"/>
                <w:lang w:eastAsia="en-GB"/>
              </w:rPr>
            </w:pPr>
            <w:r w:rsidRPr="00130045">
              <w:rPr>
                <w:rFonts w:cs="Arial"/>
                <w:b/>
                <w:color w:val="000000"/>
                <w:sz w:val="22"/>
                <w:szCs w:val="22"/>
                <w:lang w:eastAsia="en-GB"/>
              </w:rPr>
              <w:t xml:space="preserve">Servicing costs </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tcPr>
          <w:p w14:paraId="32100287" w14:textId="77777777" w:rsidR="003E61D2" w:rsidRPr="00130045" w:rsidRDefault="003E61D2" w:rsidP="00B84937">
            <w:pPr>
              <w:spacing w:before="40" w:after="40"/>
              <w:rPr>
                <w:rFonts w:cs="Arial"/>
                <w:color w:val="000000"/>
                <w:sz w:val="22"/>
                <w:szCs w:val="22"/>
                <w:lang w:eastAsia="en-GB"/>
              </w:rPr>
            </w:pPr>
            <w:r w:rsidRPr="00130045">
              <w:rPr>
                <w:rFonts w:cs="Arial"/>
                <w:color w:val="000000"/>
                <w:sz w:val="22"/>
                <w:szCs w:val="22"/>
                <w:lang w:eastAsia="en-GB"/>
              </w:rPr>
              <w:t xml:space="preserve">Total Cost </w:t>
            </w:r>
          </w:p>
        </w:tc>
      </w:tr>
      <w:tr w:rsidR="00BA3214" w:rsidRPr="00C4288E" w14:paraId="67755FBF" w14:textId="77777777" w:rsidTr="00F705BB">
        <w:trPr>
          <w:trHeight w:val="300"/>
          <w:jc w:val="center"/>
        </w:trPr>
        <w:tc>
          <w:tcPr>
            <w:tcW w:w="1985" w:type="dxa"/>
            <w:tcBorders>
              <w:top w:val="single" w:sz="4" w:space="0" w:color="auto"/>
              <w:left w:val="single" w:sz="4" w:space="0" w:color="auto"/>
              <w:right w:val="single" w:sz="4" w:space="0" w:color="auto"/>
            </w:tcBorders>
            <w:noWrap/>
            <w:hideMark/>
          </w:tcPr>
          <w:p w14:paraId="7A6AC5F9" w14:textId="77777777" w:rsidR="00BA3214" w:rsidRPr="00C4288E" w:rsidRDefault="00BA3214" w:rsidP="00BA3214">
            <w:pPr>
              <w:spacing w:before="40" w:after="40"/>
              <w:rPr>
                <w:rFonts w:cs="Arial"/>
                <w:bCs/>
                <w:color w:val="000000"/>
                <w:sz w:val="22"/>
                <w:szCs w:val="22"/>
                <w:lang w:eastAsia="en-GB"/>
              </w:rPr>
            </w:pPr>
            <w:r w:rsidRPr="00C4288E">
              <w:rPr>
                <w:rFonts w:cs="Arial"/>
                <w:bCs/>
                <w:color w:val="000000"/>
                <w:sz w:val="22"/>
                <w:szCs w:val="22"/>
                <w:lang w:eastAsia="en-GB"/>
              </w:rPr>
              <w:t xml:space="preserve">25 </w:t>
            </w:r>
          </w:p>
        </w:tc>
        <w:tc>
          <w:tcPr>
            <w:tcW w:w="1984" w:type="dxa"/>
            <w:tcBorders>
              <w:top w:val="single" w:sz="4" w:space="0" w:color="auto"/>
              <w:left w:val="single" w:sz="4" w:space="0" w:color="auto"/>
              <w:bottom w:val="single" w:sz="4" w:space="0" w:color="808080"/>
              <w:right w:val="single" w:sz="4" w:space="0" w:color="auto"/>
            </w:tcBorders>
            <w:shd w:val="clear" w:color="auto" w:fill="auto"/>
            <w:vAlign w:val="center"/>
          </w:tcPr>
          <w:p w14:paraId="6D39D78B" w14:textId="77777777" w:rsidR="00BA3214" w:rsidRPr="00C4288E" w:rsidRDefault="00BA3214" w:rsidP="00BA3214">
            <w:pPr>
              <w:spacing w:before="40" w:after="40"/>
              <w:rPr>
                <w:rFonts w:cs="Arial"/>
                <w:bCs/>
                <w:color w:val="000000"/>
                <w:sz w:val="22"/>
                <w:szCs w:val="22"/>
                <w:lang w:eastAsia="en-GB"/>
              </w:rPr>
            </w:pPr>
            <w:r>
              <w:rPr>
                <w:rFonts w:cs="Arial"/>
                <w:color w:val="000000"/>
                <w:sz w:val="22"/>
                <w:szCs w:val="22"/>
              </w:rPr>
              <w:t>139</w:t>
            </w:r>
          </w:p>
        </w:tc>
        <w:tc>
          <w:tcPr>
            <w:tcW w:w="1985" w:type="dxa"/>
            <w:tcBorders>
              <w:top w:val="single" w:sz="4" w:space="0" w:color="auto"/>
              <w:left w:val="single" w:sz="4" w:space="0" w:color="auto"/>
              <w:bottom w:val="single" w:sz="4" w:space="0" w:color="808080"/>
              <w:right w:val="single" w:sz="4" w:space="0" w:color="auto"/>
            </w:tcBorders>
            <w:shd w:val="clear" w:color="auto" w:fill="auto"/>
            <w:vAlign w:val="center"/>
          </w:tcPr>
          <w:p w14:paraId="5F0ED386" w14:textId="77777777" w:rsidR="00BA3214" w:rsidRPr="00130045" w:rsidRDefault="00BA3214" w:rsidP="00BA3214">
            <w:pPr>
              <w:spacing w:before="40" w:after="40"/>
              <w:rPr>
                <w:rFonts w:cs="Arial"/>
                <w:bCs/>
                <w:color w:val="000000"/>
                <w:sz w:val="22"/>
                <w:szCs w:val="22"/>
                <w:lang w:eastAsia="en-GB"/>
              </w:rPr>
            </w:pPr>
            <w:r>
              <w:rPr>
                <w:rFonts w:cs="Arial"/>
                <w:color w:val="000000"/>
                <w:sz w:val="22"/>
                <w:szCs w:val="22"/>
              </w:rPr>
              <w:t>£285,000</w:t>
            </w:r>
          </w:p>
        </w:tc>
        <w:tc>
          <w:tcPr>
            <w:tcW w:w="1843" w:type="dxa"/>
            <w:tcBorders>
              <w:top w:val="single" w:sz="4" w:space="0" w:color="auto"/>
              <w:left w:val="single" w:sz="4" w:space="0" w:color="auto"/>
              <w:bottom w:val="single" w:sz="4" w:space="0" w:color="808080"/>
              <w:right w:val="single" w:sz="4" w:space="0" w:color="auto"/>
            </w:tcBorders>
            <w:shd w:val="clear" w:color="auto" w:fill="auto"/>
            <w:vAlign w:val="center"/>
          </w:tcPr>
          <w:p w14:paraId="56D5A866" w14:textId="77777777" w:rsidR="00BA3214" w:rsidRPr="00130045" w:rsidRDefault="00BA3214" w:rsidP="00BA3214">
            <w:pPr>
              <w:spacing w:before="40" w:after="40"/>
              <w:rPr>
                <w:rFonts w:cs="Arial"/>
                <w:bCs/>
                <w:color w:val="000000"/>
                <w:sz w:val="22"/>
                <w:szCs w:val="22"/>
                <w:lang w:eastAsia="en-GB"/>
              </w:rPr>
            </w:pPr>
            <w:r>
              <w:rPr>
                <w:rFonts w:cs="Arial"/>
                <w:color w:val="000000"/>
                <w:sz w:val="22"/>
                <w:szCs w:val="22"/>
              </w:rPr>
              <w:t>£265,000</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808080"/>
              <w:right w:val="single" w:sz="4" w:space="0" w:color="auto"/>
            </w:tcBorders>
            <w:shd w:val="clear" w:color="auto" w:fill="auto"/>
            <w:vAlign w:val="center"/>
          </w:tcPr>
          <w:p w14:paraId="5DAA4066"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£550,000</w:t>
            </w:r>
          </w:p>
        </w:tc>
      </w:tr>
      <w:tr w:rsidR="00BA3214" w:rsidRPr="00C4288E" w14:paraId="52353A20" w14:textId="77777777" w:rsidTr="00F705BB">
        <w:trPr>
          <w:trHeight w:val="300"/>
          <w:jc w:val="center"/>
        </w:trPr>
        <w:tc>
          <w:tcPr>
            <w:tcW w:w="1985" w:type="dxa"/>
            <w:tcBorders>
              <w:left w:val="single" w:sz="4" w:space="0" w:color="auto"/>
              <w:right w:val="single" w:sz="4" w:space="0" w:color="auto"/>
            </w:tcBorders>
            <w:noWrap/>
            <w:hideMark/>
          </w:tcPr>
          <w:p w14:paraId="1CE7024C" w14:textId="77777777" w:rsidR="00BA3214" w:rsidRPr="00C4288E" w:rsidRDefault="00BA3214" w:rsidP="00BA3214">
            <w:pPr>
              <w:spacing w:before="40" w:after="40"/>
              <w:rPr>
                <w:rFonts w:cs="Arial"/>
                <w:bCs/>
                <w:color w:val="000000"/>
                <w:sz w:val="22"/>
                <w:szCs w:val="22"/>
                <w:lang w:eastAsia="en-GB"/>
              </w:rPr>
            </w:pPr>
            <w:r w:rsidRPr="00C4288E">
              <w:rPr>
                <w:rFonts w:cs="Arial"/>
                <w:bCs/>
                <w:color w:val="000000"/>
                <w:sz w:val="22"/>
                <w:szCs w:val="22"/>
                <w:lang w:eastAsia="en-GB"/>
              </w:rPr>
              <w:t xml:space="preserve">50 </w:t>
            </w:r>
          </w:p>
        </w:tc>
        <w:tc>
          <w:tcPr>
            <w:tcW w:w="1984" w:type="dxa"/>
            <w:tcBorders>
              <w:top w:val="single" w:sz="4" w:space="0" w:color="808080"/>
              <w:left w:val="single" w:sz="4" w:space="0" w:color="auto"/>
              <w:bottom w:val="single" w:sz="4" w:space="0" w:color="808080"/>
              <w:right w:val="single" w:sz="4" w:space="0" w:color="auto"/>
            </w:tcBorders>
            <w:shd w:val="clear" w:color="auto" w:fill="auto"/>
            <w:vAlign w:val="center"/>
          </w:tcPr>
          <w:p w14:paraId="654FE444" w14:textId="77777777" w:rsidR="00BA3214" w:rsidRPr="00C4288E" w:rsidRDefault="00BA3214" w:rsidP="00BA3214">
            <w:pPr>
              <w:spacing w:before="40" w:after="40"/>
              <w:rPr>
                <w:rFonts w:cs="Arial"/>
                <w:bCs/>
                <w:color w:val="000000"/>
                <w:sz w:val="22"/>
                <w:szCs w:val="22"/>
                <w:lang w:eastAsia="en-GB"/>
              </w:rPr>
            </w:pPr>
            <w:r>
              <w:rPr>
                <w:rFonts w:cs="Arial"/>
                <w:color w:val="000000"/>
                <w:sz w:val="22"/>
                <w:szCs w:val="22"/>
              </w:rPr>
              <w:t>188</w:t>
            </w:r>
          </w:p>
        </w:tc>
        <w:tc>
          <w:tcPr>
            <w:tcW w:w="1985" w:type="dxa"/>
            <w:tcBorders>
              <w:top w:val="nil"/>
              <w:left w:val="single" w:sz="4" w:space="0" w:color="auto"/>
              <w:bottom w:val="single" w:sz="4" w:space="0" w:color="808080"/>
              <w:right w:val="single" w:sz="4" w:space="0" w:color="auto"/>
            </w:tcBorders>
            <w:shd w:val="clear" w:color="auto" w:fill="auto"/>
            <w:vAlign w:val="center"/>
          </w:tcPr>
          <w:p w14:paraId="44F4E98E" w14:textId="77777777" w:rsidR="00BA3214" w:rsidRPr="00130045" w:rsidRDefault="00BA3214" w:rsidP="00BA3214">
            <w:pPr>
              <w:spacing w:before="40" w:after="40"/>
              <w:rPr>
                <w:rFonts w:cs="Arial"/>
                <w:bCs/>
                <w:color w:val="000000"/>
                <w:sz w:val="22"/>
                <w:szCs w:val="22"/>
                <w:lang w:eastAsia="en-GB"/>
              </w:rPr>
            </w:pPr>
            <w:r>
              <w:rPr>
                <w:rFonts w:cs="Arial"/>
                <w:color w:val="000000"/>
                <w:sz w:val="22"/>
                <w:szCs w:val="22"/>
              </w:rPr>
              <w:t>£613,000</w:t>
            </w:r>
          </w:p>
        </w:tc>
        <w:tc>
          <w:tcPr>
            <w:tcW w:w="1843" w:type="dxa"/>
            <w:tcBorders>
              <w:top w:val="nil"/>
              <w:left w:val="single" w:sz="4" w:space="0" w:color="auto"/>
              <w:bottom w:val="single" w:sz="4" w:space="0" w:color="808080"/>
              <w:right w:val="single" w:sz="4" w:space="0" w:color="auto"/>
            </w:tcBorders>
            <w:shd w:val="clear" w:color="auto" w:fill="auto"/>
            <w:vAlign w:val="center"/>
          </w:tcPr>
          <w:p w14:paraId="02B0D929" w14:textId="77777777" w:rsidR="00BA3214" w:rsidRPr="00130045" w:rsidRDefault="00BA3214" w:rsidP="00BA3214">
            <w:pPr>
              <w:spacing w:before="40" w:after="40"/>
              <w:rPr>
                <w:rFonts w:cs="Arial"/>
                <w:bCs/>
                <w:color w:val="000000"/>
                <w:sz w:val="22"/>
                <w:szCs w:val="22"/>
                <w:lang w:eastAsia="en-GB"/>
              </w:rPr>
            </w:pPr>
            <w:r>
              <w:rPr>
                <w:rFonts w:cs="Arial"/>
                <w:color w:val="000000"/>
                <w:sz w:val="22"/>
                <w:szCs w:val="22"/>
              </w:rPr>
              <w:t>£358,000</w:t>
            </w:r>
          </w:p>
        </w:tc>
        <w:tc>
          <w:tcPr>
            <w:cnfStyle w:val="000100000000" w:firstRow="0" w:lastRow="0" w:firstColumn="0" w:lastColumn="1" w:oddVBand="0" w:evenVBand="0" w:oddHBand="0" w:evenHBand="0" w:firstRowFirstColumn="0" w:firstRowLastColumn="0" w:lastRowFirstColumn="0" w:lastRowLastColumn="0"/>
            <w:tcW w:w="1417" w:type="dxa"/>
            <w:tcBorders>
              <w:top w:val="nil"/>
              <w:left w:val="single" w:sz="4" w:space="0" w:color="auto"/>
              <w:bottom w:val="single" w:sz="4" w:space="0" w:color="808080"/>
              <w:right w:val="single" w:sz="4" w:space="0" w:color="auto"/>
            </w:tcBorders>
            <w:shd w:val="clear" w:color="auto" w:fill="auto"/>
            <w:vAlign w:val="center"/>
          </w:tcPr>
          <w:p w14:paraId="5587B4F0"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£971,000</w:t>
            </w:r>
          </w:p>
        </w:tc>
      </w:tr>
      <w:tr w:rsidR="00BA3214" w:rsidRPr="00C4288E" w14:paraId="12E32CB6" w14:textId="77777777" w:rsidTr="00F705BB">
        <w:trPr>
          <w:trHeight w:val="300"/>
          <w:jc w:val="center"/>
        </w:trPr>
        <w:tc>
          <w:tcPr>
            <w:tcW w:w="1985" w:type="dxa"/>
            <w:tcBorders>
              <w:left w:val="single" w:sz="4" w:space="0" w:color="auto"/>
              <w:bottom w:val="single" w:sz="4" w:space="0" w:color="auto"/>
              <w:right w:val="single" w:sz="4" w:space="0" w:color="auto"/>
            </w:tcBorders>
            <w:noWrap/>
            <w:hideMark/>
          </w:tcPr>
          <w:p w14:paraId="5F03AD6C" w14:textId="77777777" w:rsidR="00BA3214" w:rsidRPr="00C4288E" w:rsidRDefault="00BA3214" w:rsidP="00BA3214">
            <w:pPr>
              <w:spacing w:before="40" w:after="40"/>
              <w:rPr>
                <w:rFonts w:cs="Arial"/>
                <w:bCs/>
                <w:color w:val="000000"/>
                <w:sz w:val="22"/>
                <w:szCs w:val="22"/>
                <w:lang w:eastAsia="en-GB"/>
              </w:rPr>
            </w:pPr>
            <w:r w:rsidRPr="00C4288E">
              <w:rPr>
                <w:rFonts w:cs="Arial"/>
                <w:bCs/>
                <w:color w:val="000000"/>
                <w:sz w:val="22"/>
                <w:szCs w:val="22"/>
                <w:lang w:eastAsia="en-GB"/>
              </w:rPr>
              <w:t>100</w:t>
            </w:r>
          </w:p>
        </w:tc>
        <w:tc>
          <w:tcPr>
            <w:tcW w:w="1984" w:type="dxa"/>
            <w:tcBorders>
              <w:top w:val="single" w:sz="4" w:space="0" w:color="808080"/>
              <w:left w:val="single" w:sz="4" w:space="0" w:color="auto"/>
              <w:bottom w:val="single" w:sz="4" w:space="0" w:color="auto"/>
              <w:right w:val="single" w:sz="4" w:space="0" w:color="auto"/>
            </w:tcBorders>
            <w:shd w:val="clear" w:color="auto" w:fill="auto"/>
            <w:vAlign w:val="center"/>
          </w:tcPr>
          <w:p w14:paraId="2B20F33C" w14:textId="77777777" w:rsidR="00BA3214" w:rsidRPr="00C4288E" w:rsidRDefault="00BA3214" w:rsidP="00BA3214">
            <w:pPr>
              <w:spacing w:before="40" w:after="40"/>
              <w:rPr>
                <w:rFonts w:cs="Arial"/>
                <w:bCs/>
                <w:color w:val="000000"/>
                <w:sz w:val="22"/>
                <w:szCs w:val="22"/>
                <w:lang w:eastAsia="en-GB"/>
              </w:rPr>
            </w:pPr>
            <w:r>
              <w:rPr>
                <w:rFonts w:cs="Arial"/>
                <w:color w:val="000000"/>
                <w:sz w:val="22"/>
                <w:szCs w:val="22"/>
              </w:rPr>
              <w:t>115</w:t>
            </w:r>
          </w:p>
        </w:tc>
        <w:tc>
          <w:tcPr>
            <w:tcW w:w="1985" w:type="dxa"/>
            <w:tcBorders>
              <w:top w:val="nil"/>
              <w:left w:val="single" w:sz="4" w:space="0" w:color="auto"/>
              <w:bottom w:val="single" w:sz="4" w:space="0" w:color="auto"/>
              <w:right w:val="single" w:sz="4" w:space="0" w:color="auto"/>
            </w:tcBorders>
            <w:shd w:val="clear" w:color="auto" w:fill="auto"/>
            <w:vAlign w:val="center"/>
          </w:tcPr>
          <w:p w14:paraId="2A2006F6" w14:textId="77777777" w:rsidR="00BA3214" w:rsidRPr="00130045" w:rsidRDefault="00BA3214" w:rsidP="00BA3214">
            <w:pPr>
              <w:spacing w:before="40" w:after="40"/>
              <w:rPr>
                <w:rFonts w:cs="Arial"/>
                <w:bCs/>
                <w:color w:val="000000"/>
                <w:sz w:val="22"/>
                <w:szCs w:val="22"/>
                <w:lang w:eastAsia="en-GB"/>
              </w:rPr>
            </w:pPr>
            <w:r>
              <w:rPr>
                <w:rFonts w:cs="Arial"/>
                <w:color w:val="000000"/>
                <w:sz w:val="22"/>
                <w:szCs w:val="22"/>
              </w:rPr>
              <w:t>£804,000</w:t>
            </w:r>
          </w:p>
        </w:tc>
        <w:tc>
          <w:tcPr>
            <w:tcW w:w="1843" w:type="dxa"/>
            <w:tcBorders>
              <w:top w:val="nil"/>
              <w:left w:val="single" w:sz="4" w:space="0" w:color="auto"/>
              <w:bottom w:val="single" w:sz="4" w:space="0" w:color="auto"/>
              <w:right w:val="single" w:sz="4" w:space="0" w:color="auto"/>
            </w:tcBorders>
            <w:shd w:val="clear" w:color="auto" w:fill="auto"/>
            <w:vAlign w:val="center"/>
          </w:tcPr>
          <w:p w14:paraId="29B7CDC1" w14:textId="77777777" w:rsidR="00BA3214" w:rsidRPr="00130045" w:rsidRDefault="00BA3214" w:rsidP="00BA3214">
            <w:pPr>
              <w:spacing w:before="40" w:after="40"/>
              <w:rPr>
                <w:rFonts w:cs="Arial"/>
                <w:bCs/>
                <w:color w:val="000000"/>
                <w:sz w:val="22"/>
                <w:szCs w:val="22"/>
                <w:lang w:eastAsia="en-GB"/>
              </w:rPr>
            </w:pPr>
            <w:r>
              <w:rPr>
                <w:rFonts w:cs="Arial"/>
                <w:color w:val="000000"/>
                <w:sz w:val="22"/>
                <w:szCs w:val="22"/>
              </w:rPr>
              <w:t>£219,000</w:t>
            </w:r>
          </w:p>
        </w:tc>
        <w:tc>
          <w:tcPr>
            <w:cnfStyle w:val="000100000000" w:firstRow="0" w:lastRow="0" w:firstColumn="0" w:lastColumn="1" w:oddVBand="0" w:evenVBand="0" w:oddHBand="0" w:evenHBand="0" w:firstRowFirstColumn="0" w:firstRowLastColumn="0" w:lastRowFirstColumn="0" w:lastRowLastColumn="0"/>
            <w:tcW w:w="1417" w:type="dxa"/>
            <w:tcBorders>
              <w:top w:val="nil"/>
              <w:left w:val="single" w:sz="4" w:space="0" w:color="auto"/>
              <w:bottom w:val="single" w:sz="4" w:space="0" w:color="auto"/>
              <w:right w:val="single" w:sz="4" w:space="0" w:color="auto"/>
            </w:tcBorders>
            <w:shd w:val="clear" w:color="auto" w:fill="auto"/>
            <w:vAlign w:val="center"/>
          </w:tcPr>
          <w:p w14:paraId="0B5D3C69"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£1,023,000</w:t>
            </w:r>
          </w:p>
        </w:tc>
      </w:tr>
      <w:tr w:rsidR="00BA3214" w:rsidRPr="00C4288E" w14:paraId="24EEAC1D" w14:textId="77777777" w:rsidTr="00F705BB">
        <w:trPr>
          <w:cnfStyle w:val="010000000000" w:firstRow="0" w:lastRow="1" w:firstColumn="0" w:lastColumn="0" w:oddVBand="0" w:evenVBand="0" w:oddHBand="0" w:evenHBand="0" w:firstRowFirstColumn="0" w:firstRowLastColumn="0" w:lastRowFirstColumn="0" w:lastRowLastColumn="0"/>
          <w:trHeight w:val="300"/>
          <w:jc w:val="center"/>
        </w:trPr>
        <w:tc>
          <w:tcPr>
            <w:tcW w:w="1985" w:type="dxa"/>
            <w:tcBorders>
              <w:top w:val="single" w:sz="4" w:space="0" w:color="auto"/>
              <w:left w:val="single" w:sz="4" w:space="0" w:color="auto"/>
              <w:bottom w:val="single" w:sz="4" w:space="0" w:color="auto"/>
              <w:right w:val="single" w:sz="4" w:space="0" w:color="auto"/>
            </w:tcBorders>
            <w:noWrap/>
          </w:tcPr>
          <w:p w14:paraId="30370E2C" w14:textId="77777777" w:rsidR="00BA3214" w:rsidRPr="004A70AC" w:rsidRDefault="00BA3214" w:rsidP="00BA3214">
            <w:pPr>
              <w:spacing w:before="40" w:after="40"/>
              <w:rPr>
                <w:rFonts w:cs="Arial"/>
                <w:b w:val="0"/>
                <w:color w:val="000000"/>
                <w:sz w:val="22"/>
                <w:szCs w:val="22"/>
                <w:lang w:eastAsia="en-GB"/>
              </w:rPr>
            </w:pPr>
            <w:r w:rsidRPr="004A70AC">
              <w:rPr>
                <w:rFonts w:cs="Arial"/>
                <w:b w:val="0"/>
                <w:color w:val="000000"/>
                <w:sz w:val="22"/>
                <w:szCs w:val="22"/>
                <w:lang w:eastAsia="en-GB"/>
              </w:rPr>
              <w:t>Total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B276F79"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442</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14:paraId="42EC455B"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£1,702,000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7D2D8A13"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£841,000</w:t>
            </w:r>
          </w:p>
        </w:tc>
        <w:tc>
          <w:tcPr>
            <w:cnfStyle w:val="000100000000" w:firstRow="0" w:lastRow="0" w:firstColumn="0" w:lastColumn="1" w:oddVBand="0" w:evenVBand="0" w:oddHBand="0" w:evenHBand="0" w:firstRowFirstColumn="0" w:firstRowLastColumn="0" w:lastRowFirstColumn="0" w:lastRowLastColumn="0"/>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5716E8D2" w14:textId="77777777" w:rsidR="00BA3214" w:rsidRPr="00BA3214" w:rsidRDefault="00BA3214" w:rsidP="00BA3214">
            <w:pPr>
              <w:spacing w:before="40" w:after="40"/>
              <w:rPr>
                <w:rFonts w:cs="Arial"/>
                <w:b w:val="0"/>
                <w:color w:val="000000"/>
                <w:sz w:val="22"/>
                <w:szCs w:val="22"/>
                <w:lang w:eastAsia="en-GB"/>
              </w:rPr>
            </w:pPr>
            <w:r w:rsidRPr="00BA3214">
              <w:rPr>
                <w:rFonts w:cs="Arial"/>
                <w:b w:val="0"/>
                <w:color w:val="000000"/>
                <w:sz w:val="22"/>
                <w:szCs w:val="22"/>
              </w:rPr>
              <w:t>£2,544,000</w:t>
            </w:r>
          </w:p>
        </w:tc>
      </w:tr>
    </w:tbl>
    <w:p w14:paraId="734D969E" w14:textId="77777777" w:rsidR="00C4288E" w:rsidRPr="00C4288E" w:rsidRDefault="00C4288E" w:rsidP="00C4288E">
      <w:pPr>
        <w:rPr>
          <w:lang w:eastAsia="en-GB"/>
        </w:rPr>
      </w:pPr>
    </w:p>
    <w:p w14:paraId="0298338C" w14:textId="77777777" w:rsidR="00C4288E" w:rsidRPr="00C4288E" w:rsidRDefault="00C4288E" w:rsidP="00C4288E">
      <w:pPr>
        <w:keepNext/>
        <w:numPr>
          <w:ilvl w:val="3"/>
          <w:numId w:val="25"/>
        </w:numPr>
        <w:spacing w:before="240" w:after="120"/>
        <w:ind w:left="1077" w:hanging="1077"/>
        <w:outlineLvl w:val="4"/>
        <w:rPr>
          <w:bCs/>
          <w:i/>
          <w:iCs/>
          <w:sz w:val="22"/>
          <w:szCs w:val="26"/>
        </w:rPr>
      </w:pPr>
      <w:bookmarkStart w:id="22" w:name="_Ref519064390"/>
      <w:r w:rsidRPr="00C4288E">
        <w:rPr>
          <w:bCs/>
          <w:i/>
          <w:iCs/>
          <w:sz w:val="22"/>
          <w:szCs w:val="26"/>
        </w:rPr>
        <w:lastRenderedPageBreak/>
        <w:t>Non-monetised costs</w:t>
      </w:r>
      <w:bookmarkEnd w:id="22"/>
    </w:p>
    <w:p w14:paraId="23FE36FC" w14:textId="77777777" w:rsidR="00C4288E" w:rsidRPr="00C4288E" w:rsidRDefault="00C4288E" w:rsidP="00C4288E">
      <w:pPr>
        <w:spacing w:after="120" w:line="259" w:lineRule="auto"/>
        <w:rPr>
          <w:rFonts w:cs="Arial"/>
          <w:bCs/>
          <w:color w:val="000000"/>
          <w:sz w:val="22"/>
          <w:szCs w:val="22"/>
          <w:lang w:eastAsia="en-GB"/>
        </w:rPr>
      </w:pPr>
      <w:r w:rsidRPr="00C4288E">
        <w:rPr>
          <w:rFonts w:cs="Arial"/>
          <w:bCs/>
          <w:color w:val="000000"/>
          <w:sz w:val="22"/>
          <w:szCs w:val="22"/>
          <w:lang w:eastAsia="en-GB"/>
        </w:rPr>
        <w:t xml:space="preserve">Some vessels may </w:t>
      </w:r>
      <w:r>
        <w:rPr>
          <w:rFonts w:cs="Arial"/>
          <w:bCs/>
          <w:color w:val="000000"/>
          <w:sz w:val="22"/>
          <w:szCs w:val="22"/>
          <w:lang w:eastAsia="en-GB"/>
        </w:rPr>
        <w:t>need</w:t>
      </w:r>
      <w:r w:rsidRPr="00C4288E">
        <w:rPr>
          <w:rFonts w:cs="Arial"/>
          <w:bCs/>
          <w:color w:val="000000"/>
          <w:sz w:val="22"/>
          <w:szCs w:val="22"/>
          <w:lang w:eastAsia="en-GB"/>
        </w:rPr>
        <w:t xml:space="preserve"> to create additional stowage areas for liferafts. We expect this to affect onl</w:t>
      </w:r>
      <w:r w:rsidR="003A337C">
        <w:rPr>
          <w:rFonts w:cs="Arial"/>
          <w:bCs/>
          <w:color w:val="000000"/>
          <w:sz w:val="22"/>
          <w:szCs w:val="22"/>
          <w:lang w:eastAsia="en-GB"/>
        </w:rPr>
        <w:t>y a minority of vessels and be low cost when vessels are affected as</w:t>
      </w:r>
      <w:r w:rsidRPr="00C4288E">
        <w:rPr>
          <w:rFonts w:cs="Arial"/>
          <w:bCs/>
          <w:color w:val="000000"/>
          <w:sz w:val="22"/>
          <w:szCs w:val="22"/>
          <w:lang w:eastAsia="en-GB"/>
        </w:rPr>
        <w:t xml:space="preserve"> liferafts are intended to replace buoyant appara</w:t>
      </w:r>
      <w:r w:rsidR="000F0DEB">
        <w:rPr>
          <w:rFonts w:cs="Arial"/>
          <w:bCs/>
          <w:color w:val="000000"/>
          <w:sz w:val="22"/>
          <w:szCs w:val="22"/>
          <w:lang w:eastAsia="en-GB"/>
        </w:rPr>
        <w:t xml:space="preserve">tus already </w:t>
      </w:r>
      <w:r w:rsidR="00797E5E">
        <w:rPr>
          <w:rFonts w:cs="Arial"/>
          <w:bCs/>
          <w:color w:val="000000"/>
          <w:sz w:val="22"/>
          <w:szCs w:val="22"/>
          <w:lang w:eastAsia="en-GB"/>
        </w:rPr>
        <w:t>on board</w:t>
      </w:r>
      <w:r w:rsidR="000F0DEB">
        <w:rPr>
          <w:rFonts w:cs="Arial"/>
          <w:bCs/>
          <w:color w:val="000000"/>
          <w:sz w:val="22"/>
          <w:szCs w:val="22"/>
          <w:lang w:eastAsia="en-GB"/>
        </w:rPr>
        <w:t xml:space="preserve"> the vessels. </w:t>
      </w:r>
      <w:r w:rsidR="00F67902">
        <w:rPr>
          <w:rFonts w:cs="Arial"/>
          <w:bCs/>
          <w:color w:val="000000"/>
          <w:sz w:val="22"/>
          <w:szCs w:val="22"/>
          <w:lang w:eastAsia="en-GB"/>
        </w:rPr>
        <w:t>A</w:t>
      </w:r>
      <w:r w:rsidRPr="00C4288E">
        <w:rPr>
          <w:rFonts w:cs="Arial"/>
          <w:bCs/>
          <w:color w:val="000000"/>
          <w:sz w:val="22"/>
          <w:szCs w:val="22"/>
          <w:lang w:eastAsia="en-GB"/>
        </w:rPr>
        <w:t>dditio</w:t>
      </w:r>
      <w:r w:rsidR="00F67902">
        <w:rPr>
          <w:rFonts w:cs="Arial"/>
          <w:bCs/>
          <w:color w:val="000000"/>
          <w:sz w:val="22"/>
          <w:szCs w:val="22"/>
          <w:lang w:eastAsia="en-GB"/>
        </w:rPr>
        <w:t>nal stowage area may on some vessels</w:t>
      </w:r>
      <w:r w:rsidRPr="00C4288E">
        <w:rPr>
          <w:rFonts w:cs="Arial"/>
          <w:bCs/>
          <w:color w:val="000000"/>
          <w:sz w:val="22"/>
          <w:szCs w:val="22"/>
          <w:lang w:eastAsia="en-GB"/>
        </w:rPr>
        <w:t xml:space="preserve"> reduce the passenger carrying capacity</w:t>
      </w:r>
      <w:r w:rsidR="00F67902">
        <w:rPr>
          <w:rFonts w:cs="Arial"/>
          <w:bCs/>
          <w:color w:val="000000"/>
          <w:sz w:val="22"/>
          <w:szCs w:val="22"/>
          <w:lang w:eastAsia="en-GB"/>
        </w:rPr>
        <w:t xml:space="preserve"> and have revenue implications for operators. We however expect the number of instances of this to be minimal. </w:t>
      </w:r>
      <w:r w:rsidR="00F67902" w:rsidRPr="00C4288E">
        <w:rPr>
          <w:rFonts w:cs="Arial"/>
          <w:bCs/>
          <w:color w:val="000000"/>
          <w:sz w:val="22"/>
          <w:szCs w:val="22"/>
          <w:lang w:eastAsia="en-GB"/>
        </w:rPr>
        <w:t>Where addit</w:t>
      </w:r>
      <w:r w:rsidR="00F67902">
        <w:rPr>
          <w:rFonts w:cs="Arial"/>
          <w:bCs/>
          <w:color w:val="000000"/>
          <w:sz w:val="22"/>
          <w:szCs w:val="22"/>
          <w:lang w:eastAsia="en-GB"/>
        </w:rPr>
        <w:t>ional stowage space is required</w:t>
      </w:r>
      <w:r w:rsidR="00F67902" w:rsidRPr="00C4288E">
        <w:rPr>
          <w:rFonts w:cs="Arial"/>
          <w:bCs/>
          <w:color w:val="000000"/>
          <w:sz w:val="22"/>
          <w:szCs w:val="22"/>
          <w:lang w:eastAsia="en-GB"/>
        </w:rPr>
        <w:t xml:space="preserve"> this is unique to each vessel and cannot be calculated without det</w:t>
      </w:r>
      <w:r w:rsidR="00F67902">
        <w:rPr>
          <w:rFonts w:cs="Arial"/>
          <w:bCs/>
          <w:color w:val="000000"/>
          <w:sz w:val="22"/>
          <w:szCs w:val="22"/>
          <w:lang w:eastAsia="en-GB"/>
        </w:rPr>
        <w:t>ailed engineering analysis.</w:t>
      </w:r>
    </w:p>
    <w:p w14:paraId="6A903312" w14:textId="77777777" w:rsidR="00C4288E" w:rsidRPr="00C4288E" w:rsidRDefault="00D946B3" w:rsidP="00C4288E">
      <w:pPr>
        <w:spacing w:after="120" w:line="259" w:lineRule="auto"/>
        <w:rPr>
          <w:rFonts w:cs="Arial"/>
          <w:bCs/>
          <w:color w:val="000000"/>
          <w:sz w:val="22"/>
          <w:szCs w:val="22"/>
          <w:lang w:eastAsia="en-GB"/>
        </w:rPr>
      </w:pPr>
      <w:r>
        <w:rPr>
          <w:rFonts w:cs="Arial"/>
          <w:bCs/>
          <w:color w:val="000000"/>
          <w:sz w:val="22"/>
          <w:szCs w:val="22"/>
          <w:lang w:eastAsia="en-GB"/>
        </w:rPr>
        <w:t>Additionally,</w:t>
      </w:r>
      <w:r w:rsidR="00F67902">
        <w:rPr>
          <w:rFonts w:cs="Arial"/>
          <w:bCs/>
          <w:color w:val="000000"/>
          <w:sz w:val="22"/>
          <w:szCs w:val="22"/>
          <w:lang w:eastAsia="en-GB"/>
        </w:rPr>
        <w:t xml:space="preserve"> </w:t>
      </w:r>
      <w:r w:rsidR="00C4288E" w:rsidRPr="00C4288E">
        <w:rPr>
          <w:rFonts w:cs="Arial"/>
          <w:bCs/>
          <w:color w:val="000000"/>
          <w:sz w:val="22"/>
          <w:szCs w:val="22"/>
          <w:lang w:eastAsia="en-GB"/>
        </w:rPr>
        <w:t>liferafts will be slightly heavier</w:t>
      </w:r>
      <w:r w:rsidR="00F67902">
        <w:rPr>
          <w:rFonts w:cs="Arial"/>
          <w:bCs/>
          <w:color w:val="000000"/>
          <w:sz w:val="22"/>
          <w:szCs w:val="22"/>
          <w:lang w:eastAsia="en-GB"/>
        </w:rPr>
        <w:t xml:space="preserve"> than buoyant apparatus and </w:t>
      </w:r>
      <w:r w:rsidR="00C4288E" w:rsidRPr="00C4288E">
        <w:rPr>
          <w:rFonts w:cs="Arial"/>
          <w:bCs/>
          <w:color w:val="000000"/>
          <w:sz w:val="22"/>
          <w:szCs w:val="22"/>
          <w:lang w:eastAsia="en-GB"/>
        </w:rPr>
        <w:t xml:space="preserve">may require an additional stability check. The need for a stability check will depend on the specific arrangement of the vessel and its life-saving appliance and </w:t>
      </w:r>
      <w:r w:rsidR="004E17B4">
        <w:rPr>
          <w:rFonts w:cs="Arial"/>
          <w:bCs/>
          <w:color w:val="000000"/>
          <w:sz w:val="22"/>
          <w:szCs w:val="22"/>
          <w:lang w:eastAsia="en-GB"/>
        </w:rPr>
        <w:t>d</w:t>
      </w:r>
      <w:r w:rsidR="00F67902">
        <w:rPr>
          <w:rFonts w:cs="Arial"/>
          <w:bCs/>
          <w:color w:val="000000"/>
          <w:sz w:val="22"/>
          <w:szCs w:val="22"/>
          <w:lang w:eastAsia="en-GB"/>
        </w:rPr>
        <w:t xml:space="preserve">ue to this complexity </w:t>
      </w:r>
      <w:r w:rsidR="00C4288E" w:rsidRPr="00C4288E">
        <w:rPr>
          <w:rFonts w:cs="Arial"/>
          <w:bCs/>
          <w:color w:val="000000"/>
          <w:sz w:val="22"/>
          <w:szCs w:val="22"/>
          <w:lang w:eastAsia="en-GB"/>
        </w:rPr>
        <w:t>has not been monetised</w:t>
      </w:r>
      <w:r w:rsidR="00F67902">
        <w:rPr>
          <w:rFonts w:cs="Arial"/>
          <w:bCs/>
          <w:color w:val="000000"/>
          <w:sz w:val="22"/>
          <w:szCs w:val="22"/>
          <w:lang w:eastAsia="en-GB"/>
        </w:rPr>
        <w:t xml:space="preserve">. </w:t>
      </w:r>
      <w:r w:rsidR="00797E5E" w:rsidRPr="00C4288E">
        <w:rPr>
          <w:rFonts w:cs="Arial"/>
          <w:bCs/>
          <w:color w:val="000000"/>
          <w:sz w:val="22"/>
          <w:szCs w:val="22"/>
          <w:lang w:eastAsia="en-GB"/>
        </w:rPr>
        <w:t>We</w:t>
      </w:r>
      <w:r w:rsidR="00C4288E" w:rsidRPr="00C4288E">
        <w:rPr>
          <w:rFonts w:cs="Arial"/>
          <w:bCs/>
          <w:color w:val="000000"/>
          <w:sz w:val="22"/>
          <w:szCs w:val="22"/>
          <w:lang w:eastAsia="en-GB"/>
        </w:rPr>
        <w:t xml:space="preserve"> expect the scale</w:t>
      </w:r>
      <w:r w:rsidR="00F67902">
        <w:rPr>
          <w:rFonts w:cs="Arial"/>
          <w:bCs/>
          <w:color w:val="000000"/>
          <w:sz w:val="22"/>
          <w:szCs w:val="22"/>
          <w:lang w:eastAsia="en-GB"/>
        </w:rPr>
        <w:t xml:space="preserve"> of this cost to be low as</w:t>
      </w:r>
      <w:r w:rsidR="00F67902" w:rsidRPr="00C4288E">
        <w:rPr>
          <w:rFonts w:cs="Arial"/>
          <w:bCs/>
          <w:color w:val="000000"/>
          <w:sz w:val="22"/>
          <w:szCs w:val="22"/>
          <w:lang w:eastAsia="en-GB"/>
        </w:rPr>
        <w:t xml:space="preserve"> stability checks are carried out routinely as a standar</w:t>
      </w:r>
      <w:r w:rsidR="00F67902">
        <w:rPr>
          <w:rFonts w:cs="Arial"/>
          <w:bCs/>
          <w:color w:val="000000"/>
          <w:sz w:val="22"/>
          <w:szCs w:val="22"/>
          <w:lang w:eastAsia="en-GB"/>
        </w:rPr>
        <w:t>d part of a vessel's operations.</w:t>
      </w:r>
    </w:p>
    <w:p w14:paraId="39041BFF" w14:textId="77777777" w:rsidR="00C4288E" w:rsidRPr="00C4288E" w:rsidRDefault="00C4288E" w:rsidP="00C4288E">
      <w:pPr>
        <w:keepNext/>
        <w:numPr>
          <w:ilvl w:val="3"/>
          <w:numId w:val="25"/>
        </w:numPr>
        <w:spacing w:before="240" w:after="120"/>
        <w:ind w:left="1077" w:hanging="1077"/>
        <w:outlineLvl w:val="4"/>
        <w:rPr>
          <w:bCs/>
          <w:i/>
          <w:iCs/>
          <w:sz w:val="22"/>
          <w:szCs w:val="26"/>
        </w:rPr>
      </w:pPr>
      <w:bookmarkStart w:id="23" w:name="_Ref518990435"/>
      <w:r w:rsidRPr="00C4288E">
        <w:rPr>
          <w:bCs/>
          <w:i/>
          <w:iCs/>
          <w:sz w:val="22"/>
          <w:szCs w:val="26"/>
        </w:rPr>
        <w:t>Monetised benefits</w:t>
      </w:r>
      <w:bookmarkEnd w:id="23"/>
    </w:p>
    <w:p w14:paraId="6DB2D309" w14:textId="7F8B1274" w:rsidR="00C4288E" w:rsidRPr="00C4288E" w:rsidRDefault="00F67902" w:rsidP="00C4288E">
      <w:pPr>
        <w:spacing w:after="120" w:line="259" w:lineRule="auto"/>
        <w:rPr>
          <w:rFonts w:cs="Arial"/>
          <w:bCs/>
          <w:color w:val="000000"/>
          <w:sz w:val="22"/>
          <w:szCs w:val="22"/>
          <w:lang w:eastAsia="en-GB"/>
        </w:rPr>
      </w:pPr>
      <w:r>
        <w:rPr>
          <w:rFonts w:cs="Arial"/>
          <w:bCs/>
          <w:color w:val="000000"/>
          <w:sz w:val="22"/>
          <w:szCs w:val="22"/>
          <w:lang w:eastAsia="en-GB"/>
        </w:rPr>
        <w:t>The</w:t>
      </w:r>
      <w:r w:rsidR="005B4760">
        <w:rPr>
          <w:rFonts w:cs="Arial"/>
          <w:bCs/>
          <w:color w:val="000000"/>
          <w:sz w:val="22"/>
          <w:szCs w:val="22"/>
          <w:lang w:eastAsia="en-GB"/>
        </w:rPr>
        <w:t xml:space="preserve"> </w:t>
      </w:r>
      <w:r w:rsidR="005B4760" w:rsidRPr="005B4760">
        <w:rPr>
          <w:rFonts w:cs="Arial"/>
          <w:bCs/>
          <w:color w:val="000000"/>
          <w:sz w:val="22"/>
          <w:szCs w:val="22"/>
          <w:lang w:eastAsia="en-GB"/>
        </w:rPr>
        <w:t>Formal Safety Assessment</w:t>
      </w:r>
      <w:r>
        <w:rPr>
          <w:rFonts w:cs="Arial"/>
          <w:bCs/>
          <w:color w:val="000000"/>
          <w:sz w:val="22"/>
          <w:szCs w:val="22"/>
          <w:lang w:eastAsia="en-GB"/>
        </w:rPr>
        <w:t xml:space="preserve"> </w:t>
      </w:r>
      <w:r w:rsidR="005B4760">
        <w:rPr>
          <w:rFonts w:cs="Arial"/>
          <w:bCs/>
          <w:color w:val="000000"/>
          <w:sz w:val="22"/>
          <w:szCs w:val="22"/>
          <w:lang w:eastAsia="en-GB"/>
        </w:rPr>
        <w:t>(</w:t>
      </w:r>
      <w:r>
        <w:rPr>
          <w:rFonts w:cs="Arial"/>
          <w:bCs/>
          <w:color w:val="000000"/>
          <w:sz w:val="22"/>
          <w:szCs w:val="22"/>
          <w:lang w:eastAsia="en-GB"/>
        </w:rPr>
        <w:t>FSA</w:t>
      </w:r>
      <w:r w:rsidR="005B4760">
        <w:rPr>
          <w:rFonts w:cs="Arial"/>
          <w:bCs/>
          <w:color w:val="000000"/>
          <w:sz w:val="22"/>
          <w:szCs w:val="22"/>
          <w:lang w:eastAsia="en-GB"/>
        </w:rPr>
        <w:t>) conducted</w:t>
      </w:r>
      <w:r>
        <w:rPr>
          <w:rFonts w:cs="Arial"/>
          <w:bCs/>
          <w:color w:val="000000"/>
          <w:sz w:val="22"/>
          <w:szCs w:val="22"/>
          <w:lang w:eastAsia="en-GB"/>
        </w:rPr>
        <w:t xml:space="preserve"> </w:t>
      </w:r>
      <w:r w:rsidR="005B4760">
        <w:rPr>
          <w:rFonts w:cs="Arial"/>
          <w:bCs/>
          <w:color w:val="000000"/>
          <w:sz w:val="22"/>
          <w:szCs w:val="22"/>
          <w:lang w:eastAsia="en-GB"/>
        </w:rPr>
        <w:t>estimated</w:t>
      </w:r>
      <w:r w:rsidR="00C4288E" w:rsidRPr="00C4288E">
        <w:rPr>
          <w:rFonts w:cs="Arial"/>
          <w:bCs/>
          <w:color w:val="000000"/>
          <w:sz w:val="22"/>
          <w:szCs w:val="22"/>
          <w:lang w:eastAsia="en-GB"/>
        </w:rPr>
        <w:t xml:space="preserve"> a risk model</w:t>
      </w:r>
      <w:r>
        <w:rPr>
          <w:rFonts w:cs="Arial"/>
          <w:bCs/>
          <w:color w:val="000000"/>
          <w:sz w:val="22"/>
          <w:szCs w:val="22"/>
          <w:lang w:eastAsia="en-GB"/>
        </w:rPr>
        <w:t xml:space="preserve"> </w:t>
      </w:r>
      <w:r w:rsidR="00C4288E" w:rsidRPr="00C4288E">
        <w:rPr>
          <w:rFonts w:cs="Arial"/>
          <w:bCs/>
          <w:color w:val="000000"/>
          <w:sz w:val="22"/>
          <w:szCs w:val="22"/>
          <w:lang w:eastAsia="en-GB"/>
        </w:rPr>
        <w:t>which looked at the probability of various incidents involving passenger vessels, and the likelihood of an individual fatality, an injury, or a group fatality.</w:t>
      </w:r>
      <w:r w:rsidRPr="00F67902">
        <w:rPr>
          <w:rStyle w:val="FootnoteReference"/>
          <w:rFonts w:cs="Arial"/>
          <w:bCs/>
          <w:color w:val="000000"/>
          <w:szCs w:val="22"/>
          <w:lang w:eastAsia="en-GB"/>
        </w:rPr>
        <w:t xml:space="preserve"> </w:t>
      </w:r>
      <w:r>
        <w:rPr>
          <w:rStyle w:val="FootnoteReference"/>
          <w:rFonts w:cs="Arial"/>
          <w:bCs/>
          <w:color w:val="000000"/>
          <w:szCs w:val="22"/>
          <w:lang w:eastAsia="en-GB"/>
        </w:rPr>
        <w:footnoteReference w:id="6"/>
      </w:r>
      <w:r w:rsidR="00C4288E" w:rsidRPr="00C4288E">
        <w:rPr>
          <w:rFonts w:cs="Arial"/>
          <w:bCs/>
          <w:color w:val="000000"/>
          <w:sz w:val="22"/>
          <w:szCs w:val="22"/>
          <w:lang w:eastAsia="en-GB"/>
        </w:rPr>
        <w:t xml:space="preserve"> These probabilities are based on databases of historic accidents</w:t>
      </w:r>
      <w:r w:rsidR="006C63BF">
        <w:rPr>
          <w:rFonts w:cs="Arial"/>
          <w:bCs/>
          <w:color w:val="000000"/>
          <w:sz w:val="22"/>
          <w:szCs w:val="22"/>
          <w:lang w:eastAsia="en-GB"/>
        </w:rPr>
        <w:t>. W</w:t>
      </w:r>
      <w:r w:rsidR="00C4288E" w:rsidRPr="00C4288E">
        <w:rPr>
          <w:rFonts w:cs="Arial"/>
          <w:bCs/>
          <w:color w:val="000000"/>
          <w:sz w:val="22"/>
          <w:szCs w:val="22"/>
          <w:lang w:eastAsia="en-GB"/>
        </w:rPr>
        <w:t xml:space="preserve">e </w:t>
      </w:r>
      <w:r w:rsidR="006C63BF">
        <w:rPr>
          <w:rFonts w:cs="Arial"/>
          <w:bCs/>
          <w:color w:val="000000"/>
          <w:sz w:val="22"/>
          <w:szCs w:val="22"/>
          <w:lang w:eastAsia="en-GB"/>
        </w:rPr>
        <w:t>have</w:t>
      </w:r>
      <w:r w:rsidR="00C4288E" w:rsidRPr="00C4288E">
        <w:rPr>
          <w:rFonts w:cs="Arial"/>
          <w:bCs/>
          <w:color w:val="000000"/>
          <w:sz w:val="22"/>
          <w:szCs w:val="22"/>
          <w:lang w:eastAsia="en-GB"/>
        </w:rPr>
        <w:t xml:space="preserve"> monetised benefits of prevented </w:t>
      </w:r>
      <w:r w:rsidR="00C4288E" w:rsidRPr="00C4288E">
        <w:rPr>
          <w:rFonts w:cs="Arial"/>
          <w:bCs/>
          <w:i/>
          <w:color w:val="000000"/>
          <w:sz w:val="22"/>
          <w:szCs w:val="22"/>
          <w:lang w:eastAsia="en-GB"/>
        </w:rPr>
        <w:t>individual</w:t>
      </w:r>
      <w:r w:rsidR="00C4288E" w:rsidRPr="00C4288E">
        <w:rPr>
          <w:rFonts w:cs="Arial"/>
          <w:bCs/>
          <w:color w:val="000000"/>
          <w:sz w:val="22"/>
          <w:szCs w:val="22"/>
          <w:lang w:eastAsia="en-GB"/>
        </w:rPr>
        <w:t xml:space="preserve"> fatalities and injuries only, and do not consider that society has a greater aversion to multiple fatalities resulting from a single incident.</w:t>
      </w:r>
    </w:p>
    <w:p w14:paraId="0056F277" w14:textId="77777777" w:rsidR="005701C8" w:rsidRDefault="00C4288E" w:rsidP="004C71CF">
      <w:pPr>
        <w:spacing w:after="120" w:line="259" w:lineRule="auto"/>
        <w:rPr>
          <w:rFonts w:cs="Arial"/>
          <w:bCs/>
          <w:color w:val="000000"/>
          <w:sz w:val="22"/>
          <w:szCs w:val="22"/>
          <w:lang w:eastAsia="en-GB"/>
        </w:rPr>
      </w:pPr>
      <w:r w:rsidRPr="00C4288E">
        <w:rPr>
          <w:rFonts w:cs="Arial"/>
          <w:bCs/>
          <w:color w:val="000000"/>
          <w:sz w:val="22"/>
          <w:szCs w:val="22"/>
          <w:lang w:eastAsia="en-GB"/>
        </w:rPr>
        <w:t>As would be expected, the risk of an incident varies depending on the location of the journey, with busier waterways at g</w:t>
      </w:r>
      <w:r w:rsidR="00E43B93">
        <w:rPr>
          <w:rFonts w:cs="Arial"/>
          <w:bCs/>
          <w:color w:val="000000"/>
          <w:sz w:val="22"/>
          <w:szCs w:val="22"/>
          <w:lang w:eastAsia="en-GB"/>
        </w:rPr>
        <w:t xml:space="preserve">reater risk. The FSA estimates </w:t>
      </w:r>
      <w:r w:rsidRPr="00C4288E">
        <w:rPr>
          <w:rFonts w:cs="Arial"/>
          <w:bCs/>
          <w:color w:val="000000"/>
          <w:sz w:val="22"/>
          <w:szCs w:val="22"/>
          <w:lang w:eastAsia="en-GB"/>
        </w:rPr>
        <w:t>the individual risk of an injury, fatality, or accident</w:t>
      </w:r>
      <w:r w:rsidR="004C71CF">
        <w:rPr>
          <w:rFonts w:cs="Arial"/>
          <w:bCs/>
          <w:color w:val="000000"/>
          <w:sz w:val="22"/>
          <w:szCs w:val="22"/>
          <w:lang w:eastAsia="en-GB"/>
        </w:rPr>
        <w:t xml:space="preserve">, as well as the frequency that different types of accident occur. These are detailed in full in annex </w:t>
      </w:r>
      <w:r w:rsidR="00D3313F" w:rsidRPr="00D3313F">
        <w:rPr>
          <w:rFonts w:cs="Arial"/>
          <w:bCs/>
          <w:color w:val="000000"/>
          <w:sz w:val="22"/>
          <w:szCs w:val="22"/>
          <w:lang w:eastAsia="en-GB"/>
        </w:rPr>
        <w:t>C</w:t>
      </w:r>
      <w:r w:rsidR="004C71CF">
        <w:rPr>
          <w:rFonts w:cs="Arial"/>
          <w:bCs/>
          <w:color w:val="000000"/>
          <w:sz w:val="22"/>
          <w:szCs w:val="22"/>
          <w:lang w:eastAsia="en-GB"/>
        </w:rPr>
        <w:t>, with only key information presented in this section.</w:t>
      </w:r>
      <w:r w:rsidR="004C71CF" w:rsidRPr="004C71CF">
        <w:rPr>
          <w:rFonts w:cs="Arial"/>
          <w:bCs/>
          <w:color w:val="000000"/>
          <w:sz w:val="22"/>
          <w:szCs w:val="22"/>
          <w:lang w:eastAsia="en-GB"/>
        </w:rPr>
        <w:t xml:space="preserve"> The</w:t>
      </w:r>
      <w:r w:rsidR="006C63BF" w:rsidRPr="004C71CF">
        <w:rPr>
          <w:rFonts w:cs="Arial"/>
          <w:bCs/>
          <w:color w:val="000000"/>
          <w:sz w:val="22"/>
          <w:szCs w:val="22"/>
          <w:lang w:eastAsia="en-GB"/>
        </w:rPr>
        <w:t xml:space="preserve"> FSA</w:t>
      </w:r>
      <w:r w:rsidR="004C71CF" w:rsidRPr="004C71CF">
        <w:rPr>
          <w:rFonts w:cs="Arial"/>
          <w:bCs/>
          <w:color w:val="000000"/>
          <w:sz w:val="22"/>
          <w:szCs w:val="22"/>
          <w:lang w:eastAsia="en-GB"/>
        </w:rPr>
        <w:t xml:space="preserve"> also</w:t>
      </w:r>
      <w:r w:rsidR="006C63BF" w:rsidRPr="004C71CF">
        <w:rPr>
          <w:rFonts w:cs="Arial"/>
          <w:bCs/>
          <w:color w:val="000000"/>
          <w:sz w:val="22"/>
          <w:szCs w:val="22"/>
          <w:lang w:eastAsia="en-GB"/>
        </w:rPr>
        <w:t xml:space="preserve"> provides for each accident type </w:t>
      </w:r>
      <w:r w:rsidR="005A07C0" w:rsidRPr="004C71CF">
        <w:rPr>
          <w:rFonts w:cs="Arial"/>
          <w:bCs/>
          <w:color w:val="000000"/>
          <w:sz w:val="22"/>
          <w:szCs w:val="22"/>
          <w:lang w:eastAsia="en-GB"/>
        </w:rPr>
        <w:t>an event tree with probabilities. An example even</w:t>
      </w:r>
      <w:r w:rsidR="006C63BF" w:rsidRPr="004C71CF">
        <w:rPr>
          <w:rFonts w:cs="Arial"/>
          <w:bCs/>
          <w:color w:val="000000"/>
          <w:sz w:val="22"/>
          <w:szCs w:val="22"/>
          <w:lang w:eastAsia="en-GB"/>
        </w:rPr>
        <w:t>t tree for a collision accident</w:t>
      </w:r>
      <w:r w:rsidR="005A07C0" w:rsidRPr="004C71CF">
        <w:rPr>
          <w:rFonts w:cs="Arial"/>
          <w:bCs/>
          <w:color w:val="000000"/>
          <w:sz w:val="22"/>
          <w:szCs w:val="22"/>
          <w:lang w:eastAsia="en-GB"/>
        </w:rPr>
        <w:t xml:space="preserve"> is presented </w:t>
      </w:r>
      <w:r w:rsidR="006C63BF" w:rsidRPr="004C71CF">
        <w:rPr>
          <w:rFonts w:cs="Arial"/>
          <w:bCs/>
          <w:color w:val="000000"/>
          <w:sz w:val="22"/>
          <w:szCs w:val="22"/>
          <w:lang w:eastAsia="en-GB"/>
        </w:rPr>
        <w:t xml:space="preserve">in annex </w:t>
      </w:r>
      <w:r w:rsidR="00D3313F" w:rsidRPr="00D3313F">
        <w:rPr>
          <w:rFonts w:cs="Arial"/>
          <w:bCs/>
          <w:color w:val="000000"/>
          <w:sz w:val="22"/>
          <w:szCs w:val="22"/>
          <w:lang w:eastAsia="en-GB"/>
        </w:rPr>
        <w:t>D</w:t>
      </w:r>
      <w:r w:rsidR="006C63BF" w:rsidRPr="004C71CF">
        <w:rPr>
          <w:rFonts w:cs="Arial"/>
          <w:bCs/>
          <w:color w:val="000000"/>
          <w:sz w:val="22"/>
          <w:szCs w:val="22"/>
          <w:lang w:eastAsia="en-GB"/>
        </w:rPr>
        <w:t xml:space="preserve">. </w:t>
      </w:r>
      <w:r w:rsidR="005A07C0" w:rsidRPr="004C71CF">
        <w:rPr>
          <w:rFonts w:cs="Arial"/>
          <w:bCs/>
          <w:color w:val="000000"/>
          <w:sz w:val="22"/>
          <w:szCs w:val="22"/>
          <w:lang w:eastAsia="en-GB"/>
        </w:rPr>
        <w:t xml:space="preserve">We assume that any passenger who in the risk model would have drowned, would now be saved due to the provision of a liferaft. </w:t>
      </w:r>
    </w:p>
    <w:p w14:paraId="22A06BD1" w14:textId="77777777" w:rsidR="005A07C0" w:rsidRPr="004C71CF" w:rsidRDefault="004E0159" w:rsidP="004C71CF">
      <w:pPr>
        <w:spacing w:after="120" w:line="259" w:lineRule="auto"/>
        <w:rPr>
          <w:rFonts w:cs="Arial"/>
          <w:bCs/>
          <w:color w:val="000000"/>
          <w:sz w:val="22"/>
          <w:szCs w:val="22"/>
          <w:lang w:eastAsia="en-GB"/>
        </w:rPr>
      </w:pPr>
      <w:r>
        <w:rPr>
          <w:rFonts w:cs="Arial"/>
          <w:bCs/>
          <w:color w:val="000000"/>
          <w:sz w:val="22"/>
          <w:szCs w:val="22"/>
          <w:lang w:eastAsia="en-GB"/>
        </w:rPr>
        <w:t>Firstly,</w:t>
      </w:r>
      <w:r w:rsidR="002C7B31">
        <w:rPr>
          <w:rFonts w:cs="Arial"/>
          <w:bCs/>
          <w:color w:val="000000"/>
          <w:sz w:val="22"/>
          <w:szCs w:val="22"/>
          <w:lang w:eastAsia="en-GB"/>
        </w:rPr>
        <w:t xml:space="preserve"> w</w:t>
      </w:r>
      <w:r w:rsidR="005A07C0" w:rsidRPr="004C71CF">
        <w:rPr>
          <w:rFonts w:cs="Arial"/>
          <w:bCs/>
          <w:color w:val="000000"/>
          <w:sz w:val="22"/>
          <w:szCs w:val="22"/>
          <w:lang w:eastAsia="en-GB"/>
        </w:rPr>
        <w:t>e calcula</w:t>
      </w:r>
      <w:r w:rsidR="006C63BF" w:rsidRPr="004C71CF">
        <w:rPr>
          <w:rFonts w:cs="Arial"/>
          <w:bCs/>
          <w:color w:val="000000"/>
          <w:sz w:val="22"/>
          <w:szCs w:val="22"/>
          <w:lang w:eastAsia="en-GB"/>
        </w:rPr>
        <w:t>te the</w:t>
      </w:r>
      <w:r w:rsidR="002C7B31">
        <w:rPr>
          <w:rFonts w:cs="Arial"/>
          <w:bCs/>
          <w:color w:val="000000"/>
          <w:sz w:val="22"/>
          <w:szCs w:val="22"/>
          <w:lang w:eastAsia="en-GB"/>
        </w:rPr>
        <w:t xml:space="preserve"> average </w:t>
      </w:r>
      <w:r w:rsidR="00E43B93">
        <w:rPr>
          <w:rFonts w:cs="Arial"/>
          <w:bCs/>
          <w:color w:val="000000"/>
          <w:sz w:val="22"/>
          <w:szCs w:val="22"/>
          <w:lang w:eastAsia="en-GB"/>
        </w:rPr>
        <w:t>probability</w:t>
      </w:r>
      <w:r w:rsidR="002C7B31">
        <w:rPr>
          <w:rFonts w:cs="Arial"/>
          <w:bCs/>
          <w:color w:val="000000"/>
          <w:sz w:val="22"/>
          <w:szCs w:val="22"/>
          <w:lang w:eastAsia="en-GB"/>
        </w:rPr>
        <w:t xml:space="preserve"> of a fatality occurring due to drowning </w:t>
      </w:r>
      <w:r w:rsidR="00E43B93">
        <w:rPr>
          <w:rFonts w:cs="Arial"/>
          <w:bCs/>
          <w:color w:val="000000"/>
          <w:sz w:val="22"/>
          <w:szCs w:val="22"/>
          <w:lang w:eastAsia="en-GB"/>
        </w:rPr>
        <w:t>per incident</w:t>
      </w:r>
      <w:r w:rsidR="002C7B31">
        <w:rPr>
          <w:rFonts w:cs="Arial"/>
          <w:bCs/>
          <w:color w:val="000000"/>
          <w:sz w:val="22"/>
          <w:szCs w:val="22"/>
          <w:lang w:eastAsia="en-GB"/>
        </w:rPr>
        <w:t>. We estimate this by constructing a weighted average of the probability of drowning in each accident category by the chance of that accident category occurring</w:t>
      </w:r>
      <w:r w:rsidR="00E43B93">
        <w:rPr>
          <w:rFonts w:cs="Arial"/>
          <w:bCs/>
          <w:color w:val="000000"/>
          <w:sz w:val="22"/>
          <w:szCs w:val="22"/>
          <w:lang w:eastAsia="en-GB"/>
        </w:rPr>
        <w:t xml:space="preserve"> in the event of an incident</w:t>
      </w:r>
      <w:r w:rsidR="002C7B31">
        <w:rPr>
          <w:rFonts w:cs="Arial"/>
          <w:bCs/>
          <w:color w:val="000000"/>
          <w:sz w:val="22"/>
          <w:szCs w:val="22"/>
          <w:lang w:eastAsia="en-GB"/>
        </w:rPr>
        <w:t>.</w:t>
      </w:r>
      <w:r w:rsidR="00E43B93">
        <w:rPr>
          <w:rFonts w:cs="Arial"/>
          <w:bCs/>
          <w:color w:val="000000"/>
          <w:sz w:val="22"/>
          <w:szCs w:val="22"/>
          <w:lang w:eastAsia="en-GB"/>
        </w:rPr>
        <w:t xml:space="preserve"> Table </w:t>
      </w:r>
      <w:r w:rsidR="00D3313F" w:rsidRPr="00D3313F">
        <w:rPr>
          <w:rFonts w:cs="Arial"/>
          <w:bCs/>
          <w:color w:val="000000"/>
          <w:sz w:val="22"/>
          <w:szCs w:val="22"/>
          <w:lang w:eastAsia="en-GB"/>
        </w:rPr>
        <w:t>5</w:t>
      </w:r>
      <w:r w:rsidR="00E43B93">
        <w:rPr>
          <w:rFonts w:cs="Arial"/>
          <w:bCs/>
          <w:color w:val="000000"/>
          <w:sz w:val="22"/>
          <w:szCs w:val="22"/>
          <w:lang w:eastAsia="en-GB"/>
        </w:rPr>
        <w:t xml:space="preserve"> presents the frequency of incidents by accident category and the probability of a fatality if that accident occurs.</w:t>
      </w:r>
      <w:r w:rsidR="00F5386A">
        <w:rPr>
          <w:rFonts w:cs="Arial"/>
          <w:bCs/>
          <w:color w:val="000000"/>
          <w:sz w:val="22"/>
          <w:szCs w:val="22"/>
          <w:lang w:eastAsia="en-GB"/>
        </w:rPr>
        <w:t xml:space="preserve"> For example, </w:t>
      </w:r>
      <w:r>
        <w:rPr>
          <w:rFonts w:cs="Arial"/>
          <w:bCs/>
          <w:color w:val="000000"/>
          <w:sz w:val="22"/>
          <w:szCs w:val="22"/>
          <w:lang w:eastAsia="en-GB"/>
        </w:rPr>
        <w:t>collisions</w:t>
      </w:r>
      <w:r w:rsidR="00F5386A">
        <w:rPr>
          <w:rFonts w:cs="Arial"/>
          <w:bCs/>
          <w:color w:val="000000"/>
          <w:sz w:val="22"/>
          <w:szCs w:val="22"/>
          <w:lang w:eastAsia="en-GB"/>
        </w:rPr>
        <w:t xml:space="preserve"> represent 10% of all incidents. Where an incident involving a collision does occur, there is a 1.76% chance there will be a fatality, </w:t>
      </w:r>
      <w:r w:rsidR="00692DDE">
        <w:rPr>
          <w:rFonts w:cs="Arial"/>
          <w:bCs/>
          <w:color w:val="000000"/>
          <w:sz w:val="22"/>
          <w:szCs w:val="22"/>
          <w:lang w:eastAsia="en-GB"/>
        </w:rPr>
        <w:t>of which there is an</w:t>
      </w:r>
      <w:r w:rsidR="00F5386A">
        <w:rPr>
          <w:rFonts w:cs="Arial"/>
          <w:bCs/>
          <w:color w:val="000000"/>
          <w:sz w:val="22"/>
          <w:szCs w:val="22"/>
          <w:lang w:eastAsia="en-GB"/>
        </w:rPr>
        <w:t xml:space="preserve"> 0.07% chance that there will be a fatality due to drowning</w:t>
      </w:r>
      <w:r w:rsidR="00692DDE">
        <w:rPr>
          <w:rFonts w:cs="Arial"/>
          <w:bCs/>
          <w:color w:val="000000"/>
          <w:sz w:val="22"/>
          <w:szCs w:val="22"/>
          <w:lang w:eastAsia="en-GB"/>
        </w:rPr>
        <w:t>.</w:t>
      </w:r>
      <w:r w:rsidR="00F5386A">
        <w:rPr>
          <w:rFonts w:cs="Arial"/>
          <w:bCs/>
          <w:color w:val="000000"/>
          <w:sz w:val="22"/>
          <w:szCs w:val="22"/>
          <w:lang w:eastAsia="en-GB"/>
        </w:rPr>
        <w:t xml:space="preserve"> </w:t>
      </w:r>
      <w:r w:rsidR="00E43B93">
        <w:rPr>
          <w:rFonts w:cs="Arial"/>
          <w:bCs/>
          <w:color w:val="000000"/>
          <w:sz w:val="22"/>
          <w:szCs w:val="22"/>
          <w:lang w:eastAsia="en-GB"/>
        </w:rPr>
        <w:t>The accident category ‘</w:t>
      </w:r>
      <w:r w:rsidR="002C7B31">
        <w:rPr>
          <w:rFonts w:cs="Arial"/>
          <w:bCs/>
          <w:color w:val="000000"/>
          <w:sz w:val="22"/>
          <w:szCs w:val="22"/>
          <w:lang w:eastAsia="en-GB"/>
        </w:rPr>
        <w:t>Personal</w:t>
      </w:r>
      <w:r w:rsidR="00E43B93">
        <w:rPr>
          <w:rFonts w:cs="Arial"/>
          <w:bCs/>
          <w:color w:val="000000"/>
          <w:sz w:val="22"/>
          <w:szCs w:val="22"/>
          <w:lang w:eastAsia="en-GB"/>
        </w:rPr>
        <w:t>’ which represent 11% of incidents has been omitted below.</w:t>
      </w:r>
    </w:p>
    <w:tbl>
      <w:tblPr>
        <w:tblStyle w:val="PlainTable2"/>
        <w:tblW w:w="0" w:type="auto"/>
        <w:jc w:val="center"/>
        <w:tblLook w:val="06E0" w:firstRow="1" w:lastRow="1" w:firstColumn="1" w:lastColumn="0" w:noHBand="1" w:noVBand="1"/>
      </w:tblPr>
      <w:tblGrid>
        <w:gridCol w:w="2127"/>
        <w:gridCol w:w="1353"/>
        <w:gridCol w:w="1575"/>
        <w:gridCol w:w="2033"/>
      </w:tblGrid>
      <w:tr w:rsidR="009C488A" w14:paraId="773B3E6E" w14:textId="77777777" w:rsidTr="00940A7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088" w:type="dxa"/>
            <w:gridSpan w:val="4"/>
            <w:tcBorders>
              <w:top w:val="nil"/>
              <w:left w:val="nil"/>
              <w:right w:val="nil"/>
            </w:tcBorders>
          </w:tcPr>
          <w:p w14:paraId="7F54E752" w14:textId="77777777" w:rsidR="009C488A" w:rsidRPr="009C488A" w:rsidRDefault="009C488A" w:rsidP="009C488A">
            <w:pPr>
              <w:pStyle w:val="EBBodyPara"/>
              <w:spacing w:before="40" w:after="40"/>
              <w:rPr>
                <w:b w:val="0"/>
                <w:i/>
              </w:rPr>
            </w:pPr>
            <w:r w:rsidRPr="00E65663">
              <w:rPr>
                <w:b w:val="0"/>
                <w:i/>
              </w:rPr>
              <w:t>T</w:t>
            </w:r>
            <w:r w:rsidR="00940A7B" w:rsidRPr="00E65663">
              <w:rPr>
                <w:b w:val="0"/>
                <w:i/>
              </w:rPr>
              <w:t>able 5</w:t>
            </w:r>
            <w:r w:rsidRPr="00E65663">
              <w:rPr>
                <w:b w:val="0"/>
                <w:i/>
              </w:rPr>
              <w:t>:</w:t>
            </w:r>
            <w:r w:rsidR="00686008">
              <w:rPr>
                <w:b w:val="0"/>
                <w:i/>
              </w:rPr>
              <w:t xml:space="preserve"> </w:t>
            </w:r>
            <w:r w:rsidR="007A43FF">
              <w:rPr>
                <w:b w:val="0"/>
                <w:i/>
              </w:rPr>
              <w:t>Probability of a fatality occurring due to drowning</w:t>
            </w:r>
            <w:r w:rsidR="00940A7B">
              <w:rPr>
                <w:b w:val="0"/>
                <w:i/>
              </w:rPr>
              <w:t xml:space="preserve"> per accident</w:t>
            </w:r>
          </w:p>
        </w:tc>
      </w:tr>
      <w:tr w:rsidR="005A07C0" w14:paraId="6D797EA6"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vMerge w:val="restart"/>
            <w:tcBorders>
              <w:top w:val="single" w:sz="4" w:space="0" w:color="7F7F7F" w:themeColor="text1" w:themeTint="80"/>
              <w:left w:val="nil"/>
              <w:right w:val="nil"/>
            </w:tcBorders>
            <w:hideMark/>
          </w:tcPr>
          <w:p w14:paraId="36D6F5BA" w14:textId="77777777" w:rsidR="005A07C0" w:rsidRDefault="005A07C0">
            <w:pPr>
              <w:pStyle w:val="EBBodyPara"/>
              <w:spacing w:before="40" w:after="40"/>
            </w:pPr>
            <w:r>
              <w:t>Accident category</w:t>
            </w:r>
          </w:p>
        </w:tc>
        <w:tc>
          <w:tcPr>
            <w:tcW w:w="1353" w:type="dxa"/>
            <w:vMerge w:val="restart"/>
            <w:tcBorders>
              <w:top w:val="single" w:sz="4" w:space="0" w:color="7F7F7F" w:themeColor="text1" w:themeTint="80"/>
              <w:left w:val="nil"/>
              <w:right w:val="nil"/>
            </w:tcBorders>
            <w:hideMark/>
          </w:tcPr>
          <w:p w14:paraId="6F9DAC78" w14:textId="77777777" w:rsidR="005A07C0" w:rsidRPr="00BA3214"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rPr>
                <w:b/>
              </w:rPr>
            </w:pPr>
            <w:r w:rsidRPr="00BA3214">
              <w:rPr>
                <w:b/>
              </w:rPr>
              <w:t>Frequency of incident</w:t>
            </w:r>
            <w:r w:rsidR="005701C8" w:rsidRPr="00BA3214">
              <w:rPr>
                <w:b/>
              </w:rPr>
              <w:t xml:space="preserve"> (from FSA)</w:t>
            </w:r>
          </w:p>
        </w:tc>
        <w:tc>
          <w:tcPr>
            <w:tcW w:w="3608" w:type="dxa"/>
            <w:gridSpan w:val="2"/>
            <w:tcBorders>
              <w:top w:val="single" w:sz="4" w:space="0" w:color="7F7F7F" w:themeColor="text1" w:themeTint="80"/>
              <w:left w:val="nil"/>
              <w:right w:val="nil"/>
            </w:tcBorders>
            <w:hideMark/>
          </w:tcPr>
          <w:p w14:paraId="0EEE77E0" w14:textId="77777777" w:rsidR="005A07C0" w:rsidRPr="00BA3214" w:rsidRDefault="00940A7B">
            <w:pPr>
              <w:pStyle w:val="EBBodyPara"/>
              <w:spacing w:before="40" w:after="40"/>
              <w:jc w:val="center"/>
              <w:cnfStyle w:val="000000000000" w:firstRow="0" w:lastRow="0" w:firstColumn="0" w:lastColumn="0" w:oddVBand="0" w:evenVBand="0" w:oddHBand="0" w:evenHBand="0" w:firstRowFirstColumn="0" w:firstRowLastColumn="0" w:lastRowFirstColumn="0" w:lastRowLastColumn="0"/>
              <w:rPr>
                <w:b/>
              </w:rPr>
            </w:pPr>
            <w:r w:rsidRPr="00BA3214">
              <w:rPr>
                <w:b/>
              </w:rPr>
              <w:t xml:space="preserve">            </w:t>
            </w:r>
            <w:r w:rsidR="005A07C0" w:rsidRPr="00BA3214">
              <w:rPr>
                <w:b/>
              </w:rPr>
              <w:t>Probability of fatality</w:t>
            </w:r>
          </w:p>
        </w:tc>
      </w:tr>
      <w:tr w:rsidR="005A07C0" w14:paraId="311BDBBB"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vMerge/>
            <w:tcBorders>
              <w:top w:val="single" w:sz="4" w:space="0" w:color="7F7F7F" w:themeColor="text1" w:themeTint="80"/>
              <w:left w:val="nil"/>
              <w:bottom w:val="single" w:sz="4" w:space="0" w:color="7F7F7F" w:themeColor="text1" w:themeTint="80"/>
              <w:right w:val="nil"/>
            </w:tcBorders>
            <w:vAlign w:val="center"/>
            <w:hideMark/>
          </w:tcPr>
          <w:p w14:paraId="68FCA1EF" w14:textId="77777777" w:rsidR="005A07C0" w:rsidRDefault="005A07C0">
            <w:pPr>
              <w:rPr>
                <w:rFonts w:cs="Arial"/>
                <w:color w:val="000000"/>
                <w:sz w:val="22"/>
                <w:szCs w:val="22"/>
                <w:lang w:eastAsia="en-GB"/>
              </w:rPr>
            </w:pPr>
          </w:p>
        </w:tc>
        <w:tc>
          <w:tcPr>
            <w:tcW w:w="1353" w:type="dxa"/>
            <w:vMerge/>
            <w:tcBorders>
              <w:top w:val="single" w:sz="4" w:space="0" w:color="7F7F7F" w:themeColor="text1" w:themeTint="80"/>
              <w:left w:val="nil"/>
              <w:bottom w:val="single" w:sz="4" w:space="0" w:color="7F7F7F" w:themeColor="text1" w:themeTint="80"/>
              <w:right w:val="nil"/>
            </w:tcBorders>
            <w:vAlign w:val="center"/>
            <w:hideMark/>
          </w:tcPr>
          <w:p w14:paraId="3EDD42F0" w14:textId="77777777" w:rsidR="005A07C0" w:rsidRPr="00BA3214" w:rsidRDefault="005A07C0">
            <w:pPr>
              <w:cnfStyle w:val="000000000000" w:firstRow="0" w:lastRow="0" w:firstColumn="0" w:lastColumn="0" w:oddVBand="0" w:evenVBand="0" w:oddHBand="0" w:evenHBand="0" w:firstRowFirstColumn="0" w:firstRowLastColumn="0" w:lastRowFirstColumn="0" w:lastRowLastColumn="0"/>
              <w:rPr>
                <w:rFonts w:cs="Arial"/>
                <w:b/>
                <w:color w:val="000000"/>
                <w:sz w:val="22"/>
                <w:szCs w:val="22"/>
                <w:lang w:eastAsia="en-GB"/>
              </w:rPr>
            </w:pPr>
          </w:p>
        </w:tc>
        <w:tc>
          <w:tcPr>
            <w:tcW w:w="1575" w:type="dxa"/>
            <w:tcBorders>
              <w:top w:val="nil"/>
              <w:left w:val="nil"/>
              <w:bottom w:val="single" w:sz="4" w:space="0" w:color="7F7F7F" w:themeColor="text1" w:themeTint="80"/>
              <w:right w:val="nil"/>
            </w:tcBorders>
            <w:hideMark/>
          </w:tcPr>
          <w:p w14:paraId="495DC75B" w14:textId="77777777" w:rsidR="005A07C0" w:rsidRPr="00BA3214"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rPr>
                <w:b/>
                <w:i/>
              </w:rPr>
            </w:pPr>
            <w:r w:rsidRPr="00BA3214">
              <w:rPr>
                <w:b/>
                <w:i/>
              </w:rPr>
              <w:t>Total</w:t>
            </w:r>
          </w:p>
        </w:tc>
        <w:tc>
          <w:tcPr>
            <w:tcW w:w="2033" w:type="dxa"/>
            <w:tcBorders>
              <w:top w:val="nil"/>
              <w:left w:val="nil"/>
              <w:bottom w:val="single" w:sz="4" w:space="0" w:color="7F7F7F" w:themeColor="text1" w:themeTint="80"/>
              <w:right w:val="nil"/>
            </w:tcBorders>
            <w:hideMark/>
          </w:tcPr>
          <w:p w14:paraId="2DB5C38E" w14:textId="77777777" w:rsidR="005A07C0" w:rsidRPr="00BA3214"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rPr>
                <w:b/>
                <w:i/>
              </w:rPr>
            </w:pPr>
            <w:r w:rsidRPr="00BA3214">
              <w:rPr>
                <w:b/>
                <w:i/>
              </w:rPr>
              <w:t>of which due to drowning</w:t>
            </w:r>
          </w:p>
        </w:tc>
      </w:tr>
      <w:tr w:rsidR="005A07C0" w14:paraId="14C8E4C0"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single" w:sz="4" w:space="0" w:color="7F7F7F" w:themeColor="text1" w:themeTint="80"/>
              <w:left w:val="nil"/>
              <w:bottom w:val="nil"/>
              <w:right w:val="nil"/>
            </w:tcBorders>
            <w:hideMark/>
          </w:tcPr>
          <w:p w14:paraId="14C950CE" w14:textId="77777777" w:rsidR="005A07C0" w:rsidRPr="00BA3214" w:rsidRDefault="005A07C0">
            <w:pPr>
              <w:pStyle w:val="EBBodyPara"/>
              <w:spacing w:before="40" w:after="40"/>
              <w:rPr>
                <w:b w:val="0"/>
              </w:rPr>
            </w:pPr>
            <w:r w:rsidRPr="00BA3214">
              <w:rPr>
                <w:b w:val="0"/>
              </w:rPr>
              <w:t>Collision</w:t>
            </w:r>
          </w:p>
        </w:tc>
        <w:tc>
          <w:tcPr>
            <w:tcW w:w="1353" w:type="dxa"/>
            <w:tcBorders>
              <w:top w:val="single" w:sz="4" w:space="0" w:color="7F7F7F" w:themeColor="text1" w:themeTint="80"/>
              <w:left w:val="nil"/>
              <w:bottom w:val="nil"/>
              <w:right w:val="nil"/>
            </w:tcBorders>
            <w:hideMark/>
          </w:tcPr>
          <w:p w14:paraId="0A2DA756"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10%</w:t>
            </w:r>
          </w:p>
        </w:tc>
        <w:tc>
          <w:tcPr>
            <w:tcW w:w="1575" w:type="dxa"/>
            <w:tcBorders>
              <w:top w:val="single" w:sz="4" w:space="0" w:color="7F7F7F" w:themeColor="text1" w:themeTint="80"/>
              <w:left w:val="nil"/>
              <w:bottom w:val="nil"/>
              <w:right w:val="nil"/>
            </w:tcBorders>
            <w:hideMark/>
          </w:tcPr>
          <w:p w14:paraId="14794013"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1.76%</w:t>
            </w:r>
          </w:p>
        </w:tc>
        <w:tc>
          <w:tcPr>
            <w:tcW w:w="2033" w:type="dxa"/>
            <w:tcBorders>
              <w:top w:val="single" w:sz="4" w:space="0" w:color="7F7F7F" w:themeColor="text1" w:themeTint="80"/>
              <w:left w:val="nil"/>
              <w:bottom w:val="nil"/>
              <w:right w:val="nil"/>
            </w:tcBorders>
            <w:hideMark/>
          </w:tcPr>
          <w:p w14:paraId="0A9BC45D"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0.07%</w:t>
            </w:r>
          </w:p>
        </w:tc>
      </w:tr>
      <w:tr w:rsidR="005A07C0" w14:paraId="4217E715"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hideMark/>
          </w:tcPr>
          <w:p w14:paraId="79FC5FBB" w14:textId="77777777" w:rsidR="005A07C0" w:rsidRPr="00BA3214" w:rsidRDefault="005A07C0">
            <w:pPr>
              <w:pStyle w:val="EBBodyPara"/>
              <w:spacing w:before="40" w:after="40"/>
              <w:rPr>
                <w:b w:val="0"/>
              </w:rPr>
            </w:pPr>
            <w:r w:rsidRPr="00BA3214">
              <w:rPr>
                <w:b w:val="0"/>
              </w:rPr>
              <w:t>Grounding</w:t>
            </w:r>
          </w:p>
        </w:tc>
        <w:tc>
          <w:tcPr>
            <w:tcW w:w="1353" w:type="dxa"/>
            <w:tcBorders>
              <w:top w:val="nil"/>
              <w:left w:val="nil"/>
              <w:bottom w:val="nil"/>
              <w:right w:val="nil"/>
            </w:tcBorders>
            <w:hideMark/>
          </w:tcPr>
          <w:p w14:paraId="61F17BCC"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13%</w:t>
            </w:r>
          </w:p>
        </w:tc>
        <w:tc>
          <w:tcPr>
            <w:tcW w:w="1575" w:type="dxa"/>
            <w:tcBorders>
              <w:top w:val="nil"/>
              <w:left w:val="nil"/>
              <w:bottom w:val="nil"/>
              <w:right w:val="nil"/>
            </w:tcBorders>
            <w:hideMark/>
          </w:tcPr>
          <w:p w14:paraId="08272C7C"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0.01%</w:t>
            </w:r>
          </w:p>
        </w:tc>
        <w:tc>
          <w:tcPr>
            <w:tcW w:w="2033" w:type="dxa"/>
            <w:tcBorders>
              <w:top w:val="nil"/>
              <w:left w:val="nil"/>
              <w:bottom w:val="nil"/>
              <w:right w:val="nil"/>
            </w:tcBorders>
            <w:hideMark/>
          </w:tcPr>
          <w:p w14:paraId="61E24FAF"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0.01%</w:t>
            </w:r>
          </w:p>
        </w:tc>
      </w:tr>
      <w:tr w:rsidR="005A07C0" w14:paraId="174A7059"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hideMark/>
          </w:tcPr>
          <w:p w14:paraId="2A08E9CC" w14:textId="77777777" w:rsidR="005A07C0" w:rsidRPr="00BA3214" w:rsidRDefault="005A07C0">
            <w:pPr>
              <w:pStyle w:val="EBBodyPara"/>
              <w:spacing w:before="40" w:after="40"/>
              <w:rPr>
                <w:b w:val="0"/>
              </w:rPr>
            </w:pPr>
            <w:r w:rsidRPr="00BA3214">
              <w:rPr>
                <w:b w:val="0"/>
              </w:rPr>
              <w:t>Contact</w:t>
            </w:r>
          </w:p>
        </w:tc>
        <w:tc>
          <w:tcPr>
            <w:tcW w:w="1353" w:type="dxa"/>
            <w:tcBorders>
              <w:top w:val="nil"/>
              <w:left w:val="nil"/>
              <w:bottom w:val="nil"/>
              <w:right w:val="nil"/>
            </w:tcBorders>
            <w:hideMark/>
          </w:tcPr>
          <w:p w14:paraId="32FDF06E"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49%</w:t>
            </w:r>
          </w:p>
        </w:tc>
        <w:tc>
          <w:tcPr>
            <w:tcW w:w="1575" w:type="dxa"/>
            <w:tcBorders>
              <w:top w:val="nil"/>
              <w:left w:val="nil"/>
              <w:bottom w:val="nil"/>
              <w:right w:val="nil"/>
            </w:tcBorders>
            <w:hideMark/>
          </w:tcPr>
          <w:p w14:paraId="52FD8413"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0.67%</w:t>
            </w:r>
          </w:p>
        </w:tc>
        <w:tc>
          <w:tcPr>
            <w:tcW w:w="2033" w:type="dxa"/>
            <w:tcBorders>
              <w:top w:val="nil"/>
              <w:left w:val="nil"/>
              <w:bottom w:val="nil"/>
              <w:right w:val="nil"/>
            </w:tcBorders>
            <w:hideMark/>
          </w:tcPr>
          <w:p w14:paraId="62C0BE1E"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0.06%</w:t>
            </w:r>
          </w:p>
        </w:tc>
      </w:tr>
      <w:tr w:rsidR="005A07C0" w14:paraId="621DE0FD"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hideMark/>
          </w:tcPr>
          <w:p w14:paraId="1DC4CBF1" w14:textId="77777777" w:rsidR="005A07C0" w:rsidRPr="00BA3214" w:rsidRDefault="005A07C0">
            <w:pPr>
              <w:pStyle w:val="EBBodyPara"/>
              <w:spacing w:before="40" w:after="40"/>
              <w:rPr>
                <w:b w:val="0"/>
              </w:rPr>
            </w:pPr>
            <w:r w:rsidRPr="00BA3214">
              <w:rPr>
                <w:b w:val="0"/>
              </w:rPr>
              <w:t>Flooding</w:t>
            </w:r>
          </w:p>
        </w:tc>
        <w:tc>
          <w:tcPr>
            <w:tcW w:w="1353" w:type="dxa"/>
            <w:tcBorders>
              <w:top w:val="nil"/>
              <w:left w:val="nil"/>
              <w:bottom w:val="nil"/>
              <w:right w:val="nil"/>
            </w:tcBorders>
            <w:hideMark/>
          </w:tcPr>
          <w:p w14:paraId="21D0AC94"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w:t>
            </w:r>
          </w:p>
        </w:tc>
        <w:tc>
          <w:tcPr>
            <w:tcW w:w="1575" w:type="dxa"/>
            <w:tcBorders>
              <w:top w:val="nil"/>
              <w:left w:val="nil"/>
              <w:bottom w:val="nil"/>
              <w:right w:val="nil"/>
            </w:tcBorders>
            <w:hideMark/>
          </w:tcPr>
          <w:p w14:paraId="5D795CF1"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2.81%</w:t>
            </w:r>
          </w:p>
        </w:tc>
        <w:tc>
          <w:tcPr>
            <w:tcW w:w="2033" w:type="dxa"/>
            <w:tcBorders>
              <w:top w:val="nil"/>
              <w:left w:val="nil"/>
              <w:bottom w:val="nil"/>
              <w:right w:val="nil"/>
            </w:tcBorders>
            <w:hideMark/>
          </w:tcPr>
          <w:p w14:paraId="13EF65B7"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2.81%</w:t>
            </w:r>
          </w:p>
        </w:tc>
      </w:tr>
      <w:tr w:rsidR="005A07C0" w14:paraId="596C41CC" w14:textId="77777777" w:rsidTr="00940A7B">
        <w:trPr>
          <w:jc w:val="center"/>
        </w:trPr>
        <w:tc>
          <w:tcPr>
            <w:cnfStyle w:val="001000000000" w:firstRow="0" w:lastRow="0" w:firstColumn="1" w:lastColumn="0" w:oddVBand="0" w:evenVBand="0" w:oddHBand="0" w:evenHBand="0" w:firstRowFirstColumn="0" w:firstRowLastColumn="0" w:lastRowFirstColumn="0" w:lastRowLastColumn="0"/>
            <w:tcW w:w="2127" w:type="dxa"/>
            <w:tcBorders>
              <w:top w:val="nil"/>
              <w:left w:val="nil"/>
              <w:bottom w:val="nil"/>
              <w:right w:val="nil"/>
            </w:tcBorders>
            <w:hideMark/>
          </w:tcPr>
          <w:p w14:paraId="2F4D3D00" w14:textId="77777777" w:rsidR="005A07C0" w:rsidRPr="00BA3214" w:rsidRDefault="005A07C0">
            <w:pPr>
              <w:pStyle w:val="EBBodyPara"/>
              <w:spacing w:before="40" w:after="40"/>
              <w:rPr>
                <w:b w:val="0"/>
              </w:rPr>
            </w:pPr>
            <w:r w:rsidRPr="00BA3214">
              <w:rPr>
                <w:b w:val="0"/>
              </w:rPr>
              <w:t>Fire</w:t>
            </w:r>
          </w:p>
        </w:tc>
        <w:tc>
          <w:tcPr>
            <w:tcW w:w="1353" w:type="dxa"/>
            <w:tcBorders>
              <w:top w:val="nil"/>
              <w:left w:val="nil"/>
              <w:bottom w:val="nil"/>
              <w:right w:val="nil"/>
            </w:tcBorders>
            <w:hideMark/>
          </w:tcPr>
          <w:p w14:paraId="412A02D7"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16%</w:t>
            </w:r>
          </w:p>
        </w:tc>
        <w:tc>
          <w:tcPr>
            <w:tcW w:w="1575" w:type="dxa"/>
            <w:tcBorders>
              <w:top w:val="nil"/>
              <w:left w:val="nil"/>
              <w:bottom w:val="nil"/>
              <w:right w:val="nil"/>
            </w:tcBorders>
            <w:hideMark/>
          </w:tcPr>
          <w:p w14:paraId="03BBC3C8" w14:textId="77777777" w:rsidR="005A07C0" w:rsidRDefault="00633DEF">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3.55</w:t>
            </w:r>
            <w:r w:rsidR="005A07C0">
              <w:t>%</w:t>
            </w:r>
          </w:p>
        </w:tc>
        <w:tc>
          <w:tcPr>
            <w:tcW w:w="2033" w:type="dxa"/>
            <w:tcBorders>
              <w:top w:val="nil"/>
              <w:left w:val="nil"/>
              <w:bottom w:val="nil"/>
              <w:right w:val="nil"/>
            </w:tcBorders>
            <w:hideMark/>
          </w:tcPr>
          <w:p w14:paraId="555282AE" w14:textId="77777777" w:rsidR="005A07C0" w:rsidRDefault="005A07C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0.04%</w:t>
            </w:r>
          </w:p>
        </w:tc>
      </w:tr>
      <w:tr w:rsidR="005A07C0" w14:paraId="619AF5A3" w14:textId="77777777" w:rsidTr="00940A7B">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27" w:type="dxa"/>
            <w:tcBorders>
              <w:left w:val="nil"/>
              <w:bottom w:val="single" w:sz="4" w:space="0" w:color="7F7F7F" w:themeColor="text1" w:themeTint="80"/>
              <w:right w:val="nil"/>
            </w:tcBorders>
            <w:hideMark/>
          </w:tcPr>
          <w:p w14:paraId="2925213A" w14:textId="77777777" w:rsidR="005A07C0" w:rsidRPr="00BA3214" w:rsidRDefault="00E43B93">
            <w:pPr>
              <w:pStyle w:val="EBBodyPara"/>
              <w:spacing w:before="40" w:after="40"/>
              <w:rPr>
                <w:b w:val="0"/>
              </w:rPr>
            </w:pPr>
            <w:r w:rsidRPr="00BA3214">
              <w:rPr>
                <w:b w:val="0"/>
              </w:rPr>
              <w:t>Weighted average</w:t>
            </w:r>
          </w:p>
        </w:tc>
        <w:tc>
          <w:tcPr>
            <w:tcW w:w="1353" w:type="dxa"/>
            <w:tcBorders>
              <w:left w:val="nil"/>
              <w:bottom w:val="single" w:sz="4" w:space="0" w:color="7F7F7F" w:themeColor="text1" w:themeTint="80"/>
              <w:right w:val="nil"/>
            </w:tcBorders>
          </w:tcPr>
          <w:p w14:paraId="10787A0D" w14:textId="77777777" w:rsidR="005A07C0" w:rsidRDefault="005A07C0">
            <w:pPr>
              <w:pStyle w:val="EBBodyPara"/>
              <w:spacing w:before="40" w:after="40"/>
              <w:jc w:val="right"/>
              <w:cnfStyle w:val="010000000000" w:firstRow="0" w:lastRow="1" w:firstColumn="0" w:lastColumn="0" w:oddVBand="0" w:evenVBand="0" w:oddHBand="0" w:evenHBand="0" w:firstRowFirstColumn="0" w:firstRowLastColumn="0" w:lastRowFirstColumn="0" w:lastRowLastColumn="0"/>
            </w:pPr>
          </w:p>
        </w:tc>
        <w:tc>
          <w:tcPr>
            <w:tcW w:w="1575" w:type="dxa"/>
            <w:tcBorders>
              <w:left w:val="nil"/>
              <w:bottom w:val="single" w:sz="4" w:space="0" w:color="7F7F7F" w:themeColor="text1" w:themeTint="80"/>
              <w:right w:val="nil"/>
            </w:tcBorders>
            <w:hideMark/>
          </w:tcPr>
          <w:p w14:paraId="78EEFF3D" w14:textId="77777777" w:rsidR="005A07C0" w:rsidRPr="00B409D5" w:rsidRDefault="005A07C0">
            <w:pPr>
              <w:pStyle w:val="EBBodyPara"/>
              <w:spacing w:before="40" w:after="40"/>
              <w:jc w:val="right"/>
              <w:cnfStyle w:val="010000000000" w:firstRow="0" w:lastRow="1" w:firstColumn="0" w:lastColumn="0" w:oddVBand="0" w:evenVBand="0" w:oddHBand="0" w:evenHBand="0" w:firstRowFirstColumn="0" w:firstRowLastColumn="0" w:lastRowFirstColumn="0" w:lastRowLastColumn="0"/>
              <w:rPr>
                <w:b w:val="0"/>
              </w:rPr>
            </w:pPr>
            <w:r w:rsidRPr="00B409D5">
              <w:rPr>
                <w:b w:val="0"/>
              </w:rPr>
              <w:t>1.24%</w:t>
            </w:r>
          </w:p>
        </w:tc>
        <w:tc>
          <w:tcPr>
            <w:tcW w:w="2033" w:type="dxa"/>
            <w:tcBorders>
              <w:left w:val="nil"/>
              <w:bottom w:val="single" w:sz="4" w:space="0" w:color="7F7F7F" w:themeColor="text1" w:themeTint="80"/>
              <w:right w:val="nil"/>
            </w:tcBorders>
            <w:hideMark/>
          </w:tcPr>
          <w:p w14:paraId="03C2C20C" w14:textId="77777777" w:rsidR="005A07C0" w:rsidRPr="00B409D5" w:rsidRDefault="005A07C0">
            <w:pPr>
              <w:pStyle w:val="EBBodyPara"/>
              <w:spacing w:before="40" w:after="40"/>
              <w:jc w:val="right"/>
              <w:cnfStyle w:val="010000000000" w:firstRow="0" w:lastRow="1" w:firstColumn="0" w:lastColumn="0" w:oddVBand="0" w:evenVBand="0" w:oddHBand="0" w:evenHBand="0" w:firstRowFirstColumn="0" w:firstRowLastColumn="0" w:lastRowFirstColumn="0" w:lastRowLastColumn="0"/>
              <w:rPr>
                <w:b w:val="0"/>
              </w:rPr>
            </w:pPr>
            <w:r w:rsidRPr="00B409D5">
              <w:rPr>
                <w:b w:val="0"/>
              </w:rPr>
              <w:t>0.08%</w:t>
            </w:r>
          </w:p>
        </w:tc>
      </w:tr>
    </w:tbl>
    <w:p w14:paraId="10CE5FA9" w14:textId="77777777" w:rsidR="00FF5E21" w:rsidRDefault="00FF5E21" w:rsidP="00AC3587">
      <w:pPr>
        <w:pStyle w:val="EBBodyPara"/>
        <w:keepNext/>
      </w:pPr>
    </w:p>
    <w:p w14:paraId="76FE7CCA" w14:textId="1C064633" w:rsidR="00DD7B4B" w:rsidRDefault="00240654" w:rsidP="00240654">
      <w:pPr>
        <w:pStyle w:val="EBBodyPara"/>
      </w:pPr>
      <w:r>
        <w:t xml:space="preserve">Given </w:t>
      </w:r>
      <w:r w:rsidR="00090685">
        <w:t>an incident</w:t>
      </w:r>
      <w:r>
        <w:t xml:space="preserve"> has occurred</w:t>
      </w:r>
      <w:r w:rsidR="00F5386A">
        <w:t>, on average</w:t>
      </w:r>
      <w:r>
        <w:t xml:space="preserve"> there is </w:t>
      </w:r>
      <w:r w:rsidR="00966C9E">
        <w:t xml:space="preserve">a 1.24% chance of a </w:t>
      </w:r>
      <w:r w:rsidR="00FC40E9">
        <w:t>fatality, of</w:t>
      </w:r>
      <w:r w:rsidR="00966C9E">
        <w:t xml:space="preserve"> which </w:t>
      </w:r>
      <w:r>
        <w:t>the chance of the fatality due to drowning is 0.08%.</w:t>
      </w:r>
      <w:r w:rsidR="00F5386A">
        <w:t xml:space="preserve"> </w:t>
      </w:r>
      <w:r w:rsidR="00090685">
        <w:t>That means, given an incident</w:t>
      </w:r>
      <w:r>
        <w:t xml:space="preserve"> has occurred, the provision of a liferaft has reduced the prob</w:t>
      </w:r>
      <w:r w:rsidR="00090685">
        <w:t>ability of a fatality by 0.08%.</w:t>
      </w:r>
    </w:p>
    <w:p w14:paraId="37BFCCE6" w14:textId="223E7F96" w:rsidR="00DD7B4B" w:rsidRDefault="003D3F9D" w:rsidP="009D273A">
      <w:pPr>
        <w:pStyle w:val="EBBodyPara"/>
      </w:pPr>
      <w:r w:rsidRPr="003D3F9D">
        <w:t>To calculate the prevented fatalities per vessel per year</w:t>
      </w:r>
      <w:r>
        <w:t xml:space="preserve"> as shown in </w:t>
      </w:r>
      <w:r w:rsidRPr="00E65663">
        <w:t>table 6,</w:t>
      </w:r>
      <w:r w:rsidRPr="003D3F9D">
        <w:t xml:space="preserve"> we first calculate the risk of an incident occurring. Using data from the FSA on the risk of a fatality occurring for each operating environment, we divide this by probability that a fatality occurs give</w:t>
      </w:r>
      <w:r w:rsidR="00DD5553">
        <w:t>n</w:t>
      </w:r>
      <w:r w:rsidRPr="003D3F9D">
        <w:t xml:space="preserve"> there is an incident</w:t>
      </w:r>
      <w:r>
        <w:t xml:space="preserve">. </w:t>
      </w:r>
      <w:r w:rsidR="00472DED">
        <w:t>For</w:t>
      </w:r>
      <w:r w:rsidR="007005AB">
        <w:t xml:space="preserve"> example</w:t>
      </w:r>
      <w:r w:rsidR="00976D46">
        <w:t>,</w:t>
      </w:r>
      <w:r>
        <w:t xml:space="preserve"> in the </w:t>
      </w:r>
      <w:r>
        <w:lastRenderedPageBreak/>
        <w:t xml:space="preserve">case of Tidal/Estuaries, you divide 0.000015% by 1.24% to equal 0.00121%. </w:t>
      </w:r>
      <w:r w:rsidR="005763A9">
        <w:t xml:space="preserve">This is shown using </w:t>
      </w:r>
      <w:r w:rsidR="0042598E">
        <w:t>probabilities in F</w:t>
      </w:r>
      <w:r w:rsidR="005763A9">
        <w:t>igure 1.</w:t>
      </w:r>
    </w:p>
    <w:p w14:paraId="11A2CE9A" w14:textId="3FE2D703" w:rsidR="00DD7B4B" w:rsidRDefault="00E41CDC" w:rsidP="009D273A">
      <w:pPr>
        <w:pStyle w:val="EBBodyPara"/>
      </w:pPr>
      <w:r>
        <w:rPr>
          <w:noProof/>
        </w:rPr>
        <mc:AlternateContent>
          <mc:Choice Requires="wps">
            <w:drawing>
              <wp:anchor distT="0" distB="0" distL="114300" distR="114300" simplePos="0" relativeHeight="251658240" behindDoc="1" locked="0" layoutInCell="1" allowOverlap="1" wp14:anchorId="55F66F0C" wp14:editId="720C13AD">
                <wp:simplePos x="0" y="0"/>
                <wp:positionH relativeFrom="column">
                  <wp:posOffset>492760</wp:posOffset>
                </wp:positionH>
                <wp:positionV relativeFrom="paragraph">
                  <wp:posOffset>235585</wp:posOffset>
                </wp:positionV>
                <wp:extent cx="5873115" cy="3625215"/>
                <wp:effectExtent l="0" t="0" r="13335" b="1333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3625215"/>
                        </a:xfrm>
                        <a:prstGeom prst="rect">
                          <a:avLst/>
                        </a:prstGeom>
                        <a:solidFill>
                          <a:srgbClr val="FFFFFF"/>
                        </a:solidFill>
                        <a:ln w="6350">
                          <a:solidFill>
                            <a:srgbClr val="000000"/>
                          </a:solidFill>
                          <a:miter lim="800000"/>
                          <a:headEnd/>
                          <a:tailEnd/>
                        </a:ln>
                      </wps:spPr>
                      <wps:txbx>
                        <w:txbxContent>
                          <w:p w14:paraId="61E8C687" w14:textId="77777777" w:rsidR="009B01FB" w:rsidRDefault="009B01FB" w:rsidP="000A6457">
                            <w:pPr>
                              <w:pStyle w:val="EBBodyPara"/>
                              <w:jc w:val="center"/>
                              <w:rPr>
                                <w:rFonts w:asciiTheme="minorHAnsi" w:eastAsiaTheme="minorEastAsia" w:hAnsiTheme="minorHAnsi" w:cstheme="minorBidi"/>
                                <w:b/>
                                <w:i/>
                              </w:rPr>
                            </w:pPr>
                            <w:r w:rsidRPr="005763A9">
                              <w:rPr>
                                <w:rFonts w:asciiTheme="minorHAnsi" w:eastAsiaTheme="minorEastAsia" w:hAnsiTheme="minorHAnsi" w:cstheme="minorBidi"/>
                                <w:b/>
                                <w:i/>
                              </w:rPr>
                              <w:t>Figure 1: Estimating the Probability of an Incident Occurring</w:t>
                            </w:r>
                          </w:p>
                          <w:p w14:paraId="3F93D0B6" w14:textId="17FBF1D1" w:rsidR="009B01FB" w:rsidRPr="000A6457" w:rsidRDefault="009B01FB" w:rsidP="000A6457">
                            <w:pPr>
                              <w:pStyle w:val="EBBodyPara"/>
                              <w:rPr>
                                <w:rFonts w:asciiTheme="minorHAnsi" w:eastAsiaTheme="minorEastAsia" w:hAnsiTheme="minorHAnsi" w:cstheme="minorBidi"/>
                                <w:i/>
                                <w:sz w:val="20"/>
                                <w:szCs w:val="20"/>
                              </w:rPr>
                            </w:pPr>
                            <w:r w:rsidRPr="000A6457">
                              <w:rPr>
                                <w:rFonts w:asciiTheme="minorHAnsi" w:eastAsiaTheme="minorEastAsia" w:hAnsiTheme="minorHAnsi" w:cstheme="minorBidi"/>
                                <w:bCs w:val="0"/>
                                <w:i/>
                                <w:sz w:val="20"/>
                                <w:szCs w:val="20"/>
                              </w:rPr>
                              <w:t>(1</w:t>
                            </w:r>
                            <w:r w:rsidRPr="000A6457">
                              <w:rPr>
                                <w:rFonts w:asciiTheme="minorHAnsi" w:eastAsiaTheme="minorEastAsia" w:hAnsiTheme="minorHAnsi" w:cstheme="minorBidi"/>
                                <w:i/>
                                <w:sz w:val="20"/>
                                <w:szCs w:val="20"/>
                              </w:rPr>
                              <w:t>) Presents the probability of a fatality occurring given that an incident has occurred:</w:t>
                            </w:r>
                          </w:p>
                          <w:p w14:paraId="580A5100" w14:textId="77777777" w:rsidR="009B01FB" w:rsidRPr="000A6457" w:rsidRDefault="009B01FB" w:rsidP="000A6457">
                            <w:pPr>
                              <w:pStyle w:val="EBBodyPara"/>
                              <w:rPr>
                                <w:rFonts w:asciiTheme="minorHAnsi" w:eastAsiaTheme="minorEastAsia" w:hAnsiTheme="minorHAnsi" w:cstheme="minorBidi"/>
                                <w:b/>
                                <w:i/>
                              </w:rPr>
                            </w:pPr>
                          </w:p>
                          <w:p w14:paraId="259E9C51" w14:textId="4993C3A8" w:rsidR="009B01FB" w:rsidRPr="00E41CDC" w:rsidRDefault="009B01FB" w:rsidP="00E41CDC">
                            <w:pPr>
                              <w:pStyle w:val="EBBodyPara"/>
                              <w:jc w:val="center"/>
                            </w:pPr>
                            <m:oMathPara>
                              <m:oMath>
                                <m:r>
                                  <w:rPr>
                                    <w:rFonts w:ascii="Cambria Math" w:hAnsi="Cambria Math"/>
                                  </w:rPr>
                                  <m:t xml:space="preserve"> (1)      P</m:t>
                                </m:r>
                                <m:d>
                                  <m:dPr>
                                    <m:ctrlPr>
                                      <w:rPr>
                                        <w:rFonts w:ascii="Cambria Math" w:hAnsi="Cambria Math"/>
                                        <w:i/>
                                      </w:rPr>
                                    </m:ctrlPr>
                                  </m:dPr>
                                  <m:e>
                                    <m:r>
                                      <w:rPr>
                                        <w:rFonts w:ascii="Cambria Math" w:hAnsi="Cambria Math"/>
                                      </w:rPr>
                                      <m:t>Fatality</m:t>
                                    </m:r>
                                  </m:e>
                                  <m:e>
                                    <m:r>
                                      <w:rPr>
                                        <w:rFonts w:ascii="Cambria Math" w:hAnsi="Cambria Math"/>
                                      </w:rPr>
                                      <m:t>Incident</m:t>
                                    </m:r>
                                  </m:e>
                                </m:d>
                                <m:r>
                                  <w:rPr>
                                    <w:rFonts w:ascii="Cambria Math" w:hAnsi="Cambria Math"/>
                                  </w:rPr>
                                  <m:t xml:space="preserve">= </m:t>
                                </m:r>
                                <m:f>
                                  <m:fPr>
                                    <m:ctrlPr>
                                      <w:rPr>
                                        <w:rFonts w:ascii="Cambria Math" w:hAnsi="Cambria Math"/>
                                        <w:i/>
                                      </w:rPr>
                                    </m:ctrlPr>
                                  </m:fPr>
                                  <m:num>
                                    <m:r>
                                      <w:rPr>
                                        <w:rFonts w:ascii="Cambria Math" w:hAnsi="Cambria Math"/>
                                      </w:rPr>
                                      <m:t>P(Fatality and Incident)</m:t>
                                    </m:r>
                                  </m:num>
                                  <m:den>
                                    <m:r>
                                      <w:rPr>
                                        <w:rFonts w:ascii="Cambria Math" w:hAnsi="Cambria Math"/>
                                      </w:rPr>
                                      <m:t>P(Incident)</m:t>
                                    </m:r>
                                  </m:den>
                                </m:f>
                              </m:oMath>
                            </m:oMathPara>
                          </w:p>
                          <w:p w14:paraId="61EA8E45" w14:textId="77777777" w:rsidR="009B01FB" w:rsidRPr="00E41CDC" w:rsidRDefault="009B01FB" w:rsidP="00E41CDC">
                            <w:pPr>
                              <w:pStyle w:val="EBBodyPara"/>
                              <w:jc w:val="center"/>
                            </w:pPr>
                          </w:p>
                          <w:p w14:paraId="21275C2C" w14:textId="46280830" w:rsidR="009B01FB" w:rsidRPr="005763A9" w:rsidRDefault="009B01FB" w:rsidP="00E41CDC">
                            <w:pPr>
                              <w:pStyle w:val="EBBodyPara"/>
                              <w:rPr>
                                <w:i/>
                                <w:sz w:val="20"/>
                                <w:szCs w:val="20"/>
                              </w:rPr>
                            </w:pPr>
                            <w:r w:rsidRPr="005763A9">
                              <w:rPr>
                                <w:i/>
                                <w:sz w:val="20"/>
                                <w:szCs w:val="20"/>
                              </w:rPr>
                              <w:t>Given that when a fatality occurs it is always classed as an</w:t>
                            </w:r>
                            <w:r>
                              <w:rPr>
                                <w:i/>
                                <w:sz w:val="20"/>
                                <w:szCs w:val="20"/>
                              </w:rPr>
                              <w:t xml:space="preserve"> incident, then we can simplify P(Fatality and Incident) = P(Fatality). We can rearrange (1) </w:t>
                            </w:r>
                            <w:r w:rsidRPr="005763A9">
                              <w:rPr>
                                <w:i/>
                                <w:sz w:val="20"/>
                                <w:szCs w:val="20"/>
                              </w:rPr>
                              <w:t>to estimate the probability of an incident occurring</w:t>
                            </w:r>
                            <w:r>
                              <w:rPr>
                                <w:i/>
                                <w:sz w:val="20"/>
                                <w:szCs w:val="20"/>
                              </w:rPr>
                              <w:t>:</w:t>
                            </w:r>
                          </w:p>
                          <w:p w14:paraId="7E60E1BA" w14:textId="77777777" w:rsidR="009B01FB" w:rsidRPr="00E41CDC" w:rsidRDefault="009B01FB" w:rsidP="00E41CDC">
                            <w:pPr>
                              <w:pStyle w:val="EBBodyPara"/>
                              <w:rPr>
                                <w:i/>
                              </w:rPr>
                            </w:pPr>
                          </w:p>
                          <w:p w14:paraId="50DF88F8" w14:textId="0DB64ED8" w:rsidR="009B01FB" w:rsidRPr="005763A9" w:rsidRDefault="009B01FB" w:rsidP="00E41CDC">
                            <w:pPr>
                              <w:pStyle w:val="EBBodyPara"/>
                              <w:jc w:val="center"/>
                            </w:pPr>
                            <m:oMathPara>
                              <m:oMath>
                                <m:r>
                                  <w:rPr>
                                    <w:rFonts w:ascii="Cambria Math" w:hAnsi="Cambria Math"/>
                                  </w:rPr>
                                  <m:t xml:space="preserve"> (2)          P</m:t>
                                </m:r>
                                <m:d>
                                  <m:dPr>
                                    <m:ctrlPr>
                                      <w:rPr>
                                        <w:rFonts w:ascii="Cambria Math" w:hAnsi="Cambria Math"/>
                                        <w:i/>
                                      </w:rPr>
                                    </m:ctrlPr>
                                  </m:dPr>
                                  <m:e>
                                    <m:r>
                                      <w:rPr>
                                        <w:rFonts w:ascii="Cambria Math" w:hAnsi="Cambria Math"/>
                                      </w:rPr>
                                      <m:t>Incident</m:t>
                                    </m:r>
                                  </m:e>
                                </m:d>
                                <m:r>
                                  <w:rPr>
                                    <w:rFonts w:ascii="Cambria Math" w:hAnsi="Cambria Math"/>
                                  </w:rPr>
                                  <m:t xml:space="preserve">= </m:t>
                                </m:r>
                                <m:f>
                                  <m:fPr>
                                    <m:ctrlPr>
                                      <w:rPr>
                                        <w:rFonts w:ascii="Cambria Math" w:hAnsi="Cambria Math"/>
                                        <w:i/>
                                      </w:rPr>
                                    </m:ctrlPr>
                                  </m:fPr>
                                  <m:num>
                                    <m:r>
                                      <w:rPr>
                                        <w:rFonts w:ascii="Cambria Math" w:hAnsi="Cambria Math"/>
                                      </w:rPr>
                                      <m:t>P(Fatality)</m:t>
                                    </m:r>
                                  </m:num>
                                  <m:den>
                                    <m:r>
                                      <w:rPr>
                                        <w:rFonts w:ascii="Cambria Math" w:hAnsi="Cambria Math"/>
                                      </w:rPr>
                                      <m:t>P(Fatality|Incident)</m:t>
                                    </m:r>
                                  </m:den>
                                </m:f>
                              </m:oMath>
                            </m:oMathPara>
                          </w:p>
                          <w:p w14:paraId="04B69392" w14:textId="77777777" w:rsidR="009B01FB" w:rsidRDefault="009B01FB" w:rsidP="00E41CDC">
                            <w:pPr>
                              <w:pStyle w:val="EBBodyPara"/>
                              <w:jc w:val="center"/>
                            </w:pPr>
                          </w:p>
                          <w:p w14:paraId="263EC1DB" w14:textId="16DF8BCD" w:rsidR="009B01FB" w:rsidRDefault="009B01FB" w:rsidP="005763A9">
                            <w:pPr>
                              <w:rPr>
                                <w:i/>
                                <w:sz w:val="20"/>
                                <w:szCs w:val="20"/>
                              </w:rPr>
                            </w:pPr>
                            <w:r>
                              <w:rPr>
                                <w:i/>
                                <w:sz w:val="20"/>
                                <w:szCs w:val="20"/>
                              </w:rPr>
                              <w:t xml:space="preserve">Taking (2) and the </w:t>
                            </w:r>
                            <w:r w:rsidRPr="005763A9">
                              <w:rPr>
                                <w:i/>
                                <w:sz w:val="20"/>
                                <w:szCs w:val="20"/>
                              </w:rPr>
                              <w:t>example of vessels operating on Tidal/Estuaries, then we estimate the following</w:t>
                            </w:r>
                            <w:r>
                              <w:rPr>
                                <w:i/>
                                <w:sz w:val="20"/>
                                <w:szCs w:val="20"/>
                              </w:rPr>
                              <w:t>:</w:t>
                            </w:r>
                          </w:p>
                          <w:p w14:paraId="6E8837E4" w14:textId="77777777" w:rsidR="009B01FB" w:rsidRDefault="009B01FB" w:rsidP="005763A9">
                            <w:pPr>
                              <w:rPr>
                                <w:i/>
                                <w:sz w:val="20"/>
                                <w:szCs w:val="20"/>
                              </w:rPr>
                            </w:pPr>
                          </w:p>
                          <w:p w14:paraId="73382F41" w14:textId="77777777" w:rsidR="009B01FB" w:rsidRDefault="009B01FB" w:rsidP="005763A9">
                            <w:pPr>
                              <w:rPr>
                                <w:i/>
                                <w:sz w:val="20"/>
                                <w:szCs w:val="20"/>
                              </w:rPr>
                            </w:pPr>
                          </w:p>
                          <w:p w14:paraId="53ABE680" w14:textId="6E5DFC11" w:rsidR="009B01FB" w:rsidRDefault="00784110" w:rsidP="005763A9">
                            <w:pPr>
                              <w:pStyle w:val="EBBodyPara"/>
                              <w:jc w:val="center"/>
                            </w:pPr>
                            <m:oMathPara>
                              <m:oMath>
                                <m:d>
                                  <m:dPr>
                                    <m:ctrlPr>
                                      <w:rPr>
                                        <w:rFonts w:ascii="Cambria Math" w:hAnsi="Cambria Math"/>
                                        <w:i/>
                                      </w:rPr>
                                    </m:ctrlPr>
                                  </m:dPr>
                                  <m:e>
                                    <m:r>
                                      <w:rPr>
                                        <w:rFonts w:ascii="Cambria Math" w:hAnsi="Cambria Math"/>
                                      </w:rPr>
                                      <m:t>3</m:t>
                                    </m:r>
                                  </m:e>
                                </m:d>
                                <m:r>
                                  <w:rPr>
                                    <w:rFonts w:ascii="Cambria Math" w:hAnsi="Cambria Math"/>
                                  </w:rPr>
                                  <m:t xml:space="preserve">        0.00121%= </m:t>
                                </m:r>
                                <m:f>
                                  <m:fPr>
                                    <m:ctrlPr>
                                      <w:rPr>
                                        <w:rFonts w:ascii="Cambria Math" w:hAnsi="Cambria Math"/>
                                        <w:i/>
                                      </w:rPr>
                                    </m:ctrlPr>
                                  </m:fPr>
                                  <m:num>
                                    <m:r>
                                      <w:rPr>
                                        <w:rFonts w:ascii="Cambria Math" w:hAnsi="Cambria Math"/>
                                      </w:rPr>
                                      <m:t>0.000015%</m:t>
                                    </m:r>
                                  </m:num>
                                  <m:den>
                                    <m:r>
                                      <w:rPr>
                                        <w:rFonts w:ascii="Cambria Math" w:hAnsi="Cambria Math"/>
                                      </w:rPr>
                                      <m:t>1.24%</m:t>
                                    </m:r>
                                  </m:den>
                                </m:f>
                              </m:oMath>
                            </m:oMathPara>
                          </w:p>
                          <w:p w14:paraId="4D79C5F3" w14:textId="77777777" w:rsidR="009B01FB" w:rsidRPr="005763A9" w:rsidRDefault="009B01FB" w:rsidP="005763A9">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F66F0C" id="_x0000_t202" coordsize="21600,21600" o:spt="202" path="m,l,21600r21600,l21600,xe">
                <v:stroke joinstyle="miter"/>
                <v:path gradientshapeok="t" o:connecttype="rect"/>
              </v:shapetype>
              <v:shape id="Text Box 2" o:spid="_x0000_s1026" type="#_x0000_t202" style="position:absolute;margin-left:38.8pt;margin-top:18.55pt;width:462.45pt;height:285.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" strokeweight=".5pt">
                <v:textbox>
                  <w:txbxContent>
                    <w:p w14:paraId="61E8C687" w14:textId="77777777" w:rsidR="009B01FB" w:rsidRDefault="009B01FB" w:rsidP="000A6457">
                      <w:pPr>
                        <w:pStyle w:val="EBBodyPara"/>
                        <w:jc w:val="center"/>
                        <w:rPr>
                          <w:rFonts w:asciiTheme="minorHAnsi" w:eastAsiaTheme="minorEastAsia" w:hAnsiTheme="minorHAnsi" w:cstheme="minorBidi"/>
                          <w:b/>
                          <w:i/>
                        </w:rPr>
                      </w:pPr>
                      <w:r w:rsidRPr="005763A9">
                        <w:rPr>
                          <w:rFonts w:asciiTheme="minorHAnsi" w:eastAsiaTheme="minorEastAsia" w:hAnsiTheme="minorHAnsi" w:cstheme="minorBidi"/>
                          <w:b/>
                          <w:i/>
                        </w:rPr>
                        <w:t>Figure 1: Estimating the Probability of an Incident Occurring</w:t>
                      </w:r>
                    </w:p>
                    <w:p w14:paraId="3F93D0B6" w14:textId="17FBF1D1" w:rsidR="009B01FB" w:rsidRPr="000A6457" w:rsidRDefault="009B01FB" w:rsidP="000A6457">
                      <w:pPr>
                        <w:pStyle w:val="EBBodyPara"/>
                        <w:rPr>
                          <w:rFonts w:asciiTheme="minorHAnsi" w:eastAsiaTheme="minorEastAsia" w:hAnsiTheme="minorHAnsi" w:cstheme="minorBidi"/>
                          <w:i/>
                          <w:sz w:val="20"/>
                          <w:szCs w:val="20"/>
                        </w:rPr>
                      </w:pPr>
                      <w:r w:rsidRPr="000A6457">
                        <w:rPr>
                          <w:rFonts w:asciiTheme="minorHAnsi" w:eastAsiaTheme="minorEastAsia" w:hAnsiTheme="minorHAnsi" w:cstheme="minorBidi"/>
                          <w:bCs w:val="0"/>
                          <w:i/>
                          <w:sz w:val="20"/>
                          <w:szCs w:val="20"/>
                        </w:rPr>
                        <w:t>(1</w:t>
                      </w:r>
                      <w:r w:rsidRPr="000A6457">
                        <w:rPr>
                          <w:rFonts w:asciiTheme="minorHAnsi" w:eastAsiaTheme="minorEastAsia" w:hAnsiTheme="minorHAnsi" w:cstheme="minorBidi"/>
                          <w:i/>
                          <w:sz w:val="20"/>
                          <w:szCs w:val="20"/>
                        </w:rPr>
                        <w:t>) Presents the probability of a fatality occurring given that an incident has occurred:</w:t>
                      </w:r>
                    </w:p>
                    <w:p w14:paraId="580A5100" w14:textId="77777777" w:rsidR="009B01FB" w:rsidRPr="000A6457" w:rsidRDefault="009B01FB" w:rsidP="000A6457">
                      <w:pPr>
                        <w:pStyle w:val="EBBodyPara"/>
                        <w:rPr>
                          <w:rFonts w:asciiTheme="minorHAnsi" w:eastAsiaTheme="minorEastAsia" w:hAnsiTheme="minorHAnsi" w:cstheme="minorBidi"/>
                          <w:b/>
                          <w:i/>
                        </w:rPr>
                      </w:pPr>
                    </w:p>
                    <w:p w14:paraId="259E9C51" w14:textId="4993C3A8" w:rsidR="009B01FB" w:rsidRPr="00E41CDC" w:rsidRDefault="009B01FB" w:rsidP="00E41CDC">
                      <w:pPr>
                        <w:pStyle w:val="EBBodyPara"/>
                        <w:jc w:val="center"/>
                      </w:pPr>
                      <m:oMathPara>
                        <m:oMath>
                          <m:r>
                            <w:rPr>
                              <w:rFonts w:ascii="Cambria Math" w:hAnsi="Cambria Math"/>
                            </w:rPr>
                            <m:t xml:space="preserve"> (1)      P</m:t>
                          </m:r>
                          <m:d>
                            <m:dPr>
                              <m:ctrlPr>
                                <w:rPr>
                                  <w:rFonts w:ascii="Cambria Math" w:hAnsi="Cambria Math"/>
                                  <w:i/>
                                </w:rPr>
                              </m:ctrlPr>
                            </m:dPr>
                            <m:e>
                              <m:r>
                                <w:rPr>
                                  <w:rFonts w:ascii="Cambria Math" w:hAnsi="Cambria Math"/>
                                </w:rPr>
                                <m:t>Fatality</m:t>
                              </m:r>
                            </m:e>
                            <m:e>
                              <m:r>
                                <w:rPr>
                                  <w:rFonts w:ascii="Cambria Math" w:hAnsi="Cambria Math"/>
                                </w:rPr>
                                <m:t>Incident</m:t>
                              </m:r>
                            </m:e>
                          </m:d>
                          <m:r>
                            <w:rPr>
                              <w:rFonts w:ascii="Cambria Math" w:hAnsi="Cambria Math"/>
                            </w:rPr>
                            <m:t xml:space="preserve">= </m:t>
                          </m:r>
                          <m:f>
                            <m:fPr>
                              <m:ctrlPr>
                                <w:rPr>
                                  <w:rFonts w:ascii="Cambria Math" w:hAnsi="Cambria Math"/>
                                  <w:i/>
                                </w:rPr>
                              </m:ctrlPr>
                            </m:fPr>
                            <m:num>
                              <m:r>
                                <w:rPr>
                                  <w:rFonts w:ascii="Cambria Math" w:hAnsi="Cambria Math"/>
                                </w:rPr>
                                <m:t>P(Fatality and Incident)</m:t>
                              </m:r>
                            </m:num>
                            <m:den>
                              <m:r>
                                <w:rPr>
                                  <w:rFonts w:ascii="Cambria Math" w:hAnsi="Cambria Math"/>
                                </w:rPr>
                                <m:t>P(Incident)</m:t>
                              </m:r>
                            </m:den>
                          </m:f>
                        </m:oMath>
                      </m:oMathPara>
                    </w:p>
                    <w:p w14:paraId="61EA8E45" w14:textId="77777777" w:rsidR="009B01FB" w:rsidRPr="00E41CDC" w:rsidRDefault="009B01FB" w:rsidP="00E41CDC">
                      <w:pPr>
                        <w:pStyle w:val="EBBodyPara"/>
                        <w:jc w:val="center"/>
                      </w:pPr>
                    </w:p>
                    <w:p w14:paraId="21275C2C" w14:textId="46280830" w:rsidR="009B01FB" w:rsidRPr="005763A9" w:rsidRDefault="009B01FB" w:rsidP="00E41CDC">
                      <w:pPr>
                        <w:pStyle w:val="EBBodyPara"/>
                        <w:rPr>
                          <w:i/>
                          <w:sz w:val="20"/>
                          <w:szCs w:val="20"/>
                        </w:rPr>
                      </w:pPr>
                      <w:r w:rsidRPr="005763A9">
                        <w:rPr>
                          <w:i/>
                          <w:sz w:val="20"/>
                          <w:szCs w:val="20"/>
                        </w:rPr>
                        <w:t>Given that when a fatality occurs it is always classed as an</w:t>
                      </w:r>
                      <w:r>
                        <w:rPr>
                          <w:i/>
                          <w:sz w:val="20"/>
                          <w:szCs w:val="20"/>
                        </w:rPr>
                        <w:t xml:space="preserve"> incident, then we can simplify P(Fatality and Incident) = P(Fatality). We can rearrange (1) </w:t>
                      </w:r>
                      <w:r w:rsidRPr="005763A9">
                        <w:rPr>
                          <w:i/>
                          <w:sz w:val="20"/>
                          <w:szCs w:val="20"/>
                        </w:rPr>
                        <w:t>to estimate the probability of an incident occurring</w:t>
                      </w:r>
                      <w:r>
                        <w:rPr>
                          <w:i/>
                          <w:sz w:val="20"/>
                          <w:szCs w:val="20"/>
                        </w:rPr>
                        <w:t>:</w:t>
                      </w:r>
                    </w:p>
                    <w:p w14:paraId="7E60E1BA" w14:textId="77777777" w:rsidR="009B01FB" w:rsidRPr="00E41CDC" w:rsidRDefault="009B01FB" w:rsidP="00E41CDC">
                      <w:pPr>
                        <w:pStyle w:val="EBBodyPara"/>
                        <w:rPr>
                          <w:i/>
                        </w:rPr>
                      </w:pPr>
                    </w:p>
                    <w:p w14:paraId="50DF88F8" w14:textId="0DB64ED8" w:rsidR="009B01FB" w:rsidRPr="005763A9" w:rsidRDefault="009B01FB" w:rsidP="00E41CDC">
                      <w:pPr>
                        <w:pStyle w:val="EBBodyPara"/>
                        <w:jc w:val="center"/>
                      </w:pPr>
                      <m:oMathPara>
                        <m:oMath>
                          <m:r>
                            <w:rPr>
                              <w:rFonts w:ascii="Cambria Math" w:hAnsi="Cambria Math"/>
                            </w:rPr>
                            <m:t xml:space="preserve"> (2)          P</m:t>
                          </m:r>
                          <m:d>
                            <m:dPr>
                              <m:ctrlPr>
                                <w:rPr>
                                  <w:rFonts w:ascii="Cambria Math" w:hAnsi="Cambria Math"/>
                                  <w:i/>
                                </w:rPr>
                              </m:ctrlPr>
                            </m:dPr>
                            <m:e>
                              <m:r>
                                <w:rPr>
                                  <w:rFonts w:ascii="Cambria Math" w:hAnsi="Cambria Math"/>
                                </w:rPr>
                                <m:t>Incident</m:t>
                              </m:r>
                            </m:e>
                          </m:d>
                          <m:r>
                            <w:rPr>
                              <w:rFonts w:ascii="Cambria Math" w:hAnsi="Cambria Math"/>
                            </w:rPr>
                            <m:t xml:space="preserve">= </m:t>
                          </m:r>
                          <m:f>
                            <m:fPr>
                              <m:ctrlPr>
                                <w:rPr>
                                  <w:rFonts w:ascii="Cambria Math" w:hAnsi="Cambria Math"/>
                                  <w:i/>
                                </w:rPr>
                              </m:ctrlPr>
                            </m:fPr>
                            <m:num>
                              <m:r>
                                <w:rPr>
                                  <w:rFonts w:ascii="Cambria Math" w:hAnsi="Cambria Math"/>
                                </w:rPr>
                                <m:t>P(Fatality)</m:t>
                              </m:r>
                            </m:num>
                            <m:den>
                              <m:r>
                                <w:rPr>
                                  <w:rFonts w:ascii="Cambria Math" w:hAnsi="Cambria Math"/>
                                </w:rPr>
                                <m:t>P(Fatality|Incident)</m:t>
                              </m:r>
                            </m:den>
                          </m:f>
                        </m:oMath>
                      </m:oMathPara>
                    </w:p>
                    <w:p w14:paraId="04B69392" w14:textId="77777777" w:rsidR="009B01FB" w:rsidRDefault="009B01FB" w:rsidP="00E41CDC">
                      <w:pPr>
                        <w:pStyle w:val="EBBodyPara"/>
                        <w:jc w:val="center"/>
                      </w:pPr>
                    </w:p>
                    <w:p w14:paraId="263EC1DB" w14:textId="16DF8BCD" w:rsidR="009B01FB" w:rsidRDefault="009B01FB" w:rsidP="005763A9">
                      <w:pPr>
                        <w:rPr>
                          <w:i/>
                          <w:sz w:val="20"/>
                          <w:szCs w:val="20"/>
                        </w:rPr>
                      </w:pPr>
                      <w:r>
                        <w:rPr>
                          <w:i/>
                          <w:sz w:val="20"/>
                          <w:szCs w:val="20"/>
                        </w:rPr>
                        <w:t xml:space="preserve">Taking (2) and the </w:t>
                      </w:r>
                      <w:r w:rsidRPr="005763A9">
                        <w:rPr>
                          <w:i/>
                          <w:sz w:val="20"/>
                          <w:szCs w:val="20"/>
                        </w:rPr>
                        <w:t>example of vessels operating on Tidal/Estuaries, then we estimate the following</w:t>
                      </w:r>
                      <w:r>
                        <w:rPr>
                          <w:i/>
                          <w:sz w:val="20"/>
                          <w:szCs w:val="20"/>
                        </w:rPr>
                        <w:t>:</w:t>
                      </w:r>
                    </w:p>
                    <w:p w14:paraId="6E8837E4" w14:textId="77777777" w:rsidR="009B01FB" w:rsidRDefault="009B01FB" w:rsidP="005763A9">
                      <w:pPr>
                        <w:rPr>
                          <w:i/>
                          <w:sz w:val="20"/>
                          <w:szCs w:val="20"/>
                        </w:rPr>
                      </w:pPr>
                    </w:p>
                    <w:p w14:paraId="73382F41" w14:textId="77777777" w:rsidR="009B01FB" w:rsidRDefault="009B01FB" w:rsidP="005763A9">
                      <w:pPr>
                        <w:rPr>
                          <w:i/>
                          <w:sz w:val="20"/>
                          <w:szCs w:val="20"/>
                        </w:rPr>
                      </w:pPr>
                    </w:p>
                    <w:p w14:paraId="53ABE680" w14:textId="6E5DFC11" w:rsidR="009B01FB" w:rsidRDefault="009B01FB" w:rsidP="005763A9">
                      <w:pPr>
                        <w:pStyle w:val="EBBodyPara"/>
                        <w:jc w:val="center"/>
                      </w:pPr>
                      <m:oMathPara>
                        <m:oMath>
                          <m:d>
                            <m:dPr>
                              <m:ctrlPr>
                                <w:rPr>
                                  <w:rFonts w:ascii="Cambria Math" w:hAnsi="Cambria Math"/>
                                  <w:i/>
                                </w:rPr>
                              </m:ctrlPr>
                            </m:dPr>
                            <m:e>
                              <m:r>
                                <w:rPr>
                                  <w:rFonts w:ascii="Cambria Math" w:hAnsi="Cambria Math"/>
                                </w:rPr>
                                <m:t>3</m:t>
                              </m:r>
                            </m:e>
                          </m:d>
                          <m:r>
                            <w:rPr>
                              <w:rFonts w:ascii="Cambria Math" w:hAnsi="Cambria Math"/>
                            </w:rPr>
                            <m:t xml:space="preserve">        0.00121%= </m:t>
                          </m:r>
                          <m:f>
                            <m:fPr>
                              <m:ctrlPr>
                                <w:rPr>
                                  <w:rFonts w:ascii="Cambria Math" w:hAnsi="Cambria Math"/>
                                  <w:i/>
                                </w:rPr>
                              </m:ctrlPr>
                            </m:fPr>
                            <m:num>
                              <m:r>
                                <w:rPr>
                                  <w:rFonts w:ascii="Cambria Math" w:hAnsi="Cambria Math"/>
                                </w:rPr>
                                <m:t>0.000015%</m:t>
                              </m:r>
                            </m:num>
                            <m:den>
                              <m:r>
                                <w:rPr>
                                  <w:rFonts w:ascii="Cambria Math" w:hAnsi="Cambria Math"/>
                                </w:rPr>
                                <m:t>1.24%</m:t>
                              </m:r>
                            </m:den>
                          </m:f>
                        </m:oMath>
                      </m:oMathPara>
                    </w:p>
                    <w:p w14:paraId="4D79C5F3" w14:textId="77777777" w:rsidR="009B01FB" w:rsidRPr="005763A9" w:rsidRDefault="009B01FB" w:rsidP="005763A9">
                      <w:pPr>
                        <w:rPr>
                          <w:i/>
                          <w:sz w:val="20"/>
                          <w:szCs w:val="20"/>
                        </w:rPr>
                      </w:pPr>
                    </w:p>
                  </w:txbxContent>
                </v:textbox>
                <w10:wrap type="topAndBottom"/>
              </v:shape>
            </w:pict>
          </mc:Fallback>
        </mc:AlternateContent>
      </w:r>
    </w:p>
    <w:p w14:paraId="0413DF00" w14:textId="31A97C50" w:rsidR="00E41CDC" w:rsidRDefault="00E41CDC" w:rsidP="009D273A">
      <w:pPr>
        <w:pStyle w:val="EBBodyPara"/>
      </w:pPr>
    </w:p>
    <w:p w14:paraId="27546C6B" w14:textId="77777777" w:rsidR="0083298C" w:rsidRDefault="0083298C" w:rsidP="009D273A">
      <w:pPr>
        <w:pStyle w:val="EBBodyPara"/>
      </w:pPr>
    </w:p>
    <w:p w14:paraId="559AD15C" w14:textId="2CF1E823" w:rsidR="009A02CC" w:rsidRDefault="0042598E" w:rsidP="009D273A">
      <w:pPr>
        <w:pStyle w:val="EBBodyPara"/>
      </w:pPr>
      <w:r>
        <w:t>Having estimated the probability of a fatality occurring due to drowning given that an incident has occurred (0.08%) and the probability of an incident occurring (0.00121%),</w:t>
      </w:r>
      <w:r w:rsidR="003D3F9D">
        <w:t xml:space="preserve"> we </w:t>
      </w:r>
      <w:r>
        <w:t xml:space="preserve">now </w:t>
      </w:r>
      <w:r w:rsidR="003D3F9D">
        <w:t xml:space="preserve">estimate the risk of drowning. We multiply the risk of an incident occurring by the risk of drowning </w:t>
      </w:r>
      <w:r>
        <w:t>per incident</w:t>
      </w:r>
      <w:r w:rsidR="003D3F9D">
        <w:t xml:space="preserve">. In the previous example, this is 0.00121% multiplied by 0.08%, which equals </w:t>
      </w:r>
      <w:r w:rsidR="003D3F9D" w:rsidRPr="00CD764D">
        <w:t>0.0000010%</w:t>
      </w:r>
      <w:r w:rsidR="003D3F9D">
        <w:t xml:space="preserve">. </w:t>
      </w:r>
      <w:r>
        <w:t>This is shown using probabilities in Figure 2.</w:t>
      </w:r>
    </w:p>
    <w:p w14:paraId="7325E940" w14:textId="62923188" w:rsidR="0042598E" w:rsidRDefault="0083298C" w:rsidP="009D273A">
      <w:pPr>
        <w:pStyle w:val="EBBodyPara"/>
      </w:pPr>
      <w:r>
        <w:rPr>
          <w:noProof/>
        </w:rPr>
        <mc:AlternateContent>
          <mc:Choice Requires="wps">
            <w:drawing>
              <wp:anchor distT="0" distB="0" distL="114300" distR="114300" simplePos="0" relativeHeight="251660288" behindDoc="1" locked="0" layoutInCell="1" allowOverlap="1" wp14:anchorId="5C69BFD9" wp14:editId="7B2D24CC">
                <wp:simplePos x="0" y="0"/>
                <wp:positionH relativeFrom="column">
                  <wp:posOffset>471805</wp:posOffset>
                </wp:positionH>
                <wp:positionV relativeFrom="paragraph">
                  <wp:posOffset>267970</wp:posOffset>
                </wp:positionV>
                <wp:extent cx="5937885" cy="3108960"/>
                <wp:effectExtent l="0" t="0" r="24765" b="1524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3108960"/>
                        </a:xfrm>
                        <a:prstGeom prst="rect">
                          <a:avLst/>
                        </a:prstGeom>
                        <a:solidFill>
                          <a:srgbClr val="FFFFFF"/>
                        </a:solidFill>
                        <a:ln w="6350">
                          <a:solidFill>
                            <a:srgbClr val="000000"/>
                          </a:solidFill>
                          <a:miter lim="800000"/>
                          <a:headEnd/>
                          <a:tailEnd/>
                        </a:ln>
                      </wps:spPr>
                      <wps:txbx>
                        <w:txbxContent>
                          <w:p w14:paraId="093EAE75" w14:textId="33698049" w:rsidR="009B01FB" w:rsidRDefault="009B01FB" w:rsidP="000369C4">
                            <w:pPr>
                              <w:pStyle w:val="EBBodyPara"/>
                              <w:jc w:val="center"/>
                              <w:rPr>
                                <w:rFonts w:asciiTheme="minorHAnsi" w:eastAsiaTheme="minorEastAsia" w:hAnsiTheme="minorHAnsi" w:cstheme="minorBidi"/>
                                <w:b/>
                                <w:i/>
                              </w:rPr>
                            </w:pPr>
                            <w:r>
                              <w:rPr>
                                <w:rFonts w:asciiTheme="minorHAnsi" w:eastAsiaTheme="minorEastAsia" w:hAnsiTheme="minorHAnsi" w:cstheme="minorBidi"/>
                                <w:b/>
                                <w:i/>
                              </w:rPr>
                              <w:t>Figure 2</w:t>
                            </w:r>
                            <w:r w:rsidRPr="005763A9">
                              <w:rPr>
                                <w:rFonts w:asciiTheme="minorHAnsi" w:eastAsiaTheme="minorEastAsia" w:hAnsiTheme="minorHAnsi" w:cstheme="minorBidi"/>
                                <w:b/>
                                <w:i/>
                              </w:rPr>
                              <w:t xml:space="preserve">: Estimating the </w:t>
                            </w:r>
                            <w:r>
                              <w:rPr>
                                <w:rFonts w:asciiTheme="minorHAnsi" w:eastAsiaTheme="minorEastAsia" w:hAnsiTheme="minorHAnsi" w:cstheme="minorBidi"/>
                                <w:b/>
                                <w:i/>
                              </w:rPr>
                              <w:t>Risk of Drowning</w:t>
                            </w:r>
                          </w:p>
                          <w:p w14:paraId="44B76A7D" w14:textId="6FBE2D06" w:rsidR="009B01FB" w:rsidRDefault="009B01FB" w:rsidP="000369C4">
                            <w:pPr>
                              <w:pStyle w:val="EBBodyPara"/>
                              <w:rPr>
                                <w:rFonts w:asciiTheme="minorHAnsi" w:eastAsiaTheme="minorEastAsia" w:hAnsiTheme="minorHAnsi" w:cstheme="minorBidi"/>
                                <w:bCs w:val="0"/>
                                <w:i/>
                                <w:sz w:val="20"/>
                                <w:szCs w:val="20"/>
                              </w:rPr>
                            </w:pPr>
                            <w:r>
                              <w:rPr>
                                <w:rFonts w:asciiTheme="minorHAnsi" w:eastAsiaTheme="minorEastAsia" w:hAnsiTheme="minorHAnsi" w:cstheme="minorBidi"/>
                                <w:bCs w:val="0"/>
                                <w:i/>
                                <w:sz w:val="20"/>
                                <w:szCs w:val="20"/>
                              </w:rPr>
                              <w:t>First taking (2) from figure 1:</w:t>
                            </w:r>
                          </w:p>
                          <w:p w14:paraId="10D6A583" w14:textId="77777777" w:rsidR="009B01FB" w:rsidRPr="000A6457" w:rsidRDefault="009B01FB" w:rsidP="000369C4">
                            <w:pPr>
                              <w:pStyle w:val="EBBodyPara"/>
                              <w:rPr>
                                <w:rFonts w:asciiTheme="minorHAnsi" w:eastAsiaTheme="minorEastAsia" w:hAnsiTheme="minorHAnsi" w:cstheme="minorBidi"/>
                                <w:i/>
                                <w:sz w:val="20"/>
                                <w:szCs w:val="20"/>
                              </w:rPr>
                            </w:pPr>
                          </w:p>
                          <w:p w14:paraId="3878A67B" w14:textId="77777777" w:rsidR="009B01FB" w:rsidRPr="00D15643" w:rsidRDefault="009B01FB" w:rsidP="00D15643">
                            <w:pPr>
                              <w:pStyle w:val="EBBodyPara"/>
                              <w:jc w:val="center"/>
                            </w:pPr>
                            <m:oMathPara>
                              <m:oMath>
                                <m:r>
                                  <w:rPr>
                                    <w:rFonts w:ascii="Cambria Math" w:hAnsi="Cambria Math"/>
                                  </w:rPr>
                                  <m:t>(2)          P</m:t>
                                </m:r>
                                <m:d>
                                  <m:dPr>
                                    <m:ctrlPr>
                                      <w:rPr>
                                        <w:rFonts w:ascii="Cambria Math" w:hAnsi="Cambria Math"/>
                                        <w:i/>
                                      </w:rPr>
                                    </m:ctrlPr>
                                  </m:dPr>
                                  <m:e>
                                    <m:r>
                                      <w:rPr>
                                        <w:rFonts w:ascii="Cambria Math" w:hAnsi="Cambria Math"/>
                                      </w:rPr>
                                      <m:t>Incident</m:t>
                                    </m:r>
                                  </m:e>
                                </m:d>
                                <m:r>
                                  <w:rPr>
                                    <w:rFonts w:ascii="Cambria Math" w:hAnsi="Cambria Math"/>
                                  </w:rPr>
                                  <m:t xml:space="preserve">= </m:t>
                                </m:r>
                                <m:f>
                                  <m:fPr>
                                    <m:ctrlPr>
                                      <w:rPr>
                                        <w:rFonts w:ascii="Cambria Math" w:hAnsi="Cambria Math"/>
                                        <w:i/>
                                      </w:rPr>
                                    </m:ctrlPr>
                                  </m:fPr>
                                  <m:num>
                                    <m:r>
                                      <w:rPr>
                                        <w:rFonts w:ascii="Cambria Math" w:hAnsi="Cambria Math"/>
                                      </w:rPr>
                                      <m:t>P(Fatality)</m:t>
                                    </m:r>
                                  </m:num>
                                  <m:den>
                                    <m:r>
                                      <w:rPr>
                                        <w:rFonts w:ascii="Cambria Math" w:hAnsi="Cambria Math"/>
                                      </w:rPr>
                                      <m:t>P(Fatality|Incident)</m:t>
                                    </m:r>
                                  </m:den>
                                </m:f>
                              </m:oMath>
                            </m:oMathPara>
                          </w:p>
                          <w:p w14:paraId="15985A86" w14:textId="77777777" w:rsidR="009B01FB" w:rsidRPr="005763A9" w:rsidRDefault="009B01FB" w:rsidP="00D15643">
                            <w:pPr>
                              <w:pStyle w:val="EBBodyPara"/>
                              <w:jc w:val="center"/>
                            </w:pPr>
                          </w:p>
                          <w:p w14:paraId="40A3580D" w14:textId="141EA7F2" w:rsidR="009B01FB" w:rsidRDefault="009B01FB" w:rsidP="000369C4">
                            <w:pPr>
                              <w:rPr>
                                <w:i/>
                                <w:sz w:val="20"/>
                                <w:szCs w:val="20"/>
                              </w:rPr>
                            </w:pPr>
                            <w:r>
                              <w:rPr>
                                <w:i/>
                                <w:sz w:val="20"/>
                                <w:szCs w:val="20"/>
                              </w:rPr>
                              <w:t>We can rearrange (2) to estimate the risk of a fatality occurring due to drowning:</w:t>
                            </w:r>
                          </w:p>
                          <w:p w14:paraId="001C606F" w14:textId="77777777" w:rsidR="009B01FB" w:rsidRDefault="009B01FB" w:rsidP="000369C4">
                            <w:pPr>
                              <w:rPr>
                                <w:i/>
                                <w:sz w:val="20"/>
                                <w:szCs w:val="20"/>
                              </w:rPr>
                            </w:pPr>
                          </w:p>
                          <w:p w14:paraId="5BA2F23E" w14:textId="77777777" w:rsidR="009B01FB" w:rsidRDefault="009B01FB" w:rsidP="000369C4">
                            <w:pPr>
                              <w:rPr>
                                <w:i/>
                                <w:sz w:val="20"/>
                                <w:szCs w:val="20"/>
                              </w:rPr>
                            </w:pPr>
                          </w:p>
                          <w:p w14:paraId="11BA6F79" w14:textId="3FD7F6DD" w:rsidR="009B01FB" w:rsidRPr="00D15643" w:rsidRDefault="00784110" w:rsidP="00DD188C">
                            <w:pPr>
                              <w:pStyle w:val="EBBodyPara"/>
                              <w:jc w:val="center"/>
                            </w:pPr>
                            <m:oMathPara>
                              <m:oMath>
                                <m:d>
                                  <m:dPr>
                                    <m:ctrlPr>
                                      <w:rPr>
                                        <w:rFonts w:ascii="Cambria Math" w:hAnsi="Cambria Math"/>
                                        <w:i/>
                                      </w:rPr>
                                    </m:ctrlPr>
                                  </m:dPr>
                                  <m:e>
                                    <m:r>
                                      <w:rPr>
                                        <w:rFonts w:ascii="Cambria Math" w:hAnsi="Cambria Math"/>
                                      </w:rPr>
                                      <m:t>4</m:t>
                                    </m:r>
                                  </m:e>
                                </m:d>
                                <m:r>
                                  <w:rPr>
                                    <w:rFonts w:ascii="Cambria Math" w:hAnsi="Cambria Math"/>
                                  </w:rPr>
                                  <m:t xml:space="preserve">         P</m:t>
                                </m:r>
                                <m:d>
                                  <m:dPr>
                                    <m:ctrlPr>
                                      <w:rPr>
                                        <w:rFonts w:ascii="Cambria Math" w:hAnsi="Cambria Math"/>
                                        <w:i/>
                                      </w:rPr>
                                    </m:ctrlPr>
                                  </m:dPr>
                                  <m:e>
                                    <m:r>
                                      <w:rPr>
                                        <w:rFonts w:ascii="Cambria Math" w:hAnsi="Cambria Math"/>
                                      </w:rPr>
                                      <m:t>Fatality</m:t>
                                    </m:r>
                                  </m:e>
                                </m:d>
                                <m:r>
                                  <w:rPr>
                                    <w:rFonts w:ascii="Cambria Math" w:hAnsi="Cambria Math"/>
                                  </w:rPr>
                                  <m:t>= P</m:t>
                                </m:r>
                                <m:d>
                                  <m:dPr>
                                    <m:ctrlPr>
                                      <w:rPr>
                                        <w:rFonts w:ascii="Cambria Math" w:hAnsi="Cambria Math"/>
                                        <w:i/>
                                      </w:rPr>
                                    </m:ctrlPr>
                                  </m:dPr>
                                  <m:e>
                                    <m:r>
                                      <w:rPr>
                                        <w:rFonts w:ascii="Cambria Math" w:hAnsi="Cambria Math"/>
                                      </w:rPr>
                                      <m:t>Incident</m:t>
                                    </m:r>
                                  </m:e>
                                </m:d>
                                <m:r>
                                  <w:rPr>
                                    <w:rFonts w:ascii="Cambria Math" w:hAnsi="Cambria Math"/>
                                  </w:rPr>
                                  <m:t>×P(Fatality|Incident)</m:t>
                                </m:r>
                              </m:oMath>
                            </m:oMathPara>
                          </w:p>
                          <w:p w14:paraId="43C43776" w14:textId="77777777" w:rsidR="009B01FB" w:rsidRDefault="009B01FB" w:rsidP="000369C4">
                            <w:pPr>
                              <w:rPr>
                                <w:i/>
                                <w:sz w:val="20"/>
                                <w:szCs w:val="20"/>
                              </w:rPr>
                            </w:pPr>
                          </w:p>
                          <w:p w14:paraId="5BAC30A1" w14:textId="474E6E2D" w:rsidR="009B01FB" w:rsidRDefault="009B01FB" w:rsidP="000369C4">
                            <w:pPr>
                              <w:rPr>
                                <w:i/>
                                <w:sz w:val="20"/>
                                <w:szCs w:val="20"/>
                              </w:rPr>
                            </w:pPr>
                            <w:r>
                              <w:rPr>
                                <w:i/>
                                <w:sz w:val="20"/>
                                <w:szCs w:val="20"/>
                              </w:rPr>
                              <w:t>Taking (4) and the previous example of vessels operating on Tidal/Estuaries, then we estimate the following:</w:t>
                            </w:r>
                          </w:p>
                          <w:p w14:paraId="50A36C90" w14:textId="77777777" w:rsidR="009B01FB" w:rsidRDefault="009B01FB" w:rsidP="000369C4">
                            <w:pPr>
                              <w:rPr>
                                <w:i/>
                                <w:sz w:val="20"/>
                                <w:szCs w:val="20"/>
                              </w:rPr>
                            </w:pPr>
                          </w:p>
                          <w:p w14:paraId="2138E635" w14:textId="0C06520D" w:rsidR="009B01FB" w:rsidRPr="00D15643" w:rsidRDefault="00784110" w:rsidP="00825D50">
                            <w:pPr>
                              <w:pStyle w:val="EBBodyPara"/>
                              <w:jc w:val="center"/>
                            </w:pPr>
                            <m:oMathPara>
                              <m:oMath>
                                <m:d>
                                  <m:dPr>
                                    <m:ctrlPr>
                                      <w:rPr>
                                        <w:rFonts w:ascii="Cambria Math" w:hAnsi="Cambria Math"/>
                                        <w:i/>
                                      </w:rPr>
                                    </m:ctrlPr>
                                  </m:dPr>
                                  <m:e>
                                    <m:r>
                                      <w:rPr>
                                        <w:rFonts w:ascii="Cambria Math" w:hAnsi="Cambria Math"/>
                                      </w:rPr>
                                      <m:t>5</m:t>
                                    </m:r>
                                  </m:e>
                                </m:d>
                                <m:r>
                                  <w:rPr>
                                    <w:rFonts w:ascii="Cambria Math" w:hAnsi="Cambria Math"/>
                                  </w:rPr>
                                  <m:t xml:space="preserve">         0.0000010%=0.00121%×0.08%</m:t>
                                </m:r>
                              </m:oMath>
                            </m:oMathPara>
                          </w:p>
                          <w:p w14:paraId="2888BFF5" w14:textId="77777777" w:rsidR="009B01FB" w:rsidRPr="005763A9" w:rsidRDefault="009B01FB" w:rsidP="000369C4">
                            <w:pPr>
                              <w:rPr>
                                <w: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69BFD9" id="_x0000_s1027" type="#_x0000_t202" style="position:absolute;margin-left:37.15pt;margin-top:21.1pt;width:467.55pt;height:2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" strokeweight=".5pt">
                <v:textbox>
                  <w:txbxContent>
                    <w:p w14:paraId="093EAE75" w14:textId="33698049" w:rsidR="009B01FB" w:rsidRDefault="009B01FB" w:rsidP="000369C4">
                      <w:pPr>
                        <w:pStyle w:val="EBBodyPara"/>
                        <w:jc w:val="center"/>
                        <w:rPr>
                          <w:rFonts w:asciiTheme="minorHAnsi" w:eastAsiaTheme="minorEastAsia" w:hAnsiTheme="minorHAnsi" w:cstheme="minorBidi"/>
                          <w:b/>
                          <w:i/>
                        </w:rPr>
                      </w:pPr>
                      <w:r>
                        <w:rPr>
                          <w:rFonts w:asciiTheme="minorHAnsi" w:eastAsiaTheme="minorEastAsia" w:hAnsiTheme="minorHAnsi" w:cstheme="minorBidi"/>
                          <w:b/>
                          <w:i/>
                        </w:rPr>
                        <w:t>Figure 2</w:t>
                      </w:r>
                      <w:r w:rsidRPr="005763A9">
                        <w:rPr>
                          <w:rFonts w:asciiTheme="minorHAnsi" w:eastAsiaTheme="minorEastAsia" w:hAnsiTheme="minorHAnsi" w:cstheme="minorBidi"/>
                          <w:b/>
                          <w:i/>
                        </w:rPr>
                        <w:t xml:space="preserve">: Estimating the </w:t>
                      </w:r>
                      <w:r>
                        <w:rPr>
                          <w:rFonts w:asciiTheme="minorHAnsi" w:eastAsiaTheme="minorEastAsia" w:hAnsiTheme="minorHAnsi" w:cstheme="minorBidi"/>
                          <w:b/>
                          <w:i/>
                        </w:rPr>
                        <w:t>Risk of Drowning</w:t>
                      </w:r>
                    </w:p>
                    <w:p w14:paraId="44B76A7D" w14:textId="6FBE2D06" w:rsidR="009B01FB" w:rsidRDefault="009B01FB" w:rsidP="000369C4">
                      <w:pPr>
                        <w:pStyle w:val="EBBodyPara"/>
                        <w:rPr>
                          <w:rFonts w:asciiTheme="minorHAnsi" w:eastAsiaTheme="minorEastAsia" w:hAnsiTheme="minorHAnsi" w:cstheme="minorBidi"/>
                          <w:bCs w:val="0"/>
                          <w:i/>
                          <w:sz w:val="20"/>
                          <w:szCs w:val="20"/>
                        </w:rPr>
                      </w:pPr>
                      <w:r>
                        <w:rPr>
                          <w:rFonts w:asciiTheme="minorHAnsi" w:eastAsiaTheme="minorEastAsia" w:hAnsiTheme="minorHAnsi" w:cstheme="minorBidi"/>
                          <w:bCs w:val="0"/>
                          <w:i/>
                          <w:sz w:val="20"/>
                          <w:szCs w:val="20"/>
                        </w:rPr>
                        <w:t>First taking (2) from figure 1:</w:t>
                      </w:r>
                    </w:p>
                    <w:p w14:paraId="10D6A583" w14:textId="77777777" w:rsidR="009B01FB" w:rsidRPr="000A6457" w:rsidRDefault="009B01FB" w:rsidP="000369C4">
                      <w:pPr>
                        <w:pStyle w:val="EBBodyPara"/>
                        <w:rPr>
                          <w:rFonts w:asciiTheme="minorHAnsi" w:eastAsiaTheme="minorEastAsia" w:hAnsiTheme="minorHAnsi" w:cstheme="minorBidi"/>
                          <w:i/>
                          <w:sz w:val="20"/>
                          <w:szCs w:val="20"/>
                        </w:rPr>
                      </w:pPr>
                    </w:p>
                    <w:p w14:paraId="3878A67B" w14:textId="77777777" w:rsidR="009B01FB" w:rsidRPr="00D15643" w:rsidRDefault="009B01FB" w:rsidP="00D15643">
                      <w:pPr>
                        <w:pStyle w:val="EBBodyPara"/>
                        <w:jc w:val="center"/>
                      </w:pPr>
                      <m:oMathPara>
                        <m:oMath>
                          <m:r>
                            <w:rPr>
                              <w:rFonts w:ascii="Cambria Math" w:hAnsi="Cambria Math"/>
                            </w:rPr>
                            <m:t>(2)          P</m:t>
                          </m:r>
                          <m:d>
                            <m:dPr>
                              <m:ctrlPr>
                                <w:rPr>
                                  <w:rFonts w:ascii="Cambria Math" w:hAnsi="Cambria Math"/>
                                  <w:i/>
                                </w:rPr>
                              </m:ctrlPr>
                            </m:dPr>
                            <m:e>
                              <m:r>
                                <w:rPr>
                                  <w:rFonts w:ascii="Cambria Math" w:hAnsi="Cambria Math"/>
                                </w:rPr>
                                <m:t>Incident</m:t>
                              </m:r>
                            </m:e>
                          </m:d>
                          <m:r>
                            <w:rPr>
                              <w:rFonts w:ascii="Cambria Math" w:hAnsi="Cambria Math"/>
                            </w:rPr>
                            <m:t xml:space="preserve">= </m:t>
                          </m:r>
                          <m:f>
                            <m:fPr>
                              <m:ctrlPr>
                                <w:rPr>
                                  <w:rFonts w:ascii="Cambria Math" w:hAnsi="Cambria Math"/>
                                  <w:i/>
                                </w:rPr>
                              </m:ctrlPr>
                            </m:fPr>
                            <m:num>
                              <m:r>
                                <w:rPr>
                                  <w:rFonts w:ascii="Cambria Math" w:hAnsi="Cambria Math"/>
                                </w:rPr>
                                <m:t>P(Fatality)</m:t>
                              </m:r>
                            </m:num>
                            <m:den>
                              <m:r>
                                <w:rPr>
                                  <w:rFonts w:ascii="Cambria Math" w:hAnsi="Cambria Math"/>
                                </w:rPr>
                                <m:t>P(Fatality|Incident)</m:t>
                              </m:r>
                            </m:den>
                          </m:f>
                        </m:oMath>
                      </m:oMathPara>
                    </w:p>
                    <w:p w14:paraId="15985A86" w14:textId="77777777" w:rsidR="009B01FB" w:rsidRPr="005763A9" w:rsidRDefault="009B01FB" w:rsidP="00D15643">
                      <w:pPr>
                        <w:pStyle w:val="EBBodyPara"/>
                        <w:jc w:val="center"/>
                      </w:pPr>
                    </w:p>
                    <w:p w14:paraId="40A3580D" w14:textId="141EA7F2" w:rsidR="009B01FB" w:rsidRDefault="009B01FB" w:rsidP="000369C4">
                      <w:pPr>
                        <w:rPr>
                          <w:i/>
                          <w:sz w:val="20"/>
                          <w:szCs w:val="20"/>
                        </w:rPr>
                      </w:pPr>
                      <w:r>
                        <w:rPr>
                          <w:i/>
                          <w:sz w:val="20"/>
                          <w:szCs w:val="20"/>
                        </w:rPr>
                        <w:t>We can rearrange (2) to estimate the risk of a fatality occurring due to drowning:</w:t>
                      </w:r>
                    </w:p>
                    <w:p w14:paraId="001C606F" w14:textId="77777777" w:rsidR="009B01FB" w:rsidRDefault="009B01FB" w:rsidP="000369C4">
                      <w:pPr>
                        <w:rPr>
                          <w:i/>
                          <w:sz w:val="20"/>
                          <w:szCs w:val="20"/>
                        </w:rPr>
                      </w:pPr>
                    </w:p>
                    <w:p w14:paraId="5BA2F23E" w14:textId="77777777" w:rsidR="009B01FB" w:rsidRDefault="009B01FB" w:rsidP="000369C4">
                      <w:pPr>
                        <w:rPr>
                          <w:i/>
                          <w:sz w:val="20"/>
                          <w:szCs w:val="20"/>
                        </w:rPr>
                      </w:pPr>
                    </w:p>
                    <w:p w14:paraId="11BA6F79" w14:textId="3FD7F6DD" w:rsidR="009B01FB" w:rsidRPr="00D15643" w:rsidRDefault="009B01FB" w:rsidP="00DD188C">
                      <w:pPr>
                        <w:pStyle w:val="EBBodyPara"/>
                        <w:jc w:val="center"/>
                      </w:pPr>
                      <m:oMathPara>
                        <m:oMath>
                          <m:d>
                            <m:dPr>
                              <m:ctrlPr>
                                <w:rPr>
                                  <w:rFonts w:ascii="Cambria Math" w:hAnsi="Cambria Math"/>
                                  <w:i/>
                                </w:rPr>
                              </m:ctrlPr>
                            </m:dPr>
                            <m:e>
                              <m:r>
                                <w:rPr>
                                  <w:rFonts w:ascii="Cambria Math" w:hAnsi="Cambria Math"/>
                                </w:rPr>
                                <m:t>4</m:t>
                              </m:r>
                            </m:e>
                          </m:d>
                          <m:r>
                            <w:rPr>
                              <w:rFonts w:ascii="Cambria Math" w:hAnsi="Cambria Math"/>
                            </w:rPr>
                            <m:t xml:space="preserve">         P</m:t>
                          </m:r>
                          <m:d>
                            <m:dPr>
                              <m:ctrlPr>
                                <w:rPr>
                                  <w:rFonts w:ascii="Cambria Math" w:hAnsi="Cambria Math"/>
                                  <w:i/>
                                </w:rPr>
                              </m:ctrlPr>
                            </m:dPr>
                            <m:e>
                              <m:r>
                                <w:rPr>
                                  <w:rFonts w:ascii="Cambria Math" w:hAnsi="Cambria Math"/>
                                </w:rPr>
                                <m:t>Fatality</m:t>
                              </m:r>
                            </m:e>
                          </m:d>
                          <m:r>
                            <w:rPr>
                              <w:rFonts w:ascii="Cambria Math" w:hAnsi="Cambria Math"/>
                            </w:rPr>
                            <m:t>= P</m:t>
                          </m:r>
                          <m:d>
                            <m:dPr>
                              <m:ctrlPr>
                                <w:rPr>
                                  <w:rFonts w:ascii="Cambria Math" w:hAnsi="Cambria Math"/>
                                  <w:i/>
                                </w:rPr>
                              </m:ctrlPr>
                            </m:dPr>
                            <m:e>
                              <m:r>
                                <w:rPr>
                                  <w:rFonts w:ascii="Cambria Math" w:hAnsi="Cambria Math"/>
                                </w:rPr>
                                <m:t>Incident</m:t>
                              </m:r>
                            </m:e>
                          </m:d>
                          <m:r>
                            <w:rPr>
                              <w:rFonts w:ascii="Cambria Math" w:hAnsi="Cambria Math"/>
                            </w:rPr>
                            <m:t>×P(Fatality|Incident)</m:t>
                          </m:r>
                        </m:oMath>
                      </m:oMathPara>
                    </w:p>
                    <w:p w14:paraId="43C43776" w14:textId="77777777" w:rsidR="009B01FB" w:rsidRDefault="009B01FB" w:rsidP="000369C4">
                      <w:pPr>
                        <w:rPr>
                          <w:i/>
                          <w:sz w:val="20"/>
                          <w:szCs w:val="20"/>
                        </w:rPr>
                      </w:pPr>
                    </w:p>
                    <w:p w14:paraId="5BAC30A1" w14:textId="474E6E2D" w:rsidR="009B01FB" w:rsidRDefault="009B01FB" w:rsidP="000369C4">
                      <w:pPr>
                        <w:rPr>
                          <w:i/>
                          <w:sz w:val="20"/>
                          <w:szCs w:val="20"/>
                        </w:rPr>
                      </w:pPr>
                      <w:r>
                        <w:rPr>
                          <w:i/>
                          <w:sz w:val="20"/>
                          <w:szCs w:val="20"/>
                        </w:rPr>
                        <w:t>Taking (4) and the previous example of vessels operating on Tidal/Estuaries, then we estimate the following:</w:t>
                      </w:r>
                    </w:p>
                    <w:p w14:paraId="50A36C90" w14:textId="77777777" w:rsidR="009B01FB" w:rsidRDefault="009B01FB" w:rsidP="000369C4">
                      <w:pPr>
                        <w:rPr>
                          <w:i/>
                          <w:sz w:val="20"/>
                          <w:szCs w:val="20"/>
                        </w:rPr>
                      </w:pPr>
                    </w:p>
                    <w:p w14:paraId="2138E635" w14:textId="0C06520D" w:rsidR="009B01FB" w:rsidRPr="00D15643" w:rsidRDefault="009B01FB" w:rsidP="00825D50">
                      <w:pPr>
                        <w:pStyle w:val="EBBodyPara"/>
                        <w:jc w:val="center"/>
                      </w:pPr>
                      <m:oMathPara>
                        <m:oMath>
                          <m:d>
                            <m:dPr>
                              <m:ctrlPr>
                                <w:rPr>
                                  <w:rFonts w:ascii="Cambria Math" w:hAnsi="Cambria Math"/>
                                  <w:i/>
                                </w:rPr>
                              </m:ctrlPr>
                            </m:dPr>
                            <m:e>
                              <m:r>
                                <w:rPr>
                                  <w:rFonts w:ascii="Cambria Math" w:hAnsi="Cambria Math"/>
                                </w:rPr>
                                <m:t>5</m:t>
                              </m:r>
                            </m:e>
                          </m:d>
                          <m:r>
                            <w:rPr>
                              <w:rFonts w:ascii="Cambria Math" w:hAnsi="Cambria Math"/>
                            </w:rPr>
                            <m:t xml:space="preserve">         0.0000010%=0.00121%×0.08%</m:t>
                          </m:r>
                        </m:oMath>
                      </m:oMathPara>
                    </w:p>
                    <w:p w14:paraId="2888BFF5" w14:textId="77777777" w:rsidR="009B01FB" w:rsidRPr="005763A9" w:rsidRDefault="009B01FB" w:rsidP="000369C4">
                      <w:pPr>
                        <w:rPr>
                          <w:i/>
                          <w:sz w:val="20"/>
                          <w:szCs w:val="20"/>
                        </w:rPr>
                      </w:pPr>
                    </w:p>
                  </w:txbxContent>
                </v:textbox>
                <w10:wrap type="topAndBottom"/>
              </v:shape>
            </w:pict>
          </mc:Fallback>
        </mc:AlternateContent>
      </w:r>
    </w:p>
    <w:p w14:paraId="703C947D" w14:textId="77777777" w:rsidR="0084026F" w:rsidRDefault="0084026F" w:rsidP="009D273A">
      <w:pPr>
        <w:pStyle w:val="EBBodyPara"/>
      </w:pPr>
    </w:p>
    <w:p w14:paraId="0C13C16E" w14:textId="3026059A" w:rsidR="009D273A" w:rsidRDefault="00976D46" w:rsidP="009D273A">
      <w:pPr>
        <w:pStyle w:val="EBBodyPara"/>
      </w:pPr>
      <w:r>
        <w:t>Finally,</w:t>
      </w:r>
      <w:r w:rsidR="003D3F9D">
        <w:t xml:space="preserve"> to calculate the prevented fatalities per vessel per year you multiply the risk of drowning by the average number of passengers per vessel that will be covered by additional liferafts and the number of trips per year (0.0000010% x 99 x 1369 = 0.00131). </w:t>
      </w:r>
      <w:r>
        <w:t>So,</w:t>
      </w:r>
      <w:r w:rsidR="003D3F9D">
        <w:t xml:space="preserve"> if there were 1000 vessels operating on tidal water or estuaries, we would expect 1.31 fatalities to be prevented as a result of additional liferafts per year. Using </w:t>
      </w:r>
      <w:r w:rsidR="003D3F9D">
        <w:lastRenderedPageBreak/>
        <w:t>MCA records, the average number of passengers per vessel is estimated by taking the average of the passenger capacity of all the vessels affected in each operating environment.</w:t>
      </w:r>
      <w:r w:rsidR="003B46A4">
        <w:t xml:space="preserve"> Trips per year were estimates as part of the FSA.</w:t>
      </w:r>
    </w:p>
    <w:p w14:paraId="10D0F971" w14:textId="77777777" w:rsidR="00825D50" w:rsidRPr="00896A2A" w:rsidRDefault="00825D50" w:rsidP="009D273A">
      <w:pPr>
        <w:pStyle w:val="EBBodyPara"/>
      </w:pPr>
    </w:p>
    <w:tbl>
      <w:tblPr>
        <w:tblStyle w:val="PlainTable2"/>
        <w:tblW w:w="5000" w:type="pct"/>
        <w:tblLook w:val="06A0" w:firstRow="1" w:lastRow="0" w:firstColumn="1" w:lastColumn="0" w:noHBand="1" w:noVBand="1"/>
      </w:tblPr>
      <w:tblGrid>
        <w:gridCol w:w="1844"/>
        <w:gridCol w:w="1700"/>
        <w:gridCol w:w="1763"/>
        <w:gridCol w:w="2076"/>
        <w:gridCol w:w="1200"/>
        <w:gridCol w:w="1964"/>
      </w:tblGrid>
      <w:tr w:rsidR="00870FFA" w:rsidRPr="00896A2A" w14:paraId="5863C55C" w14:textId="77777777" w:rsidTr="006532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6"/>
            <w:tcBorders>
              <w:top w:val="nil"/>
              <w:left w:val="nil"/>
              <w:right w:val="nil"/>
            </w:tcBorders>
          </w:tcPr>
          <w:p w14:paraId="6CF043BE" w14:textId="77777777" w:rsidR="00870FFA" w:rsidRPr="00896A2A" w:rsidRDefault="00940A7B" w:rsidP="009C488A">
            <w:pPr>
              <w:pStyle w:val="EBBodyPara"/>
              <w:spacing w:before="40" w:after="40"/>
              <w:rPr>
                <w:b w:val="0"/>
                <w:i/>
              </w:rPr>
            </w:pPr>
            <w:r w:rsidRPr="00E65663">
              <w:rPr>
                <w:b w:val="0"/>
                <w:i/>
              </w:rPr>
              <w:t>Table 6</w:t>
            </w:r>
            <w:r w:rsidR="00870FFA" w:rsidRPr="00E65663">
              <w:rPr>
                <w:b w:val="0"/>
                <w:i/>
              </w:rPr>
              <w:t>:</w:t>
            </w:r>
            <w:r w:rsidR="00686008">
              <w:rPr>
                <w:b w:val="0"/>
                <w:i/>
              </w:rPr>
              <w:t xml:space="preserve"> </w:t>
            </w:r>
            <w:r w:rsidR="00896A2A" w:rsidRPr="00896A2A">
              <w:rPr>
                <w:b w:val="0"/>
                <w:i/>
              </w:rPr>
              <w:t>The fatalities prevented per vessel per year from additional liferafts by operating environment</w:t>
            </w:r>
          </w:p>
        </w:tc>
      </w:tr>
      <w:tr w:rsidR="00C07D36" w14:paraId="43F706D3" w14:textId="77777777" w:rsidTr="00653253">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7F7F7F" w:themeColor="text1" w:themeTint="80"/>
              <w:left w:val="nil"/>
              <w:bottom w:val="single" w:sz="4" w:space="0" w:color="auto"/>
              <w:right w:val="single" w:sz="4" w:space="0" w:color="auto"/>
            </w:tcBorders>
            <w:hideMark/>
          </w:tcPr>
          <w:p w14:paraId="069745A6" w14:textId="77777777" w:rsidR="00C07D36" w:rsidRPr="004B5E36" w:rsidRDefault="00C07D36" w:rsidP="00692DDE">
            <w:pPr>
              <w:pStyle w:val="EBBodyPara"/>
              <w:spacing w:before="40" w:after="40"/>
              <w:rPr>
                <w:sz w:val="20"/>
                <w:szCs w:val="20"/>
              </w:rPr>
            </w:pPr>
            <w:r w:rsidRPr="004B5E36">
              <w:rPr>
                <w:sz w:val="20"/>
                <w:szCs w:val="20"/>
              </w:rPr>
              <w:t>Operating environment*</w:t>
            </w:r>
          </w:p>
        </w:tc>
        <w:tc>
          <w:tcPr>
            <w:tcW w:w="806" w:type="pct"/>
            <w:tcBorders>
              <w:top w:val="single" w:sz="4" w:space="0" w:color="7F7F7F" w:themeColor="text1" w:themeTint="80"/>
              <w:left w:val="single" w:sz="4" w:space="0" w:color="auto"/>
              <w:bottom w:val="single" w:sz="4" w:space="0" w:color="auto"/>
              <w:right w:val="nil"/>
            </w:tcBorders>
            <w:hideMark/>
          </w:tcPr>
          <w:p w14:paraId="7457A201" w14:textId="77777777" w:rsidR="00C07D36" w:rsidRPr="004B5E36" w:rsidRDefault="00C07D36" w:rsidP="00692DDE">
            <w:pPr>
              <w:pStyle w:val="EBBodyPara"/>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Risk of fatality per voyage (</w:t>
            </w:r>
            <w:r w:rsidRPr="004B5E36">
              <w:rPr>
                <w:b/>
                <w:sz w:val="20"/>
                <w:szCs w:val="20"/>
              </w:rPr>
              <w:t>from FSA)</w:t>
            </w:r>
            <w:r w:rsidR="006A7FA6">
              <w:rPr>
                <w:b/>
                <w:sz w:val="20"/>
                <w:szCs w:val="20"/>
              </w:rPr>
              <w:t xml:space="preserve"> </w:t>
            </w:r>
          </w:p>
        </w:tc>
        <w:tc>
          <w:tcPr>
            <w:tcW w:w="836" w:type="pct"/>
            <w:tcBorders>
              <w:top w:val="single" w:sz="4" w:space="0" w:color="7F7F7F" w:themeColor="text1" w:themeTint="80"/>
              <w:left w:val="nil"/>
              <w:bottom w:val="single" w:sz="4" w:space="0" w:color="auto"/>
              <w:right w:val="nil"/>
            </w:tcBorders>
          </w:tcPr>
          <w:p w14:paraId="60EF031D" w14:textId="77777777" w:rsidR="00C07D36" w:rsidRPr="004B5E36" w:rsidRDefault="00090685" w:rsidP="00090685">
            <w:pPr>
              <w:pStyle w:val="EBBodyPara"/>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Risk of an incident</w:t>
            </w:r>
            <w:r w:rsidR="00C07D36">
              <w:rPr>
                <w:b/>
                <w:sz w:val="20"/>
                <w:szCs w:val="20"/>
              </w:rPr>
              <w:t xml:space="preserve"> occurring</w:t>
            </w:r>
            <w:r w:rsidR="00966C9E">
              <w:rPr>
                <w:b/>
                <w:sz w:val="20"/>
                <w:szCs w:val="20"/>
              </w:rPr>
              <w:t xml:space="preserve"> per voyage</w:t>
            </w:r>
          </w:p>
        </w:tc>
        <w:tc>
          <w:tcPr>
            <w:tcW w:w="984" w:type="pct"/>
            <w:tcBorders>
              <w:top w:val="single" w:sz="4" w:space="0" w:color="7F7F7F" w:themeColor="text1" w:themeTint="80"/>
              <w:left w:val="nil"/>
              <w:bottom w:val="single" w:sz="4" w:space="0" w:color="auto"/>
              <w:right w:val="nil"/>
            </w:tcBorders>
            <w:hideMark/>
          </w:tcPr>
          <w:p w14:paraId="4C574806" w14:textId="77777777" w:rsidR="00C07D36" w:rsidRPr="004B5E36" w:rsidRDefault="00C07D36" w:rsidP="00692DDE">
            <w:pPr>
              <w:pStyle w:val="EBBodyPara"/>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B5E36">
              <w:rPr>
                <w:b/>
                <w:sz w:val="20"/>
                <w:szCs w:val="20"/>
              </w:rPr>
              <w:t>Average number of passengers covered by additional liferaft per vessel**</w:t>
            </w:r>
          </w:p>
        </w:tc>
        <w:tc>
          <w:tcPr>
            <w:tcW w:w="569" w:type="pct"/>
            <w:tcBorders>
              <w:top w:val="single" w:sz="4" w:space="0" w:color="7F7F7F" w:themeColor="text1" w:themeTint="80"/>
              <w:left w:val="nil"/>
              <w:bottom w:val="single" w:sz="4" w:space="0" w:color="auto"/>
              <w:right w:val="nil"/>
            </w:tcBorders>
            <w:hideMark/>
          </w:tcPr>
          <w:p w14:paraId="4B72FBE0" w14:textId="77777777" w:rsidR="00C07D36" w:rsidRPr="004B5E36" w:rsidRDefault="00C07D36" w:rsidP="00692DDE">
            <w:pPr>
              <w:pStyle w:val="EBBodyPara"/>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B5E36">
              <w:rPr>
                <w:b/>
                <w:sz w:val="20"/>
                <w:szCs w:val="20"/>
              </w:rPr>
              <w:t>Trips per year (from FSA)</w:t>
            </w:r>
          </w:p>
        </w:tc>
        <w:tc>
          <w:tcPr>
            <w:tcW w:w="931" w:type="pct"/>
            <w:tcBorders>
              <w:top w:val="single" w:sz="4" w:space="0" w:color="7F7F7F" w:themeColor="text1" w:themeTint="80"/>
              <w:left w:val="nil"/>
              <w:bottom w:val="single" w:sz="4" w:space="0" w:color="auto"/>
              <w:right w:val="nil"/>
            </w:tcBorders>
            <w:hideMark/>
          </w:tcPr>
          <w:p w14:paraId="15359738" w14:textId="77777777" w:rsidR="00C07D36" w:rsidRPr="004B5E36" w:rsidRDefault="00C07D36" w:rsidP="00692DDE">
            <w:pPr>
              <w:pStyle w:val="EBBodyPara"/>
              <w:spacing w:before="40" w:after="40"/>
              <w:cnfStyle w:val="000000000000" w:firstRow="0" w:lastRow="0" w:firstColumn="0" w:lastColumn="0" w:oddVBand="0" w:evenVBand="0" w:oddHBand="0" w:evenHBand="0" w:firstRowFirstColumn="0" w:firstRowLastColumn="0" w:lastRowFirstColumn="0" w:lastRowLastColumn="0"/>
              <w:rPr>
                <w:b/>
                <w:sz w:val="20"/>
                <w:szCs w:val="20"/>
              </w:rPr>
            </w:pPr>
            <w:r w:rsidRPr="004B5E36">
              <w:rPr>
                <w:b/>
                <w:sz w:val="20"/>
                <w:szCs w:val="20"/>
              </w:rPr>
              <w:t>Prevented fatalities per vessel per year from additional liferafts</w:t>
            </w:r>
          </w:p>
        </w:tc>
      </w:tr>
      <w:tr w:rsidR="00C07D36" w14:paraId="4B206D84" w14:textId="77777777" w:rsidTr="00653253">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auto"/>
              <w:left w:val="nil"/>
              <w:bottom w:val="single" w:sz="4" w:space="0" w:color="auto"/>
              <w:right w:val="single" w:sz="4" w:space="0" w:color="auto"/>
            </w:tcBorders>
            <w:hideMark/>
          </w:tcPr>
          <w:p w14:paraId="76CDB16E" w14:textId="2F846EFF" w:rsidR="00C07D36" w:rsidRPr="004B5E36" w:rsidRDefault="00C07D36" w:rsidP="00580209">
            <w:pPr>
              <w:pStyle w:val="EBBodyPara"/>
              <w:spacing w:before="40" w:after="40"/>
              <w:rPr>
                <w:b w:val="0"/>
              </w:rPr>
            </w:pPr>
            <w:r w:rsidRPr="00653253">
              <w:t>Tidal/ Estuaries</w:t>
            </w:r>
            <w:r w:rsidR="00653253">
              <w:rPr>
                <w:b w:val="0"/>
              </w:rPr>
              <w:t xml:space="preserve"> (Class V(C) &amp; IV)</w:t>
            </w:r>
          </w:p>
        </w:tc>
        <w:tc>
          <w:tcPr>
            <w:tcW w:w="806" w:type="pct"/>
            <w:tcBorders>
              <w:top w:val="single" w:sz="4" w:space="0" w:color="auto"/>
              <w:left w:val="single" w:sz="4" w:space="0" w:color="auto"/>
              <w:bottom w:val="single" w:sz="4" w:space="0" w:color="auto"/>
              <w:right w:val="nil"/>
            </w:tcBorders>
            <w:hideMark/>
          </w:tcPr>
          <w:p w14:paraId="4C1CAE90"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rsidRPr="00D95143">
              <w:t>0.000015%</w:t>
            </w:r>
          </w:p>
        </w:tc>
        <w:tc>
          <w:tcPr>
            <w:tcW w:w="836" w:type="pct"/>
            <w:tcBorders>
              <w:top w:val="single" w:sz="4" w:space="0" w:color="auto"/>
              <w:left w:val="nil"/>
              <w:bottom w:val="single" w:sz="4" w:space="0" w:color="auto"/>
              <w:right w:val="nil"/>
            </w:tcBorders>
          </w:tcPr>
          <w:p w14:paraId="0361AFD8" w14:textId="77777777" w:rsidR="00C07D36" w:rsidRPr="00C07D36" w:rsidRDefault="00C07D36" w:rsidP="00D646E3">
            <w:pP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07D36">
              <w:rPr>
                <w:rFonts w:cs="Arial"/>
                <w:bCs/>
                <w:color w:val="000000"/>
                <w:sz w:val="22"/>
                <w:szCs w:val="22"/>
                <w:lang w:eastAsia="en-GB"/>
              </w:rPr>
              <w:t>0.00121%</w:t>
            </w:r>
          </w:p>
          <w:p w14:paraId="55A3A9AA"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p>
        </w:tc>
        <w:tc>
          <w:tcPr>
            <w:tcW w:w="984" w:type="pct"/>
            <w:tcBorders>
              <w:top w:val="single" w:sz="4" w:space="0" w:color="auto"/>
              <w:left w:val="nil"/>
              <w:bottom w:val="single" w:sz="4" w:space="0" w:color="auto"/>
              <w:right w:val="nil"/>
            </w:tcBorders>
            <w:hideMark/>
          </w:tcPr>
          <w:p w14:paraId="02B0C171"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t>99</w:t>
            </w:r>
          </w:p>
        </w:tc>
        <w:tc>
          <w:tcPr>
            <w:tcW w:w="569" w:type="pct"/>
            <w:tcBorders>
              <w:top w:val="single" w:sz="4" w:space="0" w:color="auto"/>
              <w:left w:val="nil"/>
              <w:bottom w:val="single" w:sz="4" w:space="0" w:color="auto"/>
              <w:right w:val="nil"/>
            </w:tcBorders>
            <w:hideMark/>
          </w:tcPr>
          <w:p w14:paraId="51F9C7FE"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t>1369</w:t>
            </w:r>
          </w:p>
        </w:tc>
        <w:tc>
          <w:tcPr>
            <w:tcW w:w="931" w:type="pct"/>
            <w:tcBorders>
              <w:top w:val="single" w:sz="4" w:space="0" w:color="auto"/>
              <w:left w:val="nil"/>
              <w:bottom w:val="single" w:sz="4" w:space="0" w:color="auto"/>
              <w:right w:val="nil"/>
            </w:tcBorders>
            <w:hideMark/>
          </w:tcPr>
          <w:p w14:paraId="767A411A" w14:textId="77777777" w:rsidR="00C07D36" w:rsidRDefault="00D646E3"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rsidRPr="00D646E3">
              <w:t>0.00131</w:t>
            </w:r>
          </w:p>
        </w:tc>
      </w:tr>
      <w:tr w:rsidR="00C07D36" w14:paraId="6670CEB3" w14:textId="77777777" w:rsidTr="00653253">
        <w:tc>
          <w:tcPr>
            <w:cnfStyle w:val="001000000000" w:firstRow="0" w:lastRow="0" w:firstColumn="1" w:lastColumn="0" w:oddVBand="0" w:evenVBand="0" w:oddHBand="0" w:evenHBand="0" w:firstRowFirstColumn="0" w:firstRowLastColumn="0" w:lastRowFirstColumn="0" w:lastRowLastColumn="0"/>
            <w:tcW w:w="874" w:type="pct"/>
            <w:tcBorders>
              <w:top w:val="single" w:sz="4" w:space="0" w:color="auto"/>
              <w:left w:val="nil"/>
              <w:bottom w:val="single" w:sz="4" w:space="0" w:color="7F7F7F" w:themeColor="text1" w:themeTint="80"/>
              <w:right w:val="single" w:sz="4" w:space="0" w:color="auto"/>
            </w:tcBorders>
            <w:hideMark/>
          </w:tcPr>
          <w:p w14:paraId="36165086" w14:textId="06A304AE" w:rsidR="00C07D36" w:rsidRPr="004B5E36" w:rsidRDefault="00472DED" w:rsidP="00580209">
            <w:pPr>
              <w:pStyle w:val="EBBodyPara"/>
              <w:spacing w:before="40" w:after="40"/>
              <w:rPr>
                <w:b w:val="0"/>
              </w:rPr>
            </w:pPr>
            <w:r w:rsidRPr="00653253">
              <w:t>Coastal Waters</w:t>
            </w:r>
            <w:r w:rsidR="00653253">
              <w:rPr>
                <w:b w:val="0"/>
              </w:rPr>
              <w:t xml:space="preserve"> (Class VI &amp; VI (A) &amp; EU restricted)</w:t>
            </w:r>
          </w:p>
        </w:tc>
        <w:tc>
          <w:tcPr>
            <w:tcW w:w="806" w:type="pct"/>
            <w:tcBorders>
              <w:top w:val="single" w:sz="4" w:space="0" w:color="auto"/>
              <w:left w:val="single" w:sz="4" w:space="0" w:color="auto"/>
              <w:bottom w:val="single" w:sz="4" w:space="0" w:color="7F7F7F" w:themeColor="text1" w:themeTint="80"/>
              <w:right w:val="nil"/>
            </w:tcBorders>
            <w:hideMark/>
          </w:tcPr>
          <w:p w14:paraId="111BE9EB"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rsidRPr="00D95143">
              <w:t>0.000013%</w:t>
            </w:r>
          </w:p>
        </w:tc>
        <w:tc>
          <w:tcPr>
            <w:tcW w:w="836" w:type="pct"/>
            <w:tcBorders>
              <w:top w:val="single" w:sz="4" w:space="0" w:color="auto"/>
              <w:left w:val="nil"/>
              <w:bottom w:val="single" w:sz="4" w:space="0" w:color="7F7F7F" w:themeColor="text1" w:themeTint="80"/>
              <w:right w:val="nil"/>
            </w:tcBorders>
          </w:tcPr>
          <w:p w14:paraId="76E9898D" w14:textId="77777777" w:rsidR="00C07D36" w:rsidRPr="00C07D36" w:rsidRDefault="00C07D36" w:rsidP="00D646E3">
            <w:pP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07D36">
              <w:rPr>
                <w:rFonts w:cs="Arial"/>
                <w:bCs/>
                <w:color w:val="000000"/>
                <w:sz w:val="22"/>
                <w:szCs w:val="22"/>
                <w:lang w:eastAsia="en-GB"/>
              </w:rPr>
              <w:t>0.00105%</w:t>
            </w:r>
          </w:p>
          <w:p w14:paraId="784ED45D"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p>
        </w:tc>
        <w:tc>
          <w:tcPr>
            <w:tcW w:w="984" w:type="pct"/>
            <w:tcBorders>
              <w:top w:val="single" w:sz="4" w:space="0" w:color="auto"/>
              <w:left w:val="nil"/>
              <w:bottom w:val="single" w:sz="4" w:space="0" w:color="7F7F7F" w:themeColor="text1" w:themeTint="80"/>
              <w:right w:val="nil"/>
            </w:tcBorders>
            <w:hideMark/>
          </w:tcPr>
          <w:p w14:paraId="0335F497"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t>52</w:t>
            </w:r>
          </w:p>
        </w:tc>
        <w:tc>
          <w:tcPr>
            <w:tcW w:w="569" w:type="pct"/>
            <w:tcBorders>
              <w:top w:val="single" w:sz="4" w:space="0" w:color="auto"/>
              <w:left w:val="nil"/>
              <w:bottom w:val="single" w:sz="4" w:space="0" w:color="7F7F7F" w:themeColor="text1" w:themeTint="80"/>
              <w:right w:val="nil"/>
            </w:tcBorders>
            <w:hideMark/>
          </w:tcPr>
          <w:p w14:paraId="47F5019F"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t>3690</w:t>
            </w:r>
          </w:p>
        </w:tc>
        <w:tc>
          <w:tcPr>
            <w:tcW w:w="931" w:type="pct"/>
            <w:tcBorders>
              <w:top w:val="single" w:sz="4" w:space="0" w:color="auto"/>
              <w:left w:val="nil"/>
              <w:bottom w:val="single" w:sz="4" w:space="0" w:color="7F7F7F" w:themeColor="text1" w:themeTint="80"/>
              <w:right w:val="nil"/>
            </w:tcBorders>
          </w:tcPr>
          <w:p w14:paraId="1D4C1685" w14:textId="77777777" w:rsidR="00D646E3" w:rsidRPr="00D646E3" w:rsidRDefault="00D646E3"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r w:rsidRPr="00D646E3">
              <w:t>0.00161</w:t>
            </w:r>
          </w:p>
          <w:p w14:paraId="0B08AA10" w14:textId="77777777" w:rsidR="00C07D36" w:rsidRDefault="00C07D36" w:rsidP="00D646E3">
            <w:pPr>
              <w:pStyle w:val="EBBodyPara"/>
              <w:spacing w:before="40" w:after="40"/>
              <w:cnfStyle w:val="000000000000" w:firstRow="0" w:lastRow="0" w:firstColumn="0" w:lastColumn="0" w:oddVBand="0" w:evenVBand="0" w:oddHBand="0" w:evenHBand="0" w:firstRowFirstColumn="0" w:firstRowLastColumn="0" w:lastRowFirstColumn="0" w:lastRowLastColumn="0"/>
            </w:pPr>
          </w:p>
        </w:tc>
      </w:tr>
    </w:tbl>
    <w:p w14:paraId="10B68D49" w14:textId="77777777" w:rsidR="009D273A" w:rsidRPr="002E6468" w:rsidRDefault="009D273A" w:rsidP="009D273A">
      <w:pPr>
        <w:pStyle w:val="EBBodyPara"/>
        <w:spacing w:after="0"/>
        <w:rPr>
          <w:i/>
          <w:sz w:val="18"/>
          <w:szCs w:val="18"/>
        </w:rPr>
      </w:pPr>
      <w:r w:rsidRPr="002E6468">
        <w:rPr>
          <w:i/>
          <w:sz w:val="18"/>
          <w:szCs w:val="18"/>
        </w:rPr>
        <w:t xml:space="preserve">* </w:t>
      </w:r>
      <w:r w:rsidR="002E6468" w:rsidRPr="002E6468">
        <w:rPr>
          <w:i/>
          <w:sz w:val="18"/>
          <w:szCs w:val="18"/>
        </w:rPr>
        <w:t xml:space="preserve">The ‘Inland Waters’ and ‘Lochs &amp; Lakes’ operating environments are omitted </w:t>
      </w:r>
      <w:r w:rsidR="002E6468">
        <w:rPr>
          <w:i/>
          <w:sz w:val="18"/>
          <w:szCs w:val="18"/>
        </w:rPr>
        <w:t xml:space="preserve">in the table </w:t>
      </w:r>
      <w:r w:rsidR="002E6468" w:rsidRPr="002E6468">
        <w:rPr>
          <w:i/>
          <w:sz w:val="18"/>
          <w:szCs w:val="18"/>
        </w:rPr>
        <w:t>as the proposed changes do not affect vessels operating in those waters</w:t>
      </w:r>
    </w:p>
    <w:p w14:paraId="4656DE58" w14:textId="77777777" w:rsidR="009D273A" w:rsidRPr="002E6468" w:rsidRDefault="009D273A" w:rsidP="009D273A">
      <w:pPr>
        <w:pStyle w:val="EBBodyPara"/>
        <w:rPr>
          <w:i/>
          <w:sz w:val="18"/>
          <w:szCs w:val="18"/>
        </w:rPr>
      </w:pPr>
      <w:r w:rsidRPr="002E6468">
        <w:rPr>
          <w:i/>
          <w:sz w:val="18"/>
          <w:szCs w:val="18"/>
        </w:rPr>
        <w:t>** Figures assumed from MCA records on capacity</w:t>
      </w:r>
    </w:p>
    <w:p w14:paraId="3BFE1CB2" w14:textId="77777777" w:rsidR="00825D50" w:rsidRDefault="00825D50" w:rsidP="009D273A">
      <w:pPr>
        <w:pStyle w:val="EBBodyPara"/>
      </w:pPr>
    </w:p>
    <w:p w14:paraId="4F64C61F" w14:textId="71673B53" w:rsidR="004160E0" w:rsidRDefault="008867E6" w:rsidP="009D273A">
      <w:pPr>
        <w:pStyle w:val="EBBodyPara"/>
      </w:pPr>
      <w:r>
        <w:t xml:space="preserve">To monetise this </w:t>
      </w:r>
      <w:r w:rsidR="00976D46">
        <w:t>benefit,</w:t>
      </w:r>
      <w:r>
        <w:t xml:space="preserve"> we use the </w:t>
      </w:r>
      <w:r w:rsidR="009D273A">
        <w:t>WebTAG value of a prevented fatality</w:t>
      </w:r>
      <w:r w:rsidR="00981C04">
        <w:rPr>
          <w:rStyle w:val="FootnoteReference"/>
        </w:rPr>
        <w:footnoteReference w:id="7"/>
      </w:r>
      <w:r w:rsidR="00D059AD">
        <w:t xml:space="preserve"> is presented as follows:</w:t>
      </w:r>
    </w:p>
    <w:p w14:paraId="6811683A" w14:textId="77777777" w:rsidR="004160E0" w:rsidRDefault="004160E0" w:rsidP="009D273A">
      <w:pPr>
        <w:pStyle w:val="EBBodyPara"/>
      </w:pPr>
    </w:p>
    <w:tbl>
      <w:tblPr>
        <w:tblStyle w:val="PlainTable2"/>
        <w:tblW w:w="9198" w:type="dxa"/>
        <w:jc w:val="center"/>
        <w:tblLook w:val="05A0" w:firstRow="1" w:lastRow="0" w:firstColumn="1" w:lastColumn="1" w:noHBand="0" w:noVBand="1"/>
      </w:tblPr>
      <w:tblGrid>
        <w:gridCol w:w="3740"/>
        <w:gridCol w:w="1300"/>
        <w:gridCol w:w="1318"/>
        <w:gridCol w:w="1420"/>
        <w:gridCol w:w="1420"/>
      </w:tblGrid>
      <w:tr w:rsidR="009C488A" w14:paraId="51948565" w14:textId="77777777" w:rsidTr="00495F9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9198" w:type="dxa"/>
            <w:gridSpan w:val="5"/>
            <w:tcBorders>
              <w:top w:val="nil"/>
              <w:left w:val="nil"/>
              <w:right w:val="nil"/>
            </w:tcBorders>
            <w:noWrap/>
          </w:tcPr>
          <w:p w14:paraId="7ED87885" w14:textId="77777777" w:rsidR="009C488A" w:rsidRPr="009C488A" w:rsidRDefault="00940A7B" w:rsidP="00580209">
            <w:pPr>
              <w:pStyle w:val="EBBodyPara"/>
              <w:spacing w:before="40" w:after="40"/>
              <w:rPr>
                <w:b w:val="0"/>
                <w:bCs/>
                <w:i/>
              </w:rPr>
            </w:pPr>
            <w:r w:rsidRPr="00E65663">
              <w:rPr>
                <w:b w:val="0"/>
                <w:bCs/>
                <w:i/>
              </w:rPr>
              <w:t>Table 7</w:t>
            </w:r>
            <w:r w:rsidR="009C488A" w:rsidRPr="00E65663">
              <w:rPr>
                <w:b w:val="0"/>
                <w:bCs/>
                <w:i/>
              </w:rPr>
              <w:t>:</w:t>
            </w:r>
            <w:r w:rsidR="00686008">
              <w:rPr>
                <w:b w:val="0"/>
                <w:bCs/>
                <w:i/>
              </w:rPr>
              <w:t xml:space="preserve"> </w:t>
            </w:r>
            <w:r>
              <w:rPr>
                <w:b w:val="0"/>
                <w:bCs/>
                <w:i/>
              </w:rPr>
              <w:t xml:space="preserve">WebTAG average value of prevention of a fatal accident </w:t>
            </w:r>
          </w:p>
        </w:tc>
      </w:tr>
      <w:tr w:rsidR="009D273A" w14:paraId="7981F8EA" w14:textId="77777777" w:rsidTr="00580209">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49CE4FEE" w14:textId="77777777" w:rsidR="009D273A" w:rsidRDefault="009D273A" w:rsidP="00580209">
            <w:pPr>
              <w:pStyle w:val="EBBodyPara"/>
              <w:spacing w:before="40" w:after="40"/>
              <w:rPr>
                <w:bCs/>
              </w:rPr>
            </w:pPr>
            <w:r>
              <w:rPr>
                <w:bCs/>
              </w:rPr>
              <w:t>Casualty type</w:t>
            </w:r>
          </w:p>
        </w:tc>
        <w:tc>
          <w:tcPr>
            <w:tcW w:w="1300" w:type="dxa"/>
            <w:tcBorders>
              <w:left w:val="nil"/>
              <w:right w:val="nil"/>
            </w:tcBorders>
            <w:noWrap/>
            <w:hideMark/>
          </w:tcPr>
          <w:p w14:paraId="0ADD27F1" w14:textId="77777777" w:rsidR="009D273A" w:rsidRPr="00BC348C" w:rsidRDefault="009D273A" w:rsidP="00580209">
            <w:pPr>
              <w:pStyle w:val="EBBodyPara"/>
              <w:spacing w:before="40" w:after="40"/>
              <w:cnfStyle w:val="000000100000" w:firstRow="0" w:lastRow="0" w:firstColumn="0" w:lastColumn="0" w:oddVBand="0" w:evenVBand="0" w:oddHBand="1" w:evenHBand="0" w:firstRowFirstColumn="0" w:firstRowLastColumn="0" w:lastRowFirstColumn="0" w:lastRowLastColumn="0"/>
              <w:rPr>
                <w:b/>
                <w:bCs w:val="0"/>
              </w:rPr>
            </w:pPr>
            <w:r w:rsidRPr="00BC348C">
              <w:rPr>
                <w:b/>
                <w:bCs w:val="0"/>
              </w:rPr>
              <w:t>Lost Output</w:t>
            </w:r>
          </w:p>
        </w:tc>
        <w:tc>
          <w:tcPr>
            <w:tcW w:w="1318" w:type="dxa"/>
            <w:tcBorders>
              <w:left w:val="nil"/>
              <w:right w:val="nil"/>
            </w:tcBorders>
            <w:noWrap/>
            <w:hideMark/>
          </w:tcPr>
          <w:p w14:paraId="61521128" w14:textId="77777777" w:rsidR="009D273A" w:rsidRPr="00BC348C" w:rsidRDefault="009D273A" w:rsidP="00580209">
            <w:pPr>
              <w:pStyle w:val="EBBodyPara"/>
              <w:spacing w:before="40" w:after="40"/>
              <w:cnfStyle w:val="000000100000" w:firstRow="0" w:lastRow="0" w:firstColumn="0" w:lastColumn="0" w:oddVBand="0" w:evenVBand="0" w:oddHBand="1" w:evenHBand="0" w:firstRowFirstColumn="0" w:firstRowLastColumn="0" w:lastRowFirstColumn="0" w:lastRowLastColumn="0"/>
              <w:rPr>
                <w:b/>
                <w:bCs w:val="0"/>
              </w:rPr>
            </w:pPr>
            <w:r w:rsidRPr="00BC348C">
              <w:rPr>
                <w:b/>
                <w:bCs w:val="0"/>
              </w:rPr>
              <w:t>Human Costs</w:t>
            </w:r>
          </w:p>
        </w:tc>
        <w:tc>
          <w:tcPr>
            <w:tcW w:w="1420" w:type="dxa"/>
            <w:tcBorders>
              <w:left w:val="nil"/>
              <w:right w:val="nil"/>
            </w:tcBorders>
            <w:hideMark/>
          </w:tcPr>
          <w:p w14:paraId="246905BF" w14:textId="77777777" w:rsidR="009D273A" w:rsidRPr="00BC348C" w:rsidRDefault="009D273A" w:rsidP="00580209">
            <w:pPr>
              <w:pStyle w:val="EBBodyPara"/>
              <w:spacing w:before="40" w:after="40"/>
              <w:cnfStyle w:val="000000100000" w:firstRow="0" w:lastRow="0" w:firstColumn="0" w:lastColumn="0" w:oddVBand="0" w:evenVBand="0" w:oddHBand="1" w:evenHBand="0" w:firstRowFirstColumn="0" w:firstRowLastColumn="0" w:lastRowFirstColumn="0" w:lastRowLastColumn="0"/>
              <w:rPr>
                <w:b/>
                <w:bCs w:val="0"/>
              </w:rPr>
            </w:pPr>
            <w:r w:rsidRPr="00BC348C">
              <w:rPr>
                <w:b/>
                <w:bCs w:val="0"/>
              </w:rPr>
              <w:t>Ambulance Costs</w:t>
            </w:r>
          </w:p>
        </w:tc>
        <w:tc>
          <w:tcPr>
            <w:cnfStyle w:val="000100000000" w:firstRow="0" w:lastRow="0" w:firstColumn="0" w:lastColumn="1" w:oddVBand="0" w:evenVBand="0" w:oddHBand="0" w:evenHBand="0" w:firstRowFirstColumn="0" w:firstRowLastColumn="0" w:lastRowFirstColumn="0" w:lastRowLastColumn="0"/>
            <w:tcW w:w="1420" w:type="dxa"/>
            <w:tcBorders>
              <w:left w:val="nil"/>
              <w:right w:val="nil"/>
            </w:tcBorders>
            <w:noWrap/>
            <w:hideMark/>
          </w:tcPr>
          <w:p w14:paraId="6C0E3E89" w14:textId="77777777" w:rsidR="009D273A" w:rsidRPr="00BC348C" w:rsidRDefault="009D273A" w:rsidP="00580209">
            <w:pPr>
              <w:pStyle w:val="EBBodyPara"/>
              <w:spacing w:before="40" w:after="40"/>
              <w:rPr>
                <w:bCs/>
              </w:rPr>
            </w:pPr>
            <w:r w:rsidRPr="00BC348C">
              <w:rPr>
                <w:bCs/>
              </w:rPr>
              <w:t>Total</w:t>
            </w:r>
          </w:p>
        </w:tc>
      </w:tr>
      <w:tr w:rsidR="00C3371B" w14:paraId="3D70FB20" w14:textId="77777777" w:rsidTr="008B0EDC">
        <w:trPr>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0A371F9F" w14:textId="77777777" w:rsidR="00C3371B" w:rsidRPr="00BC348C" w:rsidRDefault="00C3371B" w:rsidP="00C3371B">
            <w:pPr>
              <w:pStyle w:val="EBBodyPara"/>
              <w:spacing w:before="40" w:after="40"/>
              <w:rPr>
                <w:b w:val="0"/>
                <w:bCs/>
              </w:rPr>
            </w:pPr>
            <w:r w:rsidRPr="00BC348C">
              <w:rPr>
                <w:b w:val="0"/>
                <w:bCs/>
              </w:rPr>
              <w:t>Fatal</w:t>
            </w:r>
          </w:p>
        </w:tc>
        <w:tc>
          <w:tcPr>
            <w:tcW w:w="1300" w:type="dxa"/>
            <w:tcBorders>
              <w:top w:val="nil"/>
              <w:left w:val="nil"/>
              <w:bottom w:val="single" w:sz="8" w:space="0" w:color="7F7F7F"/>
              <w:right w:val="nil"/>
            </w:tcBorders>
            <w:shd w:val="clear" w:color="auto" w:fill="auto"/>
            <w:noWrap/>
            <w:vAlign w:val="center"/>
            <w:hideMark/>
          </w:tcPr>
          <w:p w14:paraId="7FC4DEEA" w14:textId="77777777" w:rsidR="00C3371B" w:rsidRPr="00BC348C" w:rsidRDefault="00C3371B" w:rsidP="00C3371B">
            <w:pPr>
              <w:pStyle w:val="EBBodyPara"/>
              <w:spacing w:before="40" w:after="40"/>
              <w:cnfStyle w:val="000000000000" w:firstRow="0" w:lastRow="0" w:firstColumn="0" w:lastColumn="0" w:oddVBand="0" w:evenVBand="0" w:oddHBand="0" w:evenHBand="0" w:firstRowFirstColumn="0" w:firstRowLastColumn="0" w:lastRowFirstColumn="0" w:lastRowLastColumn="0"/>
            </w:pPr>
            <w:r>
              <w:t>£662,000</w:t>
            </w:r>
          </w:p>
        </w:tc>
        <w:tc>
          <w:tcPr>
            <w:tcW w:w="1318" w:type="dxa"/>
            <w:tcBorders>
              <w:top w:val="nil"/>
              <w:left w:val="nil"/>
              <w:bottom w:val="single" w:sz="8" w:space="0" w:color="7F7F7F"/>
              <w:right w:val="nil"/>
            </w:tcBorders>
            <w:shd w:val="clear" w:color="auto" w:fill="auto"/>
            <w:noWrap/>
            <w:vAlign w:val="center"/>
            <w:hideMark/>
          </w:tcPr>
          <w:p w14:paraId="3EA8B423" w14:textId="77777777" w:rsidR="00C3371B" w:rsidRPr="00BC348C" w:rsidRDefault="00C3371B" w:rsidP="00C3371B">
            <w:pPr>
              <w:pStyle w:val="EBBodyPara"/>
              <w:spacing w:before="40" w:after="40"/>
              <w:cnfStyle w:val="000000000000" w:firstRow="0" w:lastRow="0" w:firstColumn="0" w:lastColumn="0" w:oddVBand="0" w:evenVBand="0" w:oddHBand="0" w:evenHBand="0" w:firstRowFirstColumn="0" w:firstRowLastColumn="0" w:lastRowFirstColumn="0" w:lastRowLastColumn="0"/>
            </w:pPr>
            <w:r>
              <w:t>£1,263,000</w:t>
            </w:r>
          </w:p>
        </w:tc>
        <w:tc>
          <w:tcPr>
            <w:tcW w:w="1420" w:type="dxa"/>
            <w:tcBorders>
              <w:top w:val="nil"/>
              <w:left w:val="nil"/>
              <w:bottom w:val="single" w:sz="8" w:space="0" w:color="7F7F7F"/>
              <w:right w:val="nil"/>
            </w:tcBorders>
            <w:shd w:val="clear" w:color="auto" w:fill="auto"/>
            <w:vAlign w:val="center"/>
            <w:hideMark/>
          </w:tcPr>
          <w:p w14:paraId="691389BD" w14:textId="77777777" w:rsidR="00C3371B" w:rsidRPr="00BC348C" w:rsidRDefault="00C3371B" w:rsidP="00C3371B">
            <w:pPr>
              <w:pStyle w:val="EBBodyPara"/>
              <w:spacing w:before="40" w:after="40"/>
              <w:cnfStyle w:val="000000000000" w:firstRow="0" w:lastRow="0" w:firstColumn="0" w:lastColumn="0" w:oddVBand="0" w:evenVBand="0" w:oddHBand="0" w:evenHBand="0" w:firstRowFirstColumn="0" w:firstRowLastColumn="0" w:lastRowFirstColumn="0" w:lastRowLastColumn="0"/>
            </w:pPr>
            <w:r>
              <w:t>£1,000</w:t>
            </w:r>
          </w:p>
        </w:tc>
        <w:tc>
          <w:tcPr>
            <w:cnfStyle w:val="000100000000" w:firstRow="0" w:lastRow="0" w:firstColumn="0" w:lastColumn="1" w:oddVBand="0" w:evenVBand="0" w:oddHBand="0" w:evenHBand="0" w:firstRowFirstColumn="0" w:firstRowLastColumn="0" w:lastRowFirstColumn="0" w:lastRowLastColumn="0"/>
            <w:tcW w:w="1420" w:type="dxa"/>
            <w:tcBorders>
              <w:top w:val="nil"/>
              <w:left w:val="nil"/>
              <w:bottom w:val="single" w:sz="8" w:space="0" w:color="7F7F7F"/>
              <w:right w:val="nil"/>
            </w:tcBorders>
            <w:shd w:val="clear" w:color="auto" w:fill="auto"/>
            <w:noWrap/>
            <w:vAlign w:val="center"/>
            <w:hideMark/>
          </w:tcPr>
          <w:p w14:paraId="2D980E7F" w14:textId="77777777" w:rsidR="00C3371B" w:rsidRPr="004C3FB9" w:rsidRDefault="00C3371B" w:rsidP="00C3371B">
            <w:pPr>
              <w:pStyle w:val="EBBodyPara"/>
              <w:spacing w:before="40" w:after="40"/>
              <w:rPr>
                <w:b w:val="0"/>
              </w:rPr>
            </w:pPr>
            <w:r w:rsidRPr="004C3FB9">
              <w:rPr>
                <w:b w:val="0"/>
              </w:rPr>
              <w:t>£1,927,000</w:t>
            </w:r>
          </w:p>
        </w:tc>
      </w:tr>
    </w:tbl>
    <w:p w14:paraId="325EBE10" w14:textId="77777777" w:rsidR="009D273A" w:rsidRDefault="009D273A" w:rsidP="009D273A">
      <w:pPr>
        <w:pStyle w:val="EBBodyPara"/>
      </w:pPr>
    </w:p>
    <w:p w14:paraId="77AE3191" w14:textId="4236D81A" w:rsidR="009D273A" w:rsidRDefault="009D273A" w:rsidP="009D273A">
      <w:pPr>
        <w:pStyle w:val="EBBodyPara"/>
      </w:pPr>
      <w:r>
        <w:t xml:space="preserve">It should be noted that these are based on land values and therefore does not include search and rescue costs, which due to the sheer variance of costs could not be </w:t>
      </w:r>
      <w:r w:rsidR="00000396">
        <w:t>estimated. This will likely lead to the underestimation of the value of the benefit.</w:t>
      </w:r>
      <w:r>
        <w:t xml:space="preserve"> </w:t>
      </w:r>
      <w:r w:rsidR="008867E6">
        <w:t xml:space="preserve">The total benefit per year is shown in table </w:t>
      </w:r>
      <w:r w:rsidR="003D3F9D" w:rsidRPr="00E65663">
        <w:t>8</w:t>
      </w:r>
      <w:r w:rsidR="008867E6">
        <w:t xml:space="preserve"> by class of vessel affected. </w:t>
      </w:r>
    </w:p>
    <w:p w14:paraId="1E9FBECB" w14:textId="77777777" w:rsidR="00825D50" w:rsidRDefault="00825D50" w:rsidP="009D273A">
      <w:pPr>
        <w:pStyle w:val="EBBodyPara"/>
      </w:pPr>
    </w:p>
    <w:tbl>
      <w:tblPr>
        <w:tblStyle w:val="PlainTable2"/>
        <w:tblW w:w="4950" w:type="pct"/>
        <w:tblLook w:val="04E0" w:firstRow="1" w:lastRow="1" w:firstColumn="1" w:lastColumn="0" w:noHBand="0" w:noVBand="1"/>
      </w:tblPr>
      <w:tblGrid>
        <w:gridCol w:w="1633"/>
        <w:gridCol w:w="1936"/>
        <w:gridCol w:w="2441"/>
        <w:gridCol w:w="2174"/>
        <w:gridCol w:w="2258"/>
      </w:tblGrid>
      <w:tr w:rsidR="00F06C5C" w14:paraId="3FF7AD73" w14:textId="77777777" w:rsidTr="00F06C5C">
        <w:trPr>
          <w:cnfStyle w:val="100000000000" w:firstRow="1" w:lastRow="0" w:firstColumn="0" w:lastColumn="0" w:oddVBand="0" w:evenVBand="0" w:oddHBand="0"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5000" w:type="pct"/>
            <w:gridSpan w:val="5"/>
            <w:tcBorders>
              <w:top w:val="nil"/>
              <w:left w:val="nil"/>
              <w:bottom w:val="single" w:sz="4" w:space="0" w:color="000000"/>
              <w:right w:val="nil"/>
            </w:tcBorders>
            <w:noWrap/>
          </w:tcPr>
          <w:p w14:paraId="70B08BFF" w14:textId="77777777" w:rsidR="00F06C5C" w:rsidRPr="00F06C5C" w:rsidRDefault="00940A7B" w:rsidP="00F06C5C">
            <w:pPr>
              <w:pStyle w:val="EBBodyPara"/>
              <w:keepNext/>
              <w:spacing w:before="40" w:after="40"/>
              <w:rPr>
                <w:b w:val="0"/>
                <w:i/>
              </w:rPr>
            </w:pPr>
            <w:r w:rsidRPr="00E65663">
              <w:rPr>
                <w:b w:val="0"/>
                <w:i/>
              </w:rPr>
              <w:t>Table 8</w:t>
            </w:r>
            <w:r w:rsidR="00F06C5C" w:rsidRPr="00E65663">
              <w:rPr>
                <w:b w:val="0"/>
                <w:i/>
              </w:rPr>
              <w:t>:</w:t>
            </w:r>
            <w:r w:rsidR="008867E6">
              <w:rPr>
                <w:b w:val="0"/>
                <w:i/>
              </w:rPr>
              <w:t xml:space="preserve"> </w:t>
            </w:r>
            <w:r>
              <w:rPr>
                <w:b w:val="0"/>
                <w:i/>
              </w:rPr>
              <w:t>The monetised benefit of additional liferafts in 2019 by vessel class</w:t>
            </w:r>
          </w:p>
        </w:tc>
      </w:tr>
      <w:tr w:rsidR="009D273A" w14:paraId="6AC7ABEC" w14:textId="77777777" w:rsidTr="00840845">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000000"/>
              <w:left w:val="single" w:sz="4" w:space="0" w:color="000000"/>
              <w:right w:val="single" w:sz="4" w:space="0" w:color="auto"/>
            </w:tcBorders>
            <w:noWrap/>
            <w:hideMark/>
          </w:tcPr>
          <w:p w14:paraId="1BC5D957" w14:textId="77777777" w:rsidR="009D273A" w:rsidRPr="00F06C5C" w:rsidRDefault="009D273A" w:rsidP="00580209">
            <w:pPr>
              <w:pStyle w:val="EBBodyPara"/>
              <w:keepNext/>
              <w:spacing w:before="40" w:after="40"/>
            </w:pPr>
            <w:r w:rsidRPr="00F06C5C">
              <w:t xml:space="preserve">Class </w:t>
            </w:r>
          </w:p>
        </w:tc>
        <w:tc>
          <w:tcPr>
            <w:tcW w:w="927" w:type="pct"/>
            <w:tcBorders>
              <w:top w:val="single" w:sz="4" w:space="0" w:color="000000"/>
              <w:left w:val="single" w:sz="4" w:space="0" w:color="auto"/>
              <w:right w:val="single" w:sz="4" w:space="0" w:color="auto"/>
            </w:tcBorders>
            <w:hideMark/>
          </w:tcPr>
          <w:p w14:paraId="102F99CD" w14:textId="77777777" w:rsidR="009D273A" w:rsidRPr="00F06C5C" w:rsidRDefault="009D273A" w:rsidP="00580209">
            <w:pPr>
              <w:pStyle w:val="EBBodyPara"/>
              <w:keepNext/>
              <w:spacing w:before="40" w:after="40"/>
              <w:cnfStyle w:val="000000100000" w:firstRow="0" w:lastRow="0" w:firstColumn="0" w:lastColumn="0" w:oddVBand="0" w:evenVBand="0" w:oddHBand="1" w:evenHBand="0" w:firstRowFirstColumn="0" w:firstRowLastColumn="0" w:lastRowFirstColumn="0" w:lastRowLastColumn="0"/>
              <w:rPr>
                <w:b/>
              </w:rPr>
            </w:pPr>
            <w:r w:rsidRPr="00F06C5C">
              <w:rPr>
                <w:b/>
              </w:rPr>
              <w:t>Area of operation</w:t>
            </w:r>
          </w:p>
        </w:tc>
        <w:tc>
          <w:tcPr>
            <w:tcW w:w="1169" w:type="pct"/>
            <w:tcBorders>
              <w:top w:val="single" w:sz="4" w:space="0" w:color="000000"/>
              <w:left w:val="single" w:sz="4" w:space="0" w:color="auto"/>
              <w:right w:val="single" w:sz="4" w:space="0" w:color="auto"/>
            </w:tcBorders>
            <w:hideMark/>
          </w:tcPr>
          <w:p w14:paraId="0D2C13FC" w14:textId="77777777" w:rsidR="009D273A" w:rsidRPr="00F06C5C" w:rsidRDefault="009D273A" w:rsidP="00580209">
            <w:pPr>
              <w:pStyle w:val="EBBodyPara"/>
              <w:keepNext/>
              <w:spacing w:before="40" w:after="40"/>
              <w:jc w:val="right"/>
              <w:cnfStyle w:val="000000100000" w:firstRow="0" w:lastRow="0" w:firstColumn="0" w:lastColumn="0" w:oddVBand="0" w:evenVBand="0" w:oddHBand="1" w:evenHBand="0" w:firstRowFirstColumn="0" w:firstRowLastColumn="0" w:lastRowFirstColumn="0" w:lastRowLastColumn="0"/>
              <w:rPr>
                <w:b/>
              </w:rPr>
            </w:pPr>
            <w:r w:rsidRPr="00F06C5C">
              <w:rPr>
                <w:b/>
              </w:rPr>
              <w:t>Monetised benefit per vessel</w:t>
            </w:r>
            <w:r w:rsidR="00857EEB" w:rsidRPr="00F06C5C">
              <w:rPr>
                <w:b/>
              </w:rPr>
              <w:t xml:space="preserve"> per</w:t>
            </w:r>
            <w:r w:rsidRPr="00F06C5C">
              <w:rPr>
                <w:b/>
              </w:rPr>
              <w:t xml:space="preserve"> year</w:t>
            </w:r>
          </w:p>
        </w:tc>
        <w:tc>
          <w:tcPr>
            <w:tcW w:w="1041" w:type="pct"/>
            <w:tcBorders>
              <w:top w:val="single" w:sz="4" w:space="0" w:color="000000"/>
              <w:left w:val="single" w:sz="4" w:space="0" w:color="auto"/>
              <w:right w:val="single" w:sz="4" w:space="0" w:color="auto"/>
            </w:tcBorders>
            <w:noWrap/>
            <w:hideMark/>
          </w:tcPr>
          <w:p w14:paraId="6F075B19" w14:textId="77777777" w:rsidR="009D273A" w:rsidRPr="00F06C5C" w:rsidRDefault="009D273A" w:rsidP="00580209">
            <w:pPr>
              <w:pStyle w:val="EBBodyPara"/>
              <w:keepNext/>
              <w:spacing w:before="40" w:after="40"/>
              <w:jc w:val="right"/>
              <w:cnfStyle w:val="000000100000" w:firstRow="0" w:lastRow="0" w:firstColumn="0" w:lastColumn="0" w:oddVBand="0" w:evenVBand="0" w:oddHBand="1" w:evenHBand="0" w:firstRowFirstColumn="0" w:firstRowLastColumn="0" w:lastRowFirstColumn="0" w:lastRowLastColumn="0"/>
              <w:rPr>
                <w:b/>
              </w:rPr>
            </w:pPr>
            <w:r w:rsidRPr="00F06C5C">
              <w:rPr>
                <w:b/>
              </w:rPr>
              <w:t>Number of vessels</w:t>
            </w:r>
          </w:p>
        </w:tc>
        <w:tc>
          <w:tcPr>
            <w:tcW w:w="1082" w:type="pct"/>
            <w:tcBorders>
              <w:top w:val="single" w:sz="4" w:space="0" w:color="000000"/>
              <w:left w:val="single" w:sz="4" w:space="0" w:color="auto"/>
              <w:right w:val="single" w:sz="4" w:space="0" w:color="000000"/>
            </w:tcBorders>
            <w:hideMark/>
          </w:tcPr>
          <w:p w14:paraId="083EC2E6" w14:textId="77777777" w:rsidR="009D273A" w:rsidRPr="00F06C5C" w:rsidRDefault="008867E6" w:rsidP="00580209">
            <w:pPr>
              <w:pStyle w:val="EBBodyPara"/>
              <w:keepNext/>
              <w:spacing w:before="40" w:after="40"/>
              <w:jc w:val="right"/>
              <w:cnfStyle w:val="000000100000" w:firstRow="0" w:lastRow="0" w:firstColumn="0" w:lastColumn="0" w:oddVBand="0" w:evenVBand="0" w:oddHBand="1" w:evenHBand="0" w:firstRowFirstColumn="0" w:firstRowLastColumn="0" w:lastRowFirstColumn="0" w:lastRowLastColumn="0"/>
              <w:rPr>
                <w:b/>
              </w:rPr>
            </w:pPr>
            <w:r>
              <w:rPr>
                <w:b/>
              </w:rPr>
              <w:t>Monetised benefit in 2019</w:t>
            </w:r>
          </w:p>
        </w:tc>
      </w:tr>
      <w:tr w:rsidR="009D273A" w14:paraId="11D716A1" w14:textId="77777777" w:rsidTr="00840845">
        <w:trPr>
          <w:trHeight w:val="300"/>
        </w:trPr>
        <w:tc>
          <w:tcPr>
            <w:cnfStyle w:val="001000000000" w:firstRow="0" w:lastRow="0" w:firstColumn="1" w:lastColumn="0" w:oddVBand="0" w:evenVBand="0" w:oddHBand="0" w:evenHBand="0" w:firstRowFirstColumn="0" w:firstRowLastColumn="0" w:lastRowFirstColumn="0" w:lastRowLastColumn="0"/>
            <w:tcW w:w="782" w:type="pct"/>
            <w:tcBorders>
              <w:left w:val="single" w:sz="4" w:space="0" w:color="000000"/>
              <w:right w:val="single" w:sz="4" w:space="0" w:color="auto"/>
            </w:tcBorders>
            <w:noWrap/>
            <w:hideMark/>
          </w:tcPr>
          <w:p w14:paraId="091B69AF" w14:textId="77777777" w:rsidR="009D273A" w:rsidRPr="00F06C5C" w:rsidRDefault="009D273A" w:rsidP="00580209">
            <w:pPr>
              <w:pStyle w:val="EBBodyPara"/>
              <w:keepNext/>
              <w:spacing w:before="40" w:after="40"/>
              <w:rPr>
                <w:b w:val="0"/>
              </w:rPr>
            </w:pPr>
            <w:r w:rsidRPr="00F06C5C">
              <w:rPr>
                <w:b w:val="0"/>
              </w:rPr>
              <w:t>Class V(C)</w:t>
            </w:r>
          </w:p>
        </w:tc>
        <w:tc>
          <w:tcPr>
            <w:tcW w:w="927" w:type="pct"/>
            <w:tcBorders>
              <w:left w:val="single" w:sz="4" w:space="0" w:color="auto"/>
              <w:right w:val="single" w:sz="4" w:space="0" w:color="auto"/>
            </w:tcBorders>
            <w:hideMark/>
          </w:tcPr>
          <w:p w14:paraId="7BB2163E" w14:textId="77777777" w:rsidR="009D273A" w:rsidRPr="008867E6" w:rsidRDefault="009D273A" w:rsidP="00580209">
            <w:pPr>
              <w:pStyle w:val="EBBodyPara"/>
              <w:keepNext/>
              <w:spacing w:before="40" w:after="40"/>
              <w:cnfStyle w:val="000000000000" w:firstRow="0" w:lastRow="0" w:firstColumn="0" w:lastColumn="0" w:oddVBand="0" w:evenVBand="0" w:oddHBand="0" w:evenHBand="0" w:firstRowFirstColumn="0" w:firstRowLastColumn="0" w:lastRowFirstColumn="0" w:lastRowLastColumn="0"/>
            </w:pPr>
            <w:r w:rsidRPr="008867E6">
              <w:t>Tidal / Estuaries</w:t>
            </w:r>
          </w:p>
        </w:tc>
        <w:tc>
          <w:tcPr>
            <w:tcW w:w="1169" w:type="pct"/>
            <w:tcBorders>
              <w:left w:val="single" w:sz="4" w:space="0" w:color="auto"/>
              <w:right w:val="single" w:sz="4" w:space="0" w:color="auto"/>
            </w:tcBorders>
            <w:hideMark/>
          </w:tcPr>
          <w:p w14:paraId="7A0C4726" w14:textId="77777777" w:rsidR="009D273A" w:rsidRPr="009C488A" w:rsidRDefault="00C3371B"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rPr>
                <w:highlight w:val="yellow"/>
              </w:rPr>
            </w:pPr>
            <w:r>
              <w:t>£2,520</w:t>
            </w:r>
          </w:p>
        </w:tc>
        <w:tc>
          <w:tcPr>
            <w:tcW w:w="1041" w:type="pct"/>
            <w:tcBorders>
              <w:left w:val="single" w:sz="4" w:space="0" w:color="auto"/>
              <w:right w:val="single" w:sz="4" w:space="0" w:color="auto"/>
            </w:tcBorders>
            <w:noWrap/>
            <w:hideMark/>
          </w:tcPr>
          <w:p w14:paraId="44127C1C" w14:textId="77777777" w:rsidR="009D273A" w:rsidRPr="00840845" w:rsidRDefault="00840845"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pPr>
            <w:r>
              <w:t>123</w:t>
            </w:r>
          </w:p>
        </w:tc>
        <w:tc>
          <w:tcPr>
            <w:tcW w:w="1082" w:type="pct"/>
            <w:vMerge w:val="restart"/>
            <w:tcBorders>
              <w:left w:val="single" w:sz="4" w:space="0" w:color="auto"/>
              <w:bottom w:val="nil"/>
              <w:right w:val="single" w:sz="4" w:space="0" w:color="000000"/>
            </w:tcBorders>
            <w:vAlign w:val="center"/>
            <w:hideMark/>
          </w:tcPr>
          <w:p w14:paraId="14300907" w14:textId="77777777" w:rsidR="009D273A" w:rsidRPr="00840845" w:rsidRDefault="00E642D5"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rPr>
                <w:highlight w:val="yellow"/>
              </w:rPr>
            </w:pPr>
            <w:r w:rsidRPr="00E642D5">
              <w:t>£330,000</w:t>
            </w:r>
          </w:p>
        </w:tc>
      </w:tr>
      <w:tr w:rsidR="009D273A" w14:paraId="318BFA08" w14:textId="77777777" w:rsidTr="008408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2" w:type="pct"/>
            <w:tcBorders>
              <w:top w:val="nil"/>
              <w:left w:val="single" w:sz="4" w:space="0" w:color="000000"/>
              <w:bottom w:val="single" w:sz="4" w:space="0" w:color="auto"/>
              <w:right w:val="single" w:sz="4" w:space="0" w:color="auto"/>
            </w:tcBorders>
            <w:noWrap/>
            <w:hideMark/>
          </w:tcPr>
          <w:p w14:paraId="038BE41A" w14:textId="77777777" w:rsidR="009D273A" w:rsidRPr="00F06C5C" w:rsidRDefault="009D273A" w:rsidP="00580209">
            <w:pPr>
              <w:pStyle w:val="EBBodyPara"/>
              <w:keepNext/>
              <w:spacing w:before="40" w:after="40"/>
              <w:rPr>
                <w:b w:val="0"/>
              </w:rPr>
            </w:pPr>
            <w:r w:rsidRPr="00F06C5C">
              <w:rPr>
                <w:b w:val="0"/>
              </w:rPr>
              <w:t>Class IV</w:t>
            </w:r>
          </w:p>
        </w:tc>
        <w:tc>
          <w:tcPr>
            <w:tcW w:w="927" w:type="pct"/>
            <w:tcBorders>
              <w:top w:val="nil"/>
              <w:left w:val="single" w:sz="4" w:space="0" w:color="auto"/>
              <w:bottom w:val="single" w:sz="4" w:space="0" w:color="auto"/>
              <w:right w:val="single" w:sz="4" w:space="0" w:color="auto"/>
            </w:tcBorders>
            <w:hideMark/>
          </w:tcPr>
          <w:p w14:paraId="28BA631B" w14:textId="77777777" w:rsidR="009D273A" w:rsidRPr="008867E6" w:rsidRDefault="009D273A" w:rsidP="00580209">
            <w:pPr>
              <w:pStyle w:val="EBBodyPara"/>
              <w:keepNext/>
              <w:spacing w:before="40" w:after="40"/>
              <w:cnfStyle w:val="000000100000" w:firstRow="0" w:lastRow="0" w:firstColumn="0" w:lastColumn="0" w:oddVBand="0" w:evenVBand="0" w:oddHBand="1" w:evenHBand="0" w:firstRowFirstColumn="0" w:firstRowLastColumn="0" w:lastRowFirstColumn="0" w:lastRowLastColumn="0"/>
            </w:pPr>
            <w:r w:rsidRPr="008867E6">
              <w:t>Tidal / Estuaries</w:t>
            </w:r>
          </w:p>
        </w:tc>
        <w:tc>
          <w:tcPr>
            <w:tcW w:w="1169" w:type="pct"/>
            <w:tcBorders>
              <w:top w:val="nil"/>
              <w:left w:val="single" w:sz="4" w:space="0" w:color="auto"/>
              <w:bottom w:val="single" w:sz="4" w:space="0" w:color="auto"/>
              <w:right w:val="single" w:sz="4" w:space="0" w:color="auto"/>
            </w:tcBorders>
            <w:hideMark/>
          </w:tcPr>
          <w:p w14:paraId="1178DC5A" w14:textId="77777777" w:rsidR="009D273A" w:rsidRPr="009C488A" w:rsidRDefault="00C3371B" w:rsidP="00580209">
            <w:pPr>
              <w:pStyle w:val="EBBodyPara"/>
              <w:keepNext/>
              <w:spacing w:before="40" w:after="40"/>
              <w:jc w:val="right"/>
              <w:cnfStyle w:val="000000100000" w:firstRow="0" w:lastRow="0" w:firstColumn="0" w:lastColumn="0" w:oddVBand="0" w:evenVBand="0" w:oddHBand="1" w:evenHBand="0" w:firstRowFirstColumn="0" w:firstRowLastColumn="0" w:lastRowFirstColumn="0" w:lastRowLastColumn="0"/>
              <w:rPr>
                <w:highlight w:val="yellow"/>
              </w:rPr>
            </w:pPr>
            <w:r>
              <w:t>£2,520</w:t>
            </w:r>
          </w:p>
        </w:tc>
        <w:tc>
          <w:tcPr>
            <w:tcW w:w="1041" w:type="pct"/>
            <w:tcBorders>
              <w:top w:val="nil"/>
              <w:left w:val="single" w:sz="4" w:space="0" w:color="auto"/>
              <w:bottom w:val="single" w:sz="4" w:space="0" w:color="auto"/>
              <w:right w:val="single" w:sz="4" w:space="0" w:color="auto"/>
            </w:tcBorders>
            <w:noWrap/>
            <w:hideMark/>
          </w:tcPr>
          <w:p w14:paraId="64AA1E7E" w14:textId="77777777" w:rsidR="009D273A" w:rsidRPr="00840845" w:rsidRDefault="009D273A" w:rsidP="00580209">
            <w:pPr>
              <w:pStyle w:val="EBBodyPara"/>
              <w:keepNext/>
              <w:spacing w:before="40" w:after="40"/>
              <w:jc w:val="right"/>
              <w:cnfStyle w:val="000000100000" w:firstRow="0" w:lastRow="0" w:firstColumn="0" w:lastColumn="0" w:oddVBand="0" w:evenVBand="0" w:oddHBand="1" w:evenHBand="0" w:firstRowFirstColumn="0" w:firstRowLastColumn="0" w:lastRowFirstColumn="0" w:lastRowLastColumn="0"/>
            </w:pPr>
            <w:r w:rsidRPr="00840845">
              <w:t>8</w:t>
            </w:r>
          </w:p>
        </w:tc>
        <w:tc>
          <w:tcPr>
            <w:tcW w:w="0" w:type="auto"/>
            <w:vMerge/>
            <w:tcBorders>
              <w:left w:val="single" w:sz="4" w:space="0" w:color="auto"/>
              <w:bottom w:val="single" w:sz="4" w:space="0" w:color="auto"/>
              <w:right w:val="single" w:sz="4" w:space="0" w:color="000000"/>
            </w:tcBorders>
            <w:vAlign w:val="center"/>
            <w:hideMark/>
          </w:tcPr>
          <w:p w14:paraId="6D60B1A5" w14:textId="77777777" w:rsidR="009D273A" w:rsidRPr="00840845" w:rsidRDefault="009D273A" w:rsidP="00580209">
            <w:pPr>
              <w:cnfStyle w:val="000000100000" w:firstRow="0" w:lastRow="0" w:firstColumn="0" w:lastColumn="0" w:oddVBand="0" w:evenVBand="0" w:oddHBand="1" w:evenHBand="0" w:firstRowFirstColumn="0" w:firstRowLastColumn="0" w:lastRowFirstColumn="0" w:lastRowLastColumn="0"/>
              <w:rPr>
                <w:rFonts w:cs="Arial"/>
                <w:bCs/>
                <w:color w:val="000000"/>
                <w:sz w:val="22"/>
                <w:szCs w:val="22"/>
                <w:highlight w:val="yellow"/>
                <w:lang w:eastAsia="en-GB"/>
              </w:rPr>
            </w:pPr>
          </w:p>
        </w:tc>
      </w:tr>
      <w:tr w:rsidR="009D273A" w14:paraId="57576FD4" w14:textId="77777777" w:rsidTr="00840845">
        <w:trPr>
          <w:trHeight w:val="300"/>
        </w:trPr>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auto"/>
              <w:left w:val="single" w:sz="4" w:space="0" w:color="000000"/>
              <w:right w:val="single" w:sz="4" w:space="0" w:color="auto"/>
            </w:tcBorders>
            <w:noWrap/>
            <w:hideMark/>
          </w:tcPr>
          <w:p w14:paraId="6203DEBE" w14:textId="77777777" w:rsidR="009D273A" w:rsidRPr="00F06C5C" w:rsidRDefault="009D273A" w:rsidP="00580209">
            <w:pPr>
              <w:pStyle w:val="EBBodyPara"/>
              <w:keepNext/>
              <w:spacing w:before="40" w:after="40"/>
              <w:rPr>
                <w:b w:val="0"/>
              </w:rPr>
            </w:pPr>
            <w:r w:rsidRPr="00F06C5C">
              <w:rPr>
                <w:b w:val="0"/>
              </w:rPr>
              <w:t>Class VI</w:t>
            </w:r>
          </w:p>
        </w:tc>
        <w:tc>
          <w:tcPr>
            <w:tcW w:w="927" w:type="pct"/>
            <w:tcBorders>
              <w:top w:val="single" w:sz="4" w:space="0" w:color="auto"/>
              <w:left w:val="single" w:sz="4" w:space="0" w:color="auto"/>
              <w:right w:val="single" w:sz="4" w:space="0" w:color="auto"/>
            </w:tcBorders>
            <w:hideMark/>
          </w:tcPr>
          <w:p w14:paraId="4985170F" w14:textId="77777777" w:rsidR="009D273A" w:rsidRPr="008867E6" w:rsidRDefault="009D273A" w:rsidP="00580209">
            <w:pPr>
              <w:pStyle w:val="EBBodyPara"/>
              <w:keepNext/>
              <w:spacing w:before="40" w:after="40"/>
              <w:cnfStyle w:val="000000000000" w:firstRow="0" w:lastRow="0" w:firstColumn="0" w:lastColumn="0" w:oddVBand="0" w:evenVBand="0" w:oddHBand="0" w:evenHBand="0" w:firstRowFirstColumn="0" w:firstRowLastColumn="0" w:lastRowFirstColumn="0" w:lastRowLastColumn="0"/>
            </w:pPr>
            <w:r w:rsidRPr="008867E6">
              <w:t>Coastal Waters</w:t>
            </w:r>
          </w:p>
        </w:tc>
        <w:tc>
          <w:tcPr>
            <w:tcW w:w="1169" w:type="pct"/>
            <w:tcBorders>
              <w:top w:val="single" w:sz="4" w:space="0" w:color="auto"/>
              <w:left w:val="single" w:sz="4" w:space="0" w:color="auto"/>
              <w:right w:val="single" w:sz="4" w:space="0" w:color="auto"/>
            </w:tcBorders>
            <w:hideMark/>
          </w:tcPr>
          <w:p w14:paraId="11D273D8" w14:textId="77777777" w:rsidR="009D273A" w:rsidRPr="009C488A" w:rsidRDefault="009D4CF1"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rPr>
                <w:highlight w:val="yellow"/>
              </w:rPr>
            </w:pPr>
            <w:r>
              <w:t>£3,11</w:t>
            </w:r>
            <w:r w:rsidR="00C3371B">
              <w:t>0</w:t>
            </w:r>
          </w:p>
        </w:tc>
        <w:tc>
          <w:tcPr>
            <w:tcW w:w="1041" w:type="pct"/>
            <w:tcBorders>
              <w:top w:val="single" w:sz="4" w:space="0" w:color="auto"/>
              <w:left w:val="single" w:sz="4" w:space="0" w:color="auto"/>
              <w:right w:val="single" w:sz="4" w:space="0" w:color="auto"/>
            </w:tcBorders>
            <w:noWrap/>
            <w:hideMark/>
          </w:tcPr>
          <w:p w14:paraId="51B2CD54" w14:textId="77777777" w:rsidR="009D273A" w:rsidRPr="009C488A" w:rsidRDefault="009D273A"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rPr>
                <w:highlight w:val="yellow"/>
              </w:rPr>
            </w:pPr>
            <w:r w:rsidRPr="00840845">
              <w:t>122</w:t>
            </w:r>
          </w:p>
        </w:tc>
        <w:tc>
          <w:tcPr>
            <w:tcW w:w="1082" w:type="pct"/>
            <w:vMerge w:val="restart"/>
            <w:tcBorders>
              <w:top w:val="single" w:sz="4" w:space="0" w:color="auto"/>
              <w:left w:val="single" w:sz="4" w:space="0" w:color="auto"/>
              <w:right w:val="single" w:sz="4" w:space="0" w:color="000000"/>
            </w:tcBorders>
            <w:vAlign w:val="center"/>
            <w:hideMark/>
          </w:tcPr>
          <w:p w14:paraId="537C01A1" w14:textId="77777777" w:rsidR="009D273A" w:rsidRPr="00840845" w:rsidRDefault="00E642D5"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rPr>
                <w:highlight w:val="yellow"/>
              </w:rPr>
            </w:pPr>
            <w:r w:rsidRPr="00E642D5">
              <w:t>£479,000</w:t>
            </w:r>
          </w:p>
        </w:tc>
      </w:tr>
      <w:tr w:rsidR="009D273A" w14:paraId="30744208" w14:textId="77777777" w:rsidTr="0084084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2" w:type="pct"/>
            <w:tcBorders>
              <w:top w:val="nil"/>
              <w:left w:val="single" w:sz="4" w:space="0" w:color="000000"/>
              <w:bottom w:val="nil"/>
              <w:right w:val="single" w:sz="4" w:space="0" w:color="auto"/>
            </w:tcBorders>
            <w:noWrap/>
            <w:hideMark/>
          </w:tcPr>
          <w:p w14:paraId="5069F8E6" w14:textId="77777777" w:rsidR="009D273A" w:rsidRPr="00F06C5C" w:rsidRDefault="009D273A" w:rsidP="00580209">
            <w:pPr>
              <w:pStyle w:val="EBBodyPara"/>
              <w:keepNext/>
              <w:spacing w:before="40" w:after="40"/>
              <w:rPr>
                <w:b w:val="0"/>
              </w:rPr>
            </w:pPr>
            <w:r w:rsidRPr="00F06C5C">
              <w:rPr>
                <w:b w:val="0"/>
              </w:rPr>
              <w:t>Class VI(A)</w:t>
            </w:r>
          </w:p>
        </w:tc>
        <w:tc>
          <w:tcPr>
            <w:tcW w:w="927" w:type="pct"/>
            <w:tcBorders>
              <w:top w:val="nil"/>
              <w:left w:val="single" w:sz="4" w:space="0" w:color="auto"/>
              <w:bottom w:val="nil"/>
              <w:right w:val="single" w:sz="4" w:space="0" w:color="auto"/>
            </w:tcBorders>
            <w:hideMark/>
          </w:tcPr>
          <w:p w14:paraId="0C7E6414" w14:textId="77777777" w:rsidR="009D273A" w:rsidRPr="008867E6" w:rsidRDefault="009D273A" w:rsidP="00580209">
            <w:pPr>
              <w:pStyle w:val="EBBodyPara"/>
              <w:keepNext/>
              <w:spacing w:before="40" w:after="40"/>
              <w:cnfStyle w:val="000000100000" w:firstRow="0" w:lastRow="0" w:firstColumn="0" w:lastColumn="0" w:oddVBand="0" w:evenVBand="0" w:oddHBand="1" w:evenHBand="0" w:firstRowFirstColumn="0" w:firstRowLastColumn="0" w:lastRowFirstColumn="0" w:lastRowLastColumn="0"/>
            </w:pPr>
            <w:r w:rsidRPr="008867E6">
              <w:t>Coastal Waters</w:t>
            </w:r>
          </w:p>
        </w:tc>
        <w:tc>
          <w:tcPr>
            <w:tcW w:w="1169" w:type="pct"/>
            <w:tcBorders>
              <w:top w:val="nil"/>
              <w:left w:val="single" w:sz="4" w:space="0" w:color="auto"/>
              <w:bottom w:val="nil"/>
              <w:right w:val="single" w:sz="4" w:space="0" w:color="auto"/>
            </w:tcBorders>
            <w:hideMark/>
          </w:tcPr>
          <w:p w14:paraId="67D2028B" w14:textId="77777777" w:rsidR="009D273A" w:rsidRPr="00840845" w:rsidRDefault="009D4CF1" w:rsidP="00840845">
            <w:pPr>
              <w:jc w:val="right"/>
              <w:cnfStyle w:val="000000100000" w:firstRow="0" w:lastRow="0" w:firstColumn="0" w:lastColumn="0" w:oddVBand="0" w:evenVBand="0" w:oddHBand="1" w:evenHBand="0" w:firstRowFirstColumn="0" w:firstRowLastColumn="0" w:lastRowFirstColumn="0" w:lastRowLastColumn="0"/>
              <w:rPr>
                <w:sz w:val="22"/>
                <w:szCs w:val="22"/>
                <w:highlight w:val="yellow"/>
              </w:rPr>
            </w:pPr>
            <w:r>
              <w:rPr>
                <w:sz w:val="22"/>
                <w:szCs w:val="22"/>
              </w:rPr>
              <w:t>£3,11</w:t>
            </w:r>
            <w:r w:rsidR="00C3371B">
              <w:rPr>
                <w:sz w:val="22"/>
                <w:szCs w:val="22"/>
              </w:rPr>
              <w:t>0</w:t>
            </w:r>
          </w:p>
        </w:tc>
        <w:tc>
          <w:tcPr>
            <w:tcW w:w="1041" w:type="pct"/>
            <w:tcBorders>
              <w:top w:val="nil"/>
              <w:left w:val="single" w:sz="4" w:space="0" w:color="auto"/>
              <w:bottom w:val="nil"/>
              <w:right w:val="single" w:sz="4" w:space="0" w:color="auto"/>
            </w:tcBorders>
            <w:noWrap/>
            <w:hideMark/>
          </w:tcPr>
          <w:p w14:paraId="7EB87FEF" w14:textId="77777777" w:rsidR="009D273A" w:rsidRPr="00840845" w:rsidRDefault="009D273A" w:rsidP="00580209">
            <w:pPr>
              <w:pStyle w:val="EBBodyPara"/>
              <w:keepNext/>
              <w:spacing w:before="40" w:after="40"/>
              <w:jc w:val="right"/>
              <w:cnfStyle w:val="000000100000" w:firstRow="0" w:lastRow="0" w:firstColumn="0" w:lastColumn="0" w:oddVBand="0" w:evenVBand="0" w:oddHBand="1" w:evenHBand="0" w:firstRowFirstColumn="0" w:firstRowLastColumn="0" w:lastRowFirstColumn="0" w:lastRowLastColumn="0"/>
            </w:pPr>
            <w:r w:rsidRPr="00840845">
              <w:t>1</w:t>
            </w:r>
          </w:p>
        </w:tc>
        <w:tc>
          <w:tcPr>
            <w:tcW w:w="0" w:type="auto"/>
            <w:vMerge/>
            <w:tcBorders>
              <w:left w:val="single" w:sz="4" w:space="0" w:color="auto"/>
              <w:right w:val="single" w:sz="4" w:space="0" w:color="000000"/>
            </w:tcBorders>
            <w:vAlign w:val="center"/>
            <w:hideMark/>
          </w:tcPr>
          <w:p w14:paraId="0710F42E" w14:textId="77777777" w:rsidR="009D273A" w:rsidRPr="00840845" w:rsidRDefault="009D273A" w:rsidP="00580209">
            <w:pPr>
              <w:cnfStyle w:val="000000100000" w:firstRow="0" w:lastRow="0" w:firstColumn="0" w:lastColumn="0" w:oddVBand="0" w:evenVBand="0" w:oddHBand="1" w:evenHBand="0" w:firstRowFirstColumn="0" w:firstRowLastColumn="0" w:lastRowFirstColumn="0" w:lastRowLastColumn="0"/>
              <w:rPr>
                <w:rFonts w:cs="Arial"/>
                <w:bCs/>
                <w:color w:val="000000"/>
                <w:sz w:val="22"/>
                <w:szCs w:val="22"/>
                <w:highlight w:val="yellow"/>
                <w:lang w:eastAsia="en-GB"/>
              </w:rPr>
            </w:pPr>
          </w:p>
        </w:tc>
      </w:tr>
      <w:tr w:rsidR="009D273A" w14:paraId="60A884EC" w14:textId="77777777" w:rsidTr="00840845">
        <w:trPr>
          <w:trHeight w:val="300"/>
        </w:trPr>
        <w:tc>
          <w:tcPr>
            <w:cnfStyle w:val="001000000000" w:firstRow="0" w:lastRow="0" w:firstColumn="1" w:lastColumn="0" w:oddVBand="0" w:evenVBand="0" w:oddHBand="0" w:evenHBand="0" w:firstRowFirstColumn="0" w:firstRowLastColumn="0" w:lastRowFirstColumn="0" w:lastRowLastColumn="0"/>
            <w:tcW w:w="782" w:type="pct"/>
            <w:tcBorders>
              <w:left w:val="single" w:sz="4" w:space="0" w:color="000000"/>
              <w:bottom w:val="single" w:sz="4" w:space="0" w:color="auto"/>
              <w:right w:val="single" w:sz="4" w:space="0" w:color="auto"/>
            </w:tcBorders>
            <w:noWrap/>
            <w:hideMark/>
          </w:tcPr>
          <w:p w14:paraId="77160505" w14:textId="77777777" w:rsidR="009D273A" w:rsidRPr="00F06C5C" w:rsidRDefault="009D273A" w:rsidP="00580209">
            <w:pPr>
              <w:pStyle w:val="EBBodyPara"/>
              <w:keepNext/>
              <w:spacing w:before="40" w:after="40"/>
              <w:rPr>
                <w:b w:val="0"/>
              </w:rPr>
            </w:pPr>
            <w:r w:rsidRPr="00F06C5C">
              <w:rPr>
                <w:b w:val="0"/>
              </w:rPr>
              <w:t>EU Restricted</w:t>
            </w:r>
          </w:p>
        </w:tc>
        <w:tc>
          <w:tcPr>
            <w:tcW w:w="927" w:type="pct"/>
            <w:tcBorders>
              <w:left w:val="single" w:sz="4" w:space="0" w:color="auto"/>
              <w:bottom w:val="single" w:sz="4" w:space="0" w:color="auto"/>
              <w:right w:val="single" w:sz="4" w:space="0" w:color="auto"/>
            </w:tcBorders>
            <w:hideMark/>
          </w:tcPr>
          <w:p w14:paraId="22CB8209" w14:textId="77777777" w:rsidR="009D273A" w:rsidRPr="008867E6" w:rsidRDefault="009D273A" w:rsidP="00580209">
            <w:pPr>
              <w:pStyle w:val="EBBodyPara"/>
              <w:keepNext/>
              <w:spacing w:before="40" w:after="40"/>
              <w:cnfStyle w:val="000000000000" w:firstRow="0" w:lastRow="0" w:firstColumn="0" w:lastColumn="0" w:oddVBand="0" w:evenVBand="0" w:oddHBand="0" w:evenHBand="0" w:firstRowFirstColumn="0" w:firstRowLastColumn="0" w:lastRowFirstColumn="0" w:lastRowLastColumn="0"/>
            </w:pPr>
            <w:r w:rsidRPr="008867E6">
              <w:t>Coastal Waters</w:t>
            </w:r>
          </w:p>
        </w:tc>
        <w:tc>
          <w:tcPr>
            <w:tcW w:w="1169" w:type="pct"/>
            <w:tcBorders>
              <w:left w:val="single" w:sz="4" w:space="0" w:color="auto"/>
              <w:bottom w:val="single" w:sz="4" w:space="0" w:color="auto"/>
              <w:right w:val="single" w:sz="4" w:space="0" w:color="auto"/>
            </w:tcBorders>
            <w:hideMark/>
          </w:tcPr>
          <w:p w14:paraId="7448586D" w14:textId="77777777" w:rsidR="009D273A" w:rsidRPr="009C488A" w:rsidRDefault="009D4CF1"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rPr>
                <w:highlight w:val="yellow"/>
              </w:rPr>
            </w:pPr>
            <w:r>
              <w:t>£3,11</w:t>
            </w:r>
            <w:r w:rsidR="00C3371B">
              <w:t>0</w:t>
            </w:r>
          </w:p>
        </w:tc>
        <w:tc>
          <w:tcPr>
            <w:tcW w:w="1041" w:type="pct"/>
            <w:tcBorders>
              <w:left w:val="single" w:sz="4" w:space="0" w:color="auto"/>
              <w:bottom w:val="single" w:sz="4" w:space="0" w:color="auto"/>
              <w:right w:val="single" w:sz="4" w:space="0" w:color="auto"/>
            </w:tcBorders>
            <w:noWrap/>
            <w:hideMark/>
          </w:tcPr>
          <w:p w14:paraId="1675408A" w14:textId="77777777" w:rsidR="009D273A" w:rsidRPr="00840845" w:rsidRDefault="009D273A" w:rsidP="00580209">
            <w:pPr>
              <w:pStyle w:val="EBBodyPara"/>
              <w:keepNext/>
              <w:spacing w:before="40" w:after="40"/>
              <w:jc w:val="right"/>
              <w:cnfStyle w:val="000000000000" w:firstRow="0" w:lastRow="0" w:firstColumn="0" w:lastColumn="0" w:oddVBand="0" w:evenVBand="0" w:oddHBand="0" w:evenHBand="0" w:firstRowFirstColumn="0" w:firstRowLastColumn="0" w:lastRowFirstColumn="0" w:lastRowLastColumn="0"/>
            </w:pPr>
            <w:r w:rsidRPr="00840845">
              <w:t>31</w:t>
            </w:r>
          </w:p>
        </w:tc>
        <w:tc>
          <w:tcPr>
            <w:tcW w:w="0" w:type="auto"/>
            <w:vMerge/>
            <w:tcBorders>
              <w:left w:val="single" w:sz="4" w:space="0" w:color="auto"/>
              <w:right w:val="single" w:sz="4" w:space="0" w:color="000000"/>
            </w:tcBorders>
            <w:vAlign w:val="center"/>
            <w:hideMark/>
          </w:tcPr>
          <w:p w14:paraId="2B39BA30" w14:textId="77777777" w:rsidR="009D273A" w:rsidRPr="00840845" w:rsidRDefault="009D273A" w:rsidP="00580209">
            <w:pPr>
              <w:cnfStyle w:val="000000000000" w:firstRow="0" w:lastRow="0" w:firstColumn="0" w:lastColumn="0" w:oddVBand="0" w:evenVBand="0" w:oddHBand="0" w:evenHBand="0" w:firstRowFirstColumn="0" w:firstRowLastColumn="0" w:lastRowFirstColumn="0" w:lastRowLastColumn="0"/>
              <w:rPr>
                <w:rFonts w:cs="Arial"/>
                <w:bCs/>
                <w:color w:val="000000"/>
                <w:sz w:val="22"/>
                <w:szCs w:val="22"/>
                <w:highlight w:val="yellow"/>
                <w:lang w:eastAsia="en-GB"/>
              </w:rPr>
            </w:pPr>
          </w:p>
        </w:tc>
      </w:tr>
      <w:tr w:rsidR="009D273A" w14:paraId="12E58C06" w14:textId="77777777" w:rsidTr="00840845">
        <w:trPr>
          <w:cnfStyle w:val="010000000000" w:firstRow="0" w:lastRow="1"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2" w:type="pct"/>
            <w:tcBorders>
              <w:top w:val="single" w:sz="4" w:space="0" w:color="auto"/>
              <w:left w:val="single" w:sz="4" w:space="0" w:color="000000"/>
              <w:bottom w:val="single" w:sz="4" w:space="0" w:color="000000"/>
              <w:right w:val="single" w:sz="4" w:space="0" w:color="auto"/>
            </w:tcBorders>
            <w:noWrap/>
          </w:tcPr>
          <w:p w14:paraId="3C00487F" w14:textId="77777777" w:rsidR="009D273A" w:rsidRPr="00F06C5C" w:rsidRDefault="00F06C5C" w:rsidP="00580209">
            <w:pPr>
              <w:pStyle w:val="EBBodyPara"/>
              <w:keepNext/>
              <w:spacing w:before="40" w:after="40"/>
              <w:rPr>
                <w:b w:val="0"/>
              </w:rPr>
            </w:pPr>
            <w:r w:rsidRPr="00F06C5C">
              <w:rPr>
                <w:b w:val="0"/>
              </w:rPr>
              <w:t>Total</w:t>
            </w:r>
          </w:p>
        </w:tc>
        <w:tc>
          <w:tcPr>
            <w:tcW w:w="927" w:type="pct"/>
            <w:tcBorders>
              <w:top w:val="single" w:sz="4" w:space="0" w:color="auto"/>
              <w:left w:val="single" w:sz="4" w:space="0" w:color="auto"/>
              <w:bottom w:val="single" w:sz="4" w:space="0" w:color="000000"/>
              <w:right w:val="single" w:sz="4" w:space="0" w:color="auto"/>
            </w:tcBorders>
          </w:tcPr>
          <w:p w14:paraId="71EA0627" w14:textId="77777777" w:rsidR="009D273A" w:rsidRPr="009C488A" w:rsidRDefault="009D273A" w:rsidP="00580209">
            <w:pPr>
              <w:pStyle w:val="EBBodyPara"/>
              <w:keepNext/>
              <w:spacing w:before="40" w:after="40"/>
              <w:cnfStyle w:val="010000000000" w:firstRow="0" w:lastRow="1" w:firstColumn="0" w:lastColumn="0" w:oddVBand="0" w:evenVBand="0" w:oddHBand="0" w:evenHBand="0" w:firstRowFirstColumn="0" w:firstRowLastColumn="0" w:lastRowFirstColumn="0" w:lastRowLastColumn="0"/>
              <w:rPr>
                <w:highlight w:val="yellow"/>
              </w:rPr>
            </w:pPr>
          </w:p>
        </w:tc>
        <w:tc>
          <w:tcPr>
            <w:tcW w:w="1169" w:type="pct"/>
            <w:tcBorders>
              <w:top w:val="single" w:sz="4" w:space="0" w:color="auto"/>
              <w:left w:val="single" w:sz="4" w:space="0" w:color="auto"/>
              <w:bottom w:val="single" w:sz="4" w:space="0" w:color="000000"/>
              <w:right w:val="single" w:sz="4" w:space="0" w:color="auto"/>
            </w:tcBorders>
          </w:tcPr>
          <w:p w14:paraId="39FAF417" w14:textId="77777777" w:rsidR="009D273A" w:rsidRPr="009C488A" w:rsidRDefault="009D273A" w:rsidP="00580209">
            <w:pPr>
              <w:pStyle w:val="EBBodyPara"/>
              <w:keepNext/>
              <w:spacing w:before="40" w:after="40"/>
              <w:jc w:val="right"/>
              <w:cnfStyle w:val="010000000000" w:firstRow="0" w:lastRow="1" w:firstColumn="0" w:lastColumn="0" w:oddVBand="0" w:evenVBand="0" w:oddHBand="0" w:evenHBand="0" w:firstRowFirstColumn="0" w:firstRowLastColumn="0" w:lastRowFirstColumn="0" w:lastRowLastColumn="0"/>
              <w:rPr>
                <w:highlight w:val="yellow"/>
              </w:rPr>
            </w:pPr>
          </w:p>
        </w:tc>
        <w:tc>
          <w:tcPr>
            <w:tcW w:w="1041" w:type="pct"/>
            <w:tcBorders>
              <w:top w:val="single" w:sz="4" w:space="0" w:color="auto"/>
              <w:left w:val="single" w:sz="4" w:space="0" w:color="auto"/>
              <w:bottom w:val="single" w:sz="4" w:space="0" w:color="000000"/>
              <w:right w:val="single" w:sz="4" w:space="0" w:color="auto"/>
            </w:tcBorders>
            <w:noWrap/>
            <w:hideMark/>
          </w:tcPr>
          <w:p w14:paraId="6B72DBD0" w14:textId="77777777" w:rsidR="009D273A" w:rsidRPr="00840845" w:rsidRDefault="009D273A" w:rsidP="00580209">
            <w:pPr>
              <w:pStyle w:val="EBBodyPara"/>
              <w:keepNext/>
              <w:spacing w:before="40" w:after="40"/>
              <w:jc w:val="right"/>
              <w:cnfStyle w:val="010000000000" w:firstRow="0" w:lastRow="1" w:firstColumn="0" w:lastColumn="0" w:oddVBand="0" w:evenVBand="0" w:oddHBand="0" w:evenHBand="0" w:firstRowFirstColumn="0" w:firstRowLastColumn="0" w:lastRowFirstColumn="0" w:lastRowLastColumn="0"/>
              <w:rPr>
                <w:b w:val="0"/>
                <w:highlight w:val="yellow"/>
              </w:rPr>
            </w:pPr>
            <w:r w:rsidRPr="00840845">
              <w:rPr>
                <w:b w:val="0"/>
              </w:rPr>
              <w:t>285</w:t>
            </w:r>
          </w:p>
        </w:tc>
        <w:tc>
          <w:tcPr>
            <w:tcW w:w="1082" w:type="pct"/>
            <w:tcBorders>
              <w:left w:val="single" w:sz="4" w:space="0" w:color="auto"/>
              <w:bottom w:val="single" w:sz="4" w:space="0" w:color="000000"/>
              <w:right w:val="single" w:sz="4" w:space="0" w:color="000000"/>
            </w:tcBorders>
            <w:hideMark/>
          </w:tcPr>
          <w:p w14:paraId="3067A304" w14:textId="77777777" w:rsidR="009D273A" w:rsidRPr="00840845" w:rsidRDefault="00E642D5" w:rsidP="00580209">
            <w:pPr>
              <w:pStyle w:val="EBBodyPara"/>
              <w:keepNext/>
              <w:spacing w:before="40" w:after="40"/>
              <w:jc w:val="right"/>
              <w:cnfStyle w:val="010000000000" w:firstRow="0" w:lastRow="1" w:firstColumn="0" w:lastColumn="0" w:oddVBand="0" w:evenVBand="0" w:oddHBand="0" w:evenHBand="0" w:firstRowFirstColumn="0" w:firstRowLastColumn="0" w:lastRowFirstColumn="0" w:lastRowLastColumn="0"/>
              <w:rPr>
                <w:b w:val="0"/>
                <w:highlight w:val="yellow"/>
              </w:rPr>
            </w:pPr>
            <w:r w:rsidRPr="00E642D5">
              <w:rPr>
                <w:b w:val="0"/>
              </w:rPr>
              <w:t>£809,000</w:t>
            </w:r>
          </w:p>
        </w:tc>
      </w:tr>
    </w:tbl>
    <w:p w14:paraId="0B39852B" w14:textId="77777777" w:rsidR="009D273A" w:rsidRDefault="009D273A" w:rsidP="009D273A">
      <w:pPr>
        <w:pStyle w:val="EBBodyPara"/>
      </w:pPr>
    </w:p>
    <w:p w14:paraId="38B684EF" w14:textId="598F4E84" w:rsidR="008D29C8" w:rsidRDefault="008D29C8" w:rsidP="009D273A">
      <w:pPr>
        <w:pStyle w:val="EBBodyPara"/>
      </w:pPr>
      <w:r>
        <w:t xml:space="preserve">Applying the value of a prevented fatality of </w:t>
      </w:r>
      <w:r w:rsidR="00E642D5" w:rsidRPr="00E642D5">
        <w:t>£1,927,000</w:t>
      </w:r>
      <w:r w:rsidR="00940A7B">
        <w:t xml:space="preserve"> </w:t>
      </w:r>
      <w:r>
        <w:t>to</w:t>
      </w:r>
      <w:r w:rsidR="00E1117A">
        <w:t xml:space="preserve"> the estimated number of</w:t>
      </w:r>
      <w:r>
        <w:t xml:space="preserve"> prevented fatalities per vessel year</w:t>
      </w:r>
      <w:r w:rsidR="00E1117A">
        <w:t>,</w:t>
      </w:r>
      <w:r w:rsidR="004C3FB9">
        <w:t xml:space="preserve"> 0.00131 and 0.00161</w:t>
      </w:r>
      <w:r>
        <w:t>, gi</w:t>
      </w:r>
      <w:r w:rsidR="00A173E4">
        <w:t>ves a monetary benefit of £2,520 and £3,110</w:t>
      </w:r>
      <w:r>
        <w:t xml:space="preserve"> per vessel per year for the Tidal/Estuaries and Coastal Waters areas of operation, respectively.</w:t>
      </w:r>
      <w:r w:rsidR="004C3FB9">
        <w:t xml:space="preserve"> We then multiply this by the number of vessels in each area of operation that will require new liferafts, taken from MCA records. In total for 2019 the provision of liferafts provides a benefit of </w:t>
      </w:r>
      <w:r w:rsidR="00E642D5" w:rsidRPr="00E642D5">
        <w:t>£809,000</w:t>
      </w:r>
      <w:r w:rsidR="004C3FB9" w:rsidRPr="00E642D5">
        <w:t>.</w:t>
      </w:r>
    </w:p>
    <w:p w14:paraId="4D169526" w14:textId="72DE4E65" w:rsidR="009D273A" w:rsidRDefault="009D273A" w:rsidP="009D273A">
      <w:pPr>
        <w:pStyle w:val="EBBodyPara"/>
      </w:pPr>
      <w:r>
        <w:lastRenderedPageBreak/>
        <w:t>Over the ten-year appraisal period, assuming the value of a prevented fatality increases in lin</w:t>
      </w:r>
      <w:r w:rsidR="00E642D5">
        <w:t>e with</w:t>
      </w:r>
      <w:r w:rsidR="006741F3">
        <w:t xml:space="preserve"> forecasted</w:t>
      </w:r>
      <w:r w:rsidR="00E642D5">
        <w:t xml:space="preserve"> growth in GDP per capita</w:t>
      </w:r>
      <w:r w:rsidR="00E642D5">
        <w:rPr>
          <w:rStyle w:val="FootnoteReference"/>
        </w:rPr>
        <w:footnoteReference w:id="8"/>
      </w:r>
      <w:r w:rsidR="00E642D5">
        <w:t xml:space="preserve">, </w:t>
      </w:r>
      <w:r>
        <w:t>the monetised benefit is £</w:t>
      </w:r>
      <w:r w:rsidR="00E642D5">
        <w:t>7.283</w:t>
      </w:r>
      <w:r>
        <w:t xml:space="preserve"> million. This is the </w:t>
      </w:r>
      <w:r w:rsidR="00A755A2">
        <w:t>low</w:t>
      </w:r>
      <w:r w:rsidR="00857EEB">
        <w:t xml:space="preserve"> cost (or high benefit)</w:t>
      </w:r>
      <w:r>
        <w:t xml:space="preserve"> estimate as it assumes vessels always operate at full capacity. For the central </w:t>
      </w:r>
      <w:r w:rsidR="00FC40E9">
        <w:t xml:space="preserve">cost </w:t>
      </w:r>
      <w:r>
        <w:t>estimate,</w:t>
      </w:r>
      <w:r w:rsidR="00E642D5">
        <w:t xml:space="preserve"> to compensate for this</w:t>
      </w:r>
      <w:r w:rsidR="000A64CD">
        <w:t xml:space="preserve"> and to assume vessels do not always operate at capacity</w:t>
      </w:r>
      <w:r>
        <w:t xml:space="preserve"> we have retained 2/3 of this benefit and for the </w:t>
      </w:r>
      <w:r w:rsidR="00A755A2">
        <w:t>high</w:t>
      </w:r>
      <w:r w:rsidR="00FC40E9">
        <w:t xml:space="preserve"> cost</w:t>
      </w:r>
      <w:r w:rsidR="00A755A2">
        <w:t xml:space="preserve"> estimate</w:t>
      </w:r>
      <w:r>
        <w:t>, we hav</w:t>
      </w:r>
      <w:r w:rsidR="00A755A2">
        <w:t>e retained 1/3 of this benefit.</w:t>
      </w:r>
      <w:r w:rsidR="00A36552">
        <w:t xml:space="preserve"> We believe this is a conservative assumption.</w:t>
      </w:r>
      <w:r w:rsidR="00A755A2">
        <w:t xml:space="preserve"> When constructing the low, central and high scenario</w:t>
      </w:r>
      <w:r w:rsidR="00BA1333">
        <w:t xml:space="preserve"> </w:t>
      </w:r>
      <w:r w:rsidR="00A755A2">
        <w:t>we have treated the benefit</w:t>
      </w:r>
      <w:r w:rsidR="00003485">
        <w:t xml:space="preserve"> of reduced </w:t>
      </w:r>
      <w:r w:rsidR="00FC40E9">
        <w:t>fatalities</w:t>
      </w:r>
      <w:r w:rsidR="00A755A2">
        <w:t xml:space="preserve"> so the high scenario represents the highest</w:t>
      </w:r>
      <w:r w:rsidR="00FC40E9">
        <w:t xml:space="preserve"> overall net cost when considered</w:t>
      </w:r>
      <w:r w:rsidR="00A755A2">
        <w:t xml:space="preserve"> amongst all other costs and vice versa.</w:t>
      </w:r>
    </w:p>
    <w:tbl>
      <w:tblPr>
        <w:tblStyle w:val="PlainTable2"/>
        <w:tblW w:w="7694" w:type="dxa"/>
        <w:jc w:val="center"/>
        <w:tblLook w:val="04E0" w:firstRow="1" w:lastRow="1" w:firstColumn="1" w:lastColumn="0" w:noHBand="0" w:noVBand="1"/>
      </w:tblPr>
      <w:tblGrid>
        <w:gridCol w:w="3740"/>
        <w:gridCol w:w="1318"/>
        <w:gridCol w:w="1318"/>
        <w:gridCol w:w="1318"/>
      </w:tblGrid>
      <w:tr w:rsidR="009C488A" w14:paraId="0DA21A3D" w14:textId="77777777" w:rsidTr="00495F9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94" w:type="dxa"/>
            <w:gridSpan w:val="4"/>
            <w:tcBorders>
              <w:top w:val="nil"/>
              <w:left w:val="nil"/>
              <w:right w:val="nil"/>
            </w:tcBorders>
            <w:noWrap/>
          </w:tcPr>
          <w:p w14:paraId="7664A1DA" w14:textId="77777777" w:rsidR="009C488A" w:rsidRPr="009C488A" w:rsidRDefault="009C488A" w:rsidP="009C488A">
            <w:pPr>
              <w:pStyle w:val="EBBodyPara"/>
              <w:spacing w:before="40" w:after="40"/>
              <w:rPr>
                <w:b w:val="0"/>
                <w:bCs/>
                <w:i/>
              </w:rPr>
            </w:pPr>
            <w:r w:rsidRPr="00E65663">
              <w:rPr>
                <w:b w:val="0"/>
                <w:bCs/>
                <w:i/>
              </w:rPr>
              <w:t xml:space="preserve">Table </w:t>
            </w:r>
            <w:r w:rsidR="00940A7B" w:rsidRPr="00E65663">
              <w:rPr>
                <w:b w:val="0"/>
                <w:bCs/>
                <w:i/>
              </w:rPr>
              <w:t>9</w:t>
            </w:r>
            <w:r w:rsidR="00BA1333" w:rsidRPr="00E65663">
              <w:rPr>
                <w:b w:val="0"/>
                <w:bCs/>
                <w:i/>
              </w:rPr>
              <w:t>:</w:t>
            </w:r>
            <w:r w:rsidR="00BA1333">
              <w:rPr>
                <w:b w:val="0"/>
                <w:bCs/>
                <w:i/>
              </w:rPr>
              <w:t xml:space="preserve"> The</w:t>
            </w:r>
            <w:r>
              <w:rPr>
                <w:b w:val="0"/>
                <w:bCs/>
                <w:i/>
              </w:rPr>
              <w:t xml:space="preserve"> </w:t>
            </w:r>
            <w:r w:rsidR="002E0C1A">
              <w:rPr>
                <w:b w:val="0"/>
                <w:bCs/>
                <w:i/>
              </w:rPr>
              <w:t xml:space="preserve">total </w:t>
            </w:r>
            <w:r>
              <w:rPr>
                <w:b w:val="0"/>
                <w:bCs/>
                <w:i/>
              </w:rPr>
              <w:t xml:space="preserve">value of </w:t>
            </w:r>
            <w:r w:rsidR="002E0C1A">
              <w:rPr>
                <w:b w:val="0"/>
                <w:bCs/>
                <w:i/>
              </w:rPr>
              <w:t>liferaft provision in fatalities prevented</w:t>
            </w:r>
          </w:p>
        </w:tc>
      </w:tr>
      <w:tr w:rsidR="009D273A" w14:paraId="073F6CBB" w14:textId="77777777" w:rsidTr="009C488A">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1ED55B52" w14:textId="77777777" w:rsidR="009D273A" w:rsidRDefault="009D273A" w:rsidP="00580209">
            <w:pPr>
              <w:pStyle w:val="EBBodyPara"/>
              <w:spacing w:before="40" w:after="40"/>
              <w:rPr>
                <w:bCs/>
              </w:rPr>
            </w:pPr>
            <w:r>
              <w:rPr>
                <w:bCs/>
              </w:rPr>
              <w:t>Monetised benefit</w:t>
            </w:r>
          </w:p>
        </w:tc>
        <w:tc>
          <w:tcPr>
            <w:tcW w:w="1318" w:type="dxa"/>
            <w:tcBorders>
              <w:left w:val="nil"/>
              <w:right w:val="nil"/>
            </w:tcBorders>
            <w:noWrap/>
            <w:hideMark/>
          </w:tcPr>
          <w:p w14:paraId="7A1D255D" w14:textId="77777777" w:rsidR="009D273A" w:rsidRPr="002E0C1A" w:rsidRDefault="009D273A" w:rsidP="00580209">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
                <w:bCs w:val="0"/>
              </w:rPr>
            </w:pPr>
            <w:r w:rsidRPr="002E0C1A">
              <w:rPr>
                <w:b/>
                <w:bCs w:val="0"/>
              </w:rPr>
              <w:t>Low</w:t>
            </w:r>
          </w:p>
        </w:tc>
        <w:tc>
          <w:tcPr>
            <w:tcW w:w="1318" w:type="dxa"/>
            <w:tcBorders>
              <w:left w:val="nil"/>
              <w:right w:val="nil"/>
            </w:tcBorders>
            <w:noWrap/>
            <w:hideMark/>
          </w:tcPr>
          <w:p w14:paraId="4B2F530D" w14:textId="77777777" w:rsidR="009D273A" w:rsidRPr="002E0C1A" w:rsidRDefault="009D273A" w:rsidP="00580209">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
                <w:bCs w:val="0"/>
              </w:rPr>
            </w:pPr>
            <w:r w:rsidRPr="002E0C1A">
              <w:rPr>
                <w:b/>
                <w:bCs w:val="0"/>
              </w:rPr>
              <w:t>Central</w:t>
            </w:r>
          </w:p>
        </w:tc>
        <w:tc>
          <w:tcPr>
            <w:tcW w:w="1318" w:type="dxa"/>
            <w:tcBorders>
              <w:left w:val="nil"/>
              <w:right w:val="nil"/>
            </w:tcBorders>
            <w:noWrap/>
            <w:hideMark/>
          </w:tcPr>
          <w:p w14:paraId="7191F3B5" w14:textId="77777777" w:rsidR="009D273A" w:rsidRPr="002E0C1A" w:rsidRDefault="009D273A" w:rsidP="00580209">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
                <w:bCs w:val="0"/>
              </w:rPr>
            </w:pPr>
            <w:r w:rsidRPr="002E0C1A">
              <w:rPr>
                <w:b/>
                <w:bCs w:val="0"/>
              </w:rPr>
              <w:t>High</w:t>
            </w:r>
          </w:p>
        </w:tc>
      </w:tr>
      <w:tr w:rsidR="00B05889" w14:paraId="18F2519F" w14:textId="77777777" w:rsidTr="009C488A">
        <w:trPr>
          <w:cnfStyle w:val="010000000000" w:firstRow="0" w:lastRow="1"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bottom w:val="single" w:sz="4" w:space="0" w:color="7F7F7F" w:themeColor="text1" w:themeTint="80"/>
              <w:right w:val="nil"/>
            </w:tcBorders>
            <w:noWrap/>
            <w:hideMark/>
          </w:tcPr>
          <w:p w14:paraId="273AECB8" w14:textId="77777777" w:rsidR="00B05889" w:rsidRPr="009C488A" w:rsidRDefault="00B05889" w:rsidP="00B05889">
            <w:pPr>
              <w:pStyle w:val="EBBodyPara"/>
              <w:spacing w:before="40" w:after="40"/>
              <w:rPr>
                <w:b w:val="0"/>
                <w:bCs/>
              </w:rPr>
            </w:pPr>
            <w:r>
              <w:rPr>
                <w:b w:val="0"/>
                <w:bCs/>
              </w:rPr>
              <w:t>Liferaft provision</w:t>
            </w:r>
          </w:p>
        </w:tc>
        <w:tc>
          <w:tcPr>
            <w:tcW w:w="1318" w:type="dxa"/>
            <w:tcBorders>
              <w:top w:val="nil"/>
              <w:left w:val="nil"/>
              <w:bottom w:val="single" w:sz="8" w:space="0" w:color="7F7F7F"/>
              <w:right w:val="nil"/>
            </w:tcBorders>
            <w:shd w:val="clear" w:color="auto" w:fill="auto"/>
            <w:noWrap/>
            <w:vAlign w:val="center"/>
            <w:hideMark/>
          </w:tcPr>
          <w:p w14:paraId="1A981DD2" w14:textId="77777777" w:rsidR="00B05889" w:rsidRPr="00B05889" w:rsidRDefault="00B05889" w:rsidP="00B05889">
            <w:pPr>
              <w:pStyle w:val="EBBodyPara"/>
              <w:spacing w:before="40" w:after="40"/>
              <w:jc w:val="right"/>
              <w:cnfStyle w:val="010000000000" w:firstRow="0" w:lastRow="1" w:firstColumn="0" w:lastColumn="0" w:oddVBand="0" w:evenVBand="0" w:oddHBand="0" w:evenHBand="0" w:firstRowFirstColumn="0" w:firstRowLastColumn="0" w:lastRowFirstColumn="0" w:lastRowLastColumn="0"/>
              <w:rPr>
                <w:b w:val="0"/>
              </w:rPr>
            </w:pPr>
            <w:r w:rsidRPr="00B05889">
              <w:rPr>
                <w:b w:val="0"/>
              </w:rPr>
              <w:t>£7,283,000</w:t>
            </w:r>
          </w:p>
        </w:tc>
        <w:tc>
          <w:tcPr>
            <w:tcW w:w="1318" w:type="dxa"/>
            <w:tcBorders>
              <w:top w:val="nil"/>
              <w:left w:val="nil"/>
              <w:bottom w:val="single" w:sz="8" w:space="0" w:color="7F7F7F"/>
              <w:right w:val="nil"/>
            </w:tcBorders>
            <w:shd w:val="clear" w:color="auto" w:fill="auto"/>
            <w:noWrap/>
            <w:vAlign w:val="center"/>
            <w:hideMark/>
          </w:tcPr>
          <w:p w14:paraId="58BCC5FF" w14:textId="77777777" w:rsidR="00B05889" w:rsidRPr="00E642D5" w:rsidRDefault="00B05889" w:rsidP="00B05889">
            <w:pPr>
              <w:pStyle w:val="EBBodyPara"/>
              <w:spacing w:before="40" w:after="40"/>
              <w:jc w:val="right"/>
              <w:cnfStyle w:val="010000000000" w:firstRow="0" w:lastRow="1" w:firstColumn="0" w:lastColumn="0" w:oddVBand="0" w:evenVBand="0" w:oddHBand="0" w:evenHBand="0" w:firstRowFirstColumn="0" w:firstRowLastColumn="0" w:lastRowFirstColumn="0" w:lastRowLastColumn="0"/>
              <w:rPr>
                <w:b w:val="0"/>
              </w:rPr>
            </w:pPr>
            <w:r w:rsidRPr="00E642D5">
              <w:rPr>
                <w:b w:val="0"/>
              </w:rPr>
              <w:t>£4,856,000</w:t>
            </w:r>
          </w:p>
        </w:tc>
        <w:tc>
          <w:tcPr>
            <w:tcW w:w="1318" w:type="dxa"/>
            <w:tcBorders>
              <w:top w:val="nil"/>
              <w:left w:val="nil"/>
              <w:bottom w:val="single" w:sz="8" w:space="0" w:color="7F7F7F"/>
              <w:right w:val="nil"/>
            </w:tcBorders>
            <w:shd w:val="clear" w:color="auto" w:fill="auto"/>
            <w:noWrap/>
            <w:vAlign w:val="center"/>
            <w:hideMark/>
          </w:tcPr>
          <w:p w14:paraId="5D04B721" w14:textId="77777777" w:rsidR="00B05889" w:rsidRPr="00E642D5" w:rsidRDefault="00B05889" w:rsidP="00B05889">
            <w:pPr>
              <w:pStyle w:val="EBBodyPara"/>
              <w:spacing w:before="40" w:after="40"/>
              <w:jc w:val="right"/>
              <w:cnfStyle w:val="010000000000" w:firstRow="0" w:lastRow="1" w:firstColumn="0" w:lastColumn="0" w:oddVBand="0" w:evenVBand="0" w:oddHBand="0" w:evenHBand="0" w:firstRowFirstColumn="0" w:firstRowLastColumn="0" w:lastRowFirstColumn="0" w:lastRowLastColumn="0"/>
              <w:rPr>
                <w:b w:val="0"/>
              </w:rPr>
            </w:pPr>
            <w:r w:rsidRPr="00E642D5">
              <w:rPr>
                <w:b w:val="0"/>
              </w:rPr>
              <w:t>£2,428,000</w:t>
            </w:r>
          </w:p>
        </w:tc>
      </w:tr>
    </w:tbl>
    <w:p w14:paraId="2331F211" w14:textId="77777777" w:rsidR="009D273A" w:rsidRDefault="009D273A" w:rsidP="009D273A">
      <w:pPr>
        <w:pStyle w:val="EBBodyPara"/>
      </w:pPr>
    </w:p>
    <w:p w14:paraId="4E203D95" w14:textId="77777777" w:rsidR="009D273A" w:rsidRDefault="009D273A" w:rsidP="009D273A">
      <w:pPr>
        <w:pStyle w:val="Heading5"/>
      </w:pPr>
      <w:bookmarkStart w:id="24" w:name="_Ref519064606"/>
      <w:r>
        <w:t>Non-monetised benefits</w:t>
      </w:r>
      <w:bookmarkEnd w:id="24"/>
    </w:p>
    <w:p w14:paraId="45E75AF0" w14:textId="77777777" w:rsidR="009D273A" w:rsidRDefault="004B2608" w:rsidP="009D273A">
      <w:pPr>
        <w:pStyle w:val="EBBodyPara"/>
      </w:pPr>
      <w:r>
        <w:t>E</w:t>
      </w:r>
      <w:r w:rsidR="009D273A">
        <w:t>ac</w:t>
      </w:r>
      <w:r w:rsidR="00AB7B5A">
        <w:t>h person not accommodated by a</w:t>
      </w:r>
      <w:r w:rsidR="009D273A">
        <w:t xml:space="preserve"> liferaft is provided with buoyant apparatus. </w:t>
      </w:r>
      <w:r w:rsidR="004B0596">
        <w:t xml:space="preserve">Liferafts allow for dry shod evacuation (i.e. without entering water) rather than buoyant apparatus that requires a person to enter the water. </w:t>
      </w:r>
      <w:r w:rsidR="00FE756A">
        <w:t>Therefore,</w:t>
      </w:r>
      <w:r w:rsidR="009D273A">
        <w:t xml:space="preserve"> for vessels with less than 100% liferaft provision, some passengers/crew would need to enter the water during abandonment with th</w:t>
      </w:r>
      <w:r w:rsidR="00580209">
        <w:t>e additional associated risks such as</w:t>
      </w:r>
      <w:r w:rsidR="009D273A">
        <w:t xml:space="preserve"> </w:t>
      </w:r>
      <w:r w:rsidR="00976D46">
        <w:t>cold-water</w:t>
      </w:r>
      <w:r w:rsidR="009D273A">
        <w:t xml:space="preserve"> shock that entering the water brings. </w:t>
      </w:r>
      <w:r w:rsidR="00C11C8C">
        <w:t>There is an additional risk to anyone with mobility difficulties.</w:t>
      </w:r>
    </w:p>
    <w:p w14:paraId="579892E9" w14:textId="77777777" w:rsidR="00240654" w:rsidRDefault="00240654" w:rsidP="00811CA6">
      <w:pPr>
        <w:pStyle w:val="Heading4"/>
      </w:pPr>
      <w:r>
        <w:t>Lifesaving applianc</w:t>
      </w:r>
      <w:r w:rsidR="00A96C2E">
        <w:t>es - Lifejackets</w:t>
      </w:r>
    </w:p>
    <w:p w14:paraId="1348D9CD" w14:textId="77777777" w:rsidR="00240654" w:rsidRDefault="00240654" w:rsidP="00240654">
      <w:pPr>
        <w:pStyle w:val="EBBodyPara"/>
      </w:pPr>
      <w:r>
        <w:t>The regulations also require vessels operating in Category</w:t>
      </w:r>
      <w:r w:rsidR="007B0E55">
        <w:t xml:space="preserve"> B waters to carry lifejackets. Current</w:t>
      </w:r>
      <w:r w:rsidR="00F472CE">
        <w:t>ly</w:t>
      </w:r>
      <w:r w:rsidR="007B0E55">
        <w:t xml:space="preserve"> </w:t>
      </w:r>
      <w:r>
        <w:t xml:space="preserve">they </w:t>
      </w:r>
      <w:r w:rsidR="007B0E55">
        <w:t xml:space="preserve">are </w:t>
      </w:r>
      <w:r w:rsidR="000A36B0">
        <w:t>not required to do so if the vessel was built before 2010.</w:t>
      </w:r>
    </w:p>
    <w:p w14:paraId="6CD84930" w14:textId="77777777" w:rsidR="00240654" w:rsidRDefault="00240654" w:rsidP="00240654">
      <w:pPr>
        <w:pStyle w:val="Heading5"/>
        <w:rPr>
          <w:lang w:eastAsia="en-GB"/>
        </w:rPr>
      </w:pPr>
      <w:bookmarkStart w:id="25" w:name="_Ref518990570"/>
      <w:r>
        <w:rPr>
          <w:lang w:eastAsia="en-GB"/>
        </w:rPr>
        <w:t>Monetised costs</w:t>
      </w:r>
      <w:bookmarkEnd w:id="25"/>
    </w:p>
    <w:p w14:paraId="407CADB9" w14:textId="77777777" w:rsidR="00240654" w:rsidRDefault="00240654" w:rsidP="00240654">
      <w:pPr>
        <w:pStyle w:val="EBBodyPara"/>
      </w:pPr>
      <w:r>
        <w:t>Using MCA records, we beli</w:t>
      </w:r>
      <w:r w:rsidR="003825EA">
        <w:t>eve 86 vessels will be affected. Subsequently b</w:t>
      </w:r>
      <w:r w:rsidR="005B589F">
        <w:t>ased on the number of passengers</w:t>
      </w:r>
      <w:r w:rsidR="003825EA">
        <w:t xml:space="preserve"> that can be carried on those vessels,</w:t>
      </w:r>
      <w:r>
        <w:t xml:space="preserve"> 8,417 additional lifejackets will be needed, assuming no vessels have voluntarily gone beyond what is currently required. We obtained a range of cos</w:t>
      </w:r>
      <w:r w:rsidR="00F95DDC">
        <w:t>t estimates from industry and quotes from retailers</w:t>
      </w:r>
      <w:r w:rsidR="0065750C">
        <w:t xml:space="preserve"> for the cost of a lifejacket. These estimates were used to construct a low, central and high scenario of £24, £30 and £40</w:t>
      </w:r>
      <w:r w:rsidR="00F95DDC">
        <w:t>. This will be a one-off cost incurred in the first year</w:t>
      </w:r>
      <w:r w:rsidR="001560B1">
        <w:t xml:space="preserve"> of implementation</w:t>
      </w:r>
      <w:r w:rsidR="00F95DDC">
        <w:t xml:space="preserve">. </w:t>
      </w:r>
      <w:r>
        <w:t>The total cost of purchasing lifejac</w:t>
      </w:r>
      <w:r w:rsidR="002966A9">
        <w:t>kets was calculated as follows:</w:t>
      </w:r>
    </w:p>
    <w:p w14:paraId="0A2172A5" w14:textId="77777777" w:rsidR="002966A9" w:rsidRDefault="002966A9" w:rsidP="00240654">
      <w:pPr>
        <w:pStyle w:val="EBBodyPara"/>
      </w:pPr>
    </w:p>
    <w:tbl>
      <w:tblPr>
        <w:tblpPr w:leftFromText="180" w:rightFromText="180" w:vertAnchor="text" w:horzAnchor="page" w:tblpX="2361" w:tblpY="-83"/>
        <w:tblW w:w="7587" w:type="dxa"/>
        <w:tblBorders>
          <w:bottom w:val="single" w:sz="8" w:space="0" w:color="7F7F7F"/>
          <w:insideH w:val="single" w:sz="8" w:space="0" w:color="7F7F7F"/>
        </w:tblBorders>
        <w:tblLook w:val="04A0" w:firstRow="1" w:lastRow="0" w:firstColumn="1" w:lastColumn="0" w:noHBand="0" w:noVBand="1"/>
      </w:tblPr>
      <w:tblGrid>
        <w:gridCol w:w="3261"/>
        <w:gridCol w:w="1275"/>
        <w:gridCol w:w="1455"/>
        <w:gridCol w:w="1596"/>
      </w:tblGrid>
      <w:tr w:rsidR="00FF0F85" w:rsidRPr="002966A9" w14:paraId="37FFA4AD" w14:textId="77777777" w:rsidTr="009C6951">
        <w:trPr>
          <w:trHeight w:val="315"/>
        </w:trPr>
        <w:tc>
          <w:tcPr>
            <w:tcW w:w="7587" w:type="dxa"/>
            <w:gridSpan w:val="4"/>
            <w:shd w:val="clear" w:color="auto" w:fill="auto"/>
            <w:noWrap/>
            <w:vAlign w:val="center"/>
          </w:tcPr>
          <w:p w14:paraId="4037CEA7" w14:textId="77777777" w:rsidR="00FF0F85" w:rsidRPr="00F06C5C" w:rsidRDefault="00940A7B" w:rsidP="00FF0F85">
            <w:pPr>
              <w:rPr>
                <w:rFonts w:cs="Arial"/>
                <w:bCs/>
                <w:i/>
                <w:color w:val="000000"/>
                <w:sz w:val="22"/>
                <w:szCs w:val="22"/>
                <w:lang w:eastAsia="en-GB"/>
              </w:rPr>
            </w:pPr>
            <w:r w:rsidRPr="00E65663">
              <w:rPr>
                <w:rFonts w:cs="Arial"/>
                <w:bCs/>
                <w:i/>
                <w:color w:val="000000"/>
                <w:sz w:val="22"/>
                <w:szCs w:val="22"/>
                <w:lang w:eastAsia="en-GB"/>
              </w:rPr>
              <w:t>Table 10</w:t>
            </w:r>
            <w:r w:rsidR="00FF0F85" w:rsidRPr="00F06C5C">
              <w:rPr>
                <w:rFonts w:cs="Arial"/>
                <w:bCs/>
                <w:i/>
                <w:color w:val="000000"/>
                <w:sz w:val="22"/>
                <w:szCs w:val="22"/>
                <w:lang w:eastAsia="en-GB"/>
              </w:rPr>
              <w:t>: The total costs of additional lifejackets</w:t>
            </w:r>
          </w:p>
        </w:tc>
      </w:tr>
      <w:tr w:rsidR="00FF0F85" w:rsidRPr="002966A9" w14:paraId="3E692FA0" w14:textId="77777777" w:rsidTr="009C6951">
        <w:trPr>
          <w:trHeight w:val="315"/>
        </w:trPr>
        <w:tc>
          <w:tcPr>
            <w:tcW w:w="3261" w:type="dxa"/>
            <w:shd w:val="clear" w:color="auto" w:fill="auto"/>
            <w:noWrap/>
            <w:vAlign w:val="center"/>
            <w:hideMark/>
          </w:tcPr>
          <w:p w14:paraId="655D49AD" w14:textId="77777777" w:rsidR="00FF0F85" w:rsidRPr="002966A9" w:rsidRDefault="00FF0F85" w:rsidP="00FF0F85">
            <w:pPr>
              <w:rPr>
                <w:rFonts w:cs="Arial"/>
                <w:b/>
                <w:bCs/>
                <w:color w:val="000000"/>
                <w:sz w:val="22"/>
                <w:szCs w:val="22"/>
                <w:lang w:eastAsia="en-GB"/>
              </w:rPr>
            </w:pPr>
          </w:p>
        </w:tc>
        <w:tc>
          <w:tcPr>
            <w:tcW w:w="1275" w:type="dxa"/>
            <w:shd w:val="clear" w:color="auto" w:fill="auto"/>
            <w:noWrap/>
            <w:vAlign w:val="center"/>
            <w:hideMark/>
          </w:tcPr>
          <w:p w14:paraId="46E060F7" w14:textId="77777777" w:rsidR="00FF0F85" w:rsidRPr="002966A9" w:rsidRDefault="00FF0F85" w:rsidP="00FF0F85">
            <w:pPr>
              <w:jc w:val="right"/>
              <w:rPr>
                <w:rFonts w:cs="Arial"/>
                <w:b/>
                <w:bCs/>
                <w:color w:val="000000"/>
                <w:sz w:val="22"/>
                <w:szCs w:val="22"/>
                <w:lang w:eastAsia="en-GB"/>
              </w:rPr>
            </w:pPr>
            <w:r w:rsidRPr="002966A9">
              <w:rPr>
                <w:rFonts w:cs="Arial"/>
                <w:b/>
                <w:bCs/>
                <w:color w:val="000000"/>
                <w:sz w:val="22"/>
                <w:szCs w:val="22"/>
                <w:lang w:eastAsia="en-GB"/>
              </w:rPr>
              <w:t>Low</w:t>
            </w:r>
          </w:p>
        </w:tc>
        <w:tc>
          <w:tcPr>
            <w:tcW w:w="1455" w:type="dxa"/>
            <w:shd w:val="clear" w:color="auto" w:fill="auto"/>
            <w:noWrap/>
            <w:vAlign w:val="center"/>
            <w:hideMark/>
          </w:tcPr>
          <w:p w14:paraId="28F4CBE2" w14:textId="77777777" w:rsidR="00FF0F85" w:rsidRPr="002966A9" w:rsidRDefault="00FF0F85" w:rsidP="00FF0F85">
            <w:pPr>
              <w:jc w:val="right"/>
              <w:rPr>
                <w:rFonts w:cs="Arial"/>
                <w:b/>
                <w:bCs/>
                <w:color w:val="000000"/>
                <w:sz w:val="22"/>
                <w:szCs w:val="22"/>
                <w:lang w:eastAsia="en-GB"/>
              </w:rPr>
            </w:pPr>
            <w:r w:rsidRPr="002966A9">
              <w:rPr>
                <w:rFonts w:cs="Arial"/>
                <w:b/>
                <w:bCs/>
                <w:color w:val="000000"/>
                <w:sz w:val="22"/>
                <w:szCs w:val="22"/>
                <w:lang w:eastAsia="en-GB"/>
              </w:rPr>
              <w:t>Central</w:t>
            </w:r>
          </w:p>
        </w:tc>
        <w:tc>
          <w:tcPr>
            <w:tcW w:w="1596" w:type="dxa"/>
            <w:shd w:val="clear" w:color="auto" w:fill="auto"/>
            <w:noWrap/>
            <w:vAlign w:val="center"/>
            <w:hideMark/>
          </w:tcPr>
          <w:p w14:paraId="523E6302" w14:textId="77777777" w:rsidR="00FF0F85" w:rsidRPr="002966A9" w:rsidRDefault="00FF0F85" w:rsidP="00FF0F85">
            <w:pPr>
              <w:jc w:val="right"/>
              <w:rPr>
                <w:rFonts w:cs="Arial"/>
                <w:b/>
                <w:bCs/>
                <w:color w:val="000000"/>
                <w:sz w:val="22"/>
                <w:szCs w:val="22"/>
                <w:lang w:eastAsia="en-GB"/>
              </w:rPr>
            </w:pPr>
            <w:r w:rsidRPr="002966A9">
              <w:rPr>
                <w:rFonts w:cs="Arial"/>
                <w:b/>
                <w:bCs/>
                <w:color w:val="000000"/>
                <w:sz w:val="22"/>
                <w:szCs w:val="22"/>
                <w:lang w:eastAsia="en-GB"/>
              </w:rPr>
              <w:t>High</w:t>
            </w:r>
          </w:p>
        </w:tc>
      </w:tr>
      <w:tr w:rsidR="00FF0F85" w:rsidRPr="002966A9" w14:paraId="6835CCB1" w14:textId="77777777" w:rsidTr="009C6951">
        <w:trPr>
          <w:trHeight w:val="315"/>
        </w:trPr>
        <w:tc>
          <w:tcPr>
            <w:tcW w:w="3261" w:type="dxa"/>
            <w:shd w:val="clear" w:color="auto" w:fill="auto"/>
            <w:noWrap/>
            <w:vAlign w:val="center"/>
            <w:hideMark/>
          </w:tcPr>
          <w:p w14:paraId="6454D62E" w14:textId="77777777" w:rsidR="00FF0F85" w:rsidRPr="00D54369" w:rsidRDefault="00FF0F85" w:rsidP="00FF0F85">
            <w:pPr>
              <w:rPr>
                <w:rFonts w:cs="Arial"/>
                <w:bCs/>
                <w:color w:val="000000"/>
                <w:sz w:val="22"/>
                <w:szCs w:val="22"/>
                <w:lang w:eastAsia="en-GB"/>
              </w:rPr>
            </w:pPr>
            <w:r w:rsidRPr="00D54369">
              <w:rPr>
                <w:rFonts w:cs="Arial"/>
                <w:bCs/>
                <w:color w:val="000000"/>
                <w:sz w:val="22"/>
                <w:szCs w:val="22"/>
              </w:rPr>
              <w:t>Number of Lifejackets required</w:t>
            </w:r>
          </w:p>
        </w:tc>
        <w:tc>
          <w:tcPr>
            <w:tcW w:w="1275" w:type="dxa"/>
            <w:shd w:val="clear" w:color="auto" w:fill="auto"/>
            <w:noWrap/>
            <w:vAlign w:val="center"/>
            <w:hideMark/>
          </w:tcPr>
          <w:p w14:paraId="25A98060"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8417</w:t>
            </w:r>
          </w:p>
        </w:tc>
        <w:tc>
          <w:tcPr>
            <w:tcW w:w="1455" w:type="dxa"/>
            <w:shd w:val="clear" w:color="auto" w:fill="auto"/>
            <w:noWrap/>
            <w:vAlign w:val="center"/>
            <w:hideMark/>
          </w:tcPr>
          <w:p w14:paraId="72AE984C"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8417</w:t>
            </w:r>
          </w:p>
        </w:tc>
        <w:tc>
          <w:tcPr>
            <w:tcW w:w="1596" w:type="dxa"/>
            <w:shd w:val="clear" w:color="auto" w:fill="auto"/>
            <w:noWrap/>
            <w:vAlign w:val="center"/>
            <w:hideMark/>
          </w:tcPr>
          <w:p w14:paraId="2F158902"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8417</w:t>
            </w:r>
          </w:p>
        </w:tc>
      </w:tr>
      <w:tr w:rsidR="00FF0F85" w:rsidRPr="002966A9" w14:paraId="478642AE" w14:textId="77777777" w:rsidTr="009C6951">
        <w:trPr>
          <w:trHeight w:val="315"/>
        </w:trPr>
        <w:tc>
          <w:tcPr>
            <w:tcW w:w="3261" w:type="dxa"/>
            <w:shd w:val="clear" w:color="auto" w:fill="auto"/>
            <w:noWrap/>
            <w:vAlign w:val="center"/>
            <w:hideMark/>
          </w:tcPr>
          <w:p w14:paraId="72FAA0A1" w14:textId="77777777" w:rsidR="00FF0F85" w:rsidRPr="000C786F" w:rsidRDefault="00FF0F85" w:rsidP="00FF0F85">
            <w:pPr>
              <w:rPr>
                <w:rFonts w:cs="Arial"/>
                <w:bCs/>
                <w:color w:val="000000"/>
                <w:sz w:val="22"/>
                <w:szCs w:val="22"/>
                <w:lang w:eastAsia="en-GB"/>
              </w:rPr>
            </w:pPr>
            <w:r w:rsidRPr="000C786F">
              <w:rPr>
                <w:rFonts w:cs="Arial"/>
                <w:bCs/>
                <w:color w:val="000000"/>
                <w:sz w:val="22"/>
                <w:szCs w:val="22"/>
                <w:lang w:eastAsia="en-GB"/>
              </w:rPr>
              <w:t>Cost per Lifejacket</w:t>
            </w:r>
          </w:p>
        </w:tc>
        <w:tc>
          <w:tcPr>
            <w:tcW w:w="1275" w:type="dxa"/>
            <w:shd w:val="clear" w:color="auto" w:fill="auto"/>
            <w:noWrap/>
            <w:vAlign w:val="center"/>
            <w:hideMark/>
          </w:tcPr>
          <w:p w14:paraId="13F123C5"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£24</w:t>
            </w:r>
          </w:p>
        </w:tc>
        <w:tc>
          <w:tcPr>
            <w:tcW w:w="1455" w:type="dxa"/>
            <w:shd w:val="clear" w:color="auto" w:fill="auto"/>
            <w:noWrap/>
            <w:vAlign w:val="center"/>
            <w:hideMark/>
          </w:tcPr>
          <w:p w14:paraId="24F609F8"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£30</w:t>
            </w:r>
          </w:p>
        </w:tc>
        <w:tc>
          <w:tcPr>
            <w:tcW w:w="1596" w:type="dxa"/>
            <w:shd w:val="clear" w:color="auto" w:fill="auto"/>
            <w:noWrap/>
            <w:vAlign w:val="center"/>
            <w:hideMark/>
          </w:tcPr>
          <w:p w14:paraId="0DE93AED"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£40</w:t>
            </w:r>
          </w:p>
        </w:tc>
      </w:tr>
      <w:tr w:rsidR="00FF0F85" w:rsidRPr="002966A9" w14:paraId="02DFFAC8" w14:textId="77777777" w:rsidTr="009C6951">
        <w:trPr>
          <w:trHeight w:val="315"/>
        </w:trPr>
        <w:tc>
          <w:tcPr>
            <w:tcW w:w="3261" w:type="dxa"/>
            <w:shd w:val="clear" w:color="auto" w:fill="auto"/>
            <w:noWrap/>
            <w:vAlign w:val="center"/>
            <w:hideMark/>
          </w:tcPr>
          <w:p w14:paraId="04B8E9FA" w14:textId="77777777" w:rsidR="00FF0F85" w:rsidRPr="000C786F" w:rsidRDefault="00FF0F85" w:rsidP="00FF0F85">
            <w:pPr>
              <w:rPr>
                <w:rFonts w:cs="Arial"/>
                <w:bCs/>
                <w:color w:val="000000"/>
                <w:sz w:val="22"/>
                <w:szCs w:val="22"/>
                <w:lang w:eastAsia="en-GB"/>
              </w:rPr>
            </w:pPr>
            <w:r w:rsidRPr="000C786F">
              <w:rPr>
                <w:rFonts w:cs="Arial"/>
                <w:bCs/>
                <w:color w:val="000000"/>
                <w:sz w:val="22"/>
                <w:szCs w:val="22"/>
                <w:lang w:eastAsia="en-GB"/>
              </w:rPr>
              <w:t>Total Cost</w:t>
            </w:r>
          </w:p>
        </w:tc>
        <w:tc>
          <w:tcPr>
            <w:tcW w:w="1275" w:type="dxa"/>
            <w:shd w:val="clear" w:color="auto" w:fill="auto"/>
            <w:noWrap/>
            <w:vAlign w:val="center"/>
            <w:hideMark/>
          </w:tcPr>
          <w:p w14:paraId="44F4CA5A"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£202,000</w:t>
            </w:r>
          </w:p>
        </w:tc>
        <w:tc>
          <w:tcPr>
            <w:tcW w:w="1455" w:type="dxa"/>
            <w:shd w:val="clear" w:color="auto" w:fill="auto"/>
            <w:noWrap/>
            <w:vAlign w:val="center"/>
            <w:hideMark/>
          </w:tcPr>
          <w:p w14:paraId="7E03B0D0"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£253,000</w:t>
            </w:r>
          </w:p>
        </w:tc>
        <w:tc>
          <w:tcPr>
            <w:tcW w:w="1596" w:type="dxa"/>
            <w:shd w:val="clear" w:color="auto" w:fill="auto"/>
            <w:noWrap/>
            <w:vAlign w:val="center"/>
            <w:hideMark/>
          </w:tcPr>
          <w:p w14:paraId="6EA31EC2" w14:textId="77777777" w:rsidR="00FF0F85" w:rsidRPr="002966A9" w:rsidRDefault="00FF0F85" w:rsidP="00FF0F85">
            <w:pPr>
              <w:jc w:val="right"/>
              <w:rPr>
                <w:rFonts w:cs="Arial"/>
                <w:color w:val="000000"/>
                <w:sz w:val="22"/>
                <w:szCs w:val="22"/>
                <w:lang w:eastAsia="en-GB"/>
              </w:rPr>
            </w:pPr>
            <w:r w:rsidRPr="002966A9">
              <w:rPr>
                <w:rFonts w:cs="Arial"/>
                <w:color w:val="000000"/>
                <w:sz w:val="22"/>
                <w:szCs w:val="22"/>
                <w:lang w:eastAsia="en-GB"/>
              </w:rPr>
              <w:t>£337,000</w:t>
            </w:r>
          </w:p>
        </w:tc>
      </w:tr>
    </w:tbl>
    <w:p w14:paraId="65A47956" w14:textId="77777777" w:rsidR="002966A9" w:rsidRDefault="002966A9" w:rsidP="00240654">
      <w:pPr>
        <w:pStyle w:val="EBBodyPara"/>
      </w:pPr>
    </w:p>
    <w:p w14:paraId="71CFB84D" w14:textId="77777777" w:rsidR="00F95DDC" w:rsidRDefault="00F95DDC" w:rsidP="00240654">
      <w:pPr>
        <w:pStyle w:val="EBBodyPara"/>
      </w:pPr>
    </w:p>
    <w:p w14:paraId="48DE4D92" w14:textId="77777777" w:rsidR="00240654" w:rsidRDefault="00240654" w:rsidP="00240654">
      <w:pPr>
        <w:pStyle w:val="EBBodyPara"/>
      </w:pPr>
    </w:p>
    <w:p w14:paraId="1352AD96" w14:textId="77777777" w:rsidR="002966A9" w:rsidRDefault="002966A9" w:rsidP="00240654">
      <w:pPr>
        <w:pStyle w:val="EBBodyPara"/>
      </w:pPr>
    </w:p>
    <w:p w14:paraId="65DA1B46" w14:textId="77777777" w:rsidR="00E27FFD" w:rsidRDefault="00E27FFD" w:rsidP="00240654">
      <w:pPr>
        <w:pStyle w:val="EBBodyPara"/>
      </w:pPr>
    </w:p>
    <w:p w14:paraId="7B5526B7" w14:textId="77777777" w:rsidR="00E27FFD" w:rsidRDefault="001560B1" w:rsidP="00240654">
      <w:pPr>
        <w:pStyle w:val="EBBodyPara"/>
      </w:pPr>
      <w:r>
        <w:t>To estimate, for example, the total cost of additional lifejackets in the central scenario, you multiply the number of lifejackets required, 8417, by the cost per lifejacket, £30 (8417*30 = £252,510)</w:t>
      </w:r>
    </w:p>
    <w:p w14:paraId="0CBB35F7" w14:textId="77777777" w:rsidR="00240654" w:rsidRDefault="00240654" w:rsidP="00240654">
      <w:pPr>
        <w:pStyle w:val="Heading5"/>
        <w:rPr>
          <w:lang w:eastAsia="en-GB"/>
        </w:rPr>
      </w:pPr>
      <w:bookmarkStart w:id="26" w:name="_Ref519064396"/>
      <w:r>
        <w:rPr>
          <w:lang w:eastAsia="en-GB"/>
        </w:rPr>
        <w:t>Non-monetised costs</w:t>
      </w:r>
      <w:bookmarkEnd w:id="26"/>
    </w:p>
    <w:p w14:paraId="05120566" w14:textId="77777777" w:rsidR="00240654" w:rsidRDefault="00240654" w:rsidP="00240654">
      <w:pPr>
        <w:pStyle w:val="EBBodyPara"/>
      </w:pPr>
      <w:r>
        <w:t xml:space="preserve">Some vessels may have to create additional storage areas </w:t>
      </w:r>
      <w:r w:rsidR="0035261C">
        <w:t xml:space="preserve">such as additional lockers </w:t>
      </w:r>
      <w:r>
        <w:t>for lifejackets. This area may, on some vessels, reduce the passenger carrying capacity where vessels are unable to store lifejackets in spaces already ava</w:t>
      </w:r>
      <w:r w:rsidR="0035261C">
        <w:t>ilable e.g. below seats</w:t>
      </w:r>
      <w:r>
        <w:t>. As this will depend on the specific arrangement and current passenger capacity of each vessels, we are not able to monetise it without disproportionate levels of primary data collection.</w:t>
      </w:r>
    </w:p>
    <w:p w14:paraId="1F65C42B" w14:textId="77777777" w:rsidR="00240654" w:rsidRDefault="00240654" w:rsidP="00240654">
      <w:pPr>
        <w:pStyle w:val="Heading5"/>
        <w:rPr>
          <w:lang w:eastAsia="en-GB"/>
        </w:rPr>
      </w:pPr>
      <w:bookmarkStart w:id="27" w:name="_Ref519064613"/>
      <w:r>
        <w:rPr>
          <w:lang w:eastAsia="en-GB"/>
        </w:rPr>
        <w:t>Non-monetised benefits</w:t>
      </w:r>
      <w:bookmarkEnd w:id="27"/>
    </w:p>
    <w:p w14:paraId="1E235C3F" w14:textId="77777777" w:rsidR="009D653D" w:rsidRDefault="009D653D" w:rsidP="00240654">
      <w:pPr>
        <w:pStyle w:val="EBBodyPara"/>
      </w:pPr>
      <w:r>
        <w:t>Without these changes i</w:t>
      </w:r>
      <w:r w:rsidR="00240654">
        <w:t xml:space="preserve">n the event of an accident where </w:t>
      </w:r>
      <w:r w:rsidR="00B8185D">
        <w:t xml:space="preserve">persons had to </w:t>
      </w:r>
      <w:r w:rsidR="00240654">
        <w:t>enter the water</w:t>
      </w:r>
      <w:r w:rsidR="00B8185D">
        <w:t xml:space="preserve"> </w:t>
      </w:r>
      <w:r>
        <w:t xml:space="preserve">a person may </w:t>
      </w:r>
      <w:r w:rsidR="00B8185D">
        <w:t>not be equipped with a lifejacket</w:t>
      </w:r>
      <w:r w:rsidR="00240654">
        <w:t>.</w:t>
      </w:r>
      <w:r w:rsidR="00814236">
        <w:t xml:space="preserve"> </w:t>
      </w:r>
      <w:r>
        <w:t xml:space="preserve">Under new proposals all passengers will be provided with a lifejacket or </w:t>
      </w:r>
      <w:r>
        <w:lastRenderedPageBreak/>
        <w:t xml:space="preserve">buoyancy aid, therefore in the unlikely event of entering the water the risk of drowning </w:t>
      </w:r>
      <w:r w:rsidR="00EA113C">
        <w:t xml:space="preserve">and </w:t>
      </w:r>
      <w:r w:rsidR="0037341D">
        <w:t>cold-water</w:t>
      </w:r>
      <w:r w:rsidR="00EA113C">
        <w:t xml:space="preserve"> shock </w:t>
      </w:r>
      <w:r>
        <w:t xml:space="preserve">would be reduced significantly. This is particularly important during any evacuation, whether this is to liferafts, ship to ship or ship to shore. </w:t>
      </w:r>
      <w:r w:rsidR="00BA4782">
        <w:t xml:space="preserve">This benefit has not been monetised due </w:t>
      </w:r>
      <w:r w:rsidR="00F8547A">
        <w:t>to a lack of sufficient data.</w:t>
      </w:r>
    </w:p>
    <w:p w14:paraId="4D96A052" w14:textId="77777777" w:rsidR="00B8185D" w:rsidRPr="00E7214E" w:rsidRDefault="00B8185D" w:rsidP="00EA113C">
      <w:pPr>
        <w:pStyle w:val="Heading4"/>
      </w:pPr>
      <w:r w:rsidRPr="00F37425">
        <w:t xml:space="preserve">Lifesaving appliances – Lifejacket lights </w:t>
      </w:r>
    </w:p>
    <w:p w14:paraId="269155EA" w14:textId="77777777" w:rsidR="00B8185D" w:rsidRDefault="00B8185D" w:rsidP="00B8185D">
      <w:pPr>
        <w:pStyle w:val="EBBodyPara"/>
        <w:keepNext/>
      </w:pPr>
      <w:r>
        <w:t>Current requirements for existing ships do not require the fitting of lifejacket lights. It is proposed to amend this by ensuring that seagoing vessels operating in the hours of darkness be required to fit lifejacket lights. It is noted that the Class VI limits do not permit operation in the hours of darkness, however some may operate during twilight (in the hour after sunset).</w:t>
      </w:r>
    </w:p>
    <w:p w14:paraId="3099A99B" w14:textId="77777777" w:rsidR="00B8185D" w:rsidRDefault="00B8185D" w:rsidP="00B8185D">
      <w:pPr>
        <w:pStyle w:val="Heading5"/>
        <w:rPr>
          <w:lang w:eastAsia="en-GB"/>
        </w:rPr>
      </w:pPr>
      <w:bookmarkStart w:id="28" w:name="_Ref518990578"/>
      <w:r>
        <w:rPr>
          <w:lang w:eastAsia="en-GB"/>
        </w:rPr>
        <w:t>Monetised costs</w:t>
      </w:r>
      <w:bookmarkEnd w:id="28"/>
    </w:p>
    <w:p w14:paraId="120C709C" w14:textId="77777777" w:rsidR="0037019F" w:rsidRDefault="00FC1E27" w:rsidP="00B8185D">
      <w:pPr>
        <w:pStyle w:val="EBBodyPara"/>
      </w:pPr>
      <w:r>
        <w:t xml:space="preserve">There are 272 vessels, 223 Class V (C) and 49 Class </w:t>
      </w:r>
      <w:r w:rsidR="00DF4D5D">
        <w:t>I</w:t>
      </w:r>
      <w:r>
        <w:t xml:space="preserve">V vessels, that </w:t>
      </w:r>
      <w:r w:rsidR="00D77130">
        <w:t xml:space="preserve">fall </w:t>
      </w:r>
      <w:r>
        <w:t xml:space="preserve">within scope of this requirement. </w:t>
      </w:r>
      <w:r w:rsidR="006A0F64">
        <w:t>W</w:t>
      </w:r>
      <w:r w:rsidR="00B8185D">
        <w:t>e surveyed 6</w:t>
      </w:r>
      <w:r w:rsidR="0037019F">
        <w:t xml:space="preserve">9 vessels </w:t>
      </w:r>
      <w:r w:rsidR="00B8185D">
        <w:t xml:space="preserve">regarding their operating practices. </w:t>
      </w:r>
      <w:r w:rsidR="000C54D1">
        <w:t xml:space="preserve">Of the 69 vessels, </w:t>
      </w:r>
      <w:r w:rsidR="00B8185D">
        <w:t>96% of Class V vessels (who operate in Category C waters) and 95% of Class IV vessels, operated at night.</w:t>
      </w:r>
      <w:r>
        <w:t xml:space="preserve"> </w:t>
      </w:r>
      <w:r w:rsidR="0037019F">
        <w:t xml:space="preserve">We then estimate based on these probabilities that 261 (out of a possible 272) vessels will be affected. Of this, 214 are Class V (C) and 46 are Class IV vessels. </w:t>
      </w:r>
    </w:p>
    <w:p w14:paraId="0248C739" w14:textId="77777777" w:rsidR="00B8185D" w:rsidRDefault="0037019F" w:rsidP="00B8185D">
      <w:pPr>
        <w:pStyle w:val="EBBodyPara"/>
      </w:pPr>
      <w:r>
        <w:t xml:space="preserve">Using data from MCA records, we estimate that 46,519 lifejacket lights are potentially required based on the passenger capacity of the 272 vessels. However, given the number of vessels that do not operate during darkness </w:t>
      </w:r>
      <w:r w:rsidR="00B8185D">
        <w:t>we estimate a total of 44,525 lifejacket lights are needed</w:t>
      </w:r>
      <w:r w:rsidR="00FC1E27">
        <w:t xml:space="preserve"> for the 261 that operate during darkness</w:t>
      </w:r>
      <w:r w:rsidR="00B8185D">
        <w:t>, assuming no vessels currently have lifejacket lights unless they are already required.</w:t>
      </w:r>
      <w:r w:rsidR="00C63080">
        <w:t xml:space="preserve"> </w:t>
      </w:r>
      <w:r w:rsidR="00B8185D">
        <w:t xml:space="preserve"> We obtained a range of cost estimates</w:t>
      </w:r>
      <w:r w:rsidR="005E7555">
        <w:t xml:space="preserve"> for lifejacket lights</w:t>
      </w:r>
      <w:r w:rsidR="00B8185D">
        <w:t xml:space="preserve"> from industry and from quotes from retailers, and used them in the </w:t>
      </w:r>
      <w:r w:rsidR="005E7555">
        <w:t>high, low and central scenario of £11, £12 and £15 respectively.</w:t>
      </w:r>
    </w:p>
    <w:p w14:paraId="3561AFA9" w14:textId="5B334B06" w:rsidR="004160E0" w:rsidRDefault="00B8185D" w:rsidP="00B8185D">
      <w:pPr>
        <w:pStyle w:val="EBBodyPara"/>
      </w:pPr>
      <w:r>
        <w:t>We also assume that lifejacket lights will be replaced after 5 years, which is the typical lifespan of such lights. The total purchasing costs will be two one-off costs, incurred in the first and sixth years of the regulation. The total cost of purchasing lifejacket li</w:t>
      </w:r>
      <w:r w:rsidR="00AD6588">
        <w:t>ghts was calculated as follows:</w:t>
      </w:r>
    </w:p>
    <w:p w14:paraId="7F9CB225" w14:textId="77777777" w:rsidR="00774B16" w:rsidRDefault="00774B16" w:rsidP="00B8185D">
      <w:pPr>
        <w:pStyle w:val="EBBodyPara"/>
      </w:pPr>
    </w:p>
    <w:tbl>
      <w:tblPr>
        <w:tblW w:w="9544" w:type="dxa"/>
        <w:jc w:val="center"/>
        <w:tblLook w:val="04A0" w:firstRow="1" w:lastRow="0" w:firstColumn="1" w:lastColumn="0" w:noHBand="0" w:noVBand="1"/>
      </w:tblPr>
      <w:tblGrid>
        <w:gridCol w:w="4736"/>
        <w:gridCol w:w="1616"/>
        <w:gridCol w:w="1596"/>
        <w:gridCol w:w="1596"/>
      </w:tblGrid>
      <w:tr w:rsidR="00F06C5C" w:rsidRPr="00774B16" w14:paraId="5EE204B0" w14:textId="77777777" w:rsidTr="008B0EDC">
        <w:trPr>
          <w:trHeight w:val="315"/>
          <w:jc w:val="center"/>
        </w:trPr>
        <w:tc>
          <w:tcPr>
            <w:tcW w:w="9544" w:type="dxa"/>
            <w:gridSpan w:val="4"/>
            <w:tcBorders>
              <w:bottom w:val="single" w:sz="8" w:space="0" w:color="7F7F7F"/>
            </w:tcBorders>
            <w:shd w:val="clear" w:color="auto" w:fill="auto"/>
            <w:noWrap/>
            <w:vAlign w:val="center"/>
          </w:tcPr>
          <w:p w14:paraId="396B27C8" w14:textId="77777777" w:rsidR="00F06C5C" w:rsidRPr="00F06C5C" w:rsidRDefault="00940A7B" w:rsidP="00F06C5C">
            <w:pPr>
              <w:rPr>
                <w:rFonts w:cs="Arial"/>
                <w:bCs/>
                <w:i/>
                <w:color w:val="000000"/>
                <w:sz w:val="22"/>
                <w:szCs w:val="22"/>
                <w:lang w:eastAsia="en-GB"/>
              </w:rPr>
            </w:pPr>
            <w:r w:rsidRPr="00E65663">
              <w:rPr>
                <w:rFonts w:cs="Arial"/>
                <w:bCs/>
                <w:i/>
                <w:color w:val="000000"/>
                <w:sz w:val="22"/>
                <w:szCs w:val="22"/>
                <w:lang w:eastAsia="en-GB"/>
              </w:rPr>
              <w:t>Table 11</w:t>
            </w:r>
            <w:r w:rsidR="00F06C5C" w:rsidRPr="00F06C5C">
              <w:rPr>
                <w:rFonts w:cs="Arial"/>
                <w:bCs/>
                <w:i/>
                <w:color w:val="000000"/>
                <w:sz w:val="22"/>
                <w:szCs w:val="22"/>
                <w:lang w:eastAsia="en-GB"/>
              </w:rPr>
              <w:t>: Overview of the cost of additional lifejacket lights</w:t>
            </w:r>
          </w:p>
        </w:tc>
      </w:tr>
      <w:tr w:rsidR="00774B16" w:rsidRPr="00774B16" w14:paraId="5C67FE99" w14:textId="77777777" w:rsidTr="005831E8">
        <w:trPr>
          <w:trHeight w:val="315"/>
          <w:jc w:val="center"/>
        </w:trPr>
        <w:tc>
          <w:tcPr>
            <w:tcW w:w="4736" w:type="dxa"/>
            <w:tcBorders>
              <w:top w:val="single" w:sz="4" w:space="0" w:color="auto"/>
              <w:left w:val="single" w:sz="4" w:space="0" w:color="000000"/>
              <w:bottom w:val="single" w:sz="8" w:space="0" w:color="7F7F7F"/>
              <w:right w:val="nil"/>
            </w:tcBorders>
            <w:shd w:val="clear" w:color="auto" w:fill="auto"/>
            <w:noWrap/>
            <w:vAlign w:val="center"/>
            <w:hideMark/>
          </w:tcPr>
          <w:p w14:paraId="1FDAB665" w14:textId="77777777" w:rsidR="00774B16" w:rsidRPr="00774B16" w:rsidRDefault="00774B16" w:rsidP="00774B16">
            <w:pPr>
              <w:rPr>
                <w:rFonts w:cs="Arial"/>
                <w:b/>
                <w:bCs/>
                <w:color w:val="000000"/>
                <w:sz w:val="22"/>
                <w:szCs w:val="22"/>
                <w:lang w:eastAsia="en-GB"/>
              </w:rPr>
            </w:pPr>
            <w:r w:rsidRPr="00774B16">
              <w:rPr>
                <w:rFonts w:cs="Arial"/>
                <w:b/>
                <w:bCs/>
                <w:color w:val="000000"/>
                <w:sz w:val="22"/>
                <w:szCs w:val="22"/>
                <w:lang w:eastAsia="en-GB"/>
              </w:rPr>
              <w:t>Cost</w:t>
            </w:r>
          </w:p>
        </w:tc>
        <w:tc>
          <w:tcPr>
            <w:tcW w:w="1616" w:type="dxa"/>
            <w:tcBorders>
              <w:top w:val="single" w:sz="4" w:space="0" w:color="auto"/>
              <w:left w:val="nil"/>
              <w:bottom w:val="single" w:sz="8" w:space="0" w:color="7F7F7F"/>
              <w:right w:val="nil"/>
            </w:tcBorders>
            <w:shd w:val="clear" w:color="auto" w:fill="auto"/>
            <w:noWrap/>
            <w:vAlign w:val="center"/>
            <w:hideMark/>
          </w:tcPr>
          <w:p w14:paraId="24940E18" w14:textId="77777777" w:rsidR="00774B16" w:rsidRPr="00774B16" w:rsidRDefault="00774B16" w:rsidP="00774B16">
            <w:pPr>
              <w:jc w:val="right"/>
              <w:rPr>
                <w:rFonts w:cs="Arial"/>
                <w:b/>
                <w:bCs/>
                <w:color w:val="000000"/>
                <w:sz w:val="22"/>
                <w:szCs w:val="22"/>
                <w:lang w:eastAsia="en-GB"/>
              </w:rPr>
            </w:pPr>
            <w:r w:rsidRPr="00774B16">
              <w:rPr>
                <w:rFonts w:cs="Arial"/>
                <w:b/>
                <w:bCs/>
                <w:color w:val="000000"/>
                <w:sz w:val="22"/>
                <w:szCs w:val="22"/>
                <w:lang w:eastAsia="en-GB"/>
              </w:rPr>
              <w:t>Low</w:t>
            </w:r>
          </w:p>
        </w:tc>
        <w:tc>
          <w:tcPr>
            <w:tcW w:w="1596" w:type="dxa"/>
            <w:tcBorders>
              <w:top w:val="single" w:sz="4" w:space="0" w:color="auto"/>
              <w:left w:val="nil"/>
              <w:bottom w:val="single" w:sz="8" w:space="0" w:color="7F7F7F"/>
              <w:right w:val="nil"/>
            </w:tcBorders>
            <w:shd w:val="clear" w:color="auto" w:fill="auto"/>
            <w:noWrap/>
            <w:vAlign w:val="center"/>
            <w:hideMark/>
          </w:tcPr>
          <w:p w14:paraId="5EED7A8B" w14:textId="77777777" w:rsidR="00774B16" w:rsidRPr="00774B16" w:rsidRDefault="00774B16" w:rsidP="00774B16">
            <w:pPr>
              <w:jc w:val="right"/>
              <w:rPr>
                <w:rFonts w:cs="Arial"/>
                <w:b/>
                <w:bCs/>
                <w:color w:val="000000"/>
                <w:sz w:val="22"/>
                <w:szCs w:val="22"/>
                <w:lang w:eastAsia="en-GB"/>
              </w:rPr>
            </w:pPr>
            <w:r w:rsidRPr="00774B16">
              <w:rPr>
                <w:rFonts w:cs="Arial"/>
                <w:b/>
                <w:bCs/>
                <w:color w:val="000000"/>
                <w:sz w:val="22"/>
                <w:szCs w:val="22"/>
                <w:lang w:eastAsia="en-GB"/>
              </w:rPr>
              <w:t>Central</w:t>
            </w:r>
          </w:p>
        </w:tc>
        <w:tc>
          <w:tcPr>
            <w:tcW w:w="1596" w:type="dxa"/>
            <w:tcBorders>
              <w:top w:val="single" w:sz="4" w:space="0" w:color="auto"/>
              <w:left w:val="nil"/>
              <w:bottom w:val="single" w:sz="8" w:space="0" w:color="7F7F7F"/>
              <w:right w:val="single" w:sz="8" w:space="0" w:color="808080"/>
            </w:tcBorders>
            <w:shd w:val="clear" w:color="auto" w:fill="auto"/>
            <w:noWrap/>
            <w:vAlign w:val="center"/>
            <w:hideMark/>
          </w:tcPr>
          <w:p w14:paraId="57831FCE" w14:textId="77777777" w:rsidR="00774B16" w:rsidRPr="00774B16" w:rsidRDefault="00774B16" w:rsidP="00774B16">
            <w:pPr>
              <w:jc w:val="right"/>
              <w:rPr>
                <w:rFonts w:cs="Arial"/>
                <w:b/>
                <w:bCs/>
                <w:color w:val="000000"/>
                <w:sz w:val="22"/>
                <w:szCs w:val="22"/>
                <w:lang w:eastAsia="en-GB"/>
              </w:rPr>
            </w:pPr>
            <w:r w:rsidRPr="00774B16">
              <w:rPr>
                <w:rFonts w:cs="Arial"/>
                <w:b/>
                <w:bCs/>
                <w:color w:val="000000"/>
                <w:sz w:val="22"/>
                <w:szCs w:val="22"/>
                <w:lang w:eastAsia="en-GB"/>
              </w:rPr>
              <w:t>High</w:t>
            </w:r>
          </w:p>
        </w:tc>
      </w:tr>
      <w:tr w:rsidR="00774B16" w:rsidRPr="00774B16" w14:paraId="4A9D31AA" w14:textId="77777777" w:rsidTr="005831E8">
        <w:trPr>
          <w:trHeight w:val="300"/>
          <w:jc w:val="center"/>
        </w:trPr>
        <w:tc>
          <w:tcPr>
            <w:tcW w:w="4736" w:type="dxa"/>
            <w:tcBorders>
              <w:top w:val="nil"/>
              <w:left w:val="single" w:sz="4" w:space="0" w:color="000000"/>
              <w:bottom w:val="nil"/>
              <w:right w:val="nil"/>
            </w:tcBorders>
            <w:shd w:val="clear" w:color="auto" w:fill="auto"/>
            <w:noWrap/>
            <w:vAlign w:val="center"/>
            <w:hideMark/>
          </w:tcPr>
          <w:p w14:paraId="1C9F087A" w14:textId="77777777" w:rsidR="00774B16" w:rsidRPr="00774B16" w:rsidRDefault="003978E5" w:rsidP="00774B16">
            <w:pPr>
              <w:rPr>
                <w:rFonts w:cs="Arial"/>
                <w:color w:val="000000"/>
                <w:sz w:val="22"/>
                <w:szCs w:val="22"/>
                <w:lang w:eastAsia="en-GB"/>
              </w:rPr>
            </w:pPr>
            <w:r>
              <w:rPr>
                <w:rFonts w:cs="Arial"/>
                <w:color w:val="000000"/>
                <w:sz w:val="22"/>
                <w:szCs w:val="22"/>
                <w:lang w:eastAsia="en-GB"/>
              </w:rPr>
              <w:t>Average cost of a Lifejacket light</w:t>
            </w:r>
          </w:p>
        </w:tc>
        <w:tc>
          <w:tcPr>
            <w:tcW w:w="1616" w:type="dxa"/>
            <w:tcBorders>
              <w:top w:val="nil"/>
              <w:left w:val="nil"/>
              <w:bottom w:val="nil"/>
              <w:right w:val="nil"/>
            </w:tcBorders>
            <w:shd w:val="clear" w:color="auto" w:fill="auto"/>
            <w:noWrap/>
            <w:vAlign w:val="center"/>
            <w:hideMark/>
          </w:tcPr>
          <w:p w14:paraId="1C150272"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£11</w:t>
            </w:r>
          </w:p>
        </w:tc>
        <w:tc>
          <w:tcPr>
            <w:tcW w:w="1596" w:type="dxa"/>
            <w:tcBorders>
              <w:top w:val="nil"/>
              <w:left w:val="nil"/>
              <w:bottom w:val="nil"/>
              <w:right w:val="nil"/>
            </w:tcBorders>
            <w:shd w:val="clear" w:color="auto" w:fill="auto"/>
            <w:noWrap/>
            <w:vAlign w:val="center"/>
            <w:hideMark/>
          </w:tcPr>
          <w:p w14:paraId="6D0B85E2"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£12</w:t>
            </w:r>
          </w:p>
        </w:tc>
        <w:tc>
          <w:tcPr>
            <w:tcW w:w="1596" w:type="dxa"/>
            <w:tcBorders>
              <w:top w:val="nil"/>
              <w:left w:val="nil"/>
              <w:bottom w:val="nil"/>
              <w:right w:val="single" w:sz="8" w:space="0" w:color="808080"/>
            </w:tcBorders>
            <w:shd w:val="clear" w:color="auto" w:fill="auto"/>
            <w:noWrap/>
            <w:vAlign w:val="center"/>
            <w:hideMark/>
          </w:tcPr>
          <w:p w14:paraId="6E1C3153"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£15</w:t>
            </w:r>
          </w:p>
        </w:tc>
      </w:tr>
      <w:tr w:rsidR="00774B16" w:rsidRPr="00774B16" w14:paraId="2126A838" w14:textId="77777777" w:rsidTr="005831E8">
        <w:trPr>
          <w:trHeight w:val="315"/>
          <w:jc w:val="center"/>
        </w:trPr>
        <w:tc>
          <w:tcPr>
            <w:tcW w:w="4736" w:type="dxa"/>
            <w:tcBorders>
              <w:top w:val="nil"/>
              <w:left w:val="single" w:sz="4" w:space="0" w:color="000000"/>
              <w:bottom w:val="single" w:sz="8" w:space="0" w:color="808080"/>
              <w:right w:val="nil"/>
            </w:tcBorders>
            <w:shd w:val="clear" w:color="auto" w:fill="auto"/>
            <w:noWrap/>
            <w:vAlign w:val="center"/>
            <w:hideMark/>
          </w:tcPr>
          <w:p w14:paraId="0B8731FC" w14:textId="77777777" w:rsidR="00774B16" w:rsidRPr="00774B16" w:rsidRDefault="00774B16" w:rsidP="00774B16">
            <w:pPr>
              <w:rPr>
                <w:rFonts w:cs="Arial"/>
                <w:color w:val="000000"/>
                <w:sz w:val="22"/>
                <w:szCs w:val="22"/>
                <w:lang w:eastAsia="en-GB"/>
              </w:rPr>
            </w:pPr>
            <w:r w:rsidRPr="00774B16">
              <w:rPr>
                <w:rFonts w:cs="Arial"/>
                <w:color w:val="000000"/>
                <w:sz w:val="22"/>
                <w:szCs w:val="22"/>
                <w:lang w:eastAsia="en-GB"/>
              </w:rPr>
              <w:t xml:space="preserve">Number needed </w:t>
            </w:r>
          </w:p>
        </w:tc>
        <w:tc>
          <w:tcPr>
            <w:tcW w:w="1616" w:type="dxa"/>
            <w:tcBorders>
              <w:top w:val="nil"/>
              <w:left w:val="nil"/>
              <w:bottom w:val="single" w:sz="8" w:space="0" w:color="808080"/>
              <w:right w:val="nil"/>
            </w:tcBorders>
            <w:shd w:val="clear" w:color="auto" w:fill="auto"/>
            <w:noWrap/>
            <w:vAlign w:val="center"/>
            <w:hideMark/>
          </w:tcPr>
          <w:p w14:paraId="5C954140"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44,525</w:t>
            </w:r>
          </w:p>
        </w:tc>
        <w:tc>
          <w:tcPr>
            <w:tcW w:w="1596" w:type="dxa"/>
            <w:tcBorders>
              <w:top w:val="nil"/>
              <w:left w:val="nil"/>
              <w:bottom w:val="single" w:sz="8" w:space="0" w:color="808080"/>
              <w:right w:val="nil"/>
            </w:tcBorders>
            <w:shd w:val="clear" w:color="auto" w:fill="auto"/>
            <w:noWrap/>
            <w:vAlign w:val="center"/>
            <w:hideMark/>
          </w:tcPr>
          <w:p w14:paraId="64F510A2"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44,525</w:t>
            </w:r>
          </w:p>
        </w:tc>
        <w:tc>
          <w:tcPr>
            <w:tcW w:w="1596" w:type="dxa"/>
            <w:tcBorders>
              <w:top w:val="nil"/>
              <w:left w:val="nil"/>
              <w:bottom w:val="single" w:sz="8" w:space="0" w:color="808080"/>
              <w:right w:val="single" w:sz="8" w:space="0" w:color="808080"/>
            </w:tcBorders>
            <w:shd w:val="clear" w:color="auto" w:fill="auto"/>
            <w:noWrap/>
            <w:vAlign w:val="center"/>
            <w:hideMark/>
          </w:tcPr>
          <w:p w14:paraId="288C15A2"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44,525</w:t>
            </w:r>
          </w:p>
        </w:tc>
      </w:tr>
      <w:tr w:rsidR="00774B16" w:rsidRPr="00774B16" w14:paraId="73F865AD" w14:textId="77777777" w:rsidTr="005831E8">
        <w:trPr>
          <w:trHeight w:val="315"/>
          <w:jc w:val="center"/>
        </w:trPr>
        <w:tc>
          <w:tcPr>
            <w:tcW w:w="4736" w:type="dxa"/>
            <w:tcBorders>
              <w:top w:val="single" w:sz="8" w:space="0" w:color="7F7F7F"/>
              <w:left w:val="single" w:sz="4" w:space="0" w:color="000000"/>
              <w:bottom w:val="single" w:sz="8" w:space="0" w:color="7F7F7F"/>
              <w:right w:val="nil"/>
            </w:tcBorders>
            <w:shd w:val="clear" w:color="auto" w:fill="auto"/>
            <w:noWrap/>
            <w:vAlign w:val="center"/>
            <w:hideMark/>
          </w:tcPr>
          <w:p w14:paraId="631020F1" w14:textId="77777777" w:rsidR="00774B16" w:rsidRPr="00774B16" w:rsidRDefault="00774B16" w:rsidP="00774B16">
            <w:pPr>
              <w:rPr>
                <w:rFonts w:cs="Arial"/>
                <w:color w:val="000000"/>
                <w:sz w:val="22"/>
                <w:szCs w:val="22"/>
                <w:lang w:eastAsia="en-GB"/>
              </w:rPr>
            </w:pPr>
            <w:r w:rsidRPr="00774B16">
              <w:rPr>
                <w:rFonts w:cs="Arial"/>
                <w:color w:val="000000"/>
                <w:sz w:val="22"/>
                <w:szCs w:val="22"/>
                <w:lang w:eastAsia="en-GB"/>
              </w:rPr>
              <w:t>Total cost</w:t>
            </w:r>
          </w:p>
        </w:tc>
        <w:tc>
          <w:tcPr>
            <w:tcW w:w="1616" w:type="dxa"/>
            <w:tcBorders>
              <w:top w:val="single" w:sz="8" w:space="0" w:color="7F7F7F"/>
              <w:left w:val="nil"/>
              <w:bottom w:val="single" w:sz="8" w:space="0" w:color="7F7F7F"/>
              <w:right w:val="nil"/>
            </w:tcBorders>
            <w:shd w:val="clear" w:color="auto" w:fill="auto"/>
            <w:noWrap/>
            <w:vAlign w:val="center"/>
            <w:hideMark/>
          </w:tcPr>
          <w:p w14:paraId="7CCCAB05"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£886,000</w:t>
            </w:r>
          </w:p>
        </w:tc>
        <w:tc>
          <w:tcPr>
            <w:tcW w:w="1596" w:type="dxa"/>
            <w:tcBorders>
              <w:top w:val="single" w:sz="8" w:space="0" w:color="7F7F7F"/>
              <w:left w:val="nil"/>
              <w:bottom w:val="single" w:sz="8" w:space="0" w:color="7F7F7F"/>
              <w:right w:val="nil"/>
            </w:tcBorders>
            <w:shd w:val="clear" w:color="auto" w:fill="auto"/>
            <w:noWrap/>
            <w:vAlign w:val="center"/>
            <w:hideMark/>
          </w:tcPr>
          <w:p w14:paraId="52C9C71E"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£984,000</w:t>
            </w:r>
          </w:p>
        </w:tc>
        <w:tc>
          <w:tcPr>
            <w:tcW w:w="1596" w:type="dxa"/>
            <w:tcBorders>
              <w:top w:val="single" w:sz="8" w:space="0" w:color="7F7F7F"/>
              <w:left w:val="nil"/>
              <w:bottom w:val="single" w:sz="8" w:space="0" w:color="7F7F7F"/>
              <w:right w:val="single" w:sz="8" w:space="0" w:color="808080"/>
            </w:tcBorders>
            <w:shd w:val="clear" w:color="auto" w:fill="auto"/>
            <w:noWrap/>
            <w:vAlign w:val="center"/>
            <w:hideMark/>
          </w:tcPr>
          <w:p w14:paraId="21E89DBF" w14:textId="77777777" w:rsidR="00774B16" w:rsidRPr="00774B16" w:rsidRDefault="00774B16" w:rsidP="00774B16">
            <w:pPr>
              <w:jc w:val="right"/>
              <w:rPr>
                <w:rFonts w:cs="Arial"/>
                <w:color w:val="000000"/>
                <w:sz w:val="22"/>
                <w:szCs w:val="22"/>
                <w:lang w:eastAsia="en-GB"/>
              </w:rPr>
            </w:pPr>
            <w:r w:rsidRPr="00774B16">
              <w:rPr>
                <w:rFonts w:cs="Arial"/>
                <w:color w:val="000000"/>
                <w:sz w:val="22"/>
                <w:szCs w:val="22"/>
                <w:lang w:eastAsia="en-GB"/>
              </w:rPr>
              <w:t>£1,230,000</w:t>
            </w:r>
          </w:p>
        </w:tc>
      </w:tr>
    </w:tbl>
    <w:p w14:paraId="1B618E05" w14:textId="77777777" w:rsidR="003978E5" w:rsidRDefault="003978E5" w:rsidP="00B8185D">
      <w:pPr>
        <w:pStyle w:val="EBBodyPara"/>
      </w:pPr>
    </w:p>
    <w:p w14:paraId="08920626" w14:textId="77777777" w:rsidR="003978E5" w:rsidRDefault="003978E5" w:rsidP="00B8185D">
      <w:pPr>
        <w:pStyle w:val="EBBodyPara"/>
      </w:pPr>
      <w:r>
        <w:t>To calculate, for example, the total cost for lifejacket lights in the central scenario, you multiply the number of lights required, 44,525, by the cost per light, £12 (44,525*12 = £534,300). This cost is also incurred in 2024 and discounted.</w:t>
      </w:r>
    </w:p>
    <w:p w14:paraId="65029959" w14:textId="77777777" w:rsidR="00B8185D" w:rsidRDefault="00B8185D" w:rsidP="00B8185D">
      <w:pPr>
        <w:pStyle w:val="Heading5"/>
        <w:rPr>
          <w:lang w:eastAsia="en-GB"/>
        </w:rPr>
      </w:pPr>
      <w:bookmarkStart w:id="29" w:name="_Ref519064402"/>
      <w:r>
        <w:rPr>
          <w:lang w:eastAsia="en-GB"/>
        </w:rPr>
        <w:t>Non-monetised costs</w:t>
      </w:r>
      <w:bookmarkEnd w:id="29"/>
    </w:p>
    <w:p w14:paraId="2FC1D85B" w14:textId="77777777" w:rsidR="00B8185D" w:rsidRDefault="00B8185D" w:rsidP="00B8185D">
      <w:pPr>
        <w:pStyle w:val="EBBodyPara"/>
      </w:pPr>
      <w:r>
        <w:t xml:space="preserve">The cost of installing lifejacket lights to lifejackets will vary depending on the model of jacket and light and the number of lights to be fitted. The associated costs are likely to be very small and have not been monetised. </w:t>
      </w:r>
    </w:p>
    <w:p w14:paraId="21C7BC6F" w14:textId="77777777" w:rsidR="00B8185D" w:rsidRDefault="00B8185D" w:rsidP="00B8185D">
      <w:pPr>
        <w:pStyle w:val="Heading5"/>
        <w:rPr>
          <w:lang w:eastAsia="en-GB"/>
        </w:rPr>
      </w:pPr>
      <w:bookmarkStart w:id="30" w:name="_Ref519064630"/>
      <w:r>
        <w:rPr>
          <w:lang w:eastAsia="en-GB"/>
        </w:rPr>
        <w:t>Non-monetised benefits</w:t>
      </w:r>
      <w:bookmarkEnd w:id="30"/>
    </w:p>
    <w:p w14:paraId="0694A95F" w14:textId="2DD5BB04" w:rsidR="00B8185D" w:rsidRDefault="00B8185D" w:rsidP="00E74924">
      <w:pPr>
        <w:pStyle w:val="EBBodyPara"/>
        <w:spacing w:line="276" w:lineRule="auto"/>
      </w:pPr>
      <w:r>
        <w:t>Lifejacket lights allow for visibility during night time and</w:t>
      </w:r>
      <w:r w:rsidR="001F3A2B">
        <w:t xml:space="preserve"> during</w:t>
      </w:r>
      <w:r>
        <w:t xml:space="preserve"> adverse weather.</w:t>
      </w:r>
      <w:r w:rsidR="001F3A2B">
        <w:t xml:space="preserve"> In an event of an </w:t>
      </w:r>
      <w:r w:rsidR="00613977">
        <w:t>incident</w:t>
      </w:r>
      <w:r w:rsidR="001F3A2B">
        <w:t xml:space="preserve"> where passengers and crew have entered the water, a lifejacket light makes it easier for them to be recovered and therefore reduces the likelihood of a fatality.</w:t>
      </w:r>
      <w:r w:rsidR="00E74924">
        <w:t xml:space="preserve"> The Royal National Lifeboat Institution (RNLI) suggests looking for a lifejacket light when purchasing a lifejacket saying, “A flashing light or strobe on our lifejacket makes you much easier to find at night or in poor visibility and can be easily attached.” </w:t>
      </w:r>
      <w:r w:rsidR="00E74924">
        <w:rPr>
          <w:rStyle w:val="FootnoteReference"/>
        </w:rPr>
        <w:footnoteReference w:id="9"/>
      </w:r>
      <w:r w:rsidR="00E74924">
        <w:t xml:space="preserve"> </w:t>
      </w:r>
      <w:r w:rsidR="00DE469A">
        <w:t>N</w:t>
      </w:r>
      <w:r>
        <w:t>ote that lifejacket lights are active and do not require a light to b</w:t>
      </w:r>
      <w:r w:rsidR="0097477D">
        <w:t>e shone on the person in water.</w:t>
      </w:r>
    </w:p>
    <w:p w14:paraId="10325A16" w14:textId="77777777" w:rsidR="00B8185D" w:rsidRPr="00E7214E" w:rsidRDefault="00B8185D" w:rsidP="00B8185D">
      <w:pPr>
        <w:pStyle w:val="Heading4"/>
      </w:pPr>
      <w:r w:rsidRPr="00F37425">
        <w:rPr>
          <w:bCs w:val="0"/>
        </w:rPr>
        <w:t>Fire protection – Fire detection</w:t>
      </w:r>
    </w:p>
    <w:p w14:paraId="76B6B6C9" w14:textId="77777777" w:rsidR="00B8185D" w:rsidRDefault="00B8185D" w:rsidP="00B8185D">
      <w:pPr>
        <w:pStyle w:val="EBBodyPara"/>
      </w:pPr>
      <w:r>
        <w:lastRenderedPageBreak/>
        <w:t>Current requirements do not require fire detection. Fire detection allow</w:t>
      </w:r>
      <w:r w:rsidR="00F977FF">
        <w:t>s</w:t>
      </w:r>
      <w:r>
        <w:t xml:space="preserve"> early awareness of </w:t>
      </w:r>
      <w:r w:rsidR="00F977FF">
        <w:t xml:space="preserve">fires and reduces the probability of serious fires developing. </w:t>
      </w:r>
      <w:r>
        <w:t>The proposed regulations will require fire detection system to be installed in all enclosed machinery spaces</w:t>
      </w:r>
      <w:r w:rsidR="00732520">
        <w:t xml:space="preserve"> (which are where fires are more likely to occur)</w:t>
      </w:r>
      <w:r>
        <w:t xml:space="preserve"> and any passenger sleeping spaces on all vessels of Class III-VI(A). </w:t>
      </w:r>
    </w:p>
    <w:p w14:paraId="5A8F3115" w14:textId="77777777" w:rsidR="00B8185D" w:rsidRDefault="00B8185D" w:rsidP="00B8185D">
      <w:pPr>
        <w:pStyle w:val="Heading5"/>
        <w:keepNext/>
        <w:ind w:left="1077" w:hanging="1077"/>
        <w:rPr>
          <w:lang w:eastAsia="en-GB"/>
        </w:rPr>
      </w:pPr>
      <w:bookmarkStart w:id="31" w:name="_Ref518990582"/>
      <w:r>
        <w:rPr>
          <w:lang w:eastAsia="en-GB"/>
        </w:rPr>
        <w:t>Monetised costs</w:t>
      </w:r>
      <w:bookmarkEnd w:id="31"/>
    </w:p>
    <w:p w14:paraId="425ADA68" w14:textId="77777777" w:rsidR="003C7DAB" w:rsidRDefault="00B8185D" w:rsidP="00B8185D">
      <w:pPr>
        <w:pStyle w:val="EBBodyPara"/>
      </w:pPr>
      <w:r>
        <w:t xml:space="preserve">The requirement to have fire detection </w:t>
      </w:r>
      <w:r w:rsidR="00F66848">
        <w:t>leads to</w:t>
      </w:r>
      <w:r w:rsidR="00B34AE3">
        <w:t xml:space="preserve"> equipment purchasing and</w:t>
      </w:r>
      <w:r>
        <w:t xml:space="preserve"> installation costs</w:t>
      </w:r>
      <w:r w:rsidR="0025394A">
        <w:t xml:space="preserve"> as well as servicing</w:t>
      </w:r>
      <w:r w:rsidR="00B34AE3">
        <w:t xml:space="preserve"> costs. </w:t>
      </w:r>
    </w:p>
    <w:p w14:paraId="32799136" w14:textId="77777777" w:rsidR="00B8185D" w:rsidRDefault="003C7DAB" w:rsidP="00B8185D">
      <w:pPr>
        <w:pStyle w:val="EBBodyPara"/>
      </w:pPr>
      <w:r>
        <w:t xml:space="preserve">We assume that no vessels are currently compliant with the requirement, though this may be a conservative assumption. The number of vessels affected is therefore 606 as detailed in section </w:t>
      </w:r>
      <w:r>
        <w:fldChar w:fldCharType="begin"/>
      </w:r>
      <w:r>
        <w:instrText xml:space="preserve"> REF _Ref513641974 \r \h </w:instrText>
      </w:r>
      <w:r>
        <w:fldChar w:fldCharType="separate"/>
      </w:r>
      <w:r w:rsidR="00742166">
        <w:t>8</w:t>
      </w:r>
      <w:r>
        <w:fldChar w:fldCharType="end"/>
      </w:r>
      <w:r>
        <w:t xml:space="preserve">. We plan to consult on the number of vessels affected to determine if an appreciable number of operators already have existing fitted detection systems. </w:t>
      </w:r>
      <w:r w:rsidR="00B34AE3">
        <w:t>The total cost of fire detection equipment is shown in the table below</w:t>
      </w:r>
      <w:r w:rsidR="00B8185D">
        <w:t>.</w:t>
      </w:r>
      <w:r w:rsidR="00F66848">
        <w:t xml:space="preserve"> </w:t>
      </w:r>
    </w:p>
    <w:p w14:paraId="7CC49EC1" w14:textId="77777777" w:rsidR="00B34AE3" w:rsidRDefault="00B34AE3" w:rsidP="00B8185D">
      <w:pPr>
        <w:pStyle w:val="EBBodyPara"/>
      </w:pPr>
    </w:p>
    <w:tbl>
      <w:tblPr>
        <w:tblW w:w="10065" w:type="dxa"/>
        <w:tblLook w:val="04A0" w:firstRow="1" w:lastRow="0" w:firstColumn="1" w:lastColumn="0" w:noHBand="0" w:noVBand="1"/>
      </w:tblPr>
      <w:tblGrid>
        <w:gridCol w:w="5954"/>
        <w:gridCol w:w="1417"/>
        <w:gridCol w:w="1418"/>
        <w:gridCol w:w="1318"/>
      </w:tblGrid>
      <w:tr w:rsidR="00F93387" w:rsidRPr="00F93387" w14:paraId="3095FF73" w14:textId="77777777" w:rsidTr="00F93387">
        <w:trPr>
          <w:trHeight w:val="315"/>
        </w:trPr>
        <w:tc>
          <w:tcPr>
            <w:tcW w:w="10065" w:type="dxa"/>
            <w:gridSpan w:val="4"/>
            <w:tcBorders>
              <w:top w:val="nil"/>
              <w:left w:val="nil"/>
              <w:bottom w:val="single" w:sz="8" w:space="0" w:color="7F7F7F"/>
              <w:right w:val="nil"/>
            </w:tcBorders>
            <w:shd w:val="clear" w:color="auto" w:fill="auto"/>
            <w:noWrap/>
            <w:vAlign w:val="bottom"/>
            <w:hideMark/>
          </w:tcPr>
          <w:p w14:paraId="1E0B3FA9" w14:textId="77777777" w:rsidR="00F93387" w:rsidRPr="00F93387" w:rsidRDefault="00940A7B" w:rsidP="00F93387">
            <w:pPr>
              <w:rPr>
                <w:rFonts w:ascii="Calibri" w:hAnsi="Calibri"/>
                <w:i/>
                <w:iCs/>
                <w:color w:val="000000"/>
                <w:sz w:val="22"/>
                <w:szCs w:val="22"/>
                <w:lang w:eastAsia="en-GB"/>
              </w:rPr>
            </w:pPr>
            <w:r w:rsidRPr="00E65663">
              <w:rPr>
                <w:rFonts w:ascii="Calibri" w:hAnsi="Calibri"/>
                <w:i/>
                <w:iCs/>
                <w:color w:val="000000"/>
                <w:sz w:val="22"/>
                <w:szCs w:val="22"/>
                <w:lang w:eastAsia="en-GB"/>
              </w:rPr>
              <w:t>Table 12</w:t>
            </w:r>
            <w:r w:rsidR="00F93387" w:rsidRPr="00E65663">
              <w:rPr>
                <w:rFonts w:ascii="Calibri" w:hAnsi="Calibri"/>
                <w:i/>
                <w:iCs/>
                <w:color w:val="000000"/>
                <w:sz w:val="22"/>
                <w:szCs w:val="22"/>
                <w:lang w:eastAsia="en-GB"/>
              </w:rPr>
              <w:t>:</w:t>
            </w:r>
            <w:r w:rsidR="00F93387" w:rsidRPr="00F93387">
              <w:rPr>
                <w:rFonts w:ascii="Calibri" w:hAnsi="Calibri"/>
                <w:i/>
                <w:iCs/>
                <w:color w:val="000000"/>
                <w:sz w:val="22"/>
                <w:szCs w:val="22"/>
                <w:lang w:eastAsia="en-GB"/>
              </w:rPr>
              <w:t xml:space="preserve"> Cost of purchasing, installation and servicing of fire detection equipment</w:t>
            </w:r>
          </w:p>
        </w:tc>
      </w:tr>
      <w:tr w:rsidR="00F93387" w:rsidRPr="00F93387" w14:paraId="77828181" w14:textId="77777777" w:rsidTr="00F93387">
        <w:trPr>
          <w:trHeight w:val="315"/>
        </w:trPr>
        <w:tc>
          <w:tcPr>
            <w:tcW w:w="5954" w:type="dxa"/>
            <w:tcBorders>
              <w:top w:val="nil"/>
              <w:left w:val="single" w:sz="8" w:space="0" w:color="808080"/>
              <w:bottom w:val="single" w:sz="8" w:space="0" w:color="7F7F7F"/>
              <w:right w:val="nil"/>
            </w:tcBorders>
            <w:shd w:val="clear" w:color="auto" w:fill="auto"/>
            <w:noWrap/>
            <w:vAlign w:val="center"/>
            <w:hideMark/>
          </w:tcPr>
          <w:p w14:paraId="0575BC71" w14:textId="77777777" w:rsidR="00F93387" w:rsidRPr="00F93387" w:rsidRDefault="00F93387" w:rsidP="00F93387">
            <w:pPr>
              <w:rPr>
                <w:rFonts w:cs="Arial"/>
                <w:b/>
                <w:bCs/>
                <w:color w:val="000000"/>
                <w:sz w:val="22"/>
                <w:szCs w:val="22"/>
                <w:lang w:eastAsia="en-GB"/>
              </w:rPr>
            </w:pPr>
            <w:r w:rsidRPr="00F93387">
              <w:rPr>
                <w:rFonts w:cs="Arial"/>
                <w:b/>
                <w:bCs/>
                <w:color w:val="000000"/>
                <w:sz w:val="22"/>
                <w:szCs w:val="22"/>
                <w:lang w:eastAsia="en-GB"/>
              </w:rPr>
              <w:t xml:space="preserve">Cost </w:t>
            </w:r>
          </w:p>
        </w:tc>
        <w:tc>
          <w:tcPr>
            <w:tcW w:w="1417" w:type="dxa"/>
            <w:tcBorders>
              <w:top w:val="nil"/>
              <w:left w:val="nil"/>
              <w:bottom w:val="single" w:sz="8" w:space="0" w:color="7F7F7F"/>
              <w:right w:val="nil"/>
            </w:tcBorders>
            <w:shd w:val="clear" w:color="auto" w:fill="auto"/>
            <w:noWrap/>
            <w:vAlign w:val="center"/>
            <w:hideMark/>
          </w:tcPr>
          <w:p w14:paraId="10CAF07A" w14:textId="77777777" w:rsidR="00F93387" w:rsidRPr="00F93387" w:rsidRDefault="00F93387" w:rsidP="00F93387">
            <w:pPr>
              <w:jc w:val="right"/>
              <w:rPr>
                <w:rFonts w:cs="Arial"/>
                <w:b/>
                <w:bCs/>
                <w:color w:val="000000"/>
                <w:sz w:val="22"/>
                <w:szCs w:val="22"/>
                <w:lang w:eastAsia="en-GB"/>
              </w:rPr>
            </w:pPr>
            <w:r w:rsidRPr="00F93387">
              <w:rPr>
                <w:rFonts w:cs="Arial"/>
                <w:b/>
                <w:bCs/>
                <w:color w:val="000000"/>
                <w:sz w:val="22"/>
                <w:szCs w:val="22"/>
                <w:lang w:eastAsia="en-GB"/>
              </w:rPr>
              <w:t>Low</w:t>
            </w:r>
          </w:p>
        </w:tc>
        <w:tc>
          <w:tcPr>
            <w:tcW w:w="1418" w:type="dxa"/>
            <w:tcBorders>
              <w:top w:val="nil"/>
              <w:left w:val="nil"/>
              <w:bottom w:val="single" w:sz="8" w:space="0" w:color="7F7F7F"/>
              <w:right w:val="nil"/>
            </w:tcBorders>
            <w:shd w:val="clear" w:color="auto" w:fill="auto"/>
            <w:noWrap/>
            <w:vAlign w:val="center"/>
            <w:hideMark/>
          </w:tcPr>
          <w:p w14:paraId="54783F5A" w14:textId="77777777" w:rsidR="00F93387" w:rsidRPr="00F93387" w:rsidRDefault="00F93387" w:rsidP="00F93387">
            <w:pPr>
              <w:jc w:val="right"/>
              <w:rPr>
                <w:rFonts w:cs="Arial"/>
                <w:b/>
                <w:bCs/>
                <w:color w:val="000000"/>
                <w:sz w:val="22"/>
                <w:szCs w:val="22"/>
                <w:lang w:eastAsia="en-GB"/>
              </w:rPr>
            </w:pPr>
            <w:r w:rsidRPr="00F93387">
              <w:rPr>
                <w:rFonts w:cs="Arial"/>
                <w:b/>
                <w:bCs/>
                <w:color w:val="000000"/>
                <w:sz w:val="22"/>
                <w:szCs w:val="22"/>
                <w:lang w:eastAsia="en-GB"/>
              </w:rPr>
              <w:t>Central</w:t>
            </w:r>
          </w:p>
        </w:tc>
        <w:tc>
          <w:tcPr>
            <w:tcW w:w="1276" w:type="dxa"/>
            <w:tcBorders>
              <w:top w:val="nil"/>
              <w:left w:val="nil"/>
              <w:bottom w:val="single" w:sz="8" w:space="0" w:color="7F7F7F"/>
              <w:right w:val="single" w:sz="8" w:space="0" w:color="808080"/>
            </w:tcBorders>
            <w:shd w:val="clear" w:color="auto" w:fill="auto"/>
            <w:noWrap/>
            <w:vAlign w:val="center"/>
            <w:hideMark/>
          </w:tcPr>
          <w:p w14:paraId="24234107" w14:textId="77777777" w:rsidR="00F93387" w:rsidRPr="00F93387" w:rsidRDefault="00F93387" w:rsidP="00F93387">
            <w:pPr>
              <w:jc w:val="right"/>
              <w:rPr>
                <w:rFonts w:cs="Arial"/>
                <w:b/>
                <w:bCs/>
                <w:color w:val="000000"/>
                <w:sz w:val="22"/>
                <w:szCs w:val="22"/>
                <w:lang w:eastAsia="en-GB"/>
              </w:rPr>
            </w:pPr>
            <w:r w:rsidRPr="00F93387">
              <w:rPr>
                <w:rFonts w:cs="Arial"/>
                <w:b/>
                <w:bCs/>
                <w:color w:val="000000"/>
                <w:sz w:val="22"/>
                <w:szCs w:val="22"/>
                <w:lang w:eastAsia="en-GB"/>
              </w:rPr>
              <w:t>High</w:t>
            </w:r>
          </w:p>
        </w:tc>
      </w:tr>
      <w:tr w:rsidR="00F93387" w:rsidRPr="00F93387" w14:paraId="79975645" w14:textId="77777777" w:rsidTr="00F93387">
        <w:trPr>
          <w:trHeight w:val="300"/>
        </w:trPr>
        <w:tc>
          <w:tcPr>
            <w:tcW w:w="5954" w:type="dxa"/>
            <w:tcBorders>
              <w:top w:val="nil"/>
              <w:left w:val="single" w:sz="8" w:space="0" w:color="808080"/>
              <w:bottom w:val="nil"/>
              <w:right w:val="nil"/>
            </w:tcBorders>
            <w:shd w:val="clear" w:color="auto" w:fill="auto"/>
            <w:noWrap/>
            <w:vAlign w:val="center"/>
            <w:hideMark/>
          </w:tcPr>
          <w:p w14:paraId="64AF3B81" w14:textId="77777777" w:rsidR="00F93387" w:rsidRPr="00F93387" w:rsidRDefault="00F93387" w:rsidP="00F93387">
            <w:pPr>
              <w:rPr>
                <w:rFonts w:cs="Arial"/>
                <w:color w:val="000000"/>
                <w:sz w:val="22"/>
                <w:szCs w:val="22"/>
                <w:lang w:eastAsia="en-GB"/>
              </w:rPr>
            </w:pPr>
            <w:r w:rsidRPr="00F93387">
              <w:rPr>
                <w:rFonts w:cs="Arial"/>
                <w:color w:val="000000"/>
                <w:sz w:val="22"/>
                <w:szCs w:val="22"/>
                <w:lang w:eastAsia="en-GB"/>
              </w:rPr>
              <w:t>Average Cost for Fire Detection Equipment per vessel</w:t>
            </w:r>
          </w:p>
        </w:tc>
        <w:tc>
          <w:tcPr>
            <w:tcW w:w="1417" w:type="dxa"/>
            <w:tcBorders>
              <w:top w:val="nil"/>
              <w:left w:val="nil"/>
              <w:bottom w:val="nil"/>
              <w:right w:val="nil"/>
            </w:tcBorders>
            <w:shd w:val="clear" w:color="auto" w:fill="auto"/>
            <w:noWrap/>
            <w:vAlign w:val="center"/>
            <w:hideMark/>
          </w:tcPr>
          <w:p w14:paraId="318AB7A1"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£684</w:t>
            </w:r>
          </w:p>
        </w:tc>
        <w:tc>
          <w:tcPr>
            <w:tcW w:w="1418" w:type="dxa"/>
            <w:tcBorders>
              <w:top w:val="nil"/>
              <w:left w:val="nil"/>
              <w:bottom w:val="nil"/>
              <w:right w:val="nil"/>
            </w:tcBorders>
            <w:shd w:val="clear" w:color="auto" w:fill="auto"/>
            <w:noWrap/>
            <w:vAlign w:val="center"/>
            <w:hideMark/>
          </w:tcPr>
          <w:p w14:paraId="31B36751"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£1,512</w:t>
            </w:r>
          </w:p>
        </w:tc>
        <w:tc>
          <w:tcPr>
            <w:tcW w:w="1276" w:type="dxa"/>
            <w:tcBorders>
              <w:top w:val="nil"/>
              <w:left w:val="nil"/>
              <w:bottom w:val="nil"/>
              <w:right w:val="single" w:sz="8" w:space="0" w:color="808080"/>
            </w:tcBorders>
            <w:shd w:val="clear" w:color="auto" w:fill="auto"/>
            <w:noWrap/>
            <w:vAlign w:val="center"/>
            <w:hideMark/>
          </w:tcPr>
          <w:p w14:paraId="4A8F615F"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£2,340</w:t>
            </w:r>
          </w:p>
        </w:tc>
      </w:tr>
      <w:tr w:rsidR="00F93387" w:rsidRPr="00F93387" w14:paraId="1BB6B8E2" w14:textId="77777777" w:rsidTr="00F93387">
        <w:trPr>
          <w:trHeight w:val="315"/>
        </w:trPr>
        <w:tc>
          <w:tcPr>
            <w:tcW w:w="5954" w:type="dxa"/>
            <w:tcBorders>
              <w:top w:val="nil"/>
              <w:left w:val="single" w:sz="8" w:space="0" w:color="808080"/>
              <w:bottom w:val="nil"/>
              <w:right w:val="nil"/>
            </w:tcBorders>
            <w:shd w:val="clear" w:color="auto" w:fill="auto"/>
            <w:noWrap/>
            <w:vAlign w:val="center"/>
            <w:hideMark/>
          </w:tcPr>
          <w:p w14:paraId="3DD59053" w14:textId="77777777" w:rsidR="00F93387" w:rsidRPr="00F93387" w:rsidRDefault="00F93387" w:rsidP="00F93387">
            <w:pPr>
              <w:rPr>
                <w:rFonts w:cs="Arial"/>
                <w:color w:val="000000"/>
                <w:sz w:val="22"/>
                <w:szCs w:val="22"/>
                <w:lang w:eastAsia="en-GB"/>
              </w:rPr>
            </w:pPr>
            <w:r w:rsidRPr="00F93387">
              <w:rPr>
                <w:rFonts w:cs="Arial"/>
                <w:color w:val="000000"/>
                <w:sz w:val="22"/>
                <w:szCs w:val="22"/>
                <w:lang w:eastAsia="en-GB"/>
              </w:rPr>
              <w:t>Average Cost of Annual Service of Equipment per vessel</w:t>
            </w:r>
          </w:p>
        </w:tc>
        <w:tc>
          <w:tcPr>
            <w:tcW w:w="1417" w:type="dxa"/>
            <w:tcBorders>
              <w:top w:val="nil"/>
              <w:left w:val="nil"/>
              <w:bottom w:val="nil"/>
              <w:right w:val="nil"/>
            </w:tcBorders>
            <w:shd w:val="clear" w:color="auto" w:fill="auto"/>
            <w:noWrap/>
            <w:vAlign w:val="center"/>
            <w:hideMark/>
          </w:tcPr>
          <w:p w14:paraId="450E9259"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£150</w:t>
            </w:r>
          </w:p>
        </w:tc>
        <w:tc>
          <w:tcPr>
            <w:tcW w:w="1418" w:type="dxa"/>
            <w:tcBorders>
              <w:top w:val="nil"/>
              <w:left w:val="nil"/>
              <w:bottom w:val="nil"/>
              <w:right w:val="nil"/>
            </w:tcBorders>
            <w:shd w:val="clear" w:color="auto" w:fill="auto"/>
            <w:noWrap/>
            <w:vAlign w:val="center"/>
            <w:hideMark/>
          </w:tcPr>
          <w:p w14:paraId="5B114423"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£150</w:t>
            </w:r>
          </w:p>
        </w:tc>
        <w:tc>
          <w:tcPr>
            <w:tcW w:w="1276" w:type="dxa"/>
            <w:tcBorders>
              <w:top w:val="nil"/>
              <w:left w:val="nil"/>
              <w:bottom w:val="single" w:sz="8" w:space="0" w:color="7F7F7F"/>
              <w:right w:val="single" w:sz="8" w:space="0" w:color="808080"/>
            </w:tcBorders>
            <w:shd w:val="clear" w:color="auto" w:fill="auto"/>
            <w:noWrap/>
            <w:vAlign w:val="center"/>
            <w:hideMark/>
          </w:tcPr>
          <w:p w14:paraId="406FCA75"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£150</w:t>
            </w:r>
          </w:p>
        </w:tc>
      </w:tr>
      <w:tr w:rsidR="00F93387" w:rsidRPr="00F93387" w14:paraId="44725DCA" w14:textId="77777777" w:rsidTr="00F93387">
        <w:trPr>
          <w:trHeight w:val="300"/>
        </w:trPr>
        <w:tc>
          <w:tcPr>
            <w:tcW w:w="5954" w:type="dxa"/>
            <w:tcBorders>
              <w:top w:val="single" w:sz="8" w:space="0" w:color="7F7F7F"/>
              <w:left w:val="single" w:sz="8" w:space="0" w:color="808080"/>
              <w:bottom w:val="nil"/>
              <w:right w:val="nil"/>
            </w:tcBorders>
            <w:shd w:val="clear" w:color="auto" w:fill="auto"/>
            <w:noWrap/>
            <w:vAlign w:val="center"/>
            <w:hideMark/>
          </w:tcPr>
          <w:p w14:paraId="4BDF696D" w14:textId="77777777" w:rsidR="00F93387" w:rsidRPr="00F93387" w:rsidRDefault="00F93387" w:rsidP="00F93387">
            <w:pPr>
              <w:rPr>
                <w:rFonts w:cs="Arial"/>
                <w:color w:val="000000"/>
                <w:sz w:val="22"/>
                <w:szCs w:val="22"/>
                <w:lang w:eastAsia="en-GB"/>
              </w:rPr>
            </w:pPr>
            <w:r w:rsidRPr="00F93387">
              <w:rPr>
                <w:rFonts w:cs="Arial"/>
                <w:color w:val="000000"/>
                <w:sz w:val="22"/>
                <w:szCs w:val="22"/>
                <w:lang w:eastAsia="en-GB"/>
              </w:rPr>
              <w:t xml:space="preserve">Total Purchasing Cost </w:t>
            </w:r>
          </w:p>
        </w:tc>
        <w:tc>
          <w:tcPr>
            <w:tcW w:w="1417" w:type="dxa"/>
            <w:tcBorders>
              <w:top w:val="single" w:sz="8" w:space="0" w:color="7F7F7F"/>
              <w:left w:val="nil"/>
              <w:bottom w:val="nil"/>
              <w:right w:val="nil"/>
            </w:tcBorders>
            <w:shd w:val="clear" w:color="auto" w:fill="auto"/>
            <w:noWrap/>
            <w:vAlign w:val="center"/>
            <w:hideMark/>
          </w:tcPr>
          <w:p w14:paraId="54DC64B2"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£414,000</w:t>
            </w:r>
          </w:p>
        </w:tc>
        <w:tc>
          <w:tcPr>
            <w:tcW w:w="1418" w:type="dxa"/>
            <w:tcBorders>
              <w:top w:val="single" w:sz="8" w:space="0" w:color="7F7F7F"/>
              <w:left w:val="nil"/>
              <w:bottom w:val="nil"/>
              <w:right w:val="nil"/>
            </w:tcBorders>
            <w:shd w:val="clear" w:color="auto" w:fill="auto"/>
            <w:noWrap/>
            <w:vAlign w:val="center"/>
            <w:hideMark/>
          </w:tcPr>
          <w:p w14:paraId="260FE24C"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£916,000</w:t>
            </w:r>
          </w:p>
        </w:tc>
        <w:tc>
          <w:tcPr>
            <w:tcW w:w="1276" w:type="dxa"/>
            <w:tcBorders>
              <w:top w:val="nil"/>
              <w:left w:val="nil"/>
              <w:bottom w:val="nil"/>
              <w:right w:val="single" w:sz="8" w:space="0" w:color="808080"/>
            </w:tcBorders>
            <w:shd w:val="clear" w:color="auto" w:fill="auto"/>
            <w:noWrap/>
            <w:vAlign w:val="center"/>
            <w:hideMark/>
          </w:tcPr>
          <w:p w14:paraId="4A694B16"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£1,418,000</w:t>
            </w:r>
          </w:p>
        </w:tc>
      </w:tr>
      <w:tr w:rsidR="00F93387" w:rsidRPr="00F93387" w14:paraId="33D272D4" w14:textId="77777777" w:rsidTr="00F93387">
        <w:trPr>
          <w:trHeight w:val="315"/>
        </w:trPr>
        <w:tc>
          <w:tcPr>
            <w:tcW w:w="5954" w:type="dxa"/>
            <w:tcBorders>
              <w:top w:val="nil"/>
              <w:left w:val="single" w:sz="8" w:space="0" w:color="808080"/>
              <w:bottom w:val="single" w:sz="8" w:space="0" w:color="7F7F7F"/>
              <w:right w:val="nil"/>
            </w:tcBorders>
            <w:shd w:val="clear" w:color="auto" w:fill="auto"/>
            <w:noWrap/>
            <w:vAlign w:val="center"/>
            <w:hideMark/>
          </w:tcPr>
          <w:p w14:paraId="7284DD34" w14:textId="77777777" w:rsidR="00F93387" w:rsidRPr="00F93387" w:rsidRDefault="00F93387" w:rsidP="00F93387">
            <w:pPr>
              <w:rPr>
                <w:rFonts w:cs="Arial"/>
                <w:color w:val="000000"/>
                <w:sz w:val="22"/>
                <w:szCs w:val="22"/>
                <w:lang w:eastAsia="en-GB"/>
              </w:rPr>
            </w:pPr>
            <w:r w:rsidRPr="00F93387">
              <w:rPr>
                <w:rFonts w:cs="Arial"/>
                <w:color w:val="000000"/>
                <w:sz w:val="22"/>
                <w:szCs w:val="22"/>
                <w:lang w:eastAsia="en-GB"/>
              </w:rPr>
              <w:t>Total Servicing Cost</w:t>
            </w:r>
          </w:p>
        </w:tc>
        <w:tc>
          <w:tcPr>
            <w:tcW w:w="1417" w:type="dxa"/>
            <w:tcBorders>
              <w:top w:val="nil"/>
              <w:left w:val="nil"/>
              <w:bottom w:val="single" w:sz="8" w:space="0" w:color="7F7F7F"/>
              <w:right w:val="nil"/>
            </w:tcBorders>
            <w:shd w:val="clear" w:color="auto" w:fill="auto"/>
            <w:noWrap/>
            <w:vAlign w:val="center"/>
            <w:hideMark/>
          </w:tcPr>
          <w:p w14:paraId="6E271763"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£692,000</w:t>
            </w:r>
          </w:p>
        </w:tc>
        <w:tc>
          <w:tcPr>
            <w:tcW w:w="1418" w:type="dxa"/>
            <w:tcBorders>
              <w:top w:val="nil"/>
              <w:left w:val="nil"/>
              <w:bottom w:val="single" w:sz="8" w:space="0" w:color="7F7F7F"/>
              <w:right w:val="nil"/>
            </w:tcBorders>
            <w:shd w:val="clear" w:color="auto" w:fill="auto"/>
            <w:noWrap/>
            <w:vAlign w:val="center"/>
            <w:hideMark/>
          </w:tcPr>
          <w:p w14:paraId="6CB928C6"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£692,000</w:t>
            </w:r>
          </w:p>
        </w:tc>
        <w:tc>
          <w:tcPr>
            <w:tcW w:w="1276" w:type="dxa"/>
            <w:tcBorders>
              <w:top w:val="nil"/>
              <w:left w:val="nil"/>
              <w:bottom w:val="single" w:sz="8" w:space="0" w:color="7F7F7F"/>
              <w:right w:val="single" w:sz="8" w:space="0" w:color="808080"/>
            </w:tcBorders>
            <w:shd w:val="clear" w:color="auto" w:fill="auto"/>
            <w:noWrap/>
            <w:vAlign w:val="center"/>
            <w:hideMark/>
          </w:tcPr>
          <w:p w14:paraId="165E1EDB"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£692,000</w:t>
            </w:r>
          </w:p>
        </w:tc>
      </w:tr>
      <w:tr w:rsidR="00F93387" w:rsidRPr="00F93387" w14:paraId="506CD69B" w14:textId="77777777" w:rsidTr="00F93387">
        <w:trPr>
          <w:trHeight w:val="315"/>
        </w:trPr>
        <w:tc>
          <w:tcPr>
            <w:tcW w:w="5954" w:type="dxa"/>
            <w:tcBorders>
              <w:top w:val="nil"/>
              <w:left w:val="single" w:sz="8" w:space="0" w:color="808080"/>
              <w:bottom w:val="single" w:sz="8" w:space="0" w:color="7F7F7F"/>
              <w:right w:val="nil"/>
            </w:tcBorders>
            <w:shd w:val="clear" w:color="auto" w:fill="auto"/>
            <w:noWrap/>
            <w:vAlign w:val="center"/>
            <w:hideMark/>
          </w:tcPr>
          <w:p w14:paraId="2B8BFC7E" w14:textId="77777777" w:rsidR="00F93387" w:rsidRPr="00F93387" w:rsidRDefault="00F93387" w:rsidP="00F93387">
            <w:pPr>
              <w:rPr>
                <w:rFonts w:cs="Arial"/>
                <w:color w:val="000000"/>
                <w:sz w:val="22"/>
                <w:szCs w:val="22"/>
                <w:lang w:eastAsia="en-GB"/>
              </w:rPr>
            </w:pPr>
            <w:r w:rsidRPr="00F93387">
              <w:rPr>
                <w:rFonts w:cs="Arial"/>
                <w:color w:val="000000"/>
                <w:sz w:val="22"/>
                <w:szCs w:val="22"/>
                <w:lang w:eastAsia="en-GB"/>
              </w:rPr>
              <w:t>Total Cost</w:t>
            </w:r>
          </w:p>
        </w:tc>
        <w:tc>
          <w:tcPr>
            <w:tcW w:w="1417" w:type="dxa"/>
            <w:tcBorders>
              <w:top w:val="nil"/>
              <w:left w:val="nil"/>
              <w:bottom w:val="single" w:sz="8" w:space="0" w:color="7F7F7F"/>
              <w:right w:val="nil"/>
            </w:tcBorders>
            <w:shd w:val="clear" w:color="auto" w:fill="auto"/>
            <w:noWrap/>
            <w:vAlign w:val="center"/>
            <w:hideMark/>
          </w:tcPr>
          <w:p w14:paraId="34624092"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£1,106,000</w:t>
            </w:r>
          </w:p>
        </w:tc>
        <w:tc>
          <w:tcPr>
            <w:tcW w:w="1418" w:type="dxa"/>
            <w:tcBorders>
              <w:top w:val="nil"/>
              <w:left w:val="nil"/>
              <w:bottom w:val="single" w:sz="8" w:space="0" w:color="7F7F7F"/>
              <w:right w:val="nil"/>
            </w:tcBorders>
            <w:shd w:val="clear" w:color="auto" w:fill="auto"/>
            <w:noWrap/>
            <w:vAlign w:val="center"/>
            <w:hideMark/>
          </w:tcPr>
          <w:p w14:paraId="3853EFDD"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£1,608,000</w:t>
            </w:r>
          </w:p>
        </w:tc>
        <w:tc>
          <w:tcPr>
            <w:tcW w:w="1276" w:type="dxa"/>
            <w:tcBorders>
              <w:top w:val="nil"/>
              <w:left w:val="nil"/>
              <w:bottom w:val="single" w:sz="8" w:space="0" w:color="7F7F7F"/>
              <w:right w:val="single" w:sz="8" w:space="0" w:color="808080"/>
            </w:tcBorders>
            <w:shd w:val="clear" w:color="auto" w:fill="auto"/>
            <w:noWrap/>
            <w:vAlign w:val="center"/>
            <w:hideMark/>
          </w:tcPr>
          <w:p w14:paraId="0725CE6D" w14:textId="77777777" w:rsidR="00F93387" w:rsidRPr="00F93387" w:rsidRDefault="00F93387" w:rsidP="00F93387">
            <w:pPr>
              <w:jc w:val="right"/>
              <w:rPr>
                <w:rFonts w:cs="Arial"/>
                <w:color w:val="000000"/>
                <w:sz w:val="22"/>
                <w:szCs w:val="22"/>
                <w:lang w:eastAsia="en-GB"/>
              </w:rPr>
            </w:pPr>
            <w:r w:rsidRPr="00F93387">
              <w:rPr>
                <w:rFonts w:cs="Arial"/>
                <w:color w:val="000000"/>
                <w:sz w:val="22"/>
                <w:szCs w:val="22"/>
                <w:lang w:eastAsia="en-GB"/>
              </w:rPr>
              <w:t>£2,110,000</w:t>
            </w:r>
          </w:p>
        </w:tc>
      </w:tr>
    </w:tbl>
    <w:p w14:paraId="7A71DC2F" w14:textId="77777777" w:rsidR="00B8185D" w:rsidRDefault="00B8185D" w:rsidP="00B8185D">
      <w:pPr>
        <w:pStyle w:val="EBBodyPara"/>
      </w:pPr>
    </w:p>
    <w:p w14:paraId="7D18FC25" w14:textId="77777777" w:rsidR="00B34AE3" w:rsidRDefault="00B70CF0" w:rsidP="00B8185D">
      <w:pPr>
        <w:pStyle w:val="EBBodyPara"/>
      </w:pPr>
      <w:r>
        <w:t>A</w:t>
      </w:r>
      <w:r w:rsidR="00B34AE3">
        <w:t xml:space="preserve"> one-off cost </w:t>
      </w:r>
      <w:r>
        <w:t xml:space="preserve">is </w:t>
      </w:r>
      <w:r w:rsidR="00B34AE3">
        <w:t>incurred in the first year of the regulation</w:t>
      </w:r>
      <w:r>
        <w:t xml:space="preserve"> for purchasing and installation of fire detection equipment</w:t>
      </w:r>
      <w:r w:rsidR="00B34AE3">
        <w:t>. Based on the range of estimates provided to us by suppliers, we have assumed a purchasing and installation cost of £684, £1,512, and £2,340 in the low, central and high scenarios respectively. A fire detection system will need servicing annually, though the servicing costs will vary dependent on the type of system installed and the vessel type</w:t>
      </w:r>
      <w:r>
        <w:t>.</w:t>
      </w:r>
      <w:r w:rsidR="00B34AE3">
        <w:t xml:space="preserve"> Based on retail estimates, we estimat</w:t>
      </w:r>
      <w:r>
        <w:t>e the average cost to be approximately</w:t>
      </w:r>
      <w:r w:rsidR="00B34AE3">
        <w:t xml:space="preserve"> £150</w:t>
      </w:r>
      <w:r>
        <w:t xml:space="preserve"> per vessel per year</w:t>
      </w:r>
      <w:r w:rsidR="00B34AE3">
        <w:t>.</w:t>
      </w:r>
      <w:r>
        <w:t xml:space="preserve"> The equipment is serviced annually, so a cost is estimated from </w:t>
      </w:r>
      <w:r w:rsidR="00710AB2">
        <w:t>2020 onwards.</w:t>
      </w:r>
    </w:p>
    <w:p w14:paraId="428E080F" w14:textId="77777777" w:rsidR="00710AB2" w:rsidRDefault="00710AB2" w:rsidP="00B8185D">
      <w:pPr>
        <w:pStyle w:val="EBBodyPara"/>
      </w:pPr>
      <w:r>
        <w:t>To calculate, for example, the total purchasing and installation cost of additional fire detection equipment in the central scenario, you multiply the number of vessels affected, 606, by the average cost of additional fire detection equipment, £1,512 (606*1,512 = £916</w:t>
      </w:r>
      <w:r w:rsidR="00744F94">
        <w:t>,272). The total servicing cost</w:t>
      </w:r>
      <w:r>
        <w:t xml:space="preserve"> is then the cost of </w:t>
      </w:r>
      <w:r w:rsidR="00672B78">
        <w:t>servicing</w:t>
      </w:r>
      <w:r w:rsidR="00744F94">
        <w:t xml:space="preserve"> per vessel</w:t>
      </w:r>
      <w:r w:rsidR="00672B78">
        <w:t>, £</w:t>
      </w:r>
      <w:r>
        <w:t>150, multiplied by the number of vessels,606 (606*150 = £90,900) in each year thereafter and discounted.</w:t>
      </w:r>
    </w:p>
    <w:p w14:paraId="5DD80196" w14:textId="77777777" w:rsidR="00B8185D" w:rsidRDefault="00B8185D" w:rsidP="00B8185D">
      <w:pPr>
        <w:pStyle w:val="Heading5"/>
        <w:keepNext/>
        <w:ind w:left="1077" w:hanging="1077"/>
      </w:pPr>
      <w:bookmarkStart w:id="32" w:name="_Ref519064406"/>
      <w:r>
        <w:t>Non-monetised costs</w:t>
      </w:r>
      <w:bookmarkEnd w:id="32"/>
    </w:p>
    <w:p w14:paraId="42C1C50A" w14:textId="77777777" w:rsidR="00DB1471" w:rsidRPr="00A127EA" w:rsidRDefault="00DB1471" w:rsidP="00DB1471">
      <w:pPr>
        <w:rPr>
          <w:sz w:val="22"/>
          <w:szCs w:val="22"/>
        </w:rPr>
      </w:pPr>
      <w:r w:rsidRPr="00A127EA">
        <w:rPr>
          <w:sz w:val="22"/>
          <w:szCs w:val="22"/>
        </w:rPr>
        <w:t xml:space="preserve">No non-monetised costs have been identified for fire detection equipment. </w:t>
      </w:r>
    </w:p>
    <w:p w14:paraId="1EB0D98A" w14:textId="77777777" w:rsidR="00B8185D" w:rsidRDefault="00B8185D" w:rsidP="00B8185D">
      <w:pPr>
        <w:pStyle w:val="Heading5"/>
        <w:keepNext/>
        <w:ind w:left="1077" w:hanging="1077"/>
        <w:rPr>
          <w:lang w:eastAsia="en-GB"/>
        </w:rPr>
      </w:pPr>
      <w:bookmarkStart w:id="33" w:name="_Ref519064633"/>
      <w:r>
        <w:rPr>
          <w:lang w:eastAsia="en-GB"/>
        </w:rPr>
        <w:t>Non-monetised benefits</w:t>
      </w:r>
      <w:bookmarkEnd w:id="33"/>
    </w:p>
    <w:p w14:paraId="019652DC" w14:textId="77777777" w:rsidR="00B8185D" w:rsidRDefault="00FB2075" w:rsidP="00B8185D">
      <w:pPr>
        <w:pStyle w:val="EBBodyPara"/>
      </w:pPr>
      <w:r w:rsidRPr="00FB2075">
        <w:t xml:space="preserve">Early fire detection is essential to prevent a fire spreading and allow rapid fire fighting and/or an orderly abandonment of the vessel. </w:t>
      </w:r>
      <w:r w:rsidR="00B8185D">
        <w:t xml:space="preserve">Accident statistics compiled in 2007 during the development of The Inland Waters Passenger Ship </w:t>
      </w:r>
      <w:r w:rsidR="00204CCE">
        <w:t>Code showed</w:t>
      </w:r>
      <w:r w:rsidR="00B8185D">
        <w:t xml:space="preserve"> that approximately 14% of accidents to Class IV and V passenger vessels </w:t>
      </w:r>
      <w:r w:rsidR="00204CCE">
        <w:t xml:space="preserve">were due to fire or explosion. </w:t>
      </w:r>
      <w:r w:rsidR="00B8185D">
        <w:t>Fire detection and fixed firefighting systems have contributed to the effective resolution of fires on board vessels in several incidents.</w:t>
      </w:r>
      <w:r w:rsidR="00B8185D">
        <w:rPr>
          <w:vertAlign w:val="superscript"/>
        </w:rPr>
        <w:footnoteReference w:id="10"/>
      </w:r>
      <w:r w:rsidR="00B8185D">
        <w:rPr>
          <w:vertAlign w:val="superscript"/>
        </w:rPr>
        <w:t>,</w:t>
      </w:r>
      <w:r w:rsidR="00B8185D">
        <w:rPr>
          <w:vertAlign w:val="superscript"/>
        </w:rPr>
        <w:footnoteReference w:id="11"/>
      </w:r>
      <w:r w:rsidR="00B8185D">
        <w:rPr>
          <w:vertAlign w:val="superscript"/>
        </w:rPr>
        <w:t>,</w:t>
      </w:r>
      <w:r w:rsidR="00B8185D">
        <w:rPr>
          <w:vertAlign w:val="superscript"/>
        </w:rPr>
        <w:footnoteReference w:id="12"/>
      </w:r>
      <w:r w:rsidR="00B8185D">
        <w:t xml:space="preserve"> </w:t>
      </w:r>
      <w:r>
        <w:t>This has not been monetised due to incomplete data.</w:t>
      </w:r>
    </w:p>
    <w:p w14:paraId="7EF57F96" w14:textId="77777777" w:rsidR="00B8185D" w:rsidRPr="00E7214E" w:rsidRDefault="00B8185D" w:rsidP="00B8185D">
      <w:pPr>
        <w:pStyle w:val="Heading4"/>
        <w:keepNext/>
        <w:spacing w:line="256" w:lineRule="auto"/>
        <w:ind w:left="902" w:hanging="902"/>
      </w:pPr>
      <w:bookmarkStart w:id="34" w:name="_Ref491846385"/>
      <w:r w:rsidRPr="00F37425">
        <w:rPr>
          <w:bCs w:val="0"/>
        </w:rPr>
        <w:t>Fire protection – Fixed firefighting</w:t>
      </w:r>
      <w:bookmarkEnd w:id="34"/>
    </w:p>
    <w:p w14:paraId="2B2C8A24" w14:textId="77777777" w:rsidR="00B8185D" w:rsidRDefault="00B8185D" w:rsidP="00B8185D">
      <w:pPr>
        <w:pStyle w:val="EBBodyPara"/>
      </w:pPr>
      <w:r>
        <w:t>On some small vessels, t</w:t>
      </w:r>
      <w:r w:rsidR="00B87B01">
        <w:t>he current requirements do not mandate</w:t>
      </w:r>
      <w:r>
        <w:t xml:space="preserve"> fixed firefighting within main machinery spaces. Fixed firefighting systems are a proven effective method of fighting fires within machinery spaces and are required widely throughout modern standards. </w:t>
      </w:r>
    </w:p>
    <w:p w14:paraId="66BC54A0" w14:textId="77777777" w:rsidR="00B8185D" w:rsidRDefault="00B8185D" w:rsidP="00B8185D">
      <w:pPr>
        <w:pStyle w:val="EBBodyPara"/>
      </w:pPr>
      <w:r>
        <w:lastRenderedPageBreak/>
        <w:t xml:space="preserve">It is proposed to require a fixed firefighting system in all enclosed machinery spaces on all vessels of Class III-VI(A). On smaller vessels with boxed engines, where the installation of fixed firefighting is impracticable, equivalent arrangements </w:t>
      </w:r>
      <w:r w:rsidR="00FA249D">
        <w:t>will</w:t>
      </w:r>
      <w:r>
        <w:t xml:space="preserve"> be considered, providing opening of the machinery space is not required to fight the fire. </w:t>
      </w:r>
    </w:p>
    <w:p w14:paraId="62077E40" w14:textId="77777777" w:rsidR="00B8185D" w:rsidRDefault="00B8185D" w:rsidP="00B8185D">
      <w:pPr>
        <w:pStyle w:val="Heading5"/>
        <w:keepNext/>
        <w:ind w:left="1077" w:hanging="1077"/>
        <w:rPr>
          <w:lang w:eastAsia="en-GB"/>
        </w:rPr>
      </w:pPr>
      <w:bookmarkStart w:id="35" w:name="_Ref518990586"/>
      <w:r>
        <w:rPr>
          <w:lang w:eastAsia="en-GB"/>
        </w:rPr>
        <w:t>Monetised costs</w:t>
      </w:r>
      <w:bookmarkEnd w:id="35"/>
    </w:p>
    <w:p w14:paraId="54834E51" w14:textId="77777777" w:rsidR="00B8185D" w:rsidRDefault="00B8185D" w:rsidP="00B8185D">
      <w:pPr>
        <w:pStyle w:val="EBBodyPara"/>
      </w:pPr>
      <w:r>
        <w:t>Based on the range of estimates provided to us by suppliers, we have assumed the following range of costs for purchasing and installing fixed firefighting systems:</w:t>
      </w:r>
    </w:p>
    <w:tbl>
      <w:tblPr>
        <w:tblStyle w:val="PlainTable2"/>
        <w:tblW w:w="8364" w:type="dxa"/>
        <w:jc w:val="center"/>
        <w:tblLook w:val="04A0" w:firstRow="1" w:lastRow="0" w:firstColumn="1" w:lastColumn="0" w:noHBand="0" w:noVBand="1"/>
      </w:tblPr>
      <w:tblGrid>
        <w:gridCol w:w="3882"/>
        <w:gridCol w:w="1505"/>
        <w:gridCol w:w="1418"/>
        <w:gridCol w:w="1559"/>
      </w:tblGrid>
      <w:tr w:rsidR="007C26C9" w14:paraId="26F4030A" w14:textId="77777777" w:rsidTr="00E6566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8364" w:type="dxa"/>
            <w:gridSpan w:val="4"/>
            <w:tcBorders>
              <w:top w:val="nil"/>
              <w:left w:val="nil"/>
              <w:right w:val="nil"/>
            </w:tcBorders>
            <w:noWrap/>
          </w:tcPr>
          <w:p w14:paraId="4C6056F0" w14:textId="77777777" w:rsidR="007C26C9" w:rsidRPr="007C26C9" w:rsidRDefault="00940A7B" w:rsidP="007C26C9">
            <w:pPr>
              <w:pStyle w:val="EBBodyPara"/>
              <w:spacing w:before="40" w:after="40"/>
              <w:rPr>
                <w:b w:val="0"/>
                <w:bCs/>
                <w:i/>
              </w:rPr>
            </w:pPr>
            <w:r w:rsidRPr="00E65663">
              <w:rPr>
                <w:b w:val="0"/>
                <w:bCs/>
                <w:i/>
              </w:rPr>
              <w:t>Table 13</w:t>
            </w:r>
            <w:r w:rsidR="007C26C9" w:rsidRPr="007C26C9">
              <w:rPr>
                <w:b w:val="0"/>
                <w:bCs/>
                <w:i/>
              </w:rPr>
              <w:t>: The cost per vessel of purchasing and installing fixed firefighting systems</w:t>
            </w:r>
          </w:p>
        </w:tc>
      </w:tr>
      <w:tr w:rsidR="00B8185D" w14:paraId="54759B58" w14:textId="77777777" w:rsidTr="00E6566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882" w:type="dxa"/>
            <w:tcBorders>
              <w:left w:val="nil"/>
              <w:right w:val="nil"/>
            </w:tcBorders>
            <w:noWrap/>
            <w:hideMark/>
          </w:tcPr>
          <w:p w14:paraId="7A2565E7" w14:textId="77777777" w:rsidR="00B8185D" w:rsidRDefault="00B8185D">
            <w:pPr>
              <w:pStyle w:val="EBBodyPara"/>
              <w:spacing w:before="40" w:after="40"/>
              <w:rPr>
                <w:bCs/>
              </w:rPr>
            </w:pPr>
            <w:r>
              <w:rPr>
                <w:bCs/>
              </w:rPr>
              <w:t xml:space="preserve">Cost </w:t>
            </w:r>
          </w:p>
        </w:tc>
        <w:tc>
          <w:tcPr>
            <w:tcW w:w="1505" w:type="dxa"/>
            <w:tcBorders>
              <w:left w:val="nil"/>
              <w:right w:val="nil"/>
            </w:tcBorders>
            <w:noWrap/>
            <w:hideMark/>
          </w:tcPr>
          <w:p w14:paraId="07C355DE" w14:textId="77777777" w:rsidR="00B8185D" w:rsidRPr="007C26C9" w:rsidRDefault="00B8185D">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
                <w:bCs w:val="0"/>
              </w:rPr>
            </w:pPr>
            <w:r w:rsidRPr="007C26C9">
              <w:rPr>
                <w:b/>
                <w:bCs w:val="0"/>
              </w:rPr>
              <w:t>Low</w:t>
            </w:r>
          </w:p>
        </w:tc>
        <w:tc>
          <w:tcPr>
            <w:tcW w:w="1418" w:type="dxa"/>
            <w:tcBorders>
              <w:left w:val="nil"/>
              <w:right w:val="nil"/>
            </w:tcBorders>
            <w:noWrap/>
            <w:hideMark/>
          </w:tcPr>
          <w:p w14:paraId="6BC1DE5E" w14:textId="77777777" w:rsidR="00B8185D" w:rsidRPr="007C26C9" w:rsidRDefault="00B8185D">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
                <w:bCs w:val="0"/>
              </w:rPr>
            </w:pPr>
            <w:r w:rsidRPr="007C26C9">
              <w:rPr>
                <w:b/>
                <w:bCs w:val="0"/>
              </w:rPr>
              <w:t>Central</w:t>
            </w:r>
          </w:p>
        </w:tc>
        <w:tc>
          <w:tcPr>
            <w:tcW w:w="1559" w:type="dxa"/>
            <w:tcBorders>
              <w:left w:val="nil"/>
              <w:right w:val="nil"/>
            </w:tcBorders>
            <w:noWrap/>
            <w:hideMark/>
          </w:tcPr>
          <w:p w14:paraId="077CA93F" w14:textId="77777777" w:rsidR="00B8185D" w:rsidRPr="007C26C9" w:rsidRDefault="00B8185D">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
                <w:bCs w:val="0"/>
              </w:rPr>
            </w:pPr>
            <w:r w:rsidRPr="007C26C9">
              <w:rPr>
                <w:b/>
                <w:bCs w:val="0"/>
              </w:rPr>
              <w:t>High</w:t>
            </w:r>
          </w:p>
        </w:tc>
      </w:tr>
      <w:tr w:rsidR="00B8185D" w14:paraId="392125B9" w14:textId="77777777" w:rsidTr="00E65663">
        <w:trPr>
          <w:trHeight w:val="300"/>
          <w:jc w:val="center"/>
        </w:trPr>
        <w:tc>
          <w:tcPr>
            <w:cnfStyle w:val="001000000000" w:firstRow="0" w:lastRow="0" w:firstColumn="1" w:lastColumn="0" w:oddVBand="0" w:evenVBand="0" w:oddHBand="0" w:evenHBand="0" w:firstRowFirstColumn="0" w:firstRowLastColumn="0" w:lastRowFirstColumn="0" w:lastRowLastColumn="0"/>
            <w:tcW w:w="3882" w:type="dxa"/>
            <w:tcBorders>
              <w:left w:val="nil"/>
              <w:right w:val="nil"/>
            </w:tcBorders>
            <w:noWrap/>
            <w:hideMark/>
          </w:tcPr>
          <w:p w14:paraId="3ED5676B" w14:textId="77777777" w:rsidR="00B8185D" w:rsidRPr="007C26C9" w:rsidRDefault="00B8185D">
            <w:pPr>
              <w:pStyle w:val="EBBodyPara"/>
              <w:spacing w:before="40" w:after="40"/>
              <w:rPr>
                <w:b w:val="0"/>
                <w:bCs/>
              </w:rPr>
            </w:pPr>
            <w:r w:rsidRPr="007C26C9">
              <w:rPr>
                <w:b w:val="0"/>
                <w:bCs/>
              </w:rPr>
              <w:t>Fixed firefighting</w:t>
            </w:r>
          </w:p>
        </w:tc>
        <w:tc>
          <w:tcPr>
            <w:tcW w:w="1505" w:type="dxa"/>
            <w:tcBorders>
              <w:left w:val="nil"/>
              <w:right w:val="nil"/>
            </w:tcBorders>
            <w:noWrap/>
            <w:hideMark/>
          </w:tcPr>
          <w:p w14:paraId="1BED55A8" w14:textId="77777777" w:rsidR="00B8185D" w:rsidRDefault="00B8185D">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£426</w:t>
            </w:r>
          </w:p>
        </w:tc>
        <w:tc>
          <w:tcPr>
            <w:tcW w:w="1418" w:type="dxa"/>
            <w:tcBorders>
              <w:left w:val="nil"/>
              <w:right w:val="nil"/>
            </w:tcBorders>
            <w:noWrap/>
            <w:hideMark/>
          </w:tcPr>
          <w:p w14:paraId="7AFBC314" w14:textId="77777777" w:rsidR="00B8185D" w:rsidRDefault="00B8185D">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£2,072</w:t>
            </w:r>
          </w:p>
        </w:tc>
        <w:tc>
          <w:tcPr>
            <w:tcW w:w="1559" w:type="dxa"/>
            <w:tcBorders>
              <w:left w:val="nil"/>
              <w:right w:val="nil"/>
            </w:tcBorders>
            <w:noWrap/>
            <w:hideMark/>
          </w:tcPr>
          <w:p w14:paraId="2777C72F" w14:textId="77777777" w:rsidR="00B8185D" w:rsidRDefault="00B8185D">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£3,840</w:t>
            </w:r>
          </w:p>
        </w:tc>
      </w:tr>
    </w:tbl>
    <w:p w14:paraId="47B10745" w14:textId="77777777" w:rsidR="00B8185D" w:rsidRDefault="00B8185D" w:rsidP="00B8185D">
      <w:pPr>
        <w:pStyle w:val="EBBodyPara"/>
      </w:pPr>
    </w:p>
    <w:p w14:paraId="6D70AC78" w14:textId="77777777" w:rsidR="00B8185D" w:rsidRDefault="00B8185D" w:rsidP="00F92232">
      <w:pPr>
        <w:pStyle w:val="EBBodyPara"/>
        <w:jc w:val="both"/>
      </w:pPr>
      <w:r>
        <w:t>We also assume that no vessels, under 21.34m, are currently compliant with the requirement (as there is no current requirement for these vessels), though this may be a conservative assumption. Therefore, 211 vessels will be affected by the regulations, as outlined below:</w:t>
      </w:r>
    </w:p>
    <w:tbl>
      <w:tblPr>
        <w:tblW w:w="10011" w:type="dxa"/>
        <w:jc w:val="center"/>
        <w:tblLook w:val="04A0" w:firstRow="1" w:lastRow="0" w:firstColumn="1" w:lastColumn="0" w:noHBand="0" w:noVBand="1"/>
      </w:tblPr>
      <w:tblGrid>
        <w:gridCol w:w="4416"/>
        <w:gridCol w:w="1871"/>
        <w:gridCol w:w="1131"/>
        <w:gridCol w:w="1289"/>
        <w:gridCol w:w="1304"/>
      </w:tblGrid>
      <w:tr w:rsidR="00AA7F12" w:rsidRPr="00AA7F12" w14:paraId="7B81288D" w14:textId="77777777" w:rsidTr="00AA7F12">
        <w:trPr>
          <w:trHeight w:val="315"/>
          <w:jc w:val="center"/>
        </w:trPr>
        <w:tc>
          <w:tcPr>
            <w:tcW w:w="10011" w:type="dxa"/>
            <w:gridSpan w:val="5"/>
            <w:tcBorders>
              <w:top w:val="nil"/>
              <w:left w:val="nil"/>
              <w:bottom w:val="single" w:sz="8" w:space="0" w:color="808080"/>
              <w:right w:val="nil"/>
            </w:tcBorders>
            <w:shd w:val="clear" w:color="auto" w:fill="auto"/>
            <w:noWrap/>
            <w:vAlign w:val="bottom"/>
            <w:hideMark/>
          </w:tcPr>
          <w:p w14:paraId="16955F99" w14:textId="77777777" w:rsidR="00AA7F12" w:rsidRPr="00AA7F12" w:rsidRDefault="00940A7B" w:rsidP="00AA7F12">
            <w:pPr>
              <w:rPr>
                <w:rFonts w:ascii="Calibri" w:hAnsi="Calibri"/>
                <w:i/>
                <w:iCs/>
                <w:color w:val="000000"/>
                <w:sz w:val="22"/>
                <w:szCs w:val="22"/>
                <w:lang w:eastAsia="en-GB"/>
              </w:rPr>
            </w:pPr>
            <w:r w:rsidRPr="00E65663">
              <w:rPr>
                <w:rFonts w:ascii="Calibri" w:hAnsi="Calibri"/>
                <w:i/>
                <w:iCs/>
                <w:color w:val="000000"/>
                <w:sz w:val="22"/>
                <w:szCs w:val="22"/>
                <w:lang w:eastAsia="en-GB"/>
              </w:rPr>
              <w:t>Table 14</w:t>
            </w:r>
            <w:r w:rsidR="00AA7F12" w:rsidRPr="00E65663">
              <w:rPr>
                <w:rFonts w:ascii="Calibri" w:hAnsi="Calibri"/>
                <w:i/>
                <w:iCs/>
                <w:color w:val="000000"/>
                <w:sz w:val="22"/>
                <w:szCs w:val="22"/>
                <w:lang w:eastAsia="en-GB"/>
              </w:rPr>
              <w:t>:</w:t>
            </w:r>
            <w:r w:rsidR="00AA7F12" w:rsidRPr="00AA7F12">
              <w:rPr>
                <w:rFonts w:ascii="Calibri" w:hAnsi="Calibri"/>
                <w:i/>
                <w:iCs/>
                <w:color w:val="000000"/>
                <w:sz w:val="22"/>
                <w:szCs w:val="22"/>
                <w:lang w:eastAsia="en-GB"/>
              </w:rPr>
              <w:t xml:space="preserve"> The total cost by vessel type affected of purchasing and installing fixed firefighting systems</w:t>
            </w:r>
          </w:p>
        </w:tc>
      </w:tr>
      <w:tr w:rsidR="00AA7F12" w:rsidRPr="00AA7F12" w14:paraId="3EA575B7" w14:textId="77777777" w:rsidTr="00AA7F12">
        <w:trPr>
          <w:trHeight w:val="315"/>
          <w:jc w:val="center"/>
        </w:trPr>
        <w:tc>
          <w:tcPr>
            <w:tcW w:w="4416" w:type="dxa"/>
            <w:tcBorders>
              <w:top w:val="nil"/>
              <w:left w:val="single" w:sz="8" w:space="0" w:color="808080"/>
              <w:bottom w:val="single" w:sz="8" w:space="0" w:color="808080"/>
              <w:right w:val="nil"/>
            </w:tcBorders>
            <w:shd w:val="clear" w:color="auto" w:fill="auto"/>
            <w:noWrap/>
            <w:vAlign w:val="bottom"/>
            <w:hideMark/>
          </w:tcPr>
          <w:p w14:paraId="24FD9D5D" w14:textId="77777777" w:rsidR="00AA7F12" w:rsidRPr="00AA7F12" w:rsidRDefault="00AA7F12" w:rsidP="00AA7F12">
            <w:pPr>
              <w:rPr>
                <w:rFonts w:ascii="Calibri" w:hAnsi="Calibri"/>
                <w:b/>
                <w:bCs/>
                <w:color w:val="000000"/>
                <w:sz w:val="22"/>
                <w:szCs w:val="22"/>
                <w:lang w:eastAsia="en-GB"/>
              </w:rPr>
            </w:pPr>
            <w:r w:rsidRPr="00AA7F12">
              <w:rPr>
                <w:rFonts w:ascii="Calibri" w:hAnsi="Calibri"/>
                <w:b/>
                <w:bCs/>
                <w:color w:val="000000"/>
                <w:sz w:val="22"/>
                <w:szCs w:val="22"/>
                <w:lang w:eastAsia="en-GB"/>
              </w:rPr>
              <w:t>Vessel type</w:t>
            </w:r>
          </w:p>
        </w:tc>
        <w:tc>
          <w:tcPr>
            <w:tcW w:w="1871" w:type="dxa"/>
            <w:tcBorders>
              <w:top w:val="nil"/>
              <w:left w:val="single" w:sz="8" w:space="0" w:color="808080"/>
              <w:bottom w:val="single" w:sz="8" w:space="0" w:color="808080"/>
              <w:right w:val="nil"/>
            </w:tcBorders>
            <w:shd w:val="clear" w:color="auto" w:fill="auto"/>
            <w:noWrap/>
            <w:vAlign w:val="bottom"/>
            <w:hideMark/>
          </w:tcPr>
          <w:p w14:paraId="308AC13E" w14:textId="77777777" w:rsidR="00AA7F12" w:rsidRPr="00AA7F12" w:rsidRDefault="00AA7F12" w:rsidP="00AA7F12">
            <w:pPr>
              <w:jc w:val="right"/>
              <w:rPr>
                <w:rFonts w:ascii="Calibri" w:hAnsi="Calibri"/>
                <w:b/>
                <w:bCs/>
                <w:color w:val="000000"/>
                <w:sz w:val="22"/>
                <w:szCs w:val="22"/>
                <w:lang w:eastAsia="en-GB"/>
              </w:rPr>
            </w:pPr>
            <w:r w:rsidRPr="00AA7F12">
              <w:rPr>
                <w:rFonts w:ascii="Calibri" w:hAnsi="Calibri"/>
                <w:b/>
                <w:bCs/>
                <w:color w:val="000000"/>
                <w:sz w:val="22"/>
                <w:szCs w:val="22"/>
                <w:lang w:eastAsia="en-GB"/>
              </w:rPr>
              <w:t>No of vessels</w:t>
            </w:r>
          </w:p>
        </w:tc>
        <w:tc>
          <w:tcPr>
            <w:tcW w:w="1131" w:type="dxa"/>
            <w:tcBorders>
              <w:top w:val="nil"/>
              <w:left w:val="single" w:sz="8" w:space="0" w:color="808080"/>
              <w:bottom w:val="single" w:sz="8" w:space="0" w:color="808080"/>
              <w:right w:val="nil"/>
            </w:tcBorders>
            <w:shd w:val="clear" w:color="auto" w:fill="auto"/>
            <w:noWrap/>
            <w:vAlign w:val="bottom"/>
            <w:hideMark/>
          </w:tcPr>
          <w:p w14:paraId="562433CD" w14:textId="77777777" w:rsidR="00AA7F12" w:rsidRPr="00AA7F12" w:rsidRDefault="00AA7F12" w:rsidP="00AA7F12">
            <w:pPr>
              <w:jc w:val="right"/>
              <w:rPr>
                <w:rFonts w:ascii="Calibri" w:hAnsi="Calibri"/>
                <w:b/>
                <w:bCs/>
                <w:color w:val="000000"/>
                <w:sz w:val="22"/>
                <w:szCs w:val="22"/>
                <w:lang w:eastAsia="en-GB"/>
              </w:rPr>
            </w:pPr>
            <w:r w:rsidRPr="00AA7F12">
              <w:rPr>
                <w:rFonts w:ascii="Calibri" w:hAnsi="Calibri"/>
                <w:b/>
                <w:bCs/>
                <w:color w:val="000000"/>
                <w:sz w:val="22"/>
                <w:szCs w:val="22"/>
                <w:lang w:eastAsia="en-GB"/>
              </w:rPr>
              <w:t>Low</w:t>
            </w:r>
          </w:p>
        </w:tc>
        <w:tc>
          <w:tcPr>
            <w:tcW w:w="1289" w:type="dxa"/>
            <w:tcBorders>
              <w:top w:val="nil"/>
              <w:left w:val="nil"/>
              <w:bottom w:val="single" w:sz="8" w:space="0" w:color="808080"/>
              <w:right w:val="nil"/>
            </w:tcBorders>
            <w:shd w:val="clear" w:color="auto" w:fill="auto"/>
            <w:noWrap/>
            <w:vAlign w:val="bottom"/>
            <w:hideMark/>
          </w:tcPr>
          <w:p w14:paraId="45E415DD" w14:textId="77777777" w:rsidR="00AA7F12" w:rsidRPr="00AA7F12" w:rsidRDefault="00AA7F12" w:rsidP="00AA7F12">
            <w:pPr>
              <w:jc w:val="right"/>
              <w:rPr>
                <w:rFonts w:ascii="Calibri" w:hAnsi="Calibri"/>
                <w:b/>
                <w:bCs/>
                <w:color w:val="000000"/>
                <w:sz w:val="22"/>
                <w:szCs w:val="22"/>
                <w:lang w:eastAsia="en-GB"/>
              </w:rPr>
            </w:pPr>
            <w:r w:rsidRPr="00AA7F12">
              <w:rPr>
                <w:rFonts w:ascii="Calibri" w:hAnsi="Calibri"/>
                <w:b/>
                <w:bCs/>
                <w:color w:val="000000"/>
                <w:sz w:val="22"/>
                <w:szCs w:val="22"/>
                <w:lang w:eastAsia="en-GB"/>
              </w:rPr>
              <w:t>Central</w:t>
            </w:r>
          </w:p>
        </w:tc>
        <w:tc>
          <w:tcPr>
            <w:tcW w:w="1304" w:type="dxa"/>
            <w:tcBorders>
              <w:top w:val="nil"/>
              <w:left w:val="nil"/>
              <w:bottom w:val="single" w:sz="8" w:space="0" w:color="808080"/>
              <w:right w:val="single" w:sz="8" w:space="0" w:color="808080"/>
            </w:tcBorders>
            <w:shd w:val="clear" w:color="auto" w:fill="auto"/>
            <w:noWrap/>
            <w:vAlign w:val="bottom"/>
            <w:hideMark/>
          </w:tcPr>
          <w:p w14:paraId="5A27A9AF" w14:textId="77777777" w:rsidR="00AA7F12" w:rsidRPr="00AA7F12" w:rsidRDefault="00AA7F12" w:rsidP="00AA7F12">
            <w:pPr>
              <w:jc w:val="right"/>
              <w:rPr>
                <w:rFonts w:ascii="Calibri" w:hAnsi="Calibri"/>
                <w:b/>
                <w:bCs/>
                <w:color w:val="000000"/>
                <w:sz w:val="22"/>
                <w:szCs w:val="22"/>
                <w:lang w:eastAsia="en-GB"/>
              </w:rPr>
            </w:pPr>
            <w:r w:rsidRPr="00AA7F12">
              <w:rPr>
                <w:rFonts w:ascii="Calibri" w:hAnsi="Calibri"/>
                <w:b/>
                <w:bCs/>
                <w:color w:val="000000"/>
                <w:sz w:val="22"/>
                <w:szCs w:val="22"/>
                <w:lang w:eastAsia="en-GB"/>
              </w:rPr>
              <w:t>High</w:t>
            </w:r>
          </w:p>
        </w:tc>
      </w:tr>
      <w:tr w:rsidR="00AA7F12" w:rsidRPr="00AA7F12" w14:paraId="7745353D" w14:textId="77777777" w:rsidTr="00AA7F12">
        <w:trPr>
          <w:trHeight w:val="300"/>
          <w:jc w:val="center"/>
        </w:trPr>
        <w:tc>
          <w:tcPr>
            <w:tcW w:w="4416" w:type="dxa"/>
            <w:tcBorders>
              <w:top w:val="nil"/>
              <w:left w:val="single" w:sz="8" w:space="0" w:color="808080"/>
              <w:bottom w:val="nil"/>
              <w:right w:val="nil"/>
            </w:tcBorders>
            <w:shd w:val="clear" w:color="auto" w:fill="auto"/>
            <w:noWrap/>
            <w:vAlign w:val="bottom"/>
            <w:hideMark/>
          </w:tcPr>
          <w:p w14:paraId="6CA1D0D5" w14:textId="77777777" w:rsidR="00AA7F12" w:rsidRPr="00AA7F12" w:rsidRDefault="00DC6235" w:rsidP="00AA7F12">
            <w:pPr>
              <w:rPr>
                <w:rFonts w:ascii="Calibri" w:hAnsi="Calibri"/>
                <w:color w:val="000000"/>
                <w:sz w:val="22"/>
                <w:szCs w:val="22"/>
                <w:lang w:eastAsia="en-GB"/>
              </w:rPr>
            </w:pPr>
            <w:r>
              <w:rPr>
                <w:rFonts w:ascii="Calibri" w:hAnsi="Calibri"/>
                <w:color w:val="000000"/>
                <w:sz w:val="22"/>
                <w:szCs w:val="22"/>
                <w:lang w:eastAsia="en-GB"/>
              </w:rPr>
              <w:t xml:space="preserve">Class </w:t>
            </w:r>
            <w:r w:rsidR="00AA7F12" w:rsidRPr="00AA7F12">
              <w:rPr>
                <w:rFonts w:ascii="Calibri" w:hAnsi="Calibri"/>
                <w:color w:val="000000"/>
                <w:sz w:val="22"/>
                <w:szCs w:val="22"/>
                <w:lang w:eastAsia="en-GB"/>
              </w:rPr>
              <w:t>V, VI &amp; VI(A) less than 21.34m</w:t>
            </w:r>
          </w:p>
        </w:tc>
        <w:tc>
          <w:tcPr>
            <w:tcW w:w="1871" w:type="dxa"/>
            <w:tcBorders>
              <w:top w:val="nil"/>
              <w:left w:val="single" w:sz="8" w:space="0" w:color="808080"/>
              <w:bottom w:val="nil"/>
              <w:right w:val="nil"/>
            </w:tcBorders>
            <w:shd w:val="clear" w:color="auto" w:fill="auto"/>
            <w:noWrap/>
            <w:vAlign w:val="bottom"/>
            <w:hideMark/>
          </w:tcPr>
          <w:p w14:paraId="16D5760A"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200</w:t>
            </w:r>
          </w:p>
        </w:tc>
        <w:tc>
          <w:tcPr>
            <w:tcW w:w="1131" w:type="dxa"/>
            <w:tcBorders>
              <w:top w:val="nil"/>
              <w:left w:val="single" w:sz="8" w:space="0" w:color="808080"/>
              <w:bottom w:val="nil"/>
              <w:right w:val="nil"/>
            </w:tcBorders>
            <w:shd w:val="clear" w:color="auto" w:fill="auto"/>
            <w:noWrap/>
            <w:vAlign w:val="bottom"/>
            <w:hideMark/>
          </w:tcPr>
          <w:p w14:paraId="161E1E73"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£85,000</w:t>
            </w:r>
          </w:p>
        </w:tc>
        <w:tc>
          <w:tcPr>
            <w:tcW w:w="1289" w:type="dxa"/>
            <w:tcBorders>
              <w:top w:val="nil"/>
              <w:left w:val="nil"/>
              <w:bottom w:val="nil"/>
              <w:right w:val="nil"/>
            </w:tcBorders>
            <w:shd w:val="clear" w:color="auto" w:fill="auto"/>
            <w:noWrap/>
            <w:vAlign w:val="bottom"/>
            <w:hideMark/>
          </w:tcPr>
          <w:p w14:paraId="1C82D9D4"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£414,000</w:t>
            </w:r>
          </w:p>
        </w:tc>
        <w:tc>
          <w:tcPr>
            <w:tcW w:w="1304" w:type="dxa"/>
            <w:tcBorders>
              <w:top w:val="nil"/>
              <w:left w:val="nil"/>
              <w:bottom w:val="nil"/>
              <w:right w:val="single" w:sz="8" w:space="0" w:color="808080"/>
            </w:tcBorders>
            <w:shd w:val="clear" w:color="auto" w:fill="auto"/>
            <w:noWrap/>
            <w:vAlign w:val="bottom"/>
            <w:hideMark/>
          </w:tcPr>
          <w:p w14:paraId="62EB4865"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£768,000</w:t>
            </w:r>
          </w:p>
        </w:tc>
      </w:tr>
      <w:tr w:rsidR="00AA7F12" w:rsidRPr="00AA7F12" w14:paraId="179E5358" w14:textId="77777777" w:rsidTr="00AA7F12">
        <w:trPr>
          <w:trHeight w:val="300"/>
          <w:jc w:val="center"/>
        </w:trPr>
        <w:tc>
          <w:tcPr>
            <w:tcW w:w="4416" w:type="dxa"/>
            <w:tcBorders>
              <w:top w:val="nil"/>
              <w:left w:val="single" w:sz="8" w:space="0" w:color="808080"/>
              <w:bottom w:val="nil"/>
              <w:right w:val="nil"/>
            </w:tcBorders>
            <w:shd w:val="clear" w:color="auto" w:fill="auto"/>
            <w:noWrap/>
            <w:vAlign w:val="bottom"/>
            <w:hideMark/>
          </w:tcPr>
          <w:p w14:paraId="35184A3D" w14:textId="77777777" w:rsidR="00AA7F12" w:rsidRPr="00AA7F12" w:rsidRDefault="00AA7F12" w:rsidP="00AA7F12">
            <w:pPr>
              <w:rPr>
                <w:rFonts w:ascii="Calibri" w:hAnsi="Calibri"/>
                <w:color w:val="000000"/>
                <w:sz w:val="22"/>
                <w:szCs w:val="22"/>
                <w:lang w:eastAsia="en-GB"/>
              </w:rPr>
            </w:pPr>
            <w:r w:rsidRPr="00AA7F12">
              <w:rPr>
                <w:rFonts w:ascii="Calibri" w:hAnsi="Calibri"/>
                <w:color w:val="000000"/>
                <w:sz w:val="22"/>
                <w:szCs w:val="22"/>
                <w:lang w:eastAsia="en-GB"/>
              </w:rPr>
              <w:t>Class IV less than 21.34m</w:t>
            </w:r>
          </w:p>
        </w:tc>
        <w:tc>
          <w:tcPr>
            <w:tcW w:w="1871" w:type="dxa"/>
            <w:tcBorders>
              <w:top w:val="nil"/>
              <w:left w:val="single" w:sz="8" w:space="0" w:color="808080"/>
              <w:bottom w:val="nil"/>
              <w:right w:val="nil"/>
            </w:tcBorders>
            <w:shd w:val="clear" w:color="auto" w:fill="auto"/>
            <w:noWrap/>
            <w:vAlign w:val="bottom"/>
            <w:hideMark/>
          </w:tcPr>
          <w:p w14:paraId="7FE4E158"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10</w:t>
            </w:r>
          </w:p>
        </w:tc>
        <w:tc>
          <w:tcPr>
            <w:tcW w:w="1131" w:type="dxa"/>
            <w:tcBorders>
              <w:top w:val="nil"/>
              <w:left w:val="single" w:sz="8" w:space="0" w:color="808080"/>
              <w:bottom w:val="nil"/>
              <w:right w:val="nil"/>
            </w:tcBorders>
            <w:shd w:val="clear" w:color="auto" w:fill="auto"/>
            <w:noWrap/>
            <w:vAlign w:val="bottom"/>
            <w:hideMark/>
          </w:tcPr>
          <w:p w14:paraId="0AA5EF59"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£4,000</w:t>
            </w:r>
          </w:p>
        </w:tc>
        <w:tc>
          <w:tcPr>
            <w:tcW w:w="1289" w:type="dxa"/>
            <w:tcBorders>
              <w:top w:val="nil"/>
              <w:left w:val="nil"/>
              <w:bottom w:val="nil"/>
              <w:right w:val="nil"/>
            </w:tcBorders>
            <w:shd w:val="clear" w:color="auto" w:fill="auto"/>
            <w:noWrap/>
            <w:vAlign w:val="bottom"/>
            <w:hideMark/>
          </w:tcPr>
          <w:p w14:paraId="1ADBDEE9"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£21,000</w:t>
            </w:r>
          </w:p>
        </w:tc>
        <w:tc>
          <w:tcPr>
            <w:tcW w:w="1304" w:type="dxa"/>
            <w:tcBorders>
              <w:top w:val="nil"/>
              <w:left w:val="nil"/>
              <w:bottom w:val="nil"/>
              <w:right w:val="single" w:sz="8" w:space="0" w:color="808080"/>
            </w:tcBorders>
            <w:shd w:val="clear" w:color="auto" w:fill="auto"/>
            <w:noWrap/>
            <w:vAlign w:val="bottom"/>
            <w:hideMark/>
          </w:tcPr>
          <w:p w14:paraId="00033F41"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£38,000</w:t>
            </w:r>
          </w:p>
        </w:tc>
      </w:tr>
      <w:tr w:rsidR="00AA7F12" w:rsidRPr="00AA7F12" w14:paraId="1AA93498" w14:textId="77777777" w:rsidTr="00AA7F12">
        <w:trPr>
          <w:trHeight w:val="315"/>
          <w:jc w:val="center"/>
        </w:trPr>
        <w:tc>
          <w:tcPr>
            <w:tcW w:w="4416" w:type="dxa"/>
            <w:tcBorders>
              <w:top w:val="nil"/>
              <w:left w:val="single" w:sz="8" w:space="0" w:color="808080"/>
              <w:bottom w:val="nil"/>
              <w:right w:val="nil"/>
            </w:tcBorders>
            <w:shd w:val="clear" w:color="auto" w:fill="auto"/>
            <w:noWrap/>
            <w:vAlign w:val="bottom"/>
            <w:hideMark/>
          </w:tcPr>
          <w:p w14:paraId="2FF00953" w14:textId="77777777" w:rsidR="00AA7F12" w:rsidRPr="00AA7F12" w:rsidRDefault="00AA7F12" w:rsidP="00AA7F12">
            <w:pPr>
              <w:rPr>
                <w:rFonts w:ascii="Calibri" w:hAnsi="Calibri"/>
                <w:color w:val="000000"/>
                <w:sz w:val="22"/>
                <w:szCs w:val="22"/>
                <w:lang w:eastAsia="en-GB"/>
              </w:rPr>
            </w:pPr>
            <w:r w:rsidRPr="00AA7F12">
              <w:rPr>
                <w:rFonts w:ascii="Calibri" w:hAnsi="Calibri"/>
                <w:color w:val="000000"/>
                <w:sz w:val="22"/>
                <w:szCs w:val="22"/>
                <w:lang w:eastAsia="en-GB"/>
              </w:rPr>
              <w:t xml:space="preserve">Seagoing EU C&amp;D </w:t>
            </w:r>
            <w:r w:rsidR="00F84BBE" w:rsidRPr="00AA7F12">
              <w:rPr>
                <w:rFonts w:ascii="Calibri" w:hAnsi="Calibri"/>
                <w:color w:val="000000"/>
                <w:sz w:val="22"/>
                <w:szCs w:val="22"/>
                <w:lang w:eastAsia="en-GB"/>
              </w:rPr>
              <w:t>Restricted less</w:t>
            </w:r>
            <w:r w:rsidRPr="00AA7F12">
              <w:rPr>
                <w:rFonts w:ascii="Calibri" w:hAnsi="Calibri"/>
                <w:color w:val="000000"/>
                <w:sz w:val="22"/>
                <w:szCs w:val="22"/>
                <w:lang w:eastAsia="en-GB"/>
              </w:rPr>
              <w:t xml:space="preserve"> than 21.34m</w:t>
            </w:r>
          </w:p>
        </w:tc>
        <w:tc>
          <w:tcPr>
            <w:tcW w:w="1871" w:type="dxa"/>
            <w:tcBorders>
              <w:top w:val="nil"/>
              <w:left w:val="single" w:sz="8" w:space="0" w:color="808080"/>
              <w:bottom w:val="nil"/>
              <w:right w:val="nil"/>
            </w:tcBorders>
            <w:shd w:val="clear" w:color="auto" w:fill="auto"/>
            <w:noWrap/>
            <w:vAlign w:val="bottom"/>
            <w:hideMark/>
          </w:tcPr>
          <w:p w14:paraId="26A278DA"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1</w:t>
            </w:r>
          </w:p>
        </w:tc>
        <w:tc>
          <w:tcPr>
            <w:tcW w:w="1131" w:type="dxa"/>
            <w:tcBorders>
              <w:top w:val="nil"/>
              <w:left w:val="single" w:sz="8" w:space="0" w:color="808080"/>
              <w:bottom w:val="nil"/>
              <w:right w:val="nil"/>
            </w:tcBorders>
            <w:shd w:val="clear" w:color="auto" w:fill="auto"/>
            <w:noWrap/>
            <w:vAlign w:val="bottom"/>
            <w:hideMark/>
          </w:tcPr>
          <w:p w14:paraId="42030E29"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£0</w:t>
            </w:r>
          </w:p>
        </w:tc>
        <w:tc>
          <w:tcPr>
            <w:tcW w:w="1289" w:type="dxa"/>
            <w:tcBorders>
              <w:top w:val="nil"/>
              <w:left w:val="nil"/>
              <w:bottom w:val="nil"/>
              <w:right w:val="nil"/>
            </w:tcBorders>
            <w:shd w:val="clear" w:color="auto" w:fill="auto"/>
            <w:noWrap/>
            <w:vAlign w:val="bottom"/>
            <w:hideMark/>
          </w:tcPr>
          <w:p w14:paraId="0A431D9E"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£2,000</w:t>
            </w:r>
          </w:p>
        </w:tc>
        <w:tc>
          <w:tcPr>
            <w:tcW w:w="1304" w:type="dxa"/>
            <w:tcBorders>
              <w:top w:val="nil"/>
              <w:left w:val="nil"/>
              <w:bottom w:val="single" w:sz="8" w:space="0" w:color="808080"/>
              <w:right w:val="single" w:sz="8" w:space="0" w:color="808080"/>
            </w:tcBorders>
            <w:shd w:val="clear" w:color="auto" w:fill="auto"/>
            <w:noWrap/>
            <w:vAlign w:val="bottom"/>
            <w:hideMark/>
          </w:tcPr>
          <w:p w14:paraId="4BD3E29B"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£4,000</w:t>
            </w:r>
          </w:p>
        </w:tc>
      </w:tr>
      <w:tr w:rsidR="00AA7F12" w:rsidRPr="00AA7F12" w14:paraId="5690D71C" w14:textId="77777777" w:rsidTr="00AA7F12">
        <w:trPr>
          <w:trHeight w:val="315"/>
          <w:jc w:val="center"/>
        </w:trPr>
        <w:tc>
          <w:tcPr>
            <w:tcW w:w="4416" w:type="dxa"/>
            <w:tcBorders>
              <w:top w:val="single" w:sz="8" w:space="0" w:color="808080"/>
              <w:left w:val="single" w:sz="8" w:space="0" w:color="808080"/>
              <w:bottom w:val="single" w:sz="8" w:space="0" w:color="808080"/>
              <w:right w:val="nil"/>
            </w:tcBorders>
            <w:shd w:val="clear" w:color="auto" w:fill="auto"/>
            <w:noWrap/>
            <w:vAlign w:val="bottom"/>
            <w:hideMark/>
          </w:tcPr>
          <w:p w14:paraId="68536E5A" w14:textId="77777777" w:rsidR="00AA7F12" w:rsidRPr="00AA7F12" w:rsidRDefault="00AA7F12" w:rsidP="00AA7F12">
            <w:pPr>
              <w:rPr>
                <w:rFonts w:ascii="Calibri" w:hAnsi="Calibri"/>
                <w:color w:val="000000"/>
                <w:sz w:val="22"/>
                <w:szCs w:val="22"/>
                <w:lang w:eastAsia="en-GB"/>
              </w:rPr>
            </w:pPr>
            <w:r w:rsidRPr="00AA7F12">
              <w:rPr>
                <w:rFonts w:ascii="Calibri" w:hAnsi="Calibri"/>
                <w:color w:val="000000"/>
                <w:sz w:val="22"/>
                <w:szCs w:val="22"/>
                <w:lang w:eastAsia="en-GB"/>
              </w:rPr>
              <w:t>Total</w:t>
            </w:r>
          </w:p>
        </w:tc>
        <w:tc>
          <w:tcPr>
            <w:tcW w:w="1871" w:type="dxa"/>
            <w:tcBorders>
              <w:top w:val="single" w:sz="8" w:space="0" w:color="808080"/>
              <w:left w:val="single" w:sz="8" w:space="0" w:color="808080"/>
              <w:bottom w:val="single" w:sz="8" w:space="0" w:color="808080"/>
              <w:right w:val="nil"/>
            </w:tcBorders>
            <w:shd w:val="clear" w:color="auto" w:fill="auto"/>
            <w:noWrap/>
            <w:vAlign w:val="bottom"/>
            <w:hideMark/>
          </w:tcPr>
          <w:p w14:paraId="63BD694E"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211</w:t>
            </w:r>
          </w:p>
        </w:tc>
        <w:tc>
          <w:tcPr>
            <w:tcW w:w="1131" w:type="dxa"/>
            <w:tcBorders>
              <w:top w:val="single" w:sz="8" w:space="0" w:color="808080"/>
              <w:left w:val="single" w:sz="8" w:space="0" w:color="808080"/>
              <w:bottom w:val="single" w:sz="8" w:space="0" w:color="808080"/>
              <w:right w:val="nil"/>
            </w:tcBorders>
            <w:shd w:val="clear" w:color="auto" w:fill="auto"/>
            <w:noWrap/>
            <w:vAlign w:val="bottom"/>
            <w:hideMark/>
          </w:tcPr>
          <w:p w14:paraId="747DC3C7"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£90,000</w:t>
            </w:r>
          </w:p>
        </w:tc>
        <w:tc>
          <w:tcPr>
            <w:tcW w:w="1289" w:type="dxa"/>
            <w:tcBorders>
              <w:top w:val="single" w:sz="8" w:space="0" w:color="808080"/>
              <w:left w:val="nil"/>
              <w:bottom w:val="single" w:sz="8" w:space="0" w:color="808080"/>
              <w:right w:val="nil"/>
            </w:tcBorders>
            <w:shd w:val="clear" w:color="auto" w:fill="auto"/>
            <w:noWrap/>
            <w:vAlign w:val="bottom"/>
            <w:hideMark/>
          </w:tcPr>
          <w:p w14:paraId="17CC9F75"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£437,000</w:t>
            </w:r>
          </w:p>
        </w:tc>
        <w:tc>
          <w:tcPr>
            <w:tcW w:w="1304" w:type="dxa"/>
            <w:tcBorders>
              <w:top w:val="nil"/>
              <w:left w:val="nil"/>
              <w:bottom w:val="single" w:sz="8" w:space="0" w:color="808080"/>
              <w:right w:val="single" w:sz="8" w:space="0" w:color="808080"/>
            </w:tcBorders>
            <w:shd w:val="clear" w:color="auto" w:fill="auto"/>
            <w:noWrap/>
            <w:vAlign w:val="bottom"/>
            <w:hideMark/>
          </w:tcPr>
          <w:p w14:paraId="200E1037" w14:textId="77777777" w:rsidR="00AA7F12" w:rsidRPr="00AA7F12" w:rsidRDefault="00AA7F12" w:rsidP="00AA7F12">
            <w:pPr>
              <w:jc w:val="right"/>
              <w:rPr>
                <w:rFonts w:ascii="Calibri" w:hAnsi="Calibri"/>
                <w:color w:val="000000"/>
                <w:sz w:val="22"/>
                <w:szCs w:val="22"/>
                <w:lang w:eastAsia="en-GB"/>
              </w:rPr>
            </w:pPr>
            <w:r w:rsidRPr="00AA7F12">
              <w:rPr>
                <w:rFonts w:ascii="Calibri" w:hAnsi="Calibri"/>
                <w:color w:val="000000"/>
                <w:sz w:val="22"/>
                <w:szCs w:val="22"/>
                <w:lang w:eastAsia="en-GB"/>
              </w:rPr>
              <w:t>£810,000</w:t>
            </w:r>
          </w:p>
        </w:tc>
      </w:tr>
    </w:tbl>
    <w:p w14:paraId="0D9931CE" w14:textId="77777777" w:rsidR="00B8185D" w:rsidRDefault="00B8185D" w:rsidP="00AA7F12">
      <w:pPr>
        <w:pStyle w:val="EBBodyPara"/>
      </w:pPr>
    </w:p>
    <w:p w14:paraId="49185D23" w14:textId="77777777" w:rsidR="00B8185D" w:rsidRDefault="00B8185D" w:rsidP="00B8185D">
      <w:pPr>
        <w:pStyle w:val="EBBodyPara"/>
      </w:pPr>
      <w:r>
        <w:t>This will be a one-off cost incurred in the first year of the regulation.</w:t>
      </w:r>
      <w:r w:rsidR="0077321E">
        <w:t xml:space="preserve"> To </w:t>
      </w:r>
      <w:r w:rsidR="00050912">
        <w:t>estimate the cost</w:t>
      </w:r>
      <w:r w:rsidR="00DC6235">
        <w:t xml:space="preserve"> in the high scenario</w:t>
      </w:r>
      <w:r w:rsidR="00050912">
        <w:t>, for example</w:t>
      </w:r>
      <w:r w:rsidR="00DC6235">
        <w:t xml:space="preserve">, for </w:t>
      </w:r>
      <w:r w:rsidR="00050912">
        <w:t>Class IV ve</w:t>
      </w:r>
      <w:r w:rsidR="00DC6235">
        <w:t>ssels less than 21.34</w:t>
      </w:r>
      <w:r w:rsidR="00081483">
        <w:t>m</w:t>
      </w:r>
      <w:r w:rsidR="00DC6235">
        <w:t xml:space="preserve"> you do the following: Multiply the cost of purchasing and installation of equipment, £3,840, by the number of ships affected, 10 (3,840*10 = £38,400)</w:t>
      </w:r>
      <w:r w:rsidR="00672B78">
        <w:t>.</w:t>
      </w:r>
      <w:r w:rsidR="00716373">
        <w:t xml:space="preserve"> This is then rounded to the closest £1000.</w:t>
      </w:r>
    </w:p>
    <w:p w14:paraId="46B9F57C" w14:textId="77777777" w:rsidR="00B8185D" w:rsidRDefault="00B8185D" w:rsidP="00B8185D">
      <w:pPr>
        <w:pStyle w:val="Heading5"/>
        <w:keepNext/>
        <w:ind w:left="1077" w:hanging="1077"/>
      </w:pPr>
      <w:bookmarkStart w:id="36" w:name="_Ref519064410"/>
      <w:r>
        <w:t>Non-monetised costs</w:t>
      </w:r>
      <w:bookmarkEnd w:id="36"/>
    </w:p>
    <w:p w14:paraId="670B73DB" w14:textId="77777777" w:rsidR="00B8185D" w:rsidRDefault="00B8185D" w:rsidP="00B8185D">
      <w:pPr>
        <w:pStyle w:val="EBBodyPara"/>
      </w:pPr>
      <w:r>
        <w:t xml:space="preserve">Fixed firefighting systems will </w:t>
      </w:r>
      <w:r w:rsidR="005E6858">
        <w:t xml:space="preserve">need </w:t>
      </w:r>
      <w:r>
        <w:t>to be inspected and serviced periodically. Inspection will be carried out by the ship’s crew and the servicing intervals and costs will vary dependent on the type of system installed and the vessel type. However, we expect the scale of the servicing costs to be lower than the purchasing costs.</w:t>
      </w:r>
    </w:p>
    <w:p w14:paraId="3D688248" w14:textId="77777777" w:rsidR="00B8185D" w:rsidRDefault="00B8185D" w:rsidP="00B8185D">
      <w:pPr>
        <w:pStyle w:val="Heading5"/>
        <w:keepNext/>
        <w:ind w:left="1077" w:hanging="1077"/>
        <w:rPr>
          <w:lang w:eastAsia="en-GB"/>
        </w:rPr>
      </w:pPr>
      <w:bookmarkStart w:id="37" w:name="_Ref519064637"/>
      <w:r>
        <w:rPr>
          <w:lang w:eastAsia="en-GB"/>
        </w:rPr>
        <w:t>Non-monetised benefits</w:t>
      </w:r>
      <w:bookmarkEnd w:id="37"/>
    </w:p>
    <w:p w14:paraId="6D5AE94F" w14:textId="77777777" w:rsidR="00B8185D" w:rsidRDefault="00B8185D" w:rsidP="00B8185D">
      <w:pPr>
        <w:pStyle w:val="EBBodyPara"/>
      </w:pPr>
      <w:r>
        <w:t>Fixed firefighting in the engine room provides an opportunity to fight a fire without entering the space. This provides several safety benefits:</w:t>
      </w:r>
    </w:p>
    <w:p w14:paraId="53B55DC8" w14:textId="77777777" w:rsidR="00B8185D" w:rsidRDefault="00B8185D" w:rsidP="00B8185D">
      <w:pPr>
        <w:pStyle w:val="EBBodyPara"/>
        <w:numPr>
          <w:ilvl w:val="0"/>
          <w:numId w:val="32"/>
        </w:numPr>
        <w:spacing w:line="256" w:lineRule="auto"/>
      </w:pPr>
      <w:r>
        <w:t>Reduced risk associated with entering the space (smoke inhalation, burns, death etc.).</w:t>
      </w:r>
    </w:p>
    <w:p w14:paraId="6FDB92A7" w14:textId="77777777" w:rsidR="00B8185D" w:rsidRDefault="00B8185D" w:rsidP="00B8185D">
      <w:pPr>
        <w:pStyle w:val="EBBodyPara"/>
        <w:numPr>
          <w:ilvl w:val="0"/>
          <w:numId w:val="32"/>
        </w:numPr>
        <w:spacing w:line="256" w:lineRule="auto"/>
      </w:pPr>
      <w:r>
        <w:t xml:space="preserve">Increased speed of response to a fire and subsequent reduced risk of fire spreading. </w:t>
      </w:r>
    </w:p>
    <w:p w14:paraId="5595F811" w14:textId="77777777" w:rsidR="00B8185D" w:rsidRDefault="00B8185D" w:rsidP="00B8185D">
      <w:pPr>
        <w:pStyle w:val="EBBodyPara"/>
        <w:numPr>
          <w:ilvl w:val="0"/>
          <w:numId w:val="32"/>
        </w:numPr>
        <w:spacing w:line="256" w:lineRule="auto"/>
      </w:pPr>
      <w:r>
        <w:t xml:space="preserve">‘Total flooding’ of the space with the firefighting medium (water, gas etc.) which has the ability extinguish all the fire within the space in one ‘shot’. </w:t>
      </w:r>
    </w:p>
    <w:p w14:paraId="755A977D" w14:textId="77777777" w:rsidR="00B8185D" w:rsidRDefault="00B8185D" w:rsidP="00B8185D">
      <w:pPr>
        <w:pStyle w:val="EBBodyPara"/>
      </w:pPr>
      <w:r>
        <w:t xml:space="preserve">Fixed firefighting is widely regarded as the most effective means of fighting engine room fires, as noted by </w:t>
      </w:r>
      <w:r w:rsidR="00BF05F2">
        <w:t>the Marine Accident Investigation Branch (</w:t>
      </w:r>
      <w:r>
        <w:t>MAIB</w:t>
      </w:r>
      <w:r w:rsidR="00BF05F2">
        <w:t>)</w:t>
      </w:r>
      <w:r>
        <w:t xml:space="preserve"> reports</w:t>
      </w:r>
      <w:r>
        <w:rPr>
          <w:vertAlign w:val="superscript"/>
        </w:rPr>
        <w:footnoteReference w:id="13"/>
      </w:r>
      <w:r>
        <w:t xml:space="preserve">. </w:t>
      </w:r>
    </w:p>
    <w:p w14:paraId="2F728528" w14:textId="77777777" w:rsidR="00B8185D" w:rsidRPr="00E7214E" w:rsidRDefault="00B8185D" w:rsidP="00B8185D">
      <w:pPr>
        <w:pStyle w:val="Heading4"/>
        <w:keepNext/>
        <w:spacing w:line="256" w:lineRule="auto"/>
        <w:ind w:left="902" w:hanging="902"/>
      </w:pPr>
      <w:r w:rsidRPr="00F37425">
        <w:rPr>
          <w:bCs w:val="0"/>
        </w:rPr>
        <w:t>Fire protection – Powered pumps</w:t>
      </w:r>
    </w:p>
    <w:p w14:paraId="576B14FD" w14:textId="77777777" w:rsidR="00B8185D" w:rsidRDefault="00B8185D" w:rsidP="00B8185D">
      <w:pPr>
        <w:pStyle w:val="EBBodyPara"/>
        <w:keepNext/>
      </w:pPr>
      <w:r>
        <w:t xml:space="preserve">Current requirements make use of hand pumps for fighting fires. It is proposed to require fire pumping capacity to be met with powered pumps. This amendment would cease the use of hand pumps to fulfil </w:t>
      </w:r>
      <w:r>
        <w:lastRenderedPageBreak/>
        <w:t>capacity and would mean that pumping could be achieved with a more efficient use of limited crew and without the possibility of asking passengers to ‘man the pumps’.</w:t>
      </w:r>
    </w:p>
    <w:p w14:paraId="4211165C" w14:textId="77777777" w:rsidR="00B8185D" w:rsidRDefault="00B8185D" w:rsidP="00B8185D">
      <w:pPr>
        <w:pStyle w:val="EBBodyPara"/>
        <w:keepNext/>
      </w:pPr>
      <w:r>
        <w:t>It is acknowledged that the engines and arrangements of many vessels may be unsuitable for fixed powered fire pumps. Equivalent arrangements for smaller vessels by the carriage of additional portable fire extinguishers are acceptable. Note, this is</w:t>
      </w:r>
      <w:r w:rsidR="00525C51">
        <w:t xml:space="preserve"> a</w:t>
      </w:r>
      <w:r>
        <w:t xml:space="preserve"> separate system to the fixed </w:t>
      </w:r>
      <w:r w:rsidR="0031058D">
        <w:t>firefighting</w:t>
      </w:r>
      <w:r>
        <w:t xml:space="preserve"> system described in </w:t>
      </w:r>
      <w:r>
        <w:fldChar w:fldCharType="begin"/>
      </w:r>
      <w:r>
        <w:instrText xml:space="preserve"> REF _Ref491846385 \r \h </w:instrText>
      </w:r>
      <w:r>
        <w:fldChar w:fldCharType="separate"/>
      </w:r>
      <w:r w:rsidR="00742166">
        <w:t>10.2.5</w:t>
      </w:r>
      <w:r>
        <w:fldChar w:fldCharType="end"/>
      </w:r>
      <w:r>
        <w:t>.</w:t>
      </w:r>
    </w:p>
    <w:p w14:paraId="2493A935" w14:textId="77777777" w:rsidR="00B8185D" w:rsidRDefault="00B8185D" w:rsidP="00B8185D">
      <w:pPr>
        <w:pStyle w:val="Heading5"/>
        <w:keepNext/>
        <w:ind w:left="1077" w:hanging="1077"/>
        <w:rPr>
          <w:lang w:eastAsia="en-GB"/>
        </w:rPr>
      </w:pPr>
      <w:bookmarkStart w:id="38" w:name="_Ref518990590"/>
      <w:r>
        <w:rPr>
          <w:lang w:eastAsia="en-GB"/>
        </w:rPr>
        <w:t>Monetised costs</w:t>
      </w:r>
      <w:bookmarkEnd w:id="38"/>
    </w:p>
    <w:p w14:paraId="4FCF0B4D" w14:textId="77777777" w:rsidR="00F06550" w:rsidRDefault="00B8185D" w:rsidP="00F06550">
      <w:pPr>
        <w:pStyle w:val="EBBodyPara"/>
      </w:pPr>
      <w:r>
        <w:t xml:space="preserve">The costs associated with installing a powered fire pump </w:t>
      </w:r>
      <w:r w:rsidR="005E0D46">
        <w:t xml:space="preserve">will </w:t>
      </w:r>
      <w:r>
        <w:t xml:space="preserve">vary depending on the specific construction of the vessel, particularly the type of engines and electrical supply already on-board. The most appropriate </w:t>
      </w:r>
      <w:r w:rsidR="00F06550">
        <w:t xml:space="preserve">pumping system (and associated cost) would not be known until an engineering analysis of each vessel is carried out. Therefore, we have not been able to estimate the cost of powered pumps. </w:t>
      </w:r>
    </w:p>
    <w:p w14:paraId="54F179E3" w14:textId="77777777" w:rsidR="00F06550" w:rsidRDefault="00F06550" w:rsidP="00F06550">
      <w:pPr>
        <w:pStyle w:val="EBBodyPara"/>
      </w:pPr>
      <w:r>
        <w:t>We</w:t>
      </w:r>
      <w:r w:rsidR="005E0D46">
        <w:t xml:space="preserve"> have</w:t>
      </w:r>
      <w:r>
        <w:t xml:space="preserve"> estimate</w:t>
      </w:r>
      <w:r w:rsidR="005E0D46">
        <w:t>d</w:t>
      </w:r>
      <w:r>
        <w:t xml:space="preserve"> the cost of carrying additional portable fire extinguishers as a proxy. Whilst fire extinguishers are cheaper than installing powered fire pumps, vessels may install the pumps or fire extinguishers. We do expect however, that some vessel owners will choose</w:t>
      </w:r>
      <w:r w:rsidR="0031058D">
        <w:t xml:space="preserve"> to install a pump </w:t>
      </w:r>
      <w:r>
        <w:t>regardless of the cost.</w:t>
      </w:r>
    </w:p>
    <w:p w14:paraId="4EDDEF67" w14:textId="77777777" w:rsidR="00F06550" w:rsidRDefault="00F06550" w:rsidP="00F06550">
      <w:pPr>
        <w:pStyle w:val="EBBodyPara"/>
      </w:pPr>
      <w:r>
        <w:t>The number required will be dependent on the length of the ship. Those under 15m in size require one while those over 15m in size (up to 21.34m) require two. The costs that have been estimated are based on a sample of retail prices. The costs are:</w:t>
      </w:r>
    </w:p>
    <w:tbl>
      <w:tblPr>
        <w:tblStyle w:val="PlainTable2"/>
        <w:tblW w:w="7938" w:type="dxa"/>
        <w:jc w:val="center"/>
        <w:tblLook w:val="04A0" w:firstRow="1" w:lastRow="0" w:firstColumn="1" w:lastColumn="0" w:noHBand="0" w:noVBand="1"/>
      </w:tblPr>
      <w:tblGrid>
        <w:gridCol w:w="4111"/>
        <w:gridCol w:w="1134"/>
        <w:gridCol w:w="1276"/>
        <w:gridCol w:w="1417"/>
      </w:tblGrid>
      <w:tr w:rsidR="00332BFF" w14:paraId="3D57281D" w14:textId="77777777" w:rsidTr="00495F9C">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938" w:type="dxa"/>
            <w:gridSpan w:val="4"/>
            <w:tcBorders>
              <w:top w:val="nil"/>
              <w:left w:val="nil"/>
              <w:right w:val="nil"/>
            </w:tcBorders>
            <w:noWrap/>
          </w:tcPr>
          <w:p w14:paraId="33361883" w14:textId="77777777" w:rsidR="00332BFF" w:rsidRPr="00332BFF" w:rsidRDefault="00940A7B" w:rsidP="00332BFF">
            <w:pPr>
              <w:pStyle w:val="EBBodyPara"/>
              <w:spacing w:before="40" w:after="40"/>
              <w:rPr>
                <w:b w:val="0"/>
                <w:bCs/>
                <w:i/>
              </w:rPr>
            </w:pPr>
            <w:r w:rsidRPr="00E65663">
              <w:rPr>
                <w:b w:val="0"/>
                <w:bCs/>
                <w:i/>
              </w:rPr>
              <w:t>Table 15</w:t>
            </w:r>
            <w:r w:rsidR="00332BFF" w:rsidRPr="00332BFF">
              <w:rPr>
                <w:b w:val="0"/>
                <w:bCs/>
                <w:i/>
              </w:rPr>
              <w:t>: Cost per vessel of additional fire extinguishers</w:t>
            </w:r>
          </w:p>
        </w:tc>
      </w:tr>
      <w:tr w:rsidR="00F06550" w14:paraId="5F4DE2F7" w14:textId="77777777" w:rsidTr="00E366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11" w:type="dxa"/>
            <w:tcBorders>
              <w:left w:val="nil"/>
              <w:right w:val="nil"/>
            </w:tcBorders>
            <w:noWrap/>
            <w:hideMark/>
          </w:tcPr>
          <w:p w14:paraId="53AAC829" w14:textId="77777777" w:rsidR="00F06550" w:rsidRDefault="00E3668C" w:rsidP="00E3668C">
            <w:pPr>
              <w:pStyle w:val="EBBodyPara"/>
              <w:spacing w:before="40" w:after="40"/>
              <w:rPr>
                <w:bCs/>
              </w:rPr>
            </w:pPr>
            <w:r>
              <w:rPr>
                <w:bCs/>
              </w:rPr>
              <w:t>Cost</w:t>
            </w:r>
          </w:p>
        </w:tc>
        <w:tc>
          <w:tcPr>
            <w:tcW w:w="1134" w:type="dxa"/>
            <w:tcBorders>
              <w:left w:val="nil"/>
              <w:right w:val="nil"/>
            </w:tcBorders>
            <w:noWrap/>
            <w:hideMark/>
          </w:tcPr>
          <w:p w14:paraId="59CDAEC0" w14:textId="77777777" w:rsidR="00F06550" w:rsidRPr="0006719B" w:rsidRDefault="00F06550" w:rsidP="00E3668C">
            <w:pPr>
              <w:pStyle w:val="EBBodyPara"/>
              <w:spacing w:before="40" w:after="40"/>
              <w:cnfStyle w:val="000000100000" w:firstRow="0" w:lastRow="0" w:firstColumn="0" w:lastColumn="0" w:oddVBand="0" w:evenVBand="0" w:oddHBand="1" w:evenHBand="0" w:firstRowFirstColumn="0" w:firstRowLastColumn="0" w:lastRowFirstColumn="0" w:lastRowLastColumn="0"/>
              <w:rPr>
                <w:b/>
                <w:bCs w:val="0"/>
              </w:rPr>
            </w:pPr>
            <w:r w:rsidRPr="0006719B">
              <w:rPr>
                <w:b/>
                <w:bCs w:val="0"/>
              </w:rPr>
              <w:t>Low</w:t>
            </w:r>
          </w:p>
        </w:tc>
        <w:tc>
          <w:tcPr>
            <w:tcW w:w="1276" w:type="dxa"/>
            <w:tcBorders>
              <w:left w:val="nil"/>
              <w:right w:val="nil"/>
            </w:tcBorders>
            <w:noWrap/>
            <w:hideMark/>
          </w:tcPr>
          <w:p w14:paraId="42B5DE22" w14:textId="77777777" w:rsidR="00F06550" w:rsidRPr="0006719B" w:rsidRDefault="00F06550" w:rsidP="00E3668C">
            <w:pPr>
              <w:pStyle w:val="EBBodyPara"/>
              <w:spacing w:before="40" w:after="40"/>
              <w:cnfStyle w:val="000000100000" w:firstRow="0" w:lastRow="0" w:firstColumn="0" w:lastColumn="0" w:oddVBand="0" w:evenVBand="0" w:oddHBand="1" w:evenHBand="0" w:firstRowFirstColumn="0" w:firstRowLastColumn="0" w:lastRowFirstColumn="0" w:lastRowLastColumn="0"/>
              <w:rPr>
                <w:b/>
                <w:bCs w:val="0"/>
              </w:rPr>
            </w:pPr>
            <w:r w:rsidRPr="0006719B">
              <w:rPr>
                <w:b/>
                <w:bCs w:val="0"/>
              </w:rPr>
              <w:t>Central</w:t>
            </w:r>
          </w:p>
        </w:tc>
        <w:tc>
          <w:tcPr>
            <w:tcW w:w="1417" w:type="dxa"/>
            <w:tcBorders>
              <w:left w:val="nil"/>
              <w:right w:val="nil"/>
            </w:tcBorders>
            <w:noWrap/>
            <w:hideMark/>
          </w:tcPr>
          <w:p w14:paraId="561784C8" w14:textId="77777777" w:rsidR="00F06550" w:rsidRPr="0006719B" w:rsidRDefault="00F06550" w:rsidP="00E3668C">
            <w:pPr>
              <w:pStyle w:val="EBBodyPara"/>
              <w:spacing w:before="40" w:after="40"/>
              <w:cnfStyle w:val="000000100000" w:firstRow="0" w:lastRow="0" w:firstColumn="0" w:lastColumn="0" w:oddVBand="0" w:evenVBand="0" w:oddHBand="1" w:evenHBand="0" w:firstRowFirstColumn="0" w:firstRowLastColumn="0" w:lastRowFirstColumn="0" w:lastRowLastColumn="0"/>
              <w:rPr>
                <w:b/>
                <w:bCs w:val="0"/>
              </w:rPr>
            </w:pPr>
            <w:r w:rsidRPr="0006719B">
              <w:rPr>
                <w:b/>
                <w:bCs w:val="0"/>
              </w:rPr>
              <w:t>High</w:t>
            </w:r>
          </w:p>
        </w:tc>
      </w:tr>
      <w:tr w:rsidR="00F06550" w14:paraId="573F4D06" w14:textId="77777777" w:rsidTr="00E3668C">
        <w:trPr>
          <w:trHeight w:val="300"/>
          <w:jc w:val="center"/>
        </w:trPr>
        <w:tc>
          <w:tcPr>
            <w:cnfStyle w:val="001000000000" w:firstRow="0" w:lastRow="0" w:firstColumn="1" w:lastColumn="0" w:oddVBand="0" w:evenVBand="0" w:oddHBand="0" w:evenHBand="0" w:firstRowFirstColumn="0" w:firstRowLastColumn="0" w:lastRowFirstColumn="0" w:lastRowLastColumn="0"/>
            <w:tcW w:w="4111" w:type="dxa"/>
            <w:tcBorders>
              <w:left w:val="nil"/>
              <w:right w:val="nil"/>
            </w:tcBorders>
            <w:noWrap/>
            <w:hideMark/>
          </w:tcPr>
          <w:p w14:paraId="4A0916AA" w14:textId="77777777" w:rsidR="00F06550" w:rsidRPr="00332BFF" w:rsidRDefault="00E3668C">
            <w:pPr>
              <w:pStyle w:val="EBBodyPara"/>
              <w:spacing w:before="40" w:after="40"/>
              <w:rPr>
                <w:b w:val="0"/>
                <w:bCs/>
              </w:rPr>
            </w:pPr>
            <w:r>
              <w:rPr>
                <w:b w:val="0"/>
                <w:bCs/>
              </w:rPr>
              <w:t xml:space="preserve">Cost per </w:t>
            </w:r>
            <w:r w:rsidR="00F06550" w:rsidRPr="00332BFF">
              <w:rPr>
                <w:b w:val="0"/>
                <w:bCs/>
              </w:rPr>
              <w:t>Fire extinguisher</w:t>
            </w:r>
          </w:p>
        </w:tc>
        <w:tc>
          <w:tcPr>
            <w:tcW w:w="1134" w:type="dxa"/>
            <w:tcBorders>
              <w:left w:val="nil"/>
              <w:right w:val="nil"/>
            </w:tcBorders>
            <w:noWrap/>
            <w:hideMark/>
          </w:tcPr>
          <w:p w14:paraId="59B7580A" w14:textId="77777777" w:rsidR="00F06550" w:rsidRDefault="00F06550" w:rsidP="00E3668C">
            <w:pPr>
              <w:pStyle w:val="EBBodyPara"/>
              <w:spacing w:before="40" w:after="40"/>
              <w:cnfStyle w:val="000000000000" w:firstRow="0" w:lastRow="0" w:firstColumn="0" w:lastColumn="0" w:oddVBand="0" w:evenVBand="0" w:oddHBand="0" w:evenHBand="0" w:firstRowFirstColumn="0" w:firstRowLastColumn="0" w:lastRowFirstColumn="0" w:lastRowLastColumn="0"/>
            </w:pPr>
            <w:r>
              <w:t>£42</w:t>
            </w:r>
          </w:p>
        </w:tc>
        <w:tc>
          <w:tcPr>
            <w:tcW w:w="1276" w:type="dxa"/>
            <w:tcBorders>
              <w:left w:val="nil"/>
              <w:right w:val="nil"/>
            </w:tcBorders>
            <w:noWrap/>
            <w:hideMark/>
          </w:tcPr>
          <w:p w14:paraId="69B96121" w14:textId="77777777" w:rsidR="00F06550" w:rsidRDefault="00F06550" w:rsidP="00E3668C">
            <w:pPr>
              <w:pStyle w:val="EBBodyPara"/>
              <w:spacing w:before="40" w:after="40"/>
              <w:cnfStyle w:val="000000000000" w:firstRow="0" w:lastRow="0" w:firstColumn="0" w:lastColumn="0" w:oddVBand="0" w:evenVBand="0" w:oddHBand="0" w:evenHBand="0" w:firstRowFirstColumn="0" w:firstRowLastColumn="0" w:lastRowFirstColumn="0" w:lastRowLastColumn="0"/>
            </w:pPr>
            <w:r>
              <w:t>£63</w:t>
            </w:r>
          </w:p>
        </w:tc>
        <w:tc>
          <w:tcPr>
            <w:tcW w:w="1417" w:type="dxa"/>
            <w:tcBorders>
              <w:left w:val="nil"/>
              <w:right w:val="nil"/>
            </w:tcBorders>
            <w:noWrap/>
            <w:hideMark/>
          </w:tcPr>
          <w:p w14:paraId="07D0259B" w14:textId="77777777" w:rsidR="00F06550" w:rsidRDefault="00F06550" w:rsidP="00E3668C">
            <w:pPr>
              <w:pStyle w:val="EBBodyPara"/>
              <w:spacing w:before="40" w:after="40"/>
              <w:cnfStyle w:val="000000000000" w:firstRow="0" w:lastRow="0" w:firstColumn="0" w:lastColumn="0" w:oddVBand="0" w:evenVBand="0" w:oddHBand="0" w:evenHBand="0" w:firstRowFirstColumn="0" w:firstRowLastColumn="0" w:lastRowFirstColumn="0" w:lastRowLastColumn="0"/>
            </w:pPr>
            <w:r>
              <w:t>£85</w:t>
            </w:r>
          </w:p>
        </w:tc>
      </w:tr>
      <w:tr w:rsidR="00E3668C" w14:paraId="1B946043" w14:textId="77777777" w:rsidTr="00E3668C">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4111" w:type="dxa"/>
            <w:tcBorders>
              <w:left w:val="nil"/>
              <w:right w:val="nil"/>
            </w:tcBorders>
            <w:noWrap/>
          </w:tcPr>
          <w:p w14:paraId="327AD558" w14:textId="77777777" w:rsidR="00E3668C" w:rsidRDefault="00E3668C">
            <w:pPr>
              <w:pStyle w:val="EBBodyPara"/>
              <w:spacing w:before="40" w:after="40"/>
              <w:rPr>
                <w:b w:val="0"/>
                <w:bCs/>
              </w:rPr>
            </w:pPr>
            <w:r>
              <w:rPr>
                <w:b w:val="0"/>
                <w:bCs/>
              </w:rPr>
              <w:t>Annual Servicing Cost per extinguisher</w:t>
            </w:r>
          </w:p>
        </w:tc>
        <w:tc>
          <w:tcPr>
            <w:tcW w:w="1134" w:type="dxa"/>
            <w:tcBorders>
              <w:left w:val="nil"/>
              <w:right w:val="nil"/>
            </w:tcBorders>
            <w:noWrap/>
          </w:tcPr>
          <w:p w14:paraId="2D57559B" w14:textId="77777777" w:rsidR="00E3668C" w:rsidRDefault="00E3668C" w:rsidP="00E3668C">
            <w:pPr>
              <w:pStyle w:val="EBBodyPara"/>
              <w:spacing w:before="40" w:after="40"/>
              <w:cnfStyle w:val="000000100000" w:firstRow="0" w:lastRow="0" w:firstColumn="0" w:lastColumn="0" w:oddVBand="0" w:evenVBand="0" w:oddHBand="1" w:evenHBand="0" w:firstRowFirstColumn="0" w:firstRowLastColumn="0" w:lastRowFirstColumn="0" w:lastRowLastColumn="0"/>
            </w:pPr>
            <w:r>
              <w:t>£15</w:t>
            </w:r>
          </w:p>
        </w:tc>
        <w:tc>
          <w:tcPr>
            <w:tcW w:w="1276" w:type="dxa"/>
            <w:tcBorders>
              <w:left w:val="nil"/>
              <w:right w:val="nil"/>
            </w:tcBorders>
            <w:noWrap/>
          </w:tcPr>
          <w:p w14:paraId="0A7BDD79" w14:textId="77777777" w:rsidR="00E3668C" w:rsidRDefault="00E3668C" w:rsidP="00E3668C">
            <w:pPr>
              <w:pStyle w:val="EBBodyPara"/>
              <w:spacing w:before="40" w:after="40"/>
              <w:cnfStyle w:val="000000100000" w:firstRow="0" w:lastRow="0" w:firstColumn="0" w:lastColumn="0" w:oddVBand="0" w:evenVBand="0" w:oddHBand="1" w:evenHBand="0" w:firstRowFirstColumn="0" w:firstRowLastColumn="0" w:lastRowFirstColumn="0" w:lastRowLastColumn="0"/>
            </w:pPr>
            <w:r>
              <w:t>£15</w:t>
            </w:r>
          </w:p>
        </w:tc>
        <w:tc>
          <w:tcPr>
            <w:tcW w:w="1417" w:type="dxa"/>
            <w:tcBorders>
              <w:left w:val="nil"/>
              <w:right w:val="nil"/>
            </w:tcBorders>
            <w:noWrap/>
          </w:tcPr>
          <w:p w14:paraId="4CEC2D58" w14:textId="77777777" w:rsidR="00E3668C" w:rsidRDefault="00E3668C" w:rsidP="00E3668C">
            <w:pPr>
              <w:pStyle w:val="EBBodyPara"/>
              <w:spacing w:before="40" w:after="40"/>
              <w:cnfStyle w:val="000000100000" w:firstRow="0" w:lastRow="0" w:firstColumn="0" w:lastColumn="0" w:oddVBand="0" w:evenVBand="0" w:oddHBand="1" w:evenHBand="0" w:firstRowFirstColumn="0" w:firstRowLastColumn="0" w:lastRowFirstColumn="0" w:lastRowLastColumn="0"/>
            </w:pPr>
            <w:r>
              <w:t>£15</w:t>
            </w:r>
          </w:p>
        </w:tc>
      </w:tr>
    </w:tbl>
    <w:p w14:paraId="263DB545" w14:textId="77777777" w:rsidR="00F06550" w:rsidRDefault="00F06550" w:rsidP="00F06550">
      <w:pPr>
        <w:pStyle w:val="EBBodyPara"/>
      </w:pPr>
    </w:p>
    <w:p w14:paraId="285FE41F" w14:textId="77777777" w:rsidR="00E3668C" w:rsidRDefault="00E3668C" w:rsidP="00F06550">
      <w:pPr>
        <w:pStyle w:val="EBBodyPara"/>
      </w:pPr>
      <w:r>
        <w:t xml:space="preserve">This change affects only Class V and Class VI/VI(A) vessels. </w:t>
      </w:r>
      <w:r w:rsidR="00F06550">
        <w:t>There is also an additional annual servicing cost</w:t>
      </w:r>
      <w:r w:rsidR="00CA5465">
        <w:t xml:space="preserve"> based on retail estimates</w:t>
      </w:r>
      <w:r w:rsidR="00F06550">
        <w:t xml:space="preserve"> of £15 per extinguisher, this gives total costs of:</w:t>
      </w:r>
    </w:p>
    <w:p w14:paraId="01BF3AC1" w14:textId="77777777" w:rsidR="004160E0" w:rsidRDefault="004160E0" w:rsidP="00F06550">
      <w:pPr>
        <w:pStyle w:val="EBBodyPara"/>
      </w:pPr>
    </w:p>
    <w:tbl>
      <w:tblPr>
        <w:tblW w:w="7564" w:type="dxa"/>
        <w:jc w:val="center"/>
        <w:tblLook w:val="04A0" w:firstRow="1" w:lastRow="0" w:firstColumn="1" w:lastColumn="0" w:noHBand="0" w:noVBand="1"/>
      </w:tblPr>
      <w:tblGrid>
        <w:gridCol w:w="4710"/>
        <w:gridCol w:w="940"/>
        <w:gridCol w:w="974"/>
        <w:gridCol w:w="940"/>
      </w:tblGrid>
      <w:tr w:rsidR="0006719B" w:rsidRPr="0006719B" w14:paraId="78688FD2" w14:textId="77777777" w:rsidTr="0006719B">
        <w:trPr>
          <w:trHeight w:val="315"/>
          <w:jc w:val="center"/>
        </w:trPr>
        <w:tc>
          <w:tcPr>
            <w:tcW w:w="7564" w:type="dxa"/>
            <w:gridSpan w:val="4"/>
            <w:tcBorders>
              <w:top w:val="nil"/>
              <w:left w:val="nil"/>
              <w:bottom w:val="single" w:sz="8" w:space="0" w:color="7F7F7F"/>
              <w:right w:val="nil"/>
            </w:tcBorders>
            <w:shd w:val="clear" w:color="auto" w:fill="auto"/>
            <w:noWrap/>
            <w:vAlign w:val="bottom"/>
            <w:hideMark/>
          </w:tcPr>
          <w:p w14:paraId="203DA826" w14:textId="77777777" w:rsidR="0006719B" w:rsidRPr="0006719B" w:rsidRDefault="00940A7B" w:rsidP="0006719B">
            <w:pPr>
              <w:rPr>
                <w:rFonts w:ascii="Calibri" w:hAnsi="Calibri"/>
                <w:i/>
                <w:iCs/>
                <w:color w:val="000000"/>
                <w:sz w:val="22"/>
                <w:szCs w:val="22"/>
                <w:lang w:eastAsia="en-GB"/>
              </w:rPr>
            </w:pPr>
            <w:r w:rsidRPr="00E65663">
              <w:rPr>
                <w:rFonts w:ascii="Calibri" w:hAnsi="Calibri"/>
                <w:i/>
                <w:iCs/>
                <w:color w:val="000000"/>
                <w:sz w:val="22"/>
                <w:szCs w:val="22"/>
                <w:lang w:eastAsia="en-GB"/>
              </w:rPr>
              <w:t>Table 16</w:t>
            </w:r>
            <w:r w:rsidR="0006719B" w:rsidRPr="0006719B">
              <w:rPr>
                <w:rFonts w:ascii="Calibri" w:hAnsi="Calibri"/>
                <w:i/>
                <w:iCs/>
                <w:color w:val="000000"/>
                <w:sz w:val="22"/>
                <w:szCs w:val="22"/>
                <w:lang w:eastAsia="en-GB"/>
              </w:rPr>
              <w:t xml:space="preserve">: The total cost of purchasing and servicing </w:t>
            </w:r>
            <w:r w:rsidR="005E0D46" w:rsidRPr="0006719B">
              <w:rPr>
                <w:rFonts w:ascii="Calibri" w:hAnsi="Calibri"/>
                <w:i/>
                <w:iCs/>
                <w:color w:val="000000"/>
                <w:sz w:val="22"/>
                <w:szCs w:val="22"/>
                <w:lang w:eastAsia="en-GB"/>
              </w:rPr>
              <w:t>of additional</w:t>
            </w:r>
            <w:r w:rsidR="0006719B" w:rsidRPr="0006719B">
              <w:rPr>
                <w:rFonts w:ascii="Calibri" w:hAnsi="Calibri"/>
                <w:i/>
                <w:iCs/>
                <w:color w:val="000000"/>
                <w:sz w:val="22"/>
                <w:szCs w:val="22"/>
                <w:lang w:eastAsia="en-GB"/>
              </w:rPr>
              <w:t xml:space="preserve"> fire extinguishers</w:t>
            </w:r>
          </w:p>
        </w:tc>
      </w:tr>
      <w:tr w:rsidR="0006719B" w:rsidRPr="0006719B" w14:paraId="6EDB6EAE" w14:textId="77777777" w:rsidTr="0006719B">
        <w:trPr>
          <w:trHeight w:val="315"/>
          <w:jc w:val="center"/>
        </w:trPr>
        <w:tc>
          <w:tcPr>
            <w:tcW w:w="4710" w:type="dxa"/>
            <w:tcBorders>
              <w:top w:val="nil"/>
              <w:left w:val="single" w:sz="8" w:space="0" w:color="808080"/>
              <w:bottom w:val="single" w:sz="8" w:space="0" w:color="7F7F7F"/>
              <w:right w:val="nil"/>
            </w:tcBorders>
            <w:shd w:val="clear" w:color="auto" w:fill="auto"/>
            <w:noWrap/>
            <w:hideMark/>
          </w:tcPr>
          <w:p w14:paraId="5E627036" w14:textId="77777777" w:rsidR="0006719B" w:rsidRPr="0006719B" w:rsidRDefault="0006719B" w:rsidP="0006719B">
            <w:pPr>
              <w:rPr>
                <w:rFonts w:ascii="Times New Roman" w:hAnsi="Times New Roman"/>
                <w:color w:val="000000"/>
                <w:sz w:val="20"/>
                <w:szCs w:val="20"/>
                <w:lang w:eastAsia="en-GB"/>
              </w:rPr>
            </w:pPr>
            <w:r w:rsidRPr="0006719B">
              <w:rPr>
                <w:rFonts w:ascii="Times New Roman" w:hAnsi="Times New Roman"/>
                <w:color w:val="000000"/>
                <w:sz w:val="20"/>
                <w:szCs w:val="20"/>
                <w:lang w:eastAsia="en-GB"/>
              </w:rPr>
              <w:t> </w:t>
            </w:r>
          </w:p>
        </w:tc>
        <w:tc>
          <w:tcPr>
            <w:tcW w:w="940" w:type="dxa"/>
            <w:tcBorders>
              <w:top w:val="nil"/>
              <w:left w:val="nil"/>
              <w:bottom w:val="single" w:sz="8" w:space="0" w:color="7F7F7F"/>
              <w:right w:val="nil"/>
            </w:tcBorders>
            <w:shd w:val="clear" w:color="auto" w:fill="auto"/>
            <w:noWrap/>
            <w:vAlign w:val="center"/>
            <w:hideMark/>
          </w:tcPr>
          <w:p w14:paraId="0177AA74" w14:textId="77777777" w:rsidR="0006719B" w:rsidRPr="0006719B" w:rsidRDefault="0006719B" w:rsidP="00E3668C">
            <w:pPr>
              <w:rPr>
                <w:rFonts w:cs="Arial"/>
                <w:b/>
                <w:bCs/>
                <w:color w:val="000000"/>
                <w:sz w:val="22"/>
                <w:szCs w:val="22"/>
                <w:lang w:eastAsia="en-GB"/>
              </w:rPr>
            </w:pPr>
            <w:r w:rsidRPr="0006719B">
              <w:rPr>
                <w:rFonts w:cs="Arial"/>
                <w:b/>
                <w:bCs/>
                <w:color w:val="000000"/>
                <w:sz w:val="22"/>
                <w:szCs w:val="22"/>
                <w:lang w:eastAsia="en-GB"/>
              </w:rPr>
              <w:t>Low</w:t>
            </w:r>
          </w:p>
        </w:tc>
        <w:tc>
          <w:tcPr>
            <w:tcW w:w="974" w:type="dxa"/>
            <w:tcBorders>
              <w:top w:val="nil"/>
              <w:left w:val="nil"/>
              <w:bottom w:val="single" w:sz="8" w:space="0" w:color="7F7F7F"/>
              <w:right w:val="nil"/>
            </w:tcBorders>
            <w:shd w:val="clear" w:color="auto" w:fill="auto"/>
            <w:noWrap/>
            <w:vAlign w:val="center"/>
            <w:hideMark/>
          </w:tcPr>
          <w:p w14:paraId="66D2C7A8" w14:textId="77777777" w:rsidR="0006719B" w:rsidRPr="0006719B" w:rsidRDefault="0006719B" w:rsidP="00E3668C">
            <w:pPr>
              <w:rPr>
                <w:rFonts w:cs="Arial"/>
                <w:b/>
                <w:bCs/>
                <w:color w:val="000000"/>
                <w:sz w:val="22"/>
                <w:szCs w:val="22"/>
                <w:lang w:eastAsia="en-GB"/>
              </w:rPr>
            </w:pPr>
            <w:r w:rsidRPr="0006719B">
              <w:rPr>
                <w:rFonts w:cs="Arial"/>
                <w:b/>
                <w:bCs/>
                <w:color w:val="000000"/>
                <w:sz w:val="22"/>
                <w:szCs w:val="22"/>
                <w:lang w:eastAsia="en-GB"/>
              </w:rPr>
              <w:t>Central</w:t>
            </w:r>
          </w:p>
        </w:tc>
        <w:tc>
          <w:tcPr>
            <w:tcW w:w="940" w:type="dxa"/>
            <w:tcBorders>
              <w:top w:val="nil"/>
              <w:left w:val="nil"/>
              <w:bottom w:val="single" w:sz="8" w:space="0" w:color="7F7F7F"/>
              <w:right w:val="single" w:sz="8" w:space="0" w:color="808080"/>
            </w:tcBorders>
            <w:shd w:val="clear" w:color="auto" w:fill="auto"/>
            <w:noWrap/>
            <w:vAlign w:val="center"/>
            <w:hideMark/>
          </w:tcPr>
          <w:p w14:paraId="3F42559E" w14:textId="77777777" w:rsidR="0006719B" w:rsidRPr="0006719B" w:rsidRDefault="0006719B" w:rsidP="00E3668C">
            <w:pPr>
              <w:rPr>
                <w:rFonts w:cs="Arial"/>
                <w:b/>
                <w:bCs/>
                <w:color w:val="000000"/>
                <w:sz w:val="22"/>
                <w:szCs w:val="22"/>
                <w:lang w:eastAsia="en-GB"/>
              </w:rPr>
            </w:pPr>
            <w:r w:rsidRPr="0006719B">
              <w:rPr>
                <w:rFonts w:cs="Arial"/>
                <w:b/>
                <w:bCs/>
                <w:color w:val="000000"/>
                <w:sz w:val="22"/>
                <w:szCs w:val="22"/>
                <w:lang w:eastAsia="en-GB"/>
              </w:rPr>
              <w:t>High</w:t>
            </w:r>
          </w:p>
        </w:tc>
      </w:tr>
      <w:tr w:rsidR="0006719B" w:rsidRPr="0006719B" w14:paraId="361F2553" w14:textId="77777777" w:rsidTr="0006719B">
        <w:trPr>
          <w:trHeight w:val="300"/>
          <w:jc w:val="center"/>
        </w:trPr>
        <w:tc>
          <w:tcPr>
            <w:tcW w:w="4710" w:type="dxa"/>
            <w:tcBorders>
              <w:top w:val="nil"/>
              <w:left w:val="single" w:sz="8" w:space="0" w:color="808080"/>
              <w:bottom w:val="nil"/>
              <w:right w:val="nil"/>
            </w:tcBorders>
            <w:shd w:val="clear" w:color="auto" w:fill="auto"/>
            <w:noWrap/>
            <w:vAlign w:val="center"/>
            <w:hideMark/>
          </w:tcPr>
          <w:p w14:paraId="7331F2B5" w14:textId="77777777" w:rsidR="0006719B" w:rsidRPr="0006719B" w:rsidRDefault="0006719B" w:rsidP="0006719B">
            <w:pPr>
              <w:rPr>
                <w:rFonts w:cs="Arial"/>
                <w:color w:val="000000"/>
                <w:sz w:val="22"/>
                <w:szCs w:val="22"/>
                <w:lang w:eastAsia="en-GB"/>
              </w:rPr>
            </w:pPr>
            <w:r w:rsidRPr="0006719B">
              <w:rPr>
                <w:rFonts w:cs="Arial"/>
                <w:color w:val="000000"/>
                <w:sz w:val="22"/>
                <w:szCs w:val="22"/>
                <w:lang w:eastAsia="en-GB"/>
              </w:rPr>
              <w:t>Number of vessels affected*:</w:t>
            </w:r>
          </w:p>
        </w:tc>
        <w:tc>
          <w:tcPr>
            <w:tcW w:w="940" w:type="dxa"/>
            <w:tcBorders>
              <w:top w:val="nil"/>
              <w:left w:val="nil"/>
              <w:bottom w:val="nil"/>
              <w:right w:val="nil"/>
            </w:tcBorders>
            <w:shd w:val="clear" w:color="auto" w:fill="auto"/>
            <w:noWrap/>
            <w:vAlign w:val="center"/>
            <w:hideMark/>
          </w:tcPr>
          <w:p w14:paraId="5E39005D"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355</w:t>
            </w:r>
          </w:p>
        </w:tc>
        <w:tc>
          <w:tcPr>
            <w:tcW w:w="974" w:type="dxa"/>
            <w:tcBorders>
              <w:top w:val="nil"/>
              <w:left w:val="nil"/>
              <w:bottom w:val="nil"/>
              <w:right w:val="nil"/>
            </w:tcBorders>
            <w:shd w:val="clear" w:color="auto" w:fill="auto"/>
            <w:noWrap/>
            <w:vAlign w:val="center"/>
            <w:hideMark/>
          </w:tcPr>
          <w:p w14:paraId="4BCFDE4E"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355</w:t>
            </w:r>
          </w:p>
        </w:tc>
        <w:tc>
          <w:tcPr>
            <w:tcW w:w="940" w:type="dxa"/>
            <w:tcBorders>
              <w:top w:val="nil"/>
              <w:left w:val="nil"/>
              <w:bottom w:val="nil"/>
              <w:right w:val="single" w:sz="8" w:space="0" w:color="808080"/>
            </w:tcBorders>
            <w:shd w:val="clear" w:color="auto" w:fill="auto"/>
            <w:noWrap/>
            <w:vAlign w:val="center"/>
            <w:hideMark/>
          </w:tcPr>
          <w:p w14:paraId="00902D1B"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355</w:t>
            </w:r>
          </w:p>
        </w:tc>
      </w:tr>
      <w:tr w:rsidR="0006719B" w:rsidRPr="0006719B" w14:paraId="06B67556" w14:textId="77777777" w:rsidTr="0006719B">
        <w:trPr>
          <w:trHeight w:val="300"/>
          <w:jc w:val="center"/>
        </w:trPr>
        <w:tc>
          <w:tcPr>
            <w:tcW w:w="4710" w:type="dxa"/>
            <w:tcBorders>
              <w:top w:val="nil"/>
              <w:left w:val="single" w:sz="8" w:space="0" w:color="808080"/>
              <w:bottom w:val="nil"/>
              <w:right w:val="nil"/>
            </w:tcBorders>
            <w:shd w:val="clear" w:color="auto" w:fill="auto"/>
            <w:noWrap/>
            <w:vAlign w:val="center"/>
            <w:hideMark/>
          </w:tcPr>
          <w:p w14:paraId="63E7A3B0" w14:textId="77777777" w:rsidR="0006719B" w:rsidRPr="0006719B" w:rsidRDefault="0006719B" w:rsidP="0006719B">
            <w:pPr>
              <w:ind w:firstLineChars="500" w:firstLine="1100"/>
              <w:rPr>
                <w:rFonts w:cs="Arial"/>
                <w:color w:val="000000"/>
                <w:sz w:val="22"/>
                <w:szCs w:val="22"/>
                <w:lang w:eastAsia="en-GB"/>
              </w:rPr>
            </w:pPr>
            <w:r w:rsidRPr="0006719B">
              <w:rPr>
                <w:rFonts w:cs="Arial"/>
                <w:color w:val="000000"/>
                <w:sz w:val="22"/>
                <w:szCs w:val="22"/>
                <w:lang w:eastAsia="en-GB"/>
              </w:rPr>
              <w:t>of which less than 15m</w:t>
            </w:r>
          </w:p>
        </w:tc>
        <w:tc>
          <w:tcPr>
            <w:tcW w:w="940" w:type="dxa"/>
            <w:tcBorders>
              <w:top w:val="nil"/>
              <w:left w:val="nil"/>
              <w:bottom w:val="nil"/>
              <w:right w:val="nil"/>
            </w:tcBorders>
            <w:shd w:val="clear" w:color="auto" w:fill="auto"/>
            <w:noWrap/>
            <w:vAlign w:val="center"/>
            <w:hideMark/>
          </w:tcPr>
          <w:p w14:paraId="487F87A1"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214</w:t>
            </w:r>
          </w:p>
        </w:tc>
        <w:tc>
          <w:tcPr>
            <w:tcW w:w="974" w:type="dxa"/>
            <w:tcBorders>
              <w:top w:val="nil"/>
              <w:left w:val="nil"/>
              <w:bottom w:val="nil"/>
              <w:right w:val="nil"/>
            </w:tcBorders>
            <w:shd w:val="clear" w:color="auto" w:fill="auto"/>
            <w:noWrap/>
            <w:vAlign w:val="center"/>
            <w:hideMark/>
          </w:tcPr>
          <w:p w14:paraId="5F830C85"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214</w:t>
            </w:r>
          </w:p>
        </w:tc>
        <w:tc>
          <w:tcPr>
            <w:tcW w:w="940" w:type="dxa"/>
            <w:tcBorders>
              <w:top w:val="nil"/>
              <w:left w:val="nil"/>
              <w:bottom w:val="nil"/>
              <w:right w:val="single" w:sz="8" w:space="0" w:color="808080"/>
            </w:tcBorders>
            <w:shd w:val="clear" w:color="auto" w:fill="auto"/>
            <w:noWrap/>
            <w:vAlign w:val="center"/>
            <w:hideMark/>
          </w:tcPr>
          <w:p w14:paraId="41842CC6"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214</w:t>
            </w:r>
          </w:p>
        </w:tc>
      </w:tr>
      <w:tr w:rsidR="0006719B" w:rsidRPr="0006719B" w14:paraId="623578EA" w14:textId="77777777" w:rsidTr="0006719B">
        <w:trPr>
          <w:trHeight w:val="315"/>
          <w:jc w:val="center"/>
        </w:trPr>
        <w:tc>
          <w:tcPr>
            <w:tcW w:w="4710" w:type="dxa"/>
            <w:tcBorders>
              <w:top w:val="nil"/>
              <w:left w:val="single" w:sz="8" w:space="0" w:color="808080"/>
              <w:bottom w:val="single" w:sz="8" w:space="0" w:color="808080"/>
              <w:right w:val="nil"/>
            </w:tcBorders>
            <w:shd w:val="clear" w:color="auto" w:fill="auto"/>
            <w:noWrap/>
            <w:vAlign w:val="center"/>
            <w:hideMark/>
          </w:tcPr>
          <w:p w14:paraId="20C009B5" w14:textId="77777777" w:rsidR="0006719B" w:rsidRPr="0006719B" w:rsidRDefault="0006719B" w:rsidP="0006719B">
            <w:pPr>
              <w:ind w:firstLineChars="500" w:firstLine="1100"/>
              <w:rPr>
                <w:rFonts w:cs="Arial"/>
                <w:color w:val="000000"/>
                <w:sz w:val="22"/>
                <w:szCs w:val="22"/>
                <w:lang w:eastAsia="en-GB"/>
              </w:rPr>
            </w:pPr>
            <w:r w:rsidRPr="0006719B">
              <w:rPr>
                <w:rFonts w:cs="Arial"/>
                <w:color w:val="000000"/>
                <w:sz w:val="22"/>
                <w:szCs w:val="22"/>
                <w:lang w:eastAsia="en-GB"/>
              </w:rPr>
              <w:t>of which 15 or more</w:t>
            </w:r>
          </w:p>
        </w:tc>
        <w:tc>
          <w:tcPr>
            <w:tcW w:w="940" w:type="dxa"/>
            <w:tcBorders>
              <w:top w:val="nil"/>
              <w:left w:val="nil"/>
              <w:bottom w:val="single" w:sz="8" w:space="0" w:color="808080"/>
              <w:right w:val="nil"/>
            </w:tcBorders>
            <w:shd w:val="clear" w:color="auto" w:fill="auto"/>
            <w:noWrap/>
            <w:vAlign w:val="center"/>
            <w:hideMark/>
          </w:tcPr>
          <w:p w14:paraId="024137B4"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141</w:t>
            </w:r>
          </w:p>
        </w:tc>
        <w:tc>
          <w:tcPr>
            <w:tcW w:w="974" w:type="dxa"/>
            <w:tcBorders>
              <w:top w:val="nil"/>
              <w:left w:val="nil"/>
              <w:bottom w:val="single" w:sz="8" w:space="0" w:color="808080"/>
              <w:right w:val="nil"/>
            </w:tcBorders>
            <w:shd w:val="clear" w:color="auto" w:fill="auto"/>
            <w:noWrap/>
            <w:vAlign w:val="center"/>
            <w:hideMark/>
          </w:tcPr>
          <w:p w14:paraId="1B02AACB"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141</w:t>
            </w:r>
          </w:p>
        </w:tc>
        <w:tc>
          <w:tcPr>
            <w:tcW w:w="940" w:type="dxa"/>
            <w:tcBorders>
              <w:top w:val="nil"/>
              <w:left w:val="nil"/>
              <w:bottom w:val="single" w:sz="8" w:space="0" w:color="808080"/>
              <w:right w:val="single" w:sz="8" w:space="0" w:color="808080"/>
            </w:tcBorders>
            <w:shd w:val="clear" w:color="auto" w:fill="auto"/>
            <w:noWrap/>
            <w:vAlign w:val="center"/>
            <w:hideMark/>
          </w:tcPr>
          <w:p w14:paraId="505EDC47"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141</w:t>
            </w:r>
          </w:p>
        </w:tc>
      </w:tr>
      <w:tr w:rsidR="0006719B" w:rsidRPr="0006719B" w14:paraId="21FB08E6" w14:textId="77777777" w:rsidTr="0006719B">
        <w:trPr>
          <w:trHeight w:val="315"/>
          <w:jc w:val="center"/>
        </w:trPr>
        <w:tc>
          <w:tcPr>
            <w:tcW w:w="4710" w:type="dxa"/>
            <w:tcBorders>
              <w:top w:val="nil"/>
              <w:left w:val="single" w:sz="8" w:space="0" w:color="808080"/>
              <w:bottom w:val="single" w:sz="8" w:space="0" w:color="808080"/>
              <w:right w:val="nil"/>
            </w:tcBorders>
            <w:shd w:val="clear" w:color="auto" w:fill="auto"/>
            <w:noWrap/>
            <w:vAlign w:val="center"/>
            <w:hideMark/>
          </w:tcPr>
          <w:p w14:paraId="386CA324" w14:textId="77777777" w:rsidR="0006719B" w:rsidRPr="0006719B" w:rsidRDefault="0006719B" w:rsidP="0006719B">
            <w:pPr>
              <w:rPr>
                <w:rFonts w:cs="Arial"/>
                <w:color w:val="000000"/>
                <w:sz w:val="22"/>
                <w:szCs w:val="22"/>
                <w:lang w:eastAsia="en-GB"/>
              </w:rPr>
            </w:pPr>
            <w:r w:rsidRPr="0006719B">
              <w:rPr>
                <w:rFonts w:cs="Arial"/>
                <w:color w:val="000000"/>
                <w:sz w:val="22"/>
                <w:szCs w:val="22"/>
                <w:lang w:eastAsia="en-GB"/>
              </w:rPr>
              <w:t>Total number of extinguishers needed</w:t>
            </w:r>
          </w:p>
        </w:tc>
        <w:tc>
          <w:tcPr>
            <w:tcW w:w="940" w:type="dxa"/>
            <w:tcBorders>
              <w:top w:val="nil"/>
              <w:left w:val="nil"/>
              <w:bottom w:val="single" w:sz="8" w:space="0" w:color="808080"/>
              <w:right w:val="nil"/>
            </w:tcBorders>
            <w:shd w:val="clear" w:color="auto" w:fill="auto"/>
            <w:noWrap/>
            <w:vAlign w:val="center"/>
            <w:hideMark/>
          </w:tcPr>
          <w:p w14:paraId="3ABB78C4"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496</w:t>
            </w:r>
          </w:p>
        </w:tc>
        <w:tc>
          <w:tcPr>
            <w:tcW w:w="974" w:type="dxa"/>
            <w:tcBorders>
              <w:top w:val="nil"/>
              <w:left w:val="nil"/>
              <w:bottom w:val="single" w:sz="8" w:space="0" w:color="808080"/>
              <w:right w:val="nil"/>
            </w:tcBorders>
            <w:shd w:val="clear" w:color="auto" w:fill="auto"/>
            <w:noWrap/>
            <w:vAlign w:val="center"/>
            <w:hideMark/>
          </w:tcPr>
          <w:p w14:paraId="4514C521"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496</w:t>
            </w:r>
          </w:p>
        </w:tc>
        <w:tc>
          <w:tcPr>
            <w:tcW w:w="940" w:type="dxa"/>
            <w:tcBorders>
              <w:top w:val="nil"/>
              <w:left w:val="nil"/>
              <w:bottom w:val="single" w:sz="8" w:space="0" w:color="808080"/>
              <w:right w:val="single" w:sz="8" w:space="0" w:color="808080"/>
            </w:tcBorders>
            <w:shd w:val="clear" w:color="auto" w:fill="auto"/>
            <w:noWrap/>
            <w:vAlign w:val="center"/>
            <w:hideMark/>
          </w:tcPr>
          <w:p w14:paraId="48DB593B"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496</w:t>
            </w:r>
          </w:p>
        </w:tc>
      </w:tr>
      <w:tr w:rsidR="0006719B" w:rsidRPr="0006719B" w14:paraId="1AEE3168" w14:textId="77777777" w:rsidTr="0006719B">
        <w:trPr>
          <w:trHeight w:val="300"/>
          <w:jc w:val="center"/>
        </w:trPr>
        <w:tc>
          <w:tcPr>
            <w:tcW w:w="4710" w:type="dxa"/>
            <w:tcBorders>
              <w:top w:val="nil"/>
              <w:left w:val="single" w:sz="8" w:space="0" w:color="808080"/>
              <w:bottom w:val="nil"/>
              <w:right w:val="nil"/>
            </w:tcBorders>
            <w:shd w:val="clear" w:color="auto" w:fill="auto"/>
            <w:noWrap/>
            <w:vAlign w:val="center"/>
            <w:hideMark/>
          </w:tcPr>
          <w:p w14:paraId="36911893" w14:textId="77777777" w:rsidR="0006719B" w:rsidRPr="0006719B" w:rsidRDefault="0006719B" w:rsidP="0006719B">
            <w:pPr>
              <w:rPr>
                <w:rFonts w:cs="Arial"/>
                <w:color w:val="000000"/>
                <w:sz w:val="22"/>
                <w:szCs w:val="22"/>
                <w:lang w:eastAsia="en-GB"/>
              </w:rPr>
            </w:pPr>
            <w:r w:rsidRPr="0006719B">
              <w:rPr>
                <w:rFonts w:cs="Arial"/>
                <w:color w:val="000000"/>
                <w:sz w:val="22"/>
                <w:szCs w:val="22"/>
                <w:lang w:eastAsia="en-GB"/>
              </w:rPr>
              <w:t>Total Purchasing costs</w:t>
            </w:r>
          </w:p>
        </w:tc>
        <w:tc>
          <w:tcPr>
            <w:tcW w:w="940" w:type="dxa"/>
            <w:tcBorders>
              <w:top w:val="nil"/>
              <w:left w:val="nil"/>
              <w:bottom w:val="nil"/>
              <w:right w:val="nil"/>
            </w:tcBorders>
            <w:shd w:val="clear" w:color="auto" w:fill="auto"/>
            <w:noWrap/>
            <w:vAlign w:val="center"/>
            <w:hideMark/>
          </w:tcPr>
          <w:p w14:paraId="7768A201"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£21,000</w:t>
            </w:r>
          </w:p>
        </w:tc>
        <w:tc>
          <w:tcPr>
            <w:tcW w:w="974" w:type="dxa"/>
            <w:tcBorders>
              <w:top w:val="nil"/>
              <w:left w:val="nil"/>
              <w:bottom w:val="nil"/>
              <w:right w:val="nil"/>
            </w:tcBorders>
            <w:shd w:val="clear" w:color="auto" w:fill="auto"/>
            <w:noWrap/>
            <w:vAlign w:val="center"/>
            <w:hideMark/>
          </w:tcPr>
          <w:p w14:paraId="041C0211"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£31,000</w:t>
            </w:r>
          </w:p>
        </w:tc>
        <w:tc>
          <w:tcPr>
            <w:tcW w:w="940" w:type="dxa"/>
            <w:tcBorders>
              <w:top w:val="nil"/>
              <w:left w:val="nil"/>
              <w:bottom w:val="nil"/>
              <w:right w:val="single" w:sz="8" w:space="0" w:color="808080"/>
            </w:tcBorders>
            <w:shd w:val="clear" w:color="auto" w:fill="auto"/>
            <w:noWrap/>
            <w:vAlign w:val="center"/>
            <w:hideMark/>
          </w:tcPr>
          <w:p w14:paraId="418809D6"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£42,000</w:t>
            </w:r>
          </w:p>
        </w:tc>
      </w:tr>
      <w:tr w:rsidR="0006719B" w:rsidRPr="0006719B" w14:paraId="2E373AEB" w14:textId="77777777" w:rsidTr="0006719B">
        <w:trPr>
          <w:trHeight w:val="315"/>
          <w:jc w:val="center"/>
        </w:trPr>
        <w:tc>
          <w:tcPr>
            <w:tcW w:w="4710" w:type="dxa"/>
            <w:tcBorders>
              <w:top w:val="nil"/>
              <w:left w:val="single" w:sz="8" w:space="0" w:color="808080"/>
              <w:bottom w:val="single" w:sz="8" w:space="0" w:color="808080"/>
              <w:right w:val="nil"/>
            </w:tcBorders>
            <w:shd w:val="clear" w:color="auto" w:fill="auto"/>
            <w:noWrap/>
            <w:vAlign w:val="center"/>
            <w:hideMark/>
          </w:tcPr>
          <w:p w14:paraId="3EEA3461" w14:textId="77777777" w:rsidR="0006719B" w:rsidRPr="0006719B" w:rsidRDefault="0006719B" w:rsidP="0006719B">
            <w:pPr>
              <w:rPr>
                <w:rFonts w:cs="Arial"/>
                <w:color w:val="000000"/>
                <w:sz w:val="22"/>
                <w:szCs w:val="22"/>
                <w:lang w:eastAsia="en-GB"/>
              </w:rPr>
            </w:pPr>
            <w:r w:rsidRPr="0006719B">
              <w:rPr>
                <w:rFonts w:cs="Arial"/>
                <w:color w:val="000000"/>
                <w:sz w:val="22"/>
                <w:szCs w:val="22"/>
                <w:lang w:eastAsia="en-GB"/>
              </w:rPr>
              <w:t>Total Servicing costs</w:t>
            </w:r>
          </w:p>
        </w:tc>
        <w:tc>
          <w:tcPr>
            <w:tcW w:w="940" w:type="dxa"/>
            <w:tcBorders>
              <w:top w:val="nil"/>
              <w:left w:val="nil"/>
              <w:bottom w:val="nil"/>
              <w:right w:val="nil"/>
            </w:tcBorders>
            <w:shd w:val="clear" w:color="auto" w:fill="auto"/>
            <w:noWrap/>
            <w:vAlign w:val="bottom"/>
            <w:hideMark/>
          </w:tcPr>
          <w:p w14:paraId="39E83FA9"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£56,000</w:t>
            </w:r>
          </w:p>
        </w:tc>
        <w:tc>
          <w:tcPr>
            <w:tcW w:w="974" w:type="dxa"/>
            <w:tcBorders>
              <w:top w:val="nil"/>
              <w:left w:val="nil"/>
              <w:bottom w:val="nil"/>
              <w:right w:val="nil"/>
            </w:tcBorders>
            <w:shd w:val="clear" w:color="auto" w:fill="auto"/>
            <w:noWrap/>
            <w:vAlign w:val="bottom"/>
            <w:hideMark/>
          </w:tcPr>
          <w:p w14:paraId="1DDF08BE"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£56,000</w:t>
            </w:r>
          </w:p>
        </w:tc>
        <w:tc>
          <w:tcPr>
            <w:tcW w:w="940" w:type="dxa"/>
            <w:tcBorders>
              <w:top w:val="nil"/>
              <w:left w:val="nil"/>
              <w:bottom w:val="nil"/>
              <w:right w:val="single" w:sz="8" w:space="0" w:color="808080"/>
            </w:tcBorders>
            <w:shd w:val="clear" w:color="auto" w:fill="auto"/>
            <w:noWrap/>
            <w:vAlign w:val="center"/>
            <w:hideMark/>
          </w:tcPr>
          <w:p w14:paraId="105F2C68"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£56,000</w:t>
            </w:r>
          </w:p>
        </w:tc>
      </w:tr>
      <w:tr w:rsidR="0006719B" w:rsidRPr="0006719B" w14:paraId="0B2539C3" w14:textId="77777777" w:rsidTr="0006719B">
        <w:trPr>
          <w:trHeight w:val="315"/>
          <w:jc w:val="center"/>
        </w:trPr>
        <w:tc>
          <w:tcPr>
            <w:tcW w:w="4710" w:type="dxa"/>
            <w:tcBorders>
              <w:top w:val="nil"/>
              <w:left w:val="single" w:sz="8" w:space="0" w:color="808080"/>
              <w:bottom w:val="single" w:sz="8" w:space="0" w:color="7F7F7F"/>
              <w:right w:val="nil"/>
            </w:tcBorders>
            <w:shd w:val="clear" w:color="auto" w:fill="auto"/>
            <w:noWrap/>
            <w:vAlign w:val="center"/>
            <w:hideMark/>
          </w:tcPr>
          <w:p w14:paraId="17DC1880" w14:textId="77777777" w:rsidR="0006719B" w:rsidRPr="0006719B" w:rsidRDefault="0006719B" w:rsidP="0006719B">
            <w:pPr>
              <w:rPr>
                <w:rFonts w:cs="Arial"/>
                <w:color w:val="000000"/>
                <w:sz w:val="22"/>
                <w:szCs w:val="22"/>
                <w:lang w:eastAsia="en-GB"/>
              </w:rPr>
            </w:pPr>
            <w:r w:rsidRPr="0006719B">
              <w:rPr>
                <w:rFonts w:cs="Arial"/>
                <w:color w:val="000000"/>
                <w:sz w:val="22"/>
                <w:szCs w:val="22"/>
                <w:lang w:eastAsia="en-GB"/>
              </w:rPr>
              <w:t>Total Cost</w:t>
            </w:r>
          </w:p>
        </w:tc>
        <w:tc>
          <w:tcPr>
            <w:tcW w:w="940" w:type="dxa"/>
            <w:tcBorders>
              <w:top w:val="single" w:sz="8" w:space="0" w:color="808080"/>
              <w:left w:val="nil"/>
              <w:bottom w:val="single" w:sz="8" w:space="0" w:color="808080"/>
              <w:right w:val="nil"/>
            </w:tcBorders>
            <w:shd w:val="clear" w:color="auto" w:fill="auto"/>
            <w:noWrap/>
            <w:vAlign w:val="center"/>
            <w:hideMark/>
          </w:tcPr>
          <w:p w14:paraId="71A492C8"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£76,000</w:t>
            </w:r>
          </w:p>
        </w:tc>
        <w:tc>
          <w:tcPr>
            <w:tcW w:w="974" w:type="dxa"/>
            <w:tcBorders>
              <w:top w:val="single" w:sz="8" w:space="0" w:color="808080"/>
              <w:left w:val="nil"/>
              <w:bottom w:val="single" w:sz="8" w:space="0" w:color="808080"/>
              <w:right w:val="nil"/>
            </w:tcBorders>
            <w:shd w:val="clear" w:color="auto" w:fill="auto"/>
            <w:noWrap/>
            <w:vAlign w:val="center"/>
            <w:hideMark/>
          </w:tcPr>
          <w:p w14:paraId="519FE9E8"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£87,000</w:t>
            </w:r>
          </w:p>
        </w:tc>
        <w:tc>
          <w:tcPr>
            <w:tcW w:w="940" w:type="dxa"/>
            <w:tcBorders>
              <w:top w:val="single" w:sz="8" w:space="0" w:color="808080"/>
              <w:left w:val="nil"/>
              <w:bottom w:val="single" w:sz="8" w:space="0" w:color="7F7F7F"/>
              <w:right w:val="single" w:sz="8" w:space="0" w:color="808080"/>
            </w:tcBorders>
            <w:shd w:val="clear" w:color="auto" w:fill="auto"/>
            <w:noWrap/>
            <w:vAlign w:val="center"/>
            <w:hideMark/>
          </w:tcPr>
          <w:p w14:paraId="7EDD4ECE" w14:textId="77777777" w:rsidR="0006719B" w:rsidRPr="0006719B" w:rsidRDefault="0006719B" w:rsidP="00E3668C">
            <w:pPr>
              <w:rPr>
                <w:rFonts w:ascii="Calibri" w:hAnsi="Calibri"/>
                <w:color w:val="000000"/>
                <w:sz w:val="22"/>
                <w:szCs w:val="22"/>
                <w:lang w:eastAsia="en-GB"/>
              </w:rPr>
            </w:pPr>
            <w:r w:rsidRPr="0006719B">
              <w:rPr>
                <w:rFonts w:ascii="Calibri" w:hAnsi="Calibri"/>
                <w:color w:val="000000"/>
                <w:sz w:val="22"/>
                <w:szCs w:val="22"/>
                <w:lang w:eastAsia="en-GB"/>
              </w:rPr>
              <w:t>£98,000</w:t>
            </w:r>
          </w:p>
        </w:tc>
      </w:tr>
    </w:tbl>
    <w:p w14:paraId="2E25AA4F" w14:textId="77777777" w:rsidR="00F06550" w:rsidRDefault="00E3668C" w:rsidP="0006719B">
      <w:pPr>
        <w:pStyle w:val="EBBodyPara"/>
        <w:rPr>
          <w:sz w:val="20"/>
        </w:rPr>
      </w:pPr>
      <w:r>
        <w:t xml:space="preserve">                        </w:t>
      </w:r>
      <w:r w:rsidR="00F06550">
        <w:t xml:space="preserve">* </w:t>
      </w:r>
      <w:r w:rsidR="00F06550">
        <w:rPr>
          <w:sz w:val="20"/>
        </w:rPr>
        <w:t>Class V and Class VI/VI(A) vessels only</w:t>
      </w:r>
    </w:p>
    <w:p w14:paraId="76036293" w14:textId="77777777" w:rsidR="00E3668C" w:rsidRDefault="00E3668C" w:rsidP="0006719B">
      <w:pPr>
        <w:pStyle w:val="EBBodyPara"/>
      </w:pPr>
      <w:r>
        <w:t>To calculate, for example, the total purchasing cost</w:t>
      </w:r>
      <w:r w:rsidR="008B12D5">
        <w:t xml:space="preserve"> in 2019</w:t>
      </w:r>
      <w:r>
        <w:t xml:space="preserve"> in the low scenario you estimate the following: Multiply the number </w:t>
      </w:r>
      <w:r w:rsidR="008B12D5">
        <w:t>of vessels of more than 15m,141, by the number of additional extinguishers they require, 2,</w:t>
      </w:r>
      <w:r>
        <w:t xml:space="preserve"> plus one </w:t>
      </w:r>
      <w:r w:rsidR="008B12D5">
        <w:t>extinguisher</w:t>
      </w:r>
      <w:r>
        <w:t xml:space="preserve"> for each vessel of less than 15m ((141*</w:t>
      </w:r>
      <w:r w:rsidR="00A43C02">
        <w:t>2) +</w:t>
      </w:r>
      <w:r>
        <w:t>214</w:t>
      </w:r>
      <w:r w:rsidR="008B12D5">
        <w:t xml:space="preserve"> = 496). You then multiply this by the cost per extinguisher, £42 (496*42 = £20,832). The servicing cost of £150 is applied</w:t>
      </w:r>
      <w:r w:rsidR="00460306">
        <w:t xml:space="preserve"> annually</w:t>
      </w:r>
      <w:r w:rsidR="008B12D5">
        <w:t xml:space="preserve"> from 2020 onwards</w:t>
      </w:r>
      <w:r w:rsidR="00460306">
        <w:t>,</w:t>
      </w:r>
      <w:r w:rsidR="008B12D5">
        <w:t xml:space="preserve"> and discounted.</w:t>
      </w:r>
    </w:p>
    <w:p w14:paraId="7AE9A559" w14:textId="77777777" w:rsidR="00F06550" w:rsidRDefault="00F06550" w:rsidP="00F06550">
      <w:pPr>
        <w:pStyle w:val="Heading5"/>
        <w:keepNext/>
        <w:ind w:left="1077" w:hanging="1077"/>
        <w:rPr>
          <w:lang w:eastAsia="en-GB"/>
        </w:rPr>
      </w:pPr>
      <w:bookmarkStart w:id="39" w:name="_Ref519064413"/>
      <w:r>
        <w:rPr>
          <w:lang w:eastAsia="en-GB"/>
        </w:rPr>
        <w:t>Non-monetised costs</w:t>
      </w:r>
      <w:bookmarkEnd w:id="39"/>
    </w:p>
    <w:p w14:paraId="70794296" w14:textId="77777777" w:rsidR="00F06550" w:rsidRDefault="00F06550" w:rsidP="00F06550">
      <w:pPr>
        <w:pStyle w:val="EBBodyPara"/>
        <w:keepNext/>
      </w:pPr>
      <w:r>
        <w:t xml:space="preserve">The installation cost for portable fire extinguishers will vary depending on the specific arrangement of the vessel but is expected to be low. </w:t>
      </w:r>
    </w:p>
    <w:p w14:paraId="76FC6D0C" w14:textId="77777777" w:rsidR="00F06550" w:rsidRDefault="00F06550" w:rsidP="00F06550">
      <w:pPr>
        <w:pStyle w:val="Heading5"/>
        <w:keepNext/>
        <w:ind w:left="1077" w:hanging="1077"/>
      </w:pPr>
      <w:bookmarkStart w:id="40" w:name="_Ref519064640"/>
      <w:r>
        <w:t>Non-monetised benefits</w:t>
      </w:r>
      <w:bookmarkEnd w:id="40"/>
    </w:p>
    <w:p w14:paraId="4CF06F9A" w14:textId="77777777" w:rsidR="00F06550" w:rsidRPr="00EE51F1" w:rsidRDefault="00F06550" w:rsidP="00F06550">
      <w:pPr>
        <w:rPr>
          <w:sz w:val="22"/>
          <w:szCs w:val="22"/>
        </w:rPr>
      </w:pPr>
      <w:r w:rsidRPr="00EE51F1">
        <w:rPr>
          <w:sz w:val="22"/>
          <w:szCs w:val="22"/>
        </w:rPr>
        <w:t xml:space="preserve">Manual fire pumps require someone to ‘man the pump’, this can mean placing someone near a fire in enclosed/semi-enclosed spaces to operate the pump which could be dangerous, as pointed out by MAIB </w:t>
      </w:r>
      <w:r w:rsidRPr="00EE51F1">
        <w:rPr>
          <w:sz w:val="22"/>
          <w:szCs w:val="22"/>
        </w:rPr>
        <w:lastRenderedPageBreak/>
        <w:t>reports</w:t>
      </w:r>
      <w:r w:rsidRPr="00EE51F1">
        <w:rPr>
          <w:rStyle w:val="FootnoteReference"/>
          <w:szCs w:val="22"/>
        </w:rPr>
        <w:footnoteReference w:id="14"/>
      </w:r>
      <w:r w:rsidRPr="00EE51F1">
        <w:rPr>
          <w:sz w:val="22"/>
          <w:szCs w:val="22"/>
        </w:rPr>
        <w:t xml:space="preserve">. Hand fire pumps require a crew member to pump water in addition to the crew fighting the fire. Crew pumping water could be carrying out other valuable duties in the event of a fire, such as marshalling of passengers, navigation etc. </w:t>
      </w:r>
    </w:p>
    <w:p w14:paraId="3EF645BB" w14:textId="77777777" w:rsidR="00F06550" w:rsidRPr="00EE51F1" w:rsidRDefault="00F06550" w:rsidP="00F06550">
      <w:pPr>
        <w:rPr>
          <w:sz w:val="22"/>
          <w:szCs w:val="22"/>
        </w:rPr>
      </w:pPr>
    </w:p>
    <w:p w14:paraId="08DDE829" w14:textId="77777777" w:rsidR="00F06550" w:rsidRPr="00EE51F1" w:rsidRDefault="00F06550" w:rsidP="00F06550">
      <w:pPr>
        <w:rPr>
          <w:sz w:val="22"/>
          <w:szCs w:val="22"/>
        </w:rPr>
      </w:pPr>
      <w:r w:rsidRPr="00EE51F1">
        <w:rPr>
          <w:sz w:val="22"/>
          <w:szCs w:val="22"/>
        </w:rPr>
        <w:t xml:space="preserve">Powered fire pumps and fire extinguishers do not require crew to man the pump, therefore all effort can be focused on the initial firefighting. Fire extinguishers and fire pumps are more immediately available, this may allow for rapid fire fighting and prevent the fire spreading. </w:t>
      </w:r>
    </w:p>
    <w:p w14:paraId="44201C79" w14:textId="77777777" w:rsidR="00F06550" w:rsidRPr="00EE51F1" w:rsidRDefault="00F06550" w:rsidP="00F06550">
      <w:pPr>
        <w:rPr>
          <w:sz w:val="22"/>
          <w:szCs w:val="22"/>
        </w:rPr>
      </w:pPr>
    </w:p>
    <w:p w14:paraId="1EF134E9" w14:textId="77777777" w:rsidR="00F06550" w:rsidRDefault="00F06550" w:rsidP="00F06550">
      <w:r w:rsidRPr="00EE51F1">
        <w:rPr>
          <w:sz w:val="22"/>
          <w:szCs w:val="22"/>
        </w:rPr>
        <w:t>Note, where portable fire extinguishers are provided in lieu of a powered fire pumps, the hand fire pumps will still be available onboard for secondary firefighting duties, such as boundary cooling, this has proven an effective arrangement in previous incidents</w:t>
      </w:r>
      <w:r>
        <w:rPr>
          <w:rStyle w:val="FootnoteReference"/>
        </w:rPr>
        <w:footnoteReference w:id="15"/>
      </w:r>
      <w:r>
        <w:t xml:space="preserve">. </w:t>
      </w:r>
    </w:p>
    <w:p w14:paraId="26879827" w14:textId="77777777" w:rsidR="00F06550" w:rsidRPr="00E7214E" w:rsidRDefault="00F06550" w:rsidP="00F06550">
      <w:pPr>
        <w:pStyle w:val="Heading4"/>
        <w:keepNext/>
        <w:spacing w:line="256" w:lineRule="auto"/>
        <w:ind w:left="902" w:hanging="902"/>
      </w:pPr>
      <w:r w:rsidRPr="00F37425">
        <w:rPr>
          <w:bCs w:val="0"/>
        </w:rPr>
        <w:t>Fire protection – Containment of fire</w:t>
      </w:r>
    </w:p>
    <w:p w14:paraId="3AE4CAEA" w14:textId="77777777" w:rsidR="00F06550" w:rsidRDefault="00F06550" w:rsidP="00F06550">
      <w:pPr>
        <w:pStyle w:val="EBBodyPara"/>
        <w:keepNext/>
      </w:pPr>
      <w:r>
        <w:t xml:space="preserve">In certain areas, the requirements relating to the containment of fire for existing vessels do not align with those for new vessels, particularly with respect to </w:t>
      </w:r>
      <w:r w:rsidR="00BC186E">
        <w:t xml:space="preserve">protection of certain machinery spaces, </w:t>
      </w:r>
      <w:r>
        <w:t>galley</w:t>
      </w:r>
      <w:r w:rsidR="00BC186E">
        <w:t>s</w:t>
      </w:r>
      <w:r>
        <w:t xml:space="preserve"> and life-saving appliances protection. </w:t>
      </w:r>
    </w:p>
    <w:p w14:paraId="76493611" w14:textId="77777777" w:rsidR="00F06550" w:rsidRDefault="00F06550" w:rsidP="00F06550">
      <w:pPr>
        <w:pStyle w:val="EBBodyPara"/>
        <w:keepNext/>
      </w:pPr>
      <w:r>
        <w:t xml:space="preserve">It is proposed to address this by requiring that the fire protection of </w:t>
      </w:r>
      <w:r w:rsidR="00BC186E">
        <w:t xml:space="preserve">these areas </w:t>
      </w:r>
      <w:r>
        <w:t xml:space="preserve">be revised in line with modern standards. This may, in some cases, mean increasing additional fire protection. This is normally achieved by adding suitable insulation and/or by replacing doors with ones more suitable for containing fires. </w:t>
      </w:r>
    </w:p>
    <w:p w14:paraId="71AC19D1" w14:textId="77777777" w:rsidR="00F06550" w:rsidRDefault="00F06550" w:rsidP="00F06550">
      <w:pPr>
        <w:pStyle w:val="Heading5"/>
        <w:keepNext/>
        <w:ind w:left="1077" w:hanging="1077"/>
        <w:rPr>
          <w:lang w:eastAsia="en-GB"/>
        </w:rPr>
      </w:pPr>
      <w:bookmarkStart w:id="41" w:name="_Ref519064415"/>
      <w:r>
        <w:rPr>
          <w:lang w:eastAsia="en-GB"/>
        </w:rPr>
        <w:t>Non-monetised costs</w:t>
      </w:r>
      <w:bookmarkEnd w:id="41"/>
    </w:p>
    <w:p w14:paraId="726759A3" w14:textId="77777777" w:rsidR="00F06550" w:rsidRDefault="00F06550" w:rsidP="00F06550">
      <w:pPr>
        <w:pStyle w:val="EBBodyPara"/>
      </w:pPr>
      <w:r>
        <w:t xml:space="preserve">The number of </w:t>
      </w:r>
      <w:r w:rsidR="00BC186E">
        <w:t>areas</w:t>
      </w:r>
      <w:r>
        <w:t xml:space="preserve"> requiring fire protection is not known but is expected to be extremely low. In most cases, it is expected that the level of fire protection will already be adequate (due to the inherent structure of the vessel). Minor modifications may be required in some instances though MCA surveyors are not aware of any vessels requiring additional protection. This requirement has been added to the regulations to make explicit what is otherwise sensible safety practise.</w:t>
      </w:r>
    </w:p>
    <w:p w14:paraId="01E6C605" w14:textId="77777777" w:rsidR="00F06550" w:rsidRDefault="00F06550" w:rsidP="00F06550">
      <w:pPr>
        <w:pStyle w:val="EBBodyPara"/>
      </w:pPr>
      <w:r>
        <w:t xml:space="preserve">Where additional modifications are required, it will most likely to be in the form of adding suitable insulation. The cost of this is not expected to be very significant. </w:t>
      </w:r>
    </w:p>
    <w:p w14:paraId="0D474E6A" w14:textId="77777777" w:rsidR="00F06550" w:rsidRDefault="00F06550" w:rsidP="00F06550">
      <w:pPr>
        <w:pStyle w:val="Heading5"/>
        <w:keepNext/>
        <w:ind w:left="1077" w:hanging="1077"/>
        <w:rPr>
          <w:lang w:eastAsia="en-GB"/>
        </w:rPr>
      </w:pPr>
      <w:bookmarkStart w:id="42" w:name="_Ref519064643"/>
      <w:r>
        <w:rPr>
          <w:lang w:eastAsia="en-GB"/>
        </w:rPr>
        <w:t>Non-monetised benefits</w:t>
      </w:r>
      <w:bookmarkEnd w:id="42"/>
    </w:p>
    <w:p w14:paraId="0397EC84" w14:textId="77777777" w:rsidR="00F06550" w:rsidRDefault="00F06550" w:rsidP="00F06550">
      <w:pPr>
        <w:pStyle w:val="EBBodyPara"/>
      </w:pPr>
      <w:r>
        <w:t>Fire protection in hazardous areas prevents the spread of fire throughout the vessels and allows for effective firefighting. This is particularly important on vessels constructed of combustible materials (wood and glass fibre) as seen in previous incidents</w:t>
      </w:r>
      <w:r>
        <w:rPr>
          <w:rStyle w:val="FootnoteReference"/>
        </w:rPr>
        <w:footnoteReference w:id="16"/>
      </w:r>
    </w:p>
    <w:p w14:paraId="76592A4E" w14:textId="77777777" w:rsidR="00F06550" w:rsidRPr="00E7214E" w:rsidRDefault="00F06550" w:rsidP="00F06550">
      <w:pPr>
        <w:pStyle w:val="Heading4"/>
        <w:keepNext/>
        <w:spacing w:line="256" w:lineRule="auto"/>
        <w:ind w:left="902" w:hanging="902"/>
      </w:pPr>
      <w:r w:rsidRPr="00F37425">
        <w:rPr>
          <w:bCs w:val="0"/>
        </w:rPr>
        <w:t xml:space="preserve">Bilge Pumping Arrangements </w:t>
      </w:r>
    </w:p>
    <w:p w14:paraId="55B8E348" w14:textId="77777777" w:rsidR="00F06550" w:rsidRDefault="00F06550" w:rsidP="00F06550">
      <w:pPr>
        <w:pStyle w:val="EBBodyPara"/>
        <w:keepNext/>
      </w:pPr>
      <w:r>
        <w:t xml:space="preserve">Current requirement </w:t>
      </w:r>
      <w:r w:rsidR="00A43C02">
        <w:t>makes</w:t>
      </w:r>
      <w:r>
        <w:t xml:space="preserve"> use of hand powered pumps for pumping bilges. It is proposed to require bilge pumping capacity to be met with powered pumps. This amendment would cease the use of hand pumps to fulfil capacity and would mean that pumping could be achieved with a more efficient use of limited crew and without the possibility of asking passengers to ‘man the pumps’ in the event of water ingress.</w:t>
      </w:r>
    </w:p>
    <w:p w14:paraId="30F41826" w14:textId="77777777" w:rsidR="00F06550" w:rsidRDefault="00F06550" w:rsidP="00F06550">
      <w:pPr>
        <w:pStyle w:val="EBBodyPara"/>
        <w:keepNext/>
      </w:pPr>
      <w:r>
        <w:t xml:space="preserve">It is acknowledged that the engines and arrangements of many vessels may be unsuitable for fixed powered bilge pumps. Equivalent arrangements for smaller vessels by the carriage of portable pumps would be acceptable. </w:t>
      </w:r>
    </w:p>
    <w:p w14:paraId="1F4F3F3A" w14:textId="77777777" w:rsidR="00F06550" w:rsidRDefault="00F06550" w:rsidP="00F06550">
      <w:pPr>
        <w:pStyle w:val="Heading5"/>
        <w:keepNext/>
        <w:ind w:left="1077" w:hanging="1077"/>
        <w:rPr>
          <w:lang w:eastAsia="en-GB"/>
        </w:rPr>
      </w:pPr>
      <w:bookmarkStart w:id="43" w:name="_Ref518990598"/>
      <w:r>
        <w:rPr>
          <w:lang w:eastAsia="en-GB"/>
        </w:rPr>
        <w:t>Monetised costs</w:t>
      </w:r>
      <w:bookmarkEnd w:id="43"/>
    </w:p>
    <w:p w14:paraId="3E394A3E" w14:textId="77777777" w:rsidR="00F06550" w:rsidRDefault="00F06550" w:rsidP="00F06550">
      <w:pPr>
        <w:pStyle w:val="EBBodyPara"/>
      </w:pPr>
      <w:r>
        <w:t>The cost of purchasing and installing bilge pumps will be dependent on the specific vessel. However, we have been able to estimate a range of purchasing and installing costs, provided to us by suppliers:</w:t>
      </w:r>
    </w:p>
    <w:tbl>
      <w:tblPr>
        <w:tblStyle w:val="PlainTable2"/>
        <w:tblW w:w="7640" w:type="dxa"/>
        <w:jc w:val="center"/>
        <w:tblLook w:val="04A0" w:firstRow="1" w:lastRow="0" w:firstColumn="1" w:lastColumn="0" w:noHBand="0" w:noVBand="1"/>
      </w:tblPr>
      <w:tblGrid>
        <w:gridCol w:w="3740"/>
        <w:gridCol w:w="1300"/>
        <w:gridCol w:w="1300"/>
        <w:gridCol w:w="1300"/>
      </w:tblGrid>
      <w:tr w:rsidR="003735E6" w14:paraId="19FAF9DD" w14:textId="77777777" w:rsidTr="00BB40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40" w:type="dxa"/>
            <w:gridSpan w:val="4"/>
            <w:tcBorders>
              <w:top w:val="nil"/>
              <w:left w:val="nil"/>
              <w:right w:val="nil"/>
            </w:tcBorders>
            <w:noWrap/>
          </w:tcPr>
          <w:p w14:paraId="36E212E0" w14:textId="77777777" w:rsidR="003735E6" w:rsidRPr="003735E6" w:rsidRDefault="00940A7B" w:rsidP="00036380">
            <w:pPr>
              <w:pStyle w:val="EBBodyPara"/>
              <w:spacing w:before="40" w:after="40"/>
              <w:rPr>
                <w:b w:val="0"/>
                <w:bCs/>
                <w:i/>
              </w:rPr>
            </w:pPr>
            <w:r w:rsidRPr="00E65663">
              <w:rPr>
                <w:b w:val="0"/>
                <w:bCs/>
                <w:i/>
              </w:rPr>
              <w:t>Table 17</w:t>
            </w:r>
            <w:r w:rsidR="003735E6" w:rsidRPr="003735E6">
              <w:rPr>
                <w:b w:val="0"/>
                <w:bCs/>
                <w:i/>
              </w:rPr>
              <w:t>: Cost of purchasing and installation of Powered Pumps</w:t>
            </w:r>
          </w:p>
        </w:tc>
      </w:tr>
      <w:tr w:rsidR="00F06550" w14:paraId="61EB911F" w14:textId="77777777" w:rsidTr="00F065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4C5048A2" w14:textId="77777777" w:rsidR="00F06550" w:rsidRDefault="003735E6" w:rsidP="00036380">
            <w:pPr>
              <w:pStyle w:val="EBBodyPara"/>
              <w:spacing w:before="40" w:after="40"/>
              <w:rPr>
                <w:bCs/>
              </w:rPr>
            </w:pPr>
            <w:r>
              <w:rPr>
                <w:bCs/>
              </w:rPr>
              <w:t>Cost per vessel</w:t>
            </w:r>
          </w:p>
        </w:tc>
        <w:tc>
          <w:tcPr>
            <w:tcW w:w="1300" w:type="dxa"/>
            <w:tcBorders>
              <w:left w:val="nil"/>
              <w:right w:val="nil"/>
            </w:tcBorders>
            <w:noWrap/>
            <w:hideMark/>
          </w:tcPr>
          <w:p w14:paraId="3EFF5547" w14:textId="77777777" w:rsidR="00F06550" w:rsidRDefault="00F06550" w:rsidP="00036380">
            <w:pPr>
              <w:pStyle w:val="EBBodyPara"/>
              <w:spacing w:before="40" w:after="40"/>
              <w:cnfStyle w:val="000000100000" w:firstRow="0" w:lastRow="0" w:firstColumn="0" w:lastColumn="0" w:oddVBand="0" w:evenVBand="0" w:oddHBand="1" w:evenHBand="0" w:firstRowFirstColumn="0" w:firstRowLastColumn="0" w:lastRowFirstColumn="0" w:lastRowLastColumn="0"/>
              <w:rPr>
                <w:bCs w:val="0"/>
              </w:rPr>
            </w:pPr>
            <w:r>
              <w:rPr>
                <w:bCs w:val="0"/>
              </w:rPr>
              <w:t>Low</w:t>
            </w:r>
          </w:p>
        </w:tc>
        <w:tc>
          <w:tcPr>
            <w:tcW w:w="1300" w:type="dxa"/>
            <w:tcBorders>
              <w:left w:val="nil"/>
              <w:right w:val="nil"/>
            </w:tcBorders>
            <w:noWrap/>
            <w:hideMark/>
          </w:tcPr>
          <w:p w14:paraId="64776A3E" w14:textId="77777777" w:rsidR="00F06550" w:rsidRDefault="00F06550" w:rsidP="00036380">
            <w:pPr>
              <w:pStyle w:val="EBBodyPara"/>
              <w:spacing w:before="40" w:after="40"/>
              <w:cnfStyle w:val="000000100000" w:firstRow="0" w:lastRow="0" w:firstColumn="0" w:lastColumn="0" w:oddVBand="0" w:evenVBand="0" w:oddHBand="1" w:evenHBand="0" w:firstRowFirstColumn="0" w:firstRowLastColumn="0" w:lastRowFirstColumn="0" w:lastRowLastColumn="0"/>
              <w:rPr>
                <w:bCs w:val="0"/>
              </w:rPr>
            </w:pPr>
            <w:r>
              <w:rPr>
                <w:bCs w:val="0"/>
              </w:rPr>
              <w:t>Central</w:t>
            </w:r>
          </w:p>
        </w:tc>
        <w:tc>
          <w:tcPr>
            <w:tcW w:w="1300" w:type="dxa"/>
            <w:tcBorders>
              <w:left w:val="nil"/>
              <w:right w:val="nil"/>
            </w:tcBorders>
            <w:noWrap/>
            <w:hideMark/>
          </w:tcPr>
          <w:p w14:paraId="5433CA7A" w14:textId="77777777" w:rsidR="00F06550" w:rsidRDefault="00F06550" w:rsidP="00036380">
            <w:pPr>
              <w:pStyle w:val="EBBodyPara"/>
              <w:spacing w:before="40" w:after="40"/>
              <w:cnfStyle w:val="000000100000" w:firstRow="0" w:lastRow="0" w:firstColumn="0" w:lastColumn="0" w:oddVBand="0" w:evenVBand="0" w:oddHBand="1" w:evenHBand="0" w:firstRowFirstColumn="0" w:firstRowLastColumn="0" w:lastRowFirstColumn="0" w:lastRowLastColumn="0"/>
              <w:rPr>
                <w:bCs w:val="0"/>
              </w:rPr>
            </w:pPr>
            <w:r>
              <w:rPr>
                <w:bCs w:val="0"/>
              </w:rPr>
              <w:t>High</w:t>
            </w:r>
          </w:p>
        </w:tc>
      </w:tr>
      <w:tr w:rsidR="00F06550" w14:paraId="236CA1C7" w14:textId="77777777" w:rsidTr="00F06550">
        <w:trPr>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252B3432" w14:textId="77777777" w:rsidR="00F06550" w:rsidRPr="008749FB" w:rsidRDefault="00F06550" w:rsidP="00036380">
            <w:pPr>
              <w:pStyle w:val="EBBodyPara"/>
              <w:spacing w:before="40" w:after="40"/>
              <w:rPr>
                <w:b w:val="0"/>
                <w:bCs/>
              </w:rPr>
            </w:pPr>
            <w:r w:rsidRPr="008749FB">
              <w:rPr>
                <w:b w:val="0"/>
                <w:bCs/>
              </w:rPr>
              <w:t>Purchasing &amp; Installing</w:t>
            </w:r>
          </w:p>
        </w:tc>
        <w:tc>
          <w:tcPr>
            <w:tcW w:w="1300" w:type="dxa"/>
            <w:tcBorders>
              <w:left w:val="nil"/>
              <w:right w:val="nil"/>
            </w:tcBorders>
            <w:noWrap/>
            <w:hideMark/>
          </w:tcPr>
          <w:p w14:paraId="057E2527"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£830</w:t>
            </w:r>
          </w:p>
        </w:tc>
        <w:tc>
          <w:tcPr>
            <w:tcW w:w="1300" w:type="dxa"/>
            <w:tcBorders>
              <w:left w:val="nil"/>
              <w:right w:val="nil"/>
            </w:tcBorders>
            <w:noWrap/>
            <w:hideMark/>
          </w:tcPr>
          <w:p w14:paraId="53640B7B"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£1,895</w:t>
            </w:r>
          </w:p>
        </w:tc>
        <w:tc>
          <w:tcPr>
            <w:tcW w:w="1300" w:type="dxa"/>
            <w:tcBorders>
              <w:left w:val="nil"/>
              <w:right w:val="nil"/>
            </w:tcBorders>
            <w:noWrap/>
            <w:hideMark/>
          </w:tcPr>
          <w:p w14:paraId="40193E02"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£2,960</w:t>
            </w:r>
          </w:p>
        </w:tc>
      </w:tr>
    </w:tbl>
    <w:p w14:paraId="19871AF9" w14:textId="77777777" w:rsidR="00F06550" w:rsidRDefault="00F06550" w:rsidP="00F06550">
      <w:pPr>
        <w:rPr>
          <w:lang w:eastAsia="en-GB"/>
        </w:rPr>
      </w:pPr>
    </w:p>
    <w:p w14:paraId="6F228777" w14:textId="62EB7A41" w:rsidR="00F06550" w:rsidRDefault="00F06550" w:rsidP="00F06550">
      <w:pPr>
        <w:pStyle w:val="EBBodyPara"/>
      </w:pPr>
      <w:r>
        <w:t>Based on MCA administrative records, we are able to estimate the number of vessels that will require powered bilge pumps:</w:t>
      </w:r>
    </w:p>
    <w:tbl>
      <w:tblPr>
        <w:tblStyle w:val="PlainTable2"/>
        <w:tblW w:w="5000" w:type="pct"/>
        <w:jc w:val="center"/>
        <w:tblLayout w:type="fixed"/>
        <w:tblLook w:val="06A0" w:firstRow="1" w:lastRow="0" w:firstColumn="1" w:lastColumn="0" w:noHBand="1" w:noVBand="1"/>
      </w:tblPr>
      <w:tblGrid>
        <w:gridCol w:w="850"/>
        <w:gridCol w:w="6096"/>
        <w:gridCol w:w="1844"/>
        <w:gridCol w:w="1757"/>
      </w:tblGrid>
      <w:tr w:rsidR="003735E6" w14:paraId="7DA262F0" w14:textId="77777777" w:rsidTr="00BB40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il"/>
              <w:left w:val="nil"/>
              <w:right w:val="nil"/>
            </w:tcBorders>
            <w:noWrap/>
          </w:tcPr>
          <w:p w14:paraId="1AB3C53D" w14:textId="77777777" w:rsidR="003735E6" w:rsidRPr="003735E6" w:rsidRDefault="00940A7B" w:rsidP="003735E6">
            <w:pPr>
              <w:pStyle w:val="EBBodyPara"/>
              <w:spacing w:before="40" w:after="40"/>
              <w:rPr>
                <w:b w:val="0"/>
                <w:bCs/>
                <w:i/>
              </w:rPr>
            </w:pPr>
            <w:r w:rsidRPr="00E65663">
              <w:rPr>
                <w:b w:val="0"/>
                <w:bCs/>
                <w:i/>
              </w:rPr>
              <w:t>Table 18</w:t>
            </w:r>
            <w:r w:rsidR="003735E6" w:rsidRPr="003735E6">
              <w:rPr>
                <w:b w:val="0"/>
                <w:bCs/>
                <w:i/>
              </w:rPr>
              <w:t>: An overview of the number of vessels affected by additional bilge pump requirements</w:t>
            </w:r>
          </w:p>
        </w:tc>
      </w:tr>
      <w:tr w:rsidR="00F06550" w14:paraId="7B954B6B"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single" w:sz="4" w:space="0" w:color="7F7F7F" w:themeColor="text1" w:themeTint="80"/>
              <w:left w:val="nil"/>
              <w:bottom w:val="single" w:sz="4" w:space="0" w:color="auto"/>
              <w:right w:val="nil"/>
            </w:tcBorders>
            <w:noWrap/>
            <w:hideMark/>
          </w:tcPr>
          <w:p w14:paraId="59BA90B7" w14:textId="77777777" w:rsidR="00F06550" w:rsidRPr="003735E6" w:rsidRDefault="00F06550" w:rsidP="00036380">
            <w:pPr>
              <w:pStyle w:val="EBBodyPara"/>
              <w:spacing w:before="40" w:after="40"/>
              <w:rPr>
                <w:bCs/>
              </w:rPr>
            </w:pPr>
            <w:r w:rsidRPr="003735E6">
              <w:rPr>
                <w:bCs/>
              </w:rPr>
              <w:t>Class</w:t>
            </w:r>
          </w:p>
        </w:tc>
        <w:tc>
          <w:tcPr>
            <w:tcW w:w="2890" w:type="pct"/>
            <w:tcBorders>
              <w:top w:val="single" w:sz="4" w:space="0" w:color="7F7F7F" w:themeColor="text1" w:themeTint="80"/>
              <w:left w:val="nil"/>
              <w:bottom w:val="single" w:sz="4" w:space="0" w:color="auto"/>
              <w:right w:val="nil"/>
            </w:tcBorders>
            <w:noWrap/>
            <w:hideMark/>
          </w:tcPr>
          <w:p w14:paraId="654E9C50" w14:textId="77777777" w:rsidR="00F06550" w:rsidRPr="003735E6"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rPr>
                <w:b/>
                <w:bCs w:val="0"/>
              </w:rPr>
            </w:pPr>
            <w:r w:rsidRPr="003735E6">
              <w:rPr>
                <w:b/>
                <w:bCs w:val="0"/>
              </w:rPr>
              <w:t>Category</w:t>
            </w:r>
          </w:p>
        </w:tc>
        <w:tc>
          <w:tcPr>
            <w:tcW w:w="874" w:type="pct"/>
            <w:tcBorders>
              <w:top w:val="single" w:sz="4" w:space="0" w:color="7F7F7F" w:themeColor="text1" w:themeTint="80"/>
              <w:left w:val="nil"/>
              <w:bottom w:val="single" w:sz="4" w:space="0" w:color="auto"/>
              <w:right w:val="nil"/>
            </w:tcBorders>
            <w:noWrap/>
            <w:hideMark/>
          </w:tcPr>
          <w:p w14:paraId="13CF8F1E" w14:textId="77777777" w:rsidR="00F06550" w:rsidRPr="003735E6"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rPr>
                <w:b/>
                <w:bCs w:val="0"/>
              </w:rPr>
            </w:pPr>
            <w:r w:rsidRPr="003735E6">
              <w:rPr>
                <w:b/>
                <w:bCs w:val="0"/>
              </w:rPr>
              <w:t>Number of passengers</w:t>
            </w:r>
          </w:p>
        </w:tc>
        <w:tc>
          <w:tcPr>
            <w:tcW w:w="833" w:type="pct"/>
            <w:tcBorders>
              <w:top w:val="single" w:sz="4" w:space="0" w:color="7F7F7F" w:themeColor="text1" w:themeTint="80"/>
              <w:left w:val="nil"/>
              <w:bottom w:val="single" w:sz="4" w:space="0" w:color="auto"/>
              <w:right w:val="nil"/>
            </w:tcBorders>
            <w:noWrap/>
            <w:hideMark/>
          </w:tcPr>
          <w:p w14:paraId="1CB23483" w14:textId="77777777" w:rsidR="00F06550" w:rsidRPr="003735E6" w:rsidRDefault="003735E6" w:rsidP="00036380">
            <w:pPr>
              <w:pStyle w:val="EBBodyPara"/>
              <w:spacing w:before="40" w:after="40"/>
              <w:cnfStyle w:val="000000000000" w:firstRow="0" w:lastRow="0" w:firstColumn="0" w:lastColumn="0" w:oddVBand="0" w:evenVBand="0" w:oddHBand="0" w:evenHBand="0" w:firstRowFirstColumn="0" w:firstRowLastColumn="0" w:lastRowFirstColumn="0" w:lastRowLastColumn="0"/>
              <w:rPr>
                <w:b/>
                <w:bCs w:val="0"/>
              </w:rPr>
            </w:pPr>
            <w:r>
              <w:rPr>
                <w:b/>
                <w:bCs w:val="0"/>
              </w:rPr>
              <w:t xml:space="preserve">No. of </w:t>
            </w:r>
            <w:r w:rsidR="00F06550" w:rsidRPr="003735E6">
              <w:rPr>
                <w:b/>
                <w:bCs w:val="0"/>
              </w:rPr>
              <w:t>Vessels</w:t>
            </w:r>
          </w:p>
        </w:tc>
      </w:tr>
      <w:tr w:rsidR="00F06550" w14:paraId="44285DC4"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single" w:sz="4" w:space="0" w:color="auto"/>
              <w:left w:val="nil"/>
              <w:bottom w:val="nil"/>
              <w:right w:val="nil"/>
            </w:tcBorders>
            <w:noWrap/>
            <w:hideMark/>
          </w:tcPr>
          <w:p w14:paraId="297B532A" w14:textId="77777777" w:rsidR="00F06550" w:rsidRPr="003735E6" w:rsidRDefault="00F06550" w:rsidP="00036380">
            <w:pPr>
              <w:pStyle w:val="EBBodyPara"/>
              <w:spacing w:before="40" w:after="40"/>
              <w:rPr>
                <w:b w:val="0"/>
                <w:bCs/>
              </w:rPr>
            </w:pPr>
            <w:r w:rsidRPr="003735E6">
              <w:rPr>
                <w:b w:val="0"/>
                <w:bCs/>
              </w:rPr>
              <w:t>V</w:t>
            </w:r>
          </w:p>
        </w:tc>
        <w:tc>
          <w:tcPr>
            <w:tcW w:w="2890" w:type="pct"/>
            <w:tcBorders>
              <w:top w:val="single" w:sz="4" w:space="0" w:color="auto"/>
              <w:left w:val="nil"/>
              <w:bottom w:val="nil"/>
              <w:right w:val="nil"/>
            </w:tcBorders>
            <w:noWrap/>
            <w:hideMark/>
          </w:tcPr>
          <w:p w14:paraId="7B323F81"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All</w:t>
            </w:r>
          </w:p>
        </w:tc>
        <w:tc>
          <w:tcPr>
            <w:tcW w:w="874" w:type="pct"/>
            <w:tcBorders>
              <w:top w:val="single" w:sz="4" w:space="0" w:color="auto"/>
              <w:left w:val="nil"/>
              <w:bottom w:val="nil"/>
              <w:right w:val="nil"/>
            </w:tcBorders>
            <w:noWrap/>
            <w:hideMark/>
          </w:tcPr>
          <w:p w14:paraId="51BB427B"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All</w:t>
            </w:r>
          </w:p>
        </w:tc>
        <w:tc>
          <w:tcPr>
            <w:tcW w:w="833" w:type="pct"/>
            <w:tcBorders>
              <w:top w:val="single" w:sz="4" w:space="0" w:color="auto"/>
              <w:left w:val="nil"/>
              <w:bottom w:val="nil"/>
              <w:right w:val="nil"/>
            </w:tcBorders>
            <w:noWrap/>
            <w:hideMark/>
          </w:tcPr>
          <w:p w14:paraId="17F24406"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402</w:t>
            </w:r>
          </w:p>
        </w:tc>
      </w:tr>
      <w:tr w:rsidR="00F06550" w14:paraId="4DC84A4A"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nil"/>
              <w:left w:val="nil"/>
              <w:bottom w:val="nil"/>
              <w:right w:val="nil"/>
            </w:tcBorders>
            <w:noWrap/>
            <w:hideMark/>
          </w:tcPr>
          <w:p w14:paraId="5BA1FBE6" w14:textId="77777777" w:rsidR="00F06550" w:rsidRPr="003735E6" w:rsidRDefault="00F06550" w:rsidP="00036380">
            <w:pPr>
              <w:pStyle w:val="EBBodyPara"/>
              <w:spacing w:before="40" w:after="40"/>
              <w:rPr>
                <w:b w:val="0"/>
                <w:bCs/>
              </w:rPr>
            </w:pPr>
            <w:r w:rsidRPr="003735E6">
              <w:rPr>
                <w:b w:val="0"/>
                <w:bCs/>
              </w:rPr>
              <w:t xml:space="preserve">IV </w:t>
            </w:r>
          </w:p>
        </w:tc>
        <w:tc>
          <w:tcPr>
            <w:tcW w:w="2890" w:type="pct"/>
            <w:tcBorders>
              <w:top w:val="nil"/>
              <w:left w:val="nil"/>
              <w:bottom w:val="nil"/>
              <w:right w:val="nil"/>
            </w:tcBorders>
            <w:noWrap/>
            <w:hideMark/>
          </w:tcPr>
          <w:p w14:paraId="70497C45"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D</w:t>
            </w:r>
          </w:p>
        </w:tc>
        <w:tc>
          <w:tcPr>
            <w:tcW w:w="874" w:type="pct"/>
            <w:tcBorders>
              <w:top w:val="nil"/>
              <w:left w:val="nil"/>
              <w:bottom w:val="nil"/>
              <w:right w:val="nil"/>
            </w:tcBorders>
            <w:noWrap/>
            <w:hideMark/>
          </w:tcPr>
          <w:p w14:paraId="4E315B7A"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&gt;50</w:t>
            </w:r>
          </w:p>
        </w:tc>
        <w:tc>
          <w:tcPr>
            <w:tcW w:w="833" w:type="pct"/>
            <w:tcBorders>
              <w:top w:val="nil"/>
              <w:left w:val="nil"/>
              <w:bottom w:val="nil"/>
              <w:right w:val="nil"/>
            </w:tcBorders>
            <w:noWrap/>
            <w:hideMark/>
          </w:tcPr>
          <w:p w14:paraId="568F2D43"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6</w:t>
            </w:r>
          </w:p>
        </w:tc>
      </w:tr>
      <w:tr w:rsidR="00F06550" w14:paraId="2DD61D38"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nil"/>
              <w:left w:val="nil"/>
              <w:bottom w:val="nil"/>
              <w:right w:val="nil"/>
            </w:tcBorders>
            <w:noWrap/>
            <w:hideMark/>
          </w:tcPr>
          <w:p w14:paraId="17D6E8C1" w14:textId="77777777" w:rsidR="00F06550" w:rsidRPr="003735E6" w:rsidRDefault="00F06550" w:rsidP="00036380">
            <w:pPr>
              <w:pStyle w:val="EBBodyPara"/>
              <w:spacing w:before="40" w:after="40"/>
              <w:rPr>
                <w:b w:val="0"/>
                <w:bCs/>
              </w:rPr>
            </w:pPr>
            <w:r w:rsidRPr="003735E6">
              <w:rPr>
                <w:b w:val="0"/>
                <w:bCs/>
              </w:rPr>
              <w:t xml:space="preserve">VI </w:t>
            </w:r>
          </w:p>
        </w:tc>
        <w:tc>
          <w:tcPr>
            <w:tcW w:w="2890" w:type="pct"/>
            <w:tcBorders>
              <w:top w:val="nil"/>
              <w:left w:val="nil"/>
              <w:bottom w:val="nil"/>
              <w:right w:val="nil"/>
            </w:tcBorders>
            <w:noWrap/>
            <w:hideMark/>
          </w:tcPr>
          <w:p w14:paraId="2AABEEDC"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 xml:space="preserve">Seagoing &lt; </w:t>
            </w:r>
            <w:r w:rsidR="00507F3C">
              <w:t>10-mile</w:t>
            </w:r>
            <w:r>
              <w:t xml:space="preserve"> voyage, &lt; 1 mile from land</w:t>
            </w:r>
          </w:p>
        </w:tc>
        <w:tc>
          <w:tcPr>
            <w:tcW w:w="874" w:type="pct"/>
            <w:tcBorders>
              <w:top w:val="nil"/>
              <w:left w:val="nil"/>
              <w:bottom w:val="nil"/>
              <w:right w:val="nil"/>
            </w:tcBorders>
            <w:noWrap/>
            <w:hideMark/>
          </w:tcPr>
          <w:p w14:paraId="20F730FC"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≤100</w:t>
            </w:r>
          </w:p>
        </w:tc>
        <w:tc>
          <w:tcPr>
            <w:tcW w:w="833" w:type="pct"/>
            <w:tcBorders>
              <w:top w:val="nil"/>
              <w:left w:val="nil"/>
              <w:bottom w:val="nil"/>
              <w:right w:val="nil"/>
            </w:tcBorders>
            <w:noWrap/>
            <w:hideMark/>
          </w:tcPr>
          <w:p w14:paraId="461EFCD4"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111</w:t>
            </w:r>
          </w:p>
        </w:tc>
      </w:tr>
      <w:tr w:rsidR="00F06550" w14:paraId="5740E4C7"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nil"/>
              <w:left w:val="nil"/>
              <w:bottom w:val="nil"/>
              <w:right w:val="nil"/>
            </w:tcBorders>
            <w:noWrap/>
            <w:hideMark/>
          </w:tcPr>
          <w:p w14:paraId="0A2BBCC5" w14:textId="77777777" w:rsidR="00F06550" w:rsidRPr="003735E6" w:rsidRDefault="00F06550" w:rsidP="00036380">
            <w:pPr>
              <w:pStyle w:val="EBBodyPara"/>
              <w:spacing w:before="40" w:after="40"/>
              <w:rPr>
                <w:b w:val="0"/>
                <w:bCs/>
              </w:rPr>
            </w:pPr>
            <w:r w:rsidRPr="003735E6">
              <w:rPr>
                <w:b w:val="0"/>
                <w:bCs/>
              </w:rPr>
              <w:t>VI(A)</w:t>
            </w:r>
          </w:p>
        </w:tc>
        <w:tc>
          <w:tcPr>
            <w:tcW w:w="2890" w:type="pct"/>
            <w:tcBorders>
              <w:top w:val="nil"/>
              <w:left w:val="nil"/>
              <w:bottom w:val="nil"/>
              <w:right w:val="nil"/>
            </w:tcBorders>
            <w:noWrap/>
            <w:hideMark/>
          </w:tcPr>
          <w:p w14:paraId="4AF599B9"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To Isolated Communities &lt;6 Mile Voyage &lt;3 Mile from Land</w:t>
            </w:r>
          </w:p>
        </w:tc>
        <w:tc>
          <w:tcPr>
            <w:tcW w:w="874" w:type="pct"/>
            <w:tcBorders>
              <w:top w:val="nil"/>
              <w:left w:val="nil"/>
              <w:bottom w:val="nil"/>
              <w:right w:val="nil"/>
            </w:tcBorders>
            <w:noWrap/>
            <w:hideMark/>
          </w:tcPr>
          <w:p w14:paraId="4B1724F9"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≤50</w:t>
            </w:r>
          </w:p>
        </w:tc>
        <w:tc>
          <w:tcPr>
            <w:tcW w:w="833" w:type="pct"/>
            <w:tcBorders>
              <w:top w:val="nil"/>
              <w:left w:val="nil"/>
              <w:bottom w:val="nil"/>
              <w:right w:val="nil"/>
            </w:tcBorders>
            <w:noWrap/>
            <w:hideMark/>
          </w:tcPr>
          <w:p w14:paraId="51F24B55"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1</w:t>
            </w:r>
          </w:p>
        </w:tc>
      </w:tr>
      <w:tr w:rsidR="00F06550" w14:paraId="713C4C52"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nil"/>
              <w:left w:val="nil"/>
              <w:bottom w:val="single" w:sz="4" w:space="0" w:color="auto"/>
              <w:right w:val="nil"/>
            </w:tcBorders>
            <w:noWrap/>
            <w:hideMark/>
          </w:tcPr>
          <w:p w14:paraId="6F958B85" w14:textId="77777777" w:rsidR="00F06550" w:rsidRPr="003735E6" w:rsidRDefault="00F06550" w:rsidP="00036380">
            <w:pPr>
              <w:pStyle w:val="EBBodyPara"/>
              <w:spacing w:before="40" w:after="40"/>
              <w:rPr>
                <w:b w:val="0"/>
                <w:bCs/>
              </w:rPr>
            </w:pPr>
            <w:r w:rsidRPr="003735E6">
              <w:rPr>
                <w:b w:val="0"/>
                <w:bCs/>
              </w:rPr>
              <w:t xml:space="preserve">VI </w:t>
            </w:r>
          </w:p>
        </w:tc>
        <w:tc>
          <w:tcPr>
            <w:tcW w:w="2890" w:type="pct"/>
            <w:tcBorders>
              <w:top w:val="nil"/>
              <w:left w:val="nil"/>
              <w:bottom w:val="single" w:sz="4" w:space="0" w:color="auto"/>
              <w:right w:val="nil"/>
            </w:tcBorders>
            <w:noWrap/>
            <w:hideMark/>
          </w:tcPr>
          <w:p w14:paraId="5716565D"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 xml:space="preserve">Seagoing &lt; </w:t>
            </w:r>
            <w:r w:rsidR="00507F3C">
              <w:t>10-mile</w:t>
            </w:r>
            <w:r>
              <w:t xml:space="preserve"> voyage, &lt; 1 mile from land</w:t>
            </w:r>
          </w:p>
        </w:tc>
        <w:tc>
          <w:tcPr>
            <w:tcW w:w="874" w:type="pct"/>
            <w:tcBorders>
              <w:top w:val="nil"/>
              <w:left w:val="nil"/>
              <w:bottom w:val="single" w:sz="4" w:space="0" w:color="auto"/>
              <w:right w:val="nil"/>
            </w:tcBorders>
            <w:noWrap/>
            <w:hideMark/>
          </w:tcPr>
          <w:p w14:paraId="0EFC211A"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≤100</w:t>
            </w:r>
          </w:p>
        </w:tc>
        <w:tc>
          <w:tcPr>
            <w:tcW w:w="833" w:type="pct"/>
            <w:tcBorders>
              <w:top w:val="nil"/>
              <w:left w:val="nil"/>
              <w:bottom w:val="single" w:sz="4" w:space="0" w:color="auto"/>
              <w:right w:val="nil"/>
            </w:tcBorders>
            <w:noWrap/>
            <w:hideMark/>
          </w:tcPr>
          <w:p w14:paraId="798EAAD3" w14:textId="77777777" w:rsidR="00F06550"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t>19</w:t>
            </w:r>
          </w:p>
        </w:tc>
      </w:tr>
      <w:tr w:rsidR="00F06550" w14:paraId="05B5FEF6" w14:textId="77777777" w:rsidTr="003735E6">
        <w:trPr>
          <w:trHeight w:val="300"/>
          <w:jc w:val="center"/>
        </w:trPr>
        <w:tc>
          <w:tcPr>
            <w:cnfStyle w:val="001000000000" w:firstRow="0" w:lastRow="0" w:firstColumn="1" w:lastColumn="0" w:oddVBand="0" w:evenVBand="0" w:oddHBand="0" w:evenHBand="0" w:firstRowFirstColumn="0" w:firstRowLastColumn="0" w:lastRowFirstColumn="0" w:lastRowLastColumn="0"/>
            <w:tcW w:w="403" w:type="pct"/>
            <w:tcBorders>
              <w:top w:val="single" w:sz="4" w:space="0" w:color="auto"/>
              <w:left w:val="nil"/>
              <w:bottom w:val="single" w:sz="4" w:space="0" w:color="7F7F7F" w:themeColor="text1" w:themeTint="80"/>
              <w:right w:val="nil"/>
            </w:tcBorders>
            <w:noWrap/>
            <w:hideMark/>
          </w:tcPr>
          <w:p w14:paraId="3148E6BE" w14:textId="77777777" w:rsidR="00F06550" w:rsidRPr="003735E6" w:rsidRDefault="003735E6" w:rsidP="00036380">
            <w:pPr>
              <w:rPr>
                <w:b w:val="0"/>
              </w:rPr>
            </w:pPr>
            <w:r w:rsidRPr="003735E6">
              <w:rPr>
                <w:b w:val="0"/>
              </w:rPr>
              <w:t>Total</w:t>
            </w:r>
          </w:p>
        </w:tc>
        <w:tc>
          <w:tcPr>
            <w:tcW w:w="2890" w:type="pct"/>
            <w:tcBorders>
              <w:top w:val="single" w:sz="4" w:space="0" w:color="auto"/>
              <w:left w:val="nil"/>
              <w:bottom w:val="single" w:sz="4" w:space="0" w:color="7F7F7F" w:themeColor="text1" w:themeTint="80"/>
              <w:right w:val="nil"/>
            </w:tcBorders>
            <w:noWrap/>
            <w:hideMark/>
          </w:tcPr>
          <w:p w14:paraId="54C8D1BA" w14:textId="77777777" w:rsidR="00F06550" w:rsidRPr="003735E6" w:rsidRDefault="00F06550" w:rsidP="0003638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874" w:type="pct"/>
            <w:tcBorders>
              <w:top w:val="single" w:sz="4" w:space="0" w:color="auto"/>
              <w:left w:val="nil"/>
              <w:bottom w:val="single" w:sz="4" w:space="0" w:color="7F7F7F" w:themeColor="text1" w:themeTint="80"/>
              <w:right w:val="nil"/>
            </w:tcBorders>
            <w:noWrap/>
            <w:hideMark/>
          </w:tcPr>
          <w:p w14:paraId="3722AA15" w14:textId="77777777" w:rsidR="00F06550" w:rsidRPr="003735E6" w:rsidRDefault="00F06550" w:rsidP="00036380">
            <w:pP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eastAsia="en-GB"/>
              </w:rPr>
            </w:pPr>
          </w:p>
        </w:tc>
        <w:tc>
          <w:tcPr>
            <w:tcW w:w="833" w:type="pct"/>
            <w:tcBorders>
              <w:top w:val="single" w:sz="4" w:space="0" w:color="auto"/>
              <w:left w:val="nil"/>
              <w:bottom w:val="single" w:sz="4" w:space="0" w:color="7F7F7F" w:themeColor="text1" w:themeTint="80"/>
              <w:right w:val="nil"/>
            </w:tcBorders>
            <w:noWrap/>
            <w:hideMark/>
          </w:tcPr>
          <w:p w14:paraId="47E3B57B" w14:textId="77777777" w:rsidR="00F06550" w:rsidRPr="003735E6" w:rsidRDefault="00F06550" w:rsidP="00036380">
            <w:pPr>
              <w:pStyle w:val="EBBodyPara"/>
              <w:spacing w:before="40" w:after="40"/>
              <w:cnfStyle w:val="000000000000" w:firstRow="0" w:lastRow="0" w:firstColumn="0" w:lastColumn="0" w:oddVBand="0" w:evenVBand="0" w:oddHBand="0" w:evenHBand="0" w:firstRowFirstColumn="0" w:firstRowLastColumn="0" w:lastRowFirstColumn="0" w:lastRowLastColumn="0"/>
            </w:pPr>
            <w:r w:rsidRPr="003735E6">
              <w:t>539</w:t>
            </w:r>
          </w:p>
        </w:tc>
      </w:tr>
    </w:tbl>
    <w:p w14:paraId="3202DD96" w14:textId="77777777" w:rsidR="00F06550" w:rsidRDefault="00F06550" w:rsidP="00F06550">
      <w:pPr>
        <w:pStyle w:val="EBBodyPara"/>
      </w:pPr>
    </w:p>
    <w:p w14:paraId="32FBA281" w14:textId="77777777" w:rsidR="00F06550" w:rsidRDefault="00F06550" w:rsidP="00F06550">
      <w:pPr>
        <w:pStyle w:val="EBBodyPara"/>
      </w:pPr>
      <w:r>
        <w:t>The total costs are therefore as follows:</w:t>
      </w:r>
    </w:p>
    <w:tbl>
      <w:tblPr>
        <w:tblW w:w="9330" w:type="dxa"/>
        <w:jc w:val="center"/>
        <w:tblLook w:val="04A0" w:firstRow="1" w:lastRow="0" w:firstColumn="1" w:lastColumn="0" w:noHBand="0" w:noVBand="1"/>
      </w:tblPr>
      <w:tblGrid>
        <w:gridCol w:w="5560"/>
        <w:gridCol w:w="1134"/>
        <w:gridCol w:w="1318"/>
        <w:gridCol w:w="1318"/>
      </w:tblGrid>
      <w:tr w:rsidR="00036380" w:rsidRPr="00036380" w14:paraId="64F06011" w14:textId="77777777" w:rsidTr="00036380">
        <w:trPr>
          <w:trHeight w:val="315"/>
          <w:jc w:val="center"/>
        </w:trPr>
        <w:tc>
          <w:tcPr>
            <w:tcW w:w="9330" w:type="dxa"/>
            <w:gridSpan w:val="4"/>
            <w:tcBorders>
              <w:top w:val="nil"/>
              <w:left w:val="nil"/>
              <w:bottom w:val="single" w:sz="8" w:space="0" w:color="7F7F7F"/>
              <w:right w:val="nil"/>
            </w:tcBorders>
            <w:shd w:val="clear" w:color="auto" w:fill="auto"/>
            <w:noWrap/>
            <w:vAlign w:val="center"/>
            <w:hideMark/>
          </w:tcPr>
          <w:p w14:paraId="7A95EEA0" w14:textId="77777777" w:rsidR="00036380" w:rsidRPr="00036380" w:rsidRDefault="00940A7B" w:rsidP="00036380">
            <w:pPr>
              <w:rPr>
                <w:rFonts w:ascii="Calibri" w:hAnsi="Calibri"/>
                <w:i/>
                <w:iCs/>
                <w:color w:val="000000"/>
                <w:sz w:val="22"/>
                <w:szCs w:val="22"/>
                <w:lang w:eastAsia="en-GB"/>
              </w:rPr>
            </w:pPr>
            <w:r w:rsidRPr="00E65663">
              <w:rPr>
                <w:rFonts w:ascii="Calibri" w:hAnsi="Calibri"/>
                <w:i/>
                <w:iCs/>
                <w:color w:val="000000"/>
                <w:sz w:val="22"/>
                <w:szCs w:val="22"/>
                <w:lang w:eastAsia="en-GB"/>
              </w:rPr>
              <w:t>Table 19</w:t>
            </w:r>
            <w:r w:rsidR="00036380" w:rsidRPr="00036380">
              <w:rPr>
                <w:rFonts w:ascii="Calibri" w:hAnsi="Calibri"/>
                <w:i/>
                <w:iCs/>
                <w:color w:val="000000"/>
                <w:sz w:val="22"/>
                <w:szCs w:val="22"/>
                <w:lang w:eastAsia="en-GB"/>
              </w:rPr>
              <w:t>: Overview of the total cost of additional bilge pump requirements</w:t>
            </w:r>
          </w:p>
        </w:tc>
      </w:tr>
      <w:tr w:rsidR="00036380" w:rsidRPr="00036380" w14:paraId="1AA96E98" w14:textId="77777777" w:rsidTr="00036380">
        <w:trPr>
          <w:trHeight w:val="315"/>
          <w:jc w:val="center"/>
        </w:trPr>
        <w:tc>
          <w:tcPr>
            <w:tcW w:w="5560" w:type="dxa"/>
            <w:tcBorders>
              <w:top w:val="nil"/>
              <w:left w:val="single" w:sz="8" w:space="0" w:color="808080"/>
              <w:bottom w:val="single" w:sz="8" w:space="0" w:color="7F7F7F"/>
              <w:right w:val="nil"/>
            </w:tcBorders>
            <w:shd w:val="clear" w:color="auto" w:fill="auto"/>
            <w:noWrap/>
            <w:vAlign w:val="center"/>
            <w:hideMark/>
          </w:tcPr>
          <w:p w14:paraId="74A25466" w14:textId="77777777" w:rsidR="00036380" w:rsidRPr="00036380" w:rsidRDefault="00036380" w:rsidP="00036380">
            <w:pPr>
              <w:rPr>
                <w:rFonts w:cs="Arial"/>
                <w:b/>
                <w:bCs/>
                <w:color w:val="000000"/>
                <w:sz w:val="22"/>
                <w:szCs w:val="22"/>
                <w:lang w:eastAsia="en-GB"/>
              </w:rPr>
            </w:pPr>
            <w:r w:rsidRPr="00036380">
              <w:rPr>
                <w:rFonts w:cs="Arial"/>
                <w:b/>
                <w:bCs/>
                <w:color w:val="000000"/>
                <w:sz w:val="22"/>
                <w:szCs w:val="22"/>
                <w:lang w:eastAsia="en-GB"/>
              </w:rPr>
              <w:t>Cost</w:t>
            </w:r>
          </w:p>
        </w:tc>
        <w:tc>
          <w:tcPr>
            <w:tcW w:w="1134" w:type="dxa"/>
            <w:tcBorders>
              <w:top w:val="nil"/>
              <w:left w:val="nil"/>
              <w:bottom w:val="single" w:sz="8" w:space="0" w:color="7F7F7F"/>
              <w:right w:val="nil"/>
            </w:tcBorders>
            <w:shd w:val="clear" w:color="auto" w:fill="auto"/>
            <w:noWrap/>
            <w:vAlign w:val="center"/>
            <w:hideMark/>
          </w:tcPr>
          <w:p w14:paraId="128CC04C" w14:textId="77777777" w:rsidR="00036380" w:rsidRPr="00036380" w:rsidRDefault="00036380" w:rsidP="00036380">
            <w:pPr>
              <w:rPr>
                <w:rFonts w:cs="Arial"/>
                <w:b/>
                <w:bCs/>
                <w:color w:val="000000"/>
                <w:sz w:val="22"/>
                <w:szCs w:val="22"/>
                <w:lang w:eastAsia="en-GB"/>
              </w:rPr>
            </w:pPr>
            <w:r w:rsidRPr="00036380">
              <w:rPr>
                <w:rFonts w:cs="Arial"/>
                <w:b/>
                <w:bCs/>
                <w:color w:val="000000"/>
                <w:sz w:val="22"/>
                <w:szCs w:val="22"/>
                <w:lang w:eastAsia="en-GB"/>
              </w:rPr>
              <w:t>Low</w:t>
            </w:r>
          </w:p>
        </w:tc>
        <w:tc>
          <w:tcPr>
            <w:tcW w:w="1318" w:type="dxa"/>
            <w:tcBorders>
              <w:top w:val="nil"/>
              <w:left w:val="nil"/>
              <w:bottom w:val="single" w:sz="8" w:space="0" w:color="7F7F7F"/>
              <w:right w:val="nil"/>
            </w:tcBorders>
            <w:shd w:val="clear" w:color="auto" w:fill="auto"/>
            <w:noWrap/>
            <w:vAlign w:val="center"/>
            <w:hideMark/>
          </w:tcPr>
          <w:p w14:paraId="3CB9E52C" w14:textId="77777777" w:rsidR="00036380" w:rsidRPr="00036380" w:rsidRDefault="00036380" w:rsidP="00036380">
            <w:pPr>
              <w:rPr>
                <w:rFonts w:cs="Arial"/>
                <w:b/>
                <w:bCs/>
                <w:color w:val="000000"/>
                <w:sz w:val="22"/>
                <w:szCs w:val="22"/>
                <w:lang w:eastAsia="en-GB"/>
              </w:rPr>
            </w:pPr>
            <w:r w:rsidRPr="00036380">
              <w:rPr>
                <w:rFonts w:cs="Arial"/>
                <w:b/>
                <w:bCs/>
                <w:color w:val="000000"/>
                <w:sz w:val="22"/>
                <w:szCs w:val="22"/>
                <w:lang w:eastAsia="en-GB"/>
              </w:rPr>
              <w:t>Central</w:t>
            </w:r>
          </w:p>
        </w:tc>
        <w:tc>
          <w:tcPr>
            <w:tcW w:w="1318" w:type="dxa"/>
            <w:tcBorders>
              <w:top w:val="nil"/>
              <w:left w:val="nil"/>
              <w:bottom w:val="single" w:sz="8" w:space="0" w:color="7F7F7F"/>
              <w:right w:val="single" w:sz="8" w:space="0" w:color="808080"/>
            </w:tcBorders>
            <w:shd w:val="clear" w:color="auto" w:fill="auto"/>
            <w:noWrap/>
            <w:vAlign w:val="center"/>
            <w:hideMark/>
          </w:tcPr>
          <w:p w14:paraId="4299A05A" w14:textId="77777777" w:rsidR="00036380" w:rsidRPr="00036380" w:rsidRDefault="00036380" w:rsidP="00036380">
            <w:pPr>
              <w:rPr>
                <w:rFonts w:cs="Arial"/>
                <w:b/>
                <w:bCs/>
                <w:color w:val="000000"/>
                <w:sz w:val="22"/>
                <w:szCs w:val="22"/>
                <w:lang w:eastAsia="en-GB"/>
              </w:rPr>
            </w:pPr>
            <w:r w:rsidRPr="00036380">
              <w:rPr>
                <w:rFonts w:cs="Arial"/>
                <w:b/>
                <w:bCs/>
                <w:color w:val="000000"/>
                <w:sz w:val="22"/>
                <w:szCs w:val="22"/>
                <w:lang w:eastAsia="en-GB"/>
              </w:rPr>
              <w:t>High</w:t>
            </w:r>
          </w:p>
        </w:tc>
      </w:tr>
      <w:tr w:rsidR="00036380" w:rsidRPr="00036380" w14:paraId="4D5803A5" w14:textId="77777777" w:rsidTr="00036380">
        <w:trPr>
          <w:trHeight w:val="315"/>
          <w:jc w:val="center"/>
        </w:trPr>
        <w:tc>
          <w:tcPr>
            <w:tcW w:w="5560" w:type="dxa"/>
            <w:tcBorders>
              <w:top w:val="nil"/>
              <w:left w:val="single" w:sz="8" w:space="0" w:color="808080"/>
              <w:bottom w:val="single" w:sz="8" w:space="0" w:color="7F7F7F"/>
              <w:right w:val="nil"/>
            </w:tcBorders>
            <w:shd w:val="clear" w:color="auto" w:fill="auto"/>
            <w:noWrap/>
            <w:vAlign w:val="center"/>
            <w:hideMark/>
          </w:tcPr>
          <w:p w14:paraId="71048526" w14:textId="77777777" w:rsidR="00036380" w:rsidRPr="00036380" w:rsidRDefault="00036380" w:rsidP="00036380">
            <w:pPr>
              <w:rPr>
                <w:rFonts w:cs="Arial"/>
                <w:color w:val="000000"/>
                <w:sz w:val="22"/>
                <w:szCs w:val="22"/>
                <w:lang w:eastAsia="en-GB"/>
              </w:rPr>
            </w:pPr>
            <w:r w:rsidRPr="00036380">
              <w:rPr>
                <w:rFonts w:cs="Arial"/>
                <w:color w:val="000000"/>
                <w:sz w:val="22"/>
                <w:szCs w:val="22"/>
                <w:lang w:eastAsia="en-GB"/>
              </w:rPr>
              <w:t>Total Purchasing &amp; Installation Cost</w:t>
            </w:r>
          </w:p>
        </w:tc>
        <w:tc>
          <w:tcPr>
            <w:tcW w:w="1134" w:type="dxa"/>
            <w:tcBorders>
              <w:top w:val="nil"/>
              <w:left w:val="nil"/>
              <w:bottom w:val="single" w:sz="8" w:space="0" w:color="7F7F7F"/>
              <w:right w:val="nil"/>
            </w:tcBorders>
            <w:shd w:val="clear" w:color="auto" w:fill="auto"/>
            <w:noWrap/>
            <w:vAlign w:val="center"/>
            <w:hideMark/>
          </w:tcPr>
          <w:p w14:paraId="5574EB07" w14:textId="77777777" w:rsidR="00036380" w:rsidRPr="00036380" w:rsidRDefault="00036380" w:rsidP="00036380">
            <w:pPr>
              <w:rPr>
                <w:rFonts w:cs="Arial"/>
                <w:color w:val="000000"/>
                <w:sz w:val="22"/>
                <w:szCs w:val="22"/>
                <w:lang w:eastAsia="en-GB"/>
              </w:rPr>
            </w:pPr>
            <w:r>
              <w:rPr>
                <w:rFonts w:cs="Arial"/>
                <w:color w:val="000000"/>
                <w:sz w:val="22"/>
                <w:szCs w:val="22"/>
              </w:rPr>
              <w:t>£447,000</w:t>
            </w:r>
          </w:p>
        </w:tc>
        <w:tc>
          <w:tcPr>
            <w:tcW w:w="1318" w:type="dxa"/>
            <w:tcBorders>
              <w:top w:val="nil"/>
              <w:left w:val="nil"/>
              <w:bottom w:val="single" w:sz="8" w:space="0" w:color="7F7F7F"/>
              <w:right w:val="nil"/>
            </w:tcBorders>
            <w:shd w:val="clear" w:color="auto" w:fill="auto"/>
            <w:noWrap/>
            <w:vAlign w:val="center"/>
            <w:hideMark/>
          </w:tcPr>
          <w:p w14:paraId="01695EDD" w14:textId="77777777" w:rsidR="00036380" w:rsidRPr="00036380" w:rsidRDefault="00036380" w:rsidP="00036380">
            <w:pPr>
              <w:rPr>
                <w:rFonts w:cs="Arial"/>
                <w:color w:val="000000"/>
                <w:sz w:val="22"/>
                <w:szCs w:val="22"/>
                <w:lang w:eastAsia="en-GB"/>
              </w:rPr>
            </w:pPr>
            <w:r>
              <w:rPr>
                <w:rFonts w:cs="Arial"/>
                <w:color w:val="000000"/>
                <w:sz w:val="22"/>
                <w:szCs w:val="22"/>
              </w:rPr>
              <w:t>£1,021,000</w:t>
            </w:r>
          </w:p>
        </w:tc>
        <w:tc>
          <w:tcPr>
            <w:tcW w:w="1318" w:type="dxa"/>
            <w:tcBorders>
              <w:top w:val="nil"/>
              <w:left w:val="nil"/>
              <w:bottom w:val="single" w:sz="8" w:space="0" w:color="7F7F7F"/>
              <w:right w:val="single" w:sz="8" w:space="0" w:color="808080"/>
            </w:tcBorders>
            <w:shd w:val="clear" w:color="auto" w:fill="auto"/>
            <w:noWrap/>
            <w:vAlign w:val="center"/>
            <w:hideMark/>
          </w:tcPr>
          <w:p w14:paraId="4268E64E" w14:textId="77777777" w:rsidR="00036380" w:rsidRPr="00036380" w:rsidRDefault="00036380" w:rsidP="00036380">
            <w:pPr>
              <w:rPr>
                <w:rFonts w:cs="Arial"/>
                <w:color w:val="000000"/>
                <w:sz w:val="22"/>
                <w:szCs w:val="22"/>
                <w:lang w:eastAsia="en-GB"/>
              </w:rPr>
            </w:pPr>
            <w:r>
              <w:rPr>
                <w:rFonts w:cs="Arial"/>
                <w:color w:val="000000"/>
                <w:sz w:val="22"/>
                <w:szCs w:val="22"/>
              </w:rPr>
              <w:t>£1,595,000</w:t>
            </w:r>
          </w:p>
        </w:tc>
      </w:tr>
    </w:tbl>
    <w:p w14:paraId="4490B6EB" w14:textId="77777777" w:rsidR="00F06550" w:rsidRDefault="00F06550" w:rsidP="00F06550">
      <w:pPr>
        <w:pStyle w:val="EBBodyPara"/>
      </w:pPr>
    </w:p>
    <w:p w14:paraId="7EC63760" w14:textId="77777777" w:rsidR="00F06550" w:rsidRDefault="00F06550" w:rsidP="00F06550">
      <w:pPr>
        <w:pStyle w:val="EBBodyPara"/>
      </w:pPr>
      <w:r>
        <w:t xml:space="preserve">This </w:t>
      </w:r>
      <w:r w:rsidR="009078FD">
        <w:t>is a</w:t>
      </w:r>
      <w:r>
        <w:t xml:space="preserve"> one-off cost incurred in the first year of the regulation.</w:t>
      </w:r>
      <w:r w:rsidR="002B6283">
        <w:t xml:space="preserve"> </w:t>
      </w:r>
      <w:r w:rsidR="002B6283" w:rsidRPr="009078FD">
        <w:t>To</w:t>
      </w:r>
      <w:r w:rsidR="002B6283">
        <w:t xml:space="preserve"> estimate, for example, the cost of additional bilge pump requirements in the central scenario, multiply the number of affected vessels, 539 by the cost per vessel of additional powered pumps, £1,895 (539*1,895 = £1,021,405).</w:t>
      </w:r>
    </w:p>
    <w:p w14:paraId="15474E32" w14:textId="77777777" w:rsidR="00F06550" w:rsidRDefault="00F06550" w:rsidP="00F06550">
      <w:pPr>
        <w:pStyle w:val="Heading5"/>
        <w:keepNext/>
        <w:ind w:left="1077" w:hanging="1077"/>
        <w:rPr>
          <w:lang w:eastAsia="en-GB"/>
        </w:rPr>
      </w:pPr>
      <w:bookmarkStart w:id="44" w:name="_Ref519064418"/>
      <w:r>
        <w:rPr>
          <w:lang w:eastAsia="en-GB"/>
        </w:rPr>
        <w:t>Non-monetised costs</w:t>
      </w:r>
      <w:bookmarkEnd w:id="44"/>
    </w:p>
    <w:p w14:paraId="6B8F926D" w14:textId="77777777" w:rsidR="00F06550" w:rsidRDefault="00F06550" w:rsidP="00F06550">
      <w:pPr>
        <w:pStyle w:val="EBBodyPara"/>
      </w:pPr>
      <w:r>
        <w:t>Bilge pumping systems will need servicing and period</w:t>
      </w:r>
      <w:r w:rsidR="00460306">
        <w:t>ic</w:t>
      </w:r>
      <w:r>
        <w:t xml:space="preserve"> inspection by the ship’s crew, though the servicing costs will vary dependent on the type of system installed and the vessel type. However, we expect the scale of the servicing costs to be lower than the purchasing costs.</w:t>
      </w:r>
    </w:p>
    <w:p w14:paraId="7DF15DA0" w14:textId="77777777" w:rsidR="00F06550" w:rsidRDefault="00F06550" w:rsidP="00F06550">
      <w:pPr>
        <w:pStyle w:val="EBBodyPara"/>
      </w:pPr>
      <w:r>
        <w:t>The alarm and electric bilge pumping of the fishing vessel Random Harvest</w:t>
      </w:r>
      <w:r>
        <w:rPr>
          <w:vertAlign w:val="superscript"/>
        </w:rPr>
        <w:footnoteReference w:id="17"/>
      </w:r>
      <w:r>
        <w:t xml:space="preserve"> (of similar size and construction to some smaller passenger vessel) contained serious flooding </w:t>
      </w:r>
      <w:r w:rsidR="00460306">
        <w:t>caused by</w:t>
      </w:r>
      <w:r>
        <w:t xml:space="preserve"> a hull fitting being lost. </w:t>
      </w:r>
      <w:r w:rsidR="00CF62CE">
        <w:t>Powered</w:t>
      </w:r>
      <w:r>
        <w:t xml:space="preserve"> bilge pumps were able to deal immediately with the flooding of passenger vessel ‘Surprise’</w:t>
      </w:r>
      <w:r>
        <w:rPr>
          <w:vertAlign w:val="superscript"/>
        </w:rPr>
        <w:footnoteReference w:id="18"/>
      </w:r>
      <w:r>
        <w:t xml:space="preserve"> following grounding and allowed the skipper to manage the situation. This ended in all passengers and successful being successfully rescued and the boat recovered. </w:t>
      </w:r>
    </w:p>
    <w:p w14:paraId="2FA1B10C" w14:textId="77777777" w:rsidR="00F06550" w:rsidRDefault="00F06550" w:rsidP="00F06550">
      <w:pPr>
        <w:pStyle w:val="Heading5"/>
        <w:keepNext/>
        <w:ind w:left="1077" w:hanging="1077"/>
        <w:rPr>
          <w:lang w:eastAsia="en-GB"/>
        </w:rPr>
      </w:pPr>
      <w:bookmarkStart w:id="45" w:name="_Ref519064646"/>
      <w:r>
        <w:rPr>
          <w:lang w:eastAsia="en-GB"/>
        </w:rPr>
        <w:t>Non-monetised benefits</w:t>
      </w:r>
      <w:bookmarkEnd w:id="45"/>
    </w:p>
    <w:p w14:paraId="6911DED1" w14:textId="77777777" w:rsidR="00F77C1A" w:rsidRDefault="00F77C1A" w:rsidP="00F06550">
      <w:pPr>
        <w:pStyle w:val="EBBodyPara"/>
      </w:pPr>
      <w:r>
        <w:t>As powered pumps are a more effective form of bilge pumping, it reduces the likelihood of passengers and crew being forced to abandon a vessel in the event of a flooding incident.</w:t>
      </w:r>
    </w:p>
    <w:p w14:paraId="6D9DE060" w14:textId="77777777" w:rsidR="003F7B1E" w:rsidRDefault="003F7B1E" w:rsidP="00F06550">
      <w:pPr>
        <w:pStyle w:val="EBBodyPara"/>
      </w:pPr>
      <w:r>
        <w:t xml:space="preserve">Hand pumps </w:t>
      </w:r>
      <w:r w:rsidR="00F77C1A">
        <w:t xml:space="preserve">also </w:t>
      </w:r>
      <w:r>
        <w:t>require a person to ‘man the pump’ rather than perform critical duties on-boar</w:t>
      </w:r>
      <w:r w:rsidR="00F77C1A">
        <w:t xml:space="preserve">d. </w:t>
      </w:r>
      <w:r>
        <w:t xml:space="preserve">Replacement of hand pumps with powered pumps or equivalent frees crew members for other important duties, such as marshalling crew, preparing Life Saving Appliances (LSAs) etc. </w:t>
      </w:r>
    </w:p>
    <w:p w14:paraId="5CB5A4A8" w14:textId="77777777" w:rsidR="00F06550" w:rsidRPr="00E7214E" w:rsidRDefault="00F06550" w:rsidP="00F06550">
      <w:pPr>
        <w:pStyle w:val="Heading4"/>
        <w:keepNext/>
        <w:spacing w:line="256" w:lineRule="auto"/>
        <w:ind w:left="902" w:hanging="902"/>
      </w:pPr>
      <w:r w:rsidRPr="00F37425">
        <w:rPr>
          <w:bCs w:val="0"/>
        </w:rPr>
        <w:t>Bilge Alarm Arrangements</w:t>
      </w:r>
    </w:p>
    <w:p w14:paraId="3F7A9C85" w14:textId="77777777" w:rsidR="00F06550" w:rsidRDefault="00F06550" w:rsidP="00F06550">
      <w:pPr>
        <w:pStyle w:val="EBBodyPara"/>
        <w:keepNext/>
      </w:pPr>
      <w:r>
        <w:t xml:space="preserve">Currently there is no requirement to fit bilge alarms in compartments where bilge water can accumulate. Such alarms allow the detection of water ingress and hence can help to prevent catastrophic flooding or foundering. It is proposed to require bilge alarms on all vessels of Class III-VI(A). </w:t>
      </w:r>
    </w:p>
    <w:p w14:paraId="5DD36BD6" w14:textId="77777777" w:rsidR="00F06550" w:rsidRDefault="00F06550" w:rsidP="00F06550">
      <w:pPr>
        <w:pStyle w:val="Heading5"/>
        <w:keepNext/>
        <w:ind w:left="1077" w:hanging="1077"/>
        <w:rPr>
          <w:lang w:eastAsia="en-GB"/>
        </w:rPr>
      </w:pPr>
      <w:bookmarkStart w:id="46" w:name="_Ref518990601"/>
      <w:r>
        <w:rPr>
          <w:lang w:eastAsia="en-GB"/>
        </w:rPr>
        <w:t>Monetised costs</w:t>
      </w:r>
      <w:bookmarkEnd w:id="46"/>
    </w:p>
    <w:p w14:paraId="12DCE290" w14:textId="77777777" w:rsidR="00F06550" w:rsidRDefault="00F06550" w:rsidP="00F06550">
      <w:pPr>
        <w:pStyle w:val="EBBodyPara"/>
      </w:pPr>
      <w:r>
        <w:t xml:space="preserve">The cost of bilge alarms can vary significantly depending on whether a vessel owner chooses a relatively basic arrangement or a more sophisticated arrangement. As we believe some owners will choose the </w:t>
      </w:r>
      <w:r w:rsidR="00CF62CE">
        <w:lastRenderedPageBreak/>
        <w:t>costlier</w:t>
      </w:r>
      <w:r>
        <w:t xml:space="preserve"> system, we have used a wider range of costs for purchasing and installing bilge alarm systems. Using estimate</w:t>
      </w:r>
      <w:r w:rsidR="00472DED">
        <w:t>s</w:t>
      </w:r>
      <w:r>
        <w:t xml:space="preserve"> provided to us by industry, we have assumed the following range of costs:</w:t>
      </w:r>
    </w:p>
    <w:tbl>
      <w:tblPr>
        <w:tblStyle w:val="PlainTable2"/>
        <w:tblW w:w="7640" w:type="dxa"/>
        <w:jc w:val="center"/>
        <w:tblLook w:val="04A0" w:firstRow="1" w:lastRow="0" w:firstColumn="1" w:lastColumn="0" w:noHBand="0" w:noVBand="1"/>
      </w:tblPr>
      <w:tblGrid>
        <w:gridCol w:w="3740"/>
        <w:gridCol w:w="1300"/>
        <w:gridCol w:w="1300"/>
        <w:gridCol w:w="1300"/>
      </w:tblGrid>
      <w:tr w:rsidR="00154EDC" w14:paraId="0CEEF9E1" w14:textId="77777777" w:rsidTr="00BB4097">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7640" w:type="dxa"/>
            <w:gridSpan w:val="4"/>
            <w:tcBorders>
              <w:top w:val="nil"/>
              <w:left w:val="nil"/>
              <w:right w:val="nil"/>
            </w:tcBorders>
            <w:noWrap/>
          </w:tcPr>
          <w:p w14:paraId="3EEC5E6B" w14:textId="77777777" w:rsidR="00154EDC" w:rsidRPr="00154EDC" w:rsidRDefault="00940A7B" w:rsidP="00154EDC">
            <w:pPr>
              <w:pStyle w:val="EBBodyPara"/>
              <w:spacing w:before="40" w:after="40"/>
              <w:rPr>
                <w:b w:val="0"/>
                <w:bCs/>
                <w:i/>
              </w:rPr>
            </w:pPr>
            <w:r w:rsidRPr="00E65663">
              <w:rPr>
                <w:b w:val="0"/>
                <w:bCs/>
                <w:i/>
              </w:rPr>
              <w:t>Table 20</w:t>
            </w:r>
            <w:r w:rsidR="00154EDC">
              <w:rPr>
                <w:b w:val="0"/>
                <w:bCs/>
                <w:i/>
              </w:rPr>
              <w:t>: The cost per vessel of additional bilge alarm requirements</w:t>
            </w:r>
          </w:p>
        </w:tc>
      </w:tr>
      <w:tr w:rsidR="00F06550" w14:paraId="03A8EE1A" w14:textId="77777777" w:rsidTr="00F06550">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46F4D965" w14:textId="77777777" w:rsidR="00F06550" w:rsidRDefault="00F06550">
            <w:pPr>
              <w:pStyle w:val="EBBodyPara"/>
              <w:spacing w:before="40" w:after="40"/>
              <w:rPr>
                <w:bCs/>
              </w:rPr>
            </w:pPr>
            <w:r>
              <w:rPr>
                <w:bCs/>
              </w:rPr>
              <w:t xml:space="preserve">Per vessel cost </w:t>
            </w:r>
          </w:p>
        </w:tc>
        <w:tc>
          <w:tcPr>
            <w:tcW w:w="1300" w:type="dxa"/>
            <w:tcBorders>
              <w:left w:val="nil"/>
              <w:right w:val="nil"/>
            </w:tcBorders>
            <w:noWrap/>
            <w:hideMark/>
          </w:tcPr>
          <w:p w14:paraId="3A44DB6C" w14:textId="77777777" w:rsidR="00F06550" w:rsidRDefault="00F06550">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Cs w:val="0"/>
              </w:rPr>
            </w:pPr>
            <w:r>
              <w:rPr>
                <w:bCs w:val="0"/>
              </w:rPr>
              <w:t>Low</w:t>
            </w:r>
          </w:p>
        </w:tc>
        <w:tc>
          <w:tcPr>
            <w:tcW w:w="1300" w:type="dxa"/>
            <w:tcBorders>
              <w:left w:val="nil"/>
              <w:right w:val="nil"/>
            </w:tcBorders>
            <w:noWrap/>
            <w:hideMark/>
          </w:tcPr>
          <w:p w14:paraId="7EA28F01" w14:textId="77777777" w:rsidR="00F06550" w:rsidRDefault="00F06550">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Cs w:val="0"/>
              </w:rPr>
            </w:pPr>
            <w:r>
              <w:rPr>
                <w:bCs w:val="0"/>
              </w:rPr>
              <w:t>Central</w:t>
            </w:r>
          </w:p>
        </w:tc>
        <w:tc>
          <w:tcPr>
            <w:tcW w:w="1300" w:type="dxa"/>
            <w:tcBorders>
              <w:left w:val="nil"/>
              <w:right w:val="nil"/>
            </w:tcBorders>
            <w:noWrap/>
            <w:hideMark/>
          </w:tcPr>
          <w:p w14:paraId="3D551239" w14:textId="77777777" w:rsidR="00F06550" w:rsidRDefault="00F06550">
            <w:pPr>
              <w:pStyle w:val="EBBodyPara"/>
              <w:spacing w:before="40" w:after="40"/>
              <w:jc w:val="right"/>
              <w:cnfStyle w:val="000000100000" w:firstRow="0" w:lastRow="0" w:firstColumn="0" w:lastColumn="0" w:oddVBand="0" w:evenVBand="0" w:oddHBand="1" w:evenHBand="0" w:firstRowFirstColumn="0" w:firstRowLastColumn="0" w:lastRowFirstColumn="0" w:lastRowLastColumn="0"/>
              <w:rPr>
                <w:bCs w:val="0"/>
              </w:rPr>
            </w:pPr>
            <w:r>
              <w:rPr>
                <w:bCs w:val="0"/>
              </w:rPr>
              <w:t>High</w:t>
            </w:r>
          </w:p>
        </w:tc>
      </w:tr>
      <w:tr w:rsidR="00F06550" w14:paraId="50248379" w14:textId="77777777" w:rsidTr="00F06550">
        <w:trPr>
          <w:trHeight w:val="300"/>
          <w:jc w:val="center"/>
        </w:trPr>
        <w:tc>
          <w:tcPr>
            <w:cnfStyle w:val="001000000000" w:firstRow="0" w:lastRow="0" w:firstColumn="1" w:lastColumn="0" w:oddVBand="0" w:evenVBand="0" w:oddHBand="0" w:evenHBand="0" w:firstRowFirstColumn="0" w:firstRowLastColumn="0" w:lastRowFirstColumn="0" w:lastRowLastColumn="0"/>
            <w:tcW w:w="3740" w:type="dxa"/>
            <w:tcBorders>
              <w:left w:val="nil"/>
              <w:right w:val="nil"/>
            </w:tcBorders>
            <w:noWrap/>
            <w:hideMark/>
          </w:tcPr>
          <w:p w14:paraId="02C30350" w14:textId="77777777" w:rsidR="00F06550" w:rsidRDefault="00F06550">
            <w:pPr>
              <w:pStyle w:val="EBBodyPara"/>
              <w:spacing w:before="40" w:after="40"/>
              <w:rPr>
                <w:bCs/>
              </w:rPr>
            </w:pPr>
            <w:r>
              <w:rPr>
                <w:bCs/>
              </w:rPr>
              <w:t>Purchasing &amp; Installing</w:t>
            </w:r>
          </w:p>
        </w:tc>
        <w:tc>
          <w:tcPr>
            <w:tcW w:w="1300" w:type="dxa"/>
            <w:tcBorders>
              <w:left w:val="nil"/>
              <w:right w:val="nil"/>
            </w:tcBorders>
            <w:noWrap/>
            <w:hideMark/>
          </w:tcPr>
          <w:p w14:paraId="0E62B974" w14:textId="77777777" w:rsidR="00F06550" w:rsidRDefault="00F0655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£100</w:t>
            </w:r>
          </w:p>
        </w:tc>
        <w:tc>
          <w:tcPr>
            <w:tcW w:w="1300" w:type="dxa"/>
            <w:tcBorders>
              <w:left w:val="nil"/>
              <w:right w:val="nil"/>
            </w:tcBorders>
            <w:noWrap/>
            <w:hideMark/>
          </w:tcPr>
          <w:p w14:paraId="7C71631E" w14:textId="77777777" w:rsidR="00F06550" w:rsidRDefault="00F0655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£1,050</w:t>
            </w:r>
          </w:p>
        </w:tc>
        <w:tc>
          <w:tcPr>
            <w:tcW w:w="1300" w:type="dxa"/>
            <w:tcBorders>
              <w:left w:val="nil"/>
              <w:right w:val="nil"/>
            </w:tcBorders>
            <w:noWrap/>
            <w:hideMark/>
          </w:tcPr>
          <w:p w14:paraId="24F46DC9" w14:textId="77777777" w:rsidR="00F06550" w:rsidRDefault="00F06550">
            <w:pPr>
              <w:pStyle w:val="EBBodyPara"/>
              <w:spacing w:before="40" w:after="40"/>
              <w:jc w:val="right"/>
              <w:cnfStyle w:val="000000000000" w:firstRow="0" w:lastRow="0" w:firstColumn="0" w:lastColumn="0" w:oddVBand="0" w:evenVBand="0" w:oddHBand="0" w:evenHBand="0" w:firstRowFirstColumn="0" w:firstRowLastColumn="0" w:lastRowFirstColumn="0" w:lastRowLastColumn="0"/>
            </w:pPr>
            <w:r>
              <w:t>£2,000</w:t>
            </w:r>
          </w:p>
        </w:tc>
      </w:tr>
    </w:tbl>
    <w:p w14:paraId="23D48F6D" w14:textId="77777777" w:rsidR="00F06550" w:rsidRDefault="00F06550" w:rsidP="00F06550">
      <w:pPr>
        <w:pStyle w:val="EBBodyPara"/>
      </w:pPr>
    </w:p>
    <w:p w14:paraId="2C8F139A" w14:textId="77777777" w:rsidR="009078FD" w:rsidRDefault="00F06550" w:rsidP="009078FD">
      <w:pPr>
        <w:pStyle w:val="EBBodyPara"/>
      </w:pPr>
      <w:r>
        <w:t>We have assumed no existing compliance, and all 606 vessels will be affected.</w:t>
      </w:r>
      <w:r w:rsidR="009078FD">
        <w:t xml:space="preserve"> </w:t>
      </w:r>
      <w:r w:rsidR="00A16960">
        <w:t>The consultation will ask for information on the</w:t>
      </w:r>
      <w:r w:rsidR="00472DED">
        <w:t xml:space="preserve"> number of vessels affected to see if an appreciable number of operators already have bilge alarms in affected compartments.</w:t>
      </w:r>
    </w:p>
    <w:p w14:paraId="07EFCDF8" w14:textId="77777777" w:rsidR="00F06550" w:rsidRDefault="00F06550" w:rsidP="00F06550">
      <w:pPr>
        <w:pStyle w:val="EBBodyPara"/>
      </w:pPr>
      <w:r>
        <w:t>Therefore, the total cost will be as follows:</w:t>
      </w:r>
    </w:p>
    <w:tbl>
      <w:tblPr>
        <w:tblW w:w="7607" w:type="dxa"/>
        <w:jc w:val="center"/>
        <w:tblLook w:val="04A0" w:firstRow="1" w:lastRow="0" w:firstColumn="1" w:lastColumn="0" w:noHBand="0" w:noVBand="1"/>
      </w:tblPr>
      <w:tblGrid>
        <w:gridCol w:w="4143"/>
        <w:gridCol w:w="1012"/>
        <w:gridCol w:w="1134"/>
        <w:gridCol w:w="1318"/>
      </w:tblGrid>
      <w:tr w:rsidR="00154EDC" w:rsidRPr="00154EDC" w14:paraId="1D2A5FA4" w14:textId="77777777" w:rsidTr="0011115A">
        <w:trPr>
          <w:trHeight w:val="315"/>
          <w:jc w:val="center"/>
        </w:trPr>
        <w:tc>
          <w:tcPr>
            <w:tcW w:w="7607" w:type="dxa"/>
            <w:gridSpan w:val="4"/>
            <w:tcBorders>
              <w:top w:val="nil"/>
              <w:left w:val="nil"/>
              <w:bottom w:val="single" w:sz="8" w:space="0" w:color="7F7F7F"/>
              <w:right w:val="nil"/>
            </w:tcBorders>
            <w:shd w:val="clear" w:color="auto" w:fill="auto"/>
            <w:noWrap/>
            <w:vAlign w:val="center"/>
            <w:hideMark/>
          </w:tcPr>
          <w:p w14:paraId="15BD6077" w14:textId="77777777" w:rsidR="00154EDC" w:rsidRPr="00154EDC" w:rsidRDefault="00940A7B" w:rsidP="00154EDC">
            <w:pPr>
              <w:rPr>
                <w:rFonts w:cs="Arial"/>
                <w:i/>
                <w:iCs/>
                <w:color w:val="000000"/>
                <w:sz w:val="22"/>
                <w:szCs w:val="22"/>
                <w:lang w:eastAsia="en-GB"/>
              </w:rPr>
            </w:pPr>
            <w:r w:rsidRPr="00E65663">
              <w:rPr>
                <w:rFonts w:cs="Arial"/>
                <w:i/>
                <w:iCs/>
                <w:color w:val="000000"/>
                <w:sz w:val="22"/>
                <w:szCs w:val="22"/>
                <w:lang w:eastAsia="en-GB"/>
              </w:rPr>
              <w:t>Table 21</w:t>
            </w:r>
            <w:r w:rsidR="00154EDC" w:rsidRPr="00154EDC">
              <w:rPr>
                <w:rFonts w:cs="Arial"/>
                <w:i/>
                <w:iCs/>
                <w:color w:val="000000"/>
                <w:sz w:val="22"/>
                <w:szCs w:val="22"/>
                <w:lang w:eastAsia="en-GB"/>
              </w:rPr>
              <w:t>: Overview of the total cost of additional bilge alarm requirements</w:t>
            </w:r>
          </w:p>
        </w:tc>
      </w:tr>
      <w:tr w:rsidR="00154EDC" w:rsidRPr="00154EDC" w14:paraId="6A3430E4" w14:textId="77777777" w:rsidTr="0011115A">
        <w:trPr>
          <w:trHeight w:val="315"/>
          <w:jc w:val="center"/>
        </w:trPr>
        <w:tc>
          <w:tcPr>
            <w:tcW w:w="4143" w:type="dxa"/>
            <w:tcBorders>
              <w:top w:val="nil"/>
              <w:left w:val="single" w:sz="8" w:space="0" w:color="808080"/>
              <w:bottom w:val="single" w:sz="8" w:space="0" w:color="7F7F7F"/>
              <w:right w:val="nil"/>
            </w:tcBorders>
            <w:shd w:val="clear" w:color="auto" w:fill="auto"/>
            <w:noWrap/>
            <w:vAlign w:val="center"/>
            <w:hideMark/>
          </w:tcPr>
          <w:p w14:paraId="7DA3E912" w14:textId="77777777" w:rsidR="00154EDC" w:rsidRPr="00154EDC" w:rsidRDefault="00154EDC" w:rsidP="00154EDC">
            <w:pPr>
              <w:rPr>
                <w:rFonts w:cs="Arial"/>
                <w:b/>
                <w:bCs/>
                <w:color w:val="000000"/>
                <w:sz w:val="22"/>
                <w:szCs w:val="22"/>
                <w:lang w:eastAsia="en-GB"/>
              </w:rPr>
            </w:pPr>
            <w:r w:rsidRPr="00154EDC">
              <w:rPr>
                <w:rFonts w:cs="Arial"/>
                <w:b/>
                <w:bCs/>
                <w:color w:val="000000"/>
                <w:sz w:val="22"/>
                <w:szCs w:val="22"/>
                <w:lang w:eastAsia="en-GB"/>
              </w:rPr>
              <w:t>Cost</w:t>
            </w:r>
          </w:p>
        </w:tc>
        <w:tc>
          <w:tcPr>
            <w:tcW w:w="1012" w:type="dxa"/>
            <w:tcBorders>
              <w:top w:val="nil"/>
              <w:left w:val="nil"/>
              <w:bottom w:val="single" w:sz="8" w:space="0" w:color="7F7F7F"/>
              <w:right w:val="nil"/>
            </w:tcBorders>
            <w:shd w:val="clear" w:color="auto" w:fill="auto"/>
            <w:noWrap/>
            <w:vAlign w:val="center"/>
            <w:hideMark/>
          </w:tcPr>
          <w:p w14:paraId="14315738" w14:textId="77777777" w:rsidR="00154EDC" w:rsidRPr="00154EDC" w:rsidRDefault="00154EDC" w:rsidP="00154EDC">
            <w:pPr>
              <w:rPr>
                <w:rFonts w:cs="Arial"/>
                <w:b/>
                <w:bCs/>
                <w:color w:val="000000"/>
                <w:sz w:val="22"/>
                <w:szCs w:val="22"/>
                <w:lang w:eastAsia="en-GB"/>
              </w:rPr>
            </w:pPr>
            <w:r w:rsidRPr="00154EDC">
              <w:rPr>
                <w:rFonts w:cs="Arial"/>
                <w:b/>
                <w:bCs/>
                <w:color w:val="000000"/>
                <w:sz w:val="22"/>
                <w:szCs w:val="22"/>
                <w:lang w:eastAsia="en-GB"/>
              </w:rPr>
              <w:t>Low</w:t>
            </w:r>
          </w:p>
        </w:tc>
        <w:tc>
          <w:tcPr>
            <w:tcW w:w="1134" w:type="dxa"/>
            <w:tcBorders>
              <w:top w:val="nil"/>
              <w:left w:val="nil"/>
              <w:bottom w:val="single" w:sz="8" w:space="0" w:color="7F7F7F"/>
              <w:right w:val="nil"/>
            </w:tcBorders>
            <w:shd w:val="clear" w:color="auto" w:fill="auto"/>
            <w:noWrap/>
            <w:vAlign w:val="center"/>
            <w:hideMark/>
          </w:tcPr>
          <w:p w14:paraId="43EBC69A" w14:textId="77777777" w:rsidR="00154EDC" w:rsidRPr="00154EDC" w:rsidRDefault="00154EDC" w:rsidP="00154EDC">
            <w:pPr>
              <w:rPr>
                <w:rFonts w:cs="Arial"/>
                <w:b/>
                <w:bCs/>
                <w:color w:val="000000"/>
                <w:sz w:val="22"/>
                <w:szCs w:val="22"/>
                <w:lang w:eastAsia="en-GB"/>
              </w:rPr>
            </w:pPr>
            <w:r w:rsidRPr="00154EDC">
              <w:rPr>
                <w:rFonts w:cs="Arial"/>
                <w:b/>
                <w:bCs/>
                <w:color w:val="000000"/>
                <w:sz w:val="22"/>
                <w:szCs w:val="22"/>
                <w:lang w:eastAsia="en-GB"/>
              </w:rPr>
              <w:t>Central</w:t>
            </w:r>
          </w:p>
        </w:tc>
        <w:tc>
          <w:tcPr>
            <w:tcW w:w="1318" w:type="dxa"/>
            <w:tcBorders>
              <w:top w:val="nil"/>
              <w:left w:val="nil"/>
              <w:bottom w:val="single" w:sz="8" w:space="0" w:color="7F7F7F"/>
              <w:right w:val="single" w:sz="8" w:space="0" w:color="808080"/>
            </w:tcBorders>
            <w:shd w:val="clear" w:color="auto" w:fill="auto"/>
            <w:noWrap/>
            <w:vAlign w:val="center"/>
            <w:hideMark/>
          </w:tcPr>
          <w:p w14:paraId="472ED1D2" w14:textId="77777777" w:rsidR="00154EDC" w:rsidRPr="00154EDC" w:rsidRDefault="00154EDC" w:rsidP="00154EDC">
            <w:pPr>
              <w:rPr>
                <w:rFonts w:cs="Arial"/>
                <w:b/>
                <w:bCs/>
                <w:color w:val="000000"/>
                <w:sz w:val="22"/>
                <w:szCs w:val="22"/>
                <w:lang w:eastAsia="en-GB"/>
              </w:rPr>
            </w:pPr>
            <w:r w:rsidRPr="00154EDC">
              <w:rPr>
                <w:rFonts w:cs="Arial"/>
                <w:b/>
                <w:bCs/>
                <w:color w:val="000000"/>
                <w:sz w:val="22"/>
                <w:szCs w:val="22"/>
                <w:lang w:eastAsia="en-GB"/>
              </w:rPr>
              <w:t>High</w:t>
            </w:r>
          </w:p>
        </w:tc>
      </w:tr>
      <w:tr w:rsidR="00154EDC" w:rsidRPr="00154EDC" w14:paraId="09E5643A" w14:textId="77777777" w:rsidTr="0011115A">
        <w:trPr>
          <w:trHeight w:val="315"/>
          <w:jc w:val="center"/>
        </w:trPr>
        <w:tc>
          <w:tcPr>
            <w:tcW w:w="4143" w:type="dxa"/>
            <w:tcBorders>
              <w:top w:val="nil"/>
              <w:left w:val="single" w:sz="8" w:space="0" w:color="808080"/>
              <w:bottom w:val="single" w:sz="8" w:space="0" w:color="7F7F7F"/>
              <w:right w:val="nil"/>
            </w:tcBorders>
            <w:shd w:val="clear" w:color="auto" w:fill="auto"/>
            <w:noWrap/>
            <w:vAlign w:val="center"/>
            <w:hideMark/>
          </w:tcPr>
          <w:p w14:paraId="6F447F3B" w14:textId="77777777" w:rsidR="00154EDC" w:rsidRPr="00154EDC" w:rsidRDefault="00154EDC" w:rsidP="00154EDC">
            <w:pPr>
              <w:rPr>
                <w:rFonts w:cs="Arial"/>
                <w:color w:val="000000"/>
                <w:sz w:val="22"/>
                <w:szCs w:val="22"/>
                <w:lang w:eastAsia="en-GB"/>
              </w:rPr>
            </w:pPr>
            <w:r w:rsidRPr="00154EDC">
              <w:rPr>
                <w:rFonts w:cs="Arial"/>
                <w:color w:val="000000"/>
                <w:sz w:val="22"/>
                <w:szCs w:val="22"/>
                <w:lang w:eastAsia="en-GB"/>
              </w:rPr>
              <w:t>Total Purchasing &amp; Installation Cost</w:t>
            </w:r>
          </w:p>
        </w:tc>
        <w:tc>
          <w:tcPr>
            <w:tcW w:w="1012" w:type="dxa"/>
            <w:tcBorders>
              <w:top w:val="nil"/>
              <w:left w:val="nil"/>
              <w:bottom w:val="single" w:sz="8" w:space="0" w:color="7F7F7F"/>
              <w:right w:val="nil"/>
            </w:tcBorders>
            <w:shd w:val="clear" w:color="auto" w:fill="auto"/>
            <w:noWrap/>
            <w:vAlign w:val="center"/>
            <w:hideMark/>
          </w:tcPr>
          <w:p w14:paraId="31D1E38F" w14:textId="77777777" w:rsidR="00154EDC" w:rsidRPr="00154EDC" w:rsidRDefault="00154EDC" w:rsidP="00154EDC">
            <w:pPr>
              <w:rPr>
                <w:rFonts w:cs="Arial"/>
                <w:color w:val="000000"/>
                <w:sz w:val="22"/>
                <w:szCs w:val="22"/>
                <w:lang w:eastAsia="en-GB"/>
              </w:rPr>
            </w:pPr>
            <w:r w:rsidRPr="00154EDC">
              <w:rPr>
                <w:rFonts w:cs="Arial"/>
                <w:color w:val="000000"/>
                <w:sz w:val="22"/>
                <w:szCs w:val="22"/>
                <w:lang w:eastAsia="en-GB"/>
              </w:rPr>
              <w:t>£60,600</w:t>
            </w:r>
          </w:p>
        </w:tc>
        <w:tc>
          <w:tcPr>
            <w:tcW w:w="1134" w:type="dxa"/>
            <w:tcBorders>
              <w:top w:val="nil"/>
              <w:left w:val="nil"/>
              <w:bottom w:val="single" w:sz="8" w:space="0" w:color="7F7F7F"/>
              <w:right w:val="nil"/>
            </w:tcBorders>
            <w:shd w:val="clear" w:color="auto" w:fill="auto"/>
            <w:noWrap/>
            <w:vAlign w:val="center"/>
            <w:hideMark/>
          </w:tcPr>
          <w:p w14:paraId="5C13B8CB" w14:textId="77777777" w:rsidR="00154EDC" w:rsidRPr="00154EDC" w:rsidRDefault="00154EDC" w:rsidP="00154EDC">
            <w:pPr>
              <w:rPr>
                <w:rFonts w:cs="Arial"/>
                <w:color w:val="000000"/>
                <w:sz w:val="22"/>
                <w:szCs w:val="22"/>
                <w:lang w:eastAsia="en-GB"/>
              </w:rPr>
            </w:pPr>
            <w:r w:rsidRPr="00154EDC">
              <w:rPr>
                <w:rFonts w:cs="Arial"/>
                <w:color w:val="000000"/>
                <w:sz w:val="22"/>
                <w:szCs w:val="22"/>
                <w:lang w:eastAsia="en-GB"/>
              </w:rPr>
              <w:t>£636,300</w:t>
            </w:r>
          </w:p>
        </w:tc>
        <w:tc>
          <w:tcPr>
            <w:tcW w:w="1318" w:type="dxa"/>
            <w:tcBorders>
              <w:top w:val="nil"/>
              <w:left w:val="nil"/>
              <w:bottom w:val="single" w:sz="8" w:space="0" w:color="7F7F7F"/>
              <w:right w:val="single" w:sz="8" w:space="0" w:color="808080"/>
            </w:tcBorders>
            <w:shd w:val="clear" w:color="auto" w:fill="auto"/>
            <w:noWrap/>
            <w:vAlign w:val="center"/>
            <w:hideMark/>
          </w:tcPr>
          <w:p w14:paraId="7BA52766" w14:textId="77777777" w:rsidR="00154EDC" w:rsidRPr="00154EDC" w:rsidRDefault="00154EDC" w:rsidP="00154EDC">
            <w:pPr>
              <w:rPr>
                <w:rFonts w:cs="Arial"/>
                <w:color w:val="000000"/>
                <w:sz w:val="22"/>
                <w:szCs w:val="22"/>
                <w:lang w:eastAsia="en-GB"/>
              </w:rPr>
            </w:pPr>
            <w:r w:rsidRPr="00154EDC">
              <w:rPr>
                <w:rFonts w:cs="Arial"/>
                <w:color w:val="000000"/>
                <w:sz w:val="22"/>
                <w:szCs w:val="22"/>
                <w:lang w:eastAsia="en-GB"/>
              </w:rPr>
              <w:t>£1,212,000</w:t>
            </w:r>
          </w:p>
        </w:tc>
      </w:tr>
    </w:tbl>
    <w:p w14:paraId="4042B566" w14:textId="77777777" w:rsidR="00154EDC" w:rsidRDefault="00154EDC" w:rsidP="00F06550">
      <w:pPr>
        <w:pStyle w:val="EBBodyPara"/>
      </w:pPr>
    </w:p>
    <w:p w14:paraId="5A35E9F6" w14:textId="77777777" w:rsidR="00036380" w:rsidRPr="00036380" w:rsidRDefault="009078FD" w:rsidP="009078FD">
      <w:pPr>
        <w:pStyle w:val="EBBodyPara"/>
      </w:pPr>
      <w:r>
        <w:t xml:space="preserve">This is a one-off cost incurred in the first year of the regulation. </w:t>
      </w:r>
      <w:r w:rsidR="00036380" w:rsidRPr="009078FD">
        <w:t>To</w:t>
      </w:r>
      <w:r>
        <w:t xml:space="preserve"> estimate, for example,</w:t>
      </w:r>
      <w:r w:rsidR="002B6283">
        <w:t xml:space="preserve"> the cost of additional bilge alarms in the central scenario, multiply the number of affected vessels, 606 by the cost per vessel of additional bilge alarms, £1,050 (606*1,050 = £636,300)</w:t>
      </w:r>
    </w:p>
    <w:p w14:paraId="615D6F63" w14:textId="77777777" w:rsidR="00F06550" w:rsidRDefault="00F06550" w:rsidP="00F06550">
      <w:pPr>
        <w:pStyle w:val="Heading5"/>
        <w:keepNext/>
        <w:ind w:left="1077" w:hanging="1077"/>
        <w:rPr>
          <w:lang w:eastAsia="en-GB"/>
        </w:rPr>
      </w:pPr>
      <w:bookmarkStart w:id="47" w:name="_Ref519064421"/>
      <w:r>
        <w:rPr>
          <w:lang w:eastAsia="en-GB"/>
        </w:rPr>
        <w:t>Non-monetised costs</w:t>
      </w:r>
      <w:bookmarkEnd w:id="47"/>
    </w:p>
    <w:p w14:paraId="58870DD1" w14:textId="77777777" w:rsidR="00F06550" w:rsidRDefault="00F06550" w:rsidP="00F06550">
      <w:pPr>
        <w:pStyle w:val="EBBodyPara"/>
      </w:pPr>
      <w:r>
        <w:t xml:space="preserve">The cost of testing and servicing pumps and alarms. These associated costs are likely to be small relative to the purchasing and installing costs and have not been monetised. </w:t>
      </w:r>
    </w:p>
    <w:p w14:paraId="5029F77F" w14:textId="77777777" w:rsidR="00F06550" w:rsidRDefault="00F06550" w:rsidP="00F06550">
      <w:pPr>
        <w:pStyle w:val="Heading5"/>
        <w:keepNext/>
        <w:ind w:left="1077" w:hanging="1077"/>
        <w:rPr>
          <w:lang w:eastAsia="en-GB"/>
        </w:rPr>
      </w:pPr>
      <w:bookmarkStart w:id="48" w:name="_Ref519064650"/>
      <w:r>
        <w:rPr>
          <w:lang w:eastAsia="en-GB"/>
        </w:rPr>
        <w:t>Non-monetised benefits</w:t>
      </w:r>
      <w:bookmarkEnd w:id="48"/>
    </w:p>
    <w:p w14:paraId="7508A48A" w14:textId="77777777" w:rsidR="00F06550" w:rsidRDefault="00F06550" w:rsidP="00F06550">
      <w:pPr>
        <w:pStyle w:val="EBBodyPara"/>
      </w:pPr>
      <w:r>
        <w:t>Bilge alarms detect water in the vessel and allow for early intervention by the crew and can prevent a catastrophic event such as flooding or foundering (sinking/capsizing). This is demonstrated in the Millennium City,</w:t>
      </w:r>
      <w:r>
        <w:rPr>
          <w:vertAlign w:val="superscript"/>
        </w:rPr>
        <w:footnoteReference w:id="19"/>
      </w:r>
      <w:r>
        <w:t xml:space="preserve"> Vixen,</w:t>
      </w:r>
      <w:r>
        <w:rPr>
          <w:vertAlign w:val="superscript"/>
        </w:rPr>
        <w:footnoteReference w:id="20"/>
      </w:r>
      <w:r>
        <w:t xml:space="preserve"> MAIB investigations amongst others.</w:t>
      </w:r>
      <w:r>
        <w:rPr>
          <w:vertAlign w:val="superscript"/>
        </w:rPr>
        <w:footnoteReference w:id="21"/>
      </w:r>
      <w:r>
        <w:rPr>
          <w:vertAlign w:val="superscript"/>
        </w:rPr>
        <w:t>,</w:t>
      </w:r>
      <w:r>
        <w:rPr>
          <w:vertAlign w:val="superscript"/>
        </w:rPr>
        <w:footnoteReference w:id="22"/>
      </w:r>
      <w:r>
        <w:t xml:space="preserve"> </w:t>
      </w:r>
    </w:p>
    <w:p w14:paraId="679D476E" w14:textId="77777777" w:rsidR="00F06550" w:rsidRDefault="00F06550" w:rsidP="00F06550">
      <w:pPr>
        <w:pStyle w:val="EBBodyPara"/>
      </w:pPr>
      <w:r>
        <w:t>The alarm and electric bilge pumping of the fishing vessel Random Harvest</w:t>
      </w:r>
      <w:r>
        <w:rPr>
          <w:vertAlign w:val="superscript"/>
        </w:rPr>
        <w:footnoteReference w:id="23"/>
      </w:r>
      <w:r>
        <w:t xml:space="preserve"> (of similar size and construction to some smaller passenger vessel) contained serious flooding due to a hull fitting being lost. </w:t>
      </w:r>
    </w:p>
    <w:p w14:paraId="17CA2633" w14:textId="77777777" w:rsidR="00F06550" w:rsidRDefault="00F06550" w:rsidP="00F06550">
      <w:pPr>
        <w:pStyle w:val="EBBodyPara"/>
      </w:pPr>
      <w:r>
        <w:t>The MAIB has made similar recommendations</w:t>
      </w:r>
      <w:r>
        <w:rPr>
          <w:vertAlign w:val="superscript"/>
        </w:rPr>
        <w:footnoteReference w:id="24"/>
      </w:r>
      <w:r>
        <w:t xml:space="preserve"> for vessels of similar size and construction as domestic passenger vessels for the installation of bilge alarms. </w:t>
      </w:r>
    </w:p>
    <w:p w14:paraId="412820D5" w14:textId="77777777" w:rsidR="00F06550" w:rsidRPr="00E7214E" w:rsidRDefault="00F06550" w:rsidP="00F06550">
      <w:pPr>
        <w:pStyle w:val="Heading4"/>
        <w:keepNext/>
        <w:spacing w:line="256" w:lineRule="auto"/>
        <w:ind w:left="902" w:hanging="902"/>
      </w:pPr>
      <w:bookmarkStart w:id="49" w:name="_Ref513657695"/>
      <w:r w:rsidRPr="00F37425">
        <w:rPr>
          <w:bCs w:val="0"/>
        </w:rPr>
        <w:t>Damage Survivability</w:t>
      </w:r>
      <w:bookmarkEnd w:id="49"/>
    </w:p>
    <w:p w14:paraId="3B806EF6" w14:textId="77777777" w:rsidR="00F06550" w:rsidRDefault="00F06550" w:rsidP="00F06550">
      <w:pPr>
        <w:pStyle w:val="EBBodyPara"/>
        <w:keepNext/>
      </w:pPr>
      <w:r>
        <w:t>Many existing vessels need only comply with an intact stability standard and consequentially have no provision for damage stability. This means that these vessels are not required to survive relatively minor damage, such as a collision and subsequent hull failure.</w:t>
      </w:r>
    </w:p>
    <w:p w14:paraId="492D9634" w14:textId="77777777" w:rsidR="00F06550" w:rsidRDefault="00F06550" w:rsidP="00F06550">
      <w:pPr>
        <w:pStyle w:val="EBBodyPara"/>
        <w:keepNext/>
      </w:pPr>
      <w:r>
        <w:t xml:space="preserve">It is proposed to require all vessels operating at sea, on Category D and Category C (tidal) waters to achieve a level of damage survivability. This can be achieved by providing inherent buoyancy or by subdividing the vessel. </w:t>
      </w:r>
      <w:r w:rsidR="00E93107">
        <w:t xml:space="preserve">It is proposed to include an allowance such that vessels operating on </w:t>
      </w:r>
      <w:r w:rsidR="000847EA">
        <w:t xml:space="preserve">non-tidal </w:t>
      </w:r>
      <w:r w:rsidR="00E93107">
        <w:t xml:space="preserve">Category C waters may be excluded from </w:t>
      </w:r>
      <w:r w:rsidR="000847EA">
        <w:t xml:space="preserve">the </w:t>
      </w:r>
      <w:r w:rsidR="00E93107">
        <w:t xml:space="preserve">requirement subject to </w:t>
      </w:r>
      <w:r w:rsidR="004C6F4D">
        <w:t>the undertaking</w:t>
      </w:r>
      <w:r w:rsidR="00E93107">
        <w:t xml:space="preserve"> of a detailed risk assessment</w:t>
      </w:r>
      <w:r w:rsidR="000847EA">
        <w:t xml:space="preserve"> and MCA approval</w:t>
      </w:r>
      <w:r w:rsidR="00E93107">
        <w:t>.</w:t>
      </w:r>
    </w:p>
    <w:p w14:paraId="74E823A0" w14:textId="77777777" w:rsidR="00F06550" w:rsidRDefault="000362B4" w:rsidP="00F06550">
      <w:pPr>
        <w:pStyle w:val="Heading5"/>
        <w:keepNext/>
        <w:ind w:left="1077" w:hanging="1077"/>
        <w:rPr>
          <w:lang w:eastAsia="en-GB"/>
        </w:rPr>
      </w:pPr>
      <w:bookmarkStart w:id="50" w:name="_Ref518990605"/>
      <w:r>
        <w:rPr>
          <w:lang w:eastAsia="en-GB"/>
        </w:rPr>
        <w:t>Monetised</w:t>
      </w:r>
      <w:r w:rsidR="00F06550">
        <w:rPr>
          <w:lang w:eastAsia="en-GB"/>
        </w:rPr>
        <w:t xml:space="preserve"> costs</w:t>
      </w:r>
      <w:bookmarkEnd w:id="50"/>
    </w:p>
    <w:p w14:paraId="08ABB00F" w14:textId="77777777" w:rsidR="00F06550" w:rsidRDefault="00F06550" w:rsidP="00F06550">
      <w:pPr>
        <w:pStyle w:val="EBBodyPara"/>
        <w:keepNext/>
      </w:pPr>
      <w:r>
        <w:t xml:space="preserve">The number of vessels that may be affected is </w:t>
      </w:r>
      <w:r w:rsidR="000362B4">
        <w:t>assumed to be all vessels that are not known to currently meet the new damage survivability standards</w:t>
      </w:r>
      <w:r w:rsidR="00E93107">
        <w:t xml:space="preserve"> excluding those category C vessels operating on non-tidal waters – these are assumed to have undertaken satisfactory risk assessments to apply the allowance from </w:t>
      </w:r>
      <w:r w:rsidR="00E93107">
        <w:lastRenderedPageBreak/>
        <w:t>the requirements</w:t>
      </w:r>
      <w:r w:rsidR="000362B4">
        <w:t>. The majority</w:t>
      </w:r>
      <w:r w:rsidR="001E3159">
        <w:t xml:space="preserve"> of those</w:t>
      </w:r>
      <w:r w:rsidR="000362B4">
        <w:t>, 178, are currently assessed against the heeling test survivability standard that is not sufficient to meet new requirements</w:t>
      </w:r>
      <w:r w:rsidR="001E3159">
        <w:t>. The other 26 vessels survivability standard is either unknown or not sufficient to meet the new requirements.</w:t>
      </w:r>
    </w:p>
    <w:p w14:paraId="3D8DD789" w14:textId="77777777" w:rsidR="000362B4" w:rsidRDefault="00F06550" w:rsidP="00F06550">
      <w:pPr>
        <w:pStyle w:val="EBBodyPara"/>
        <w:keepNext/>
      </w:pPr>
      <w:r>
        <w:t xml:space="preserve"> </w:t>
      </w:r>
    </w:p>
    <w:tbl>
      <w:tblPr>
        <w:tblW w:w="6804" w:type="dxa"/>
        <w:jc w:val="center"/>
        <w:tblLook w:val="04A0" w:firstRow="1" w:lastRow="0" w:firstColumn="1" w:lastColumn="0" w:noHBand="0" w:noVBand="1"/>
      </w:tblPr>
      <w:tblGrid>
        <w:gridCol w:w="3935"/>
        <w:gridCol w:w="2869"/>
      </w:tblGrid>
      <w:tr w:rsidR="000362B4" w:rsidRPr="000362B4" w14:paraId="60C8D293" w14:textId="77777777" w:rsidTr="000100BE">
        <w:trPr>
          <w:trHeight w:val="315"/>
          <w:jc w:val="center"/>
        </w:trPr>
        <w:tc>
          <w:tcPr>
            <w:tcW w:w="6804" w:type="dxa"/>
            <w:gridSpan w:val="2"/>
            <w:tcBorders>
              <w:top w:val="nil"/>
              <w:left w:val="nil"/>
              <w:bottom w:val="single" w:sz="8" w:space="0" w:color="808080"/>
              <w:right w:val="nil"/>
            </w:tcBorders>
            <w:shd w:val="clear" w:color="auto" w:fill="auto"/>
            <w:noWrap/>
            <w:vAlign w:val="bottom"/>
            <w:hideMark/>
          </w:tcPr>
          <w:p w14:paraId="0592836E" w14:textId="77777777" w:rsidR="000362B4" w:rsidRPr="000362B4" w:rsidRDefault="00940A7B" w:rsidP="000362B4">
            <w:pPr>
              <w:rPr>
                <w:rFonts w:ascii="Calibri" w:hAnsi="Calibri"/>
                <w:i/>
                <w:iCs/>
                <w:color w:val="000000"/>
                <w:sz w:val="22"/>
                <w:szCs w:val="22"/>
                <w:lang w:eastAsia="en-GB"/>
              </w:rPr>
            </w:pPr>
            <w:r w:rsidRPr="00E65663">
              <w:rPr>
                <w:rFonts w:ascii="Calibri" w:hAnsi="Calibri"/>
                <w:i/>
                <w:iCs/>
                <w:color w:val="000000"/>
                <w:sz w:val="22"/>
                <w:szCs w:val="22"/>
                <w:lang w:eastAsia="en-GB"/>
              </w:rPr>
              <w:t>Table 22</w:t>
            </w:r>
            <w:r w:rsidR="000362B4" w:rsidRPr="00E65663">
              <w:rPr>
                <w:rFonts w:ascii="Calibri" w:hAnsi="Calibri"/>
                <w:i/>
                <w:iCs/>
                <w:color w:val="000000"/>
                <w:sz w:val="22"/>
                <w:szCs w:val="22"/>
                <w:lang w:eastAsia="en-GB"/>
              </w:rPr>
              <w:t>:</w:t>
            </w:r>
            <w:r w:rsidR="000362B4" w:rsidRPr="000362B4">
              <w:rPr>
                <w:rFonts w:ascii="Calibri" w:hAnsi="Calibri"/>
                <w:i/>
                <w:iCs/>
                <w:color w:val="000000"/>
                <w:sz w:val="22"/>
                <w:szCs w:val="22"/>
                <w:lang w:eastAsia="en-GB"/>
              </w:rPr>
              <w:t xml:space="preserve"> Overview of the number of vessels that do not meet new </w:t>
            </w:r>
            <w:r w:rsidR="000362B4">
              <w:rPr>
                <w:rFonts w:ascii="Calibri" w:hAnsi="Calibri"/>
                <w:i/>
                <w:iCs/>
                <w:color w:val="000000"/>
                <w:sz w:val="22"/>
                <w:szCs w:val="22"/>
                <w:lang w:eastAsia="en-GB"/>
              </w:rPr>
              <w:t>damage survivability s</w:t>
            </w:r>
            <w:r w:rsidR="000362B4" w:rsidRPr="000362B4">
              <w:rPr>
                <w:rFonts w:ascii="Calibri" w:hAnsi="Calibri"/>
                <w:i/>
                <w:iCs/>
                <w:color w:val="000000"/>
                <w:sz w:val="22"/>
                <w:szCs w:val="22"/>
                <w:lang w:eastAsia="en-GB"/>
              </w:rPr>
              <w:t>tandards</w:t>
            </w:r>
          </w:p>
        </w:tc>
      </w:tr>
      <w:tr w:rsidR="000362B4" w:rsidRPr="000362B4" w14:paraId="79BB5CA2" w14:textId="77777777" w:rsidTr="000100BE">
        <w:trPr>
          <w:trHeight w:val="315"/>
          <w:jc w:val="center"/>
        </w:trPr>
        <w:tc>
          <w:tcPr>
            <w:tcW w:w="3935" w:type="dxa"/>
            <w:tcBorders>
              <w:top w:val="nil"/>
              <w:left w:val="single" w:sz="8" w:space="0" w:color="808080"/>
              <w:bottom w:val="single" w:sz="8" w:space="0" w:color="808080"/>
              <w:right w:val="nil"/>
            </w:tcBorders>
            <w:shd w:val="clear" w:color="auto" w:fill="auto"/>
            <w:noWrap/>
            <w:vAlign w:val="bottom"/>
            <w:hideMark/>
          </w:tcPr>
          <w:p w14:paraId="13433369" w14:textId="77777777" w:rsidR="000362B4" w:rsidRPr="000362B4" w:rsidRDefault="000362B4" w:rsidP="000362B4">
            <w:pPr>
              <w:rPr>
                <w:rFonts w:ascii="Calibri" w:hAnsi="Calibri"/>
                <w:b/>
                <w:bCs/>
                <w:color w:val="000000"/>
                <w:sz w:val="22"/>
                <w:szCs w:val="22"/>
                <w:lang w:eastAsia="en-GB"/>
              </w:rPr>
            </w:pPr>
            <w:r w:rsidRPr="000362B4">
              <w:rPr>
                <w:rFonts w:ascii="Calibri" w:hAnsi="Calibri"/>
                <w:b/>
                <w:bCs/>
                <w:color w:val="000000"/>
                <w:sz w:val="22"/>
                <w:szCs w:val="22"/>
                <w:lang w:eastAsia="en-GB"/>
              </w:rPr>
              <w:t>Vessel Type</w:t>
            </w:r>
          </w:p>
        </w:tc>
        <w:tc>
          <w:tcPr>
            <w:tcW w:w="2869" w:type="dxa"/>
            <w:tcBorders>
              <w:top w:val="nil"/>
              <w:left w:val="single" w:sz="8" w:space="0" w:color="808080"/>
              <w:bottom w:val="single" w:sz="8" w:space="0" w:color="808080"/>
              <w:right w:val="single" w:sz="8" w:space="0" w:color="808080"/>
            </w:tcBorders>
            <w:shd w:val="clear" w:color="auto" w:fill="auto"/>
            <w:noWrap/>
            <w:vAlign w:val="bottom"/>
            <w:hideMark/>
          </w:tcPr>
          <w:p w14:paraId="14180D1A" w14:textId="5DF06EEB"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Number of Vessels</w:t>
            </w:r>
            <w:r w:rsidR="000100BE">
              <w:rPr>
                <w:rFonts w:ascii="Calibri" w:hAnsi="Calibri"/>
                <w:color w:val="000000"/>
                <w:sz w:val="22"/>
                <w:szCs w:val="22"/>
                <w:lang w:eastAsia="en-GB"/>
              </w:rPr>
              <w:t xml:space="preserve"> Affected</w:t>
            </w:r>
          </w:p>
        </w:tc>
      </w:tr>
      <w:tr w:rsidR="000362B4" w:rsidRPr="000362B4" w14:paraId="7BFDE213" w14:textId="77777777" w:rsidTr="000100BE">
        <w:trPr>
          <w:trHeight w:val="300"/>
          <w:jc w:val="center"/>
        </w:trPr>
        <w:tc>
          <w:tcPr>
            <w:tcW w:w="3935" w:type="dxa"/>
            <w:tcBorders>
              <w:top w:val="nil"/>
              <w:left w:val="single" w:sz="8" w:space="0" w:color="808080"/>
              <w:bottom w:val="nil"/>
              <w:right w:val="nil"/>
            </w:tcBorders>
            <w:shd w:val="clear" w:color="auto" w:fill="auto"/>
            <w:noWrap/>
            <w:vAlign w:val="bottom"/>
            <w:hideMark/>
          </w:tcPr>
          <w:p w14:paraId="23DDA9EA" w14:textId="77777777"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Class V (C) - 'Tidal'</w:t>
            </w:r>
          </w:p>
        </w:tc>
        <w:tc>
          <w:tcPr>
            <w:tcW w:w="2869" w:type="dxa"/>
            <w:tcBorders>
              <w:top w:val="nil"/>
              <w:left w:val="single" w:sz="8" w:space="0" w:color="808080"/>
              <w:bottom w:val="nil"/>
              <w:right w:val="single" w:sz="8" w:space="0" w:color="808080"/>
            </w:tcBorders>
            <w:shd w:val="clear" w:color="auto" w:fill="auto"/>
            <w:noWrap/>
            <w:vAlign w:val="bottom"/>
            <w:hideMark/>
          </w:tcPr>
          <w:p w14:paraId="09CC419D" w14:textId="77777777"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83</w:t>
            </w:r>
          </w:p>
        </w:tc>
      </w:tr>
      <w:tr w:rsidR="000362B4" w:rsidRPr="000362B4" w14:paraId="2884D59F" w14:textId="77777777" w:rsidTr="000100BE">
        <w:trPr>
          <w:trHeight w:val="315"/>
          <w:jc w:val="center"/>
        </w:trPr>
        <w:tc>
          <w:tcPr>
            <w:tcW w:w="3935" w:type="dxa"/>
            <w:tcBorders>
              <w:top w:val="nil"/>
              <w:left w:val="single" w:sz="8" w:space="0" w:color="808080"/>
              <w:bottom w:val="nil"/>
              <w:right w:val="nil"/>
            </w:tcBorders>
            <w:shd w:val="clear" w:color="auto" w:fill="auto"/>
            <w:noWrap/>
            <w:vAlign w:val="bottom"/>
            <w:hideMark/>
          </w:tcPr>
          <w:p w14:paraId="55D6DC07" w14:textId="77777777"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Class VI &amp; VI(A)</w:t>
            </w:r>
          </w:p>
        </w:tc>
        <w:tc>
          <w:tcPr>
            <w:tcW w:w="2869" w:type="dxa"/>
            <w:tcBorders>
              <w:top w:val="nil"/>
              <w:left w:val="single" w:sz="8" w:space="0" w:color="808080"/>
              <w:bottom w:val="nil"/>
              <w:right w:val="single" w:sz="8" w:space="0" w:color="808080"/>
            </w:tcBorders>
            <w:shd w:val="clear" w:color="auto" w:fill="auto"/>
            <w:noWrap/>
            <w:vAlign w:val="bottom"/>
            <w:hideMark/>
          </w:tcPr>
          <w:p w14:paraId="2EC3CC64" w14:textId="77777777"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121</w:t>
            </w:r>
          </w:p>
        </w:tc>
      </w:tr>
      <w:tr w:rsidR="000362B4" w:rsidRPr="000362B4" w14:paraId="32D53130" w14:textId="77777777" w:rsidTr="000100BE">
        <w:trPr>
          <w:trHeight w:val="315"/>
          <w:jc w:val="center"/>
        </w:trPr>
        <w:tc>
          <w:tcPr>
            <w:tcW w:w="3935" w:type="dxa"/>
            <w:tcBorders>
              <w:top w:val="single" w:sz="8" w:space="0" w:color="808080"/>
              <w:left w:val="single" w:sz="8" w:space="0" w:color="808080"/>
              <w:bottom w:val="single" w:sz="8" w:space="0" w:color="808080"/>
              <w:right w:val="nil"/>
            </w:tcBorders>
            <w:shd w:val="clear" w:color="auto" w:fill="auto"/>
            <w:noWrap/>
            <w:vAlign w:val="bottom"/>
            <w:hideMark/>
          </w:tcPr>
          <w:p w14:paraId="0B03FE92" w14:textId="77777777"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Total</w:t>
            </w:r>
          </w:p>
        </w:tc>
        <w:tc>
          <w:tcPr>
            <w:tcW w:w="2869"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3349D74B" w14:textId="77777777" w:rsidR="000362B4" w:rsidRPr="000362B4" w:rsidRDefault="000362B4" w:rsidP="000362B4">
            <w:pPr>
              <w:rPr>
                <w:rFonts w:ascii="Calibri" w:hAnsi="Calibri"/>
                <w:color w:val="000000"/>
                <w:sz w:val="22"/>
                <w:szCs w:val="22"/>
                <w:lang w:eastAsia="en-GB"/>
              </w:rPr>
            </w:pPr>
            <w:r w:rsidRPr="000362B4">
              <w:rPr>
                <w:rFonts w:ascii="Calibri" w:hAnsi="Calibri"/>
                <w:color w:val="000000"/>
                <w:sz w:val="22"/>
                <w:szCs w:val="22"/>
                <w:lang w:eastAsia="en-GB"/>
              </w:rPr>
              <w:t>204</w:t>
            </w:r>
          </w:p>
        </w:tc>
      </w:tr>
    </w:tbl>
    <w:p w14:paraId="37CCC937" w14:textId="77777777" w:rsidR="00F06550" w:rsidRDefault="00F06550" w:rsidP="00F06550">
      <w:pPr>
        <w:pStyle w:val="EBBodyPara"/>
        <w:keepNext/>
      </w:pPr>
    </w:p>
    <w:p w14:paraId="46502776" w14:textId="77777777" w:rsidR="001612F1" w:rsidRDefault="00F06550" w:rsidP="00F06550">
      <w:pPr>
        <w:pStyle w:val="EBBodyPara"/>
        <w:keepNext/>
      </w:pPr>
      <w:r>
        <w:t>The solution to achieve inherent buoyancy or subdivision would be bespoke to each vessel. The cost associated with each vessel cannot be</w:t>
      </w:r>
      <w:r w:rsidR="001E3159">
        <w:t xml:space="preserve"> accurately estimated </w:t>
      </w:r>
      <w:r>
        <w:t>without a detailed engineering analysis ha</w:t>
      </w:r>
      <w:r w:rsidR="001E3159">
        <w:t>ving</w:t>
      </w:r>
      <w:r>
        <w:t xml:space="preserve"> be</w:t>
      </w:r>
      <w:r w:rsidR="001E3159">
        <w:t xml:space="preserve">en carried out for each vessel. </w:t>
      </w:r>
      <w:r w:rsidR="001612F1">
        <w:t xml:space="preserve">It is considered that many vessels will be impacted in one of two ways. </w:t>
      </w:r>
    </w:p>
    <w:p w14:paraId="0C06A39A" w14:textId="77777777" w:rsidR="001612F1" w:rsidRDefault="000847EA" w:rsidP="001612F1">
      <w:pPr>
        <w:pStyle w:val="EBBodyPara"/>
        <w:keepNext/>
        <w:numPr>
          <w:ilvl w:val="0"/>
          <w:numId w:val="33"/>
        </w:numPr>
        <w:spacing w:line="256" w:lineRule="auto"/>
      </w:pPr>
      <w:r>
        <w:t>Firstly,</w:t>
      </w:r>
      <w:r w:rsidR="001612F1">
        <w:t xml:space="preserve"> some vessels will have originally been built with subdivision and subsequently would require relatively little work to verify that subdivision of the vessel is in accordance with the proposed standard. This would likely consist of a detailed survey of the vessel and stability calculations using computer software.</w:t>
      </w:r>
    </w:p>
    <w:p w14:paraId="75BEF43A" w14:textId="77777777" w:rsidR="001612F1" w:rsidRDefault="001612F1" w:rsidP="00F06550">
      <w:pPr>
        <w:pStyle w:val="EBBodyPara"/>
        <w:keepNext/>
        <w:numPr>
          <w:ilvl w:val="0"/>
          <w:numId w:val="33"/>
        </w:numPr>
        <w:spacing w:line="256" w:lineRule="auto"/>
      </w:pPr>
      <w:r>
        <w:t>Some vessels will have not have been built with any subdivision and will require substantial work to meet a satisfactory level of damage survivability. This work could effectively mean rebuilding the vessel and may not be practicable in all cases. Open vessels (those without decks) are likely to be those which cannot easily meet the proposed standard. The number of vessels in this position is not known and would rely on an engineering analysis of each vessel.</w:t>
      </w:r>
    </w:p>
    <w:p w14:paraId="39AC587F" w14:textId="77777777" w:rsidR="00B9311B" w:rsidRDefault="001E3159" w:rsidP="00F06550">
      <w:pPr>
        <w:pStyle w:val="EBBodyPara"/>
        <w:keepNext/>
      </w:pPr>
      <w:r>
        <w:t>To estimate an indicative cost</w:t>
      </w:r>
      <w:r w:rsidR="001612F1">
        <w:t xml:space="preserve"> of the above</w:t>
      </w:r>
      <w:r>
        <w:t xml:space="preserve">, experts within the MCA have estimated indicative costs for </w:t>
      </w:r>
      <w:r w:rsidR="006A4640">
        <w:t>16</w:t>
      </w:r>
      <w:r>
        <w:t xml:space="preserve"> vessels</w:t>
      </w:r>
      <w:r w:rsidR="00F06550">
        <w:t>.</w:t>
      </w:r>
      <w:r w:rsidR="00B9311B">
        <w:t xml:space="preserve"> </w:t>
      </w:r>
      <w:r w:rsidR="00F06550">
        <w:t xml:space="preserve"> </w:t>
      </w:r>
      <w:r w:rsidR="00B11191">
        <w:t xml:space="preserve">When selecting the sample of vessels, we have taken a range of vessels by vessel class, age and the number of passengers the vessel can hold. </w:t>
      </w:r>
      <w:r>
        <w:t>We take these indicative costs to estimate a low, central and h</w:t>
      </w:r>
      <w:r w:rsidR="00B9311B">
        <w:t xml:space="preserve">igh scenario for all the vessels that may require change to meet the new damage survivability standard. </w:t>
      </w:r>
    </w:p>
    <w:p w14:paraId="23CBCAB1" w14:textId="77777777" w:rsidR="00B9311B" w:rsidRDefault="00330A89" w:rsidP="00F06550">
      <w:pPr>
        <w:pStyle w:val="EBBodyPara"/>
        <w:keepNext/>
      </w:pPr>
      <w:r>
        <w:t>We have divided the costs to vessels into 3 separate categories. The first is consultancy costs</w:t>
      </w:r>
      <w:r w:rsidR="00A62B86">
        <w:t xml:space="preserve"> </w:t>
      </w:r>
      <w:r w:rsidR="001D03F9">
        <w:t>for</w:t>
      </w:r>
      <w:r w:rsidR="00A62B86">
        <w:t xml:space="preserve"> conduct</w:t>
      </w:r>
      <w:r w:rsidR="001D03F9">
        <w:t>ing</w:t>
      </w:r>
      <w:r w:rsidR="00A62B86">
        <w:t xml:space="preserve"> a detailed survey of the vessel. As this is required to understand what work would need to be carried out on the vessel to bring it in compliance </w:t>
      </w:r>
      <w:r w:rsidR="00903D91">
        <w:t xml:space="preserve">with </w:t>
      </w:r>
      <w:r w:rsidR="00A62B86">
        <w:t xml:space="preserve">the proposed regulations we have not included an additional familiarisation cost in section </w:t>
      </w:r>
      <w:r w:rsidR="00A62B86">
        <w:fldChar w:fldCharType="begin"/>
      </w:r>
      <w:r w:rsidR="00A62B86">
        <w:instrText xml:space="preserve"> REF _Ref513657379 \r \h </w:instrText>
      </w:r>
      <w:r w:rsidR="00A62B86">
        <w:fldChar w:fldCharType="separate"/>
      </w:r>
      <w:r w:rsidR="00742166">
        <w:t>10.2.11</w:t>
      </w:r>
      <w:r w:rsidR="00A62B86">
        <w:fldChar w:fldCharType="end"/>
      </w:r>
      <w:r w:rsidR="00A62B86">
        <w:t xml:space="preserve"> for this purpose. </w:t>
      </w:r>
      <w:r w:rsidR="006A4640">
        <w:t>The second</w:t>
      </w:r>
      <w:r w:rsidR="003C3704">
        <w:t xml:space="preserve"> is the actual work that will need to be conducted on each vessel. This is subject to the most variation in cost between vessels. This includes additional steelwork, modifications to decks, additional buoyancy/ballast material</w:t>
      </w:r>
      <w:r w:rsidR="0089254F">
        <w:t>, labour</w:t>
      </w:r>
      <w:r w:rsidR="003C3704">
        <w:t xml:space="preserve"> costs, equipment inst</w:t>
      </w:r>
      <w:r w:rsidR="006A4640">
        <w:t>allation and testing. The third</w:t>
      </w:r>
      <w:r w:rsidR="003C3704">
        <w:t xml:space="preserve"> is costs for plan approvals, stability assessments, on-site surveys, inclining, administra</w:t>
      </w:r>
      <w:r w:rsidR="00BC493F">
        <w:t>tion and structural assessments, which are services provided by the MCA for which operators pay a fee</w:t>
      </w:r>
      <w:r w:rsidR="00810111">
        <w:t>.</w:t>
      </w:r>
    </w:p>
    <w:p w14:paraId="5C2BB7E0" w14:textId="77777777" w:rsidR="001E3159" w:rsidRDefault="00B9311B" w:rsidP="00F06550">
      <w:pPr>
        <w:pStyle w:val="EBBodyPara"/>
        <w:keepNext/>
      </w:pPr>
      <w:r>
        <w:t>The central estimate is based on the median estimate of each category (Consultancy Costs, Yard Costs and MCA Costs), with the low and high scenarios representing the 25</w:t>
      </w:r>
      <w:r w:rsidRPr="00B9311B">
        <w:rPr>
          <w:vertAlign w:val="superscript"/>
        </w:rPr>
        <w:t>th</w:t>
      </w:r>
      <w:r>
        <w:t xml:space="preserve"> and 75</w:t>
      </w:r>
      <w:r w:rsidRPr="00B9311B">
        <w:rPr>
          <w:vertAlign w:val="superscript"/>
        </w:rPr>
        <w:t>th</w:t>
      </w:r>
      <w:r>
        <w:t xml:space="preserve"> percentile respectively. </w:t>
      </w:r>
      <w:r w:rsidR="006A4640">
        <w:t>There is a high variation in the number of</w:t>
      </w:r>
      <w:r w:rsidR="006A4640" w:rsidRPr="006A4640">
        <w:t xml:space="preserve"> vessels</w:t>
      </w:r>
      <w:r w:rsidR="006A4640">
        <w:t xml:space="preserve"> that</w:t>
      </w:r>
      <w:r w:rsidR="006A4640" w:rsidRPr="006A4640">
        <w:t xml:space="preserve"> will need very little work and some a substantial amount</w:t>
      </w:r>
      <w:r w:rsidR="006A4640">
        <w:t>.</w:t>
      </w:r>
      <w:r w:rsidR="006A4640" w:rsidRPr="006A4640">
        <w:t xml:space="preserve"> </w:t>
      </w:r>
      <w:r>
        <w:t>The median</w:t>
      </w:r>
      <w:r w:rsidR="006A4640">
        <w:t xml:space="preserve"> (rather than the mean)</w:t>
      </w:r>
      <w:r>
        <w:t xml:space="preserve"> is used to avoid skewness </w:t>
      </w:r>
      <w:r w:rsidR="006A4640">
        <w:t>in the data</w:t>
      </w:r>
      <w:r>
        <w:t xml:space="preserve"> </w:t>
      </w:r>
      <w:r w:rsidR="006A4640">
        <w:t>by outliers in our estimates of 16 vessels</w:t>
      </w:r>
      <w:r>
        <w:t xml:space="preserve">. </w:t>
      </w:r>
      <w:r w:rsidR="00A62B86">
        <w:t>The low, central and high scenarios are calculated based on the costs for consultancy, yard upgrades and MCA costs individually rather than the total cost for each example vessel.</w:t>
      </w:r>
    </w:p>
    <w:p w14:paraId="6FE9C1B9" w14:textId="70C02160" w:rsidR="005B0446" w:rsidRDefault="002A0CB5" w:rsidP="00F06550">
      <w:pPr>
        <w:pStyle w:val="EBBodyPara"/>
        <w:keepNext/>
      </w:pPr>
      <w:r w:rsidRPr="002A0CB5">
        <w:t xml:space="preserve">We acknowledge that although the average yard cost </w:t>
      </w:r>
      <w:r w:rsidR="001E255F">
        <w:t>in</w:t>
      </w:r>
      <w:r w:rsidRPr="002A0CB5">
        <w:t xml:space="preserve"> the central s</w:t>
      </w:r>
      <w:r w:rsidR="001E255F">
        <w:t>cenario is £4,500, in reality the</w:t>
      </w:r>
      <w:r>
        <w:t xml:space="preserve"> cost</w:t>
      </w:r>
      <w:r w:rsidRPr="002A0CB5">
        <w:t xml:space="preserve"> will disp</w:t>
      </w:r>
      <w:r>
        <w:t>roportionately</w:t>
      </w:r>
      <w:r w:rsidRPr="002A0CB5">
        <w:t xml:space="preserve"> impact </w:t>
      </w:r>
      <w:r>
        <w:t>particular</w:t>
      </w:r>
      <w:r w:rsidRPr="002A0CB5">
        <w:t xml:space="preserve"> vessels. Within our estimates of the vessels affected</w:t>
      </w:r>
      <w:r w:rsidR="001E255F">
        <w:t>,</w:t>
      </w:r>
      <w:r w:rsidRPr="002A0CB5">
        <w:t xml:space="preserve"> the cost</w:t>
      </w:r>
      <w:r>
        <w:t xml:space="preserve"> of yard work ranges from negligible cost to £32,000.</w:t>
      </w:r>
      <w:r w:rsidR="004B37BC">
        <w:t xml:space="preserve"> </w:t>
      </w:r>
      <w:r>
        <w:t xml:space="preserve">Through our consultation with industry we </w:t>
      </w:r>
      <w:r w:rsidR="001E255F">
        <w:t>will</w:t>
      </w:r>
      <w:r>
        <w:t xml:space="preserve"> gain a better understanding </w:t>
      </w:r>
      <w:r w:rsidR="00E47DD5">
        <w:t xml:space="preserve">of these costs </w:t>
      </w:r>
      <w:r w:rsidR="001E255F">
        <w:t>and</w:t>
      </w:r>
      <w:r w:rsidR="00E47DD5">
        <w:t xml:space="preserve"> what</w:t>
      </w:r>
      <w:r w:rsidR="001E255F">
        <w:t xml:space="preserve"> actions we can take to mitigate </w:t>
      </w:r>
      <w:r w:rsidR="009B0F09">
        <w:t>the burden on vessel owners</w:t>
      </w:r>
      <w:r w:rsidR="001E255F">
        <w:t>.</w:t>
      </w:r>
    </w:p>
    <w:p w14:paraId="52598FD8" w14:textId="77777777" w:rsidR="00BB6AFA" w:rsidRDefault="00BB6AFA" w:rsidP="00F06550">
      <w:pPr>
        <w:pStyle w:val="EBBodyPara"/>
        <w:keepNext/>
      </w:pPr>
    </w:p>
    <w:p w14:paraId="014DC3A4" w14:textId="77777777" w:rsidR="005B0446" w:rsidRDefault="005B0446">
      <w:r>
        <w:br w:type="page"/>
      </w:r>
    </w:p>
    <w:tbl>
      <w:tblPr>
        <w:tblW w:w="8675" w:type="dxa"/>
        <w:jc w:val="center"/>
        <w:tblLook w:val="04A0" w:firstRow="1" w:lastRow="0" w:firstColumn="1" w:lastColumn="0" w:noHBand="0" w:noVBand="1"/>
      </w:tblPr>
      <w:tblGrid>
        <w:gridCol w:w="3586"/>
        <w:gridCol w:w="1702"/>
        <w:gridCol w:w="1685"/>
        <w:gridCol w:w="1702"/>
      </w:tblGrid>
      <w:tr w:rsidR="00FE3E9E" w:rsidRPr="00FE3E9E" w14:paraId="42893A86" w14:textId="77777777" w:rsidTr="00285DA2">
        <w:trPr>
          <w:trHeight w:val="315"/>
          <w:jc w:val="center"/>
        </w:trPr>
        <w:tc>
          <w:tcPr>
            <w:tcW w:w="8675" w:type="dxa"/>
            <w:gridSpan w:val="4"/>
            <w:tcBorders>
              <w:bottom w:val="nil"/>
            </w:tcBorders>
            <w:shd w:val="clear" w:color="auto" w:fill="auto"/>
            <w:noWrap/>
            <w:vAlign w:val="bottom"/>
            <w:hideMark/>
          </w:tcPr>
          <w:p w14:paraId="0BB1E41F" w14:textId="15CD554A" w:rsidR="00FE3E9E" w:rsidRPr="00FE3E9E" w:rsidRDefault="00940A7B" w:rsidP="00FE3E9E">
            <w:pPr>
              <w:rPr>
                <w:rFonts w:ascii="Calibri" w:hAnsi="Calibri"/>
                <w:i/>
                <w:iCs/>
                <w:color w:val="000000"/>
                <w:sz w:val="22"/>
                <w:szCs w:val="22"/>
                <w:lang w:eastAsia="en-GB"/>
              </w:rPr>
            </w:pPr>
            <w:r w:rsidRPr="00E65663">
              <w:rPr>
                <w:rFonts w:ascii="Calibri" w:hAnsi="Calibri"/>
                <w:i/>
                <w:iCs/>
                <w:color w:val="000000"/>
                <w:sz w:val="22"/>
                <w:szCs w:val="22"/>
                <w:lang w:eastAsia="en-GB"/>
              </w:rPr>
              <w:lastRenderedPageBreak/>
              <w:t>Table 23</w:t>
            </w:r>
            <w:r w:rsidR="00FE3E9E" w:rsidRPr="00FE3E9E">
              <w:rPr>
                <w:rFonts w:ascii="Calibri" w:hAnsi="Calibri"/>
                <w:i/>
                <w:iCs/>
                <w:color w:val="000000"/>
                <w:sz w:val="22"/>
                <w:szCs w:val="22"/>
                <w:lang w:eastAsia="en-GB"/>
              </w:rPr>
              <w:t>: An overview of indicative costs of damage survivability requirements</w:t>
            </w:r>
          </w:p>
        </w:tc>
      </w:tr>
      <w:tr w:rsidR="00FE3E9E" w:rsidRPr="00FE3E9E" w14:paraId="222B42C4" w14:textId="77777777" w:rsidTr="00285DA2">
        <w:trPr>
          <w:trHeight w:val="315"/>
          <w:jc w:val="center"/>
        </w:trPr>
        <w:tc>
          <w:tcPr>
            <w:tcW w:w="358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2597088A" w14:textId="77777777" w:rsidR="00FE3E9E" w:rsidRPr="00FE3E9E" w:rsidRDefault="00FE3E9E" w:rsidP="00FE3E9E">
            <w:pPr>
              <w:rPr>
                <w:rFonts w:ascii="Calibri" w:hAnsi="Calibri"/>
                <w:b/>
                <w:bCs/>
                <w:color w:val="000000"/>
                <w:sz w:val="22"/>
                <w:szCs w:val="22"/>
                <w:lang w:eastAsia="en-GB"/>
              </w:rPr>
            </w:pPr>
            <w:r w:rsidRPr="00FE3E9E">
              <w:rPr>
                <w:rFonts w:ascii="Calibri" w:hAnsi="Calibri"/>
                <w:b/>
                <w:bCs/>
                <w:color w:val="000000"/>
                <w:sz w:val="22"/>
                <w:szCs w:val="22"/>
                <w:lang w:eastAsia="en-GB"/>
              </w:rPr>
              <w:t>Cost</w:t>
            </w:r>
          </w:p>
        </w:tc>
        <w:tc>
          <w:tcPr>
            <w:tcW w:w="1702" w:type="dxa"/>
            <w:tcBorders>
              <w:top w:val="single" w:sz="8" w:space="0" w:color="808080"/>
              <w:left w:val="nil"/>
              <w:bottom w:val="single" w:sz="8" w:space="0" w:color="808080"/>
              <w:right w:val="nil"/>
            </w:tcBorders>
            <w:shd w:val="clear" w:color="auto" w:fill="auto"/>
            <w:noWrap/>
            <w:vAlign w:val="bottom"/>
            <w:hideMark/>
          </w:tcPr>
          <w:p w14:paraId="2E2F5227" w14:textId="77777777" w:rsidR="00FE3E9E" w:rsidRPr="00FE3E9E" w:rsidRDefault="00FE3E9E" w:rsidP="00FE3E9E">
            <w:pPr>
              <w:rPr>
                <w:rFonts w:ascii="Calibri" w:hAnsi="Calibri"/>
                <w:b/>
                <w:bCs/>
                <w:color w:val="000000"/>
                <w:sz w:val="22"/>
                <w:szCs w:val="22"/>
                <w:lang w:eastAsia="en-GB"/>
              </w:rPr>
            </w:pPr>
            <w:r w:rsidRPr="00FE3E9E">
              <w:rPr>
                <w:rFonts w:ascii="Calibri" w:hAnsi="Calibri"/>
                <w:b/>
                <w:bCs/>
                <w:color w:val="000000"/>
                <w:sz w:val="22"/>
                <w:szCs w:val="22"/>
                <w:lang w:eastAsia="en-GB"/>
              </w:rPr>
              <w:t>Low</w:t>
            </w:r>
          </w:p>
        </w:tc>
        <w:tc>
          <w:tcPr>
            <w:tcW w:w="1685" w:type="dxa"/>
            <w:tcBorders>
              <w:top w:val="single" w:sz="8" w:space="0" w:color="808080"/>
              <w:left w:val="nil"/>
              <w:bottom w:val="single" w:sz="8" w:space="0" w:color="808080"/>
              <w:right w:val="nil"/>
            </w:tcBorders>
            <w:shd w:val="clear" w:color="auto" w:fill="auto"/>
            <w:noWrap/>
            <w:vAlign w:val="bottom"/>
            <w:hideMark/>
          </w:tcPr>
          <w:p w14:paraId="686F6899" w14:textId="77777777" w:rsidR="00FE3E9E" w:rsidRPr="00FE3E9E" w:rsidRDefault="00FE3E9E" w:rsidP="00FE3E9E">
            <w:pPr>
              <w:rPr>
                <w:rFonts w:ascii="Calibri" w:hAnsi="Calibri"/>
                <w:b/>
                <w:bCs/>
                <w:color w:val="000000"/>
                <w:sz w:val="22"/>
                <w:szCs w:val="22"/>
                <w:lang w:eastAsia="en-GB"/>
              </w:rPr>
            </w:pPr>
            <w:r w:rsidRPr="00FE3E9E">
              <w:rPr>
                <w:rFonts w:ascii="Calibri" w:hAnsi="Calibri"/>
                <w:b/>
                <w:bCs/>
                <w:color w:val="000000"/>
                <w:sz w:val="22"/>
                <w:szCs w:val="22"/>
                <w:lang w:eastAsia="en-GB"/>
              </w:rPr>
              <w:t>Central</w:t>
            </w:r>
          </w:p>
        </w:tc>
        <w:tc>
          <w:tcPr>
            <w:tcW w:w="1702" w:type="dxa"/>
            <w:tcBorders>
              <w:top w:val="single" w:sz="8" w:space="0" w:color="808080"/>
              <w:left w:val="nil"/>
              <w:bottom w:val="single" w:sz="8" w:space="0" w:color="808080"/>
              <w:right w:val="single" w:sz="4" w:space="0" w:color="808080"/>
            </w:tcBorders>
            <w:shd w:val="clear" w:color="auto" w:fill="auto"/>
            <w:noWrap/>
            <w:vAlign w:val="bottom"/>
            <w:hideMark/>
          </w:tcPr>
          <w:p w14:paraId="150CABE6" w14:textId="77777777" w:rsidR="00FE3E9E" w:rsidRPr="00FE3E9E" w:rsidRDefault="00FE3E9E" w:rsidP="00FE3E9E">
            <w:pPr>
              <w:rPr>
                <w:rFonts w:ascii="Calibri" w:hAnsi="Calibri"/>
                <w:b/>
                <w:bCs/>
                <w:color w:val="000000"/>
                <w:sz w:val="22"/>
                <w:szCs w:val="22"/>
                <w:lang w:eastAsia="en-GB"/>
              </w:rPr>
            </w:pPr>
            <w:r w:rsidRPr="00FE3E9E">
              <w:rPr>
                <w:rFonts w:ascii="Calibri" w:hAnsi="Calibri"/>
                <w:b/>
                <w:bCs/>
                <w:color w:val="000000"/>
                <w:sz w:val="22"/>
                <w:szCs w:val="22"/>
                <w:lang w:eastAsia="en-GB"/>
              </w:rPr>
              <w:t>High</w:t>
            </w:r>
          </w:p>
        </w:tc>
      </w:tr>
      <w:tr w:rsidR="00FE3E9E" w:rsidRPr="00FE3E9E" w14:paraId="347E04A3" w14:textId="77777777" w:rsidTr="00285DA2">
        <w:trPr>
          <w:trHeight w:val="300"/>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70AD131F"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Average Consultancy Cost per Vessel</w:t>
            </w:r>
          </w:p>
        </w:tc>
        <w:tc>
          <w:tcPr>
            <w:tcW w:w="1702" w:type="dxa"/>
            <w:tcBorders>
              <w:top w:val="nil"/>
              <w:left w:val="nil"/>
              <w:bottom w:val="nil"/>
              <w:right w:val="nil"/>
            </w:tcBorders>
            <w:shd w:val="clear" w:color="auto" w:fill="auto"/>
            <w:noWrap/>
            <w:vAlign w:val="bottom"/>
            <w:hideMark/>
          </w:tcPr>
          <w:p w14:paraId="3AC375C3"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£4,500</w:t>
            </w:r>
          </w:p>
        </w:tc>
        <w:tc>
          <w:tcPr>
            <w:tcW w:w="1685" w:type="dxa"/>
            <w:tcBorders>
              <w:top w:val="nil"/>
              <w:left w:val="nil"/>
              <w:bottom w:val="nil"/>
              <w:right w:val="nil"/>
            </w:tcBorders>
            <w:shd w:val="clear" w:color="auto" w:fill="auto"/>
            <w:noWrap/>
            <w:vAlign w:val="bottom"/>
            <w:hideMark/>
          </w:tcPr>
          <w:p w14:paraId="77898A16"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£5,000</w:t>
            </w:r>
          </w:p>
        </w:tc>
        <w:tc>
          <w:tcPr>
            <w:tcW w:w="1702" w:type="dxa"/>
            <w:tcBorders>
              <w:top w:val="nil"/>
              <w:left w:val="nil"/>
              <w:bottom w:val="nil"/>
              <w:right w:val="single" w:sz="4" w:space="0" w:color="808080"/>
            </w:tcBorders>
            <w:shd w:val="clear" w:color="auto" w:fill="auto"/>
            <w:noWrap/>
            <w:vAlign w:val="center"/>
            <w:hideMark/>
          </w:tcPr>
          <w:p w14:paraId="72835C6F"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£5,500</w:t>
            </w:r>
          </w:p>
        </w:tc>
      </w:tr>
      <w:tr w:rsidR="00FE3E9E" w:rsidRPr="00FE3E9E" w14:paraId="6162E3B4" w14:textId="77777777" w:rsidTr="00285DA2">
        <w:trPr>
          <w:trHeight w:val="300"/>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6184B3DC"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Average Yard Cost per Vessel</w:t>
            </w:r>
          </w:p>
        </w:tc>
        <w:tc>
          <w:tcPr>
            <w:tcW w:w="1702" w:type="dxa"/>
            <w:tcBorders>
              <w:top w:val="nil"/>
              <w:left w:val="nil"/>
              <w:bottom w:val="nil"/>
              <w:right w:val="nil"/>
            </w:tcBorders>
            <w:shd w:val="clear" w:color="auto" w:fill="auto"/>
            <w:noWrap/>
            <w:vAlign w:val="bottom"/>
            <w:hideMark/>
          </w:tcPr>
          <w:p w14:paraId="3AF4E62C"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£900</w:t>
            </w:r>
          </w:p>
        </w:tc>
        <w:tc>
          <w:tcPr>
            <w:tcW w:w="1685" w:type="dxa"/>
            <w:tcBorders>
              <w:top w:val="nil"/>
              <w:left w:val="nil"/>
              <w:bottom w:val="nil"/>
              <w:right w:val="nil"/>
            </w:tcBorders>
            <w:shd w:val="clear" w:color="auto" w:fill="auto"/>
            <w:noWrap/>
            <w:vAlign w:val="bottom"/>
            <w:hideMark/>
          </w:tcPr>
          <w:p w14:paraId="602F0B5C"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£4,500</w:t>
            </w:r>
          </w:p>
        </w:tc>
        <w:tc>
          <w:tcPr>
            <w:tcW w:w="1702" w:type="dxa"/>
            <w:tcBorders>
              <w:top w:val="nil"/>
              <w:left w:val="nil"/>
              <w:bottom w:val="nil"/>
              <w:right w:val="single" w:sz="4" w:space="0" w:color="808080"/>
            </w:tcBorders>
            <w:shd w:val="clear" w:color="auto" w:fill="auto"/>
            <w:noWrap/>
            <w:vAlign w:val="center"/>
            <w:hideMark/>
          </w:tcPr>
          <w:p w14:paraId="07D3BF69"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£5,700</w:t>
            </w:r>
          </w:p>
        </w:tc>
      </w:tr>
      <w:tr w:rsidR="00FE3E9E" w:rsidRPr="00FE3E9E" w14:paraId="1AAB4CF3" w14:textId="77777777" w:rsidTr="00285DA2">
        <w:trPr>
          <w:trHeight w:val="315"/>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29C651F3"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Average MCA Cost per Vessel</w:t>
            </w:r>
          </w:p>
        </w:tc>
        <w:tc>
          <w:tcPr>
            <w:tcW w:w="1702" w:type="dxa"/>
            <w:tcBorders>
              <w:top w:val="nil"/>
              <w:left w:val="nil"/>
              <w:bottom w:val="nil"/>
              <w:right w:val="nil"/>
            </w:tcBorders>
            <w:shd w:val="clear" w:color="auto" w:fill="auto"/>
            <w:noWrap/>
            <w:vAlign w:val="bottom"/>
            <w:hideMark/>
          </w:tcPr>
          <w:p w14:paraId="38429DC9"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£2,600</w:t>
            </w:r>
          </w:p>
        </w:tc>
        <w:tc>
          <w:tcPr>
            <w:tcW w:w="1685" w:type="dxa"/>
            <w:tcBorders>
              <w:top w:val="nil"/>
              <w:left w:val="nil"/>
              <w:bottom w:val="nil"/>
              <w:right w:val="nil"/>
            </w:tcBorders>
            <w:shd w:val="clear" w:color="auto" w:fill="auto"/>
            <w:noWrap/>
            <w:vAlign w:val="bottom"/>
            <w:hideMark/>
          </w:tcPr>
          <w:p w14:paraId="6EABFEEF"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£2,900</w:t>
            </w:r>
          </w:p>
        </w:tc>
        <w:tc>
          <w:tcPr>
            <w:tcW w:w="1702" w:type="dxa"/>
            <w:tcBorders>
              <w:top w:val="nil"/>
              <w:left w:val="nil"/>
              <w:bottom w:val="single" w:sz="8" w:space="0" w:color="808080"/>
              <w:right w:val="single" w:sz="4" w:space="0" w:color="808080"/>
            </w:tcBorders>
            <w:shd w:val="clear" w:color="auto" w:fill="auto"/>
            <w:noWrap/>
            <w:vAlign w:val="center"/>
            <w:hideMark/>
          </w:tcPr>
          <w:p w14:paraId="57600BA3"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£3,800</w:t>
            </w:r>
          </w:p>
        </w:tc>
      </w:tr>
      <w:tr w:rsidR="00FE3E9E" w:rsidRPr="00FE3E9E" w14:paraId="05A2235D" w14:textId="77777777" w:rsidTr="00285DA2">
        <w:trPr>
          <w:trHeight w:val="300"/>
          <w:jc w:val="center"/>
        </w:trPr>
        <w:tc>
          <w:tcPr>
            <w:tcW w:w="3586" w:type="dxa"/>
            <w:tcBorders>
              <w:top w:val="single" w:sz="8" w:space="0" w:color="808080"/>
              <w:left w:val="single" w:sz="4" w:space="0" w:color="808080"/>
              <w:bottom w:val="nil"/>
              <w:right w:val="single" w:sz="8" w:space="0" w:color="808080"/>
            </w:tcBorders>
            <w:shd w:val="clear" w:color="auto" w:fill="auto"/>
            <w:noWrap/>
            <w:vAlign w:val="bottom"/>
            <w:hideMark/>
          </w:tcPr>
          <w:p w14:paraId="38B3CCDC"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Total Consultancy Cost</w:t>
            </w:r>
          </w:p>
        </w:tc>
        <w:tc>
          <w:tcPr>
            <w:tcW w:w="1702" w:type="dxa"/>
            <w:tcBorders>
              <w:top w:val="single" w:sz="8" w:space="0" w:color="808080"/>
              <w:left w:val="nil"/>
              <w:bottom w:val="nil"/>
              <w:right w:val="nil"/>
            </w:tcBorders>
            <w:shd w:val="clear" w:color="auto" w:fill="auto"/>
            <w:noWrap/>
            <w:vAlign w:val="bottom"/>
            <w:hideMark/>
          </w:tcPr>
          <w:p w14:paraId="64C6F1CE"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£915,000</w:t>
            </w:r>
          </w:p>
        </w:tc>
        <w:tc>
          <w:tcPr>
            <w:tcW w:w="1685" w:type="dxa"/>
            <w:tcBorders>
              <w:top w:val="single" w:sz="8" w:space="0" w:color="808080"/>
              <w:left w:val="nil"/>
              <w:bottom w:val="nil"/>
              <w:right w:val="nil"/>
            </w:tcBorders>
            <w:shd w:val="clear" w:color="auto" w:fill="auto"/>
            <w:noWrap/>
            <w:vAlign w:val="bottom"/>
            <w:hideMark/>
          </w:tcPr>
          <w:p w14:paraId="3F375C87"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£1,017,000</w:t>
            </w:r>
          </w:p>
        </w:tc>
        <w:tc>
          <w:tcPr>
            <w:tcW w:w="1702" w:type="dxa"/>
            <w:tcBorders>
              <w:top w:val="nil"/>
              <w:left w:val="nil"/>
              <w:bottom w:val="nil"/>
              <w:right w:val="single" w:sz="4" w:space="0" w:color="808080"/>
            </w:tcBorders>
            <w:shd w:val="clear" w:color="auto" w:fill="auto"/>
            <w:noWrap/>
            <w:vAlign w:val="center"/>
            <w:hideMark/>
          </w:tcPr>
          <w:p w14:paraId="49E58813"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£1,112,000</w:t>
            </w:r>
          </w:p>
        </w:tc>
      </w:tr>
      <w:tr w:rsidR="00FE3E9E" w:rsidRPr="00FE3E9E" w14:paraId="11264D26" w14:textId="77777777" w:rsidTr="00285DA2">
        <w:trPr>
          <w:trHeight w:val="300"/>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38334DD3"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Total Yard Cost</w:t>
            </w:r>
          </w:p>
        </w:tc>
        <w:tc>
          <w:tcPr>
            <w:tcW w:w="1702" w:type="dxa"/>
            <w:tcBorders>
              <w:top w:val="nil"/>
              <w:left w:val="nil"/>
              <w:bottom w:val="nil"/>
              <w:right w:val="nil"/>
            </w:tcBorders>
            <w:shd w:val="clear" w:color="auto" w:fill="auto"/>
            <w:noWrap/>
            <w:vAlign w:val="bottom"/>
            <w:hideMark/>
          </w:tcPr>
          <w:p w14:paraId="233D637B"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£179,000</w:t>
            </w:r>
          </w:p>
        </w:tc>
        <w:tc>
          <w:tcPr>
            <w:tcW w:w="1685" w:type="dxa"/>
            <w:tcBorders>
              <w:top w:val="nil"/>
              <w:left w:val="nil"/>
              <w:bottom w:val="nil"/>
              <w:right w:val="nil"/>
            </w:tcBorders>
            <w:shd w:val="clear" w:color="auto" w:fill="auto"/>
            <w:noWrap/>
            <w:vAlign w:val="bottom"/>
            <w:hideMark/>
          </w:tcPr>
          <w:p w14:paraId="051E38A2"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£918,000</w:t>
            </w:r>
          </w:p>
        </w:tc>
        <w:tc>
          <w:tcPr>
            <w:tcW w:w="1702" w:type="dxa"/>
            <w:tcBorders>
              <w:top w:val="nil"/>
              <w:left w:val="nil"/>
              <w:bottom w:val="nil"/>
              <w:right w:val="single" w:sz="4" w:space="0" w:color="808080"/>
            </w:tcBorders>
            <w:shd w:val="clear" w:color="auto" w:fill="auto"/>
            <w:noWrap/>
            <w:vAlign w:val="center"/>
            <w:hideMark/>
          </w:tcPr>
          <w:p w14:paraId="736F553F"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£1,158,000</w:t>
            </w:r>
          </w:p>
        </w:tc>
      </w:tr>
      <w:tr w:rsidR="00FE3E9E" w:rsidRPr="00FE3E9E" w14:paraId="61046FFD" w14:textId="77777777" w:rsidTr="00285DA2">
        <w:trPr>
          <w:trHeight w:val="315"/>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056A56A4"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Total MCA Cost</w:t>
            </w:r>
          </w:p>
        </w:tc>
        <w:tc>
          <w:tcPr>
            <w:tcW w:w="1702" w:type="dxa"/>
            <w:tcBorders>
              <w:top w:val="nil"/>
              <w:left w:val="nil"/>
              <w:bottom w:val="single" w:sz="8" w:space="0" w:color="808080"/>
              <w:right w:val="nil"/>
            </w:tcBorders>
            <w:shd w:val="clear" w:color="auto" w:fill="auto"/>
            <w:noWrap/>
            <w:vAlign w:val="bottom"/>
            <w:hideMark/>
          </w:tcPr>
          <w:p w14:paraId="5B8A8F05"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£530,000</w:t>
            </w:r>
          </w:p>
        </w:tc>
        <w:tc>
          <w:tcPr>
            <w:tcW w:w="1685" w:type="dxa"/>
            <w:tcBorders>
              <w:top w:val="nil"/>
              <w:left w:val="nil"/>
              <w:bottom w:val="single" w:sz="8" w:space="0" w:color="808080"/>
              <w:right w:val="nil"/>
            </w:tcBorders>
            <w:shd w:val="clear" w:color="auto" w:fill="auto"/>
            <w:noWrap/>
            <w:vAlign w:val="bottom"/>
            <w:hideMark/>
          </w:tcPr>
          <w:p w14:paraId="6D9D8A8E"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£592,000</w:t>
            </w:r>
          </w:p>
        </w:tc>
        <w:tc>
          <w:tcPr>
            <w:tcW w:w="1702" w:type="dxa"/>
            <w:tcBorders>
              <w:top w:val="nil"/>
              <w:left w:val="nil"/>
              <w:bottom w:val="single" w:sz="8" w:space="0" w:color="808080"/>
              <w:right w:val="single" w:sz="4" w:space="0" w:color="808080"/>
            </w:tcBorders>
            <w:shd w:val="clear" w:color="auto" w:fill="auto"/>
            <w:noWrap/>
            <w:vAlign w:val="center"/>
            <w:hideMark/>
          </w:tcPr>
          <w:p w14:paraId="4FD95E53"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£775,000</w:t>
            </w:r>
          </w:p>
        </w:tc>
      </w:tr>
      <w:tr w:rsidR="00FE3E9E" w:rsidRPr="00FE3E9E" w14:paraId="10CCA374" w14:textId="77777777" w:rsidTr="00285DA2">
        <w:trPr>
          <w:trHeight w:val="315"/>
          <w:jc w:val="center"/>
        </w:trPr>
        <w:tc>
          <w:tcPr>
            <w:tcW w:w="3586" w:type="dxa"/>
            <w:tcBorders>
              <w:top w:val="single" w:sz="8" w:space="0" w:color="808080"/>
              <w:left w:val="single" w:sz="4" w:space="0" w:color="808080"/>
              <w:bottom w:val="single" w:sz="8" w:space="0" w:color="808080"/>
              <w:right w:val="single" w:sz="8" w:space="0" w:color="808080"/>
            </w:tcBorders>
            <w:shd w:val="clear" w:color="auto" w:fill="auto"/>
            <w:noWrap/>
            <w:vAlign w:val="center"/>
            <w:hideMark/>
          </w:tcPr>
          <w:p w14:paraId="024934F3" w14:textId="77777777" w:rsidR="00FE3E9E" w:rsidRPr="00FE3E9E" w:rsidRDefault="00FE3E9E" w:rsidP="00FE3E9E">
            <w:pPr>
              <w:rPr>
                <w:rFonts w:ascii="Calibri" w:hAnsi="Calibri"/>
                <w:color w:val="000000"/>
                <w:sz w:val="22"/>
                <w:szCs w:val="22"/>
                <w:lang w:eastAsia="en-GB"/>
              </w:rPr>
            </w:pPr>
            <w:r w:rsidRPr="00FE3E9E">
              <w:rPr>
                <w:rFonts w:ascii="Calibri" w:hAnsi="Calibri"/>
                <w:color w:val="000000"/>
                <w:sz w:val="22"/>
                <w:szCs w:val="22"/>
                <w:lang w:eastAsia="en-GB"/>
              </w:rPr>
              <w:t>Total Cost</w:t>
            </w:r>
          </w:p>
        </w:tc>
        <w:tc>
          <w:tcPr>
            <w:tcW w:w="1702" w:type="dxa"/>
            <w:tcBorders>
              <w:top w:val="nil"/>
              <w:left w:val="nil"/>
              <w:bottom w:val="single" w:sz="8" w:space="0" w:color="808080"/>
              <w:right w:val="nil"/>
            </w:tcBorders>
            <w:shd w:val="clear" w:color="auto" w:fill="auto"/>
            <w:noWrap/>
            <w:vAlign w:val="center"/>
            <w:hideMark/>
          </w:tcPr>
          <w:p w14:paraId="4D81014E"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£1,624,000</w:t>
            </w:r>
          </w:p>
        </w:tc>
        <w:tc>
          <w:tcPr>
            <w:tcW w:w="1685" w:type="dxa"/>
            <w:tcBorders>
              <w:top w:val="nil"/>
              <w:left w:val="nil"/>
              <w:bottom w:val="single" w:sz="8" w:space="0" w:color="808080"/>
              <w:right w:val="nil"/>
            </w:tcBorders>
            <w:shd w:val="clear" w:color="auto" w:fill="auto"/>
            <w:noWrap/>
            <w:vAlign w:val="center"/>
            <w:hideMark/>
          </w:tcPr>
          <w:p w14:paraId="691BDB90"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£2,527,000</w:t>
            </w:r>
          </w:p>
        </w:tc>
        <w:tc>
          <w:tcPr>
            <w:tcW w:w="1702" w:type="dxa"/>
            <w:tcBorders>
              <w:top w:val="nil"/>
              <w:left w:val="nil"/>
              <w:bottom w:val="single" w:sz="8" w:space="0" w:color="808080"/>
              <w:right w:val="single" w:sz="4" w:space="0" w:color="808080"/>
            </w:tcBorders>
            <w:shd w:val="clear" w:color="auto" w:fill="auto"/>
            <w:noWrap/>
            <w:vAlign w:val="center"/>
            <w:hideMark/>
          </w:tcPr>
          <w:p w14:paraId="6CC30611" w14:textId="77777777" w:rsidR="00FE3E9E" w:rsidRPr="00FE3E9E" w:rsidRDefault="00FE3E9E" w:rsidP="00FE3E9E">
            <w:pPr>
              <w:jc w:val="right"/>
              <w:rPr>
                <w:rFonts w:ascii="Calibri" w:hAnsi="Calibri"/>
                <w:color w:val="000000"/>
                <w:sz w:val="22"/>
                <w:szCs w:val="22"/>
                <w:lang w:eastAsia="en-GB"/>
              </w:rPr>
            </w:pPr>
            <w:r w:rsidRPr="00FE3E9E">
              <w:rPr>
                <w:rFonts w:ascii="Calibri" w:hAnsi="Calibri"/>
                <w:color w:val="000000"/>
                <w:sz w:val="22"/>
                <w:szCs w:val="22"/>
                <w:lang w:eastAsia="en-GB"/>
              </w:rPr>
              <w:t>£3,045,000</w:t>
            </w:r>
          </w:p>
        </w:tc>
      </w:tr>
    </w:tbl>
    <w:p w14:paraId="15A75490" w14:textId="77777777" w:rsidR="00A62B86" w:rsidRDefault="00A62B86" w:rsidP="00F06550">
      <w:pPr>
        <w:pStyle w:val="EBBodyPara"/>
        <w:keepNext/>
      </w:pPr>
    </w:p>
    <w:p w14:paraId="4F63CD5C" w14:textId="77777777" w:rsidR="002E6810" w:rsidRDefault="002E6810" w:rsidP="002E6810">
      <w:pPr>
        <w:pStyle w:val="Heading5"/>
      </w:pPr>
      <w:bookmarkStart w:id="51" w:name="_Ref519064427"/>
      <w:r>
        <w:t>Non-monetised costs</w:t>
      </w:r>
      <w:bookmarkEnd w:id="51"/>
    </w:p>
    <w:p w14:paraId="42CA3357" w14:textId="77777777" w:rsidR="001612F1" w:rsidRPr="001612F1" w:rsidRDefault="001612F1" w:rsidP="004313D6">
      <w:pPr>
        <w:pStyle w:val="EBBodyPara"/>
        <w:keepNext/>
        <w:spacing w:line="256" w:lineRule="auto"/>
      </w:pPr>
      <w:r>
        <w:t xml:space="preserve">It is likely as a result of vessels not having been built with subdivision, as discussed above, it may not be viable – either practically or commercially – to </w:t>
      </w:r>
      <w:r w:rsidR="00BA1224">
        <w:t>apply the requirements</w:t>
      </w:r>
      <w:r>
        <w:t>. We have not monetised the cost of vessels in this situation. We have not been able to monetise this due to having a lack of reliable data of vessel replacement costs, the type and number of vessels that would need replacing</w:t>
      </w:r>
      <w:r w:rsidR="004313D6">
        <w:t xml:space="preserve"> and likelihood that the cost of replacement may be too high for individual operators to purchase a replacement. </w:t>
      </w:r>
    </w:p>
    <w:p w14:paraId="6220602D" w14:textId="77777777" w:rsidR="00330A89" w:rsidRPr="00A62B86" w:rsidRDefault="00A62B86" w:rsidP="00A62B86">
      <w:pPr>
        <w:rPr>
          <w:sz w:val="22"/>
          <w:szCs w:val="22"/>
        </w:rPr>
      </w:pPr>
      <w:r w:rsidRPr="00A62B86">
        <w:rPr>
          <w:sz w:val="22"/>
          <w:szCs w:val="22"/>
        </w:rPr>
        <w:t>There also may be a l</w:t>
      </w:r>
      <w:r w:rsidR="00330A89" w:rsidRPr="00A62B86">
        <w:rPr>
          <w:sz w:val="22"/>
          <w:szCs w:val="22"/>
        </w:rPr>
        <w:t xml:space="preserve">oss in revenue during </w:t>
      </w:r>
      <w:r w:rsidRPr="00A62B86">
        <w:rPr>
          <w:sz w:val="22"/>
          <w:szCs w:val="22"/>
        </w:rPr>
        <w:t>upgrade</w:t>
      </w:r>
      <w:r>
        <w:rPr>
          <w:sz w:val="22"/>
          <w:szCs w:val="22"/>
        </w:rPr>
        <w:t>.</w:t>
      </w:r>
      <w:r w:rsidRPr="00A62B86">
        <w:rPr>
          <w:sz w:val="22"/>
          <w:szCs w:val="22"/>
        </w:rPr>
        <w:t xml:space="preserve"> We</w:t>
      </w:r>
      <w:r w:rsidR="00330A89" w:rsidRPr="00A62B86">
        <w:rPr>
          <w:sz w:val="22"/>
          <w:szCs w:val="22"/>
        </w:rPr>
        <w:t xml:space="preserve"> have not been able to monetise the lost revenue each revenue will sustain while it is being upgraded rather than in passenger use. This is not feasible to estimate without knowing the revenue of the affected ships.</w:t>
      </w:r>
    </w:p>
    <w:p w14:paraId="0F169ACF" w14:textId="77777777" w:rsidR="00BA1224" w:rsidRDefault="00BA1224" w:rsidP="00A62B86">
      <w:pPr>
        <w:rPr>
          <w:sz w:val="22"/>
          <w:szCs w:val="22"/>
        </w:rPr>
      </w:pPr>
    </w:p>
    <w:p w14:paraId="713D9F5C" w14:textId="77777777" w:rsidR="00BA1224" w:rsidRPr="00A62B86" w:rsidRDefault="00BA1224" w:rsidP="00A62B86">
      <w:pPr>
        <w:rPr>
          <w:sz w:val="22"/>
          <w:szCs w:val="22"/>
        </w:rPr>
      </w:pPr>
      <w:r>
        <w:rPr>
          <w:sz w:val="22"/>
          <w:szCs w:val="22"/>
        </w:rPr>
        <w:t xml:space="preserve">We have not monetised the cost of undertaking risk assessments for non-tidal Category C vessels to support application of the allowance from the proposed requirements. Each individual operator may choose to conduct their risk assessment </w:t>
      </w:r>
      <w:r w:rsidR="00B411EC">
        <w:rPr>
          <w:sz w:val="22"/>
          <w:szCs w:val="22"/>
        </w:rPr>
        <w:t>in a different way and it is considered likely that operators with multiple vessels will be able to apply much of the assessment to all of their vessels – reducing the cost per vessel. It is even considered possible that a group of operators from the same region may join together to produce risk assessments collaboratively. With so many variables it has not been considered proportionate to monetise this cost. In any case the cost of risk assessment is likely to be lower than application of the damage stability requirement.</w:t>
      </w:r>
    </w:p>
    <w:p w14:paraId="6417740C" w14:textId="77777777" w:rsidR="00F06550" w:rsidRDefault="00F06550" w:rsidP="00F06550">
      <w:pPr>
        <w:pStyle w:val="Heading5"/>
        <w:keepNext/>
        <w:ind w:left="1077" w:hanging="1077"/>
        <w:rPr>
          <w:lang w:eastAsia="en-GB"/>
        </w:rPr>
      </w:pPr>
      <w:bookmarkStart w:id="52" w:name="_Ref519064654"/>
      <w:r>
        <w:rPr>
          <w:lang w:eastAsia="en-GB"/>
        </w:rPr>
        <w:t>Non-monetised benefits</w:t>
      </w:r>
      <w:bookmarkEnd w:id="52"/>
    </w:p>
    <w:p w14:paraId="72CBD24A" w14:textId="77777777" w:rsidR="00F06550" w:rsidRDefault="00F06550" w:rsidP="00F06550">
      <w:pPr>
        <w:pStyle w:val="EBBodyPara"/>
        <w:keepNext/>
      </w:pPr>
      <w:r>
        <w:t>According to MAIB data</w:t>
      </w:r>
      <w:r>
        <w:rPr>
          <w:rStyle w:val="FootnoteReference"/>
        </w:rPr>
        <w:footnoteReference w:id="25"/>
      </w:r>
      <w:r>
        <w:t xml:space="preserve">, there were 144 collisions involving passenger vessels from 1992 to 2016. This is for UK passenger vessels, excluding international vessels with a length greater than 15m and not more than 100m. </w:t>
      </w:r>
      <w:r w:rsidR="00BF05F2">
        <w:t>Although it is not possible to directly link the MAIB data to vessels within scope of the proposed changes, given the composition of the fleet it is likely that the majority of these vessels are covered.</w:t>
      </w:r>
    </w:p>
    <w:p w14:paraId="104F4A3C" w14:textId="77777777" w:rsidR="00F06550" w:rsidRDefault="00F06550" w:rsidP="00F06550">
      <w:pPr>
        <w:pStyle w:val="EBBodyPara"/>
        <w:keepNext/>
      </w:pPr>
      <w:r>
        <w:t>Increasing the post damage survivability would significantly raise safety levels in the event of a collision or other hull breach. Subdivision allows the vessel to remain afloat, in a relatively stable condition after the hull is holed or hull fitting fails. The aim being to allow for the vessel to survive a level of damage or ultimately provide time for an orderly evacuation of the vessel.</w:t>
      </w:r>
    </w:p>
    <w:p w14:paraId="4CDFA242" w14:textId="77777777" w:rsidR="00F06550" w:rsidRDefault="00F06550" w:rsidP="00F06550">
      <w:pPr>
        <w:pStyle w:val="EBBodyPara"/>
        <w:keepNext/>
      </w:pPr>
      <w:r>
        <w:t>Subdivision can allow for the flooding to be contained long enough for the bilge pumps to maintain the water level and allow the ship to reach a safe landing. Without subdivision a vessel is vulnerable to uncontrollable flooding – which could result from a small hull breach and then rapid capsize. Conversely in a subdivided ship the flooding will be limited – as can be seen from the results of various incidents</w:t>
      </w:r>
      <w:r>
        <w:rPr>
          <w:rStyle w:val="FootnoteReference"/>
        </w:rPr>
        <w:footnoteReference w:id="26"/>
      </w:r>
      <w:r>
        <w:t>.</w:t>
      </w:r>
    </w:p>
    <w:p w14:paraId="3A609C3D" w14:textId="77777777" w:rsidR="00717F56" w:rsidRPr="00717F56" w:rsidRDefault="00717F56" w:rsidP="00717F56">
      <w:pPr>
        <w:rPr>
          <w:sz w:val="22"/>
          <w:szCs w:val="22"/>
        </w:rPr>
      </w:pPr>
      <w:r w:rsidRPr="00A62B86">
        <w:rPr>
          <w:sz w:val="22"/>
          <w:szCs w:val="22"/>
        </w:rPr>
        <w:t>A vessel</w:t>
      </w:r>
      <w:r>
        <w:rPr>
          <w:sz w:val="22"/>
          <w:szCs w:val="22"/>
        </w:rPr>
        <w:t>’</w:t>
      </w:r>
      <w:r w:rsidRPr="00A62B86">
        <w:rPr>
          <w:sz w:val="22"/>
          <w:szCs w:val="22"/>
        </w:rPr>
        <w:t xml:space="preserve">s value may also </w:t>
      </w:r>
      <w:r>
        <w:rPr>
          <w:sz w:val="22"/>
          <w:szCs w:val="22"/>
        </w:rPr>
        <w:t xml:space="preserve">increase </w:t>
      </w:r>
      <w:r w:rsidRPr="00A62B86">
        <w:rPr>
          <w:sz w:val="22"/>
          <w:szCs w:val="22"/>
        </w:rPr>
        <w:t xml:space="preserve">as a result of the upgrades to bring it to the proposed damage survivability standards. </w:t>
      </w:r>
    </w:p>
    <w:p w14:paraId="275696F8" w14:textId="77777777" w:rsidR="00F06550" w:rsidRDefault="00F06550" w:rsidP="00F959C4">
      <w:pPr>
        <w:pStyle w:val="Heading4"/>
      </w:pPr>
      <w:bookmarkStart w:id="53" w:name="_Ref513657379"/>
      <w:r>
        <w:t>Familiarisation costs</w:t>
      </w:r>
      <w:bookmarkEnd w:id="53"/>
    </w:p>
    <w:p w14:paraId="3FEA7485" w14:textId="77777777" w:rsidR="003C4C5D" w:rsidRPr="00FE678C" w:rsidRDefault="00F92A99" w:rsidP="003C4C5D">
      <w:pPr>
        <w:rPr>
          <w:sz w:val="22"/>
          <w:szCs w:val="22"/>
          <w:lang w:eastAsia="en-GB"/>
        </w:rPr>
      </w:pPr>
      <w:r w:rsidRPr="00FE678C">
        <w:rPr>
          <w:sz w:val="22"/>
          <w:szCs w:val="22"/>
          <w:lang w:eastAsia="en-GB"/>
        </w:rPr>
        <w:t>Vessels will be subject to a familiarisation cost</w:t>
      </w:r>
      <w:r w:rsidR="000F3D1A">
        <w:rPr>
          <w:sz w:val="22"/>
          <w:szCs w:val="22"/>
          <w:lang w:eastAsia="en-GB"/>
        </w:rPr>
        <w:t xml:space="preserve"> the first year the regulations come into force</w:t>
      </w:r>
      <w:r w:rsidRPr="00FE678C">
        <w:rPr>
          <w:sz w:val="22"/>
          <w:szCs w:val="22"/>
          <w:lang w:eastAsia="en-GB"/>
        </w:rPr>
        <w:t xml:space="preserve">. This is split into 2 elements. The first is a general familiarisation time for understanding the regulations and </w:t>
      </w:r>
      <w:r w:rsidR="005C6F2F" w:rsidRPr="00FE678C">
        <w:rPr>
          <w:sz w:val="22"/>
          <w:szCs w:val="22"/>
          <w:lang w:eastAsia="en-GB"/>
        </w:rPr>
        <w:t>if your vessel is currently compliant</w:t>
      </w:r>
      <w:r w:rsidRPr="00FE678C">
        <w:rPr>
          <w:sz w:val="22"/>
          <w:szCs w:val="22"/>
          <w:lang w:eastAsia="en-GB"/>
        </w:rPr>
        <w:t>. Due to the nature of the changes, relating to various existing regulations</w:t>
      </w:r>
      <w:r w:rsidR="00B0325E" w:rsidRPr="00FE678C">
        <w:rPr>
          <w:sz w:val="22"/>
          <w:szCs w:val="22"/>
          <w:lang w:eastAsia="en-GB"/>
        </w:rPr>
        <w:t xml:space="preserve">, there are sizeable number of pages of legislation to read to understand the changes. However, the MCA plan to </w:t>
      </w:r>
      <w:r w:rsidR="00B0325E" w:rsidRPr="00FE678C">
        <w:rPr>
          <w:sz w:val="22"/>
          <w:szCs w:val="22"/>
          <w:lang w:eastAsia="en-GB"/>
        </w:rPr>
        <w:lastRenderedPageBreak/>
        <w:t>release summary guidance to inform vessels of the requirements, and we anticipate this to take the average vessel on average 2, 3.5 and 7 hours to understand the changes in the low, medium and high scenarios respectively.</w:t>
      </w:r>
      <w:r w:rsidR="004208F0" w:rsidRPr="00FE678C">
        <w:rPr>
          <w:sz w:val="22"/>
          <w:szCs w:val="22"/>
          <w:lang w:eastAsia="en-GB"/>
        </w:rPr>
        <w:t xml:space="preserve"> The second</w:t>
      </w:r>
      <w:r w:rsidR="005C6F2F" w:rsidRPr="00FE678C">
        <w:rPr>
          <w:sz w:val="22"/>
          <w:szCs w:val="22"/>
          <w:lang w:eastAsia="en-GB"/>
        </w:rPr>
        <w:t xml:space="preserve"> element</w:t>
      </w:r>
      <w:r w:rsidR="004208F0" w:rsidRPr="00FE678C">
        <w:rPr>
          <w:sz w:val="22"/>
          <w:szCs w:val="22"/>
          <w:lang w:eastAsia="en-GB"/>
        </w:rPr>
        <w:t xml:space="preserve"> of familiarisation is specific to each one of the changes</w:t>
      </w:r>
      <w:r w:rsidR="005C6F2F" w:rsidRPr="00FE678C">
        <w:rPr>
          <w:sz w:val="22"/>
          <w:szCs w:val="22"/>
          <w:lang w:eastAsia="en-GB"/>
        </w:rPr>
        <w:t xml:space="preserve"> and represents the time taken per vessel to understand what is required for their vessel to meet the new requirements and any time to purchase or procure contracts to purchase equipment or carry out work</w:t>
      </w:r>
      <w:r w:rsidR="004208F0" w:rsidRPr="00FE678C">
        <w:rPr>
          <w:sz w:val="22"/>
          <w:szCs w:val="22"/>
          <w:lang w:eastAsia="en-GB"/>
        </w:rPr>
        <w:t>. As each change affects a different number of vessels we have treated these separately</w:t>
      </w:r>
      <w:r w:rsidR="00FE678C" w:rsidRPr="00FE678C">
        <w:rPr>
          <w:sz w:val="22"/>
          <w:szCs w:val="22"/>
          <w:lang w:eastAsia="en-GB"/>
        </w:rPr>
        <w:t>. These are summarised below. All familiarisation times are assumed to be the time it takes the average vessel affected to familiarise.</w:t>
      </w:r>
    </w:p>
    <w:p w14:paraId="2084F6A6" w14:textId="77777777" w:rsidR="00F92A99" w:rsidRDefault="00F92A99" w:rsidP="003C4C5D">
      <w:pPr>
        <w:rPr>
          <w:lang w:eastAsia="en-GB"/>
        </w:rPr>
      </w:pPr>
    </w:p>
    <w:tbl>
      <w:tblPr>
        <w:tblW w:w="9072" w:type="dxa"/>
        <w:jc w:val="center"/>
        <w:tblLook w:val="04A0" w:firstRow="1" w:lastRow="0" w:firstColumn="1" w:lastColumn="0" w:noHBand="0" w:noVBand="1"/>
      </w:tblPr>
      <w:tblGrid>
        <w:gridCol w:w="3828"/>
        <w:gridCol w:w="1275"/>
        <w:gridCol w:w="1276"/>
        <w:gridCol w:w="1418"/>
        <w:gridCol w:w="1275"/>
      </w:tblGrid>
      <w:tr w:rsidR="00B0325E" w:rsidRPr="00B0325E" w14:paraId="48E568F9" w14:textId="77777777" w:rsidTr="00285DA2">
        <w:trPr>
          <w:trHeight w:val="275"/>
          <w:jc w:val="center"/>
        </w:trPr>
        <w:tc>
          <w:tcPr>
            <w:tcW w:w="9072" w:type="dxa"/>
            <w:gridSpan w:val="5"/>
            <w:tcBorders>
              <w:top w:val="nil"/>
              <w:left w:val="nil"/>
              <w:bottom w:val="single" w:sz="8" w:space="0" w:color="7F7F7F"/>
              <w:right w:val="nil"/>
            </w:tcBorders>
            <w:shd w:val="clear" w:color="auto" w:fill="auto"/>
            <w:noWrap/>
            <w:vAlign w:val="bottom"/>
            <w:hideMark/>
          </w:tcPr>
          <w:p w14:paraId="27F6FA19" w14:textId="77777777" w:rsidR="00B0325E" w:rsidRPr="00B0325E" w:rsidRDefault="00B0325E" w:rsidP="00285DA2">
            <w:pPr>
              <w:rPr>
                <w:rFonts w:ascii="Calibri" w:hAnsi="Calibri"/>
                <w:i/>
                <w:iCs/>
                <w:color w:val="000000"/>
                <w:sz w:val="22"/>
                <w:szCs w:val="22"/>
                <w:lang w:eastAsia="en-GB"/>
              </w:rPr>
            </w:pPr>
            <w:r w:rsidRPr="00E65663">
              <w:rPr>
                <w:rFonts w:ascii="Calibri" w:hAnsi="Calibri"/>
                <w:i/>
                <w:iCs/>
                <w:color w:val="000000"/>
                <w:sz w:val="22"/>
                <w:szCs w:val="22"/>
                <w:lang w:eastAsia="en-GB"/>
              </w:rPr>
              <w:t>Table</w:t>
            </w:r>
            <w:r w:rsidRPr="00E65663">
              <w:rPr>
                <w:rFonts w:ascii="Calibri" w:hAnsi="Calibri"/>
                <w:i/>
                <w:iCs/>
                <w:color w:val="FF0000"/>
                <w:sz w:val="22"/>
                <w:szCs w:val="22"/>
                <w:lang w:eastAsia="en-GB"/>
              </w:rPr>
              <w:t xml:space="preserve"> </w:t>
            </w:r>
            <w:r w:rsidR="00940A7B" w:rsidRPr="00E65663">
              <w:rPr>
                <w:rFonts w:ascii="Calibri" w:hAnsi="Calibri"/>
                <w:i/>
                <w:iCs/>
                <w:sz w:val="22"/>
                <w:szCs w:val="22"/>
                <w:lang w:eastAsia="en-GB"/>
              </w:rPr>
              <w:t>24</w:t>
            </w:r>
            <w:r w:rsidRPr="00B0325E">
              <w:rPr>
                <w:rFonts w:ascii="Calibri" w:hAnsi="Calibri"/>
                <w:i/>
                <w:iCs/>
                <w:sz w:val="22"/>
                <w:szCs w:val="22"/>
                <w:lang w:eastAsia="en-GB"/>
              </w:rPr>
              <w:t>: The time per vessel to familiarise with di</w:t>
            </w:r>
            <w:r w:rsidR="00285DA2">
              <w:rPr>
                <w:rFonts w:ascii="Calibri" w:hAnsi="Calibri"/>
                <w:i/>
                <w:iCs/>
                <w:sz w:val="22"/>
                <w:szCs w:val="22"/>
                <w:lang w:eastAsia="en-GB"/>
              </w:rPr>
              <w:t>fferent elements of the changes</w:t>
            </w:r>
          </w:p>
        </w:tc>
      </w:tr>
      <w:tr w:rsidR="00B0325E" w:rsidRPr="00B0325E" w14:paraId="38CFADC7" w14:textId="77777777" w:rsidTr="00285DA2">
        <w:trPr>
          <w:trHeight w:val="262"/>
          <w:jc w:val="center"/>
        </w:trPr>
        <w:tc>
          <w:tcPr>
            <w:tcW w:w="3828" w:type="dxa"/>
            <w:vMerge w:val="restart"/>
            <w:tcBorders>
              <w:top w:val="nil"/>
              <w:left w:val="single" w:sz="8" w:space="0" w:color="808080"/>
              <w:bottom w:val="nil"/>
              <w:right w:val="single" w:sz="8" w:space="0" w:color="808080"/>
            </w:tcBorders>
            <w:shd w:val="clear" w:color="auto" w:fill="auto"/>
            <w:noWrap/>
            <w:vAlign w:val="bottom"/>
            <w:hideMark/>
          </w:tcPr>
          <w:p w14:paraId="23F8F4C5" w14:textId="77777777" w:rsidR="00B0325E" w:rsidRPr="00B0325E" w:rsidRDefault="00B0325E" w:rsidP="00B0325E">
            <w:pPr>
              <w:rPr>
                <w:rFonts w:cs="Arial"/>
                <w:b/>
                <w:bCs/>
                <w:color w:val="000000"/>
                <w:sz w:val="22"/>
                <w:szCs w:val="22"/>
                <w:lang w:eastAsia="en-GB"/>
              </w:rPr>
            </w:pPr>
            <w:r w:rsidRPr="00B0325E">
              <w:rPr>
                <w:rFonts w:cs="Arial"/>
                <w:b/>
                <w:bCs/>
                <w:color w:val="000000"/>
                <w:sz w:val="22"/>
                <w:szCs w:val="22"/>
                <w:lang w:eastAsia="en-GB"/>
              </w:rPr>
              <w:t>Type</w:t>
            </w:r>
          </w:p>
        </w:tc>
        <w:tc>
          <w:tcPr>
            <w:tcW w:w="3969" w:type="dxa"/>
            <w:gridSpan w:val="3"/>
            <w:tcBorders>
              <w:top w:val="single" w:sz="8" w:space="0" w:color="7F7F7F"/>
              <w:left w:val="nil"/>
              <w:bottom w:val="single" w:sz="8" w:space="0" w:color="7F7F7F"/>
              <w:right w:val="single" w:sz="8" w:space="0" w:color="808080"/>
            </w:tcBorders>
            <w:shd w:val="clear" w:color="auto" w:fill="auto"/>
            <w:noWrap/>
            <w:vAlign w:val="center"/>
            <w:hideMark/>
          </w:tcPr>
          <w:p w14:paraId="20D2FB04" w14:textId="77777777" w:rsidR="00B0325E" w:rsidRPr="00B0325E" w:rsidRDefault="00B0325E" w:rsidP="00B0325E">
            <w:pPr>
              <w:jc w:val="center"/>
              <w:rPr>
                <w:rFonts w:cs="Arial"/>
                <w:b/>
                <w:bCs/>
                <w:color w:val="000000"/>
                <w:sz w:val="22"/>
                <w:szCs w:val="22"/>
                <w:lang w:eastAsia="en-GB"/>
              </w:rPr>
            </w:pPr>
            <w:r w:rsidRPr="00B0325E">
              <w:rPr>
                <w:rFonts w:cs="Arial"/>
                <w:b/>
                <w:bCs/>
                <w:color w:val="000000"/>
                <w:sz w:val="22"/>
                <w:szCs w:val="22"/>
                <w:lang w:eastAsia="en-GB"/>
              </w:rPr>
              <w:t>Time to familiarise (Hours)</w:t>
            </w:r>
          </w:p>
        </w:tc>
        <w:tc>
          <w:tcPr>
            <w:tcW w:w="1275" w:type="dxa"/>
            <w:vMerge w:val="restart"/>
            <w:tcBorders>
              <w:top w:val="nil"/>
              <w:left w:val="single" w:sz="8" w:space="0" w:color="808080"/>
              <w:bottom w:val="single" w:sz="8" w:space="0" w:color="7F7F7F"/>
              <w:right w:val="single" w:sz="8" w:space="0" w:color="808080"/>
            </w:tcBorders>
            <w:shd w:val="clear" w:color="auto" w:fill="auto"/>
            <w:vAlign w:val="center"/>
            <w:hideMark/>
          </w:tcPr>
          <w:p w14:paraId="58F48CF0" w14:textId="77777777" w:rsidR="00B0325E" w:rsidRPr="00B0325E" w:rsidRDefault="00B0325E" w:rsidP="00B0325E">
            <w:pPr>
              <w:rPr>
                <w:rFonts w:cs="Arial"/>
                <w:b/>
                <w:bCs/>
                <w:color w:val="000000"/>
                <w:sz w:val="22"/>
                <w:szCs w:val="22"/>
                <w:lang w:eastAsia="en-GB"/>
              </w:rPr>
            </w:pPr>
            <w:r w:rsidRPr="00B0325E">
              <w:rPr>
                <w:rFonts w:cs="Arial"/>
                <w:b/>
                <w:bCs/>
                <w:color w:val="000000"/>
                <w:sz w:val="22"/>
                <w:szCs w:val="22"/>
                <w:lang w:eastAsia="en-GB"/>
              </w:rPr>
              <w:t>No. of Vessels Affected</w:t>
            </w:r>
          </w:p>
        </w:tc>
      </w:tr>
      <w:tr w:rsidR="00B0325E" w:rsidRPr="00B0325E" w14:paraId="3C231F79" w14:textId="77777777" w:rsidTr="00285DA2">
        <w:trPr>
          <w:trHeight w:val="275"/>
          <w:jc w:val="center"/>
        </w:trPr>
        <w:tc>
          <w:tcPr>
            <w:tcW w:w="3828" w:type="dxa"/>
            <w:vMerge/>
            <w:tcBorders>
              <w:top w:val="nil"/>
              <w:left w:val="single" w:sz="8" w:space="0" w:color="808080"/>
              <w:bottom w:val="nil"/>
              <w:right w:val="single" w:sz="8" w:space="0" w:color="808080"/>
            </w:tcBorders>
            <w:vAlign w:val="center"/>
            <w:hideMark/>
          </w:tcPr>
          <w:p w14:paraId="124A75ED" w14:textId="77777777" w:rsidR="00B0325E" w:rsidRPr="00B0325E" w:rsidRDefault="00B0325E" w:rsidP="00B0325E">
            <w:pPr>
              <w:rPr>
                <w:rFonts w:cs="Arial"/>
                <w:b/>
                <w:bCs/>
                <w:color w:val="000000"/>
                <w:sz w:val="22"/>
                <w:szCs w:val="22"/>
                <w:lang w:eastAsia="en-GB"/>
              </w:rPr>
            </w:pPr>
          </w:p>
        </w:tc>
        <w:tc>
          <w:tcPr>
            <w:tcW w:w="1275" w:type="dxa"/>
            <w:tcBorders>
              <w:top w:val="nil"/>
              <w:left w:val="nil"/>
              <w:bottom w:val="single" w:sz="8" w:space="0" w:color="7F7F7F"/>
              <w:right w:val="nil"/>
            </w:tcBorders>
            <w:shd w:val="clear" w:color="auto" w:fill="auto"/>
            <w:noWrap/>
            <w:vAlign w:val="center"/>
            <w:hideMark/>
          </w:tcPr>
          <w:p w14:paraId="4D9AB547" w14:textId="77777777" w:rsidR="00B0325E" w:rsidRPr="00B0325E" w:rsidRDefault="00B0325E" w:rsidP="00B0325E">
            <w:pPr>
              <w:rPr>
                <w:rFonts w:cs="Arial"/>
                <w:b/>
                <w:bCs/>
                <w:color w:val="000000"/>
                <w:sz w:val="22"/>
                <w:szCs w:val="22"/>
                <w:lang w:eastAsia="en-GB"/>
              </w:rPr>
            </w:pPr>
            <w:r w:rsidRPr="00B0325E">
              <w:rPr>
                <w:rFonts w:cs="Arial"/>
                <w:b/>
                <w:bCs/>
                <w:color w:val="000000"/>
                <w:sz w:val="22"/>
                <w:szCs w:val="22"/>
                <w:lang w:eastAsia="en-GB"/>
              </w:rPr>
              <w:t>Low</w:t>
            </w:r>
          </w:p>
        </w:tc>
        <w:tc>
          <w:tcPr>
            <w:tcW w:w="1276" w:type="dxa"/>
            <w:tcBorders>
              <w:top w:val="nil"/>
              <w:left w:val="nil"/>
              <w:bottom w:val="single" w:sz="8" w:space="0" w:color="7F7F7F"/>
              <w:right w:val="nil"/>
            </w:tcBorders>
            <w:shd w:val="clear" w:color="auto" w:fill="auto"/>
            <w:noWrap/>
            <w:vAlign w:val="center"/>
            <w:hideMark/>
          </w:tcPr>
          <w:p w14:paraId="432936C4" w14:textId="77777777" w:rsidR="00B0325E" w:rsidRPr="00B0325E" w:rsidRDefault="00B0325E" w:rsidP="00B0325E">
            <w:pPr>
              <w:rPr>
                <w:rFonts w:cs="Arial"/>
                <w:b/>
                <w:bCs/>
                <w:color w:val="000000"/>
                <w:sz w:val="22"/>
                <w:szCs w:val="22"/>
                <w:lang w:eastAsia="en-GB"/>
              </w:rPr>
            </w:pPr>
            <w:r w:rsidRPr="00B0325E">
              <w:rPr>
                <w:rFonts w:cs="Arial"/>
                <w:b/>
                <w:bCs/>
                <w:color w:val="000000"/>
                <w:sz w:val="22"/>
                <w:szCs w:val="22"/>
                <w:lang w:eastAsia="en-GB"/>
              </w:rPr>
              <w:t>Central</w:t>
            </w:r>
          </w:p>
        </w:tc>
        <w:tc>
          <w:tcPr>
            <w:tcW w:w="1418" w:type="dxa"/>
            <w:tcBorders>
              <w:top w:val="nil"/>
              <w:left w:val="nil"/>
              <w:bottom w:val="single" w:sz="8" w:space="0" w:color="7F7F7F"/>
              <w:right w:val="single" w:sz="8" w:space="0" w:color="808080"/>
            </w:tcBorders>
            <w:shd w:val="clear" w:color="auto" w:fill="auto"/>
            <w:noWrap/>
            <w:vAlign w:val="center"/>
            <w:hideMark/>
          </w:tcPr>
          <w:p w14:paraId="1F26CC1B" w14:textId="77777777" w:rsidR="00B0325E" w:rsidRPr="00B0325E" w:rsidRDefault="00B0325E" w:rsidP="00B0325E">
            <w:pPr>
              <w:rPr>
                <w:rFonts w:cs="Arial"/>
                <w:b/>
                <w:bCs/>
                <w:color w:val="000000"/>
                <w:sz w:val="22"/>
                <w:szCs w:val="22"/>
                <w:lang w:eastAsia="en-GB"/>
              </w:rPr>
            </w:pPr>
            <w:r w:rsidRPr="00B0325E">
              <w:rPr>
                <w:rFonts w:cs="Arial"/>
                <w:b/>
                <w:bCs/>
                <w:color w:val="000000"/>
                <w:sz w:val="22"/>
                <w:szCs w:val="22"/>
                <w:lang w:eastAsia="en-GB"/>
              </w:rPr>
              <w:t>High</w:t>
            </w:r>
          </w:p>
        </w:tc>
        <w:tc>
          <w:tcPr>
            <w:tcW w:w="1275" w:type="dxa"/>
            <w:vMerge/>
            <w:tcBorders>
              <w:top w:val="nil"/>
              <w:left w:val="single" w:sz="8" w:space="0" w:color="808080"/>
              <w:bottom w:val="single" w:sz="8" w:space="0" w:color="7F7F7F"/>
              <w:right w:val="single" w:sz="8" w:space="0" w:color="808080"/>
            </w:tcBorders>
            <w:vAlign w:val="center"/>
            <w:hideMark/>
          </w:tcPr>
          <w:p w14:paraId="2E70E58D" w14:textId="77777777" w:rsidR="00B0325E" w:rsidRPr="00B0325E" w:rsidRDefault="00B0325E" w:rsidP="00B0325E">
            <w:pPr>
              <w:rPr>
                <w:rFonts w:cs="Arial"/>
                <w:b/>
                <w:bCs/>
                <w:color w:val="000000"/>
                <w:sz w:val="22"/>
                <w:szCs w:val="22"/>
                <w:lang w:eastAsia="en-GB"/>
              </w:rPr>
            </w:pPr>
          </w:p>
        </w:tc>
      </w:tr>
      <w:tr w:rsidR="006D222B" w:rsidRPr="00B0325E" w14:paraId="7DC13BDB" w14:textId="77777777" w:rsidTr="00037AC1">
        <w:trPr>
          <w:trHeight w:val="262"/>
          <w:jc w:val="center"/>
        </w:trPr>
        <w:tc>
          <w:tcPr>
            <w:tcW w:w="3828" w:type="dxa"/>
            <w:tcBorders>
              <w:top w:val="single" w:sz="8" w:space="0" w:color="808080"/>
              <w:left w:val="single" w:sz="8" w:space="0" w:color="808080"/>
              <w:bottom w:val="nil"/>
              <w:right w:val="single" w:sz="8" w:space="0" w:color="808080"/>
            </w:tcBorders>
            <w:shd w:val="clear" w:color="auto" w:fill="auto"/>
            <w:noWrap/>
            <w:vAlign w:val="bottom"/>
            <w:hideMark/>
          </w:tcPr>
          <w:p w14:paraId="2A7B4936"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General Familiarisation</w:t>
            </w:r>
          </w:p>
        </w:tc>
        <w:tc>
          <w:tcPr>
            <w:tcW w:w="1275" w:type="dxa"/>
            <w:tcBorders>
              <w:top w:val="nil"/>
              <w:left w:val="nil"/>
              <w:bottom w:val="nil"/>
              <w:right w:val="nil"/>
            </w:tcBorders>
            <w:shd w:val="clear" w:color="auto" w:fill="auto"/>
            <w:noWrap/>
            <w:vAlign w:val="bottom"/>
            <w:hideMark/>
          </w:tcPr>
          <w:p w14:paraId="56B477CE"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2</w:t>
            </w:r>
          </w:p>
        </w:tc>
        <w:tc>
          <w:tcPr>
            <w:tcW w:w="1276" w:type="dxa"/>
            <w:tcBorders>
              <w:top w:val="nil"/>
              <w:left w:val="nil"/>
              <w:bottom w:val="nil"/>
              <w:right w:val="nil"/>
            </w:tcBorders>
            <w:shd w:val="clear" w:color="auto" w:fill="auto"/>
            <w:noWrap/>
            <w:vAlign w:val="bottom"/>
            <w:hideMark/>
          </w:tcPr>
          <w:p w14:paraId="6464F5D9"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3.5</w:t>
            </w:r>
          </w:p>
        </w:tc>
        <w:tc>
          <w:tcPr>
            <w:tcW w:w="1418" w:type="dxa"/>
            <w:tcBorders>
              <w:top w:val="nil"/>
              <w:left w:val="nil"/>
              <w:bottom w:val="nil"/>
              <w:right w:val="nil"/>
            </w:tcBorders>
            <w:shd w:val="clear" w:color="auto" w:fill="auto"/>
            <w:noWrap/>
            <w:vAlign w:val="bottom"/>
            <w:hideMark/>
          </w:tcPr>
          <w:p w14:paraId="103861C6"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7</w:t>
            </w:r>
          </w:p>
        </w:tc>
        <w:tc>
          <w:tcPr>
            <w:tcW w:w="1275" w:type="dxa"/>
            <w:tcBorders>
              <w:top w:val="single" w:sz="8" w:space="0" w:color="7F7F7F"/>
              <w:left w:val="single" w:sz="8" w:space="0" w:color="808080"/>
              <w:bottom w:val="nil"/>
              <w:right w:val="single" w:sz="8" w:space="0" w:color="808080"/>
            </w:tcBorders>
            <w:shd w:val="clear" w:color="auto" w:fill="auto"/>
            <w:noWrap/>
            <w:vAlign w:val="bottom"/>
            <w:hideMark/>
          </w:tcPr>
          <w:p w14:paraId="5E0B9789"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606</w:t>
            </w:r>
          </w:p>
        </w:tc>
      </w:tr>
      <w:tr w:rsidR="006D222B" w:rsidRPr="00B0325E" w14:paraId="76798223"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79223FA2"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Life-saving appliances – Liferafts</w:t>
            </w:r>
          </w:p>
        </w:tc>
        <w:tc>
          <w:tcPr>
            <w:tcW w:w="1275" w:type="dxa"/>
            <w:tcBorders>
              <w:top w:val="nil"/>
              <w:left w:val="nil"/>
              <w:bottom w:val="nil"/>
              <w:right w:val="nil"/>
            </w:tcBorders>
            <w:shd w:val="clear" w:color="auto" w:fill="auto"/>
            <w:noWrap/>
            <w:vAlign w:val="bottom"/>
            <w:hideMark/>
          </w:tcPr>
          <w:p w14:paraId="31F02C74"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2</w:t>
            </w:r>
          </w:p>
        </w:tc>
        <w:tc>
          <w:tcPr>
            <w:tcW w:w="1276" w:type="dxa"/>
            <w:tcBorders>
              <w:top w:val="nil"/>
              <w:left w:val="nil"/>
              <w:bottom w:val="nil"/>
              <w:right w:val="nil"/>
            </w:tcBorders>
            <w:shd w:val="clear" w:color="auto" w:fill="auto"/>
            <w:noWrap/>
            <w:vAlign w:val="bottom"/>
            <w:hideMark/>
          </w:tcPr>
          <w:p w14:paraId="65E628B1"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3</w:t>
            </w:r>
          </w:p>
        </w:tc>
        <w:tc>
          <w:tcPr>
            <w:tcW w:w="1418" w:type="dxa"/>
            <w:tcBorders>
              <w:top w:val="nil"/>
              <w:left w:val="nil"/>
              <w:bottom w:val="nil"/>
              <w:right w:val="nil"/>
            </w:tcBorders>
            <w:shd w:val="clear" w:color="auto" w:fill="auto"/>
            <w:noWrap/>
            <w:vAlign w:val="bottom"/>
            <w:hideMark/>
          </w:tcPr>
          <w:p w14:paraId="49B4043D"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5</w:t>
            </w:r>
          </w:p>
        </w:tc>
        <w:tc>
          <w:tcPr>
            <w:tcW w:w="1275" w:type="dxa"/>
            <w:tcBorders>
              <w:top w:val="nil"/>
              <w:left w:val="single" w:sz="8" w:space="0" w:color="808080"/>
              <w:bottom w:val="nil"/>
              <w:right w:val="single" w:sz="8" w:space="0" w:color="808080"/>
            </w:tcBorders>
            <w:shd w:val="clear" w:color="auto" w:fill="auto"/>
            <w:noWrap/>
            <w:vAlign w:val="bottom"/>
            <w:hideMark/>
          </w:tcPr>
          <w:p w14:paraId="1A136E41"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285</w:t>
            </w:r>
          </w:p>
        </w:tc>
      </w:tr>
      <w:tr w:rsidR="006D222B" w:rsidRPr="00B0325E" w14:paraId="5B47989E"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2E826058"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Life-saving appliances - Lifejackets</w:t>
            </w:r>
          </w:p>
        </w:tc>
        <w:tc>
          <w:tcPr>
            <w:tcW w:w="1275" w:type="dxa"/>
            <w:tcBorders>
              <w:top w:val="nil"/>
              <w:left w:val="nil"/>
              <w:bottom w:val="nil"/>
              <w:right w:val="nil"/>
            </w:tcBorders>
            <w:shd w:val="clear" w:color="auto" w:fill="auto"/>
            <w:noWrap/>
            <w:vAlign w:val="bottom"/>
            <w:hideMark/>
          </w:tcPr>
          <w:p w14:paraId="5AB6CB89"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2</w:t>
            </w:r>
          </w:p>
        </w:tc>
        <w:tc>
          <w:tcPr>
            <w:tcW w:w="1276" w:type="dxa"/>
            <w:tcBorders>
              <w:top w:val="nil"/>
              <w:left w:val="nil"/>
              <w:bottom w:val="nil"/>
              <w:right w:val="nil"/>
            </w:tcBorders>
            <w:shd w:val="clear" w:color="auto" w:fill="auto"/>
            <w:noWrap/>
            <w:vAlign w:val="bottom"/>
            <w:hideMark/>
          </w:tcPr>
          <w:p w14:paraId="31AB301F"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5</w:t>
            </w:r>
          </w:p>
        </w:tc>
        <w:tc>
          <w:tcPr>
            <w:tcW w:w="1418" w:type="dxa"/>
            <w:tcBorders>
              <w:top w:val="nil"/>
              <w:left w:val="nil"/>
              <w:bottom w:val="nil"/>
              <w:right w:val="nil"/>
            </w:tcBorders>
            <w:shd w:val="clear" w:color="auto" w:fill="auto"/>
            <w:noWrap/>
            <w:vAlign w:val="bottom"/>
            <w:hideMark/>
          </w:tcPr>
          <w:p w14:paraId="0F61D794"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7</w:t>
            </w:r>
          </w:p>
        </w:tc>
        <w:tc>
          <w:tcPr>
            <w:tcW w:w="1275" w:type="dxa"/>
            <w:tcBorders>
              <w:top w:val="nil"/>
              <w:left w:val="single" w:sz="8" w:space="0" w:color="808080"/>
              <w:bottom w:val="nil"/>
              <w:right w:val="single" w:sz="8" w:space="0" w:color="808080"/>
            </w:tcBorders>
            <w:shd w:val="clear" w:color="auto" w:fill="auto"/>
            <w:noWrap/>
            <w:vAlign w:val="bottom"/>
            <w:hideMark/>
          </w:tcPr>
          <w:p w14:paraId="3797F2BA"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86</w:t>
            </w:r>
          </w:p>
        </w:tc>
      </w:tr>
      <w:tr w:rsidR="006D222B" w:rsidRPr="00B0325E" w14:paraId="20783743"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64B6D770"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Life-saving appliances – Lifejacket Lights</w:t>
            </w:r>
          </w:p>
        </w:tc>
        <w:tc>
          <w:tcPr>
            <w:tcW w:w="1275" w:type="dxa"/>
            <w:tcBorders>
              <w:top w:val="nil"/>
              <w:left w:val="nil"/>
              <w:bottom w:val="nil"/>
              <w:right w:val="nil"/>
            </w:tcBorders>
            <w:shd w:val="clear" w:color="auto" w:fill="auto"/>
            <w:noWrap/>
            <w:vAlign w:val="bottom"/>
            <w:hideMark/>
          </w:tcPr>
          <w:p w14:paraId="5573CF0F"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0.75</w:t>
            </w:r>
          </w:p>
        </w:tc>
        <w:tc>
          <w:tcPr>
            <w:tcW w:w="1276" w:type="dxa"/>
            <w:tcBorders>
              <w:top w:val="nil"/>
              <w:left w:val="nil"/>
              <w:bottom w:val="nil"/>
              <w:right w:val="nil"/>
            </w:tcBorders>
            <w:shd w:val="clear" w:color="auto" w:fill="auto"/>
            <w:noWrap/>
            <w:vAlign w:val="bottom"/>
            <w:hideMark/>
          </w:tcPr>
          <w:p w14:paraId="56DB5774"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1</w:t>
            </w:r>
          </w:p>
        </w:tc>
        <w:tc>
          <w:tcPr>
            <w:tcW w:w="1418" w:type="dxa"/>
            <w:tcBorders>
              <w:top w:val="nil"/>
              <w:left w:val="nil"/>
              <w:bottom w:val="nil"/>
              <w:right w:val="nil"/>
            </w:tcBorders>
            <w:shd w:val="clear" w:color="auto" w:fill="auto"/>
            <w:noWrap/>
            <w:vAlign w:val="bottom"/>
            <w:hideMark/>
          </w:tcPr>
          <w:p w14:paraId="37B6D149"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2</w:t>
            </w:r>
          </w:p>
        </w:tc>
        <w:tc>
          <w:tcPr>
            <w:tcW w:w="1275" w:type="dxa"/>
            <w:tcBorders>
              <w:top w:val="nil"/>
              <w:left w:val="single" w:sz="8" w:space="0" w:color="808080"/>
              <w:bottom w:val="nil"/>
              <w:right w:val="single" w:sz="8" w:space="0" w:color="808080"/>
            </w:tcBorders>
            <w:shd w:val="clear" w:color="auto" w:fill="auto"/>
            <w:noWrap/>
            <w:vAlign w:val="bottom"/>
            <w:hideMark/>
          </w:tcPr>
          <w:p w14:paraId="7B87B6AE"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261</w:t>
            </w:r>
          </w:p>
        </w:tc>
      </w:tr>
      <w:tr w:rsidR="006D222B" w:rsidRPr="00B0325E" w14:paraId="6C80D603"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3EECB72B"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Fire protection – Fire Detection</w:t>
            </w:r>
          </w:p>
        </w:tc>
        <w:tc>
          <w:tcPr>
            <w:tcW w:w="1275" w:type="dxa"/>
            <w:tcBorders>
              <w:top w:val="nil"/>
              <w:left w:val="nil"/>
              <w:bottom w:val="nil"/>
              <w:right w:val="nil"/>
            </w:tcBorders>
            <w:shd w:val="clear" w:color="auto" w:fill="auto"/>
            <w:noWrap/>
            <w:vAlign w:val="bottom"/>
            <w:hideMark/>
          </w:tcPr>
          <w:p w14:paraId="1A3BBE72"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3</w:t>
            </w:r>
          </w:p>
        </w:tc>
        <w:tc>
          <w:tcPr>
            <w:tcW w:w="1276" w:type="dxa"/>
            <w:tcBorders>
              <w:top w:val="nil"/>
              <w:left w:val="nil"/>
              <w:bottom w:val="nil"/>
              <w:right w:val="nil"/>
            </w:tcBorders>
            <w:shd w:val="clear" w:color="auto" w:fill="auto"/>
            <w:noWrap/>
            <w:vAlign w:val="bottom"/>
            <w:hideMark/>
          </w:tcPr>
          <w:p w14:paraId="0105DC62"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5</w:t>
            </w:r>
          </w:p>
        </w:tc>
        <w:tc>
          <w:tcPr>
            <w:tcW w:w="1418" w:type="dxa"/>
            <w:tcBorders>
              <w:top w:val="nil"/>
              <w:left w:val="nil"/>
              <w:bottom w:val="nil"/>
              <w:right w:val="nil"/>
            </w:tcBorders>
            <w:shd w:val="clear" w:color="auto" w:fill="auto"/>
            <w:noWrap/>
            <w:vAlign w:val="bottom"/>
            <w:hideMark/>
          </w:tcPr>
          <w:p w14:paraId="58E43B38"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8</w:t>
            </w:r>
          </w:p>
        </w:tc>
        <w:tc>
          <w:tcPr>
            <w:tcW w:w="1275" w:type="dxa"/>
            <w:tcBorders>
              <w:top w:val="nil"/>
              <w:left w:val="single" w:sz="8" w:space="0" w:color="808080"/>
              <w:bottom w:val="nil"/>
              <w:right w:val="single" w:sz="8" w:space="0" w:color="808080"/>
            </w:tcBorders>
            <w:shd w:val="clear" w:color="auto" w:fill="auto"/>
            <w:noWrap/>
            <w:vAlign w:val="bottom"/>
            <w:hideMark/>
          </w:tcPr>
          <w:p w14:paraId="46C0C636"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606</w:t>
            </w:r>
          </w:p>
        </w:tc>
      </w:tr>
      <w:tr w:rsidR="006D222B" w:rsidRPr="00B0325E" w14:paraId="398A5736"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259F2D79"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Fire protection – Fixed Fire Fighting</w:t>
            </w:r>
          </w:p>
        </w:tc>
        <w:tc>
          <w:tcPr>
            <w:tcW w:w="1275" w:type="dxa"/>
            <w:tcBorders>
              <w:top w:val="nil"/>
              <w:left w:val="nil"/>
              <w:bottom w:val="nil"/>
              <w:right w:val="nil"/>
            </w:tcBorders>
            <w:shd w:val="clear" w:color="auto" w:fill="auto"/>
            <w:noWrap/>
            <w:vAlign w:val="bottom"/>
            <w:hideMark/>
          </w:tcPr>
          <w:p w14:paraId="66A04283"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4</w:t>
            </w:r>
          </w:p>
        </w:tc>
        <w:tc>
          <w:tcPr>
            <w:tcW w:w="1276" w:type="dxa"/>
            <w:tcBorders>
              <w:top w:val="nil"/>
              <w:left w:val="nil"/>
              <w:bottom w:val="nil"/>
              <w:right w:val="nil"/>
            </w:tcBorders>
            <w:shd w:val="clear" w:color="auto" w:fill="auto"/>
            <w:noWrap/>
            <w:vAlign w:val="bottom"/>
            <w:hideMark/>
          </w:tcPr>
          <w:p w14:paraId="2D248757"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7</w:t>
            </w:r>
          </w:p>
        </w:tc>
        <w:tc>
          <w:tcPr>
            <w:tcW w:w="1418" w:type="dxa"/>
            <w:tcBorders>
              <w:top w:val="nil"/>
              <w:left w:val="nil"/>
              <w:bottom w:val="nil"/>
              <w:right w:val="nil"/>
            </w:tcBorders>
            <w:shd w:val="clear" w:color="auto" w:fill="auto"/>
            <w:noWrap/>
            <w:vAlign w:val="bottom"/>
            <w:hideMark/>
          </w:tcPr>
          <w:p w14:paraId="6D68CFB9"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14</w:t>
            </w:r>
          </w:p>
        </w:tc>
        <w:tc>
          <w:tcPr>
            <w:tcW w:w="1275" w:type="dxa"/>
            <w:tcBorders>
              <w:top w:val="nil"/>
              <w:left w:val="single" w:sz="8" w:space="0" w:color="808080"/>
              <w:bottom w:val="nil"/>
              <w:right w:val="single" w:sz="8" w:space="0" w:color="808080"/>
            </w:tcBorders>
            <w:shd w:val="clear" w:color="auto" w:fill="auto"/>
            <w:noWrap/>
            <w:vAlign w:val="bottom"/>
            <w:hideMark/>
          </w:tcPr>
          <w:p w14:paraId="68F5D21B"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211</w:t>
            </w:r>
          </w:p>
        </w:tc>
      </w:tr>
      <w:tr w:rsidR="006D222B" w:rsidRPr="00B0325E" w14:paraId="7512E102"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0B4080B2"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Fire protection – Hand pumps</w:t>
            </w:r>
          </w:p>
        </w:tc>
        <w:tc>
          <w:tcPr>
            <w:tcW w:w="1275" w:type="dxa"/>
            <w:tcBorders>
              <w:top w:val="nil"/>
              <w:left w:val="nil"/>
              <w:bottom w:val="nil"/>
              <w:right w:val="nil"/>
            </w:tcBorders>
            <w:shd w:val="clear" w:color="auto" w:fill="auto"/>
            <w:noWrap/>
            <w:vAlign w:val="bottom"/>
            <w:hideMark/>
          </w:tcPr>
          <w:p w14:paraId="4495EA7B"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3</w:t>
            </w:r>
          </w:p>
        </w:tc>
        <w:tc>
          <w:tcPr>
            <w:tcW w:w="1276" w:type="dxa"/>
            <w:tcBorders>
              <w:top w:val="nil"/>
              <w:left w:val="nil"/>
              <w:bottom w:val="nil"/>
              <w:right w:val="nil"/>
            </w:tcBorders>
            <w:shd w:val="clear" w:color="auto" w:fill="auto"/>
            <w:noWrap/>
            <w:vAlign w:val="bottom"/>
            <w:hideMark/>
          </w:tcPr>
          <w:p w14:paraId="465144E7"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6</w:t>
            </w:r>
          </w:p>
        </w:tc>
        <w:tc>
          <w:tcPr>
            <w:tcW w:w="1418" w:type="dxa"/>
            <w:tcBorders>
              <w:top w:val="nil"/>
              <w:left w:val="nil"/>
              <w:bottom w:val="nil"/>
              <w:right w:val="nil"/>
            </w:tcBorders>
            <w:shd w:val="clear" w:color="auto" w:fill="auto"/>
            <w:noWrap/>
            <w:vAlign w:val="bottom"/>
            <w:hideMark/>
          </w:tcPr>
          <w:p w14:paraId="36CD320D"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9</w:t>
            </w:r>
          </w:p>
        </w:tc>
        <w:tc>
          <w:tcPr>
            <w:tcW w:w="1275" w:type="dxa"/>
            <w:tcBorders>
              <w:top w:val="nil"/>
              <w:left w:val="single" w:sz="8" w:space="0" w:color="808080"/>
              <w:bottom w:val="nil"/>
              <w:right w:val="single" w:sz="8" w:space="0" w:color="808080"/>
            </w:tcBorders>
            <w:shd w:val="clear" w:color="auto" w:fill="auto"/>
            <w:noWrap/>
            <w:vAlign w:val="bottom"/>
            <w:hideMark/>
          </w:tcPr>
          <w:p w14:paraId="7905F848"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355</w:t>
            </w:r>
          </w:p>
        </w:tc>
      </w:tr>
      <w:tr w:rsidR="006D222B" w:rsidRPr="00B0325E" w14:paraId="073FCAEF"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704EF77E"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Bilge Pumping Arrangements</w:t>
            </w:r>
          </w:p>
        </w:tc>
        <w:tc>
          <w:tcPr>
            <w:tcW w:w="1275" w:type="dxa"/>
            <w:tcBorders>
              <w:top w:val="nil"/>
              <w:left w:val="nil"/>
              <w:bottom w:val="nil"/>
              <w:right w:val="nil"/>
            </w:tcBorders>
            <w:shd w:val="clear" w:color="auto" w:fill="auto"/>
            <w:noWrap/>
            <w:vAlign w:val="bottom"/>
            <w:hideMark/>
          </w:tcPr>
          <w:p w14:paraId="2079A106"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3</w:t>
            </w:r>
          </w:p>
        </w:tc>
        <w:tc>
          <w:tcPr>
            <w:tcW w:w="1276" w:type="dxa"/>
            <w:tcBorders>
              <w:top w:val="nil"/>
              <w:left w:val="nil"/>
              <w:bottom w:val="nil"/>
              <w:right w:val="nil"/>
            </w:tcBorders>
            <w:shd w:val="clear" w:color="auto" w:fill="auto"/>
            <w:noWrap/>
            <w:vAlign w:val="bottom"/>
            <w:hideMark/>
          </w:tcPr>
          <w:p w14:paraId="75232D95"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6</w:t>
            </w:r>
          </w:p>
        </w:tc>
        <w:tc>
          <w:tcPr>
            <w:tcW w:w="1418" w:type="dxa"/>
            <w:tcBorders>
              <w:top w:val="nil"/>
              <w:left w:val="nil"/>
              <w:bottom w:val="nil"/>
              <w:right w:val="nil"/>
            </w:tcBorders>
            <w:shd w:val="clear" w:color="auto" w:fill="auto"/>
            <w:noWrap/>
            <w:vAlign w:val="bottom"/>
            <w:hideMark/>
          </w:tcPr>
          <w:p w14:paraId="61989521"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9</w:t>
            </w:r>
          </w:p>
        </w:tc>
        <w:tc>
          <w:tcPr>
            <w:tcW w:w="1275" w:type="dxa"/>
            <w:tcBorders>
              <w:top w:val="nil"/>
              <w:left w:val="single" w:sz="8" w:space="0" w:color="808080"/>
              <w:bottom w:val="nil"/>
              <w:right w:val="single" w:sz="8" w:space="0" w:color="808080"/>
            </w:tcBorders>
            <w:shd w:val="clear" w:color="auto" w:fill="auto"/>
            <w:noWrap/>
            <w:vAlign w:val="bottom"/>
            <w:hideMark/>
          </w:tcPr>
          <w:p w14:paraId="359DF153"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539</w:t>
            </w:r>
          </w:p>
        </w:tc>
      </w:tr>
      <w:tr w:rsidR="006D222B" w:rsidRPr="00B0325E" w14:paraId="71A68E2E" w14:textId="77777777" w:rsidTr="00285DA2">
        <w:trPr>
          <w:trHeight w:val="262"/>
          <w:jc w:val="center"/>
        </w:trPr>
        <w:tc>
          <w:tcPr>
            <w:tcW w:w="3828" w:type="dxa"/>
            <w:tcBorders>
              <w:top w:val="nil"/>
              <w:left w:val="single" w:sz="8" w:space="0" w:color="808080"/>
              <w:bottom w:val="nil"/>
              <w:right w:val="single" w:sz="8" w:space="0" w:color="808080"/>
            </w:tcBorders>
            <w:shd w:val="clear" w:color="auto" w:fill="auto"/>
            <w:noWrap/>
            <w:vAlign w:val="bottom"/>
            <w:hideMark/>
          </w:tcPr>
          <w:p w14:paraId="3558D4C5"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Bilge Alarm Arrangements</w:t>
            </w:r>
          </w:p>
        </w:tc>
        <w:tc>
          <w:tcPr>
            <w:tcW w:w="1275" w:type="dxa"/>
            <w:tcBorders>
              <w:top w:val="nil"/>
              <w:left w:val="nil"/>
              <w:bottom w:val="nil"/>
              <w:right w:val="nil"/>
            </w:tcBorders>
            <w:shd w:val="clear" w:color="auto" w:fill="auto"/>
            <w:noWrap/>
            <w:vAlign w:val="bottom"/>
            <w:hideMark/>
          </w:tcPr>
          <w:p w14:paraId="2BE747E9"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2</w:t>
            </w:r>
          </w:p>
        </w:tc>
        <w:tc>
          <w:tcPr>
            <w:tcW w:w="1276" w:type="dxa"/>
            <w:tcBorders>
              <w:top w:val="nil"/>
              <w:left w:val="nil"/>
              <w:bottom w:val="nil"/>
              <w:right w:val="nil"/>
            </w:tcBorders>
            <w:shd w:val="clear" w:color="auto" w:fill="auto"/>
            <w:noWrap/>
            <w:vAlign w:val="bottom"/>
            <w:hideMark/>
          </w:tcPr>
          <w:p w14:paraId="62BE6DEA"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4</w:t>
            </w:r>
          </w:p>
        </w:tc>
        <w:tc>
          <w:tcPr>
            <w:tcW w:w="1418" w:type="dxa"/>
            <w:tcBorders>
              <w:top w:val="nil"/>
              <w:left w:val="nil"/>
              <w:bottom w:val="nil"/>
              <w:right w:val="nil"/>
            </w:tcBorders>
            <w:shd w:val="clear" w:color="auto" w:fill="auto"/>
            <w:noWrap/>
            <w:vAlign w:val="bottom"/>
            <w:hideMark/>
          </w:tcPr>
          <w:p w14:paraId="3E8B93A8"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6</w:t>
            </w:r>
          </w:p>
        </w:tc>
        <w:tc>
          <w:tcPr>
            <w:tcW w:w="1275" w:type="dxa"/>
            <w:tcBorders>
              <w:top w:val="nil"/>
              <w:left w:val="single" w:sz="8" w:space="0" w:color="808080"/>
              <w:bottom w:val="nil"/>
              <w:right w:val="single" w:sz="8" w:space="0" w:color="808080"/>
            </w:tcBorders>
            <w:shd w:val="clear" w:color="auto" w:fill="auto"/>
            <w:noWrap/>
            <w:vAlign w:val="bottom"/>
            <w:hideMark/>
          </w:tcPr>
          <w:p w14:paraId="0BAC7238"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606</w:t>
            </w:r>
          </w:p>
        </w:tc>
      </w:tr>
      <w:tr w:rsidR="006D222B" w:rsidRPr="00B0325E" w14:paraId="33AB069C" w14:textId="77777777" w:rsidTr="00285DA2">
        <w:trPr>
          <w:trHeight w:val="275"/>
          <w:jc w:val="center"/>
        </w:trPr>
        <w:tc>
          <w:tcPr>
            <w:tcW w:w="3828" w:type="dxa"/>
            <w:tcBorders>
              <w:top w:val="nil"/>
              <w:left w:val="single" w:sz="8" w:space="0" w:color="808080"/>
              <w:bottom w:val="single" w:sz="8" w:space="0" w:color="808080"/>
              <w:right w:val="single" w:sz="8" w:space="0" w:color="808080"/>
            </w:tcBorders>
            <w:shd w:val="clear" w:color="auto" w:fill="auto"/>
            <w:noWrap/>
            <w:vAlign w:val="bottom"/>
            <w:hideMark/>
          </w:tcPr>
          <w:p w14:paraId="1DA971A0"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Damage Survivability</w:t>
            </w:r>
          </w:p>
        </w:tc>
        <w:tc>
          <w:tcPr>
            <w:tcW w:w="1275" w:type="dxa"/>
            <w:tcBorders>
              <w:top w:val="nil"/>
              <w:left w:val="nil"/>
              <w:bottom w:val="single" w:sz="8" w:space="0" w:color="808080"/>
              <w:right w:val="nil"/>
            </w:tcBorders>
            <w:shd w:val="clear" w:color="auto" w:fill="auto"/>
            <w:noWrap/>
            <w:vAlign w:val="bottom"/>
            <w:hideMark/>
          </w:tcPr>
          <w:p w14:paraId="0878C4CB"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 xml:space="preserve">See </w:t>
            </w:r>
            <w:r>
              <w:rPr>
                <w:rFonts w:ascii="Calibri" w:hAnsi="Calibri"/>
                <w:color w:val="FF0000"/>
                <w:sz w:val="22"/>
                <w:szCs w:val="22"/>
                <w:lang w:eastAsia="en-GB"/>
              </w:rPr>
              <w:fldChar w:fldCharType="begin"/>
            </w:r>
            <w:r>
              <w:rPr>
                <w:rFonts w:ascii="Calibri" w:hAnsi="Calibri"/>
                <w:color w:val="000000"/>
                <w:sz w:val="22"/>
                <w:szCs w:val="22"/>
                <w:lang w:eastAsia="en-GB"/>
              </w:rPr>
              <w:instrText xml:space="preserve"> REF _Ref513657695 \r \h </w:instrText>
            </w:r>
            <w:r>
              <w:rPr>
                <w:rFonts w:ascii="Calibri" w:hAnsi="Calibri"/>
                <w:color w:val="FF0000"/>
                <w:sz w:val="22"/>
                <w:szCs w:val="22"/>
                <w:lang w:eastAsia="en-GB"/>
              </w:rPr>
            </w:r>
            <w:r>
              <w:rPr>
                <w:rFonts w:ascii="Calibri" w:hAnsi="Calibri"/>
                <w:color w:val="FF0000"/>
                <w:sz w:val="22"/>
                <w:szCs w:val="22"/>
                <w:lang w:eastAsia="en-GB"/>
              </w:rPr>
              <w:fldChar w:fldCharType="separate"/>
            </w:r>
            <w:r w:rsidR="00742166">
              <w:rPr>
                <w:rFonts w:ascii="Calibri" w:hAnsi="Calibri"/>
                <w:color w:val="000000"/>
                <w:sz w:val="22"/>
                <w:szCs w:val="22"/>
                <w:lang w:eastAsia="en-GB"/>
              </w:rPr>
              <w:t>10.2.10</w:t>
            </w:r>
            <w:r>
              <w:rPr>
                <w:rFonts w:ascii="Calibri" w:hAnsi="Calibri"/>
                <w:color w:val="FF0000"/>
                <w:sz w:val="22"/>
                <w:szCs w:val="22"/>
                <w:lang w:eastAsia="en-GB"/>
              </w:rPr>
              <w:fldChar w:fldCharType="end"/>
            </w:r>
          </w:p>
        </w:tc>
        <w:tc>
          <w:tcPr>
            <w:tcW w:w="1276" w:type="dxa"/>
            <w:tcBorders>
              <w:top w:val="nil"/>
              <w:left w:val="nil"/>
              <w:bottom w:val="single" w:sz="8" w:space="0" w:color="808080"/>
              <w:right w:val="nil"/>
            </w:tcBorders>
            <w:shd w:val="clear" w:color="auto" w:fill="auto"/>
            <w:noWrap/>
            <w:vAlign w:val="bottom"/>
            <w:hideMark/>
          </w:tcPr>
          <w:p w14:paraId="1C226608"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 xml:space="preserve">See </w:t>
            </w:r>
            <w:r>
              <w:rPr>
                <w:rFonts w:ascii="Calibri" w:hAnsi="Calibri"/>
                <w:color w:val="FF0000"/>
                <w:sz w:val="22"/>
                <w:szCs w:val="22"/>
                <w:lang w:eastAsia="en-GB"/>
              </w:rPr>
              <w:fldChar w:fldCharType="begin"/>
            </w:r>
            <w:r>
              <w:rPr>
                <w:rFonts w:ascii="Calibri" w:hAnsi="Calibri"/>
                <w:color w:val="000000"/>
                <w:sz w:val="22"/>
                <w:szCs w:val="22"/>
                <w:lang w:eastAsia="en-GB"/>
              </w:rPr>
              <w:instrText xml:space="preserve"> REF _Ref513657695 \r \h </w:instrText>
            </w:r>
            <w:r>
              <w:rPr>
                <w:rFonts w:ascii="Calibri" w:hAnsi="Calibri"/>
                <w:color w:val="FF0000"/>
                <w:sz w:val="22"/>
                <w:szCs w:val="22"/>
                <w:lang w:eastAsia="en-GB"/>
              </w:rPr>
            </w:r>
            <w:r>
              <w:rPr>
                <w:rFonts w:ascii="Calibri" w:hAnsi="Calibri"/>
                <w:color w:val="FF0000"/>
                <w:sz w:val="22"/>
                <w:szCs w:val="22"/>
                <w:lang w:eastAsia="en-GB"/>
              </w:rPr>
              <w:fldChar w:fldCharType="separate"/>
            </w:r>
            <w:r w:rsidR="00742166">
              <w:rPr>
                <w:rFonts w:ascii="Calibri" w:hAnsi="Calibri"/>
                <w:color w:val="000000"/>
                <w:sz w:val="22"/>
                <w:szCs w:val="22"/>
                <w:lang w:eastAsia="en-GB"/>
              </w:rPr>
              <w:t>10.2.10</w:t>
            </w:r>
            <w:r>
              <w:rPr>
                <w:rFonts w:ascii="Calibri" w:hAnsi="Calibri"/>
                <w:color w:val="FF0000"/>
                <w:sz w:val="22"/>
                <w:szCs w:val="22"/>
                <w:lang w:eastAsia="en-GB"/>
              </w:rPr>
              <w:fldChar w:fldCharType="end"/>
            </w:r>
          </w:p>
        </w:tc>
        <w:tc>
          <w:tcPr>
            <w:tcW w:w="1418" w:type="dxa"/>
            <w:tcBorders>
              <w:top w:val="nil"/>
              <w:left w:val="nil"/>
              <w:bottom w:val="single" w:sz="8" w:space="0" w:color="808080"/>
              <w:right w:val="nil"/>
            </w:tcBorders>
            <w:shd w:val="clear" w:color="auto" w:fill="auto"/>
            <w:noWrap/>
            <w:vAlign w:val="bottom"/>
            <w:hideMark/>
          </w:tcPr>
          <w:p w14:paraId="6EB102EA" w14:textId="77777777" w:rsidR="006D222B" w:rsidRPr="00B0325E" w:rsidRDefault="006D222B" w:rsidP="006D222B">
            <w:pPr>
              <w:rPr>
                <w:rFonts w:ascii="Calibri" w:hAnsi="Calibri"/>
                <w:color w:val="000000"/>
                <w:sz w:val="22"/>
                <w:szCs w:val="22"/>
                <w:lang w:eastAsia="en-GB"/>
              </w:rPr>
            </w:pPr>
            <w:r w:rsidRPr="00B0325E">
              <w:rPr>
                <w:rFonts w:ascii="Calibri" w:hAnsi="Calibri"/>
                <w:color w:val="000000"/>
                <w:sz w:val="22"/>
                <w:szCs w:val="22"/>
                <w:lang w:eastAsia="en-GB"/>
              </w:rPr>
              <w:t>See</w:t>
            </w:r>
            <w:r w:rsidRPr="00B0325E">
              <w:rPr>
                <w:rFonts w:ascii="Calibri" w:hAnsi="Calibri"/>
                <w:color w:val="FF0000"/>
                <w:sz w:val="22"/>
                <w:szCs w:val="22"/>
                <w:lang w:eastAsia="en-GB"/>
              </w:rPr>
              <w:t xml:space="preserve"> </w:t>
            </w:r>
            <w:r w:rsidRPr="00E27FFD">
              <w:rPr>
                <w:rFonts w:ascii="Calibri" w:hAnsi="Calibri"/>
                <w:sz w:val="22"/>
                <w:szCs w:val="22"/>
                <w:lang w:eastAsia="en-GB"/>
              </w:rPr>
              <w:fldChar w:fldCharType="begin"/>
            </w:r>
            <w:r w:rsidRPr="00E27FFD">
              <w:rPr>
                <w:rFonts w:ascii="Calibri" w:hAnsi="Calibri"/>
                <w:sz w:val="22"/>
                <w:szCs w:val="22"/>
                <w:lang w:eastAsia="en-GB"/>
              </w:rPr>
              <w:instrText xml:space="preserve"> REF _Ref513657695 \r \h  \* MERGEFORMAT </w:instrText>
            </w:r>
            <w:r w:rsidRPr="00E27FFD">
              <w:rPr>
                <w:rFonts w:ascii="Calibri" w:hAnsi="Calibri"/>
                <w:sz w:val="22"/>
                <w:szCs w:val="22"/>
                <w:lang w:eastAsia="en-GB"/>
              </w:rPr>
            </w:r>
            <w:r w:rsidRPr="00E27FFD">
              <w:rPr>
                <w:rFonts w:ascii="Calibri" w:hAnsi="Calibri"/>
                <w:sz w:val="22"/>
                <w:szCs w:val="22"/>
                <w:lang w:eastAsia="en-GB"/>
              </w:rPr>
              <w:fldChar w:fldCharType="separate"/>
            </w:r>
            <w:r w:rsidR="00742166">
              <w:rPr>
                <w:rFonts w:ascii="Calibri" w:hAnsi="Calibri"/>
                <w:sz w:val="22"/>
                <w:szCs w:val="22"/>
                <w:lang w:eastAsia="en-GB"/>
              </w:rPr>
              <w:t>10.2.10</w:t>
            </w:r>
            <w:r w:rsidRPr="00E27FFD">
              <w:rPr>
                <w:rFonts w:ascii="Calibri" w:hAnsi="Calibri"/>
                <w:sz w:val="22"/>
                <w:szCs w:val="22"/>
                <w:lang w:eastAsia="en-GB"/>
              </w:rPr>
              <w:fldChar w:fldCharType="end"/>
            </w:r>
          </w:p>
        </w:tc>
        <w:tc>
          <w:tcPr>
            <w:tcW w:w="1275" w:type="dxa"/>
            <w:tcBorders>
              <w:top w:val="nil"/>
              <w:left w:val="single" w:sz="8" w:space="0" w:color="808080"/>
              <w:bottom w:val="single" w:sz="8" w:space="0" w:color="808080"/>
              <w:right w:val="single" w:sz="8" w:space="0" w:color="808080"/>
            </w:tcBorders>
            <w:shd w:val="clear" w:color="auto" w:fill="auto"/>
            <w:noWrap/>
            <w:vAlign w:val="bottom"/>
            <w:hideMark/>
          </w:tcPr>
          <w:p w14:paraId="17C9CC30" w14:textId="77777777" w:rsidR="006D222B" w:rsidRPr="00B0325E" w:rsidRDefault="006D222B" w:rsidP="006D222B">
            <w:pPr>
              <w:rPr>
                <w:rFonts w:ascii="Calibri" w:hAnsi="Calibri"/>
                <w:color w:val="000000"/>
                <w:sz w:val="22"/>
                <w:szCs w:val="22"/>
                <w:lang w:eastAsia="en-GB"/>
              </w:rPr>
            </w:pPr>
            <w:r>
              <w:rPr>
                <w:rFonts w:ascii="Calibri" w:hAnsi="Calibri"/>
                <w:color w:val="000000"/>
                <w:sz w:val="22"/>
                <w:szCs w:val="22"/>
              </w:rPr>
              <w:t>204</w:t>
            </w:r>
          </w:p>
        </w:tc>
      </w:tr>
    </w:tbl>
    <w:p w14:paraId="432958DA" w14:textId="77777777" w:rsidR="00F92A99" w:rsidRDefault="00F92A99" w:rsidP="003C4C5D">
      <w:pPr>
        <w:rPr>
          <w:lang w:eastAsia="en-GB"/>
        </w:rPr>
      </w:pPr>
    </w:p>
    <w:p w14:paraId="2442764B" w14:textId="77777777" w:rsidR="008D5597" w:rsidRPr="008D5597" w:rsidRDefault="008D5597" w:rsidP="003C4C5D">
      <w:pPr>
        <w:rPr>
          <w:sz w:val="22"/>
          <w:szCs w:val="22"/>
          <w:lang w:eastAsia="en-GB"/>
        </w:rPr>
      </w:pPr>
      <w:r w:rsidRPr="008D5597">
        <w:rPr>
          <w:sz w:val="22"/>
          <w:szCs w:val="22"/>
          <w:lang w:eastAsia="en-GB"/>
        </w:rPr>
        <w:t>The rationale behind the individual familiarisation times is explained below:</w:t>
      </w:r>
    </w:p>
    <w:p w14:paraId="24C0DF95" w14:textId="77777777" w:rsidR="008D5597" w:rsidRDefault="008D5597" w:rsidP="003C4C5D">
      <w:pPr>
        <w:rPr>
          <w:b/>
          <w:sz w:val="22"/>
          <w:szCs w:val="22"/>
          <w:lang w:eastAsia="en-GB"/>
        </w:rPr>
      </w:pPr>
    </w:p>
    <w:p w14:paraId="164E23C9" w14:textId="77777777" w:rsidR="008D5597" w:rsidRPr="008D5597" w:rsidRDefault="008D5597" w:rsidP="008D5597">
      <w:pPr>
        <w:pStyle w:val="ListParagraph"/>
        <w:numPr>
          <w:ilvl w:val="0"/>
          <w:numId w:val="36"/>
        </w:numPr>
        <w:rPr>
          <w:sz w:val="22"/>
          <w:szCs w:val="22"/>
          <w:lang w:eastAsia="en-GB"/>
        </w:rPr>
      </w:pPr>
      <w:r w:rsidRPr="008D5597">
        <w:rPr>
          <w:b/>
          <w:sz w:val="22"/>
          <w:szCs w:val="22"/>
          <w:lang w:eastAsia="en-GB"/>
        </w:rPr>
        <w:t>Liferafts</w:t>
      </w:r>
      <w:r w:rsidRPr="008D5597">
        <w:rPr>
          <w:sz w:val="22"/>
          <w:szCs w:val="22"/>
          <w:lang w:eastAsia="en-GB"/>
        </w:rPr>
        <w:t xml:space="preserve"> - </w:t>
      </w:r>
      <w:r w:rsidR="00FE678C" w:rsidRPr="008D5597">
        <w:rPr>
          <w:sz w:val="22"/>
          <w:szCs w:val="22"/>
          <w:lang w:eastAsia="en-GB"/>
        </w:rPr>
        <w:t xml:space="preserve">Most operators </w:t>
      </w:r>
      <w:r w:rsidRPr="008D5597">
        <w:rPr>
          <w:sz w:val="22"/>
          <w:szCs w:val="22"/>
          <w:lang w:eastAsia="en-GB"/>
        </w:rPr>
        <w:t>lease their</w:t>
      </w:r>
      <w:r w:rsidR="00FE678C" w:rsidRPr="008D5597">
        <w:rPr>
          <w:sz w:val="22"/>
          <w:szCs w:val="22"/>
          <w:lang w:eastAsia="en-GB"/>
        </w:rPr>
        <w:t xml:space="preserve"> liferafts so the procurement process </w:t>
      </w:r>
      <w:r w:rsidRPr="008D5597">
        <w:rPr>
          <w:sz w:val="22"/>
          <w:szCs w:val="22"/>
          <w:lang w:eastAsia="en-GB"/>
        </w:rPr>
        <w:t>is not expected to be lengthy as</w:t>
      </w:r>
      <w:r w:rsidR="00FE678C" w:rsidRPr="008D5597">
        <w:rPr>
          <w:sz w:val="22"/>
          <w:szCs w:val="22"/>
          <w:lang w:eastAsia="en-GB"/>
        </w:rPr>
        <w:t xml:space="preserve"> supplier</w:t>
      </w:r>
      <w:r w:rsidRPr="008D5597">
        <w:rPr>
          <w:sz w:val="22"/>
          <w:szCs w:val="22"/>
          <w:lang w:eastAsia="en-GB"/>
        </w:rPr>
        <w:t>s</w:t>
      </w:r>
      <w:r w:rsidR="00FE678C" w:rsidRPr="008D5597">
        <w:rPr>
          <w:sz w:val="22"/>
          <w:szCs w:val="22"/>
          <w:lang w:eastAsia="en-GB"/>
        </w:rPr>
        <w:t xml:space="preserve"> will take on </w:t>
      </w:r>
      <w:r w:rsidRPr="008D5597">
        <w:rPr>
          <w:sz w:val="22"/>
          <w:szCs w:val="22"/>
          <w:lang w:eastAsia="en-GB"/>
        </w:rPr>
        <w:t>the majority of the burden</w:t>
      </w:r>
      <w:r w:rsidR="00FE678C" w:rsidRPr="008D5597">
        <w:rPr>
          <w:sz w:val="22"/>
          <w:szCs w:val="22"/>
          <w:lang w:eastAsia="en-GB"/>
        </w:rPr>
        <w:t xml:space="preserve"> of finding </w:t>
      </w:r>
      <w:r w:rsidRPr="008D5597">
        <w:rPr>
          <w:sz w:val="22"/>
          <w:szCs w:val="22"/>
          <w:lang w:eastAsia="en-GB"/>
        </w:rPr>
        <w:t>suitable liferafts</w:t>
      </w:r>
      <w:r w:rsidR="00FE678C" w:rsidRPr="008D5597">
        <w:rPr>
          <w:sz w:val="22"/>
          <w:szCs w:val="22"/>
          <w:lang w:eastAsia="en-GB"/>
        </w:rPr>
        <w:t>. The</w:t>
      </w:r>
      <w:r>
        <w:rPr>
          <w:sz w:val="22"/>
          <w:szCs w:val="22"/>
          <w:lang w:eastAsia="en-GB"/>
        </w:rPr>
        <w:t>se</w:t>
      </w:r>
      <w:r w:rsidR="00FE678C" w:rsidRPr="008D5597">
        <w:rPr>
          <w:sz w:val="22"/>
          <w:szCs w:val="22"/>
          <w:lang w:eastAsia="en-GB"/>
        </w:rPr>
        <w:t xml:space="preserve"> times are estimated based on experience and</w:t>
      </w:r>
      <w:r>
        <w:rPr>
          <w:sz w:val="22"/>
          <w:szCs w:val="22"/>
          <w:lang w:eastAsia="en-GB"/>
        </w:rPr>
        <w:t xml:space="preserve"> from</w:t>
      </w:r>
      <w:r w:rsidR="00FE678C" w:rsidRPr="008D5597">
        <w:rPr>
          <w:sz w:val="22"/>
          <w:szCs w:val="22"/>
          <w:lang w:eastAsia="en-GB"/>
        </w:rPr>
        <w:t xml:space="preserve"> pre</w:t>
      </w:r>
      <w:r w:rsidRPr="008D5597">
        <w:rPr>
          <w:sz w:val="22"/>
          <w:szCs w:val="22"/>
          <w:lang w:eastAsia="en-GB"/>
        </w:rPr>
        <w:t>vious IAs for procurement of Life Saving Appliances (LSA)</w:t>
      </w:r>
      <w:r w:rsidR="00FE678C" w:rsidRPr="008D5597">
        <w:rPr>
          <w:sz w:val="22"/>
          <w:szCs w:val="22"/>
          <w:lang w:eastAsia="en-GB"/>
        </w:rPr>
        <w:t xml:space="preserve"> for each vessel. It is considered that the majority of vessels will fall into the low and central bands with the high cost of procurement being for those vessels where liferafts are not leased.</w:t>
      </w:r>
    </w:p>
    <w:p w14:paraId="4EBF8287" w14:textId="77777777" w:rsidR="008D5597" w:rsidRPr="007A7BC3" w:rsidRDefault="008D5597" w:rsidP="003C4C5D">
      <w:pPr>
        <w:pStyle w:val="ListParagraph"/>
        <w:numPr>
          <w:ilvl w:val="0"/>
          <w:numId w:val="36"/>
        </w:numPr>
        <w:rPr>
          <w:sz w:val="22"/>
          <w:szCs w:val="22"/>
          <w:lang w:eastAsia="en-GB"/>
        </w:rPr>
      </w:pPr>
      <w:r w:rsidRPr="008D5597">
        <w:rPr>
          <w:b/>
          <w:sz w:val="22"/>
          <w:szCs w:val="22"/>
          <w:lang w:eastAsia="en-GB"/>
        </w:rPr>
        <w:t>Lifejackets</w:t>
      </w:r>
      <w:r w:rsidRPr="008D5597">
        <w:rPr>
          <w:sz w:val="22"/>
          <w:szCs w:val="22"/>
          <w:lang w:eastAsia="en-GB"/>
        </w:rPr>
        <w:t xml:space="preserve"> – The time for procuring lifejackets is likely to be higher than for liferafts as some operators will need to make decisions on the type of jacket or buoyancy aid carried which will likely depend on stowage arrangements. For vessels where the arrangement does not facilitate stowage of the jackets </w:t>
      </w:r>
      <w:r w:rsidRPr="007A7BC3">
        <w:rPr>
          <w:sz w:val="22"/>
          <w:szCs w:val="22"/>
          <w:lang w:eastAsia="en-GB"/>
        </w:rPr>
        <w:t>the operator may decide to purchase more compact or even inflatable jackets although these will be higher cost options and for inflatable jackets will have servicing implications.</w:t>
      </w:r>
    </w:p>
    <w:p w14:paraId="23FF4AD7" w14:textId="77777777" w:rsidR="008D5597" w:rsidRDefault="008D5597" w:rsidP="003C4C5D">
      <w:pPr>
        <w:pStyle w:val="ListParagraph"/>
        <w:numPr>
          <w:ilvl w:val="0"/>
          <w:numId w:val="36"/>
        </w:numPr>
        <w:rPr>
          <w:sz w:val="22"/>
          <w:szCs w:val="22"/>
          <w:lang w:eastAsia="en-GB"/>
        </w:rPr>
      </w:pPr>
      <w:r w:rsidRPr="007A7BC3">
        <w:rPr>
          <w:rFonts w:cs="Arial"/>
          <w:b/>
          <w:sz w:val="22"/>
          <w:szCs w:val="22"/>
        </w:rPr>
        <w:t xml:space="preserve">Lifejacket lights </w:t>
      </w:r>
      <w:r w:rsidRPr="007A7BC3">
        <w:rPr>
          <w:rFonts w:cs="Arial"/>
          <w:sz w:val="22"/>
          <w:szCs w:val="22"/>
        </w:rPr>
        <w:t>– It is considered that time taken for procurement will be low due</w:t>
      </w:r>
      <w:r w:rsidRPr="007A7BC3">
        <w:rPr>
          <w:sz w:val="22"/>
          <w:szCs w:val="22"/>
          <w:lang w:eastAsia="en-GB"/>
        </w:rPr>
        <w:t xml:space="preserve"> to</w:t>
      </w:r>
      <w:r w:rsidRPr="008D5597">
        <w:rPr>
          <w:sz w:val="22"/>
          <w:szCs w:val="22"/>
          <w:lang w:eastAsia="en-GB"/>
        </w:rPr>
        <w:t xml:space="preserve"> </w:t>
      </w:r>
      <w:r>
        <w:rPr>
          <w:sz w:val="22"/>
          <w:szCs w:val="22"/>
          <w:lang w:eastAsia="en-GB"/>
        </w:rPr>
        <w:t>t</w:t>
      </w:r>
      <w:r w:rsidRPr="008D5597">
        <w:rPr>
          <w:sz w:val="22"/>
          <w:szCs w:val="22"/>
          <w:lang w:eastAsia="en-GB"/>
        </w:rPr>
        <w:t>he low level of complexity of lifejacket lights.</w:t>
      </w:r>
    </w:p>
    <w:p w14:paraId="13E6CCC3" w14:textId="77777777" w:rsidR="008D5597" w:rsidRPr="007A7BC3" w:rsidRDefault="008D5597" w:rsidP="008D5597">
      <w:pPr>
        <w:pStyle w:val="ListParagraph"/>
        <w:numPr>
          <w:ilvl w:val="0"/>
          <w:numId w:val="36"/>
        </w:numPr>
        <w:rPr>
          <w:sz w:val="22"/>
          <w:szCs w:val="22"/>
          <w:lang w:eastAsia="en-GB"/>
        </w:rPr>
      </w:pPr>
      <w:r w:rsidRPr="008D5597">
        <w:rPr>
          <w:b/>
          <w:sz w:val="22"/>
          <w:szCs w:val="22"/>
          <w:lang w:eastAsia="en-GB"/>
        </w:rPr>
        <w:t>Fire detection</w:t>
      </w:r>
      <w:r w:rsidRPr="008D5597">
        <w:rPr>
          <w:sz w:val="22"/>
          <w:szCs w:val="22"/>
          <w:lang w:eastAsia="en-GB"/>
        </w:rPr>
        <w:t xml:space="preserve"> – Much as with Fixed fire-fighting, there are many systems available on the market </w:t>
      </w:r>
      <w:r w:rsidRPr="007A7BC3">
        <w:rPr>
          <w:sz w:val="22"/>
          <w:szCs w:val="22"/>
          <w:lang w:eastAsia="en-GB"/>
        </w:rPr>
        <w:t>where fire detection is concerned. Currently there a sudden diversification in the types of system available, each with their own specific merits. It may well take operators some time to ascertain which type is most suitable for their needs and budget.</w:t>
      </w:r>
    </w:p>
    <w:p w14:paraId="184A003A" w14:textId="77777777" w:rsidR="008D5597" w:rsidRPr="007A7BC3" w:rsidRDefault="008D5597" w:rsidP="008D5597">
      <w:pPr>
        <w:pStyle w:val="ListParagraph"/>
        <w:numPr>
          <w:ilvl w:val="0"/>
          <w:numId w:val="36"/>
        </w:numPr>
        <w:rPr>
          <w:rFonts w:cs="Arial"/>
          <w:sz w:val="22"/>
          <w:szCs w:val="22"/>
        </w:rPr>
      </w:pPr>
      <w:r w:rsidRPr="007A7BC3">
        <w:rPr>
          <w:rFonts w:cs="Arial"/>
          <w:b/>
          <w:sz w:val="22"/>
          <w:szCs w:val="22"/>
        </w:rPr>
        <w:t xml:space="preserve">Fixed Firefighting </w:t>
      </w:r>
      <w:r w:rsidRPr="007A7BC3">
        <w:rPr>
          <w:rFonts w:cs="Arial"/>
          <w:sz w:val="22"/>
          <w:szCs w:val="22"/>
        </w:rPr>
        <w:t xml:space="preserve">– </w:t>
      </w:r>
      <w:r w:rsidRPr="007A7BC3">
        <w:rPr>
          <w:sz w:val="22"/>
          <w:szCs w:val="22"/>
          <w:lang w:eastAsia="en-GB"/>
        </w:rPr>
        <w:t>The time for procuring fixed firefighting is likely to be longer than for other safety equipment due to the complexity and variety of the systems available on the market. Operators will need to decide upon which type of system is most suitable for the intended purpose, possibly depending on whether the space is a manned machinery space. Given the nature and size of the spaces on these vessels it is possible the MCA will allow the use of some of the non-harmful aerosols which are MCA as opposed to M</w:t>
      </w:r>
      <w:r w:rsidR="00E66438" w:rsidRPr="007A7BC3">
        <w:rPr>
          <w:sz w:val="22"/>
          <w:szCs w:val="22"/>
          <w:lang w:eastAsia="en-GB"/>
        </w:rPr>
        <w:t xml:space="preserve">arine </w:t>
      </w:r>
      <w:r w:rsidRPr="007A7BC3">
        <w:rPr>
          <w:sz w:val="22"/>
          <w:szCs w:val="22"/>
          <w:lang w:eastAsia="en-GB"/>
        </w:rPr>
        <w:t>E</w:t>
      </w:r>
      <w:r w:rsidR="00E66438" w:rsidRPr="007A7BC3">
        <w:rPr>
          <w:sz w:val="22"/>
          <w:szCs w:val="22"/>
          <w:lang w:eastAsia="en-GB"/>
        </w:rPr>
        <w:t xml:space="preserve">quipment </w:t>
      </w:r>
      <w:r w:rsidRPr="007A7BC3">
        <w:rPr>
          <w:sz w:val="22"/>
          <w:szCs w:val="22"/>
          <w:lang w:eastAsia="en-GB"/>
        </w:rPr>
        <w:t>D</w:t>
      </w:r>
      <w:r w:rsidR="00E66438" w:rsidRPr="007A7BC3">
        <w:rPr>
          <w:sz w:val="22"/>
          <w:szCs w:val="22"/>
          <w:lang w:eastAsia="en-GB"/>
        </w:rPr>
        <w:t>irective</w:t>
      </w:r>
      <w:r w:rsidR="004C6F4D" w:rsidRPr="007A7BC3">
        <w:rPr>
          <w:sz w:val="22"/>
          <w:szCs w:val="22"/>
          <w:lang w:eastAsia="en-GB"/>
        </w:rPr>
        <w:t xml:space="preserve"> (MED)</w:t>
      </w:r>
      <w:r w:rsidRPr="007A7BC3">
        <w:rPr>
          <w:sz w:val="22"/>
          <w:szCs w:val="22"/>
          <w:lang w:eastAsia="en-GB"/>
        </w:rPr>
        <w:t xml:space="preserve"> approved systems.</w:t>
      </w:r>
    </w:p>
    <w:p w14:paraId="69F76B10" w14:textId="77777777" w:rsidR="008D5597" w:rsidRPr="007A7BC3" w:rsidRDefault="008D5597" w:rsidP="008D5597">
      <w:pPr>
        <w:pStyle w:val="ListParagraph"/>
        <w:numPr>
          <w:ilvl w:val="0"/>
          <w:numId w:val="36"/>
        </w:numPr>
        <w:rPr>
          <w:sz w:val="22"/>
          <w:szCs w:val="22"/>
          <w:lang w:eastAsia="en-GB"/>
        </w:rPr>
      </w:pPr>
      <w:r w:rsidRPr="007A7BC3">
        <w:rPr>
          <w:b/>
          <w:sz w:val="22"/>
          <w:szCs w:val="22"/>
          <w:lang w:eastAsia="en-GB"/>
        </w:rPr>
        <w:t>Hand pumps</w:t>
      </w:r>
      <w:r w:rsidRPr="007A7BC3">
        <w:rPr>
          <w:sz w:val="22"/>
          <w:szCs w:val="22"/>
          <w:lang w:eastAsia="en-GB"/>
        </w:rPr>
        <w:t xml:space="preserve"> - Fire pumps are relatively common, in all sizes, and given that they need not necessarily be mechanically driven. We do not anticipate the selection of pumps being overly burdensome in terms of time. The pumps for both fire and bilge are likely to be procured at the same time, noting that their capacity and basic function is the same.</w:t>
      </w:r>
    </w:p>
    <w:p w14:paraId="53D33547" w14:textId="77777777" w:rsidR="008E47BE" w:rsidRPr="008D5597" w:rsidRDefault="008E47BE" w:rsidP="008D5597">
      <w:pPr>
        <w:pStyle w:val="ListParagraph"/>
        <w:numPr>
          <w:ilvl w:val="0"/>
          <w:numId w:val="36"/>
        </w:numPr>
        <w:rPr>
          <w:sz w:val="22"/>
          <w:szCs w:val="22"/>
          <w:lang w:eastAsia="en-GB"/>
        </w:rPr>
      </w:pPr>
      <w:r w:rsidRPr="007A7BC3">
        <w:rPr>
          <w:rFonts w:cs="Arial"/>
          <w:b/>
          <w:sz w:val="22"/>
          <w:szCs w:val="22"/>
        </w:rPr>
        <w:t xml:space="preserve">Bilge pumps - </w:t>
      </w:r>
      <w:r w:rsidRPr="007A7BC3">
        <w:rPr>
          <w:rFonts w:cs="Arial"/>
          <w:sz w:val="22"/>
          <w:szCs w:val="22"/>
        </w:rPr>
        <w:t>Vessel</w:t>
      </w:r>
      <w:r w:rsidRPr="007A7BC3">
        <w:rPr>
          <w:sz w:val="22"/>
          <w:szCs w:val="22"/>
          <w:lang w:eastAsia="en-GB"/>
        </w:rPr>
        <w:t xml:space="preserve"> operators will need to consider the arrangement of the vessel and the bilge pumping system as well as electrical capacity. It should be noted that many operators</w:t>
      </w:r>
      <w:r w:rsidRPr="008E47BE">
        <w:rPr>
          <w:sz w:val="22"/>
          <w:szCs w:val="22"/>
          <w:lang w:eastAsia="en-GB"/>
        </w:rPr>
        <w:t xml:space="preserve"> have multiple vessels with similar arrangements so will be able to use the same procurement rationale across their fleet</w:t>
      </w:r>
    </w:p>
    <w:p w14:paraId="68AFD748" w14:textId="77777777" w:rsidR="008D5597" w:rsidRPr="00FE678C" w:rsidRDefault="008D5597" w:rsidP="003C4C5D">
      <w:pPr>
        <w:rPr>
          <w:sz w:val="22"/>
          <w:szCs w:val="22"/>
          <w:lang w:eastAsia="en-GB"/>
        </w:rPr>
      </w:pPr>
    </w:p>
    <w:p w14:paraId="3CE2D3FA" w14:textId="77777777" w:rsidR="000D4F27" w:rsidRDefault="008D5597" w:rsidP="003C4C5D">
      <w:pPr>
        <w:rPr>
          <w:sz w:val="22"/>
          <w:szCs w:val="22"/>
          <w:lang w:eastAsia="en-GB"/>
        </w:rPr>
      </w:pPr>
      <w:r w:rsidRPr="008D5597">
        <w:rPr>
          <w:sz w:val="22"/>
          <w:szCs w:val="22"/>
          <w:lang w:eastAsia="en-GB"/>
        </w:rPr>
        <w:t xml:space="preserve">We plan to consult on these familiarisation times to </w:t>
      </w:r>
      <w:r w:rsidR="008E47BE">
        <w:rPr>
          <w:sz w:val="22"/>
          <w:szCs w:val="22"/>
          <w:lang w:eastAsia="en-GB"/>
        </w:rPr>
        <w:t>increase the robustness of the</w:t>
      </w:r>
      <w:r w:rsidRPr="008D5597">
        <w:rPr>
          <w:sz w:val="22"/>
          <w:szCs w:val="22"/>
          <w:lang w:eastAsia="en-GB"/>
        </w:rPr>
        <w:t xml:space="preserve"> estimates.</w:t>
      </w:r>
      <w:r w:rsidR="000F3D1A">
        <w:rPr>
          <w:sz w:val="22"/>
          <w:szCs w:val="22"/>
          <w:lang w:eastAsia="en-GB"/>
        </w:rPr>
        <w:t xml:space="preserve"> The overall cost associated with the times above is presented below.</w:t>
      </w:r>
    </w:p>
    <w:p w14:paraId="64EAEA18" w14:textId="77777777" w:rsidR="00C82364" w:rsidRDefault="00C82364" w:rsidP="003C4C5D">
      <w:pPr>
        <w:rPr>
          <w:sz w:val="22"/>
          <w:szCs w:val="22"/>
          <w:lang w:eastAsia="en-GB"/>
        </w:rPr>
      </w:pPr>
    </w:p>
    <w:p w14:paraId="2323977A" w14:textId="77777777" w:rsidR="000F3D1A" w:rsidRDefault="000F3D1A" w:rsidP="003C4C5D">
      <w:pPr>
        <w:rPr>
          <w:sz w:val="22"/>
          <w:szCs w:val="22"/>
          <w:lang w:eastAsia="en-GB"/>
        </w:rPr>
      </w:pPr>
    </w:p>
    <w:tbl>
      <w:tblPr>
        <w:tblW w:w="8553" w:type="dxa"/>
        <w:jc w:val="center"/>
        <w:tblLook w:val="04A0" w:firstRow="1" w:lastRow="0" w:firstColumn="1" w:lastColumn="0" w:noHBand="0" w:noVBand="1"/>
      </w:tblPr>
      <w:tblGrid>
        <w:gridCol w:w="4265"/>
        <w:gridCol w:w="1435"/>
        <w:gridCol w:w="1418"/>
        <w:gridCol w:w="1435"/>
      </w:tblGrid>
      <w:tr w:rsidR="00C82364" w:rsidRPr="00C82364" w14:paraId="17966534" w14:textId="77777777" w:rsidTr="000F3D1A">
        <w:trPr>
          <w:trHeight w:val="315"/>
          <w:jc w:val="center"/>
        </w:trPr>
        <w:tc>
          <w:tcPr>
            <w:tcW w:w="8553" w:type="dxa"/>
            <w:gridSpan w:val="4"/>
            <w:tcBorders>
              <w:top w:val="nil"/>
              <w:left w:val="nil"/>
              <w:bottom w:val="single" w:sz="8" w:space="0" w:color="7F7F7F"/>
              <w:right w:val="nil"/>
            </w:tcBorders>
            <w:shd w:val="clear" w:color="auto" w:fill="auto"/>
            <w:noWrap/>
            <w:vAlign w:val="bottom"/>
            <w:hideMark/>
          </w:tcPr>
          <w:p w14:paraId="2776E75B" w14:textId="77777777" w:rsidR="00C82364" w:rsidRPr="00C82364" w:rsidRDefault="00940A7B" w:rsidP="00C82364">
            <w:pPr>
              <w:rPr>
                <w:rFonts w:ascii="Calibri" w:hAnsi="Calibri"/>
                <w:color w:val="000000"/>
                <w:sz w:val="22"/>
                <w:szCs w:val="22"/>
                <w:lang w:eastAsia="en-GB"/>
              </w:rPr>
            </w:pPr>
            <w:r w:rsidRPr="00E65663">
              <w:rPr>
                <w:rFonts w:ascii="Calibri" w:hAnsi="Calibri"/>
                <w:color w:val="000000"/>
                <w:sz w:val="22"/>
                <w:szCs w:val="22"/>
                <w:lang w:eastAsia="en-GB"/>
              </w:rPr>
              <w:t>Table 25</w:t>
            </w:r>
            <w:r w:rsidR="00C82364" w:rsidRPr="00E65663">
              <w:rPr>
                <w:rFonts w:ascii="Calibri" w:hAnsi="Calibri"/>
                <w:color w:val="000000"/>
                <w:sz w:val="22"/>
                <w:szCs w:val="22"/>
                <w:lang w:eastAsia="en-GB"/>
              </w:rPr>
              <w:t>:</w:t>
            </w:r>
            <w:r w:rsidR="00C82364" w:rsidRPr="00C82364">
              <w:rPr>
                <w:rFonts w:ascii="Calibri" w:hAnsi="Calibri"/>
                <w:color w:val="000000"/>
                <w:sz w:val="22"/>
                <w:szCs w:val="22"/>
                <w:lang w:eastAsia="en-GB"/>
              </w:rPr>
              <w:t xml:space="preserve"> The total familiarisation cost of the new regulations</w:t>
            </w:r>
          </w:p>
        </w:tc>
      </w:tr>
      <w:tr w:rsidR="00C82364" w:rsidRPr="00C82364" w14:paraId="411FABDE" w14:textId="77777777" w:rsidTr="000F3D1A">
        <w:trPr>
          <w:trHeight w:val="315"/>
          <w:jc w:val="center"/>
        </w:trPr>
        <w:tc>
          <w:tcPr>
            <w:tcW w:w="4265" w:type="dxa"/>
            <w:vMerge w:val="restart"/>
            <w:tcBorders>
              <w:top w:val="nil"/>
              <w:left w:val="single" w:sz="8" w:space="0" w:color="808080"/>
              <w:bottom w:val="single" w:sz="8" w:space="0" w:color="808080"/>
              <w:right w:val="single" w:sz="8" w:space="0" w:color="808080"/>
            </w:tcBorders>
            <w:shd w:val="clear" w:color="auto" w:fill="auto"/>
            <w:noWrap/>
            <w:vAlign w:val="bottom"/>
            <w:hideMark/>
          </w:tcPr>
          <w:p w14:paraId="7FB538E1" w14:textId="77777777" w:rsidR="00C82364" w:rsidRPr="00C82364" w:rsidRDefault="00C82364" w:rsidP="00C82364">
            <w:pPr>
              <w:rPr>
                <w:rFonts w:cs="Arial"/>
                <w:b/>
                <w:bCs/>
                <w:color w:val="000000"/>
                <w:sz w:val="22"/>
                <w:szCs w:val="22"/>
                <w:lang w:eastAsia="en-GB"/>
              </w:rPr>
            </w:pPr>
            <w:r w:rsidRPr="00C82364">
              <w:rPr>
                <w:rFonts w:cs="Arial"/>
                <w:b/>
                <w:bCs/>
                <w:color w:val="000000"/>
                <w:sz w:val="22"/>
                <w:szCs w:val="22"/>
                <w:lang w:eastAsia="en-GB"/>
              </w:rPr>
              <w:t>Type</w:t>
            </w:r>
          </w:p>
        </w:tc>
        <w:tc>
          <w:tcPr>
            <w:tcW w:w="4288" w:type="dxa"/>
            <w:gridSpan w:val="3"/>
            <w:tcBorders>
              <w:top w:val="single" w:sz="8" w:space="0" w:color="7F7F7F"/>
              <w:left w:val="nil"/>
              <w:bottom w:val="single" w:sz="8" w:space="0" w:color="7F7F7F"/>
              <w:right w:val="single" w:sz="8" w:space="0" w:color="808080"/>
            </w:tcBorders>
            <w:shd w:val="clear" w:color="auto" w:fill="auto"/>
            <w:noWrap/>
            <w:vAlign w:val="center"/>
            <w:hideMark/>
          </w:tcPr>
          <w:p w14:paraId="66540A65" w14:textId="77777777" w:rsidR="00C82364" w:rsidRPr="00C82364" w:rsidRDefault="00C82364" w:rsidP="00C82364">
            <w:pPr>
              <w:jc w:val="center"/>
              <w:rPr>
                <w:rFonts w:cs="Arial"/>
                <w:b/>
                <w:bCs/>
                <w:color w:val="000000"/>
                <w:sz w:val="22"/>
                <w:szCs w:val="22"/>
                <w:lang w:eastAsia="en-GB"/>
              </w:rPr>
            </w:pPr>
            <w:r w:rsidRPr="00C82364">
              <w:rPr>
                <w:rFonts w:cs="Arial"/>
                <w:b/>
                <w:bCs/>
                <w:color w:val="000000"/>
                <w:sz w:val="22"/>
                <w:szCs w:val="22"/>
                <w:lang w:eastAsia="en-GB"/>
              </w:rPr>
              <w:t>Time to familiarise (Hours)</w:t>
            </w:r>
          </w:p>
        </w:tc>
      </w:tr>
      <w:tr w:rsidR="00C82364" w:rsidRPr="00C82364" w14:paraId="6DE16804" w14:textId="77777777" w:rsidTr="000F3D1A">
        <w:trPr>
          <w:trHeight w:val="315"/>
          <w:jc w:val="center"/>
        </w:trPr>
        <w:tc>
          <w:tcPr>
            <w:tcW w:w="4265" w:type="dxa"/>
            <w:vMerge/>
            <w:tcBorders>
              <w:top w:val="nil"/>
              <w:left w:val="single" w:sz="8" w:space="0" w:color="808080"/>
              <w:bottom w:val="single" w:sz="8" w:space="0" w:color="808080"/>
              <w:right w:val="single" w:sz="8" w:space="0" w:color="808080"/>
            </w:tcBorders>
            <w:vAlign w:val="center"/>
            <w:hideMark/>
          </w:tcPr>
          <w:p w14:paraId="7711420E" w14:textId="77777777" w:rsidR="00C82364" w:rsidRPr="00C82364" w:rsidRDefault="00C82364" w:rsidP="00C82364">
            <w:pPr>
              <w:rPr>
                <w:rFonts w:cs="Arial"/>
                <w:b/>
                <w:bCs/>
                <w:color w:val="000000"/>
                <w:sz w:val="22"/>
                <w:szCs w:val="22"/>
                <w:lang w:eastAsia="en-GB"/>
              </w:rPr>
            </w:pPr>
          </w:p>
        </w:tc>
        <w:tc>
          <w:tcPr>
            <w:tcW w:w="1435" w:type="dxa"/>
            <w:tcBorders>
              <w:top w:val="nil"/>
              <w:left w:val="nil"/>
              <w:bottom w:val="single" w:sz="8" w:space="0" w:color="7F7F7F"/>
              <w:right w:val="nil"/>
            </w:tcBorders>
            <w:shd w:val="clear" w:color="auto" w:fill="auto"/>
            <w:noWrap/>
            <w:vAlign w:val="center"/>
            <w:hideMark/>
          </w:tcPr>
          <w:p w14:paraId="6C200E31" w14:textId="77777777" w:rsidR="00C82364" w:rsidRPr="00C82364" w:rsidRDefault="00C82364" w:rsidP="00C82364">
            <w:pPr>
              <w:rPr>
                <w:rFonts w:cs="Arial"/>
                <w:b/>
                <w:bCs/>
                <w:color w:val="000000"/>
                <w:sz w:val="22"/>
                <w:szCs w:val="22"/>
                <w:lang w:eastAsia="en-GB"/>
              </w:rPr>
            </w:pPr>
            <w:r w:rsidRPr="00C82364">
              <w:rPr>
                <w:rFonts w:cs="Arial"/>
                <w:b/>
                <w:bCs/>
                <w:color w:val="000000"/>
                <w:sz w:val="22"/>
                <w:szCs w:val="22"/>
                <w:lang w:eastAsia="en-GB"/>
              </w:rPr>
              <w:t>Low</w:t>
            </w:r>
          </w:p>
        </w:tc>
        <w:tc>
          <w:tcPr>
            <w:tcW w:w="1418" w:type="dxa"/>
            <w:tcBorders>
              <w:top w:val="nil"/>
              <w:left w:val="nil"/>
              <w:bottom w:val="single" w:sz="8" w:space="0" w:color="7F7F7F"/>
              <w:right w:val="nil"/>
            </w:tcBorders>
            <w:shd w:val="clear" w:color="auto" w:fill="auto"/>
            <w:noWrap/>
            <w:vAlign w:val="center"/>
            <w:hideMark/>
          </w:tcPr>
          <w:p w14:paraId="24CD586D" w14:textId="77777777" w:rsidR="00C82364" w:rsidRPr="00C82364" w:rsidRDefault="00C82364" w:rsidP="00C82364">
            <w:pPr>
              <w:rPr>
                <w:rFonts w:cs="Arial"/>
                <w:b/>
                <w:bCs/>
                <w:color w:val="000000"/>
                <w:sz w:val="22"/>
                <w:szCs w:val="22"/>
                <w:lang w:eastAsia="en-GB"/>
              </w:rPr>
            </w:pPr>
            <w:r w:rsidRPr="00C82364">
              <w:rPr>
                <w:rFonts w:cs="Arial"/>
                <w:b/>
                <w:bCs/>
                <w:color w:val="000000"/>
                <w:sz w:val="22"/>
                <w:szCs w:val="22"/>
                <w:lang w:eastAsia="en-GB"/>
              </w:rPr>
              <w:t>Central</w:t>
            </w:r>
          </w:p>
        </w:tc>
        <w:tc>
          <w:tcPr>
            <w:tcW w:w="1435" w:type="dxa"/>
            <w:tcBorders>
              <w:top w:val="nil"/>
              <w:left w:val="nil"/>
              <w:bottom w:val="single" w:sz="8" w:space="0" w:color="7F7F7F"/>
              <w:right w:val="single" w:sz="8" w:space="0" w:color="808080"/>
            </w:tcBorders>
            <w:shd w:val="clear" w:color="auto" w:fill="auto"/>
            <w:noWrap/>
            <w:vAlign w:val="center"/>
            <w:hideMark/>
          </w:tcPr>
          <w:p w14:paraId="74C6135A" w14:textId="77777777" w:rsidR="00C82364" w:rsidRPr="00C82364" w:rsidRDefault="00C82364" w:rsidP="00C82364">
            <w:pPr>
              <w:rPr>
                <w:rFonts w:cs="Arial"/>
                <w:b/>
                <w:bCs/>
                <w:color w:val="000000"/>
                <w:sz w:val="22"/>
                <w:szCs w:val="22"/>
                <w:lang w:eastAsia="en-GB"/>
              </w:rPr>
            </w:pPr>
            <w:r w:rsidRPr="00C82364">
              <w:rPr>
                <w:rFonts w:cs="Arial"/>
                <w:b/>
                <w:bCs/>
                <w:color w:val="000000"/>
                <w:sz w:val="22"/>
                <w:szCs w:val="22"/>
                <w:lang w:eastAsia="en-GB"/>
              </w:rPr>
              <w:t>High</w:t>
            </w:r>
          </w:p>
        </w:tc>
      </w:tr>
      <w:tr w:rsidR="002024CC" w:rsidRPr="00C82364" w14:paraId="7583219E" w14:textId="77777777" w:rsidTr="00037AC1">
        <w:trPr>
          <w:trHeight w:val="315"/>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7B605943"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 xml:space="preserve">Total Hourly Wage </w:t>
            </w:r>
            <w:r>
              <w:rPr>
                <w:rFonts w:ascii="Calibri" w:hAnsi="Calibri"/>
                <w:color w:val="000000"/>
                <w:sz w:val="22"/>
                <w:szCs w:val="22"/>
                <w:lang w:eastAsia="en-GB"/>
              </w:rPr>
              <w:t>(ASHE Survey 2017, Water Transport)</w:t>
            </w:r>
          </w:p>
        </w:tc>
        <w:tc>
          <w:tcPr>
            <w:tcW w:w="1435" w:type="dxa"/>
            <w:tcBorders>
              <w:top w:val="single" w:sz="8" w:space="0" w:color="7F7F7F"/>
              <w:left w:val="single" w:sz="8" w:space="0" w:color="808080"/>
              <w:bottom w:val="single" w:sz="8" w:space="0" w:color="808080"/>
              <w:right w:val="nil"/>
            </w:tcBorders>
            <w:shd w:val="clear" w:color="auto" w:fill="auto"/>
            <w:noWrap/>
            <w:vAlign w:val="bottom"/>
            <w:hideMark/>
          </w:tcPr>
          <w:p w14:paraId="3A4D4A43"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£15.72</w:t>
            </w:r>
          </w:p>
        </w:tc>
        <w:tc>
          <w:tcPr>
            <w:tcW w:w="1418" w:type="dxa"/>
            <w:tcBorders>
              <w:top w:val="single" w:sz="8" w:space="0" w:color="7F7F7F"/>
              <w:left w:val="nil"/>
              <w:bottom w:val="single" w:sz="8" w:space="0" w:color="808080"/>
              <w:right w:val="nil"/>
            </w:tcBorders>
            <w:shd w:val="clear" w:color="auto" w:fill="auto"/>
            <w:noWrap/>
            <w:vAlign w:val="bottom"/>
            <w:hideMark/>
          </w:tcPr>
          <w:p w14:paraId="4226CDF9"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£19.96</w:t>
            </w:r>
          </w:p>
        </w:tc>
        <w:tc>
          <w:tcPr>
            <w:tcW w:w="1435" w:type="dxa"/>
            <w:tcBorders>
              <w:top w:val="single" w:sz="8" w:space="0" w:color="7F7F7F"/>
              <w:left w:val="nil"/>
              <w:bottom w:val="single" w:sz="8" w:space="0" w:color="808080"/>
              <w:right w:val="single" w:sz="8" w:space="0" w:color="808080"/>
            </w:tcBorders>
            <w:shd w:val="clear" w:color="auto" w:fill="auto"/>
            <w:noWrap/>
            <w:vAlign w:val="bottom"/>
            <w:hideMark/>
          </w:tcPr>
          <w:p w14:paraId="65B896EE"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£24.79</w:t>
            </w:r>
          </w:p>
        </w:tc>
      </w:tr>
      <w:tr w:rsidR="002024CC" w:rsidRPr="00C82364" w14:paraId="31A4E12F" w14:textId="77777777" w:rsidTr="00037AC1">
        <w:trPr>
          <w:trHeight w:val="300"/>
          <w:jc w:val="center"/>
        </w:trPr>
        <w:tc>
          <w:tcPr>
            <w:tcW w:w="4265" w:type="dxa"/>
            <w:tcBorders>
              <w:top w:val="single" w:sz="8" w:space="0" w:color="808080"/>
              <w:left w:val="single" w:sz="8" w:space="0" w:color="808080"/>
              <w:bottom w:val="nil"/>
              <w:right w:val="single" w:sz="8" w:space="0" w:color="808080"/>
            </w:tcBorders>
            <w:shd w:val="clear" w:color="auto" w:fill="auto"/>
            <w:noWrap/>
            <w:vAlign w:val="bottom"/>
            <w:hideMark/>
          </w:tcPr>
          <w:p w14:paraId="42AD9F96"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General Familiarisation</w:t>
            </w:r>
          </w:p>
        </w:tc>
        <w:tc>
          <w:tcPr>
            <w:tcW w:w="1435" w:type="dxa"/>
            <w:tcBorders>
              <w:top w:val="nil"/>
              <w:left w:val="nil"/>
              <w:bottom w:val="nil"/>
              <w:right w:val="nil"/>
            </w:tcBorders>
            <w:shd w:val="clear" w:color="auto" w:fill="auto"/>
            <w:noWrap/>
            <w:vAlign w:val="bottom"/>
            <w:hideMark/>
          </w:tcPr>
          <w:p w14:paraId="19D01AA1"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£19,000</w:t>
            </w:r>
          </w:p>
        </w:tc>
        <w:tc>
          <w:tcPr>
            <w:tcW w:w="1418" w:type="dxa"/>
            <w:tcBorders>
              <w:top w:val="nil"/>
              <w:left w:val="nil"/>
              <w:bottom w:val="nil"/>
              <w:right w:val="nil"/>
            </w:tcBorders>
            <w:shd w:val="clear" w:color="auto" w:fill="auto"/>
            <w:noWrap/>
            <w:vAlign w:val="bottom"/>
            <w:hideMark/>
          </w:tcPr>
          <w:p w14:paraId="5F9A63DC"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£42,000</w:t>
            </w:r>
          </w:p>
        </w:tc>
        <w:tc>
          <w:tcPr>
            <w:tcW w:w="1435" w:type="dxa"/>
            <w:tcBorders>
              <w:top w:val="single" w:sz="8" w:space="0" w:color="808080"/>
              <w:left w:val="nil"/>
              <w:bottom w:val="nil"/>
              <w:right w:val="single" w:sz="8" w:space="0" w:color="808080"/>
            </w:tcBorders>
            <w:shd w:val="clear" w:color="auto" w:fill="auto"/>
            <w:noWrap/>
            <w:vAlign w:val="bottom"/>
            <w:hideMark/>
          </w:tcPr>
          <w:p w14:paraId="40F5D2CD"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£105,000</w:t>
            </w:r>
          </w:p>
        </w:tc>
      </w:tr>
      <w:tr w:rsidR="002024CC" w:rsidRPr="00C82364" w14:paraId="552087DB"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1D5F9255"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Life-saving appliances – Liferafts</w:t>
            </w:r>
          </w:p>
        </w:tc>
        <w:tc>
          <w:tcPr>
            <w:tcW w:w="1435" w:type="dxa"/>
            <w:tcBorders>
              <w:top w:val="nil"/>
              <w:left w:val="nil"/>
              <w:bottom w:val="nil"/>
              <w:right w:val="nil"/>
            </w:tcBorders>
            <w:shd w:val="clear" w:color="auto" w:fill="auto"/>
            <w:noWrap/>
            <w:vAlign w:val="bottom"/>
            <w:hideMark/>
          </w:tcPr>
          <w:p w14:paraId="767D7A94"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£9,000</w:t>
            </w:r>
          </w:p>
        </w:tc>
        <w:tc>
          <w:tcPr>
            <w:tcW w:w="1418" w:type="dxa"/>
            <w:tcBorders>
              <w:top w:val="nil"/>
              <w:left w:val="nil"/>
              <w:bottom w:val="nil"/>
              <w:right w:val="nil"/>
            </w:tcBorders>
            <w:shd w:val="clear" w:color="auto" w:fill="auto"/>
            <w:noWrap/>
            <w:vAlign w:val="bottom"/>
            <w:hideMark/>
          </w:tcPr>
          <w:p w14:paraId="46D46658"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£17,000</w:t>
            </w:r>
          </w:p>
        </w:tc>
        <w:tc>
          <w:tcPr>
            <w:tcW w:w="1435" w:type="dxa"/>
            <w:tcBorders>
              <w:top w:val="nil"/>
              <w:left w:val="nil"/>
              <w:bottom w:val="nil"/>
              <w:right w:val="single" w:sz="8" w:space="0" w:color="808080"/>
            </w:tcBorders>
            <w:shd w:val="clear" w:color="auto" w:fill="auto"/>
            <w:noWrap/>
            <w:vAlign w:val="bottom"/>
            <w:hideMark/>
          </w:tcPr>
          <w:p w14:paraId="5D670B12"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£35,000</w:t>
            </w:r>
          </w:p>
        </w:tc>
      </w:tr>
      <w:tr w:rsidR="002024CC" w:rsidRPr="00C82364" w14:paraId="24FFF134"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5C08BFFD"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Life-saving appliances - Lifejackets</w:t>
            </w:r>
          </w:p>
        </w:tc>
        <w:tc>
          <w:tcPr>
            <w:tcW w:w="1435" w:type="dxa"/>
            <w:tcBorders>
              <w:top w:val="nil"/>
              <w:left w:val="nil"/>
              <w:bottom w:val="nil"/>
              <w:right w:val="nil"/>
            </w:tcBorders>
            <w:shd w:val="clear" w:color="auto" w:fill="auto"/>
            <w:noWrap/>
            <w:vAlign w:val="bottom"/>
            <w:hideMark/>
          </w:tcPr>
          <w:p w14:paraId="56BA282C"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£3,000</w:t>
            </w:r>
          </w:p>
        </w:tc>
        <w:tc>
          <w:tcPr>
            <w:tcW w:w="1418" w:type="dxa"/>
            <w:tcBorders>
              <w:top w:val="nil"/>
              <w:left w:val="nil"/>
              <w:bottom w:val="nil"/>
              <w:right w:val="nil"/>
            </w:tcBorders>
            <w:shd w:val="clear" w:color="auto" w:fill="auto"/>
            <w:noWrap/>
            <w:vAlign w:val="bottom"/>
            <w:hideMark/>
          </w:tcPr>
          <w:p w14:paraId="3EA402F7"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£9,000</w:t>
            </w:r>
          </w:p>
        </w:tc>
        <w:tc>
          <w:tcPr>
            <w:tcW w:w="1435" w:type="dxa"/>
            <w:tcBorders>
              <w:top w:val="nil"/>
              <w:left w:val="nil"/>
              <w:bottom w:val="nil"/>
              <w:right w:val="single" w:sz="8" w:space="0" w:color="808080"/>
            </w:tcBorders>
            <w:shd w:val="clear" w:color="auto" w:fill="auto"/>
            <w:noWrap/>
            <w:vAlign w:val="bottom"/>
            <w:hideMark/>
          </w:tcPr>
          <w:p w14:paraId="3512958C"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£15,000</w:t>
            </w:r>
          </w:p>
        </w:tc>
      </w:tr>
      <w:tr w:rsidR="002024CC" w:rsidRPr="00C82364" w14:paraId="11743156"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09D52D76"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Life-saving appliances – Lifejacket Lights</w:t>
            </w:r>
          </w:p>
        </w:tc>
        <w:tc>
          <w:tcPr>
            <w:tcW w:w="1435" w:type="dxa"/>
            <w:tcBorders>
              <w:top w:val="nil"/>
              <w:left w:val="nil"/>
              <w:bottom w:val="nil"/>
              <w:right w:val="nil"/>
            </w:tcBorders>
            <w:shd w:val="clear" w:color="auto" w:fill="auto"/>
            <w:noWrap/>
            <w:vAlign w:val="bottom"/>
            <w:hideMark/>
          </w:tcPr>
          <w:p w14:paraId="523DCBFA"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£3,000</w:t>
            </w:r>
          </w:p>
        </w:tc>
        <w:tc>
          <w:tcPr>
            <w:tcW w:w="1418" w:type="dxa"/>
            <w:tcBorders>
              <w:top w:val="nil"/>
              <w:left w:val="nil"/>
              <w:bottom w:val="nil"/>
              <w:right w:val="nil"/>
            </w:tcBorders>
            <w:shd w:val="clear" w:color="auto" w:fill="auto"/>
            <w:noWrap/>
            <w:vAlign w:val="bottom"/>
            <w:hideMark/>
          </w:tcPr>
          <w:p w14:paraId="27C713EF"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£5,000</w:t>
            </w:r>
          </w:p>
        </w:tc>
        <w:tc>
          <w:tcPr>
            <w:tcW w:w="1435" w:type="dxa"/>
            <w:tcBorders>
              <w:top w:val="nil"/>
              <w:left w:val="nil"/>
              <w:bottom w:val="nil"/>
              <w:right w:val="single" w:sz="8" w:space="0" w:color="808080"/>
            </w:tcBorders>
            <w:shd w:val="clear" w:color="auto" w:fill="auto"/>
            <w:noWrap/>
            <w:vAlign w:val="bottom"/>
            <w:hideMark/>
          </w:tcPr>
          <w:p w14:paraId="1B5470B3"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£13,000</w:t>
            </w:r>
          </w:p>
        </w:tc>
      </w:tr>
      <w:tr w:rsidR="002024CC" w:rsidRPr="00C82364" w14:paraId="27171DE3"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31956D76"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Fire protection – Fire Detection</w:t>
            </w:r>
          </w:p>
        </w:tc>
        <w:tc>
          <w:tcPr>
            <w:tcW w:w="1435" w:type="dxa"/>
            <w:tcBorders>
              <w:top w:val="nil"/>
              <w:left w:val="nil"/>
              <w:bottom w:val="nil"/>
              <w:right w:val="nil"/>
            </w:tcBorders>
            <w:shd w:val="clear" w:color="auto" w:fill="auto"/>
            <w:noWrap/>
            <w:vAlign w:val="bottom"/>
            <w:hideMark/>
          </w:tcPr>
          <w:p w14:paraId="4C950AB4"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£29,000</w:t>
            </w:r>
          </w:p>
        </w:tc>
        <w:tc>
          <w:tcPr>
            <w:tcW w:w="1418" w:type="dxa"/>
            <w:tcBorders>
              <w:top w:val="nil"/>
              <w:left w:val="nil"/>
              <w:bottom w:val="nil"/>
              <w:right w:val="nil"/>
            </w:tcBorders>
            <w:shd w:val="clear" w:color="auto" w:fill="auto"/>
            <w:noWrap/>
            <w:vAlign w:val="bottom"/>
            <w:hideMark/>
          </w:tcPr>
          <w:p w14:paraId="0CC87622"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£60,000</w:t>
            </w:r>
          </w:p>
        </w:tc>
        <w:tc>
          <w:tcPr>
            <w:tcW w:w="1435" w:type="dxa"/>
            <w:tcBorders>
              <w:top w:val="nil"/>
              <w:left w:val="nil"/>
              <w:bottom w:val="nil"/>
              <w:right w:val="single" w:sz="8" w:space="0" w:color="808080"/>
            </w:tcBorders>
            <w:shd w:val="clear" w:color="auto" w:fill="auto"/>
            <w:noWrap/>
            <w:vAlign w:val="bottom"/>
            <w:hideMark/>
          </w:tcPr>
          <w:p w14:paraId="0168A88F"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£120,000</w:t>
            </w:r>
          </w:p>
        </w:tc>
      </w:tr>
      <w:tr w:rsidR="002024CC" w:rsidRPr="00C82364" w14:paraId="49306778"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3CE26030"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Fire protection – Fixed Fire Fighting</w:t>
            </w:r>
          </w:p>
        </w:tc>
        <w:tc>
          <w:tcPr>
            <w:tcW w:w="1435" w:type="dxa"/>
            <w:tcBorders>
              <w:top w:val="nil"/>
              <w:left w:val="nil"/>
              <w:bottom w:val="nil"/>
              <w:right w:val="nil"/>
            </w:tcBorders>
            <w:shd w:val="clear" w:color="auto" w:fill="auto"/>
            <w:noWrap/>
            <w:vAlign w:val="bottom"/>
            <w:hideMark/>
          </w:tcPr>
          <w:p w14:paraId="5390E4CB"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£13,000</w:t>
            </w:r>
          </w:p>
        </w:tc>
        <w:tc>
          <w:tcPr>
            <w:tcW w:w="1418" w:type="dxa"/>
            <w:tcBorders>
              <w:top w:val="nil"/>
              <w:left w:val="nil"/>
              <w:bottom w:val="nil"/>
              <w:right w:val="nil"/>
            </w:tcBorders>
            <w:shd w:val="clear" w:color="auto" w:fill="auto"/>
            <w:noWrap/>
            <w:vAlign w:val="bottom"/>
            <w:hideMark/>
          </w:tcPr>
          <w:p w14:paraId="78A62FB0"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£29,000</w:t>
            </w:r>
          </w:p>
        </w:tc>
        <w:tc>
          <w:tcPr>
            <w:tcW w:w="1435" w:type="dxa"/>
            <w:tcBorders>
              <w:top w:val="nil"/>
              <w:left w:val="nil"/>
              <w:bottom w:val="nil"/>
              <w:right w:val="single" w:sz="8" w:space="0" w:color="808080"/>
            </w:tcBorders>
            <w:shd w:val="clear" w:color="auto" w:fill="auto"/>
            <w:noWrap/>
            <w:vAlign w:val="bottom"/>
            <w:hideMark/>
          </w:tcPr>
          <w:p w14:paraId="1A805B04"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£73,000</w:t>
            </w:r>
          </w:p>
        </w:tc>
      </w:tr>
      <w:tr w:rsidR="002024CC" w:rsidRPr="00C82364" w14:paraId="19EC1803"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60FE3737"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Fire protection – Hand pumps</w:t>
            </w:r>
          </w:p>
        </w:tc>
        <w:tc>
          <w:tcPr>
            <w:tcW w:w="1435" w:type="dxa"/>
            <w:tcBorders>
              <w:top w:val="nil"/>
              <w:left w:val="nil"/>
              <w:bottom w:val="nil"/>
              <w:right w:val="nil"/>
            </w:tcBorders>
            <w:shd w:val="clear" w:color="auto" w:fill="auto"/>
            <w:noWrap/>
            <w:vAlign w:val="bottom"/>
            <w:hideMark/>
          </w:tcPr>
          <w:p w14:paraId="139923E8"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£17,000</w:t>
            </w:r>
          </w:p>
        </w:tc>
        <w:tc>
          <w:tcPr>
            <w:tcW w:w="1418" w:type="dxa"/>
            <w:tcBorders>
              <w:top w:val="nil"/>
              <w:left w:val="nil"/>
              <w:bottom w:val="nil"/>
              <w:right w:val="nil"/>
            </w:tcBorders>
            <w:shd w:val="clear" w:color="auto" w:fill="auto"/>
            <w:noWrap/>
            <w:vAlign w:val="bottom"/>
            <w:hideMark/>
          </w:tcPr>
          <w:p w14:paraId="75033679"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£43,000</w:t>
            </w:r>
          </w:p>
        </w:tc>
        <w:tc>
          <w:tcPr>
            <w:tcW w:w="1435" w:type="dxa"/>
            <w:tcBorders>
              <w:top w:val="nil"/>
              <w:left w:val="nil"/>
              <w:bottom w:val="nil"/>
              <w:right w:val="single" w:sz="8" w:space="0" w:color="808080"/>
            </w:tcBorders>
            <w:shd w:val="clear" w:color="auto" w:fill="auto"/>
            <w:noWrap/>
            <w:vAlign w:val="bottom"/>
            <w:hideMark/>
          </w:tcPr>
          <w:p w14:paraId="174DACD5"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£79,000</w:t>
            </w:r>
          </w:p>
        </w:tc>
      </w:tr>
      <w:tr w:rsidR="002024CC" w:rsidRPr="00C82364" w14:paraId="5D5B770C"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1161DA26"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Bilge Pumping Arrangements</w:t>
            </w:r>
          </w:p>
        </w:tc>
        <w:tc>
          <w:tcPr>
            <w:tcW w:w="1435" w:type="dxa"/>
            <w:tcBorders>
              <w:top w:val="nil"/>
              <w:left w:val="nil"/>
              <w:bottom w:val="nil"/>
              <w:right w:val="nil"/>
            </w:tcBorders>
            <w:shd w:val="clear" w:color="auto" w:fill="auto"/>
            <w:noWrap/>
            <w:vAlign w:val="bottom"/>
            <w:hideMark/>
          </w:tcPr>
          <w:p w14:paraId="71FA99FA"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£25,000</w:t>
            </w:r>
          </w:p>
        </w:tc>
        <w:tc>
          <w:tcPr>
            <w:tcW w:w="1418" w:type="dxa"/>
            <w:tcBorders>
              <w:top w:val="nil"/>
              <w:left w:val="nil"/>
              <w:bottom w:val="nil"/>
              <w:right w:val="nil"/>
            </w:tcBorders>
            <w:shd w:val="clear" w:color="auto" w:fill="auto"/>
            <w:noWrap/>
            <w:vAlign w:val="bottom"/>
            <w:hideMark/>
          </w:tcPr>
          <w:p w14:paraId="35F1F22C"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£65,000</w:t>
            </w:r>
          </w:p>
        </w:tc>
        <w:tc>
          <w:tcPr>
            <w:tcW w:w="1435" w:type="dxa"/>
            <w:tcBorders>
              <w:top w:val="nil"/>
              <w:left w:val="nil"/>
              <w:bottom w:val="nil"/>
              <w:right w:val="single" w:sz="8" w:space="0" w:color="808080"/>
            </w:tcBorders>
            <w:shd w:val="clear" w:color="auto" w:fill="auto"/>
            <w:noWrap/>
            <w:vAlign w:val="bottom"/>
            <w:hideMark/>
          </w:tcPr>
          <w:p w14:paraId="1DE4609F"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£120,000</w:t>
            </w:r>
          </w:p>
        </w:tc>
      </w:tr>
      <w:tr w:rsidR="002024CC" w:rsidRPr="00C82364" w14:paraId="3F8A79BD" w14:textId="77777777" w:rsidTr="000F3D1A">
        <w:trPr>
          <w:trHeight w:val="300"/>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18F2E58C"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Bilge Alarm Arrangements</w:t>
            </w:r>
          </w:p>
        </w:tc>
        <w:tc>
          <w:tcPr>
            <w:tcW w:w="1435" w:type="dxa"/>
            <w:tcBorders>
              <w:top w:val="nil"/>
              <w:left w:val="nil"/>
              <w:bottom w:val="nil"/>
              <w:right w:val="nil"/>
            </w:tcBorders>
            <w:shd w:val="clear" w:color="auto" w:fill="auto"/>
            <w:noWrap/>
            <w:vAlign w:val="bottom"/>
            <w:hideMark/>
          </w:tcPr>
          <w:p w14:paraId="395CEBB3"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£19,000</w:t>
            </w:r>
          </w:p>
        </w:tc>
        <w:tc>
          <w:tcPr>
            <w:tcW w:w="1418" w:type="dxa"/>
            <w:tcBorders>
              <w:top w:val="nil"/>
              <w:left w:val="nil"/>
              <w:bottom w:val="nil"/>
              <w:right w:val="nil"/>
            </w:tcBorders>
            <w:shd w:val="clear" w:color="auto" w:fill="auto"/>
            <w:noWrap/>
            <w:vAlign w:val="bottom"/>
            <w:hideMark/>
          </w:tcPr>
          <w:p w14:paraId="3CCB0293"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£48,000</w:t>
            </w:r>
          </w:p>
        </w:tc>
        <w:tc>
          <w:tcPr>
            <w:tcW w:w="1435" w:type="dxa"/>
            <w:tcBorders>
              <w:top w:val="nil"/>
              <w:left w:val="nil"/>
              <w:bottom w:val="nil"/>
              <w:right w:val="single" w:sz="8" w:space="0" w:color="808080"/>
            </w:tcBorders>
            <w:shd w:val="clear" w:color="auto" w:fill="auto"/>
            <w:noWrap/>
            <w:vAlign w:val="bottom"/>
            <w:hideMark/>
          </w:tcPr>
          <w:p w14:paraId="532EA55B"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£90,000</w:t>
            </w:r>
          </w:p>
        </w:tc>
      </w:tr>
      <w:tr w:rsidR="002024CC" w:rsidRPr="00C82364" w14:paraId="20AFA5E5" w14:textId="77777777" w:rsidTr="000F3D1A">
        <w:trPr>
          <w:trHeight w:val="315"/>
          <w:jc w:val="center"/>
        </w:trPr>
        <w:tc>
          <w:tcPr>
            <w:tcW w:w="4265" w:type="dxa"/>
            <w:tcBorders>
              <w:top w:val="nil"/>
              <w:left w:val="single" w:sz="8" w:space="0" w:color="808080"/>
              <w:bottom w:val="nil"/>
              <w:right w:val="single" w:sz="8" w:space="0" w:color="808080"/>
            </w:tcBorders>
            <w:shd w:val="clear" w:color="auto" w:fill="auto"/>
            <w:noWrap/>
            <w:vAlign w:val="bottom"/>
            <w:hideMark/>
          </w:tcPr>
          <w:p w14:paraId="3E6D0DCB"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Damage Survivability</w:t>
            </w:r>
          </w:p>
        </w:tc>
        <w:tc>
          <w:tcPr>
            <w:tcW w:w="1435" w:type="dxa"/>
            <w:tcBorders>
              <w:top w:val="nil"/>
              <w:left w:val="nil"/>
              <w:bottom w:val="nil"/>
              <w:right w:val="nil"/>
            </w:tcBorders>
            <w:shd w:val="clear" w:color="auto" w:fill="auto"/>
            <w:noWrap/>
            <w:vAlign w:val="bottom"/>
            <w:hideMark/>
          </w:tcPr>
          <w:p w14:paraId="78B6FF2E"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lang w:eastAsia="en-GB"/>
              </w:rPr>
              <w:t xml:space="preserve">See </w:t>
            </w:r>
            <w:r>
              <w:rPr>
                <w:rFonts w:ascii="Calibri" w:hAnsi="Calibri"/>
                <w:color w:val="000000"/>
                <w:sz w:val="22"/>
                <w:szCs w:val="22"/>
                <w:lang w:eastAsia="en-GB"/>
              </w:rPr>
              <w:fldChar w:fldCharType="begin"/>
            </w:r>
            <w:r>
              <w:rPr>
                <w:rFonts w:ascii="Calibri" w:hAnsi="Calibri"/>
                <w:color w:val="000000"/>
                <w:sz w:val="22"/>
                <w:szCs w:val="22"/>
                <w:lang w:eastAsia="en-GB"/>
              </w:rPr>
              <w:instrText xml:space="preserve"> REF _Ref513657695 \r \h </w:instrText>
            </w:r>
            <w:r>
              <w:rPr>
                <w:rFonts w:ascii="Calibri" w:hAnsi="Calibri"/>
                <w:color w:val="000000"/>
                <w:sz w:val="22"/>
                <w:szCs w:val="22"/>
                <w:lang w:eastAsia="en-GB"/>
              </w:rPr>
            </w:r>
            <w:r>
              <w:rPr>
                <w:rFonts w:ascii="Calibri" w:hAnsi="Calibri"/>
                <w:color w:val="000000"/>
                <w:sz w:val="22"/>
                <w:szCs w:val="22"/>
                <w:lang w:eastAsia="en-GB"/>
              </w:rPr>
              <w:fldChar w:fldCharType="separate"/>
            </w:r>
            <w:r w:rsidR="00742166">
              <w:rPr>
                <w:rFonts w:ascii="Calibri" w:hAnsi="Calibri"/>
                <w:color w:val="000000"/>
                <w:sz w:val="22"/>
                <w:szCs w:val="22"/>
                <w:lang w:eastAsia="en-GB"/>
              </w:rPr>
              <w:t>10.2.10</w:t>
            </w:r>
            <w:r>
              <w:rPr>
                <w:rFonts w:ascii="Calibri" w:hAnsi="Calibri"/>
                <w:color w:val="000000"/>
                <w:sz w:val="22"/>
                <w:szCs w:val="22"/>
                <w:lang w:eastAsia="en-GB"/>
              </w:rPr>
              <w:fldChar w:fldCharType="end"/>
            </w:r>
          </w:p>
        </w:tc>
        <w:tc>
          <w:tcPr>
            <w:tcW w:w="1418" w:type="dxa"/>
            <w:tcBorders>
              <w:top w:val="nil"/>
              <w:left w:val="nil"/>
              <w:bottom w:val="nil"/>
              <w:right w:val="nil"/>
            </w:tcBorders>
            <w:shd w:val="clear" w:color="auto" w:fill="auto"/>
            <w:noWrap/>
            <w:vAlign w:val="bottom"/>
            <w:hideMark/>
          </w:tcPr>
          <w:p w14:paraId="1F689122"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lang w:eastAsia="en-GB"/>
              </w:rPr>
              <w:t xml:space="preserve">See </w:t>
            </w:r>
            <w:r>
              <w:rPr>
                <w:rFonts w:ascii="Calibri" w:hAnsi="Calibri"/>
                <w:color w:val="000000"/>
                <w:sz w:val="22"/>
                <w:szCs w:val="22"/>
                <w:lang w:eastAsia="en-GB"/>
              </w:rPr>
              <w:fldChar w:fldCharType="begin"/>
            </w:r>
            <w:r>
              <w:rPr>
                <w:rFonts w:ascii="Calibri" w:hAnsi="Calibri"/>
                <w:color w:val="000000"/>
                <w:sz w:val="22"/>
                <w:szCs w:val="22"/>
                <w:lang w:eastAsia="en-GB"/>
              </w:rPr>
              <w:instrText xml:space="preserve"> REF _Ref513657695 \r \h </w:instrText>
            </w:r>
            <w:r>
              <w:rPr>
                <w:rFonts w:ascii="Calibri" w:hAnsi="Calibri"/>
                <w:color w:val="000000"/>
                <w:sz w:val="22"/>
                <w:szCs w:val="22"/>
                <w:lang w:eastAsia="en-GB"/>
              </w:rPr>
            </w:r>
            <w:r>
              <w:rPr>
                <w:rFonts w:ascii="Calibri" w:hAnsi="Calibri"/>
                <w:color w:val="000000"/>
                <w:sz w:val="22"/>
                <w:szCs w:val="22"/>
                <w:lang w:eastAsia="en-GB"/>
              </w:rPr>
              <w:fldChar w:fldCharType="separate"/>
            </w:r>
            <w:r w:rsidR="00742166">
              <w:rPr>
                <w:rFonts w:ascii="Calibri" w:hAnsi="Calibri"/>
                <w:color w:val="000000"/>
                <w:sz w:val="22"/>
                <w:szCs w:val="22"/>
                <w:lang w:eastAsia="en-GB"/>
              </w:rPr>
              <w:t>10.2.10</w:t>
            </w:r>
            <w:r>
              <w:rPr>
                <w:rFonts w:ascii="Calibri" w:hAnsi="Calibri"/>
                <w:color w:val="000000"/>
                <w:sz w:val="22"/>
                <w:szCs w:val="22"/>
                <w:lang w:eastAsia="en-GB"/>
              </w:rPr>
              <w:fldChar w:fldCharType="end"/>
            </w:r>
          </w:p>
        </w:tc>
        <w:tc>
          <w:tcPr>
            <w:tcW w:w="1435" w:type="dxa"/>
            <w:tcBorders>
              <w:top w:val="nil"/>
              <w:left w:val="nil"/>
              <w:bottom w:val="nil"/>
              <w:right w:val="single" w:sz="8" w:space="0" w:color="808080"/>
            </w:tcBorders>
            <w:shd w:val="clear" w:color="auto" w:fill="auto"/>
            <w:noWrap/>
            <w:vAlign w:val="bottom"/>
            <w:hideMark/>
          </w:tcPr>
          <w:p w14:paraId="09947DED"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lang w:eastAsia="en-GB"/>
              </w:rPr>
              <w:t xml:space="preserve">See </w:t>
            </w:r>
            <w:r>
              <w:rPr>
                <w:rFonts w:ascii="Calibri" w:hAnsi="Calibri"/>
                <w:color w:val="000000"/>
                <w:sz w:val="22"/>
                <w:szCs w:val="22"/>
                <w:lang w:eastAsia="en-GB"/>
              </w:rPr>
              <w:fldChar w:fldCharType="begin"/>
            </w:r>
            <w:r>
              <w:rPr>
                <w:rFonts w:ascii="Calibri" w:hAnsi="Calibri"/>
                <w:color w:val="000000"/>
                <w:sz w:val="22"/>
                <w:szCs w:val="22"/>
                <w:lang w:eastAsia="en-GB"/>
              </w:rPr>
              <w:instrText xml:space="preserve"> REF _Ref513657695 \r \h </w:instrText>
            </w:r>
            <w:r>
              <w:rPr>
                <w:rFonts w:ascii="Calibri" w:hAnsi="Calibri"/>
                <w:color w:val="000000"/>
                <w:sz w:val="22"/>
                <w:szCs w:val="22"/>
                <w:lang w:eastAsia="en-GB"/>
              </w:rPr>
            </w:r>
            <w:r>
              <w:rPr>
                <w:rFonts w:ascii="Calibri" w:hAnsi="Calibri"/>
                <w:color w:val="000000"/>
                <w:sz w:val="22"/>
                <w:szCs w:val="22"/>
                <w:lang w:eastAsia="en-GB"/>
              </w:rPr>
              <w:fldChar w:fldCharType="separate"/>
            </w:r>
            <w:r w:rsidR="00742166">
              <w:rPr>
                <w:rFonts w:ascii="Calibri" w:hAnsi="Calibri"/>
                <w:color w:val="000000"/>
                <w:sz w:val="22"/>
                <w:szCs w:val="22"/>
                <w:lang w:eastAsia="en-GB"/>
              </w:rPr>
              <w:t>10.2.10</w:t>
            </w:r>
            <w:r>
              <w:rPr>
                <w:rFonts w:ascii="Calibri" w:hAnsi="Calibri"/>
                <w:color w:val="000000"/>
                <w:sz w:val="22"/>
                <w:szCs w:val="22"/>
                <w:lang w:eastAsia="en-GB"/>
              </w:rPr>
              <w:fldChar w:fldCharType="end"/>
            </w:r>
          </w:p>
        </w:tc>
      </w:tr>
      <w:tr w:rsidR="002024CC" w:rsidRPr="00C82364" w14:paraId="2528FF53" w14:textId="77777777" w:rsidTr="00037AC1">
        <w:trPr>
          <w:trHeight w:val="315"/>
          <w:jc w:val="center"/>
        </w:trPr>
        <w:tc>
          <w:tcPr>
            <w:tcW w:w="4265"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0D7C0FE5" w14:textId="77777777" w:rsidR="002024CC" w:rsidRPr="00C82364" w:rsidRDefault="002024CC" w:rsidP="002024CC">
            <w:pPr>
              <w:rPr>
                <w:rFonts w:ascii="Calibri" w:hAnsi="Calibri"/>
                <w:color w:val="000000"/>
                <w:sz w:val="22"/>
                <w:szCs w:val="22"/>
                <w:lang w:eastAsia="en-GB"/>
              </w:rPr>
            </w:pPr>
            <w:r w:rsidRPr="00C82364">
              <w:rPr>
                <w:rFonts w:ascii="Calibri" w:hAnsi="Calibri"/>
                <w:color w:val="000000"/>
                <w:sz w:val="22"/>
                <w:szCs w:val="22"/>
                <w:lang w:eastAsia="en-GB"/>
              </w:rPr>
              <w:t>Total (exc Damage Survivability)</w:t>
            </w:r>
          </w:p>
        </w:tc>
        <w:tc>
          <w:tcPr>
            <w:tcW w:w="1435" w:type="dxa"/>
            <w:tcBorders>
              <w:top w:val="single" w:sz="8" w:space="0" w:color="808080"/>
              <w:left w:val="single" w:sz="8" w:space="0" w:color="808080"/>
              <w:bottom w:val="single" w:sz="8" w:space="0" w:color="808080"/>
              <w:right w:val="nil"/>
            </w:tcBorders>
            <w:shd w:val="clear" w:color="auto" w:fill="auto"/>
            <w:noWrap/>
            <w:vAlign w:val="bottom"/>
            <w:hideMark/>
          </w:tcPr>
          <w:p w14:paraId="6B7A8587"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£137,000</w:t>
            </w:r>
          </w:p>
        </w:tc>
        <w:tc>
          <w:tcPr>
            <w:tcW w:w="1418" w:type="dxa"/>
            <w:tcBorders>
              <w:top w:val="single" w:sz="8" w:space="0" w:color="808080"/>
              <w:left w:val="nil"/>
              <w:bottom w:val="single" w:sz="8" w:space="0" w:color="808080"/>
              <w:right w:val="nil"/>
            </w:tcBorders>
            <w:shd w:val="clear" w:color="auto" w:fill="auto"/>
            <w:noWrap/>
            <w:vAlign w:val="bottom"/>
            <w:hideMark/>
          </w:tcPr>
          <w:p w14:paraId="566174DE"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£319,000</w:t>
            </w:r>
          </w:p>
        </w:tc>
        <w:tc>
          <w:tcPr>
            <w:tcW w:w="1435" w:type="dxa"/>
            <w:tcBorders>
              <w:top w:val="single" w:sz="8" w:space="0" w:color="808080"/>
              <w:left w:val="nil"/>
              <w:bottom w:val="single" w:sz="8" w:space="0" w:color="808080"/>
              <w:right w:val="single" w:sz="8" w:space="0" w:color="808080"/>
            </w:tcBorders>
            <w:shd w:val="clear" w:color="auto" w:fill="auto"/>
            <w:noWrap/>
            <w:vAlign w:val="bottom"/>
            <w:hideMark/>
          </w:tcPr>
          <w:p w14:paraId="73CD46FB" w14:textId="77777777" w:rsidR="002024CC" w:rsidRPr="00C82364" w:rsidRDefault="002024CC" w:rsidP="002024CC">
            <w:pPr>
              <w:rPr>
                <w:rFonts w:ascii="Calibri" w:hAnsi="Calibri"/>
                <w:color w:val="000000"/>
                <w:sz w:val="22"/>
                <w:szCs w:val="22"/>
                <w:lang w:eastAsia="en-GB"/>
              </w:rPr>
            </w:pPr>
            <w:r>
              <w:rPr>
                <w:rFonts w:ascii="Calibri" w:hAnsi="Calibri"/>
                <w:color w:val="000000"/>
                <w:sz w:val="22"/>
                <w:szCs w:val="22"/>
              </w:rPr>
              <w:t>£651,000</w:t>
            </w:r>
          </w:p>
        </w:tc>
      </w:tr>
    </w:tbl>
    <w:p w14:paraId="30D7DB9C" w14:textId="77777777" w:rsidR="00C82364" w:rsidRDefault="00C82364" w:rsidP="003C4C5D">
      <w:pPr>
        <w:rPr>
          <w:sz w:val="22"/>
          <w:szCs w:val="22"/>
          <w:lang w:eastAsia="en-GB"/>
        </w:rPr>
      </w:pPr>
    </w:p>
    <w:p w14:paraId="1F571032" w14:textId="77777777" w:rsidR="005B0446" w:rsidRDefault="005B0446" w:rsidP="003C4C5D">
      <w:pPr>
        <w:rPr>
          <w:sz w:val="22"/>
          <w:szCs w:val="22"/>
          <w:lang w:eastAsia="en-GB"/>
        </w:rPr>
      </w:pPr>
    </w:p>
    <w:p w14:paraId="6410BBF2" w14:textId="77777777" w:rsidR="000D4F27" w:rsidRDefault="00572F5B" w:rsidP="003C4C5D">
      <w:pPr>
        <w:rPr>
          <w:sz w:val="22"/>
          <w:szCs w:val="22"/>
        </w:rPr>
      </w:pPr>
      <w:r>
        <w:rPr>
          <w:sz w:val="22"/>
          <w:szCs w:val="22"/>
          <w:lang w:eastAsia="en-GB"/>
        </w:rPr>
        <w:t>To estimate, for example,</w:t>
      </w:r>
      <w:r w:rsidR="000F3D1A">
        <w:rPr>
          <w:sz w:val="22"/>
          <w:szCs w:val="22"/>
          <w:lang w:eastAsia="en-GB"/>
        </w:rPr>
        <w:t xml:space="preserve"> the familiarisation cost</w:t>
      </w:r>
      <w:r>
        <w:rPr>
          <w:sz w:val="22"/>
          <w:szCs w:val="22"/>
          <w:lang w:eastAsia="en-GB"/>
        </w:rPr>
        <w:t xml:space="preserve"> of bilge pumping arrangements in the low scenario, the calculations is as follows: 3 hours to familiarise multiplied by the 539 vessels affected multiplied by the </w:t>
      </w:r>
      <w:r w:rsidR="00796416">
        <w:rPr>
          <w:sz w:val="22"/>
          <w:szCs w:val="22"/>
          <w:lang w:eastAsia="en-GB"/>
        </w:rPr>
        <w:t>hourly wage, £15.72 (3*539*15.72</w:t>
      </w:r>
      <w:r>
        <w:rPr>
          <w:sz w:val="22"/>
          <w:szCs w:val="22"/>
          <w:lang w:eastAsia="en-GB"/>
        </w:rPr>
        <w:t xml:space="preserve"> = </w:t>
      </w:r>
      <w:r w:rsidR="002E6E08">
        <w:rPr>
          <w:sz w:val="22"/>
          <w:szCs w:val="22"/>
          <w:lang w:eastAsia="en-GB"/>
        </w:rPr>
        <w:t>£25,424.65</w:t>
      </w:r>
      <w:r>
        <w:rPr>
          <w:sz w:val="22"/>
          <w:szCs w:val="22"/>
          <w:lang w:eastAsia="en-GB"/>
        </w:rPr>
        <w:t xml:space="preserve">). </w:t>
      </w:r>
      <w:r w:rsidR="000E564B" w:rsidRPr="00572F5B">
        <w:rPr>
          <w:sz w:val="22"/>
          <w:szCs w:val="22"/>
        </w:rPr>
        <w:t>Gross Earnings data has been sourced from 2017 Annual Survey of Hours and Earnings (ASHE) data for Water Transport. The size and type of businesses affected due to the nature of market is subject to a large degree of variation. The 30</w:t>
      </w:r>
      <w:r w:rsidR="000E564B" w:rsidRPr="00572F5B">
        <w:rPr>
          <w:sz w:val="22"/>
          <w:szCs w:val="22"/>
          <w:vertAlign w:val="superscript"/>
        </w:rPr>
        <w:t>th</w:t>
      </w:r>
      <w:r w:rsidR="00796416">
        <w:rPr>
          <w:sz w:val="22"/>
          <w:szCs w:val="22"/>
        </w:rPr>
        <w:t xml:space="preserve"> percentile (£15.72</w:t>
      </w:r>
      <w:r w:rsidR="000E564B" w:rsidRPr="00572F5B">
        <w:rPr>
          <w:sz w:val="22"/>
          <w:szCs w:val="22"/>
        </w:rPr>
        <w:t xml:space="preserve">) is used as a </w:t>
      </w:r>
      <w:r w:rsidR="00796416">
        <w:rPr>
          <w:sz w:val="22"/>
          <w:szCs w:val="22"/>
        </w:rPr>
        <w:t>low scenario, the median (£19.96</w:t>
      </w:r>
      <w:r w:rsidR="000E564B" w:rsidRPr="00572F5B">
        <w:rPr>
          <w:sz w:val="22"/>
          <w:szCs w:val="22"/>
        </w:rPr>
        <w:t>) in the central, and the 70</w:t>
      </w:r>
      <w:r w:rsidR="000E564B" w:rsidRPr="00572F5B">
        <w:rPr>
          <w:sz w:val="22"/>
          <w:szCs w:val="22"/>
          <w:vertAlign w:val="superscript"/>
        </w:rPr>
        <w:t>th</w:t>
      </w:r>
      <w:r w:rsidR="00796416">
        <w:rPr>
          <w:sz w:val="22"/>
          <w:szCs w:val="22"/>
        </w:rPr>
        <w:t xml:space="preserve"> percentile (£24.79</w:t>
      </w:r>
      <w:r w:rsidR="000E564B" w:rsidRPr="00572F5B">
        <w:rPr>
          <w:sz w:val="22"/>
          <w:szCs w:val="22"/>
        </w:rPr>
        <w:t>) as the high scenario. This wide range reflects this uncertainty. The 30</w:t>
      </w:r>
      <w:r w:rsidR="000E564B" w:rsidRPr="00572F5B">
        <w:rPr>
          <w:sz w:val="22"/>
          <w:szCs w:val="22"/>
          <w:vertAlign w:val="superscript"/>
        </w:rPr>
        <w:t>th</w:t>
      </w:r>
      <w:r w:rsidR="000E564B" w:rsidRPr="00572F5B">
        <w:rPr>
          <w:sz w:val="22"/>
          <w:szCs w:val="22"/>
        </w:rPr>
        <w:t xml:space="preserve"> and 70</w:t>
      </w:r>
      <w:r w:rsidR="000E564B" w:rsidRPr="00572F5B">
        <w:rPr>
          <w:sz w:val="22"/>
          <w:szCs w:val="22"/>
          <w:vertAlign w:val="superscript"/>
        </w:rPr>
        <w:t>th</w:t>
      </w:r>
      <w:r w:rsidR="000E564B" w:rsidRPr="00572F5B">
        <w:rPr>
          <w:sz w:val="22"/>
          <w:szCs w:val="22"/>
        </w:rPr>
        <w:t xml:space="preserve"> percentile were used as ranges due to ranges above the 70</w:t>
      </w:r>
      <w:r w:rsidR="000E564B" w:rsidRPr="00572F5B">
        <w:rPr>
          <w:sz w:val="22"/>
          <w:szCs w:val="22"/>
          <w:vertAlign w:val="superscript"/>
        </w:rPr>
        <w:t>th</w:t>
      </w:r>
      <w:r w:rsidR="000E564B" w:rsidRPr="00572F5B">
        <w:rPr>
          <w:sz w:val="22"/>
          <w:szCs w:val="22"/>
        </w:rPr>
        <w:t xml:space="preserve"> percentile for water transport considered unreliable by the ONS. An uplift of 20.9% has been applied to represent non-wage labour cost to business such as national insurance and employer pension contributions. Wages are grown in real terms over time by projected GDP per capita growth.</w:t>
      </w:r>
      <w:r w:rsidR="000E564B" w:rsidRPr="00572F5B">
        <w:rPr>
          <w:rStyle w:val="FootnoteReference"/>
          <w:szCs w:val="22"/>
        </w:rPr>
        <w:footnoteReference w:id="27"/>
      </w:r>
    </w:p>
    <w:p w14:paraId="43FB0198" w14:textId="0F79087A" w:rsidR="008475EE" w:rsidRDefault="005B0446" w:rsidP="003C4C5D">
      <w:pPr>
        <w:rPr>
          <w:sz w:val="22"/>
          <w:szCs w:val="22"/>
          <w:lang w:eastAsia="en-GB"/>
        </w:rPr>
      </w:pPr>
      <w:r>
        <w:rPr>
          <w:sz w:val="22"/>
          <w:szCs w:val="22"/>
          <w:lang w:eastAsia="en-GB"/>
        </w:rPr>
        <w:br w:type="page"/>
      </w:r>
    </w:p>
    <w:p w14:paraId="6983EE64" w14:textId="6D307AE1" w:rsidR="003F2930" w:rsidRDefault="003F2930" w:rsidP="003F2930">
      <w:pPr>
        <w:pStyle w:val="Heading2"/>
      </w:pPr>
      <w:bookmarkStart w:id="54" w:name="_Ref518994110"/>
      <w:r>
        <w:lastRenderedPageBreak/>
        <w:t>Monetised and non-monetised costs and benefits of option 2</w:t>
      </w:r>
      <w:bookmarkEnd w:id="54"/>
    </w:p>
    <w:p w14:paraId="5F6D871E" w14:textId="13BF3F6A" w:rsidR="00592B63" w:rsidRDefault="00BB6AFA" w:rsidP="00BB6AFA">
      <w:pPr>
        <w:pStyle w:val="Heading3"/>
      </w:pPr>
      <w:bookmarkStart w:id="55" w:name="_Ref518989597"/>
      <w:r>
        <w:t>Summary of Monetised Costs and Benefits of Option 2</w:t>
      </w:r>
      <w:bookmarkEnd w:id="55"/>
    </w:p>
    <w:tbl>
      <w:tblPr>
        <w:tblStyle w:val="TableGrid"/>
        <w:tblW w:w="0" w:type="auto"/>
        <w:jc w:val="center"/>
        <w:tblLook w:val="04A0" w:firstRow="1" w:lastRow="0" w:firstColumn="1" w:lastColumn="0" w:noHBand="0" w:noVBand="1"/>
      </w:tblPr>
      <w:tblGrid>
        <w:gridCol w:w="4678"/>
        <w:gridCol w:w="1418"/>
        <w:gridCol w:w="1417"/>
        <w:gridCol w:w="1559"/>
        <w:gridCol w:w="1418"/>
      </w:tblGrid>
      <w:tr w:rsidR="00291405" w14:paraId="30F015CC" w14:textId="77777777" w:rsidTr="00A9204B">
        <w:trPr>
          <w:gridAfter w:val="1"/>
          <w:wAfter w:w="1418" w:type="dxa"/>
          <w:jc w:val="center"/>
        </w:trPr>
        <w:tc>
          <w:tcPr>
            <w:tcW w:w="9072" w:type="dxa"/>
            <w:gridSpan w:val="4"/>
            <w:tcBorders>
              <w:top w:val="nil"/>
              <w:left w:val="nil"/>
              <w:bottom w:val="single" w:sz="4" w:space="0" w:color="auto"/>
              <w:right w:val="nil"/>
            </w:tcBorders>
          </w:tcPr>
          <w:p w14:paraId="60301DB2" w14:textId="231998E1" w:rsidR="00291405" w:rsidRPr="00206452" w:rsidRDefault="00291405" w:rsidP="00291405">
            <w:pPr>
              <w:pStyle w:val="EBBodyPara"/>
              <w:rPr>
                <w:i/>
              </w:rPr>
            </w:pPr>
            <w:r w:rsidRPr="00D3313F">
              <w:rPr>
                <w:i/>
              </w:rPr>
              <w:t>Table 2</w:t>
            </w:r>
            <w:r>
              <w:rPr>
                <w:i/>
              </w:rPr>
              <w:t>6</w:t>
            </w:r>
            <w:r w:rsidRPr="00206452">
              <w:rPr>
                <w:i/>
              </w:rPr>
              <w:t xml:space="preserve">: Summary of all monetised costs and benefits of </w:t>
            </w:r>
            <w:r w:rsidR="009611A5">
              <w:rPr>
                <w:i/>
              </w:rPr>
              <w:t>O</w:t>
            </w:r>
            <w:r>
              <w:rPr>
                <w:i/>
              </w:rPr>
              <w:t>ption 2</w:t>
            </w:r>
          </w:p>
        </w:tc>
      </w:tr>
      <w:tr w:rsidR="00291405" w14:paraId="3CB168D1" w14:textId="77777777" w:rsidTr="000942C4">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14:paraId="05810EAD" w14:textId="77777777" w:rsidR="00291405" w:rsidRPr="00A71B24" w:rsidRDefault="00291405" w:rsidP="00A9204B">
            <w:pPr>
              <w:pStyle w:val="EBBodyPara"/>
              <w:rPr>
                <w:b/>
              </w:rPr>
            </w:pPr>
            <w:r>
              <w:rPr>
                <w:b/>
                <w:bCs w:val="0"/>
              </w:rPr>
              <w:t>Requirement</w:t>
            </w:r>
          </w:p>
        </w:tc>
        <w:tc>
          <w:tcPr>
            <w:tcW w:w="1418" w:type="dxa"/>
            <w:tcBorders>
              <w:top w:val="single" w:sz="4" w:space="0" w:color="auto"/>
              <w:left w:val="nil"/>
              <w:bottom w:val="single" w:sz="4" w:space="0" w:color="auto"/>
              <w:right w:val="nil"/>
            </w:tcBorders>
            <w:shd w:val="clear" w:color="auto" w:fill="auto"/>
            <w:vAlign w:val="center"/>
          </w:tcPr>
          <w:p w14:paraId="431CB4FA" w14:textId="77777777" w:rsidR="00291405" w:rsidRPr="00A71B24" w:rsidRDefault="00291405" w:rsidP="00A9204B">
            <w:pPr>
              <w:pStyle w:val="EBBodyPara"/>
              <w:rPr>
                <w:b/>
              </w:rPr>
            </w:pPr>
            <w:r>
              <w:rPr>
                <w:b/>
                <w:bCs w:val="0"/>
              </w:rPr>
              <w:t xml:space="preserve">Low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F57A227" w14:textId="77777777" w:rsidR="00291405" w:rsidRPr="00A71B24" w:rsidRDefault="00291405" w:rsidP="00A9204B">
            <w:pPr>
              <w:pStyle w:val="EBBodyPara"/>
              <w:rPr>
                <w:b/>
              </w:rPr>
            </w:pPr>
            <w:r>
              <w:rPr>
                <w:b/>
                <w:bCs w:val="0"/>
              </w:rPr>
              <w:t>Central</w:t>
            </w:r>
          </w:p>
        </w:tc>
        <w:tc>
          <w:tcPr>
            <w:tcW w:w="1559" w:type="dxa"/>
            <w:tcBorders>
              <w:top w:val="single" w:sz="4" w:space="0" w:color="auto"/>
              <w:left w:val="nil"/>
              <w:bottom w:val="single" w:sz="4" w:space="0" w:color="auto"/>
              <w:right w:val="single" w:sz="4" w:space="0" w:color="auto"/>
            </w:tcBorders>
            <w:shd w:val="clear" w:color="auto" w:fill="auto"/>
            <w:vAlign w:val="center"/>
          </w:tcPr>
          <w:p w14:paraId="1FF48903" w14:textId="77777777" w:rsidR="00291405" w:rsidRPr="00A71B24" w:rsidRDefault="00291405" w:rsidP="00A9204B">
            <w:pPr>
              <w:pStyle w:val="EBBodyPara"/>
              <w:rPr>
                <w:b/>
              </w:rPr>
            </w:pPr>
            <w:r>
              <w:rPr>
                <w:b/>
                <w:bCs w:val="0"/>
              </w:rPr>
              <w:t>High</w:t>
            </w:r>
          </w:p>
        </w:tc>
        <w:tc>
          <w:tcPr>
            <w:tcW w:w="1418" w:type="dxa"/>
            <w:vAlign w:val="center"/>
          </w:tcPr>
          <w:p w14:paraId="0338FF93" w14:textId="77777777" w:rsidR="00291405" w:rsidRDefault="00291405" w:rsidP="00A9204B">
            <w:r>
              <w:rPr>
                <w:rFonts w:cs="Arial"/>
                <w:b/>
                <w:bCs/>
                <w:color w:val="000000"/>
                <w:sz w:val="22"/>
                <w:szCs w:val="22"/>
              </w:rPr>
              <w:t xml:space="preserve">Number of Vessels </w:t>
            </w:r>
          </w:p>
        </w:tc>
      </w:tr>
      <w:tr w:rsidR="00291405" w14:paraId="72A18074"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D0EFF87" w14:textId="77777777" w:rsidR="00291405" w:rsidRDefault="00291405" w:rsidP="00A9204B">
            <w:pPr>
              <w:pStyle w:val="EBBodyPara"/>
            </w:pPr>
            <w:r>
              <w:rPr>
                <w:b/>
                <w:bCs w:val="0"/>
              </w:rPr>
              <w:t>Life-saving appliances – Liferafts (Cost)</w:t>
            </w:r>
          </w:p>
        </w:tc>
        <w:tc>
          <w:tcPr>
            <w:tcW w:w="1418" w:type="dxa"/>
            <w:tcBorders>
              <w:top w:val="single" w:sz="4" w:space="0" w:color="auto"/>
              <w:left w:val="nil"/>
              <w:bottom w:val="single" w:sz="4" w:space="0" w:color="auto"/>
              <w:right w:val="nil"/>
            </w:tcBorders>
            <w:shd w:val="clear" w:color="auto" w:fill="auto"/>
            <w:vAlign w:val="center"/>
          </w:tcPr>
          <w:p w14:paraId="436DDA93" w14:textId="77777777" w:rsidR="00291405" w:rsidRDefault="00291405" w:rsidP="00A9204B">
            <w:pPr>
              <w:pStyle w:val="EBBodyPara"/>
            </w:pPr>
            <w:r>
              <w:t>£2,544,000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8670F0B" w14:textId="77777777" w:rsidR="00291405" w:rsidRDefault="00291405" w:rsidP="00A9204B">
            <w:pPr>
              <w:pStyle w:val="EBBodyPara"/>
            </w:pPr>
            <w:r>
              <w:t>£2,544,000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54B90A70" w14:textId="77777777" w:rsidR="00291405" w:rsidRDefault="00291405" w:rsidP="00A9204B">
            <w:pPr>
              <w:pStyle w:val="EBBodyPara"/>
            </w:pPr>
            <w:r>
              <w:t>£2,544,000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tcPr>
          <w:p w14:paraId="59D244AD" w14:textId="77777777" w:rsidR="00291405" w:rsidRDefault="00291405" w:rsidP="00A9204B">
            <w:r>
              <w:rPr>
                <w:rFonts w:cs="Arial"/>
                <w:color w:val="000000"/>
                <w:sz w:val="22"/>
                <w:szCs w:val="22"/>
              </w:rPr>
              <w:t>285</w:t>
            </w:r>
          </w:p>
        </w:tc>
      </w:tr>
      <w:tr w:rsidR="00291405" w14:paraId="1A95A6B3"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38C9D9A7" w14:textId="77777777" w:rsidR="00291405" w:rsidRDefault="00291405" w:rsidP="00A9204B">
            <w:pPr>
              <w:pStyle w:val="EBBodyPara"/>
            </w:pPr>
            <w:r>
              <w:rPr>
                <w:b/>
                <w:bCs w:val="0"/>
              </w:rPr>
              <w:t>Life-saving appliances – Liferafts (Benefit)</w:t>
            </w:r>
          </w:p>
        </w:tc>
        <w:tc>
          <w:tcPr>
            <w:tcW w:w="1418" w:type="dxa"/>
            <w:tcBorders>
              <w:top w:val="nil"/>
              <w:left w:val="nil"/>
              <w:bottom w:val="single" w:sz="4" w:space="0" w:color="auto"/>
              <w:right w:val="nil"/>
            </w:tcBorders>
            <w:shd w:val="clear" w:color="auto" w:fill="auto"/>
            <w:vAlign w:val="center"/>
          </w:tcPr>
          <w:p w14:paraId="32AFAAB8" w14:textId="77777777" w:rsidR="00291405" w:rsidRDefault="00291405" w:rsidP="00A9204B">
            <w:pPr>
              <w:pStyle w:val="EBBodyPara"/>
            </w:pPr>
            <w:r>
              <w:t>£7,283,000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18352086" w14:textId="77777777" w:rsidR="00291405" w:rsidRDefault="00291405" w:rsidP="00A9204B">
            <w:pPr>
              <w:pStyle w:val="EBBodyPara"/>
            </w:pPr>
            <w:r>
              <w:t>£4,856,000</w:t>
            </w:r>
          </w:p>
        </w:tc>
        <w:tc>
          <w:tcPr>
            <w:tcW w:w="1559" w:type="dxa"/>
            <w:tcBorders>
              <w:top w:val="nil"/>
              <w:left w:val="nil"/>
              <w:bottom w:val="single" w:sz="4" w:space="0" w:color="auto"/>
              <w:right w:val="single" w:sz="4" w:space="0" w:color="auto"/>
            </w:tcBorders>
            <w:shd w:val="clear" w:color="auto" w:fill="auto"/>
            <w:vAlign w:val="center"/>
          </w:tcPr>
          <w:p w14:paraId="492D79B0" w14:textId="77777777" w:rsidR="00291405" w:rsidRDefault="00291405" w:rsidP="00A9204B">
            <w:pPr>
              <w:pStyle w:val="EBBodyPara"/>
            </w:pPr>
            <w:r>
              <w:t>£2,428,000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70A239F0" w14:textId="77777777" w:rsidR="00291405" w:rsidRDefault="00291405" w:rsidP="00A9204B">
            <w:r>
              <w:rPr>
                <w:rFonts w:cs="Arial"/>
                <w:color w:val="000000"/>
                <w:sz w:val="22"/>
                <w:szCs w:val="22"/>
              </w:rPr>
              <w:t>285</w:t>
            </w:r>
          </w:p>
        </w:tc>
      </w:tr>
      <w:tr w:rsidR="00291405" w14:paraId="654BF595"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A28D3E7" w14:textId="77777777" w:rsidR="00291405" w:rsidRDefault="00291405" w:rsidP="00A9204B">
            <w:pPr>
              <w:pStyle w:val="EBBodyPara"/>
            </w:pPr>
            <w:r>
              <w:rPr>
                <w:b/>
                <w:bCs w:val="0"/>
              </w:rPr>
              <w:t>Life-saving appliances - Lifejackets</w:t>
            </w:r>
          </w:p>
        </w:tc>
        <w:tc>
          <w:tcPr>
            <w:tcW w:w="1418" w:type="dxa"/>
            <w:tcBorders>
              <w:top w:val="nil"/>
              <w:left w:val="nil"/>
              <w:bottom w:val="single" w:sz="4" w:space="0" w:color="auto"/>
              <w:right w:val="nil"/>
            </w:tcBorders>
            <w:shd w:val="clear" w:color="auto" w:fill="auto"/>
            <w:vAlign w:val="center"/>
          </w:tcPr>
          <w:p w14:paraId="0B562B93" w14:textId="77777777" w:rsidR="00291405" w:rsidRDefault="00291405" w:rsidP="00A9204B">
            <w:pPr>
              <w:pStyle w:val="EBBodyPara"/>
            </w:pPr>
            <w:r>
              <w:t>£202,000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03D25430" w14:textId="77777777" w:rsidR="00291405" w:rsidRDefault="00291405" w:rsidP="00A9204B">
            <w:pPr>
              <w:pStyle w:val="EBBodyPara"/>
            </w:pPr>
            <w:r>
              <w:t>£253,000</w:t>
            </w:r>
          </w:p>
        </w:tc>
        <w:tc>
          <w:tcPr>
            <w:tcW w:w="1559" w:type="dxa"/>
            <w:tcBorders>
              <w:top w:val="nil"/>
              <w:left w:val="nil"/>
              <w:bottom w:val="single" w:sz="4" w:space="0" w:color="auto"/>
              <w:right w:val="single" w:sz="4" w:space="0" w:color="auto"/>
            </w:tcBorders>
            <w:shd w:val="clear" w:color="auto" w:fill="auto"/>
            <w:vAlign w:val="center"/>
          </w:tcPr>
          <w:p w14:paraId="36F4683D" w14:textId="77777777" w:rsidR="00291405" w:rsidRDefault="00291405" w:rsidP="00A9204B">
            <w:pPr>
              <w:pStyle w:val="EBBodyPara"/>
            </w:pPr>
            <w:r>
              <w:t>£337,000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594FCBD8" w14:textId="77777777" w:rsidR="00291405" w:rsidRDefault="00291405" w:rsidP="00A9204B">
            <w:r>
              <w:rPr>
                <w:rFonts w:cs="Arial"/>
                <w:color w:val="000000"/>
                <w:sz w:val="22"/>
                <w:szCs w:val="22"/>
              </w:rPr>
              <w:t>86</w:t>
            </w:r>
          </w:p>
        </w:tc>
      </w:tr>
      <w:tr w:rsidR="00291405" w14:paraId="2A5C1B69"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E194659" w14:textId="77777777" w:rsidR="00291405" w:rsidRDefault="00291405" w:rsidP="00A9204B">
            <w:pPr>
              <w:pStyle w:val="EBBodyPara"/>
            </w:pPr>
            <w:r>
              <w:rPr>
                <w:b/>
                <w:bCs w:val="0"/>
              </w:rPr>
              <w:t>Life-saving appliances – Lifejacket Lights</w:t>
            </w:r>
          </w:p>
        </w:tc>
        <w:tc>
          <w:tcPr>
            <w:tcW w:w="1418" w:type="dxa"/>
            <w:tcBorders>
              <w:top w:val="nil"/>
              <w:left w:val="nil"/>
              <w:bottom w:val="single" w:sz="4" w:space="0" w:color="auto"/>
              <w:right w:val="nil"/>
            </w:tcBorders>
            <w:shd w:val="clear" w:color="auto" w:fill="auto"/>
            <w:vAlign w:val="center"/>
          </w:tcPr>
          <w:p w14:paraId="1AAC896B" w14:textId="77777777" w:rsidR="00291405" w:rsidRDefault="00291405" w:rsidP="00A9204B">
            <w:pPr>
              <w:pStyle w:val="EBBodyPara"/>
            </w:pPr>
            <w:r>
              <w:t>£886,000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820937A" w14:textId="77777777" w:rsidR="00291405" w:rsidRDefault="00291405" w:rsidP="00A9204B">
            <w:pPr>
              <w:pStyle w:val="EBBodyPara"/>
            </w:pPr>
            <w:r>
              <w:t>£984,000</w:t>
            </w:r>
          </w:p>
        </w:tc>
        <w:tc>
          <w:tcPr>
            <w:tcW w:w="1559" w:type="dxa"/>
            <w:tcBorders>
              <w:top w:val="nil"/>
              <w:left w:val="nil"/>
              <w:bottom w:val="single" w:sz="4" w:space="0" w:color="auto"/>
              <w:right w:val="single" w:sz="4" w:space="0" w:color="auto"/>
            </w:tcBorders>
            <w:shd w:val="clear" w:color="auto" w:fill="auto"/>
            <w:vAlign w:val="center"/>
          </w:tcPr>
          <w:p w14:paraId="44C6A5B5" w14:textId="77777777" w:rsidR="00291405" w:rsidRDefault="00291405" w:rsidP="00A9204B">
            <w:pPr>
              <w:pStyle w:val="EBBodyPara"/>
            </w:pPr>
            <w:r>
              <w:t>£1,230,000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13CFEA4C" w14:textId="77777777" w:rsidR="00291405" w:rsidRDefault="00291405" w:rsidP="00A9204B">
            <w:r>
              <w:rPr>
                <w:rFonts w:cs="Arial"/>
                <w:color w:val="000000"/>
                <w:sz w:val="22"/>
                <w:szCs w:val="22"/>
              </w:rPr>
              <w:t>261</w:t>
            </w:r>
          </w:p>
        </w:tc>
      </w:tr>
      <w:tr w:rsidR="00291405" w14:paraId="1B24A02F"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A944EA8" w14:textId="77777777" w:rsidR="00291405" w:rsidRDefault="00291405" w:rsidP="00A9204B">
            <w:pPr>
              <w:pStyle w:val="EBBodyPara"/>
            </w:pPr>
            <w:r>
              <w:rPr>
                <w:b/>
                <w:bCs w:val="0"/>
              </w:rPr>
              <w:t>Fire protection – Fire Detection</w:t>
            </w:r>
          </w:p>
        </w:tc>
        <w:tc>
          <w:tcPr>
            <w:tcW w:w="1418" w:type="dxa"/>
            <w:tcBorders>
              <w:top w:val="nil"/>
              <w:left w:val="nil"/>
              <w:bottom w:val="single" w:sz="4" w:space="0" w:color="auto"/>
              <w:right w:val="nil"/>
            </w:tcBorders>
            <w:shd w:val="clear" w:color="auto" w:fill="auto"/>
            <w:vAlign w:val="center"/>
          </w:tcPr>
          <w:p w14:paraId="169A4FC3" w14:textId="77777777" w:rsidR="00291405" w:rsidRDefault="00291405" w:rsidP="00A9204B">
            <w:pPr>
              <w:pStyle w:val="EBBodyPara"/>
            </w:pPr>
            <w:r>
              <w:t>£1,106,000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38F29F51" w14:textId="77777777" w:rsidR="00291405" w:rsidRDefault="00291405" w:rsidP="00A9204B">
            <w:pPr>
              <w:pStyle w:val="EBBodyPara"/>
            </w:pPr>
            <w:r>
              <w:t>£1,608,000</w:t>
            </w:r>
          </w:p>
        </w:tc>
        <w:tc>
          <w:tcPr>
            <w:tcW w:w="1559" w:type="dxa"/>
            <w:tcBorders>
              <w:top w:val="nil"/>
              <w:left w:val="nil"/>
              <w:bottom w:val="single" w:sz="4" w:space="0" w:color="auto"/>
              <w:right w:val="single" w:sz="4" w:space="0" w:color="auto"/>
            </w:tcBorders>
            <w:shd w:val="clear" w:color="auto" w:fill="auto"/>
            <w:vAlign w:val="center"/>
          </w:tcPr>
          <w:p w14:paraId="4ED6B819" w14:textId="77777777" w:rsidR="00291405" w:rsidRDefault="00291405" w:rsidP="00A9204B">
            <w:pPr>
              <w:pStyle w:val="EBBodyPara"/>
            </w:pPr>
            <w:r>
              <w:t>£2,110,000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1E617079" w14:textId="77777777" w:rsidR="00291405" w:rsidRDefault="00291405" w:rsidP="00A9204B">
            <w:r>
              <w:rPr>
                <w:rFonts w:cs="Arial"/>
                <w:color w:val="000000"/>
                <w:sz w:val="22"/>
                <w:szCs w:val="22"/>
              </w:rPr>
              <w:t>606</w:t>
            </w:r>
          </w:p>
        </w:tc>
      </w:tr>
      <w:tr w:rsidR="00291405" w14:paraId="69693739"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6721F6D3" w14:textId="77777777" w:rsidR="00291405" w:rsidRDefault="00291405" w:rsidP="00A9204B">
            <w:pPr>
              <w:pStyle w:val="EBBodyPara"/>
            </w:pPr>
            <w:r>
              <w:rPr>
                <w:b/>
                <w:bCs w:val="0"/>
              </w:rPr>
              <w:t>Fire protection – Fixed Fire Fighting</w:t>
            </w:r>
          </w:p>
        </w:tc>
        <w:tc>
          <w:tcPr>
            <w:tcW w:w="1418" w:type="dxa"/>
            <w:tcBorders>
              <w:top w:val="nil"/>
              <w:left w:val="nil"/>
              <w:bottom w:val="single" w:sz="4" w:space="0" w:color="auto"/>
              <w:right w:val="nil"/>
            </w:tcBorders>
            <w:shd w:val="clear" w:color="auto" w:fill="auto"/>
            <w:vAlign w:val="center"/>
          </w:tcPr>
          <w:p w14:paraId="1D06EEFF" w14:textId="77777777" w:rsidR="00291405" w:rsidRDefault="00291405" w:rsidP="00A9204B">
            <w:pPr>
              <w:pStyle w:val="EBBodyPara"/>
            </w:pPr>
            <w:r>
              <w:t>£90,000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E0B6728" w14:textId="77777777" w:rsidR="00291405" w:rsidRDefault="00291405" w:rsidP="00A9204B">
            <w:pPr>
              <w:pStyle w:val="EBBodyPara"/>
            </w:pPr>
            <w:r>
              <w:t>£437,000</w:t>
            </w:r>
          </w:p>
        </w:tc>
        <w:tc>
          <w:tcPr>
            <w:tcW w:w="1559" w:type="dxa"/>
            <w:tcBorders>
              <w:top w:val="nil"/>
              <w:left w:val="nil"/>
              <w:bottom w:val="single" w:sz="4" w:space="0" w:color="auto"/>
              <w:right w:val="single" w:sz="4" w:space="0" w:color="auto"/>
            </w:tcBorders>
            <w:shd w:val="clear" w:color="auto" w:fill="auto"/>
            <w:vAlign w:val="center"/>
          </w:tcPr>
          <w:p w14:paraId="06813E0E" w14:textId="77777777" w:rsidR="00291405" w:rsidRDefault="00291405" w:rsidP="00A9204B">
            <w:pPr>
              <w:pStyle w:val="EBBodyPara"/>
            </w:pPr>
            <w:r>
              <w:t>£810,000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27364E5E" w14:textId="77777777" w:rsidR="00291405" w:rsidRDefault="00291405" w:rsidP="00A9204B">
            <w:r>
              <w:rPr>
                <w:rFonts w:cs="Arial"/>
                <w:color w:val="000000"/>
                <w:sz w:val="22"/>
                <w:szCs w:val="22"/>
              </w:rPr>
              <w:t>211</w:t>
            </w:r>
          </w:p>
        </w:tc>
      </w:tr>
      <w:tr w:rsidR="00291405" w14:paraId="41718F86"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04788610" w14:textId="77777777" w:rsidR="00291405" w:rsidRDefault="00291405" w:rsidP="00A9204B">
            <w:pPr>
              <w:pStyle w:val="EBBodyPara"/>
            </w:pPr>
            <w:r>
              <w:rPr>
                <w:b/>
                <w:bCs w:val="0"/>
              </w:rPr>
              <w:t>Fire protection – Hand pumps</w:t>
            </w:r>
          </w:p>
        </w:tc>
        <w:tc>
          <w:tcPr>
            <w:tcW w:w="1418" w:type="dxa"/>
            <w:tcBorders>
              <w:top w:val="nil"/>
              <w:left w:val="nil"/>
              <w:bottom w:val="single" w:sz="4" w:space="0" w:color="auto"/>
              <w:right w:val="nil"/>
            </w:tcBorders>
            <w:shd w:val="clear" w:color="auto" w:fill="auto"/>
            <w:vAlign w:val="center"/>
          </w:tcPr>
          <w:p w14:paraId="1EBBCD0F" w14:textId="77777777" w:rsidR="00291405" w:rsidRDefault="00291405" w:rsidP="00A9204B">
            <w:pPr>
              <w:pStyle w:val="EBBodyPara"/>
            </w:pPr>
            <w:r>
              <w:t>£76,000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5B68999" w14:textId="77777777" w:rsidR="00291405" w:rsidRDefault="00291405" w:rsidP="00A9204B">
            <w:pPr>
              <w:pStyle w:val="EBBodyPara"/>
            </w:pPr>
            <w:r>
              <w:t>£87,000</w:t>
            </w:r>
          </w:p>
        </w:tc>
        <w:tc>
          <w:tcPr>
            <w:tcW w:w="1559" w:type="dxa"/>
            <w:tcBorders>
              <w:top w:val="nil"/>
              <w:left w:val="nil"/>
              <w:bottom w:val="single" w:sz="4" w:space="0" w:color="auto"/>
              <w:right w:val="single" w:sz="4" w:space="0" w:color="auto"/>
            </w:tcBorders>
            <w:shd w:val="clear" w:color="auto" w:fill="auto"/>
            <w:vAlign w:val="center"/>
          </w:tcPr>
          <w:p w14:paraId="66C9818E" w14:textId="77777777" w:rsidR="00291405" w:rsidRDefault="00291405" w:rsidP="00A9204B">
            <w:pPr>
              <w:pStyle w:val="EBBodyPara"/>
            </w:pPr>
            <w:r>
              <w:t>£98,000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5B7C0FA8" w14:textId="77777777" w:rsidR="00291405" w:rsidRDefault="00291405" w:rsidP="00A9204B">
            <w:r>
              <w:rPr>
                <w:rFonts w:cs="Arial"/>
                <w:color w:val="000000"/>
                <w:sz w:val="22"/>
                <w:szCs w:val="22"/>
              </w:rPr>
              <w:t>355</w:t>
            </w:r>
          </w:p>
        </w:tc>
      </w:tr>
      <w:tr w:rsidR="00291405" w14:paraId="3A350BA9"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3C9BEC4F" w14:textId="77777777" w:rsidR="00291405" w:rsidRPr="004632E8" w:rsidRDefault="00291405" w:rsidP="00A9204B">
            <w:pPr>
              <w:pStyle w:val="EBBodyPara"/>
            </w:pPr>
            <w:r>
              <w:rPr>
                <w:b/>
                <w:bCs w:val="0"/>
              </w:rPr>
              <w:t>Bilge Pumping Arrangements</w:t>
            </w:r>
          </w:p>
        </w:tc>
        <w:tc>
          <w:tcPr>
            <w:tcW w:w="1418" w:type="dxa"/>
            <w:tcBorders>
              <w:top w:val="nil"/>
              <w:left w:val="nil"/>
              <w:bottom w:val="single" w:sz="4" w:space="0" w:color="auto"/>
              <w:right w:val="nil"/>
            </w:tcBorders>
            <w:shd w:val="clear" w:color="auto" w:fill="auto"/>
            <w:vAlign w:val="center"/>
          </w:tcPr>
          <w:p w14:paraId="44C56A5E" w14:textId="77777777" w:rsidR="00291405" w:rsidRDefault="00291405" w:rsidP="00A9204B">
            <w:pPr>
              <w:pStyle w:val="EBBodyPara"/>
            </w:pPr>
            <w:r>
              <w:t>£447,000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648E5F8E" w14:textId="77777777" w:rsidR="00291405" w:rsidRDefault="00291405" w:rsidP="00A9204B">
            <w:pPr>
              <w:pStyle w:val="EBBodyPara"/>
            </w:pPr>
            <w:r>
              <w:t>£1,021,000</w:t>
            </w:r>
          </w:p>
        </w:tc>
        <w:tc>
          <w:tcPr>
            <w:tcW w:w="1559" w:type="dxa"/>
            <w:tcBorders>
              <w:top w:val="nil"/>
              <w:left w:val="nil"/>
              <w:bottom w:val="single" w:sz="4" w:space="0" w:color="auto"/>
              <w:right w:val="single" w:sz="4" w:space="0" w:color="auto"/>
            </w:tcBorders>
            <w:shd w:val="clear" w:color="auto" w:fill="auto"/>
            <w:vAlign w:val="center"/>
          </w:tcPr>
          <w:p w14:paraId="44F4A865" w14:textId="77777777" w:rsidR="00291405" w:rsidRDefault="00291405" w:rsidP="00A9204B">
            <w:pPr>
              <w:pStyle w:val="EBBodyPara"/>
            </w:pPr>
            <w:r>
              <w:t>£1,595,000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78ED1469" w14:textId="77777777" w:rsidR="00291405" w:rsidRDefault="00291405" w:rsidP="00A9204B">
            <w:r>
              <w:rPr>
                <w:rFonts w:cs="Arial"/>
                <w:color w:val="000000"/>
                <w:sz w:val="22"/>
                <w:szCs w:val="22"/>
              </w:rPr>
              <w:t>539</w:t>
            </w:r>
          </w:p>
        </w:tc>
      </w:tr>
      <w:tr w:rsidR="00291405" w14:paraId="2F8F3E26"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00D34A1" w14:textId="77777777" w:rsidR="00291405" w:rsidRPr="004632E8" w:rsidRDefault="00291405" w:rsidP="00A9204B">
            <w:pPr>
              <w:pStyle w:val="EBBodyPara"/>
            </w:pPr>
            <w:r>
              <w:rPr>
                <w:b/>
                <w:bCs w:val="0"/>
              </w:rPr>
              <w:t>Bilge Alarm Arrangements</w:t>
            </w:r>
          </w:p>
        </w:tc>
        <w:tc>
          <w:tcPr>
            <w:tcW w:w="1418" w:type="dxa"/>
            <w:tcBorders>
              <w:top w:val="nil"/>
              <w:left w:val="nil"/>
              <w:bottom w:val="single" w:sz="4" w:space="0" w:color="auto"/>
              <w:right w:val="nil"/>
            </w:tcBorders>
            <w:shd w:val="clear" w:color="auto" w:fill="auto"/>
            <w:vAlign w:val="center"/>
          </w:tcPr>
          <w:p w14:paraId="35A8BCFC" w14:textId="77777777" w:rsidR="00291405" w:rsidRDefault="00291405" w:rsidP="00A9204B">
            <w:pPr>
              <w:pStyle w:val="EBBodyPara"/>
              <w:rPr>
                <w:b/>
                <w:bCs w:val="0"/>
              </w:rPr>
            </w:pPr>
            <w:r>
              <w:t>£61,000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2566E7BD" w14:textId="77777777" w:rsidR="00291405" w:rsidRDefault="00291405" w:rsidP="00A9204B">
            <w:pPr>
              <w:pStyle w:val="EBBodyPara"/>
              <w:rPr>
                <w:b/>
                <w:bCs w:val="0"/>
              </w:rPr>
            </w:pPr>
            <w:r>
              <w:t>£636,000</w:t>
            </w:r>
          </w:p>
        </w:tc>
        <w:tc>
          <w:tcPr>
            <w:tcW w:w="1559" w:type="dxa"/>
            <w:tcBorders>
              <w:top w:val="nil"/>
              <w:left w:val="nil"/>
              <w:bottom w:val="single" w:sz="4" w:space="0" w:color="auto"/>
              <w:right w:val="single" w:sz="4" w:space="0" w:color="auto"/>
            </w:tcBorders>
            <w:shd w:val="clear" w:color="auto" w:fill="auto"/>
            <w:vAlign w:val="center"/>
          </w:tcPr>
          <w:p w14:paraId="77D50F7B" w14:textId="77777777" w:rsidR="00291405" w:rsidRDefault="00291405" w:rsidP="00A9204B">
            <w:pPr>
              <w:pStyle w:val="EBBodyPara"/>
              <w:rPr>
                <w:b/>
                <w:bCs w:val="0"/>
              </w:rPr>
            </w:pPr>
            <w:r>
              <w:t>£1,212,000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43BFC903" w14:textId="77777777" w:rsidR="00291405" w:rsidRDefault="00291405" w:rsidP="00A9204B">
            <w:r>
              <w:rPr>
                <w:rFonts w:cs="Arial"/>
                <w:color w:val="000000"/>
                <w:sz w:val="22"/>
                <w:szCs w:val="22"/>
              </w:rPr>
              <w:t>606</w:t>
            </w:r>
          </w:p>
        </w:tc>
      </w:tr>
      <w:tr w:rsidR="00F75810" w14:paraId="0EA33FB7" w14:textId="77777777" w:rsidTr="009B01FB">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5500B47" w14:textId="77777777" w:rsidR="00F75810" w:rsidRPr="004632E8" w:rsidRDefault="00F75810" w:rsidP="00F75810">
            <w:pPr>
              <w:pStyle w:val="EBBodyPara"/>
            </w:pPr>
            <w:r>
              <w:rPr>
                <w:b/>
                <w:bCs w:val="0"/>
              </w:rPr>
              <w:t>Post Damage Survivability</w:t>
            </w:r>
          </w:p>
        </w:tc>
        <w:tc>
          <w:tcPr>
            <w:tcW w:w="1418" w:type="dxa"/>
            <w:tcBorders>
              <w:top w:val="single" w:sz="4" w:space="0" w:color="auto"/>
              <w:left w:val="nil"/>
              <w:bottom w:val="single" w:sz="4" w:space="0" w:color="auto"/>
              <w:right w:val="nil"/>
            </w:tcBorders>
            <w:shd w:val="clear" w:color="auto" w:fill="auto"/>
            <w:vAlign w:val="center"/>
          </w:tcPr>
          <w:p w14:paraId="0ACD639C" w14:textId="09353A78" w:rsidR="00F75810" w:rsidRPr="00291405" w:rsidRDefault="00F75810" w:rsidP="00F75810">
            <w:pPr>
              <w:pStyle w:val="EBBodyPara"/>
              <w:rPr>
                <w:highlight w:val="yellow"/>
              </w:rPr>
            </w:pPr>
            <w:r>
              <w:t>£2,333,000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4730FB9" w14:textId="504A1B85" w:rsidR="00F75810" w:rsidRPr="00291405" w:rsidRDefault="00F75810" w:rsidP="00F75810">
            <w:pPr>
              <w:pStyle w:val="EBBodyPara"/>
              <w:rPr>
                <w:highlight w:val="yellow"/>
              </w:rPr>
            </w:pPr>
            <w:r>
              <w:t>£3,629,000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4D2EDA96" w14:textId="3A4AD9E0" w:rsidR="00F75810" w:rsidRPr="00291405" w:rsidRDefault="00F75810" w:rsidP="00F75810">
            <w:pPr>
              <w:pStyle w:val="EBBodyPara"/>
              <w:rPr>
                <w:highlight w:val="yellow"/>
              </w:rPr>
            </w:pPr>
            <w:r>
              <w:t>£4,373,000</w:t>
            </w:r>
          </w:p>
        </w:tc>
        <w:tc>
          <w:tcPr>
            <w:tcW w:w="1418" w:type="dxa"/>
            <w:tcBorders>
              <w:top w:val="nil"/>
              <w:left w:val="single" w:sz="4" w:space="0" w:color="auto"/>
              <w:bottom w:val="single" w:sz="4" w:space="0" w:color="auto"/>
              <w:right w:val="single" w:sz="4" w:space="0" w:color="auto"/>
            </w:tcBorders>
            <w:shd w:val="clear" w:color="auto" w:fill="auto"/>
            <w:vAlign w:val="bottom"/>
          </w:tcPr>
          <w:p w14:paraId="1984970B" w14:textId="7877D265" w:rsidR="00F75810" w:rsidRDefault="00F75810" w:rsidP="00F75810">
            <w:r w:rsidRPr="00F75810">
              <w:rPr>
                <w:rFonts w:cs="Arial"/>
                <w:color w:val="000000"/>
                <w:sz w:val="22"/>
                <w:szCs w:val="22"/>
              </w:rPr>
              <w:t>293</w:t>
            </w:r>
          </w:p>
        </w:tc>
      </w:tr>
      <w:tr w:rsidR="00F75810" w14:paraId="5DFAC2E2" w14:textId="77777777" w:rsidTr="000942C4">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27D0043B" w14:textId="77777777" w:rsidR="00F75810" w:rsidRPr="004632E8" w:rsidRDefault="00F75810" w:rsidP="00F75810">
            <w:pPr>
              <w:pStyle w:val="EBBodyPara"/>
            </w:pPr>
            <w:r>
              <w:rPr>
                <w:b/>
                <w:bCs w:val="0"/>
              </w:rPr>
              <w:t>Familiarisation Cost</w:t>
            </w:r>
          </w:p>
        </w:tc>
        <w:tc>
          <w:tcPr>
            <w:tcW w:w="1418" w:type="dxa"/>
            <w:tcBorders>
              <w:top w:val="nil"/>
              <w:left w:val="nil"/>
              <w:bottom w:val="single" w:sz="4" w:space="0" w:color="auto"/>
              <w:right w:val="nil"/>
            </w:tcBorders>
            <w:shd w:val="clear" w:color="auto" w:fill="auto"/>
            <w:vAlign w:val="center"/>
          </w:tcPr>
          <w:p w14:paraId="723F2079" w14:textId="77777777" w:rsidR="00F75810" w:rsidRDefault="00F75810" w:rsidP="00F75810">
            <w:pPr>
              <w:pStyle w:val="EBBodyPara"/>
            </w:pPr>
            <w:r>
              <w:t>£137,000</w:t>
            </w:r>
          </w:p>
        </w:tc>
        <w:tc>
          <w:tcPr>
            <w:tcW w:w="1417" w:type="dxa"/>
            <w:tcBorders>
              <w:top w:val="nil"/>
              <w:left w:val="single" w:sz="4" w:space="0" w:color="auto"/>
              <w:bottom w:val="single" w:sz="4" w:space="0" w:color="auto"/>
              <w:right w:val="single" w:sz="4" w:space="0" w:color="auto"/>
            </w:tcBorders>
            <w:shd w:val="clear" w:color="auto" w:fill="auto"/>
            <w:vAlign w:val="center"/>
          </w:tcPr>
          <w:p w14:paraId="7ACDC860" w14:textId="77777777" w:rsidR="00F75810" w:rsidRDefault="00F75810" w:rsidP="00F75810">
            <w:pPr>
              <w:pStyle w:val="EBBodyPara"/>
            </w:pPr>
            <w:r>
              <w:t>£319,000</w:t>
            </w:r>
          </w:p>
        </w:tc>
        <w:tc>
          <w:tcPr>
            <w:tcW w:w="1559" w:type="dxa"/>
            <w:tcBorders>
              <w:top w:val="nil"/>
              <w:left w:val="nil"/>
              <w:bottom w:val="single" w:sz="4" w:space="0" w:color="auto"/>
              <w:right w:val="single" w:sz="4" w:space="0" w:color="auto"/>
            </w:tcBorders>
            <w:shd w:val="clear" w:color="auto" w:fill="auto"/>
            <w:vAlign w:val="center"/>
          </w:tcPr>
          <w:p w14:paraId="438D05FB" w14:textId="77777777" w:rsidR="00F75810" w:rsidRDefault="00F75810" w:rsidP="00F75810">
            <w:pPr>
              <w:pStyle w:val="EBBodyPara"/>
            </w:pPr>
            <w:r>
              <w:t>£651,000</w:t>
            </w:r>
          </w:p>
        </w:tc>
        <w:tc>
          <w:tcPr>
            <w:tcW w:w="1418" w:type="dxa"/>
            <w:vAlign w:val="bottom"/>
          </w:tcPr>
          <w:p w14:paraId="142B58CF" w14:textId="77777777" w:rsidR="00F75810" w:rsidRDefault="00F75810" w:rsidP="00F75810">
            <w:r>
              <w:rPr>
                <w:rFonts w:cs="Arial"/>
                <w:color w:val="000000"/>
                <w:sz w:val="22"/>
                <w:szCs w:val="22"/>
              </w:rPr>
              <w:t xml:space="preserve">See </w:t>
            </w:r>
            <w:r>
              <w:rPr>
                <w:rFonts w:cs="Arial"/>
                <w:color w:val="000000"/>
                <w:sz w:val="22"/>
                <w:szCs w:val="22"/>
                <w:highlight w:val="yellow"/>
              </w:rPr>
              <w:fldChar w:fldCharType="begin"/>
            </w:r>
            <w:r>
              <w:rPr>
                <w:rFonts w:cs="Arial"/>
                <w:color w:val="000000"/>
                <w:sz w:val="22"/>
                <w:szCs w:val="22"/>
              </w:rPr>
              <w:instrText xml:space="preserve"> REF _Ref513657379 \r \h </w:instrText>
            </w:r>
            <w:r>
              <w:rPr>
                <w:rFonts w:cs="Arial"/>
                <w:color w:val="000000"/>
                <w:sz w:val="22"/>
                <w:szCs w:val="22"/>
                <w:highlight w:val="yellow"/>
              </w:rPr>
            </w:r>
            <w:r>
              <w:rPr>
                <w:rFonts w:cs="Arial"/>
                <w:color w:val="000000"/>
                <w:sz w:val="22"/>
                <w:szCs w:val="22"/>
                <w:highlight w:val="yellow"/>
              </w:rPr>
              <w:fldChar w:fldCharType="separate"/>
            </w:r>
            <w:r w:rsidR="00742166">
              <w:rPr>
                <w:rFonts w:cs="Arial"/>
                <w:color w:val="000000"/>
                <w:sz w:val="22"/>
                <w:szCs w:val="22"/>
              </w:rPr>
              <w:t>10.2.11</w:t>
            </w:r>
            <w:r>
              <w:rPr>
                <w:rFonts w:cs="Arial"/>
                <w:color w:val="000000"/>
                <w:sz w:val="22"/>
                <w:szCs w:val="22"/>
                <w:highlight w:val="yellow"/>
              </w:rPr>
              <w:fldChar w:fldCharType="end"/>
            </w:r>
          </w:p>
        </w:tc>
      </w:tr>
      <w:tr w:rsidR="00F75810" w14:paraId="036E3EAD" w14:textId="77777777" w:rsidTr="009B01FB">
        <w:trPr>
          <w:jc w:val="center"/>
        </w:trPr>
        <w:tc>
          <w:tcPr>
            <w:tcW w:w="4678" w:type="dxa"/>
            <w:tcBorders>
              <w:top w:val="nil"/>
              <w:left w:val="single" w:sz="4" w:space="0" w:color="auto"/>
              <w:bottom w:val="single" w:sz="4" w:space="0" w:color="auto"/>
              <w:right w:val="single" w:sz="4" w:space="0" w:color="auto"/>
            </w:tcBorders>
            <w:shd w:val="clear" w:color="auto" w:fill="auto"/>
            <w:vAlign w:val="center"/>
          </w:tcPr>
          <w:p w14:paraId="78132F17" w14:textId="77777777" w:rsidR="00F75810" w:rsidRPr="004632E8" w:rsidRDefault="00F75810" w:rsidP="00F75810">
            <w:pPr>
              <w:pStyle w:val="EBBodyPara"/>
            </w:pPr>
            <w:r>
              <w:rPr>
                <w:b/>
                <w:bCs w:val="0"/>
              </w:rPr>
              <w:t>NPV</w:t>
            </w:r>
          </w:p>
        </w:tc>
        <w:tc>
          <w:tcPr>
            <w:tcW w:w="1418" w:type="dxa"/>
            <w:tcBorders>
              <w:top w:val="single" w:sz="4" w:space="0" w:color="auto"/>
              <w:left w:val="nil"/>
              <w:bottom w:val="single" w:sz="4" w:space="0" w:color="auto"/>
              <w:right w:val="nil"/>
            </w:tcBorders>
            <w:shd w:val="clear" w:color="auto" w:fill="auto"/>
            <w:vAlign w:val="center"/>
          </w:tcPr>
          <w:p w14:paraId="13028124" w14:textId="4B27A0DD" w:rsidR="00F75810" w:rsidRPr="00291405" w:rsidRDefault="00F75810" w:rsidP="00F75810">
            <w:pPr>
              <w:pStyle w:val="EBBodyPara"/>
              <w:rPr>
                <w:highlight w:val="yellow"/>
              </w:rPr>
            </w:pPr>
            <w:r>
              <w:t>-£598,000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220F840" w14:textId="707B192D" w:rsidR="00F75810" w:rsidRPr="00291405" w:rsidRDefault="00F75810" w:rsidP="00F75810">
            <w:pPr>
              <w:pStyle w:val="EBBodyPara"/>
              <w:rPr>
                <w:highlight w:val="yellow"/>
              </w:rPr>
            </w:pPr>
            <w:r>
              <w:t>-£6,662,000</w:t>
            </w:r>
          </w:p>
        </w:tc>
        <w:tc>
          <w:tcPr>
            <w:tcW w:w="1559" w:type="dxa"/>
            <w:tcBorders>
              <w:top w:val="single" w:sz="4" w:space="0" w:color="auto"/>
              <w:left w:val="nil"/>
              <w:bottom w:val="single" w:sz="4" w:space="0" w:color="auto"/>
              <w:right w:val="single" w:sz="4" w:space="0" w:color="auto"/>
            </w:tcBorders>
            <w:shd w:val="clear" w:color="auto" w:fill="auto"/>
            <w:vAlign w:val="center"/>
          </w:tcPr>
          <w:p w14:paraId="25E0959B" w14:textId="34144E38" w:rsidR="00F75810" w:rsidRPr="00291405" w:rsidRDefault="00F75810" w:rsidP="00F75810">
            <w:pPr>
              <w:pStyle w:val="EBBodyPara"/>
              <w:rPr>
                <w:highlight w:val="yellow"/>
              </w:rPr>
            </w:pPr>
            <w:r>
              <w:t>-£12,532,000</w:t>
            </w:r>
          </w:p>
        </w:tc>
        <w:tc>
          <w:tcPr>
            <w:tcW w:w="1418" w:type="dxa"/>
            <w:vAlign w:val="bottom"/>
          </w:tcPr>
          <w:p w14:paraId="33D8136E" w14:textId="77777777" w:rsidR="00F75810" w:rsidRDefault="00F75810" w:rsidP="00F75810">
            <w:r>
              <w:rPr>
                <w:rFonts w:cs="Arial"/>
                <w:color w:val="000000"/>
                <w:sz w:val="22"/>
                <w:szCs w:val="22"/>
              </w:rPr>
              <w:t> </w:t>
            </w:r>
          </w:p>
        </w:tc>
      </w:tr>
    </w:tbl>
    <w:p w14:paraId="7D19C1E3" w14:textId="77777777" w:rsidR="00291405" w:rsidRDefault="00291405" w:rsidP="00291405">
      <w:pPr>
        <w:pStyle w:val="EBBodyPara"/>
      </w:pPr>
    </w:p>
    <w:p w14:paraId="5B4E5153" w14:textId="74BC9CF8" w:rsidR="00291405" w:rsidRDefault="00291405" w:rsidP="00291405">
      <w:pPr>
        <w:pStyle w:val="EBBodyPara"/>
      </w:pPr>
      <w:r w:rsidRPr="00A61133">
        <w:t xml:space="preserve">The total EANDCB in the (preferred) central scenario is </w:t>
      </w:r>
      <w:r w:rsidRPr="004003AD">
        <w:t>£</w:t>
      </w:r>
      <w:r w:rsidR="004003AD" w:rsidRPr="004003AD">
        <w:t>1.2</w:t>
      </w:r>
      <w:r w:rsidRPr="004003AD">
        <w:t>m</w:t>
      </w:r>
      <w:r w:rsidR="007B3528" w:rsidRPr="004003AD">
        <w:t xml:space="preserve"> (</w:t>
      </w:r>
      <w:r w:rsidR="007B3528">
        <w:t>2016 prices, 2017 present value)</w:t>
      </w:r>
      <w:r>
        <w:t xml:space="preserve"> </w:t>
      </w:r>
      <w:r w:rsidRPr="00B37A4D">
        <w:t>combinin</w:t>
      </w:r>
      <w:r>
        <w:t xml:space="preserve">g all the costs detailed above. </w:t>
      </w:r>
      <w:r w:rsidRPr="00A61133">
        <w:t xml:space="preserve">The total </w:t>
      </w:r>
      <w:r w:rsidRPr="00F75810">
        <w:t xml:space="preserve">NPV </w:t>
      </w:r>
      <w:r w:rsidR="00F75810" w:rsidRPr="00F75810">
        <w:t>is -£6.7</w:t>
      </w:r>
      <w:r w:rsidRPr="00F75810">
        <w:t xml:space="preserve">m in the central case with </w:t>
      </w:r>
      <w:r w:rsidR="00F75810" w:rsidRPr="00F75810">
        <w:t>-£0.6m and -£12.5</w:t>
      </w:r>
      <w:r w:rsidRPr="00F75810">
        <w:t>m in the low</w:t>
      </w:r>
      <w:r w:rsidRPr="00B37A4D">
        <w:t xml:space="preserve"> and</w:t>
      </w:r>
      <w:r w:rsidRPr="00A61133">
        <w:t xml:space="preserve"> high cases.</w:t>
      </w:r>
      <w:r>
        <w:t xml:space="preserve"> See below for a detailed explanation of each impact.</w:t>
      </w:r>
    </w:p>
    <w:p w14:paraId="347F8616" w14:textId="013F90A7" w:rsidR="003061A2" w:rsidRPr="00291405" w:rsidRDefault="003061A2" w:rsidP="00291405">
      <w:pPr>
        <w:pStyle w:val="EBBodyPara"/>
      </w:pPr>
      <w:r>
        <w:t xml:space="preserve">All costs detailed under </w:t>
      </w:r>
      <w:r w:rsidR="00FB1502">
        <w:t>option 1 apply</w:t>
      </w:r>
      <w:r>
        <w:t xml:space="preserve"> to option 2. To avoid repetition we</w:t>
      </w:r>
      <w:r w:rsidR="00FB1502">
        <w:t xml:space="preserve"> only present the additional impacts to option 2 in section </w:t>
      </w:r>
      <w:r w:rsidR="00FB1502">
        <w:fldChar w:fldCharType="begin"/>
      </w:r>
      <w:r w:rsidR="00FB1502">
        <w:instrText xml:space="preserve"> REF _Ref518990292 \r \h </w:instrText>
      </w:r>
      <w:r w:rsidR="00FB1502">
        <w:fldChar w:fldCharType="separate"/>
      </w:r>
      <w:r w:rsidR="00742166">
        <w:t>11.2</w:t>
      </w:r>
      <w:r w:rsidR="00FB1502">
        <w:fldChar w:fldCharType="end"/>
      </w:r>
      <w:r w:rsidR="00FB1502">
        <w:t xml:space="preserve"> and have referred to the calculation of the impacts under option 1 where relevant. </w:t>
      </w:r>
      <w:r w:rsidR="00160055">
        <w:t>Note o</w:t>
      </w:r>
      <w:r w:rsidR="00FB1502">
        <w:t>ption 2 is still compared to the same ‘do-nothing’ baseline.</w:t>
      </w:r>
    </w:p>
    <w:p w14:paraId="59EBE587" w14:textId="04386F78" w:rsidR="00BB6AFA" w:rsidRDefault="00BB6AFA" w:rsidP="00BB6AFA">
      <w:pPr>
        <w:pStyle w:val="Heading3"/>
      </w:pPr>
      <w:bookmarkStart w:id="56" w:name="_Ref518990292"/>
      <w:r>
        <w:t>Calculations of the monetised and non-monetised impacts</w:t>
      </w:r>
      <w:bookmarkEnd w:id="56"/>
    </w:p>
    <w:p w14:paraId="64BC7914" w14:textId="514131FC" w:rsidR="00A46971" w:rsidRDefault="00A46971" w:rsidP="00A46971">
      <w:pPr>
        <w:pStyle w:val="Heading4"/>
      </w:pPr>
      <w:bookmarkStart w:id="57" w:name="_Ref518994136"/>
      <w:r>
        <w:t>Monetised Costs</w:t>
      </w:r>
      <w:bookmarkEnd w:id="57"/>
    </w:p>
    <w:p w14:paraId="50C1E1C3" w14:textId="77777777" w:rsidR="003D0DE4" w:rsidRDefault="003D0DE4" w:rsidP="003061A2">
      <w:pPr>
        <w:rPr>
          <w:lang w:eastAsia="en-GB"/>
        </w:rPr>
      </w:pPr>
    </w:p>
    <w:p w14:paraId="07D352F1" w14:textId="468DE633" w:rsidR="003D0DE4" w:rsidRDefault="003061A2" w:rsidP="003061A2">
      <w:pPr>
        <w:rPr>
          <w:lang w:eastAsia="en-GB"/>
        </w:rPr>
      </w:pPr>
      <w:r w:rsidRPr="00B73641">
        <w:rPr>
          <w:sz w:val="22"/>
          <w:szCs w:val="22"/>
          <w:lang w:eastAsia="en-GB"/>
        </w:rPr>
        <w:t xml:space="preserve">Please refer to the monetised costs in section </w:t>
      </w:r>
      <w:r w:rsidRPr="00B73641">
        <w:rPr>
          <w:sz w:val="22"/>
          <w:szCs w:val="22"/>
          <w:lang w:eastAsia="en-GB"/>
        </w:rPr>
        <w:fldChar w:fldCharType="begin"/>
      </w:r>
      <w:r w:rsidRPr="00B73641">
        <w:rPr>
          <w:sz w:val="22"/>
          <w:szCs w:val="22"/>
          <w:lang w:eastAsia="en-GB"/>
        </w:rPr>
        <w:instrText xml:space="preserve"> REF _Ref512603682 \r \h </w:instrText>
      </w:r>
      <w:r w:rsidRPr="00B73641">
        <w:rPr>
          <w:sz w:val="22"/>
          <w:szCs w:val="22"/>
          <w:lang w:eastAsia="en-GB"/>
        </w:rPr>
      </w:r>
      <w:r w:rsidRPr="00B73641">
        <w:rPr>
          <w:sz w:val="22"/>
          <w:szCs w:val="22"/>
          <w:lang w:eastAsia="en-GB"/>
        </w:rPr>
        <w:fldChar w:fldCharType="separate"/>
      </w:r>
      <w:r w:rsidR="00742166">
        <w:rPr>
          <w:sz w:val="22"/>
          <w:szCs w:val="22"/>
          <w:lang w:eastAsia="en-GB"/>
        </w:rPr>
        <w:t>10.2</w:t>
      </w:r>
      <w:r w:rsidRPr="00B73641">
        <w:rPr>
          <w:sz w:val="22"/>
          <w:szCs w:val="22"/>
          <w:lang w:eastAsia="en-GB"/>
        </w:rPr>
        <w:fldChar w:fldCharType="end"/>
      </w:r>
      <w:r w:rsidR="004A712F">
        <w:rPr>
          <w:rStyle w:val="FootnoteReference"/>
          <w:lang w:eastAsia="en-GB"/>
        </w:rPr>
        <w:footnoteReference w:id="28"/>
      </w:r>
      <w:r>
        <w:rPr>
          <w:lang w:eastAsia="en-GB"/>
        </w:rPr>
        <w:t xml:space="preserve"> </w:t>
      </w:r>
      <w:r w:rsidRPr="00B73641">
        <w:rPr>
          <w:sz w:val="22"/>
          <w:szCs w:val="22"/>
          <w:lang w:eastAsia="en-GB"/>
        </w:rPr>
        <w:t>for more</w:t>
      </w:r>
      <w:r w:rsidR="009611A5">
        <w:rPr>
          <w:sz w:val="22"/>
          <w:szCs w:val="22"/>
          <w:lang w:eastAsia="en-GB"/>
        </w:rPr>
        <w:t xml:space="preserve"> details on monetised costs of O</w:t>
      </w:r>
      <w:r w:rsidRPr="00B73641">
        <w:rPr>
          <w:sz w:val="22"/>
          <w:szCs w:val="22"/>
          <w:lang w:eastAsia="en-GB"/>
        </w:rPr>
        <w:t>ption 2.</w:t>
      </w:r>
      <w:r w:rsidR="003D0DE4" w:rsidRPr="00B73641">
        <w:rPr>
          <w:sz w:val="22"/>
          <w:szCs w:val="22"/>
          <w:lang w:eastAsia="en-GB"/>
        </w:rPr>
        <w:t xml:space="preserve"> The</w:t>
      </w:r>
      <w:r w:rsidRPr="00B73641">
        <w:rPr>
          <w:sz w:val="22"/>
          <w:szCs w:val="22"/>
          <w:lang w:eastAsia="en-GB"/>
        </w:rPr>
        <w:t xml:space="preserve"> </w:t>
      </w:r>
      <w:r w:rsidR="003D0DE4" w:rsidRPr="00B73641">
        <w:rPr>
          <w:sz w:val="22"/>
          <w:szCs w:val="22"/>
          <w:lang w:eastAsia="en-GB"/>
        </w:rPr>
        <w:t>additional monetisable costs</w:t>
      </w:r>
      <w:r w:rsidR="00182ACF" w:rsidRPr="00B73641">
        <w:rPr>
          <w:sz w:val="22"/>
          <w:szCs w:val="22"/>
          <w:lang w:eastAsia="en-GB"/>
        </w:rPr>
        <w:t xml:space="preserve"> that are only incurred under</w:t>
      </w:r>
      <w:r w:rsidR="009611A5">
        <w:rPr>
          <w:sz w:val="22"/>
          <w:szCs w:val="22"/>
          <w:lang w:eastAsia="en-GB"/>
        </w:rPr>
        <w:t xml:space="preserve"> O</w:t>
      </w:r>
      <w:r w:rsidR="003D0DE4" w:rsidRPr="00B73641">
        <w:rPr>
          <w:sz w:val="22"/>
          <w:szCs w:val="22"/>
          <w:lang w:eastAsia="en-GB"/>
        </w:rPr>
        <w:t>ption 2 are presented below.</w:t>
      </w:r>
    </w:p>
    <w:p w14:paraId="366EB927" w14:textId="77777777" w:rsidR="003D0DE4" w:rsidRDefault="003D0DE4" w:rsidP="003061A2">
      <w:pPr>
        <w:rPr>
          <w:lang w:eastAsia="en-GB"/>
        </w:rPr>
      </w:pPr>
    </w:p>
    <w:p w14:paraId="3D7B2DAC" w14:textId="49EDFC05" w:rsidR="00182ACF" w:rsidRPr="00BC6D32" w:rsidRDefault="00182ACF" w:rsidP="003061A2">
      <w:pPr>
        <w:pStyle w:val="Heading5"/>
        <w:rPr>
          <w:lang w:eastAsia="en-GB"/>
        </w:rPr>
      </w:pPr>
      <w:r>
        <w:rPr>
          <w:lang w:eastAsia="en-GB"/>
        </w:rPr>
        <w:t xml:space="preserve">Damage Survivability </w:t>
      </w:r>
    </w:p>
    <w:p w14:paraId="0ED27615" w14:textId="77777777" w:rsidR="005B0446" w:rsidRDefault="005B0446" w:rsidP="003061A2">
      <w:pPr>
        <w:rPr>
          <w:sz w:val="22"/>
          <w:szCs w:val="22"/>
          <w:lang w:eastAsia="en-GB"/>
        </w:rPr>
      </w:pPr>
    </w:p>
    <w:p w14:paraId="1FAD666E" w14:textId="7CBDDA5E" w:rsidR="003061A2" w:rsidRPr="00B73641" w:rsidRDefault="003D0DE4" w:rsidP="003061A2">
      <w:pPr>
        <w:rPr>
          <w:sz w:val="22"/>
          <w:szCs w:val="22"/>
          <w:lang w:eastAsia="en-GB"/>
        </w:rPr>
      </w:pPr>
      <w:r w:rsidRPr="00B73641">
        <w:rPr>
          <w:sz w:val="22"/>
          <w:szCs w:val="22"/>
          <w:lang w:eastAsia="en-GB"/>
        </w:rPr>
        <w:t>In addition</w:t>
      </w:r>
      <w:r w:rsidR="00966008" w:rsidRPr="00B73641">
        <w:rPr>
          <w:sz w:val="22"/>
          <w:szCs w:val="22"/>
          <w:lang w:eastAsia="en-GB"/>
        </w:rPr>
        <w:t xml:space="preserve"> to the costs to post-damage survivability requirements under option 1 (see section </w:t>
      </w:r>
      <w:r w:rsidR="00966008" w:rsidRPr="00B73641">
        <w:rPr>
          <w:sz w:val="22"/>
          <w:szCs w:val="22"/>
          <w:lang w:eastAsia="en-GB"/>
        </w:rPr>
        <w:fldChar w:fldCharType="begin"/>
      </w:r>
      <w:r w:rsidR="00966008" w:rsidRPr="00B73641">
        <w:rPr>
          <w:sz w:val="22"/>
          <w:szCs w:val="22"/>
          <w:lang w:eastAsia="en-GB"/>
        </w:rPr>
        <w:instrText xml:space="preserve"> REF _Ref513657695 \r \h </w:instrText>
      </w:r>
      <w:r w:rsidR="00B73641">
        <w:rPr>
          <w:sz w:val="22"/>
          <w:szCs w:val="22"/>
          <w:lang w:eastAsia="en-GB"/>
        </w:rPr>
        <w:instrText xml:space="preserve"> \* MERGEFORMAT </w:instrText>
      </w:r>
      <w:r w:rsidR="00966008" w:rsidRPr="00B73641">
        <w:rPr>
          <w:sz w:val="22"/>
          <w:szCs w:val="22"/>
          <w:lang w:eastAsia="en-GB"/>
        </w:rPr>
      </w:r>
      <w:r w:rsidR="00966008" w:rsidRPr="00B73641">
        <w:rPr>
          <w:sz w:val="22"/>
          <w:szCs w:val="22"/>
          <w:lang w:eastAsia="en-GB"/>
        </w:rPr>
        <w:fldChar w:fldCharType="separate"/>
      </w:r>
      <w:r w:rsidR="00742166">
        <w:rPr>
          <w:sz w:val="22"/>
          <w:szCs w:val="22"/>
          <w:lang w:eastAsia="en-GB"/>
        </w:rPr>
        <w:t>10.2.10</w:t>
      </w:r>
      <w:r w:rsidR="00966008" w:rsidRPr="00B73641">
        <w:rPr>
          <w:sz w:val="22"/>
          <w:szCs w:val="22"/>
          <w:lang w:eastAsia="en-GB"/>
        </w:rPr>
        <w:fldChar w:fldCharType="end"/>
      </w:r>
      <w:r w:rsidR="00966008" w:rsidRPr="00B73641">
        <w:rPr>
          <w:sz w:val="22"/>
          <w:szCs w:val="22"/>
          <w:lang w:eastAsia="en-GB"/>
        </w:rPr>
        <w:t>)</w:t>
      </w:r>
      <w:r w:rsidRPr="00B73641">
        <w:rPr>
          <w:sz w:val="22"/>
          <w:szCs w:val="22"/>
          <w:lang w:eastAsia="en-GB"/>
        </w:rPr>
        <w:t xml:space="preserve">, </w:t>
      </w:r>
      <w:r w:rsidR="004A712F" w:rsidRPr="00B73641">
        <w:rPr>
          <w:sz w:val="22"/>
          <w:szCs w:val="22"/>
          <w:lang w:eastAsia="en-GB"/>
        </w:rPr>
        <w:t>Option 2 will require more vessels</w:t>
      </w:r>
      <w:r w:rsidR="000942C4" w:rsidRPr="00B73641">
        <w:rPr>
          <w:sz w:val="22"/>
          <w:szCs w:val="22"/>
          <w:lang w:eastAsia="en-GB"/>
        </w:rPr>
        <w:t xml:space="preserve">, </w:t>
      </w:r>
      <w:r w:rsidR="000100BE" w:rsidRPr="00B73641">
        <w:rPr>
          <w:sz w:val="22"/>
          <w:szCs w:val="22"/>
          <w:lang w:eastAsia="en-GB"/>
        </w:rPr>
        <w:t>Category C (Non-T</w:t>
      </w:r>
      <w:r w:rsidR="000942C4" w:rsidRPr="00B73641">
        <w:rPr>
          <w:sz w:val="22"/>
          <w:szCs w:val="22"/>
          <w:lang w:eastAsia="en-GB"/>
        </w:rPr>
        <w:t>idal</w:t>
      </w:r>
      <w:r w:rsidR="000100BE" w:rsidRPr="00B73641">
        <w:rPr>
          <w:sz w:val="22"/>
          <w:szCs w:val="22"/>
          <w:lang w:eastAsia="en-GB"/>
        </w:rPr>
        <w:t>)</w:t>
      </w:r>
      <w:r w:rsidR="000942C4" w:rsidRPr="00B73641">
        <w:rPr>
          <w:sz w:val="22"/>
          <w:szCs w:val="22"/>
          <w:lang w:eastAsia="en-GB"/>
        </w:rPr>
        <w:t xml:space="preserve"> vessels and </w:t>
      </w:r>
      <w:r w:rsidR="000100BE" w:rsidRPr="00B73641">
        <w:rPr>
          <w:sz w:val="22"/>
          <w:szCs w:val="22"/>
          <w:lang w:eastAsia="en-GB"/>
        </w:rPr>
        <w:t>C</w:t>
      </w:r>
      <w:r w:rsidR="000942C4" w:rsidRPr="00B73641">
        <w:rPr>
          <w:sz w:val="22"/>
          <w:szCs w:val="22"/>
          <w:lang w:eastAsia="en-GB"/>
        </w:rPr>
        <w:t>ategory B vessels</w:t>
      </w:r>
      <w:r w:rsidR="00966008" w:rsidRPr="00B73641">
        <w:rPr>
          <w:sz w:val="22"/>
          <w:szCs w:val="22"/>
          <w:lang w:eastAsia="en-GB"/>
        </w:rPr>
        <w:t>, to</w:t>
      </w:r>
      <w:r w:rsidR="004A712F" w:rsidRPr="00B73641">
        <w:rPr>
          <w:sz w:val="22"/>
          <w:szCs w:val="22"/>
          <w:lang w:eastAsia="en-GB"/>
        </w:rPr>
        <w:t xml:space="preserve"> be</w:t>
      </w:r>
      <w:r w:rsidR="000942C4" w:rsidRPr="00B73641">
        <w:rPr>
          <w:sz w:val="22"/>
          <w:szCs w:val="22"/>
          <w:lang w:eastAsia="en-GB"/>
        </w:rPr>
        <w:t xml:space="preserve"> fully</w:t>
      </w:r>
      <w:r w:rsidR="004A712F" w:rsidRPr="00B73641">
        <w:rPr>
          <w:sz w:val="22"/>
          <w:szCs w:val="22"/>
          <w:lang w:eastAsia="en-GB"/>
        </w:rPr>
        <w:t xml:space="preserve"> compliant with current</w:t>
      </w:r>
      <w:r w:rsidR="00084DF9" w:rsidRPr="00B73641">
        <w:rPr>
          <w:sz w:val="22"/>
          <w:szCs w:val="22"/>
          <w:lang w:eastAsia="en-GB"/>
        </w:rPr>
        <w:t xml:space="preserve"> post-damage survivab</w:t>
      </w:r>
      <w:r w:rsidR="000942C4" w:rsidRPr="00B73641">
        <w:rPr>
          <w:sz w:val="22"/>
          <w:szCs w:val="22"/>
          <w:lang w:eastAsia="en-GB"/>
        </w:rPr>
        <w:t xml:space="preserve">ility standards for new vessels. </w:t>
      </w:r>
      <w:r w:rsidR="00966008" w:rsidRPr="00B73641">
        <w:rPr>
          <w:sz w:val="22"/>
          <w:szCs w:val="22"/>
          <w:lang w:eastAsia="en-GB"/>
        </w:rPr>
        <w:t>We have estimated t</w:t>
      </w:r>
      <w:r w:rsidR="000942C4" w:rsidRPr="00B73641">
        <w:rPr>
          <w:sz w:val="22"/>
          <w:szCs w:val="22"/>
          <w:lang w:eastAsia="en-GB"/>
        </w:rPr>
        <w:t>his adds a further additional 89 vessels that</w:t>
      </w:r>
      <w:r w:rsidR="00966008" w:rsidRPr="00B73641">
        <w:rPr>
          <w:sz w:val="22"/>
          <w:szCs w:val="22"/>
          <w:lang w:eastAsia="en-GB"/>
        </w:rPr>
        <w:t xml:space="preserve"> are</w:t>
      </w:r>
      <w:r w:rsidR="000942C4" w:rsidRPr="00B73641">
        <w:rPr>
          <w:sz w:val="22"/>
          <w:szCs w:val="22"/>
          <w:lang w:eastAsia="en-GB"/>
        </w:rPr>
        <w:t xml:space="preserve"> affected by the regulations, bringing the total affected to 293.</w:t>
      </w:r>
      <w:r w:rsidR="00B977A4" w:rsidRPr="00B73641">
        <w:rPr>
          <w:sz w:val="22"/>
          <w:szCs w:val="22"/>
          <w:lang w:eastAsia="en-GB"/>
        </w:rPr>
        <w:t xml:space="preserve"> See t</w:t>
      </w:r>
      <w:r w:rsidR="00966008" w:rsidRPr="00B73641">
        <w:rPr>
          <w:sz w:val="22"/>
          <w:szCs w:val="22"/>
          <w:lang w:eastAsia="en-GB"/>
        </w:rPr>
        <w:t>able 27 for a full breakdown of vessel affected.</w:t>
      </w:r>
    </w:p>
    <w:p w14:paraId="443922D0" w14:textId="77777777" w:rsidR="00165470" w:rsidRDefault="00165470" w:rsidP="003061A2">
      <w:pPr>
        <w:rPr>
          <w:lang w:eastAsia="en-GB"/>
        </w:rPr>
      </w:pPr>
    </w:p>
    <w:p w14:paraId="07D19875" w14:textId="77777777" w:rsidR="005B0446" w:rsidRDefault="005B0446">
      <w:r>
        <w:br w:type="page"/>
      </w:r>
    </w:p>
    <w:tbl>
      <w:tblPr>
        <w:tblW w:w="7371" w:type="dxa"/>
        <w:jc w:val="center"/>
        <w:tblLook w:val="04A0" w:firstRow="1" w:lastRow="0" w:firstColumn="1" w:lastColumn="0" w:noHBand="0" w:noVBand="1"/>
      </w:tblPr>
      <w:tblGrid>
        <w:gridCol w:w="3935"/>
        <w:gridCol w:w="3436"/>
      </w:tblGrid>
      <w:tr w:rsidR="00165470" w:rsidRPr="000362B4" w14:paraId="69345F2D" w14:textId="77777777" w:rsidTr="00165470">
        <w:trPr>
          <w:trHeight w:val="315"/>
          <w:jc w:val="center"/>
        </w:trPr>
        <w:tc>
          <w:tcPr>
            <w:tcW w:w="7371" w:type="dxa"/>
            <w:gridSpan w:val="2"/>
            <w:tcBorders>
              <w:top w:val="nil"/>
              <w:left w:val="nil"/>
              <w:bottom w:val="single" w:sz="8" w:space="0" w:color="808080"/>
              <w:right w:val="nil"/>
            </w:tcBorders>
            <w:shd w:val="clear" w:color="auto" w:fill="auto"/>
            <w:noWrap/>
            <w:vAlign w:val="bottom"/>
            <w:hideMark/>
          </w:tcPr>
          <w:p w14:paraId="1F0A4CE3" w14:textId="3146E525" w:rsidR="00165470" w:rsidRPr="000362B4" w:rsidRDefault="00165470" w:rsidP="00A9204B">
            <w:pPr>
              <w:rPr>
                <w:rFonts w:ascii="Calibri" w:hAnsi="Calibri"/>
                <w:i/>
                <w:iCs/>
                <w:color w:val="000000"/>
                <w:sz w:val="22"/>
                <w:szCs w:val="22"/>
                <w:lang w:eastAsia="en-GB"/>
              </w:rPr>
            </w:pPr>
            <w:r>
              <w:rPr>
                <w:rFonts w:ascii="Calibri" w:hAnsi="Calibri"/>
                <w:i/>
                <w:iCs/>
                <w:color w:val="000000"/>
                <w:sz w:val="22"/>
                <w:szCs w:val="22"/>
                <w:lang w:eastAsia="en-GB"/>
              </w:rPr>
              <w:lastRenderedPageBreak/>
              <w:t>Table 27</w:t>
            </w:r>
            <w:r w:rsidRPr="00E65663">
              <w:rPr>
                <w:rFonts w:ascii="Calibri" w:hAnsi="Calibri"/>
                <w:i/>
                <w:iCs/>
                <w:color w:val="000000"/>
                <w:sz w:val="22"/>
                <w:szCs w:val="22"/>
                <w:lang w:eastAsia="en-GB"/>
              </w:rPr>
              <w:t>:</w:t>
            </w:r>
            <w:r w:rsidRPr="000362B4">
              <w:rPr>
                <w:rFonts w:ascii="Calibri" w:hAnsi="Calibri"/>
                <w:i/>
                <w:iCs/>
                <w:color w:val="000000"/>
                <w:sz w:val="22"/>
                <w:szCs w:val="22"/>
                <w:lang w:eastAsia="en-GB"/>
              </w:rPr>
              <w:t xml:space="preserve"> Overview of the number of vessels that do not meet new </w:t>
            </w:r>
            <w:r>
              <w:rPr>
                <w:rFonts w:ascii="Calibri" w:hAnsi="Calibri"/>
                <w:i/>
                <w:iCs/>
                <w:color w:val="000000"/>
                <w:sz w:val="22"/>
                <w:szCs w:val="22"/>
                <w:lang w:eastAsia="en-GB"/>
              </w:rPr>
              <w:t>damage survivability s</w:t>
            </w:r>
            <w:r w:rsidRPr="000362B4">
              <w:rPr>
                <w:rFonts w:ascii="Calibri" w:hAnsi="Calibri"/>
                <w:i/>
                <w:iCs/>
                <w:color w:val="000000"/>
                <w:sz w:val="22"/>
                <w:szCs w:val="22"/>
                <w:lang w:eastAsia="en-GB"/>
              </w:rPr>
              <w:t>tandards</w:t>
            </w:r>
          </w:p>
        </w:tc>
      </w:tr>
      <w:tr w:rsidR="00165470" w:rsidRPr="000362B4" w14:paraId="302125B9" w14:textId="77777777" w:rsidTr="00165470">
        <w:trPr>
          <w:trHeight w:val="315"/>
          <w:jc w:val="center"/>
        </w:trPr>
        <w:tc>
          <w:tcPr>
            <w:tcW w:w="3935" w:type="dxa"/>
            <w:tcBorders>
              <w:top w:val="nil"/>
              <w:left w:val="single" w:sz="8" w:space="0" w:color="808080"/>
              <w:bottom w:val="single" w:sz="8" w:space="0" w:color="808080"/>
              <w:right w:val="nil"/>
            </w:tcBorders>
            <w:shd w:val="clear" w:color="auto" w:fill="auto"/>
            <w:noWrap/>
            <w:vAlign w:val="bottom"/>
            <w:hideMark/>
          </w:tcPr>
          <w:p w14:paraId="193442D4" w14:textId="77777777" w:rsidR="00165470" w:rsidRPr="000362B4" w:rsidRDefault="00165470" w:rsidP="00A9204B">
            <w:pPr>
              <w:rPr>
                <w:rFonts w:ascii="Calibri" w:hAnsi="Calibri"/>
                <w:b/>
                <w:bCs/>
                <w:color w:val="000000"/>
                <w:sz w:val="22"/>
                <w:szCs w:val="22"/>
                <w:lang w:eastAsia="en-GB"/>
              </w:rPr>
            </w:pPr>
            <w:r w:rsidRPr="000362B4">
              <w:rPr>
                <w:rFonts w:ascii="Calibri" w:hAnsi="Calibri"/>
                <w:b/>
                <w:bCs/>
                <w:color w:val="000000"/>
                <w:sz w:val="22"/>
                <w:szCs w:val="22"/>
                <w:lang w:eastAsia="en-GB"/>
              </w:rPr>
              <w:t>Vessel Type</w:t>
            </w:r>
          </w:p>
        </w:tc>
        <w:tc>
          <w:tcPr>
            <w:tcW w:w="3436" w:type="dxa"/>
            <w:tcBorders>
              <w:top w:val="nil"/>
              <w:left w:val="single" w:sz="8" w:space="0" w:color="808080"/>
              <w:bottom w:val="single" w:sz="8" w:space="0" w:color="808080"/>
              <w:right w:val="single" w:sz="8" w:space="0" w:color="808080"/>
            </w:tcBorders>
            <w:shd w:val="clear" w:color="auto" w:fill="auto"/>
            <w:noWrap/>
            <w:vAlign w:val="bottom"/>
            <w:hideMark/>
          </w:tcPr>
          <w:p w14:paraId="04F46DB3" w14:textId="06736072" w:rsidR="00165470" w:rsidRPr="000362B4" w:rsidRDefault="00165470" w:rsidP="00A9204B">
            <w:pPr>
              <w:rPr>
                <w:rFonts w:ascii="Calibri" w:hAnsi="Calibri"/>
                <w:color w:val="000000"/>
                <w:sz w:val="22"/>
                <w:szCs w:val="22"/>
                <w:lang w:eastAsia="en-GB"/>
              </w:rPr>
            </w:pPr>
            <w:r w:rsidRPr="000362B4">
              <w:rPr>
                <w:rFonts w:ascii="Calibri" w:hAnsi="Calibri"/>
                <w:color w:val="000000"/>
                <w:sz w:val="22"/>
                <w:szCs w:val="22"/>
                <w:lang w:eastAsia="en-GB"/>
              </w:rPr>
              <w:t>Number of Vessels</w:t>
            </w:r>
            <w:r w:rsidR="000942C4">
              <w:rPr>
                <w:rFonts w:ascii="Calibri" w:hAnsi="Calibri"/>
                <w:color w:val="000000"/>
                <w:sz w:val="22"/>
                <w:szCs w:val="22"/>
                <w:lang w:eastAsia="en-GB"/>
              </w:rPr>
              <w:t xml:space="preserve"> Affected</w:t>
            </w:r>
          </w:p>
        </w:tc>
      </w:tr>
      <w:tr w:rsidR="00165470" w:rsidRPr="000362B4" w14:paraId="3C80A1F4" w14:textId="77777777" w:rsidTr="00165470">
        <w:trPr>
          <w:trHeight w:val="300"/>
          <w:jc w:val="center"/>
        </w:trPr>
        <w:tc>
          <w:tcPr>
            <w:tcW w:w="3935" w:type="dxa"/>
            <w:tcBorders>
              <w:top w:val="nil"/>
              <w:left w:val="single" w:sz="8" w:space="0" w:color="808080"/>
              <w:bottom w:val="nil"/>
              <w:right w:val="nil"/>
            </w:tcBorders>
            <w:shd w:val="clear" w:color="auto" w:fill="auto"/>
            <w:noWrap/>
            <w:vAlign w:val="bottom"/>
            <w:hideMark/>
          </w:tcPr>
          <w:p w14:paraId="02B0FECE" w14:textId="77777777" w:rsidR="00165470" w:rsidRPr="000362B4" w:rsidRDefault="00165470" w:rsidP="00A9204B">
            <w:pPr>
              <w:rPr>
                <w:rFonts w:ascii="Calibri" w:hAnsi="Calibri"/>
                <w:color w:val="000000"/>
                <w:sz w:val="22"/>
                <w:szCs w:val="22"/>
                <w:lang w:eastAsia="en-GB"/>
              </w:rPr>
            </w:pPr>
            <w:r w:rsidRPr="000362B4">
              <w:rPr>
                <w:rFonts w:ascii="Calibri" w:hAnsi="Calibri"/>
                <w:color w:val="000000"/>
                <w:sz w:val="22"/>
                <w:szCs w:val="22"/>
                <w:lang w:eastAsia="en-GB"/>
              </w:rPr>
              <w:t>Class V (C) - 'Tidal'</w:t>
            </w:r>
          </w:p>
        </w:tc>
        <w:tc>
          <w:tcPr>
            <w:tcW w:w="3436" w:type="dxa"/>
            <w:tcBorders>
              <w:top w:val="nil"/>
              <w:left w:val="single" w:sz="8" w:space="0" w:color="808080"/>
              <w:bottom w:val="nil"/>
              <w:right w:val="single" w:sz="8" w:space="0" w:color="808080"/>
            </w:tcBorders>
            <w:shd w:val="clear" w:color="auto" w:fill="auto"/>
            <w:noWrap/>
            <w:vAlign w:val="bottom"/>
            <w:hideMark/>
          </w:tcPr>
          <w:p w14:paraId="5B2BDB15" w14:textId="43F34A7B" w:rsidR="00165470" w:rsidRPr="000362B4" w:rsidRDefault="00165470" w:rsidP="00A9204B">
            <w:pPr>
              <w:rPr>
                <w:rFonts w:ascii="Calibri" w:hAnsi="Calibri"/>
                <w:color w:val="000000"/>
                <w:sz w:val="22"/>
                <w:szCs w:val="22"/>
                <w:lang w:eastAsia="en-GB"/>
              </w:rPr>
            </w:pPr>
            <w:r w:rsidRPr="000362B4">
              <w:rPr>
                <w:rFonts w:ascii="Calibri" w:hAnsi="Calibri"/>
                <w:color w:val="000000"/>
                <w:sz w:val="22"/>
                <w:szCs w:val="22"/>
                <w:lang w:eastAsia="en-GB"/>
              </w:rPr>
              <w:t>83</w:t>
            </w:r>
            <w:r w:rsidR="00352EC3">
              <w:rPr>
                <w:rFonts w:ascii="Calibri" w:hAnsi="Calibri"/>
                <w:color w:val="000000"/>
                <w:sz w:val="22"/>
                <w:szCs w:val="22"/>
                <w:lang w:eastAsia="en-GB"/>
              </w:rPr>
              <w:t xml:space="preserve"> (included under O</w:t>
            </w:r>
            <w:r>
              <w:rPr>
                <w:rFonts w:ascii="Calibri" w:hAnsi="Calibri"/>
                <w:color w:val="000000"/>
                <w:sz w:val="22"/>
                <w:szCs w:val="22"/>
                <w:lang w:eastAsia="en-GB"/>
              </w:rPr>
              <w:t>ption 1 &amp; 2)</w:t>
            </w:r>
          </w:p>
        </w:tc>
      </w:tr>
      <w:tr w:rsidR="00165470" w:rsidRPr="000362B4" w14:paraId="18D83519" w14:textId="77777777" w:rsidTr="00165470">
        <w:trPr>
          <w:trHeight w:val="315"/>
          <w:jc w:val="center"/>
        </w:trPr>
        <w:tc>
          <w:tcPr>
            <w:tcW w:w="3935" w:type="dxa"/>
            <w:tcBorders>
              <w:top w:val="nil"/>
              <w:left w:val="single" w:sz="8" w:space="0" w:color="808080"/>
              <w:bottom w:val="nil"/>
              <w:right w:val="nil"/>
            </w:tcBorders>
            <w:shd w:val="clear" w:color="auto" w:fill="auto"/>
            <w:noWrap/>
            <w:vAlign w:val="bottom"/>
            <w:hideMark/>
          </w:tcPr>
          <w:p w14:paraId="2DD1D8A5" w14:textId="77D9245E" w:rsidR="00165470" w:rsidRPr="000362B4" w:rsidRDefault="00165470" w:rsidP="00A9204B">
            <w:pPr>
              <w:rPr>
                <w:rFonts w:ascii="Calibri" w:hAnsi="Calibri"/>
                <w:color w:val="000000"/>
                <w:sz w:val="22"/>
                <w:szCs w:val="22"/>
                <w:lang w:eastAsia="en-GB"/>
              </w:rPr>
            </w:pPr>
            <w:r w:rsidRPr="000362B4">
              <w:rPr>
                <w:rFonts w:ascii="Calibri" w:hAnsi="Calibri"/>
                <w:color w:val="000000"/>
                <w:sz w:val="22"/>
                <w:szCs w:val="22"/>
                <w:lang w:eastAsia="en-GB"/>
              </w:rPr>
              <w:t>Class VI &amp; VI(A)</w:t>
            </w:r>
          </w:p>
        </w:tc>
        <w:tc>
          <w:tcPr>
            <w:tcW w:w="3436" w:type="dxa"/>
            <w:tcBorders>
              <w:top w:val="nil"/>
              <w:left w:val="single" w:sz="8" w:space="0" w:color="808080"/>
              <w:bottom w:val="nil"/>
              <w:right w:val="single" w:sz="8" w:space="0" w:color="808080"/>
            </w:tcBorders>
            <w:shd w:val="clear" w:color="auto" w:fill="auto"/>
            <w:noWrap/>
            <w:vAlign w:val="bottom"/>
            <w:hideMark/>
          </w:tcPr>
          <w:p w14:paraId="667104F6" w14:textId="3D72F04E" w:rsidR="00165470" w:rsidRPr="000362B4" w:rsidRDefault="00165470" w:rsidP="00A9204B">
            <w:pPr>
              <w:rPr>
                <w:rFonts w:ascii="Calibri" w:hAnsi="Calibri"/>
                <w:color w:val="000000"/>
                <w:sz w:val="22"/>
                <w:szCs w:val="22"/>
                <w:lang w:eastAsia="en-GB"/>
              </w:rPr>
            </w:pPr>
            <w:r w:rsidRPr="000362B4">
              <w:rPr>
                <w:rFonts w:ascii="Calibri" w:hAnsi="Calibri"/>
                <w:color w:val="000000"/>
                <w:sz w:val="22"/>
                <w:szCs w:val="22"/>
                <w:lang w:eastAsia="en-GB"/>
              </w:rPr>
              <w:t>121</w:t>
            </w:r>
            <w:r w:rsidR="00352EC3">
              <w:rPr>
                <w:rFonts w:ascii="Calibri" w:hAnsi="Calibri"/>
                <w:color w:val="000000"/>
                <w:sz w:val="22"/>
                <w:szCs w:val="22"/>
                <w:lang w:eastAsia="en-GB"/>
              </w:rPr>
              <w:t xml:space="preserve"> (included under O</w:t>
            </w:r>
            <w:r>
              <w:rPr>
                <w:rFonts w:ascii="Calibri" w:hAnsi="Calibri"/>
                <w:color w:val="000000"/>
                <w:sz w:val="22"/>
                <w:szCs w:val="22"/>
                <w:lang w:eastAsia="en-GB"/>
              </w:rPr>
              <w:t>ption 1 &amp; 2)</w:t>
            </w:r>
          </w:p>
        </w:tc>
      </w:tr>
      <w:tr w:rsidR="009420A5" w:rsidRPr="000362B4" w14:paraId="0773057D" w14:textId="77777777" w:rsidTr="00165470">
        <w:trPr>
          <w:trHeight w:val="315"/>
          <w:jc w:val="center"/>
        </w:trPr>
        <w:tc>
          <w:tcPr>
            <w:tcW w:w="3935" w:type="dxa"/>
            <w:tcBorders>
              <w:top w:val="nil"/>
              <w:left w:val="single" w:sz="8" w:space="0" w:color="808080"/>
              <w:bottom w:val="nil"/>
              <w:right w:val="nil"/>
            </w:tcBorders>
            <w:shd w:val="clear" w:color="auto" w:fill="auto"/>
            <w:noWrap/>
            <w:vAlign w:val="bottom"/>
          </w:tcPr>
          <w:p w14:paraId="4BA7CB57" w14:textId="1CDED48F" w:rsidR="009420A5" w:rsidRPr="000362B4" w:rsidRDefault="00352EC3" w:rsidP="00A9204B">
            <w:pPr>
              <w:rPr>
                <w:rFonts w:ascii="Calibri" w:hAnsi="Calibri"/>
                <w:color w:val="000000"/>
                <w:sz w:val="22"/>
                <w:szCs w:val="22"/>
                <w:lang w:eastAsia="en-GB"/>
              </w:rPr>
            </w:pPr>
            <w:r>
              <w:rPr>
                <w:rFonts w:ascii="Calibri" w:hAnsi="Calibri"/>
                <w:color w:val="000000"/>
                <w:sz w:val="22"/>
                <w:szCs w:val="22"/>
                <w:lang w:eastAsia="en-GB"/>
              </w:rPr>
              <w:t>Class V (C) – ‘non-tidal’</w:t>
            </w:r>
          </w:p>
        </w:tc>
        <w:tc>
          <w:tcPr>
            <w:tcW w:w="3436" w:type="dxa"/>
            <w:tcBorders>
              <w:top w:val="nil"/>
              <w:left w:val="single" w:sz="8" w:space="0" w:color="808080"/>
              <w:bottom w:val="nil"/>
              <w:right w:val="single" w:sz="8" w:space="0" w:color="808080"/>
            </w:tcBorders>
            <w:shd w:val="clear" w:color="auto" w:fill="auto"/>
            <w:noWrap/>
            <w:vAlign w:val="bottom"/>
          </w:tcPr>
          <w:p w14:paraId="7F309FE5" w14:textId="33BF9FA4" w:rsidR="009420A5" w:rsidRPr="000362B4" w:rsidRDefault="00352EC3" w:rsidP="00A9204B">
            <w:pPr>
              <w:rPr>
                <w:rFonts w:ascii="Calibri" w:hAnsi="Calibri"/>
                <w:color w:val="000000"/>
                <w:sz w:val="22"/>
                <w:szCs w:val="22"/>
                <w:lang w:eastAsia="en-GB"/>
              </w:rPr>
            </w:pPr>
            <w:r>
              <w:rPr>
                <w:rFonts w:ascii="Calibri" w:hAnsi="Calibri"/>
                <w:color w:val="000000"/>
                <w:sz w:val="22"/>
                <w:szCs w:val="22"/>
                <w:lang w:eastAsia="en-GB"/>
              </w:rPr>
              <w:t>38 (Option 2 only)</w:t>
            </w:r>
          </w:p>
        </w:tc>
      </w:tr>
      <w:tr w:rsidR="00352EC3" w:rsidRPr="000362B4" w14:paraId="37F2F085" w14:textId="77777777" w:rsidTr="00165470">
        <w:trPr>
          <w:trHeight w:val="315"/>
          <w:jc w:val="center"/>
        </w:trPr>
        <w:tc>
          <w:tcPr>
            <w:tcW w:w="3935" w:type="dxa"/>
            <w:tcBorders>
              <w:top w:val="nil"/>
              <w:left w:val="single" w:sz="8" w:space="0" w:color="808080"/>
              <w:bottom w:val="nil"/>
              <w:right w:val="nil"/>
            </w:tcBorders>
            <w:shd w:val="clear" w:color="auto" w:fill="auto"/>
            <w:noWrap/>
            <w:vAlign w:val="bottom"/>
          </w:tcPr>
          <w:p w14:paraId="41C19DFD" w14:textId="2D82BDBB" w:rsidR="00352EC3" w:rsidRDefault="00352EC3" w:rsidP="00A9204B">
            <w:pPr>
              <w:rPr>
                <w:rFonts w:ascii="Calibri" w:hAnsi="Calibri"/>
                <w:color w:val="000000"/>
                <w:sz w:val="22"/>
                <w:szCs w:val="22"/>
                <w:lang w:eastAsia="en-GB"/>
              </w:rPr>
            </w:pPr>
            <w:r>
              <w:rPr>
                <w:rFonts w:ascii="Calibri" w:hAnsi="Calibri"/>
                <w:color w:val="000000"/>
                <w:sz w:val="22"/>
                <w:szCs w:val="22"/>
                <w:lang w:eastAsia="en-GB"/>
              </w:rPr>
              <w:t>Class V (B)</w:t>
            </w:r>
          </w:p>
        </w:tc>
        <w:tc>
          <w:tcPr>
            <w:tcW w:w="3436" w:type="dxa"/>
            <w:tcBorders>
              <w:top w:val="nil"/>
              <w:left w:val="single" w:sz="8" w:space="0" w:color="808080"/>
              <w:bottom w:val="nil"/>
              <w:right w:val="single" w:sz="8" w:space="0" w:color="808080"/>
            </w:tcBorders>
            <w:shd w:val="clear" w:color="auto" w:fill="auto"/>
            <w:noWrap/>
            <w:vAlign w:val="bottom"/>
          </w:tcPr>
          <w:p w14:paraId="3BD6BBE4" w14:textId="250B0B5C" w:rsidR="00352EC3" w:rsidRPr="000362B4" w:rsidRDefault="00352EC3" w:rsidP="00A9204B">
            <w:pPr>
              <w:rPr>
                <w:rFonts w:ascii="Calibri" w:hAnsi="Calibri"/>
                <w:color w:val="000000"/>
                <w:sz w:val="22"/>
                <w:szCs w:val="22"/>
                <w:lang w:eastAsia="en-GB"/>
              </w:rPr>
            </w:pPr>
            <w:r>
              <w:rPr>
                <w:rFonts w:ascii="Calibri" w:hAnsi="Calibri"/>
                <w:color w:val="000000"/>
                <w:sz w:val="22"/>
                <w:szCs w:val="22"/>
                <w:lang w:eastAsia="en-GB"/>
              </w:rPr>
              <w:t>51 (Option 2 only)</w:t>
            </w:r>
          </w:p>
        </w:tc>
      </w:tr>
      <w:tr w:rsidR="00165470" w:rsidRPr="000362B4" w14:paraId="002FD668" w14:textId="77777777" w:rsidTr="00165470">
        <w:trPr>
          <w:trHeight w:val="315"/>
          <w:jc w:val="center"/>
        </w:trPr>
        <w:tc>
          <w:tcPr>
            <w:tcW w:w="3935" w:type="dxa"/>
            <w:tcBorders>
              <w:top w:val="single" w:sz="8" w:space="0" w:color="808080"/>
              <w:left w:val="single" w:sz="8" w:space="0" w:color="808080"/>
              <w:bottom w:val="single" w:sz="8" w:space="0" w:color="808080"/>
              <w:right w:val="nil"/>
            </w:tcBorders>
            <w:shd w:val="clear" w:color="auto" w:fill="auto"/>
            <w:noWrap/>
            <w:vAlign w:val="bottom"/>
            <w:hideMark/>
          </w:tcPr>
          <w:p w14:paraId="3979D0DB" w14:textId="77777777" w:rsidR="00165470" w:rsidRPr="000362B4" w:rsidRDefault="00165470" w:rsidP="00A9204B">
            <w:pPr>
              <w:rPr>
                <w:rFonts w:ascii="Calibri" w:hAnsi="Calibri"/>
                <w:color w:val="000000"/>
                <w:sz w:val="22"/>
                <w:szCs w:val="22"/>
                <w:lang w:eastAsia="en-GB"/>
              </w:rPr>
            </w:pPr>
            <w:r w:rsidRPr="000362B4">
              <w:rPr>
                <w:rFonts w:ascii="Calibri" w:hAnsi="Calibri"/>
                <w:color w:val="000000"/>
                <w:sz w:val="22"/>
                <w:szCs w:val="22"/>
                <w:lang w:eastAsia="en-GB"/>
              </w:rPr>
              <w:t>Total</w:t>
            </w:r>
          </w:p>
        </w:tc>
        <w:tc>
          <w:tcPr>
            <w:tcW w:w="3436" w:type="dxa"/>
            <w:tcBorders>
              <w:top w:val="single" w:sz="8" w:space="0" w:color="808080"/>
              <w:left w:val="single" w:sz="8" w:space="0" w:color="808080"/>
              <w:bottom w:val="single" w:sz="8" w:space="0" w:color="808080"/>
              <w:right w:val="single" w:sz="8" w:space="0" w:color="808080"/>
            </w:tcBorders>
            <w:shd w:val="clear" w:color="auto" w:fill="auto"/>
            <w:noWrap/>
            <w:vAlign w:val="bottom"/>
            <w:hideMark/>
          </w:tcPr>
          <w:p w14:paraId="114E340F" w14:textId="4A590B62" w:rsidR="00165470" w:rsidRPr="000362B4" w:rsidRDefault="00352EC3" w:rsidP="00A9204B">
            <w:pPr>
              <w:rPr>
                <w:rFonts w:ascii="Calibri" w:hAnsi="Calibri"/>
                <w:color w:val="000000"/>
                <w:sz w:val="22"/>
                <w:szCs w:val="22"/>
                <w:lang w:eastAsia="en-GB"/>
              </w:rPr>
            </w:pPr>
            <w:r>
              <w:rPr>
                <w:rFonts w:ascii="Calibri" w:hAnsi="Calibri"/>
                <w:color w:val="000000"/>
                <w:sz w:val="22"/>
                <w:szCs w:val="22"/>
                <w:lang w:eastAsia="en-GB"/>
              </w:rPr>
              <w:t>293</w:t>
            </w:r>
          </w:p>
        </w:tc>
      </w:tr>
    </w:tbl>
    <w:p w14:paraId="5EF95A4E" w14:textId="77777777" w:rsidR="00165470" w:rsidRDefault="00165470" w:rsidP="003061A2">
      <w:pPr>
        <w:rPr>
          <w:lang w:eastAsia="en-GB"/>
        </w:rPr>
      </w:pPr>
    </w:p>
    <w:p w14:paraId="094E32D5" w14:textId="0B93C848" w:rsidR="000100BE" w:rsidRPr="00B73641" w:rsidRDefault="000100BE" w:rsidP="003061A2">
      <w:pPr>
        <w:rPr>
          <w:sz w:val="22"/>
          <w:szCs w:val="22"/>
          <w:lang w:eastAsia="en-GB"/>
        </w:rPr>
      </w:pPr>
      <w:r w:rsidRPr="00B73641">
        <w:rPr>
          <w:sz w:val="22"/>
          <w:szCs w:val="22"/>
          <w:lang w:eastAsia="en-GB"/>
        </w:rPr>
        <w:t>Table 28 first presents the additional costs related to the further 89 vessels</w:t>
      </w:r>
      <w:r w:rsidR="00966008" w:rsidRPr="00B73641">
        <w:rPr>
          <w:sz w:val="22"/>
          <w:szCs w:val="22"/>
          <w:lang w:eastAsia="en-GB"/>
        </w:rPr>
        <w:t xml:space="preserve"> that are exclusively impacted by option 2</w:t>
      </w:r>
      <w:r w:rsidRPr="00B73641">
        <w:rPr>
          <w:sz w:val="22"/>
          <w:szCs w:val="22"/>
          <w:lang w:eastAsia="en-GB"/>
        </w:rPr>
        <w:t>, then a total cost</w:t>
      </w:r>
      <w:r w:rsidR="00966008" w:rsidRPr="00B73641">
        <w:rPr>
          <w:sz w:val="22"/>
          <w:szCs w:val="22"/>
          <w:lang w:eastAsia="en-GB"/>
        </w:rPr>
        <w:t xml:space="preserve"> which represents the </w:t>
      </w:r>
      <w:r w:rsidR="00966008" w:rsidRPr="00B42528">
        <w:rPr>
          <w:sz w:val="22"/>
          <w:szCs w:val="22"/>
          <w:lang w:eastAsia="en-GB"/>
        </w:rPr>
        <w:t>total cost under option 2 compared with the baseline.</w:t>
      </w:r>
      <w:r w:rsidR="0070253A" w:rsidRPr="00B42528">
        <w:rPr>
          <w:sz w:val="22"/>
          <w:szCs w:val="22"/>
          <w:lang w:eastAsia="en-GB"/>
        </w:rPr>
        <w:t xml:space="preserve"> </w:t>
      </w:r>
      <w:r w:rsidR="00126D78" w:rsidRPr="00B42528">
        <w:rPr>
          <w:sz w:val="22"/>
          <w:szCs w:val="22"/>
          <w:lang w:eastAsia="en-GB"/>
        </w:rPr>
        <w:t>For example to calculate the additional cost of yard work under option 2 in the central scenario, we take the Yard cost for the average vessel, £4,500, and multiply this by the number of additional vessels</w:t>
      </w:r>
      <w:r w:rsidR="00B42528" w:rsidRPr="00B42528">
        <w:rPr>
          <w:sz w:val="22"/>
          <w:szCs w:val="22"/>
          <w:lang w:eastAsia="en-GB"/>
        </w:rPr>
        <w:t>, 89, to estimate a total additional cost of £401,000 (rounded).</w:t>
      </w:r>
      <w:r w:rsidR="00B42528">
        <w:rPr>
          <w:sz w:val="22"/>
          <w:szCs w:val="22"/>
          <w:lang w:eastAsia="en-GB"/>
        </w:rPr>
        <w:t xml:space="preserve"> To compare the total cost of option 2 against the baseline, presented in the last row below, we add the costs presented here to the existing costs for the</w:t>
      </w:r>
      <w:r w:rsidR="0052465E">
        <w:rPr>
          <w:sz w:val="22"/>
          <w:szCs w:val="22"/>
          <w:lang w:eastAsia="en-GB"/>
        </w:rPr>
        <w:t xml:space="preserve"> 204</w:t>
      </w:r>
      <w:r w:rsidR="00B42528">
        <w:rPr>
          <w:sz w:val="22"/>
          <w:szCs w:val="22"/>
          <w:lang w:eastAsia="en-GB"/>
        </w:rPr>
        <w:t xml:space="preserve"> vessels affected </w:t>
      </w:r>
      <w:r w:rsidR="0052465E">
        <w:rPr>
          <w:sz w:val="22"/>
          <w:szCs w:val="22"/>
          <w:lang w:eastAsia="en-GB"/>
        </w:rPr>
        <w:t xml:space="preserve">that are affected </w:t>
      </w:r>
      <w:r w:rsidR="00B42528">
        <w:rPr>
          <w:sz w:val="22"/>
          <w:szCs w:val="22"/>
          <w:lang w:eastAsia="en-GB"/>
        </w:rPr>
        <w:t>under</w:t>
      </w:r>
      <w:r w:rsidR="0052465E">
        <w:rPr>
          <w:sz w:val="22"/>
          <w:szCs w:val="22"/>
          <w:lang w:eastAsia="en-GB"/>
        </w:rPr>
        <w:t xml:space="preserve"> both O</w:t>
      </w:r>
      <w:r w:rsidR="00B42528">
        <w:rPr>
          <w:sz w:val="22"/>
          <w:szCs w:val="22"/>
          <w:lang w:eastAsia="en-GB"/>
        </w:rPr>
        <w:t>ption 1</w:t>
      </w:r>
      <w:r w:rsidR="0052465E">
        <w:rPr>
          <w:sz w:val="22"/>
          <w:szCs w:val="22"/>
          <w:lang w:eastAsia="en-GB"/>
        </w:rPr>
        <w:t xml:space="preserve"> and Option 2,</w:t>
      </w:r>
      <w:r w:rsidR="00B42528">
        <w:rPr>
          <w:sz w:val="22"/>
          <w:szCs w:val="22"/>
          <w:lang w:eastAsia="en-GB"/>
        </w:rPr>
        <w:t xml:space="preserve"> detailed in section </w:t>
      </w:r>
      <w:r w:rsidR="00B42528">
        <w:rPr>
          <w:sz w:val="22"/>
          <w:szCs w:val="22"/>
          <w:lang w:eastAsia="en-GB"/>
        </w:rPr>
        <w:fldChar w:fldCharType="begin"/>
      </w:r>
      <w:r w:rsidR="00B42528">
        <w:rPr>
          <w:sz w:val="22"/>
          <w:szCs w:val="22"/>
          <w:lang w:eastAsia="en-GB"/>
        </w:rPr>
        <w:instrText xml:space="preserve"> REF _Ref518990605 \r \h </w:instrText>
      </w:r>
      <w:r w:rsidR="00B42528">
        <w:rPr>
          <w:sz w:val="22"/>
          <w:szCs w:val="22"/>
          <w:lang w:eastAsia="en-GB"/>
        </w:rPr>
      </w:r>
      <w:r w:rsidR="00B42528">
        <w:rPr>
          <w:sz w:val="22"/>
          <w:szCs w:val="22"/>
          <w:lang w:eastAsia="en-GB"/>
        </w:rPr>
        <w:fldChar w:fldCharType="separate"/>
      </w:r>
      <w:r w:rsidR="00742166">
        <w:rPr>
          <w:sz w:val="22"/>
          <w:szCs w:val="22"/>
          <w:lang w:eastAsia="en-GB"/>
        </w:rPr>
        <w:t>10.2.10.1</w:t>
      </w:r>
      <w:r w:rsidR="00B42528">
        <w:rPr>
          <w:sz w:val="22"/>
          <w:szCs w:val="22"/>
          <w:lang w:eastAsia="en-GB"/>
        </w:rPr>
        <w:fldChar w:fldCharType="end"/>
      </w:r>
      <w:r w:rsidR="00B42528">
        <w:rPr>
          <w:sz w:val="22"/>
          <w:szCs w:val="22"/>
          <w:lang w:eastAsia="en-GB"/>
        </w:rPr>
        <w:t xml:space="preserve">. </w:t>
      </w:r>
    </w:p>
    <w:p w14:paraId="610BAA7F" w14:textId="77777777" w:rsidR="00084DF9" w:rsidRDefault="00084DF9" w:rsidP="003061A2">
      <w:pPr>
        <w:rPr>
          <w:lang w:eastAsia="en-GB"/>
        </w:rPr>
      </w:pPr>
    </w:p>
    <w:tbl>
      <w:tblPr>
        <w:tblW w:w="8675" w:type="dxa"/>
        <w:jc w:val="center"/>
        <w:tblLook w:val="04A0" w:firstRow="1" w:lastRow="0" w:firstColumn="1" w:lastColumn="0" w:noHBand="0" w:noVBand="1"/>
      </w:tblPr>
      <w:tblGrid>
        <w:gridCol w:w="3586"/>
        <w:gridCol w:w="1702"/>
        <w:gridCol w:w="1685"/>
        <w:gridCol w:w="1702"/>
      </w:tblGrid>
      <w:tr w:rsidR="00084DF9" w:rsidRPr="00FE3E9E" w14:paraId="79ED2AE4" w14:textId="77777777" w:rsidTr="00A9204B">
        <w:trPr>
          <w:trHeight w:val="315"/>
          <w:jc w:val="center"/>
        </w:trPr>
        <w:tc>
          <w:tcPr>
            <w:tcW w:w="8675" w:type="dxa"/>
            <w:gridSpan w:val="4"/>
            <w:tcBorders>
              <w:bottom w:val="nil"/>
            </w:tcBorders>
            <w:shd w:val="clear" w:color="auto" w:fill="auto"/>
            <w:noWrap/>
            <w:vAlign w:val="bottom"/>
            <w:hideMark/>
          </w:tcPr>
          <w:p w14:paraId="590D9A81" w14:textId="0D298874" w:rsidR="00084DF9" w:rsidRPr="00FE3E9E" w:rsidRDefault="00084DF9" w:rsidP="00A9204B">
            <w:pPr>
              <w:rPr>
                <w:rFonts w:ascii="Calibri" w:hAnsi="Calibri"/>
                <w:i/>
                <w:iCs/>
                <w:color w:val="000000"/>
                <w:sz w:val="22"/>
                <w:szCs w:val="22"/>
                <w:lang w:eastAsia="en-GB"/>
              </w:rPr>
            </w:pPr>
            <w:r>
              <w:rPr>
                <w:rFonts w:ascii="Calibri" w:hAnsi="Calibri"/>
                <w:i/>
                <w:iCs/>
                <w:color w:val="000000"/>
                <w:sz w:val="22"/>
                <w:szCs w:val="22"/>
                <w:lang w:eastAsia="en-GB"/>
              </w:rPr>
              <w:t>Table 28</w:t>
            </w:r>
            <w:r w:rsidRPr="00FE3E9E">
              <w:rPr>
                <w:rFonts w:ascii="Calibri" w:hAnsi="Calibri"/>
                <w:i/>
                <w:iCs/>
                <w:color w:val="000000"/>
                <w:sz w:val="22"/>
                <w:szCs w:val="22"/>
                <w:lang w:eastAsia="en-GB"/>
              </w:rPr>
              <w:t>: An overview of indicative costs of damage survivability requirements</w:t>
            </w:r>
          </w:p>
        </w:tc>
      </w:tr>
      <w:tr w:rsidR="00084DF9" w:rsidRPr="00FE3E9E" w14:paraId="4D2B9754" w14:textId="77777777" w:rsidTr="00A9204B">
        <w:trPr>
          <w:trHeight w:val="315"/>
          <w:jc w:val="center"/>
        </w:trPr>
        <w:tc>
          <w:tcPr>
            <w:tcW w:w="3586" w:type="dxa"/>
            <w:tcBorders>
              <w:top w:val="single" w:sz="8" w:space="0" w:color="808080"/>
              <w:left w:val="single" w:sz="4" w:space="0" w:color="808080"/>
              <w:bottom w:val="single" w:sz="8" w:space="0" w:color="808080"/>
              <w:right w:val="single" w:sz="8" w:space="0" w:color="808080"/>
            </w:tcBorders>
            <w:shd w:val="clear" w:color="auto" w:fill="auto"/>
            <w:noWrap/>
            <w:vAlign w:val="bottom"/>
            <w:hideMark/>
          </w:tcPr>
          <w:p w14:paraId="1A93597A" w14:textId="77777777" w:rsidR="00084DF9" w:rsidRPr="00FE3E9E" w:rsidRDefault="00084DF9" w:rsidP="00A9204B">
            <w:pPr>
              <w:rPr>
                <w:rFonts w:ascii="Calibri" w:hAnsi="Calibri"/>
                <w:b/>
                <w:bCs/>
                <w:color w:val="000000"/>
                <w:sz w:val="22"/>
                <w:szCs w:val="22"/>
                <w:lang w:eastAsia="en-GB"/>
              </w:rPr>
            </w:pPr>
            <w:r w:rsidRPr="00FE3E9E">
              <w:rPr>
                <w:rFonts w:ascii="Calibri" w:hAnsi="Calibri"/>
                <w:b/>
                <w:bCs/>
                <w:color w:val="000000"/>
                <w:sz w:val="22"/>
                <w:szCs w:val="22"/>
                <w:lang w:eastAsia="en-GB"/>
              </w:rPr>
              <w:t>Cost</w:t>
            </w:r>
          </w:p>
        </w:tc>
        <w:tc>
          <w:tcPr>
            <w:tcW w:w="1702" w:type="dxa"/>
            <w:tcBorders>
              <w:top w:val="single" w:sz="8" w:space="0" w:color="808080"/>
              <w:left w:val="nil"/>
              <w:bottom w:val="single" w:sz="8" w:space="0" w:color="808080"/>
              <w:right w:val="nil"/>
            </w:tcBorders>
            <w:shd w:val="clear" w:color="auto" w:fill="auto"/>
            <w:noWrap/>
            <w:vAlign w:val="bottom"/>
            <w:hideMark/>
          </w:tcPr>
          <w:p w14:paraId="21DC5F7C" w14:textId="77777777" w:rsidR="00084DF9" w:rsidRPr="00FE3E9E" w:rsidRDefault="00084DF9" w:rsidP="00A9204B">
            <w:pPr>
              <w:rPr>
                <w:rFonts w:ascii="Calibri" w:hAnsi="Calibri"/>
                <w:b/>
                <w:bCs/>
                <w:color w:val="000000"/>
                <w:sz w:val="22"/>
                <w:szCs w:val="22"/>
                <w:lang w:eastAsia="en-GB"/>
              </w:rPr>
            </w:pPr>
            <w:r w:rsidRPr="00FE3E9E">
              <w:rPr>
                <w:rFonts w:ascii="Calibri" w:hAnsi="Calibri"/>
                <w:b/>
                <w:bCs/>
                <w:color w:val="000000"/>
                <w:sz w:val="22"/>
                <w:szCs w:val="22"/>
                <w:lang w:eastAsia="en-GB"/>
              </w:rPr>
              <w:t>Low</w:t>
            </w:r>
          </w:p>
        </w:tc>
        <w:tc>
          <w:tcPr>
            <w:tcW w:w="1685" w:type="dxa"/>
            <w:tcBorders>
              <w:top w:val="single" w:sz="8" w:space="0" w:color="808080"/>
              <w:left w:val="nil"/>
              <w:bottom w:val="single" w:sz="8" w:space="0" w:color="808080"/>
              <w:right w:val="nil"/>
            </w:tcBorders>
            <w:shd w:val="clear" w:color="auto" w:fill="auto"/>
            <w:noWrap/>
            <w:vAlign w:val="bottom"/>
            <w:hideMark/>
          </w:tcPr>
          <w:p w14:paraId="1E47DA70" w14:textId="77777777" w:rsidR="00084DF9" w:rsidRPr="00FE3E9E" w:rsidRDefault="00084DF9" w:rsidP="00A9204B">
            <w:pPr>
              <w:rPr>
                <w:rFonts w:ascii="Calibri" w:hAnsi="Calibri"/>
                <w:b/>
                <w:bCs/>
                <w:color w:val="000000"/>
                <w:sz w:val="22"/>
                <w:szCs w:val="22"/>
                <w:lang w:eastAsia="en-GB"/>
              </w:rPr>
            </w:pPr>
            <w:r w:rsidRPr="00FE3E9E">
              <w:rPr>
                <w:rFonts w:ascii="Calibri" w:hAnsi="Calibri"/>
                <w:b/>
                <w:bCs/>
                <w:color w:val="000000"/>
                <w:sz w:val="22"/>
                <w:szCs w:val="22"/>
                <w:lang w:eastAsia="en-GB"/>
              </w:rPr>
              <w:t>Central</w:t>
            </w:r>
          </w:p>
        </w:tc>
        <w:tc>
          <w:tcPr>
            <w:tcW w:w="1702" w:type="dxa"/>
            <w:tcBorders>
              <w:top w:val="single" w:sz="8" w:space="0" w:color="808080"/>
              <w:left w:val="nil"/>
              <w:bottom w:val="single" w:sz="8" w:space="0" w:color="808080"/>
              <w:right w:val="single" w:sz="4" w:space="0" w:color="808080"/>
            </w:tcBorders>
            <w:shd w:val="clear" w:color="auto" w:fill="auto"/>
            <w:noWrap/>
            <w:vAlign w:val="bottom"/>
            <w:hideMark/>
          </w:tcPr>
          <w:p w14:paraId="4593AB9E" w14:textId="77777777" w:rsidR="00084DF9" w:rsidRPr="00FE3E9E" w:rsidRDefault="00084DF9" w:rsidP="00A9204B">
            <w:pPr>
              <w:rPr>
                <w:rFonts w:ascii="Calibri" w:hAnsi="Calibri"/>
                <w:b/>
                <w:bCs/>
                <w:color w:val="000000"/>
                <w:sz w:val="22"/>
                <w:szCs w:val="22"/>
                <w:lang w:eastAsia="en-GB"/>
              </w:rPr>
            </w:pPr>
            <w:r w:rsidRPr="00FE3E9E">
              <w:rPr>
                <w:rFonts w:ascii="Calibri" w:hAnsi="Calibri"/>
                <w:b/>
                <w:bCs/>
                <w:color w:val="000000"/>
                <w:sz w:val="22"/>
                <w:szCs w:val="22"/>
                <w:lang w:eastAsia="en-GB"/>
              </w:rPr>
              <w:t>High</w:t>
            </w:r>
          </w:p>
        </w:tc>
      </w:tr>
      <w:tr w:rsidR="00084DF9" w:rsidRPr="00FE3E9E" w14:paraId="0FD1A519" w14:textId="77777777" w:rsidTr="00A9204B">
        <w:trPr>
          <w:trHeight w:val="300"/>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1C593D92" w14:textId="77777777" w:rsidR="00084DF9" w:rsidRPr="00FE3E9E" w:rsidRDefault="00084DF9" w:rsidP="00A9204B">
            <w:pPr>
              <w:rPr>
                <w:rFonts w:ascii="Calibri" w:hAnsi="Calibri"/>
                <w:color w:val="000000"/>
                <w:sz w:val="22"/>
                <w:szCs w:val="22"/>
                <w:lang w:eastAsia="en-GB"/>
              </w:rPr>
            </w:pPr>
            <w:r w:rsidRPr="00FE3E9E">
              <w:rPr>
                <w:rFonts w:ascii="Calibri" w:hAnsi="Calibri"/>
                <w:color w:val="000000"/>
                <w:sz w:val="22"/>
                <w:szCs w:val="22"/>
                <w:lang w:eastAsia="en-GB"/>
              </w:rPr>
              <w:t>Average Consultancy Cost per Vessel</w:t>
            </w:r>
          </w:p>
        </w:tc>
        <w:tc>
          <w:tcPr>
            <w:tcW w:w="1702" w:type="dxa"/>
            <w:tcBorders>
              <w:top w:val="nil"/>
              <w:left w:val="nil"/>
              <w:bottom w:val="nil"/>
              <w:right w:val="nil"/>
            </w:tcBorders>
            <w:shd w:val="clear" w:color="auto" w:fill="auto"/>
            <w:noWrap/>
            <w:vAlign w:val="bottom"/>
            <w:hideMark/>
          </w:tcPr>
          <w:p w14:paraId="269BCB87"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£4,500</w:t>
            </w:r>
          </w:p>
        </w:tc>
        <w:tc>
          <w:tcPr>
            <w:tcW w:w="1685" w:type="dxa"/>
            <w:tcBorders>
              <w:top w:val="nil"/>
              <w:left w:val="nil"/>
              <w:bottom w:val="nil"/>
              <w:right w:val="nil"/>
            </w:tcBorders>
            <w:shd w:val="clear" w:color="auto" w:fill="auto"/>
            <w:noWrap/>
            <w:vAlign w:val="bottom"/>
            <w:hideMark/>
          </w:tcPr>
          <w:p w14:paraId="41DBCA71"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£5,000</w:t>
            </w:r>
          </w:p>
        </w:tc>
        <w:tc>
          <w:tcPr>
            <w:tcW w:w="1702" w:type="dxa"/>
            <w:tcBorders>
              <w:top w:val="nil"/>
              <w:left w:val="nil"/>
              <w:bottom w:val="nil"/>
              <w:right w:val="single" w:sz="4" w:space="0" w:color="808080"/>
            </w:tcBorders>
            <w:shd w:val="clear" w:color="auto" w:fill="auto"/>
            <w:noWrap/>
            <w:vAlign w:val="center"/>
            <w:hideMark/>
          </w:tcPr>
          <w:p w14:paraId="27F22712"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£5,500</w:t>
            </w:r>
          </w:p>
        </w:tc>
      </w:tr>
      <w:tr w:rsidR="00084DF9" w:rsidRPr="00FE3E9E" w14:paraId="36EA9A87" w14:textId="77777777" w:rsidTr="00A9204B">
        <w:trPr>
          <w:trHeight w:val="300"/>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78B77576" w14:textId="77777777" w:rsidR="00084DF9" w:rsidRPr="00FE3E9E" w:rsidRDefault="00084DF9" w:rsidP="00A9204B">
            <w:pPr>
              <w:rPr>
                <w:rFonts w:ascii="Calibri" w:hAnsi="Calibri"/>
                <w:color w:val="000000"/>
                <w:sz w:val="22"/>
                <w:szCs w:val="22"/>
                <w:lang w:eastAsia="en-GB"/>
              </w:rPr>
            </w:pPr>
            <w:r w:rsidRPr="00FE3E9E">
              <w:rPr>
                <w:rFonts w:ascii="Calibri" w:hAnsi="Calibri"/>
                <w:color w:val="000000"/>
                <w:sz w:val="22"/>
                <w:szCs w:val="22"/>
                <w:lang w:eastAsia="en-GB"/>
              </w:rPr>
              <w:t>Average Yard Cost per Vessel</w:t>
            </w:r>
          </w:p>
        </w:tc>
        <w:tc>
          <w:tcPr>
            <w:tcW w:w="1702" w:type="dxa"/>
            <w:tcBorders>
              <w:top w:val="nil"/>
              <w:left w:val="nil"/>
              <w:bottom w:val="nil"/>
              <w:right w:val="nil"/>
            </w:tcBorders>
            <w:shd w:val="clear" w:color="auto" w:fill="auto"/>
            <w:noWrap/>
            <w:vAlign w:val="bottom"/>
            <w:hideMark/>
          </w:tcPr>
          <w:p w14:paraId="312237B7"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£900</w:t>
            </w:r>
          </w:p>
        </w:tc>
        <w:tc>
          <w:tcPr>
            <w:tcW w:w="1685" w:type="dxa"/>
            <w:tcBorders>
              <w:top w:val="nil"/>
              <w:left w:val="nil"/>
              <w:bottom w:val="nil"/>
              <w:right w:val="nil"/>
            </w:tcBorders>
            <w:shd w:val="clear" w:color="auto" w:fill="auto"/>
            <w:noWrap/>
            <w:vAlign w:val="bottom"/>
            <w:hideMark/>
          </w:tcPr>
          <w:p w14:paraId="08C02719"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£4,500</w:t>
            </w:r>
          </w:p>
        </w:tc>
        <w:tc>
          <w:tcPr>
            <w:tcW w:w="1702" w:type="dxa"/>
            <w:tcBorders>
              <w:top w:val="nil"/>
              <w:left w:val="nil"/>
              <w:bottom w:val="nil"/>
              <w:right w:val="single" w:sz="4" w:space="0" w:color="808080"/>
            </w:tcBorders>
            <w:shd w:val="clear" w:color="auto" w:fill="auto"/>
            <w:noWrap/>
            <w:vAlign w:val="center"/>
            <w:hideMark/>
          </w:tcPr>
          <w:p w14:paraId="4EA8A5B9"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£5,700</w:t>
            </w:r>
          </w:p>
        </w:tc>
      </w:tr>
      <w:tr w:rsidR="00084DF9" w:rsidRPr="00FE3E9E" w14:paraId="116F6C0D" w14:textId="77777777" w:rsidTr="00A9204B">
        <w:trPr>
          <w:trHeight w:val="315"/>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6136EB3B" w14:textId="77777777" w:rsidR="00084DF9" w:rsidRPr="00FE3E9E" w:rsidRDefault="00084DF9" w:rsidP="00A9204B">
            <w:pPr>
              <w:rPr>
                <w:rFonts w:ascii="Calibri" w:hAnsi="Calibri"/>
                <w:color w:val="000000"/>
                <w:sz w:val="22"/>
                <w:szCs w:val="22"/>
                <w:lang w:eastAsia="en-GB"/>
              </w:rPr>
            </w:pPr>
            <w:r w:rsidRPr="00FE3E9E">
              <w:rPr>
                <w:rFonts w:ascii="Calibri" w:hAnsi="Calibri"/>
                <w:color w:val="000000"/>
                <w:sz w:val="22"/>
                <w:szCs w:val="22"/>
                <w:lang w:eastAsia="en-GB"/>
              </w:rPr>
              <w:t>Average MCA Cost per Vessel</w:t>
            </w:r>
          </w:p>
        </w:tc>
        <w:tc>
          <w:tcPr>
            <w:tcW w:w="1702" w:type="dxa"/>
            <w:tcBorders>
              <w:top w:val="nil"/>
              <w:left w:val="nil"/>
              <w:bottom w:val="nil"/>
              <w:right w:val="nil"/>
            </w:tcBorders>
            <w:shd w:val="clear" w:color="auto" w:fill="auto"/>
            <w:noWrap/>
            <w:vAlign w:val="bottom"/>
            <w:hideMark/>
          </w:tcPr>
          <w:p w14:paraId="12EB2D7F"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£2,600</w:t>
            </w:r>
          </w:p>
        </w:tc>
        <w:tc>
          <w:tcPr>
            <w:tcW w:w="1685" w:type="dxa"/>
            <w:tcBorders>
              <w:top w:val="nil"/>
              <w:left w:val="nil"/>
              <w:bottom w:val="nil"/>
              <w:right w:val="nil"/>
            </w:tcBorders>
            <w:shd w:val="clear" w:color="auto" w:fill="auto"/>
            <w:noWrap/>
            <w:vAlign w:val="bottom"/>
            <w:hideMark/>
          </w:tcPr>
          <w:p w14:paraId="633D2CAA"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£2,900</w:t>
            </w:r>
          </w:p>
        </w:tc>
        <w:tc>
          <w:tcPr>
            <w:tcW w:w="1702" w:type="dxa"/>
            <w:tcBorders>
              <w:top w:val="nil"/>
              <w:left w:val="nil"/>
              <w:bottom w:val="single" w:sz="8" w:space="0" w:color="808080"/>
              <w:right w:val="single" w:sz="4" w:space="0" w:color="808080"/>
            </w:tcBorders>
            <w:shd w:val="clear" w:color="auto" w:fill="auto"/>
            <w:noWrap/>
            <w:vAlign w:val="center"/>
            <w:hideMark/>
          </w:tcPr>
          <w:p w14:paraId="3CE75332" w14:textId="77777777" w:rsidR="00084DF9" w:rsidRPr="00FE3E9E" w:rsidRDefault="00084DF9" w:rsidP="004F76B3">
            <w:pPr>
              <w:rPr>
                <w:rFonts w:ascii="Calibri" w:hAnsi="Calibri"/>
                <w:color w:val="000000"/>
                <w:sz w:val="22"/>
                <w:szCs w:val="22"/>
                <w:lang w:eastAsia="en-GB"/>
              </w:rPr>
            </w:pPr>
            <w:r w:rsidRPr="00FE3E9E">
              <w:rPr>
                <w:rFonts w:ascii="Calibri" w:hAnsi="Calibri"/>
                <w:color w:val="000000"/>
                <w:sz w:val="22"/>
                <w:szCs w:val="22"/>
                <w:lang w:eastAsia="en-GB"/>
              </w:rPr>
              <w:t>£3,800</w:t>
            </w:r>
          </w:p>
        </w:tc>
      </w:tr>
      <w:tr w:rsidR="004F76B3" w:rsidRPr="00FE3E9E" w14:paraId="69772599" w14:textId="77777777" w:rsidTr="009B01FB">
        <w:trPr>
          <w:trHeight w:val="300"/>
          <w:jc w:val="center"/>
        </w:trPr>
        <w:tc>
          <w:tcPr>
            <w:tcW w:w="3586" w:type="dxa"/>
            <w:tcBorders>
              <w:top w:val="single" w:sz="8" w:space="0" w:color="808080"/>
              <w:left w:val="single" w:sz="4" w:space="0" w:color="808080"/>
              <w:bottom w:val="nil"/>
              <w:right w:val="single" w:sz="8" w:space="0" w:color="808080"/>
            </w:tcBorders>
            <w:shd w:val="clear" w:color="auto" w:fill="auto"/>
            <w:noWrap/>
            <w:vAlign w:val="bottom"/>
            <w:hideMark/>
          </w:tcPr>
          <w:p w14:paraId="7A90DBC0" w14:textId="6EBE8AC3" w:rsidR="004F76B3" w:rsidRPr="00FE3E9E" w:rsidRDefault="004F76B3" w:rsidP="004F76B3">
            <w:pPr>
              <w:rPr>
                <w:rFonts w:ascii="Calibri" w:hAnsi="Calibri"/>
                <w:color w:val="000000"/>
                <w:sz w:val="22"/>
                <w:szCs w:val="22"/>
                <w:lang w:eastAsia="en-GB"/>
              </w:rPr>
            </w:pPr>
            <w:r w:rsidRPr="00FE3E9E">
              <w:rPr>
                <w:rFonts w:ascii="Calibri" w:hAnsi="Calibri"/>
                <w:color w:val="000000"/>
                <w:sz w:val="22"/>
                <w:szCs w:val="22"/>
                <w:lang w:eastAsia="en-GB"/>
              </w:rPr>
              <w:t xml:space="preserve">Total </w:t>
            </w:r>
            <w:r w:rsidRPr="00966008">
              <w:rPr>
                <w:rFonts w:ascii="Calibri" w:hAnsi="Calibri"/>
                <w:b/>
                <w:color w:val="000000"/>
                <w:sz w:val="22"/>
                <w:szCs w:val="22"/>
                <w:lang w:eastAsia="en-GB"/>
              </w:rPr>
              <w:t>additional</w:t>
            </w:r>
            <w:r>
              <w:rPr>
                <w:rFonts w:ascii="Calibri" w:hAnsi="Calibri"/>
                <w:color w:val="000000"/>
                <w:sz w:val="22"/>
                <w:szCs w:val="22"/>
                <w:lang w:eastAsia="en-GB"/>
              </w:rPr>
              <w:t xml:space="preserve"> </w:t>
            </w:r>
            <w:r w:rsidRPr="00FE3E9E">
              <w:rPr>
                <w:rFonts w:ascii="Calibri" w:hAnsi="Calibri"/>
                <w:color w:val="000000"/>
                <w:sz w:val="22"/>
                <w:szCs w:val="22"/>
                <w:lang w:eastAsia="en-GB"/>
              </w:rPr>
              <w:t>Consultancy Cost</w:t>
            </w:r>
          </w:p>
        </w:tc>
        <w:tc>
          <w:tcPr>
            <w:tcW w:w="1702" w:type="dxa"/>
            <w:tcBorders>
              <w:top w:val="single" w:sz="8" w:space="0" w:color="808080"/>
              <w:left w:val="nil"/>
              <w:bottom w:val="nil"/>
              <w:right w:val="nil"/>
            </w:tcBorders>
            <w:shd w:val="clear" w:color="auto" w:fill="auto"/>
            <w:noWrap/>
            <w:vAlign w:val="bottom"/>
            <w:hideMark/>
          </w:tcPr>
          <w:p w14:paraId="224B5B53" w14:textId="5436813F"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£399,000</w:t>
            </w:r>
          </w:p>
        </w:tc>
        <w:tc>
          <w:tcPr>
            <w:tcW w:w="1685" w:type="dxa"/>
            <w:tcBorders>
              <w:top w:val="single" w:sz="8" w:space="0" w:color="808080"/>
              <w:left w:val="nil"/>
              <w:bottom w:val="nil"/>
              <w:right w:val="nil"/>
            </w:tcBorders>
            <w:shd w:val="clear" w:color="auto" w:fill="auto"/>
            <w:noWrap/>
            <w:vAlign w:val="bottom"/>
            <w:hideMark/>
          </w:tcPr>
          <w:p w14:paraId="3FFB3B52" w14:textId="5CC6FCF3"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£444,000</w:t>
            </w:r>
          </w:p>
        </w:tc>
        <w:tc>
          <w:tcPr>
            <w:tcW w:w="1702" w:type="dxa"/>
            <w:tcBorders>
              <w:top w:val="single" w:sz="8" w:space="0" w:color="808080"/>
              <w:left w:val="nil"/>
              <w:bottom w:val="nil"/>
              <w:right w:val="single" w:sz="8" w:space="0" w:color="808080"/>
            </w:tcBorders>
            <w:shd w:val="clear" w:color="auto" w:fill="auto"/>
            <w:noWrap/>
            <w:vAlign w:val="center"/>
            <w:hideMark/>
          </w:tcPr>
          <w:p w14:paraId="241F8D29" w14:textId="15252939"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£485,000</w:t>
            </w:r>
          </w:p>
        </w:tc>
      </w:tr>
      <w:tr w:rsidR="004F76B3" w:rsidRPr="00FE3E9E" w14:paraId="3AC55EB2" w14:textId="77777777" w:rsidTr="009B01FB">
        <w:trPr>
          <w:trHeight w:val="300"/>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1AEA5845" w14:textId="51048170" w:rsidR="004F76B3" w:rsidRPr="00FE3E9E" w:rsidRDefault="004F76B3" w:rsidP="004F76B3">
            <w:pPr>
              <w:rPr>
                <w:rFonts w:ascii="Calibri" w:hAnsi="Calibri"/>
                <w:color w:val="000000"/>
                <w:sz w:val="22"/>
                <w:szCs w:val="22"/>
                <w:lang w:eastAsia="en-GB"/>
              </w:rPr>
            </w:pPr>
            <w:r w:rsidRPr="00FE3E9E">
              <w:rPr>
                <w:rFonts w:ascii="Calibri" w:hAnsi="Calibri"/>
                <w:color w:val="000000"/>
                <w:sz w:val="22"/>
                <w:szCs w:val="22"/>
                <w:lang w:eastAsia="en-GB"/>
              </w:rPr>
              <w:t>Total</w:t>
            </w:r>
            <w:r>
              <w:rPr>
                <w:rFonts w:ascii="Calibri" w:hAnsi="Calibri"/>
                <w:color w:val="000000"/>
                <w:sz w:val="22"/>
                <w:szCs w:val="22"/>
                <w:lang w:eastAsia="en-GB"/>
              </w:rPr>
              <w:t xml:space="preserve"> </w:t>
            </w:r>
            <w:r w:rsidRPr="00966008">
              <w:rPr>
                <w:rFonts w:ascii="Calibri" w:hAnsi="Calibri"/>
                <w:b/>
                <w:color w:val="000000"/>
                <w:sz w:val="22"/>
                <w:szCs w:val="22"/>
                <w:lang w:eastAsia="en-GB"/>
              </w:rPr>
              <w:t>additional</w:t>
            </w:r>
            <w:r>
              <w:rPr>
                <w:rFonts w:ascii="Calibri" w:hAnsi="Calibri"/>
                <w:color w:val="000000"/>
                <w:sz w:val="22"/>
                <w:szCs w:val="22"/>
                <w:lang w:eastAsia="en-GB"/>
              </w:rPr>
              <w:t xml:space="preserve"> </w:t>
            </w:r>
            <w:r w:rsidRPr="00FE3E9E">
              <w:rPr>
                <w:rFonts w:ascii="Calibri" w:hAnsi="Calibri"/>
                <w:color w:val="000000"/>
                <w:sz w:val="22"/>
                <w:szCs w:val="22"/>
                <w:lang w:eastAsia="en-GB"/>
              </w:rPr>
              <w:t>Yard Cost</w:t>
            </w:r>
          </w:p>
        </w:tc>
        <w:tc>
          <w:tcPr>
            <w:tcW w:w="1702" w:type="dxa"/>
            <w:tcBorders>
              <w:top w:val="nil"/>
              <w:left w:val="single" w:sz="8" w:space="0" w:color="808080"/>
              <w:bottom w:val="nil"/>
              <w:right w:val="nil"/>
            </w:tcBorders>
            <w:shd w:val="clear" w:color="auto" w:fill="auto"/>
            <w:noWrap/>
            <w:vAlign w:val="bottom"/>
            <w:hideMark/>
          </w:tcPr>
          <w:p w14:paraId="2B4901F2" w14:textId="3982D2F9"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£78,000</w:t>
            </w:r>
          </w:p>
        </w:tc>
        <w:tc>
          <w:tcPr>
            <w:tcW w:w="1685" w:type="dxa"/>
            <w:tcBorders>
              <w:top w:val="nil"/>
              <w:left w:val="nil"/>
              <w:bottom w:val="nil"/>
              <w:right w:val="nil"/>
            </w:tcBorders>
            <w:shd w:val="clear" w:color="auto" w:fill="auto"/>
            <w:noWrap/>
            <w:vAlign w:val="bottom"/>
            <w:hideMark/>
          </w:tcPr>
          <w:p w14:paraId="2ADC6134" w14:textId="558884BC"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£401,000</w:t>
            </w:r>
          </w:p>
        </w:tc>
        <w:tc>
          <w:tcPr>
            <w:tcW w:w="1702" w:type="dxa"/>
            <w:tcBorders>
              <w:top w:val="nil"/>
              <w:left w:val="nil"/>
              <w:bottom w:val="nil"/>
              <w:right w:val="single" w:sz="8" w:space="0" w:color="808080"/>
            </w:tcBorders>
            <w:shd w:val="clear" w:color="auto" w:fill="auto"/>
            <w:noWrap/>
            <w:vAlign w:val="center"/>
            <w:hideMark/>
          </w:tcPr>
          <w:p w14:paraId="6389DBE2" w14:textId="7DFF5CB1"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£505,000</w:t>
            </w:r>
          </w:p>
        </w:tc>
      </w:tr>
      <w:tr w:rsidR="004F76B3" w:rsidRPr="00FE3E9E" w14:paraId="35867776" w14:textId="77777777" w:rsidTr="009B01FB">
        <w:trPr>
          <w:trHeight w:val="315"/>
          <w:jc w:val="center"/>
        </w:trPr>
        <w:tc>
          <w:tcPr>
            <w:tcW w:w="3586" w:type="dxa"/>
            <w:tcBorders>
              <w:top w:val="nil"/>
              <w:left w:val="single" w:sz="4" w:space="0" w:color="808080"/>
              <w:bottom w:val="nil"/>
              <w:right w:val="single" w:sz="8" w:space="0" w:color="808080"/>
            </w:tcBorders>
            <w:shd w:val="clear" w:color="auto" w:fill="auto"/>
            <w:noWrap/>
            <w:vAlign w:val="bottom"/>
            <w:hideMark/>
          </w:tcPr>
          <w:p w14:paraId="40CE943A" w14:textId="34E68825" w:rsidR="004F76B3" w:rsidRPr="00FE3E9E" w:rsidRDefault="004F76B3" w:rsidP="004F76B3">
            <w:pPr>
              <w:rPr>
                <w:rFonts w:ascii="Calibri" w:hAnsi="Calibri"/>
                <w:color w:val="000000"/>
                <w:sz w:val="22"/>
                <w:szCs w:val="22"/>
                <w:lang w:eastAsia="en-GB"/>
              </w:rPr>
            </w:pPr>
            <w:r w:rsidRPr="00FE3E9E">
              <w:rPr>
                <w:rFonts w:ascii="Calibri" w:hAnsi="Calibri"/>
                <w:color w:val="000000"/>
                <w:sz w:val="22"/>
                <w:szCs w:val="22"/>
                <w:lang w:eastAsia="en-GB"/>
              </w:rPr>
              <w:t>Total</w:t>
            </w:r>
            <w:r>
              <w:rPr>
                <w:rFonts w:ascii="Calibri" w:hAnsi="Calibri"/>
                <w:color w:val="000000"/>
                <w:sz w:val="22"/>
                <w:szCs w:val="22"/>
                <w:lang w:eastAsia="en-GB"/>
              </w:rPr>
              <w:t xml:space="preserve"> </w:t>
            </w:r>
            <w:r w:rsidRPr="00966008">
              <w:rPr>
                <w:rFonts w:ascii="Calibri" w:hAnsi="Calibri"/>
                <w:b/>
                <w:color w:val="000000"/>
                <w:sz w:val="22"/>
                <w:szCs w:val="22"/>
                <w:lang w:eastAsia="en-GB"/>
              </w:rPr>
              <w:t>additional</w:t>
            </w:r>
            <w:r>
              <w:rPr>
                <w:rFonts w:ascii="Calibri" w:hAnsi="Calibri"/>
                <w:color w:val="000000"/>
                <w:sz w:val="22"/>
                <w:szCs w:val="22"/>
                <w:lang w:eastAsia="en-GB"/>
              </w:rPr>
              <w:t xml:space="preserve"> </w:t>
            </w:r>
            <w:r w:rsidRPr="00FE3E9E">
              <w:rPr>
                <w:rFonts w:ascii="Calibri" w:hAnsi="Calibri"/>
                <w:color w:val="000000"/>
                <w:sz w:val="22"/>
                <w:szCs w:val="22"/>
                <w:lang w:eastAsia="en-GB"/>
              </w:rPr>
              <w:t xml:space="preserve"> MCA Cost</w:t>
            </w:r>
          </w:p>
        </w:tc>
        <w:tc>
          <w:tcPr>
            <w:tcW w:w="1702" w:type="dxa"/>
            <w:tcBorders>
              <w:top w:val="nil"/>
              <w:left w:val="single" w:sz="8" w:space="0" w:color="808080"/>
              <w:bottom w:val="single" w:sz="8" w:space="0" w:color="808080"/>
              <w:right w:val="nil"/>
            </w:tcBorders>
            <w:shd w:val="clear" w:color="auto" w:fill="auto"/>
            <w:noWrap/>
            <w:vAlign w:val="bottom"/>
            <w:hideMark/>
          </w:tcPr>
          <w:p w14:paraId="50194C70" w14:textId="7051FF05"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£231,000</w:t>
            </w:r>
          </w:p>
        </w:tc>
        <w:tc>
          <w:tcPr>
            <w:tcW w:w="1685" w:type="dxa"/>
            <w:tcBorders>
              <w:top w:val="nil"/>
              <w:left w:val="nil"/>
              <w:bottom w:val="single" w:sz="8" w:space="0" w:color="808080"/>
              <w:right w:val="nil"/>
            </w:tcBorders>
            <w:shd w:val="clear" w:color="auto" w:fill="auto"/>
            <w:noWrap/>
            <w:vAlign w:val="bottom"/>
            <w:hideMark/>
          </w:tcPr>
          <w:p w14:paraId="75963695" w14:textId="71A9C5BC"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£258,000</w:t>
            </w:r>
          </w:p>
        </w:tc>
        <w:tc>
          <w:tcPr>
            <w:tcW w:w="1702" w:type="dxa"/>
            <w:tcBorders>
              <w:top w:val="nil"/>
              <w:left w:val="nil"/>
              <w:bottom w:val="single" w:sz="8" w:space="0" w:color="808080"/>
              <w:right w:val="single" w:sz="8" w:space="0" w:color="808080"/>
            </w:tcBorders>
            <w:shd w:val="clear" w:color="auto" w:fill="auto"/>
            <w:noWrap/>
            <w:vAlign w:val="center"/>
            <w:hideMark/>
          </w:tcPr>
          <w:p w14:paraId="1EB8E06D" w14:textId="22996902"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£338,000</w:t>
            </w:r>
          </w:p>
        </w:tc>
      </w:tr>
      <w:tr w:rsidR="004F76B3" w:rsidRPr="00FE3E9E" w14:paraId="2E03D5EE" w14:textId="77777777" w:rsidTr="009B01FB">
        <w:trPr>
          <w:trHeight w:val="315"/>
          <w:jc w:val="center"/>
        </w:trPr>
        <w:tc>
          <w:tcPr>
            <w:tcW w:w="3586" w:type="dxa"/>
            <w:tcBorders>
              <w:top w:val="single" w:sz="8" w:space="0" w:color="808080"/>
              <w:left w:val="single" w:sz="4" w:space="0" w:color="808080"/>
              <w:bottom w:val="single" w:sz="8" w:space="0" w:color="808080"/>
              <w:right w:val="single" w:sz="8" w:space="0" w:color="808080"/>
            </w:tcBorders>
            <w:shd w:val="clear" w:color="auto" w:fill="auto"/>
            <w:noWrap/>
            <w:vAlign w:val="center"/>
            <w:hideMark/>
          </w:tcPr>
          <w:p w14:paraId="02A1B6BF" w14:textId="63AF8282" w:rsidR="004F76B3" w:rsidRPr="00FE3E9E" w:rsidRDefault="004F76B3" w:rsidP="004F76B3">
            <w:pPr>
              <w:rPr>
                <w:rFonts w:ascii="Calibri" w:hAnsi="Calibri"/>
                <w:color w:val="000000"/>
                <w:sz w:val="22"/>
                <w:szCs w:val="22"/>
                <w:lang w:eastAsia="en-GB"/>
              </w:rPr>
            </w:pPr>
            <w:r w:rsidRPr="00FE3E9E">
              <w:rPr>
                <w:rFonts w:ascii="Calibri" w:hAnsi="Calibri"/>
                <w:color w:val="000000"/>
                <w:sz w:val="22"/>
                <w:szCs w:val="22"/>
                <w:lang w:eastAsia="en-GB"/>
              </w:rPr>
              <w:t xml:space="preserve">Total </w:t>
            </w:r>
            <w:r>
              <w:rPr>
                <w:rFonts w:ascii="Calibri" w:hAnsi="Calibri"/>
                <w:color w:val="000000"/>
                <w:sz w:val="22"/>
                <w:szCs w:val="22"/>
                <w:lang w:eastAsia="en-GB"/>
              </w:rPr>
              <w:t xml:space="preserve">additional </w:t>
            </w:r>
            <w:r w:rsidRPr="00FE3E9E">
              <w:rPr>
                <w:rFonts w:ascii="Calibri" w:hAnsi="Calibri"/>
                <w:color w:val="000000"/>
                <w:sz w:val="22"/>
                <w:szCs w:val="22"/>
                <w:lang w:eastAsia="en-GB"/>
              </w:rPr>
              <w:t>Cost</w:t>
            </w:r>
            <w:r>
              <w:rPr>
                <w:rFonts w:ascii="Calibri" w:hAnsi="Calibri"/>
                <w:color w:val="000000"/>
                <w:sz w:val="22"/>
                <w:szCs w:val="22"/>
                <w:lang w:eastAsia="en-GB"/>
              </w:rPr>
              <w:t xml:space="preserve"> above option 1</w:t>
            </w:r>
          </w:p>
        </w:tc>
        <w:tc>
          <w:tcPr>
            <w:tcW w:w="1702" w:type="dxa"/>
            <w:tcBorders>
              <w:top w:val="nil"/>
              <w:left w:val="nil"/>
              <w:bottom w:val="single" w:sz="8" w:space="0" w:color="808080"/>
              <w:right w:val="nil"/>
            </w:tcBorders>
            <w:shd w:val="clear" w:color="auto" w:fill="auto"/>
            <w:noWrap/>
            <w:vAlign w:val="center"/>
            <w:hideMark/>
          </w:tcPr>
          <w:p w14:paraId="10EC7ECD" w14:textId="24A00135"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£709,000</w:t>
            </w:r>
          </w:p>
        </w:tc>
        <w:tc>
          <w:tcPr>
            <w:tcW w:w="1685" w:type="dxa"/>
            <w:tcBorders>
              <w:top w:val="nil"/>
              <w:left w:val="nil"/>
              <w:bottom w:val="single" w:sz="8" w:space="0" w:color="808080"/>
              <w:right w:val="nil"/>
            </w:tcBorders>
            <w:shd w:val="clear" w:color="auto" w:fill="auto"/>
            <w:noWrap/>
            <w:vAlign w:val="center"/>
            <w:hideMark/>
          </w:tcPr>
          <w:p w14:paraId="5BC947E7" w14:textId="2432EB0A"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£1,102,000</w:t>
            </w:r>
          </w:p>
        </w:tc>
        <w:tc>
          <w:tcPr>
            <w:tcW w:w="1702" w:type="dxa"/>
            <w:tcBorders>
              <w:top w:val="nil"/>
              <w:left w:val="nil"/>
              <w:bottom w:val="single" w:sz="8" w:space="0" w:color="808080"/>
              <w:right w:val="single" w:sz="8" w:space="0" w:color="808080"/>
            </w:tcBorders>
            <w:shd w:val="clear" w:color="auto" w:fill="auto"/>
            <w:noWrap/>
            <w:vAlign w:val="center"/>
            <w:hideMark/>
          </w:tcPr>
          <w:p w14:paraId="53D85A0F" w14:textId="637E8B41" w:rsidR="004F76B3" w:rsidRPr="00D976C6" w:rsidRDefault="004F76B3" w:rsidP="004F76B3">
            <w:pPr>
              <w:rPr>
                <w:rFonts w:ascii="Calibri" w:hAnsi="Calibri"/>
                <w:color w:val="000000"/>
                <w:sz w:val="22"/>
                <w:szCs w:val="22"/>
                <w:highlight w:val="yellow"/>
                <w:lang w:eastAsia="en-GB"/>
              </w:rPr>
            </w:pPr>
            <w:r>
              <w:rPr>
                <w:rFonts w:ascii="Calibri" w:hAnsi="Calibri"/>
                <w:color w:val="000000"/>
                <w:sz w:val="22"/>
                <w:szCs w:val="22"/>
              </w:rPr>
              <w:t>£1,328,000</w:t>
            </w:r>
          </w:p>
        </w:tc>
      </w:tr>
      <w:tr w:rsidR="004F76B3" w:rsidRPr="00FE3E9E" w14:paraId="4FCBC002" w14:textId="77777777" w:rsidTr="009B01FB">
        <w:trPr>
          <w:trHeight w:val="315"/>
          <w:jc w:val="center"/>
        </w:trPr>
        <w:tc>
          <w:tcPr>
            <w:tcW w:w="3586" w:type="dxa"/>
            <w:tcBorders>
              <w:top w:val="single" w:sz="8" w:space="0" w:color="808080"/>
              <w:left w:val="single" w:sz="4" w:space="0" w:color="808080"/>
              <w:bottom w:val="single" w:sz="8" w:space="0" w:color="808080"/>
              <w:right w:val="single" w:sz="8" w:space="0" w:color="808080"/>
            </w:tcBorders>
            <w:shd w:val="clear" w:color="auto" w:fill="auto"/>
            <w:noWrap/>
            <w:vAlign w:val="center"/>
          </w:tcPr>
          <w:p w14:paraId="7C0EA5CE" w14:textId="5691EECF" w:rsidR="004F76B3" w:rsidRPr="00FE3E9E" w:rsidRDefault="004F76B3" w:rsidP="004F76B3">
            <w:pPr>
              <w:rPr>
                <w:rFonts w:ascii="Calibri" w:hAnsi="Calibri"/>
                <w:color w:val="000000"/>
                <w:sz w:val="22"/>
                <w:szCs w:val="22"/>
                <w:lang w:eastAsia="en-GB"/>
              </w:rPr>
            </w:pPr>
            <w:r>
              <w:rPr>
                <w:rFonts w:ascii="Calibri" w:hAnsi="Calibri"/>
                <w:color w:val="000000"/>
                <w:sz w:val="22"/>
                <w:szCs w:val="22"/>
                <w:lang w:eastAsia="en-GB"/>
              </w:rPr>
              <w:t>Total Cost</w:t>
            </w:r>
          </w:p>
        </w:tc>
        <w:tc>
          <w:tcPr>
            <w:tcW w:w="1702" w:type="dxa"/>
            <w:tcBorders>
              <w:top w:val="single" w:sz="8" w:space="0" w:color="808080"/>
              <w:left w:val="nil"/>
              <w:bottom w:val="single" w:sz="8" w:space="0" w:color="808080"/>
              <w:right w:val="nil"/>
            </w:tcBorders>
            <w:shd w:val="clear" w:color="auto" w:fill="auto"/>
            <w:noWrap/>
            <w:vAlign w:val="center"/>
          </w:tcPr>
          <w:p w14:paraId="58FBCDF0" w14:textId="2BA438A5" w:rsidR="004F76B3" w:rsidRPr="00FE3E9E" w:rsidRDefault="004F76B3" w:rsidP="004F76B3">
            <w:pPr>
              <w:rPr>
                <w:rFonts w:ascii="Calibri" w:hAnsi="Calibri"/>
                <w:color w:val="000000"/>
                <w:sz w:val="22"/>
                <w:szCs w:val="22"/>
                <w:lang w:eastAsia="en-GB"/>
              </w:rPr>
            </w:pPr>
            <w:r>
              <w:rPr>
                <w:rFonts w:ascii="Calibri" w:hAnsi="Calibri"/>
                <w:color w:val="000000"/>
                <w:sz w:val="22"/>
                <w:szCs w:val="22"/>
              </w:rPr>
              <w:t>£2,333,000</w:t>
            </w:r>
          </w:p>
        </w:tc>
        <w:tc>
          <w:tcPr>
            <w:tcW w:w="1685" w:type="dxa"/>
            <w:tcBorders>
              <w:top w:val="single" w:sz="8" w:space="0" w:color="808080"/>
              <w:left w:val="nil"/>
              <w:bottom w:val="single" w:sz="8" w:space="0" w:color="808080"/>
              <w:right w:val="nil"/>
            </w:tcBorders>
            <w:shd w:val="clear" w:color="auto" w:fill="auto"/>
            <w:noWrap/>
            <w:vAlign w:val="center"/>
          </w:tcPr>
          <w:p w14:paraId="4F186500" w14:textId="561DE5DC" w:rsidR="004F76B3" w:rsidRPr="00FE3E9E" w:rsidRDefault="004F76B3" w:rsidP="004F76B3">
            <w:pPr>
              <w:rPr>
                <w:rFonts w:ascii="Calibri" w:hAnsi="Calibri"/>
                <w:color w:val="000000"/>
                <w:sz w:val="22"/>
                <w:szCs w:val="22"/>
                <w:lang w:eastAsia="en-GB"/>
              </w:rPr>
            </w:pPr>
            <w:r>
              <w:rPr>
                <w:rFonts w:ascii="Calibri" w:hAnsi="Calibri"/>
                <w:color w:val="000000"/>
                <w:sz w:val="22"/>
                <w:szCs w:val="22"/>
              </w:rPr>
              <w:t>£3,629,000</w:t>
            </w:r>
          </w:p>
        </w:tc>
        <w:tc>
          <w:tcPr>
            <w:tcW w:w="1702" w:type="dxa"/>
            <w:tcBorders>
              <w:top w:val="single" w:sz="8" w:space="0" w:color="808080"/>
              <w:left w:val="nil"/>
              <w:bottom w:val="single" w:sz="8" w:space="0" w:color="808080"/>
              <w:right w:val="single" w:sz="8" w:space="0" w:color="808080"/>
            </w:tcBorders>
            <w:shd w:val="clear" w:color="auto" w:fill="auto"/>
            <w:noWrap/>
            <w:vAlign w:val="center"/>
          </w:tcPr>
          <w:p w14:paraId="75E791A8" w14:textId="5408138B" w:rsidR="004F76B3" w:rsidRPr="00FE3E9E" w:rsidRDefault="004F76B3" w:rsidP="004F76B3">
            <w:pPr>
              <w:rPr>
                <w:rFonts w:ascii="Calibri" w:hAnsi="Calibri"/>
                <w:color w:val="000000"/>
                <w:sz w:val="22"/>
                <w:szCs w:val="22"/>
                <w:lang w:eastAsia="en-GB"/>
              </w:rPr>
            </w:pPr>
            <w:r>
              <w:rPr>
                <w:rFonts w:ascii="Calibri" w:hAnsi="Calibri"/>
                <w:color w:val="000000"/>
                <w:sz w:val="22"/>
                <w:szCs w:val="22"/>
              </w:rPr>
              <w:t>£4,373,000</w:t>
            </w:r>
          </w:p>
        </w:tc>
      </w:tr>
    </w:tbl>
    <w:p w14:paraId="1798B968" w14:textId="77777777" w:rsidR="00084DF9" w:rsidRPr="003061A2" w:rsidRDefault="00084DF9" w:rsidP="003061A2">
      <w:pPr>
        <w:rPr>
          <w:lang w:eastAsia="en-GB"/>
        </w:rPr>
      </w:pPr>
    </w:p>
    <w:p w14:paraId="2D7DE183" w14:textId="4D2770C1" w:rsidR="00A46971" w:rsidRDefault="00A46971" w:rsidP="00A46971">
      <w:pPr>
        <w:pStyle w:val="Heading4"/>
      </w:pPr>
      <w:r>
        <w:t>Non-monetised Costs</w:t>
      </w:r>
    </w:p>
    <w:p w14:paraId="7A4979F4" w14:textId="29CEC32E" w:rsidR="00845E91" w:rsidRDefault="00845E91" w:rsidP="00845E91">
      <w:pPr>
        <w:rPr>
          <w:sz w:val="22"/>
          <w:szCs w:val="22"/>
          <w:lang w:eastAsia="en-GB"/>
        </w:rPr>
      </w:pPr>
      <w:r w:rsidRPr="00B73641">
        <w:rPr>
          <w:sz w:val="22"/>
          <w:szCs w:val="22"/>
          <w:lang w:eastAsia="en-GB"/>
        </w:rPr>
        <w:t>Please refer to the</w:t>
      </w:r>
      <w:r w:rsidR="004F2965">
        <w:rPr>
          <w:sz w:val="22"/>
          <w:szCs w:val="22"/>
          <w:lang w:eastAsia="en-GB"/>
        </w:rPr>
        <w:t xml:space="preserve"> non-</w:t>
      </w:r>
      <w:r w:rsidRPr="00B73641">
        <w:rPr>
          <w:sz w:val="22"/>
          <w:szCs w:val="22"/>
          <w:lang w:eastAsia="en-GB"/>
        </w:rPr>
        <w:t xml:space="preserve">monetised costs in section </w:t>
      </w:r>
      <w:r w:rsidRPr="00B73641">
        <w:rPr>
          <w:sz w:val="22"/>
          <w:szCs w:val="22"/>
          <w:lang w:eastAsia="en-GB"/>
        </w:rPr>
        <w:fldChar w:fldCharType="begin"/>
      </w:r>
      <w:r w:rsidRPr="00B73641">
        <w:rPr>
          <w:sz w:val="22"/>
          <w:szCs w:val="22"/>
          <w:lang w:eastAsia="en-GB"/>
        </w:rPr>
        <w:instrText xml:space="preserve"> REF _Ref512603682 \r \h </w:instrText>
      </w:r>
      <w:r w:rsidRPr="00B73641">
        <w:rPr>
          <w:sz w:val="22"/>
          <w:szCs w:val="22"/>
          <w:lang w:eastAsia="en-GB"/>
        </w:rPr>
      </w:r>
      <w:r w:rsidRPr="00B73641">
        <w:rPr>
          <w:sz w:val="22"/>
          <w:szCs w:val="22"/>
          <w:lang w:eastAsia="en-GB"/>
        </w:rPr>
        <w:fldChar w:fldCharType="separate"/>
      </w:r>
      <w:r w:rsidR="00742166">
        <w:rPr>
          <w:sz w:val="22"/>
          <w:szCs w:val="22"/>
          <w:lang w:eastAsia="en-GB"/>
        </w:rPr>
        <w:t>10.2</w:t>
      </w:r>
      <w:r w:rsidRPr="00B73641">
        <w:rPr>
          <w:sz w:val="22"/>
          <w:szCs w:val="22"/>
          <w:lang w:eastAsia="en-GB"/>
        </w:rPr>
        <w:fldChar w:fldCharType="end"/>
      </w:r>
      <w:r>
        <w:rPr>
          <w:rStyle w:val="FootnoteReference"/>
          <w:lang w:eastAsia="en-GB"/>
        </w:rPr>
        <w:footnoteReference w:id="29"/>
      </w:r>
      <w:r>
        <w:rPr>
          <w:lang w:eastAsia="en-GB"/>
        </w:rPr>
        <w:t xml:space="preserve"> </w:t>
      </w:r>
      <w:r w:rsidRPr="00B73641">
        <w:rPr>
          <w:sz w:val="22"/>
          <w:szCs w:val="22"/>
          <w:lang w:eastAsia="en-GB"/>
        </w:rPr>
        <w:t>for more</w:t>
      </w:r>
      <w:r>
        <w:rPr>
          <w:sz w:val="22"/>
          <w:szCs w:val="22"/>
          <w:lang w:eastAsia="en-GB"/>
        </w:rPr>
        <w:t xml:space="preserve"> details on</w:t>
      </w:r>
      <w:r w:rsidR="004F2965">
        <w:rPr>
          <w:sz w:val="22"/>
          <w:szCs w:val="22"/>
          <w:lang w:eastAsia="en-GB"/>
        </w:rPr>
        <w:t xml:space="preserve"> the non-</w:t>
      </w:r>
      <w:r>
        <w:rPr>
          <w:sz w:val="22"/>
          <w:szCs w:val="22"/>
          <w:lang w:eastAsia="en-GB"/>
        </w:rPr>
        <w:t>monetised costs of O</w:t>
      </w:r>
      <w:r w:rsidRPr="00B73641">
        <w:rPr>
          <w:sz w:val="22"/>
          <w:szCs w:val="22"/>
          <w:lang w:eastAsia="en-GB"/>
        </w:rPr>
        <w:t xml:space="preserve">ption 2. The additional </w:t>
      </w:r>
      <w:r>
        <w:rPr>
          <w:sz w:val="22"/>
          <w:szCs w:val="22"/>
          <w:lang w:eastAsia="en-GB"/>
        </w:rPr>
        <w:t>non-</w:t>
      </w:r>
      <w:r w:rsidRPr="00B73641">
        <w:rPr>
          <w:sz w:val="22"/>
          <w:szCs w:val="22"/>
          <w:lang w:eastAsia="en-GB"/>
        </w:rPr>
        <w:t>monetisable costs that are only incurred under</w:t>
      </w:r>
      <w:r>
        <w:rPr>
          <w:sz w:val="22"/>
          <w:szCs w:val="22"/>
          <w:lang w:eastAsia="en-GB"/>
        </w:rPr>
        <w:t xml:space="preserve"> O</w:t>
      </w:r>
      <w:r w:rsidRPr="00B73641">
        <w:rPr>
          <w:sz w:val="22"/>
          <w:szCs w:val="22"/>
          <w:lang w:eastAsia="en-GB"/>
        </w:rPr>
        <w:t>ption 2 are presented below.</w:t>
      </w:r>
    </w:p>
    <w:p w14:paraId="21418E95" w14:textId="77777777" w:rsidR="005063B8" w:rsidRDefault="005063B8" w:rsidP="00845E91">
      <w:pPr>
        <w:rPr>
          <w:sz w:val="22"/>
          <w:szCs w:val="22"/>
          <w:lang w:eastAsia="en-GB"/>
        </w:rPr>
      </w:pPr>
    </w:p>
    <w:p w14:paraId="4CA1E7E1" w14:textId="3E49C068" w:rsidR="00845E91" w:rsidRPr="00845E91" w:rsidRDefault="0065158B" w:rsidP="00845E91">
      <w:pPr>
        <w:pStyle w:val="Heading5"/>
        <w:rPr>
          <w:lang w:eastAsia="en-GB"/>
        </w:rPr>
      </w:pPr>
      <w:r>
        <w:rPr>
          <w:lang w:eastAsia="en-GB"/>
        </w:rPr>
        <w:t xml:space="preserve">Assessment against </w:t>
      </w:r>
      <w:r w:rsidR="005063B8">
        <w:rPr>
          <w:lang w:eastAsia="en-GB"/>
        </w:rPr>
        <w:t>Classification Society</w:t>
      </w:r>
      <w:r>
        <w:rPr>
          <w:lang w:eastAsia="en-GB"/>
        </w:rPr>
        <w:t xml:space="preserve"> Rules</w:t>
      </w:r>
    </w:p>
    <w:p w14:paraId="71C2ED0D" w14:textId="0DA27514" w:rsidR="00B73641" w:rsidRPr="00AC3584" w:rsidRDefault="00B73641" w:rsidP="00B73641">
      <w:pPr>
        <w:rPr>
          <w:rFonts w:cs="Arial"/>
        </w:rPr>
      </w:pPr>
      <w:r w:rsidRPr="00AF1D09">
        <w:rPr>
          <w:rFonts w:cs="Arial"/>
          <w:sz w:val="22"/>
          <w:szCs w:val="22"/>
        </w:rPr>
        <w:t>As well as encompassing all of the modifications proposed for Option 1 there is a fundame</w:t>
      </w:r>
      <w:r w:rsidR="00F17524" w:rsidRPr="00AF1D09">
        <w:rPr>
          <w:rFonts w:cs="Arial"/>
          <w:sz w:val="22"/>
          <w:szCs w:val="22"/>
        </w:rPr>
        <w:t>ntal difference with the newer r</w:t>
      </w:r>
      <w:r w:rsidRPr="00AF1D09">
        <w:rPr>
          <w:rFonts w:cs="Arial"/>
          <w:sz w:val="22"/>
          <w:szCs w:val="22"/>
        </w:rPr>
        <w:t xml:space="preserve">egulations that ships would be required to comply with under Option 2. </w:t>
      </w:r>
      <w:r w:rsidR="00F17524" w:rsidRPr="00AF1D09">
        <w:rPr>
          <w:rFonts w:cs="Arial"/>
          <w:sz w:val="22"/>
          <w:szCs w:val="22"/>
        </w:rPr>
        <w:t>N</w:t>
      </w:r>
      <w:r w:rsidRPr="00AF1D09">
        <w:rPr>
          <w:rFonts w:cs="Arial"/>
          <w:sz w:val="22"/>
          <w:szCs w:val="22"/>
        </w:rPr>
        <w:t xml:space="preserve">ewer regulations must have their hull and machinery built to Classification Society rules. </w:t>
      </w:r>
      <w:r w:rsidR="00AC3584" w:rsidRPr="00AC3584">
        <w:rPr>
          <w:rFonts w:cs="Arial"/>
          <w:sz w:val="22"/>
          <w:szCs w:val="22"/>
        </w:rPr>
        <w:t>A classification society is a </w:t>
      </w:r>
      <w:hyperlink r:id="rId12" w:tooltip="Non-governmental organization" w:history="1">
        <w:r w:rsidR="00AC3584" w:rsidRPr="00AC3584">
          <w:rPr>
            <w:rFonts w:cs="Arial"/>
            <w:sz w:val="22"/>
            <w:szCs w:val="22"/>
          </w:rPr>
          <w:t>non-governmental organization</w:t>
        </w:r>
      </w:hyperlink>
      <w:r w:rsidR="00AC3584" w:rsidRPr="00AC3584">
        <w:rPr>
          <w:rFonts w:cs="Arial"/>
          <w:sz w:val="22"/>
          <w:szCs w:val="22"/>
        </w:rPr>
        <w:t> that establishes and maintains technical standards for the construction and operation of </w:t>
      </w:r>
      <w:hyperlink r:id="rId13" w:tooltip="Shipping" w:history="1">
        <w:r w:rsidR="00AC3584" w:rsidRPr="00AC3584">
          <w:rPr>
            <w:sz w:val="22"/>
            <w:szCs w:val="22"/>
          </w:rPr>
          <w:t>ships</w:t>
        </w:r>
      </w:hyperlink>
      <w:r w:rsidR="00AC3584" w:rsidRPr="00AC3584">
        <w:rPr>
          <w:rFonts w:cs="Arial"/>
          <w:sz w:val="22"/>
          <w:szCs w:val="22"/>
        </w:rPr>
        <w:t> and </w:t>
      </w:r>
      <w:hyperlink r:id="rId14" w:tooltip="Offshore platform" w:history="1">
        <w:r w:rsidR="00AC3584" w:rsidRPr="00AC3584">
          <w:rPr>
            <w:sz w:val="22"/>
            <w:szCs w:val="22"/>
          </w:rPr>
          <w:t>offshore structures</w:t>
        </w:r>
      </w:hyperlink>
      <w:r w:rsidR="00AC3584">
        <w:rPr>
          <w:rFonts w:cs="Arial"/>
        </w:rPr>
        <w:t xml:space="preserve">. </w:t>
      </w:r>
      <w:r w:rsidRPr="00AF1D09">
        <w:rPr>
          <w:rFonts w:cs="Arial"/>
          <w:sz w:val="22"/>
          <w:szCs w:val="22"/>
        </w:rPr>
        <w:t xml:space="preserve">For certain larger vessels this means that they must be surveyed and certified by a Classification Society, for other vessels the assessment can be done by MCA utilising the rules of a Classification Society. The Classification Society requirements cover such fundamental </w:t>
      </w:r>
      <w:r w:rsidR="00F17524" w:rsidRPr="00AF1D09">
        <w:rPr>
          <w:rFonts w:cs="Arial"/>
          <w:sz w:val="22"/>
          <w:szCs w:val="22"/>
        </w:rPr>
        <w:t>elements of ship design</w:t>
      </w:r>
      <w:r w:rsidRPr="00AF1D09">
        <w:rPr>
          <w:rFonts w:cs="Arial"/>
          <w:sz w:val="22"/>
          <w:szCs w:val="22"/>
        </w:rPr>
        <w:t xml:space="preserve"> as hull thickness and dimensions of key structural aspects as well as requirements for machinery. When a vessel is being built this does </w:t>
      </w:r>
      <w:r w:rsidR="00E37E0A">
        <w:rPr>
          <w:rFonts w:cs="Arial"/>
          <w:sz w:val="22"/>
          <w:szCs w:val="22"/>
        </w:rPr>
        <w:t xml:space="preserve">add </w:t>
      </w:r>
      <w:r w:rsidRPr="00AF1D09">
        <w:rPr>
          <w:rFonts w:cs="Arial"/>
          <w:sz w:val="22"/>
          <w:szCs w:val="22"/>
        </w:rPr>
        <w:t>an additional cost relative to not using Classification Society rules but as it is done from the beginning it is factored into the cost of build.</w:t>
      </w:r>
    </w:p>
    <w:p w14:paraId="5E0D0122" w14:textId="77777777" w:rsidR="00B73641" w:rsidRPr="00AF1D09" w:rsidRDefault="00B73641" w:rsidP="00B73641">
      <w:pPr>
        <w:rPr>
          <w:rFonts w:cs="Arial"/>
          <w:sz w:val="22"/>
          <w:szCs w:val="22"/>
        </w:rPr>
      </w:pPr>
    </w:p>
    <w:p w14:paraId="33F16778" w14:textId="2101FA4E" w:rsidR="00B73641" w:rsidRPr="00AF1D09" w:rsidRDefault="00B73641" w:rsidP="00B73641">
      <w:pPr>
        <w:rPr>
          <w:rFonts w:cs="Arial"/>
          <w:sz w:val="22"/>
          <w:szCs w:val="22"/>
        </w:rPr>
      </w:pPr>
      <w:r w:rsidRPr="00AF1D09">
        <w:rPr>
          <w:rFonts w:cs="Arial"/>
          <w:sz w:val="22"/>
          <w:szCs w:val="22"/>
        </w:rPr>
        <w:t xml:space="preserve">To </w:t>
      </w:r>
      <w:r w:rsidR="005063B8" w:rsidRPr="00AF1D09">
        <w:rPr>
          <w:rFonts w:cs="Arial"/>
          <w:sz w:val="22"/>
          <w:szCs w:val="22"/>
        </w:rPr>
        <w:t>respectively</w:t>
      </w:r>
      <w:r w:rsidRPr="00AF1D09">
        <w:rPr>
          <w:rFonts w:cs="Arial"/>
          <w:sz w:val="22"/>
          <w:szCs w:val="22"/>
        </w:rPr>
        <w:t xml:space="preserve"> reassess an existing vessel against Classification Society rules is significantly more difficult as it is often hard to determine what it was originally built to. All vessels would need to prepare a pre-classification information pack including detailed plans of the vessel structure and systems. It has previously been estimated that the cost of production of this package is in the order of £30-40k per vessel and that is before the survey and assessment costs of the Classification society. As the vessels in the scope of this </w:t>
      </w:r>
      <w:r w:rsidRPr="00AF1D09">
        <w:rPr>
          <w:rFonts w:cs="Arial"/>
          <w:sz w:val="22"/>
          <w:szCs w:val="22"/>
        </w:rPr>
        <w:lastRenderedPageBreak/>
        <w:t>review are all certified by the MCA it means that at some point – either at build or on conversion to a passenger ship their hull structure and machinery has been assessed and accepted by the MCA, this means that the re-assessment against Classification Society rules that would be required by Option 2 is a duplication of cost and effort for operators.</w:t>
      </w:r>
    </w:p>
    <w:p w14:paraId="4F1B3292" w14:textId="77777777" w:rsidR="00B73641" w:rsidRPr="00AF1D09" w:rsidRDefault="00B73641" w:rsidP="00B73641">
      <w:pPr>
        <w:rPr>
          <w:sz w:val="22"/>
          <w:szCs w:val="22"/>
          <w:lang w:eastAsia="en-GB"/>
        </w:rPr>
      </w:pPr>
    </w:p>
    <w:p w14:paraId="616FEBEB" w14:textId="02B854FE" w:rsidR="00B73641" w:rsidRPr="00AF1D09" w:rsidRDefault="00B73641" w:rsidP="00B73641">
      <w:pPr>
        <w:rPr>
          <w:sz w:val="22"/>
          <w:szCs w:val="22"/>
          <w:lang w:eastAsia="en-GB"/>
        </w:rPr>
      </w:pPr>
      <w:r w:rsidRPr="00AF1D09">
        <w:rPr>
          <w:sz w:val="22"/>
          <w:szCs w:val="22"/>
          <w:lang w:eastAsia="en-GB"/>
        </w:rPr>
        <w:t>As outlined above retrospective assessment against Classification Society rules would impose a large burden and duplication of cost and effort. For vessels required to be assessed by the Classification Society themselves (as opposed to the MCA) there is also the issue that Classification Societies can be reluctant to take on such vessels as they may not have appropriate rules for assessment and the vessels will not have been built to modern rules. Classification Societies generally view the approval of such vessels as a liability due to not having been involved at build and will often decline involvement.</w:t>
      </w:r>
    </w:p>
    <w:p w14:paraId="1D97819B" w14:textId="77777777" w:rsidR="005063B8" w:rsidRDefault="005063B8" w:rsidP="00B73641">
      <w:pPr>
        <w:rPr>
          <w:sz w:val="22"/>
          <w:szCs w:val="22"/>
          <w:highlight w:val="yellow"/>
          <w:lang w:eastAsia="en-GB"/>
        </w:rPr>
      </w:pPr>
    </w:p>
    <w:p w14:paraId="2A7DE8EC" w14:textId="12DEF8C5" w:rsidR="00081DE8" w:rsidRPr="00081DE8" w:rsidRDefault="00081DE8" w:rsidP="00081DE8">
      <w:pPr>
        <w:pStyle w:val="Heading5"/>
        <w:rPr>
          <w:lang w:eastAsia="en-GB"/>
        </w:rPr>
      </w:pPr>
      <w:r>
        <w:rPr>
          <w:lang w:eastAsia="en-GB"/>
        </w:rPr>
        <w:t>Compliance</w:t>
      </w:r>
    </w:p>
    <w:p w14:paraId="6CE38C53" w14:textId="63EC5548" w:rsidR="00081DE8" w:rsidRDefault="005063B8" w:rsidP="00081DE8">
      <w:pPr>
        <w:pStyle w:val="EBBodyPara"/>
        <w:keepNext/>
        <w:spacing w:line="256" w:lineRule="auto"/>
      </w:pPr>
      <w:r w:rsidRPr="005063B8">
        <w:t>Cat</w:t>
      </w:r>
      <w:r w:rsidR="00081DE8">
        <w:t>egory</w:t>
      </w:r>
      <w:r w:rsidRPr="005063B8">
        <w:t xml:space="preserve"> B vessels will likely have a difficulty</w:t>
      </w:r>
      <w:r w:rsidR="00081DE8">
        <w:t xml:space="preserve"> complying</w:t>
      </w:r>
      <w:r w:rsidRPr="005063B8">
        <w:t xml:space="preserve"> with the</w:t>
      </w:r>
      <w:r w:rsidR="00DD0134">
        <w:t xml:space="preserve"> additional post-</w:t>
      </w:r>
      <w:r w:rsidRPr="005063B8">
        <w:t>d</w:t>
      </w:r>
      <w:r w:rsidR="00DD0134">
        <w:t>a</w:t>
      </w:r>
      <w:r w:rsidRPr="005063B8">
        <w:t>m</w:t>
      </w:r>
      <w:r w:rsidR="00DD0134">
        <w:t>a</w:t>
      </w:r>
      <w:r w:rsidRPr="005063B8">
        <w:t>g</w:t>
      </w:r>
      <w:r w:rsidR="00DD0134">
        <w:t>e</w:t>
      </w:r>
      <w:r w:rsidRPr="005063B8">
        <w:t xml:space="preserve"> survivability</w:t>
      </w:r>
      <w:r w:rsidR="00DD0134">
        <w:t xml:space="preserve"> requirements that </w:t>
      </w:r>
      <w:r w:rsidR="00AF1D09">
        <w:t xml:space="preserve">they </w:t>
      </w:r>
      <w:r w:rsidR="00DD0134">
        <w:t>will have to adhere to under Option 2</w:t>
      </w:r>
      <w:r w:rsidRPr="005063B8">
        <w:t xml:space="preserve"> as they are generally quite dimensionally constrained due to width of waterway and bridges etc</w:t>
      </w:r>
      <w:r w:rsidR="00081DE8">
        <w:t>. We have not been able to monetise this due to having a lack of reliable data of vessel replacement costs, the type and number of vessels that would need replacing and likelihood that the cost of replacement may be too high for individual operators to purchase a replacement. This is however likely to be</w:t>
      </w:r>
      <w:r w:rsidR="00DD0134">
        <w:t xml:space="preserve"> a significant cost above O</w:t>
      </w:r>
      <w:r w:rsidR="00C9665D">
        <w:t>ption 1 with</w:t>
      </w:r>
      <w:r w:rsidR="00DD0134">
        <w:t xml:space="preserve"> </w:t>
      </w:r>
      <w:r w:rsidR="00C9665D">
        <w:t xml:space="preserve">a </w:t>
      </w:r>
      <w:r w:rsidR="00DD0134">
        <w:t xml:space="preserve">relatively </w:t>
      </w:r>
      <w:r w:rsidR="00C9665D">
        <w:t xml:space="preserve">small </w:t>
      </w:r>
      <w:r w:rsidR="00DD0134">
        <w:t>safety benefit.</w:t>
      </w:r>
    </w:p>
    <w:p w14:paraId="3ABE4548" w14:textId="6FFAB529" w:rsidR="00521129" w:rsidRPr="00AF1D09" w:rsidRDefault="00081DE8" w:rsidP="00521129">
      <w:pPr>
        <w:rPr>
          <w:sz w:val="22"/>
          <w:szCs w:val="22"/>
        </w:rPr>
      </w:pPr>
      <w:r w:rsidRPr="00AF1D09">
        <w:rPr>
          <w:sz w:val="22"/>
          <w:szCs w:val="22"/>
        </w:rPr>
        <w:t>There are many other areas where requirements of newer Regulations differ from those in existing regulations which may result in the older vessels incurring additional cost for compliance. Such differences occur in areas including guard rail heights and the number of stairways to access upper decks. Some of these requirements would be challenging to retrospectively apply – for example fitting an extra stairway. A full gap analysis and assessment of uplift in cos</w:t>
      </w:r>
      <w:r w:rsidR="00DD0134" w:rsidRPr="00AF1D09">
        <w:rPr>
          <w:sz w:val="22"/>
          <w:szCs w:val="22"/>
        </w:rPr>
        <w:t>t has not been carried out for O</w:t>
      </w:r>
      <w:r w:rsidRPr="00AF1D09">
        <w:rPr>
          <w:sz w:val="22"/>
          <w:szCs w:val="22"/>
        </w:rPr>
        <w:t>ption 2 as to do so is not considered proportionate given</w:t>
      </w:r>
      <w:r w:rsidR="00AF1D09" w:rsidRPr="00AF1D09">
        <w:rPr>
          <w:sz w:val="22"/>
          <w:szCs w:val="22"/>
        </w:rPr>
        <w:t xml:space="preserve"> the costs will apply to each vessel individually. This would be a complex and costly process to undertake to obtain the necessary data. </w:t>
      </w:r>
    </w:p>
    <w:p w14:paraId="7D1D7EA4" w14:textId="0EFF48EC" w:rsidR="00A46971" w:rsidRDefault="00A46971" w:rsidP="00A46971">
      <w:pPr>
        <w:pStyle w:val="Heading4"/>
      </w:pPr>
      <w:r>
        <w:t>Monetised Benefits</w:t>
      </w:r>
    </w:p>
    <w:p w14:paraId="1D0965CB" w14:textId="77777777" w:rsidR="00182ACF" w:rsidRPr="00182ACF" w:rsidRDefault="00182ACF" w:rsidP="00182ACF">
      <w:pPr>
        <w:rPr>
          <w:lang w:eastAsia="en-GB"/>
        </w:rPr>
      </w:pPr>
    </w:p>
    <w:p w14:paraId="34CA0090" w14:textId="09D9A4A5" w:rsidR="003061A2" w:rsidRPr="00845E91" w:rsidRDefault="003061A2" w:rsidP="009F01FC">
      <w:pPr>
        <w:spacing w:after="120"/>
        <w:rPr>
          <w:rFonts w:cs="Arial"/>
          <w:bCs/>
          <w:color w:val="000000"/>
          <w:sz w:val="22"/>
          <w:szCs w:val="22"/>
          <w:lang w:eastAsia="en-GB"/>
        </w:rPr>
      </w:pPr>
      <w:r w:rsidRPr="00845E91">
        <w:rPr>
          <w:rFonts w:cs="Arial"/>
          <w:bCs/>
          <w:color w:val="000000"/>
          <w:sz w:val="22"/>
          <w:szCs w:val="22"/>
          <w:lang w:eastAsia="en-GB"/>
        </w:rPr>
        <w:t>Please refer to section</w:t>
      </w:r>
      <w:r w:rsidR="009F01FC" w:rsidRPr="00845E91">
        <w:rPr>
          <w:rFonts w:cs="Arial"/>
          <w:bCs/>
          <w:color w:val="000000"/>
          <w:sz w:val="22"/>
          <w:szCs w:val="22"/>
          <w:lang w:eastAsia="en-GB"/>
        </w:rPr>
        <w:t xml:space="preserve"> </w:t>
      </w:r>
      <w:r w:rsidR="009F01FC" w:rsidRPr="00845E91">
        <w:rPr>
          <w:rFonts w:cs="Arial"/>
          <w:bCs/>
          <w:color w:val="000000"/>
          <w:sz w:val="22"/>
          <w:szCs w:val="22"/>
          <w:lang w:eastAsia="en-GB"/>
        </w:rPr>
        <w:fldChar w:fldCharType="begin"/>
      </w:r>
      <w:r w:rsidR="009F01FC" w:rsidRPr="00845E91">
        <w:rPr>
          <w:rFonts w:cs="Arial"/>
          <w:bCs/>
          <w:color w:val="000000"/>
          <w:sz w:val="22"/>
          <w:szCs w:val="22"/>
          <w:lang w:eastAsia="en-GB"/>
        </w:rPr>
        <w:instrText xml:space="preserve"> REF _Ref518990435 \r \h </w:instrText>
      </w:r>
      <w:r w:rsidR="00845E91">
        <w:rPr>
          <w:rFonts w:cs="Arial"/>
          <w:bCs/>
          <w:color w:val="000000"/>
          <w:sz w:val="22"/>
          <w:szCs w:val="22"/>
          <w:lang w:eastAsia="en-GB"/>
        </w:rPr>
        <w:instrText xml:space="preserve"> \* MERGEFORMAT </w:instrText>
      </w:r>
      <w:r w:rsidR="009F01FC" w:rsidRPr="00845E91">
        <w:rPr>
          <w:rFonts w:cs="Arial"/>
          <w:bCs/>
          <w:color w:val="000000"/>
          <w:sz w:val="22"/>
          <w:szCs w:val="22"/>
          <w:lang w:eastAsia="en-GB"/>
        </w:rPr>
      </w:r>
      <w:r w:rsidR="009F01FC" w:rsidRPr="00845E91">
        <w:rPr>
          <w:rFonts w:cs="Arial"/>
          <w:bCs/>
          <w:color w:val="000000"/>
          <w:sz w:val="22"/>
          <w:szCs w:val="22"/>
          <w:lang w:eastAsia="en-GB"/>
        </w:rPr>
        <w:fldChar w:fldCharType="separate"/>
      </w:r>
      <w:r w:rsidR="00742166">
        <w:rPr>
          <w:rFonts w:cs="Arial"/>
          <w:bCs/>
          <w:color w:val="000000"/>
          <w:sz w:val="22"/>
          <w:szCs w:val="22"/>
          <w:lang w:eastAsia="en-GB"/>
        </w:rPr>
        <w:t>10.2.1.3</w:t>
      </w:r>
      <w:r w:rsidR="009F01FC" w:rsidRPr="00845E91">
        <w:rPr>
          <w:rFonts w:cs="Arial"/>
          <w:bCs/>
          <w:color w:val="000000"/>
          <w:sz w:val="22"/>
          <w:szCs w:val="22"/>
          <w:lang w:eastAsia="en-GB"/>
        </w:rPr>
        <w:fldChar w:fldCharType="end"/>
      </w:r>
      <w:r w:rsidRPr="00845E91">
        <w:rPr>
          <w:rFonts w:cs="Arial"/>
          <w:bCs/>
          <w:color w:val="000000"/>
          <w:sz w:val="22"/>
          <w:szCs w:val="22"/>
          <w:lang w:eastAsia="en-GB"/>
        </w:rPr>
        <w:t xml:space="preserve"> for the monetised benefits of option 2. We have not monetised any additional benefits.</w:t>
      </w:r>
    </w:p>
    <w:p w14:paraId="6F90544F" w14:textId="729D40B3" w:rsidR="00A46971" w:rsidRDefault="00A46971" w:rsidP="00A46971">
      <w:pPr>
        <w:pStyle w:val="Heading4"/>
      </w:pPr>
      <w:r>
        <w:t>Non-monetised Benefits</w:t>
      </w:r>
    </w:p>
    <w:p w14:paraId="4956A458" w14:textId="76923C29" w:rsidR="004F2965" w:rsidRDefault="004F2965" w:rsidP="004F2965">
      <w:pPr>
        <w:rPr>
          <w:lang w:eastAsia="en-GB"/>
        </w:rPr>
      </w:pPr>
      <w:r w:rsidRPr="00B73641">
        <w:rPr>
          <w:sz w:val="22"/>
          <w:szCs w:val="22"/>
          <w:lang w:eastAsia="en-GB"/>
        </w:rPr>
        <w:t>Please refer to the</w:t>
      </w:r>
      <w:r>
        <w:rPr>
          <w:sz w:val="22"/>
          <w:szCs w:val="22"/>
          <w:lang w:eastAsia="en-GB"/>
        </w:rPr>
        <w:t xml:space="preserve"> non-monetised benefits</w:t>
      </w:r>
      <w:r w:rsidRPr="00B73641">
        <w:rPr>
          <w:sz w:val="22"/>
          <w:szCs w:val="22"/>
          <w:lang w:eastAsia="en-GB"/>
        </w:rPr>
        <w:t xml:space="preserve"> in section </w:t>
      </w:r>
      <w:r w:rsidRPr="00B73641">
        <w:rPr>
          <w:sz w:val="22"/>
          <w:szCs w:val="22"/>
          <w:lang w:eastAsia="en-GB"/>
        </w:rPr>
        <w:fldChar w:fldCharType="begin"/>
      </w:r>
      <w:r w:rsidRPr="00B73641">
        <w:rPr>
          <w:sz w:val="22"/>
          <w:szCs w:val="22"/>
          <w:lang w:eastAsia="en-GB"/>
        </w:rPr>
        <w:instrText xml:space="preserve"> REF _Ref512603682 \r \h </w:instrText>
      </w:r>
      <w:r w:rsidRPr="00B73641">
        <w:rPr>
          <w:sz w:val="22"/>
          <w:szCs w:val="22"/>
          <w:lang w:eastAsia="en-GB"/>
        </w:rPr>
      </w:r>
      <w:r w:rsidRPr="00B73641">
        <w:rPr>
          <w:sz w:val="22"/>
          <w:szCs w:val="22"/>
          <w:lang w:eastAsia="en-GB"/>
        </w:rPr>
        <w:fldChar w:fldCharType="separate"/>
      </w:r>
      <w:r w:rsidR="00742166">
        <w:rPr>
          <w:sz w:val="22"/>
          <w:szCs w:val="22"/>
          <w:lang w:eastAsia="en-GB"/>
        </w:rPr>
        <w:t>10.2</w:t>
      </w:r>
      <w:r w:rsidRPr="00B73641">
        <w:rPr>
          <w:sz w:val="22"/>
          <w:szCs w:val="22"/>
          <w:lang w:eastAsia="en-GB"/>
        </w:rPr>
        <w:fldChar w:fldCharType="end"/>
      </w:r>
      <w:r>
        <w:rPr>
          <w:rStyle w:val="FootnoteReference"/>
          <w:lang w:eastAsia="en-GB"/>
        </w:rPr>
        <w:footnoteReference w:id="30"/>
      </w:r>
      <w:r>
        <w:rPr>
          <w:lang w:eastAsia="en-GB"/>
        </w:rPr>
        <w:t xml:space="preserve"> </w:t>
      </w:r>
      <w:r w:rsidRPr="00B73641">
        <w:rPr>
          <w:sz w:val="22"/>
          <w:szCs w:val="22"/>
          <w:lang w:eastAsia="en-GB"/>
        </w:rPr>
        <w:t>for more</w:t>
      </w:r>
      <w:r>
        <w:rPr>
          <w:sz w:val="22"/>
          <w:szCs w:val="22"/>
          <w:lang w:eastAsia="en-GB"/>
        </w:rPr>
        <w:t xml:space="preserve"> details on the non-monetised </w:t>
      </w:r>
      <w:r w:rsidR="00256952">
        <w:rPr>
          <w:sz w:val="22"/>
          <w:szCs w:val="22"/>
          <w:lang w:eastAsia="en-GB"/>
        </w:rPr>
        <w:t>benefits</w:t>
      </w:r>
      <w:r>
        <w:rPr>
          <w:sz w:val="22"/>
          <w:szCs w:val="22"/>
          <w:lang w:eastAsia="en-GB"/>
        </w:rPr>
        <w:t xml:space="preserve"> of O</w:t>
      </w:r>
      <w:r w:rsidRPr="00B73641">
        <w:rPr>
          <w:sz w:val="22"/>
          <w:szCs w:val="22"/>
          <w:lang w:eastAsia="en-GB"/>
        </w:rPr>
        <w:t xml:space="preserve">ption 2. The additional </w:t>
      </w:r>
      <w:r>
        <w:rPr>
          <w:sz w:val="22"/>
          <w:szCs w:val="22"/>
          <w:lang w:eastAsia="en-GB"/>
        </w:rPr>
        <w:t>non-</w:t>
      </w:r>
      <w:r w:rsidRPr="00B73641">
        <w:rPr>
          <w:sz w:val="22"/>
          <w:szCs w:val="22"/>
          <w:lang w:eastAsia="en-GB"/>
        </w:rPr>
        <w:t xml:space="preserve">monetisable </w:t>
      </w:r>
      <w:r w:rsidR="00256952">
        <w:rPr>
          <w:sz w:val="22"/>
          <w:szCs w:val="22"/>
          <w:lang w:eastAsia="en-GB"/>
        </w:rPr>
        <w:t xml:space="preserve">benefits </w:t>
      </w:r>
      <w:r w:rsidRPr="00B73641">
        <w:rPr>
          <w:sz w:val="22"/>
          <w:szCs w:val="22"/>
          <w:lang w:eastAsia="en-GB"/>
        </w:rPr>
        <w:t>that are only incurred under</w:t>
      </w:r>
      <w:r>
        <w:rPr>
          <w:sz w:val="22"/>
          <w:szCs w:val="22"/>
          <w:lang w:eastAsia="en-GB"/>
        </w:rPr>
        <w:t xml:space="preserve"> O</w:t>
      </w:r>
      <w:r w:rsidRPr="00B73641">
        <w:rPr>
          <w:sz w:val="22"/>
          <w:szCs w:val="22"/>
          <w:lang w:eastAsia="en-GB"/>
        </w:rPr>
        <w:t>ption 2 are presented below.</w:t>
      </w:r>
    </w:p>
    <w:p w14:paraId="0BBA2C30" w14:textId="77777777" w:rsidR="009420A5" w:rsidRPr="00256952" w:rsidRDefault="009420A5" w:rsidP="009420A5">
      <w:pPr>
        <w:rPr>
          <w:sz w:val="22"/>
          <w:szCs w:val="22"/>
          <w:lang w:eastAsia="en-GB"/>
        </w:rPr>
      </w:pPr>
    </w:p>
    <w:p w14:paraId="61F20E4E" w14:textId="77777777" w:rsidR="009611A5" w:rsidRPr="00051648" w:rsidRDefault="009611A5" w:rsidP="009611A5">
      <w:pPr>
        <w:rPr>
          <w:sz w:val="22"/>
          <w:szCs w:val="22"/>
          <w:lang w:eastAsia="en-GB"/>
        </w:rPr>
      </w:pPr>
      <w:r w:rsidRPr="00051648">
        <w:rPr>
          <w:sz w:val="22"/>
          <w:szCs w:val="22"/>
          <w:lang w:eastAsia="en-GB"/>
        </w:rPr>
        <w:t>Option 2 would confer some safety benefit over Option 1 most notably in extending the post-damage survivability requirements to Class V(B) vessels and Class V(C) non-tidal. It is considered however that such benefit will be small as vessels in these areas are at lower risk from incurring damage in the first place, principally due to lower risk of collision due to lack of larger vessels.</w:t>
      </w:r>
    </w:p>
    <w:p w14:paraId="1E1BA4AC" w14:textId="77777777" w:rsidR="009611A5" w:rsidRPr="009611A5" w:rsidRDefault="009611A5" w:rsidP="009611A5">
      <w:pPr>
        <w:rPr>
          <w:sz w:val="22"/>
          <w:szCs w:val="22"/>
          <w:highlight w:val="yellow"/>
          <w:lang w:eastAsia="en-GB"/>
        </w:rPr>
      </w:pPr>
    </w:p>
    <w:p w14:paraId="25892843" w14:textId="77777777" w:rsidR="009611A5" w:rsidRPr="00051648" w:rsidRDefault="009611A5" w:rsidP="009611A5">
      <w:pPr>
        <w:rPr>
          <w:sz w:val="22"/>
          <w:szCs w:val="22"/>
          <w:lang w:eastAsia="en-GB"/>
        </w:rPr>
      </w:pPr>
      <w:r w:rsidRPr="00051648">
        <w:rPr>
          <w:sz w:val="22"/>
          <w:szCs w:val="22"/>
          <w:lang w:eastAsia="en-GB"/>
        </w:rPr>
        <w:t>Whilst there are other areas of the newer Regulations where there will be a safety benefit it is considered that the changes proposed under Option 1 encompass the key safety areas where the changes are most needed and that the safety benefits of making the additional changes that Option 2 requires will not outweigh the additional costs.</w:t>
      </w:r>
    </w:p>
    <w:p w14:paraId="19DA5AA6" w14:textId="77777777" w:rsidR="009611A5" w:rsidRPr="009611A5" w:rsidRDefault="009611A5" w:rsidP="009611A5">
      <w:pPr>
        <w:rPr>
          <w:sz w:val="22"/>
          <w:szCs w:val="22"/>
          <w:highlight w:val="yellow"/>
          <w:lang w:eastAsia="en-GB"/>
        </w:rPr>
      </w:pPr>
    </w:p>
    <w:p w14:paraId="68D450A5" w14:textId="0648F870" w:rsidR="009611A5" w:rsidRPr="00051648" w:rsidRDefault="009611A5" w:rsidP="009611A5">
      <w:pPr>
        <w:rPr>
          <w:sz w:val="22"/>
          <w:szCs w:val="22"/>
          <w:lang w:eastAsia="en-GB"/>
        </w:rPr>
      </w:pPr>
      <w:r w:rsidRPr="00051648">
        <w:rPr>
          <w:sz w:val="22"/>
          <w:szCs w:val="22"/>
          <w:lang w:eastAsia="en-GB"/>
        </w:rPr>
        <w:t>From the point of view of certification and enforcement a theoretical benefit of Option 2 is that there would no longer be separate Regulations in force and it would be much simpler to understand what ea</w:t>
      </w:r>
      <w:r w:rsidR="00081DE8" w:rsidRPr="00051648">
        <w:rPr>
          <w:sz w:val="22"/>
          <w:szCs w:val="22"/>
          <w:lang w:eastAsia="en-GB"/>
        </w:rPr>
        <w:t>ch vessel must do. In reality if</w:t>
      </w:r>
      <w:r w:rsidRPr="00051648">
        <w:rPr>
          <w:sz w:val="22"/>
          <w:szCs w:val="22"/>
          <w:lang w:eastAsia="en-GB"/>
        </w:rPr>
        <w:t xml:space="preserve"> Option 2 were pursued it is considered likely that many vessels would be carrying exemptions and in effect have a bespoke compliance regime. Option 2 would remove the incentive to </w:t>
      </w:r>
      <w:r w:rsidRPr="00051648">
        <w:rPr>
          <w:sz w:val="22"/>
          <w:szCs w:val="22"/>
          <w:lang w:eastAsia="en-GB"/>
        </w:rPr>
        <w:lastRenderedPageBreak/>
        <w:t xml:space="preserve">maintain old </w:t>
      </w:r>
      <w:r w:rsidR="00051648">
        <w:rPr>
          <w:sz w:val="22"/>
          <w:szCs w:val="22"/>
          <w:lang w:eastAsia="en-GB"/>
        </w:rPr>
        <w:t>ships</w:t>
      </w:r>
      <w:r w:rsidRPr="00051648">
        <w:rPr>
          <w:sz w:val="22"/>
          <w:szCs w:val="22"/>
          <w:lang w:eastAsia="en-GB"/>
        </w:rPr>
        <w:t xml:space="preserve"> but potentially at the expense of putting much of the existing fleet out of viable economic operation.</w:t>
      </w:r>
    </w:p>
    <w:p w14:paraId="4DF3CE75" w14:textId="73FA2BC1" w:rsidR="005D21B7" w:rsidRDefault="005D21B7" w:rsidP="00592B63">
      <w:pPr>
        <w:pStyle w:val="Heading2"/>
      </w:pPr>
      <w:r>
        <w:t>Proportionality</w:t>
      </w:r>
    </w:p>
    <w:p w14:paraId="1D4441DC" w14:textId="77777777" w:rsidR="005D21B7" w:rsidRDefault="005D21B7" w:rsidP="005D21B7">
      <w:pPr>
        <w:pStyle w:val="EBBodyPara"/>
      </w:pPr>
      <w:r>
        <w:t xml:space="preserve">The impact is not expected to fall disproportionately on a specific group. However, it is recognised that there will be substantial impact across the domestic passenger shipping industry. The effect of the proposed policy has been quantified </w:t>
      </w:r>
      <w:r w:rsidR="0074315C">
        <w:t>and monetised wherever possible</w:t>
      </w:r>
      <w:r>
        <w:t xml:space="preserve">. Where it has not been possible to monetise the costs and benefits of the proposed regulation, the </w:t>
      </w:r>
      <w:r w:rsidR="00D43399">
        <w:t>I</w:t>
      </w:r>
      <w:r>
        <w:t xml:space="preserve">mpact </w:t>
      </w:r>
      <w:r w:rsidR="00D43399">
        <w:t>A</w:t>
      </w:r>
      <w:r>
        <w:t>ssessment has included a</w:t>
      </w:r>
      <w:r w:rsidR="0074315C">
        <w:t xml:space="preserve"> qualitative</w:t>
      </w:r>
      <w:r>
        <w:t xml:space="preserve"> description of the impact.</w:t>
      </w:r>
    </w:p>
    <w:p w14:paraId="5E9F6937" w14:textId="77777777" w:rsidR="005D21B7" w:rsidRDefault="005D21B7" w:rsidP="005D21B7">
      <w:pPr>
        <w:pStyle w:val="EBBodyPara"/>
      </w:pPr>
      <w:r>
        <w:t xml:space="preserve">Costs have not been monetised where there is a very low impact or insufficient information available. Information may not be available due to substantial differences between vessels as they have been built or modified to individual specifications and operate under different operating models and geographic areas. To fully monetise all aspects of the impact, substantial engineering evaluation of each vessel would need to be carried out. To do this, substantial data would need to be gathered, in some instances the required information would need to be produced at the expense of the operators. It is judged that this level of analysis is not proportionate or justified. Similarly, fully monetised costs are not possible due to the lack of vessel specific information. </w:t>
      </w:r>
    </w:p>
    <w:p w14:paraId="24944A15" w14:textId="77777777" w:rsidR="005D21B7" w:rsidRDefault="005D21B7" w:rsidP="005D21B7">
      <w:pPr>
        <w:pStyle w:val="EBBodyPara"/>
      </w:pPr>
      <w:r>
        <w:t xml:space="preserve">Data is available, through records and certificates compiled and kept by the MCA. This data has been used throughout this assessment. </w:t>
      </w:r>
      <w:r w:rsidR="00D43399">
        <w:t xml:space="preserve">FSA </w:t>
      </w:r>
      <w:r>
        <w:t>and cost benefit analysis has previously been carried out and incorporated into this impact assessment.</w:t>
      </w:r>
    </w:p>
    <w:p w14:paraId="67EADF11" w14:textId="77777777" w:rsidR="005D21B7" w:rsidRDefault="005D21B7" w:rsidP="005D21B7">
      <w:pPr>
        <w:pStyle w:val="EBBodyPara"/>
      </w:pPr>
      <w:r>
        <w:t xml:space="preserve">Formal research into technical aspects has been carried out in the </w:t>
      </w:r>
      <w:r w:rsidR="00F37425">
        <w:t>past but</w:t>
      </w:r>
      <w:r>
        <w:t xml:space="preserve"> has yielded little worthwhile results. Therefore, no new research has been commissioned as it is not felt that this would be cost-effective. </w:t>
      </w:r>
    </w:p>
    <w:p w14:paraId="387C8E68" w14:textId="77777777" w:rsidR="005D21B7" w:rsidRDefault="005D21B7" w:rsidP="00E43086">
      <w:pPr>
        <w:pStyle w:val="Heading3"/>
      </w:pPr>
      <w:r w:rsidRPr="00E43086">
        <w:t>Certainty</w:t>
      </w:r>
      <w:r>
        <w:t xml:space="preserve"> of impacts</w:t>
      </w:r>
    </w:p>
    <w:p w14:paraId="1D6FEF98" w14:textId="77777777" w:rsidR="005D21B7" w:rsidRDefault="005D21B7" w:rsidP="005D21B7">
      <w:pPr>
        <w:pStyle w:val="EBBodyPara"/>
      </w:pPr>
      <w:r>
        <w:t xml:space="preserve">For many the proposals, the impacts are relatively certain. For some aspects, where specific information is not </w:t>
      </w:r>
      <w:r w:rsidR="002E55B5">
        <w:t>available,</w:t>
      </w:r>
      <w:r>
        <w:t xml:space="preserve"> or engineering analysis is required first, the impact is less certain. </w:t>
      </w:r>
    </w:p>
    <w:p w14:paraId="6A475C74" w14:textId="77777777" w:rsidR="005D21B7" w:rsidRDefault="005D21B7" w:rsidP="005D21B7">
      <w:pPr>
        <w:pStyle w:val="EBBodyPara"/>
      </w:pPr>
      <w:r>
        <w:t xml:space="preserve">It is not possible to give an exact figure for the number of vessels affected by some aspects of the proposed regulations. Where this is the case, sensible technical assumptions have been about the vessels to produce estimate which is as accurate as possible. </w:t>
      </w:r>
    </w:p>
    <w:p w14:paraId="4EB2BDDC" w14:textId="77777777" w:rsidR="005D21B7" w:rsidRDefault="005D21B7" w:rsidP="00E43086">
      <w:pPr>
        <w:pStyle w:val="Heading3"/>
      </w:pPr>
      <w:r>
        <w:t xml:space="preserve">Policy and evidence </w:t>
      </w:r>
      <w:r w:rsidRPr="00E43086">
        <w:t>development</w:t>
      </w:r>
    </w:p>
    <w:p w14:paraId="3A2A7418" w14:textId="77777777" w:rsidR="005D21B7" w:rsidRDefault="005D21B7" w:rsidP="005D21B7">
      <w:pPr>
        <w:pStyle w:val="EBBodyPara"/>
        <w:keepNext/>
      </w:pPr>
      <w:r>
        <w:t>At the early stages of policy development industry working groups were established with operators who may be affected. The working groups were made up of different size of operators which reflect the industry and industry associations. Three working groups were held between 15</w:t>
      </w:r>
      <w:r>
        <w:rPr>
          <w:vertAlign w:val="superscript"/>
        </w:rPr>
        <w:t>th</w:t>
      </w:r>
      <w:r>
        <w:t xml:space="preserve"> April 2016 and 21</w:t>
      </w:r>
      <w:r>
        <w:rPr>
          <w:vertAlign w:val="superscript"/>
        </w:rPr>
        <w:t>st</w:t>
      </w:r>
      <w:r>
        <w:t xml:space="preserve"> July 2016 with 48 operators and industry representatives. These groups identified areas in which regulations could be amended and the impact this may have. </w:t>
      </w:r>
    </w:p>
    <w:p w14:paraId="09B48806" w14:textId="77777777" w:rsidR="005D21B7" w:rsidRDefault="005D21B7" w:rsidP="005D21B7">
      <w:pPr>
        <w:pStyle w:val="EBBodyPara"/>
        <w:keepNext/>
      </w:pPr>
      <w:r>
        <w:t>Following the working groups an information gathering questionnaire was sent out to industry on 1</w:t>
      </w:r>
      <w:r>
        <w:rPr>
          <w:vertAlign w:val="superscript"/>
        </w:rPr>
        <w:t>st</w:t>
      </w:r>
      <w:r>
        <w:t xml:space="preserve"> December 2016. 24 responses were gathered which represents 94 vessels. This questionnaire informed the impact of the regulations and allowed the policy to be refined where necessary. </w:t>
      </w:r>
    </w:p>
    <w:p w14:paraId="6DD316B5" w14:textId="77777777" w:rsidR="005D21B7" w:rsidRDefault="005D21B7" w:rsidP="005D21B7">
      <w:pPr>
        <w:pStyle w:val="EBBodyPara"/>
        <w:keepNext/>
      </w:pPr>
      <w:r>
        <w:t xml:space="preserve">Further analysis was carried out by way of industry visits to gather high quality information and refine policy options. This consisted of 5 visits to operators. </w:t>
      </w:r>
    </w:p>
    <w:p w14:paraId="561B175D" w14:textId="77777777" w:rsidR="005D21B7" w:rsidRDefault="005D21B7" w:rsidP="005D21B7">
      <w:pPr>
        <w:pStyle w:val="EBBodyPara"/>
        <w:keepNext/>
      </w:pPr>
      <w:r>
        <w:t xml:space="preserve">This work was specific to the review and in addition to regular stakeholder engagement as part of the MCAs ongoing commitment to the industry which primarily consists of the Domestic Passenger Ship Steering Group with 42 members and RoRo steering group with 12 members. </w:t>
      </w:r>
    </w:p>
    <w:p w14:paraId="685C1D21" w14:textId="77777777" w:rsidR="005D21B7" w:rsidRDefault="005D21B7" w:rsidP="005D21B7">
      <w:pPr>
        <w:pStyle w:val="EBBodyPara"/>
        <w:keepNext/>
      </w:pPr>
      <w:r>
        <w:t xml:space="preserve">Monetised costs were gathered from the wider industry through the information gathering exercise. This was refined using freely available information on the cost of equipment. Targeted consultation and information </w:t>
      </w:r>
      <w:r>
        <w:lastRenderedPageBreak/>
        <w:t>gathering was carried out with equipment suppliers’ shipyards and operators to give fully monetised cost for indicative vessels.</w:t>
      </w:r>
    </w:p>
    <w:p w14:paraId="30D66CBB" w14:textId="77777777" w:rsidR="005D21B7" w:rsidRDefault="005D21B7" w:rsidP="005D21B7">
      <w:pPr>
        <w:pStyle w:val="Heading2"/>
      </w:pPr>
      <w:r>
        <w:t>Risks</w:t>
      </w:r>
    </w:p>
    <w:p w14:paraId="2D16116F" w14:textId="77777777" w:rsidR="005D21B7" w:rsidRDefault="005D21B7" w:rsidP="00E43086">
      <w:pPr>
        <w:pStyle w:val="Heading3"/>
      </w:pPr>
      <w:r>
        <w:t xml:space="preserve">Risks on </w:t>
      </w:r>
      <w:r w:rsidRPr="00E43086">
        <w:t>implementing</w:t>
      </w:r>
      <w:r>
        <w:t xml:space="preserve"> the proposed changes</w:t>
      </w:r>
    </w:p>
    <w:p w14:paraId="42A79E73" w14:textId="77777777" w:rsidR="005D21B7" w:rsidRDefault="005D21B7" w:rsidP="005D21B7">
      <w:pPr>
        <w:pStyle w:val="EBBodyPara"/>
      </w:pPr>
      <w:r>
        <w:t xml:space="preserve">This is a tailored option and would close the most significant safety gaps between regulations for new and existing ships without requiring a wholesale reassessment of the vessel. </w:t>
      </w:r>
    </w:p>
    <w:p w14:paraId="3376746D" w14:textId="77777777" w:rsidR="005D21B7" w:rsidRDefault="005D21B7" w:rsidP="005D21B7">
      <w:pPr>
        <w:pStyle w:val="EBBodyPara"/>
      </w:pPr>
      <w:r>
        <w:t xml:space="preserve">These measures are intended to align the safety standard applied to new and existing vessels in key areas and provide a significant improvement in safety. The measures may not prevent catastrophic accidents from occurring, such as capsizing of vessels following a collision. </w:t>
      </w:r>
    </w:p>
    <w:p w14:paraId="625D3A7C" w14:textId="77777777" w:rsidR="005D21B7" w:rsidRDefault="005D21B7" w:rsidP="00E43086">
      <w:pPr>
        <w:pStyle w:val="Heading3"/>
      </w:pPr>
      <w:r>
        <w:t xml:space="preserve">Risks of </w:t>
      </w:r>
      <w:r w:rsidRPr="00E43086">
        <w:t>doing</w:t>
      </w:r>
      <w:r>
        <w:t xml:space="preserve"> nothing</w:t>
      </w:r>
    </w:p>
    <w:p w14:paraId="2D998C6D" w14:textId="77777777" w:rsidR="005D21B7" w:rsidRDefault="005D21B7" w:rsidP="005D21B7">
      <w:pPr>
        <w:pStyle w:val="EBBodyPara"/>
      </w:pPr>
      <w:r>
        <w:t>The consequences of doing nothing is that standards cannot be raised. Any improvements would need to be voluntarily adopted which would lead to an uneven ‘playing field’ for operators and would mean that safety improvements on the worst vessels could not be enforced. The identified risks would thus be perpetuated.</w:t>
      </w:r>
    </w:p>
    <w:p w14:paraId="76AD0238" w14:textId="77777777" w:rsidR="005D21B7" w:rsidRDefault="005D21B7" w:rsidP="005D21B7">
      <w:pPr>
        <w:pStyle w:val="EBBodyPara"/>
      </w:pPr>
      <w:r>
        <w:t xml:space="preserve">Doing nothing would not address the safety gaps between older vessels and those built to new standards. Whilst major improvements have been achieved since the Marchioness tragedy the reality is that safety gaps in some areas mean that the consequences of such an incident have not appreciably changed. Without regulatory amendment, market failures will continue. </w:t>
      </w:r>
    </w:p>
    <w:p w14:paraId="663B0944" w14:textId="77777777" w:rsidR="005D21B7" w:rsidRDefault="005D21B7" w:rsidP="005D21B7">
      <w:pPr>
        <w:pStyle w:val="Heading2"/>
      </w:pPr>
      <w:r>
        <w:t>Wider impacts</w:t>
      </w:r>
    </w:p>
    <w:p w14:paraId="01DF5757" w14:textId="77777777" w:rsidR="005D21B7" w:rsidRDefault="005D21B7" w:rsidP="00E43086">
      <w:pPr>
        <w:pStyle w:val="Heading3"/>
      </w:pPr>
      <w:r>
        <w:t>Equality Impact Assessment</w:t>
      </w:r>
    </w:p>
    <w:p w14:paraId="70264BB7" w14:textId="77777777" w:rsidR="005D21B7" w:rsidRDefault="005D21B7" w:rsidP="005D21B7">
      <w:pPr>
        <w:pStyle w:val="EBBodyPara"/>
      </w:pPr>
      <w:r>
        <w:t>Persons of reduced mobility will benefit from the carriage of liferafts and lifejackets in the event of an emergency. The MCA considers that there are no other effects, positive or negative, on outcomes for persons in relation to their age, disability, gender assignment, pregnancy and maternity, race, religion or belief, sex and sexual orientation</w:t>
      </w:r>
      <w:r w:rsidR="0038147C">
        <w:t>.</w:t>
      </w:r>
    </w:p>
    <w:p w14:paraId="0833A4A5" w14:textId="77777777" w:rsidR="005D21B7" w:rsidRDefault="005D21B7" w:rsidP="00E43086">
      <w:pPr>
        <w:pStyle w:val="Heading3"/>
      </w:pPr>
      <w:r>
        <w:t>Small and Micro Business Assessment</w:t>
      </w:r>
    </w:p>
    <w:p w14:paraId="40400D68" w14:textId="77777777" w:rsidR="005D21B7" w:rsidRDefault="005D21B7" w:rsidP="005D21B7">
      <w:pPr>
        <w:pStyle w:val="EBBodyPara"/>
        <w:keepNext/>
      </w:pPr>
      <w:r>
        <w:t xml:space="preserve">A large proportion of the domestic passenger ship industry are small firms and the new regulations apply across the board, so no one area of this industry is penalised over others. </w:t>
      </w:r>
    </w:p>
    <w:p w14:paraId="744F22D9" w14:textId="77777777" w:rsidR="006E15E5" w:rsidRDefault="005D21B7" w:rsidP="00B01A59">
      <w:pPr>
        <w:pStyle w:val="EBBodyPara"/>
        <w:keepNext/>
      </w:pPr>
      <w:r>
        <w:t xml:space="preserve">The proposed requirements reflect the risks faced by </w:t>
      </w:r>
      <w:r w:rsidR="000F334D">
        <w:t>vessels operating on different c</w:t>
      </w:r>
      <w:r>
        <w:t xml:space="preserve">ategories of water. The benefit and costs associated with the requirements vary depending on the area of operation for a specific vessel. It is expected that all businesses, regardless of size, </w:t>
      </w:r>
      <w:r w:rsidR="00B01A59">
        <w:t>will be affected the same way. Data from the Office for National Statistics (ONS)</w:t>
      </w:r>
      <w:r w:rsidR="009E3848">
        <w:t xml:space="preserve"> provides</w:t>
      </w:r>
      <w:r w:rsidR="00B01A59">
        <w:t xml:space="preserve"> a breakdown of the number of UK businesses</w:t>
      </w:r>
      <w:r w:rsidR="006F2F86">
        <w:t xml:space="preserve"> for sea, coastal and inland passenger water transport by employment size band.</w:t>
      </w:r>
    </w:p>
    <w:tbl>
      <w:tblPr>
        <w:tblW w:w="10348" w:type="dxa"/>
        <w:tblInd w:w="142" w:type="dxa"/>
        <w:tblLook w:val="04A0" w:firstRow="1" w:lastRow="0" w:firstColumn="1" w:lastColumn="0" w:noHBand="0" w:noVBand="1"/>
      </w:tblPr>
      <w:tblGrid>
        <w:gridCol w:w="3467"/>
        <w:gridCol w:w="872"/>
        <w:gridCol w:w="667"/>
        <w:gridCol w:w="994"/>
        <w:gridCol w:w="804"/>
        <w:gridCol w:w="851"/>
        <w:gridCol w:w="1134"/>
        <w:gridCol w:w="712"/>
        <w:gridCol w:w="847"/>
      </w:tblGrid>
      <w:tr w:rsidR="00B01A59" w:rsidRPr="00B01A59" w14:paraId="576BFB35" w14:textId="77777777" w:rsidTr="00B01A59">
        <w:trPr>
          <w:trHeight w:val="300"/>
        </w:trPr>
        <w:tc>
          <w:tcPr>
            <w:tcW w:w="10348" w:type="dxa"/>
            <w:gridSpan w:val="9"/>
            <w:tcBorders>
              <w:bottom w:val="nil"/>
            </w:tcBorders>
            <w:shd w:val="clear" w:color="auto" w:fill="auto"/>
            <w:noWrap/>
            <w:vAlign w:val="center"/>
          </w:tcPr>
          <w:p w14:paraId="1AF8D765" w14:textId="5349E6A3" w:rsidR="00B01A59" w:rsidRPr="00B01A59" w:rsidRDefault="00165470" w:rsidP="00B01A59">
            <w:pPr>
              <w:rPr>
                <w:rFonts w:cs="Arial"/>
                <w:i/>
                <w:color w:val="000000"/>
                <w:sz w:val="22"/>
                <w:szCs w:val="22"/>
                <w:lang w:eastAsia="en-GB"/>
              </w:rPr>
            </w:pPr>
            <w:r>
              <w:rPr>
                <w:rFonts w:cs="Arial"/>
                <w:i/>
                <w:color w:val="000000"/>
                <w:sz w:val="22"/>
                <w:szCs w:val="22"/>
                <w:lang w:eastAsia="en-GB"/>
              </w:rPr>
              <w:t>Table 29</w:t>
            </w:r>
            <w:r w:rsidR="00B01A59" w:rsidRPr="00B01A59">
              <w:rPr>
                <w:rFonts w:cs="Arial"/>
                <w:i/>
                <w:color w:val="000000"/>
                <w:sz w:val="22"/>
                <w:szCs w:val="22"/>
                <w:lang w:eastAsia="en-GB"/>
              </w:rPr>
              <w:t xml:space="preserve"> </w:t>
            </w:r>
            <w:r w:rsidR="00B01A59">
              <w:rPr>
                <w:rFonts w:cs="Arial"/>
                <w:i/>
                <w:color w:val="000000"/>
                <w:sz w:val="22"/>
                <w:szCs w:val="22"/>
                <w:lang w:eastAsia="en-GB"/>
              </w:rPr>
              <w:t>: The number of UK businesses by employment size band and SIC Class (2017)</w:t>
            </w:r>
          </w:p>
        </w:tc>
      </w:tr>
      <w:tr w:rsidR="00B01A59" w:rsidRPr="00B01A59" w14:paraId="6415849C" w14:textId="77777777" w:rsidTr="00B01A59">
        <w:trPr>
          <w:trHeight w:val="300"/>
        </w:trPr>
        <w:tc>
          <w:tcPr>
            <w:tcW w:w="3467" w:type="dxa"/>
            <w:tcBorders>
              <w:top w:val="single" w:sz="8" w:space="0" w:color="auto"/>
              <w:left w:val="single" w:sz="4" w:space="0" w:color="auto"/>
              <w:bottom w:val="nil"/>
              <w:right w:val="nil"/>
            </w:tcBorders>
            <w:shd w:val="clear" w:color="auto" w:fill="auto"/>
            <w:noWrap/>
            <w:vAlign w:val="center"/>
            <w:hideMark/>
          </w:tcPr>
          <w:p w14:paraId="6490FEF6" w14:textId="77777777" w:rsidR="00B01A59" w:rsidRPr="00B01A59" w:rsidRDefault="00B01A59" w:rsidP="00B01A59">
            <w:pPr>
              <w:rPr>
                <w:rFonts w:cs="Arial"/>
                <w:b/>
                <w:bCs/>
                <w:color w:val="000000"/>
                <w:sz w:val="22"/>
                <w:szCs w:val="22"/>
                <w:lang w:eastAsia="en-GB"/>
              </w:rPr>
            </w:pPr>
            <w:r w:rsidRPr="00B01A59">
              <w:rPr>
                <w:rFonts w:cs="Arial"/>
                <w:b/>
                <w:bCs/>
                <w:color w:val="000000"/>
                <w:sz w:val="22"/>
                <w:szCs w:val="22"/>
                <w:lang w:eastAsia="en-GB"/>
              </w:rPr>
              <w:t>SIC Class</w:t>
            </w:r>
          </w:p>
        </w:tc>
        <w:tc>
          <w:tcPr>
            <w:tcW w:w="6881" w:type="dxa"/>
            <w:gridSpan w:val="8"/>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299213FC" w14:textId="77777777" w:rsidR="00B01A59" w:rsidRPr="00B01A59" w:rsidRDefault="00B01A59" w:rsidP="00B01A59">
            <w:pPr>
              <w:jc w:val="center"/>
              <w:rPr>
                <w:rFonts w:cs="Arial"/>
                <w:b/>
                <w:color w:val="000000"/>
                <w:sz w:val="22"/>
                <w:szCs w:val="22"/>
                <w:lang w:eastAsia="en-GB"/>
              </w:rPr>
            </w:pPr>
            <w:r w:rsidRPr="00B01A59">
              <w:rPr>
                <w:rFonts w:cs="Arial"/>
                <w:b/>
                <w:color w:val="000000"/>
                <w:sz w:val="22"/>
                <w:szCs w:val="22"/>
                <w:lang w:eastAsia="en-GB"/>
              </w:rPr>
              <w:t>Employment Size Band</w:t>
            </w:r>
          </w:p>
        </w:tc>
      </w:tr>
      <w:tr w:rsidR="00B01A59" w:rsidRPr="00B01A59" w14:paraId="2B829B76" w14:textId="77777777" w:rsidTr="00B01A59">
        <w:trPr>
          <w:trHeight w:val="315"/>
        </w:trPr>
        <w:tc>
          <w:tcPr>
            <w:tcW w:w="3467" w:type="dxa"/>
            <w:tcBorders>
              <w:top w:val="nil"/>
              <w:left w:val="single" w:sz="4" w:space="0" w:color="auto"/>
              <w:bottom w:val="single" w:sz="8" w:space="0" w:color="auto"/>
              <w:right w:val="single" w:sz="8" w:space="0" w:color="auto"/>
            </w:tcBorders>
            <w:shd w:val="clear" w:color="auto" w:fill="auto"/>
            <w:noWrap/>
            <w:vAlign w:val="center"/>
            <w:hideMark/>
          </w:tcPr>
          <w:p w14:paraId="288D3B40" w14:textId="77777777" w:rsidR="00B01A59" w:rsidRPr="00B01A59" w:rsidRDefault="00B01A59" w:rsidP="00B01A59">
            <w:pPr>
              <w:rPr>
                <w:rFonts w:cs="Arial"/>
                <w:color w:val="000000"/>
                <w:sz w:val="22"/>
                <w:szCs w:val="22"/>
                <w:lang w:eastAsia="en-GB"/>
              </w:rPr>
            </w:pPr>
            <w:r w:rsidRPr="00B01A59">
              <w:rPr>
                <w:rFonts w:cs="Arial"/>
                <w:color w:val="000000"/>
                <w:sz w:val="22"/>
                <w:szCs w:val="22"/>
                <w:lang w:eastAsia="en-GB"/>
              </w:rPr>
              <w:t> </w:t>
            </w:r>
          </w:p>
        </w:tc>
        <w:tc>
          <w:tcPr>
            <w:tcW w:w="872" w:type="dxa"/>
            <w:tcBorders>
              <w:top w:val="nil"/>
              <w:left w:val="nil"/>
              <w:bottom w:val="nil"/>
              <w:right w:val="nil"/>
            </w:tcBorders>
            <w:shd w:val="clear" w:color="auto" w:fill="auto"/>
            <w:noWrap/>
            <w:vAlign w:val="center"/>
            <w:hideMark/>
          </w:tcPr>
          <w:p w14:paraId="4D26D347"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0-4</w:t>
            </w:r>
          </w:p>
        </w:tc>
        <w:tc>
          <w:tcPr>
            <w:tcW w:w="667" w:type="dxa"/>
            <w:tcBorders>
              <w:top w:val="nil"/>
              <w:left w:val="nil"/>
              <w:bottom w:val="nil"/>
              <w:right w:val="nil"/>
            </w:tcBorders>
            <w:shd w:val="clear" w:color="auto" w:fill="auto"/>
            <w:noWrap/>
            <w:vAlign w:val="center"/>
            <w:hideMark/>
          </w:tcPr>
          <w:p w14:paraId="65841A24"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5-9</w:t>
            </w:r>
          </w:p>
        </w:tc>
        <w:tc>
          <w:tcPr>
            <w:tcW w:w="994" w:type="dxa"/>
            <w:tcBorders>
              <w:top w:val="nil"/>
              <w:left w:val="nil"/>
              <w:bottom w:val="single" w:sz="8" w:space="0" w:color="auto"/>
              <w:right w:val="nil"/>
            </w:tcBorders>
            <w:shd w:val="clear" w:color="auto" w:fill="auto"/>
            <w:noWrap/>
            <w:vAlign w:val="center"/>
            <w:hideMark/>
          </w:tcPr>
          <w:p w14:paraId="17EBBEA2"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10-19</w:t>
            </w:r>
          </w:p>
        </w:tc>
        <w:tc>
          <w:tcPr>
            <w:tcW w:w="804" w:type="dxa"/>
            <w:tcBorders>
              <w:top w:val="nil"/>
              <w:left w:val="nil"/>
              <w:bottom w:val="nil"/>
              <w:right w:val="nil"/>
            </w:tcBorders>
            <w:shd w:val="clear" w:color="auto" w:fill="auto"/>
            <w:noWrap/>
            <w:vAlign w:val="center"/>
            <w:hideMark/>
          </w:tcPr>
          <w:p w14:paraId="49FD0160" w14:textId="77777777" w:rsidR="00B01A59" w:rsidRPr="00B01A59" w:rsidRDefault="00B01A59" w:rsidP="00B01A59">
            <w:pPr>
              <w:rPr>
                <w:rFonts w:cs="Arial"/>
                <w:b/>
                <w:color w:val="000000"/>
                <w:sz w:val="22"/>
                <w:szCs w:val="22"/>
                <w:lang w:eastAsia="en-GB"/>
              </w:rPr>
            </w:pPr>
            <w:r w:rsidRPr="00B01A59">
              <w:rPr>
                <w:rFonts w:cs="Arial"/>
                <w:b/>
                <w:color w:val="000000"/>
                <w:sz w:val="22"/>
                <w:szCs w:val="22"/>
                <w:lang w:eastAsia="en-GB"/>
              </w:rPr>
              <w:t>20-49</w:t>
            </w:r>
          </w:p>
        </w:tc>
        <w:tc>
          <w:tcPr>
            <w:tcW w:w="851" w:type="dxa"/>
            <w:tcBorders>
              <w:top w:val="nil"/>
              <w:left w:val="nil"/>
              <w:bottom w:val="single" w:sz="8" w:space="0" w:color="auto"/>
              <w:right w:val="nil"/>
            </w:tcBorders>
            <w:shd w:val="clear" w:color="auto" w:fill="auto"/>
            <w:noWrap/>
            <w:vAlign w:val="center"/>
            <w:hideMark/>
          </w:tcPr>
          <w:p w14:paraId="0A2AA661"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50-99</w:t>
            </w:r>
          </w:p>
        </w:tc>
        <w:tc>
          <w:tcPr>
            <w:tcW w:w="1134" w:type="dxa"/>
            <w:tcBorders>
              <w:top w:val="nil"/>
              <w:left w:val="nil"/>
              <w:bottom w:val="single" w:sz="8" w:space="0" w:color="auto"/>
              <w:right w:val="nil"/>
            </w:tcBorders>
            <w:shd w:val="clear" w:color="auto" w:fill="auto"/>
            <w:noWrap/>
            <w:vAlign w:val="center"/>
            <w:hideMark/>
          </w:tcPr>
          <w:p w14:paraId="213D9D4C"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100-249</w:t>
            </w:r>
          </w:p>
        </w:tc>
        <w:tc>
          <w:tcPr>
            <w:tcW w:w="712" w:type="dxa"/>
            <w:tcBorders>
              <w:top w:val="nil"/>
              <w:left w:val="nil"/>
              <w:bottom w:val="single" w:sz="8" w:space="0" w:color="auto"/>
              <w:right w:val="nil"/>
            </w:tcBorders>
            <w:shd w:val="clear" w:color="auto" w:fill="auto"/>
            <w:noWrap/>
            <w:vAlign w:val="center"/>
            <w:hideMark/>
          </w:tcPr>
          <w:p w14:paraId="53C84014"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250+</w:t>
            </w:r>
          </w:p>
        </w:tc>
        <w:tc>
          <w:tcPr>
            <w:tcW w:w="847" w:type="dxa"/>
            <w:tcBorders>
              <w:top w:val="nil"/>
              <w:left w:val="single" w:sz="8" w:space="0" w:color="auto"/>
              <w:bottom w:val="single" w:sz="8" w:space="0" w:color="auto"/>
              <w:right w:val="single" w:sz="4" w:space="0" w:color="auto"/>
            </w:tcBorders>
            <w:shd w:val="clear" w:color="auto" w:fill="auto"/>
            <w:noWrap/>
            <w:vAlign w:val="center"/>
            <w:hideMark/>
          </w:tcPr>
          <w:p w14:paraId="444F2671" w14:textId="77777777" w:rsidR="00B01A59" w:rsidRPr="00B01A59" w:rsidRDefault="00B01A59" w:rsidP="00B01A59">
            <w:pPr>
              <w:jc w:val="right"/>
              <w:rPr>
                <w:rFonts w:cs="Arial"/>
                <w:b/>
                <w:color w:val="000000"/>
                <w:sz w:val="22"/>
                <w:szCs w:val="22"/>
                <w:lang w:eastAsia="en-GB"/>
              </w:rPr>
            </w:pPr>
            <w:r w:rsidRPr="00B01A59">
              <w:rPr>
                <w:rFonts w:cs="Arial"/>
                <w:b/>
                <w:color w:val="000000"/>
                <w:sz w:val="22"/>
                <w:szCs w:val="22"/>
                <w:lang w:eastAsia="en-GB"/>
              </w:rPr>
              <w:t>Total</w:t>
            </w:r>
          </w:p>
        </w:tc>
      </w:tr>
      <w:tr w:rsidR="00B01A59" w:rsidRPr="00B01A59" w14:paraId="78377AE0" w14:textId="77777777" w:rsidTr="00B01A59">
        <w:trPr>
          <w:trHeight w:val="300"/>
        </w:trPr>
        <w:tc>
          <w:tcPr>
            <w:tcW w:w="3467" w:type="dxa"/>
            <w:tcBorders>
              <w:top w:val="nil"/>
              <w:left w:val="single" w:sz="4" w:space="0" w:color="auto"/>
              <w:bottom w:val="nil"/>
              <w:right w:val="single" w:sz="8" w:space="0" w:color="auto"/>
            </w:tcBorders>
            <w:shd w:val="clear" w:color="auto" w:fill="auto"/>
            <w:noWrap/>
            <w:vAlign w:val="center"/>
            <w:hideMark/>
          </w:tcPr>
          <w:p w14:paraId="4C92D29C" w14:textId="77777777" w:rsidR="00B01A59" w:rsidRPr="00B01A59" w:rsidRDefault="00B01A59" w:rsidP="00B01A59">
            <w:pPr>
              <w:rPr>
                <w:rFonts w:cs="Arial"/>
                <w:color w:val="000000"/>
                <w:sz w:val="22"/>
                <w:szCs w:val="22"/>
                <w:lang w:eastAsia="en-GB"/>
              </w:rPr>
            </w:pPr>
            <w:r w:rsidRPr="00B01A59">
              <w:rPr>
                <w:rFonts w:cs="Arial"/>
                <w:color w:val="000000"/>
                <w:sz w:val="22"/>
                <w:szCs w:val="22"/>
                <w:lang w:eastAsia="en-GB"/>
              </w:rPr>
              <w:t>5010 : Sea and coastal passenger water transport</w:t>
            </w:r>
          </w:p>
        </w:tc>
        <w:tc>
          <w:tcPr>
            <w:tcW w:w="872" w:type="dxa"/>
            <w:tcBorders>
              <w:top w:val="single" w:sz="8" w:space="0" w:color="auto"/>
              <w:left w:val="nil"/>
              <w:bottom w:val="nil"/>
              <w:right w:val="nil"/>
            </w:tcBorders>
            <w:shd w:val="clear" w:color="auto" w:fill="auto"/>
            <w:noWrap/>
            <w:vAlign w:val="center"/>
            <w:hideMark/>
          </w:tcPr>
          <w:p w14:paraId="37A69539" w14:textId="77777777" w:rsidR="00B01A59" w:rsidRPr="00B01A59" w:rsidRDefault="00B01A59" w:rsidP="00B01A59">
            <w:pPr>
              <w:jc w:val="right"/>
              <w:rPr>
                <w:rFonts w:cs="Arial"/>
                <w:color w:val="000000"/>
                <w:sz w:val="22"/>
                <w:szCs w:val="22"/>
                <w:lang w:eastAsia="en-GB"/>
              </w:rPr>
            </w:pPr>
            <w:r>
              <w:rPr>
                <w:rFonts w:cs="Arial"/>
                <w:color w:val="000000"/>
                <w:sz w:val="22"/>
                <w:szCs w:val="22"/>
              </w:rPr>
              <w:t>450</w:t>
            </w:r>
          </w:p>
        </w:tc>
        <w:tc>
          <w:tcPr>
            <w:tcW w:w="667" w:type="dxa"/>
            <w:tcBorders>
              <w:top w:val="single" w:sz="8" w:space="0" w:color="auto"/>
              <w:left w:val="nil"/>
              <w:bottom w:val="nil"/>
              <w:right w:val="nil"/>
            </w:tcBorders>
            <w:shd w:val="clear" w:color="auto" w:fill="auto"/>
            <w:noWrap/>
            <w:vAlign w:val="center"/>
            <w:hideMark/>
          </w:tcPr>
          <w:p w14:paraId="0CB76A6D" w14:textId="77777777" w:rsidR="00B01A59" w:rsidRPr="00B01A59" w:rsidRDefault="00B01A59" w:rsidP="00B01A59">
            <w:pPr>
              <w:jc w:val="right"/>
              <w:rPr>
                <w:rFonts w:cs="Arial"/>
                <w:color w:val="000000"/>
                <w:sz w:val="22"/>
                <w:szCs w:val="22"/>
                <w:lang w:eastAsia="en-GB"/>
              </w:rPr>
            </w:pPr>
            <w:r>
              <w:rPr>
                <w:rFonts w:cs="Arial"/>
                <w:color w:val="000000"/>
                <w:sz w:val="22"/>
                <w:szCs w:val="22"/>
              </w:rPr>
              <w:t>60</w:t>
            </w:r>
          </w:p>
        </w:tc>
        <w:tc>
          <w:tcPr>
            <w:tcW w:w="994" w:type="dxa"/>
            <w:tcBorders>
              <w:top w:val="nil"/>
              <w:left w:val="nil"/>
              <w:bottom w:val="nil"/>
              <w:right w:val="nil"/>
            </w:tcBorders>
            <w:shd w:val="clear" w:color="auto" w:fill="auto"/>
            <w:noWrap/>
            <w:vAlign w:val="center"/>
            <w:hideMark/>
          </w:tcPr>
          <w:p w14:paraId="737A8C58" w14:textId="77777777" w:rsidR="00B01A59" w:rsidRPr="00B01A59" w:rsidRDefault="00B01A59" w:rsidP="00B01A59">
            <w:pPr>
              <w:jc w:val="right"/>
              <w:rPr>
                <w:rFonts w:cs="Arial"/>
                <w:color w:val="000000"/>
                <w:sz w:val="22"/>
                <w:szCs w:val="22"/>
                <w:lang w:eastAsia="en-GB"/>
              </w:rPr>
            </w:pPr>
            <w:r>
              <w:rPr>
                <w:rFonts w:cs="Arial"/>
                <w:color w:val="000000"/>
                <w:sz w:val="22"/>
                <w:szCs w:val="22"/>
              </w:rPr>
              <w:t>45</w:t>
            </w:r>
          </w:p>
        </w:tc>
        <w:tc>
          <w:tcPr>
            <w:tcW w:w="804" w:type="dxa"/>
            <w:tcBorders>
              <w:top w:val="single" w:sz="8" w:space="0" w:color="auto"/>
              <w:left w:val="nil"/>
              <w:bottom w:val="nil"/>
              <w:right w:val="nil"/>
            </w:tcBorders>
            <w:shd w:val="clear" w:color="auto" w:fill="auto"/>
            <w:noWrap/>
            <w:vAlign w:val="center"/>
            <w:hideMark/>
          </w:tcPr>
          <w:p w14:paraId="3F670760" w14:textId="77777777" w:rsidR="00B01A59" w:rsidRPr="00B01A59" w:rsidRDefault="00B01A59" w:rsidP="00B01A59">
            <w:pPr>
              <w:jc w:val="right"/>
              <w:rPr>
                <w:rFonts w:cs="Arial"/>
                <w:color w:val="000000"/>
                <w:sz w:val="22"/>
                <w:szCs w:val="22"/>
                <w:lang w:eastAsia="en-GB"/>
              </w:rPr>
            </w:pPr>
            <w:r>
              <w:rPr>
                <w:rFonts w:cs="Arial"/>
                <w:color w:val="000000"/>
                <w:sz w:val="22"/>
                <w:szCs w:val="22"/>
              </w:rPr>
              <w:t>30</w:t>
            </w:r>
          </w:p>
        </w:tc>
        <w:tc>
          <w:tcPr>
            <w:tcW w:w="851" w:type="dxa"/>
            <w:tcBorders>
              <w:top w:val="nil"/>
              <w:left w:val="nil"/>
              <w:bottom w:val="nil"/>
              <w:right w:val="nil"/>
            </w:tcBorders>
            <w:shd w:val="clear" w:color="auto" w:fill="auto"/>
            <w:noWrap/>
            <w:vAlign w:val="center"/>
            <w:hideMark/>
          </w:tcPr>
          <w:p w14:paraId="6E92CE01" w14:textId="77777777" w:rsidR="00B01A59" w:rsidRPr="00B01A59" w:rsidRDefault="00B01A59" w:rsidP="00B01A59">
            <w:pPr>
              <w:jc w:val="right"/>
              <w:rPr>
                <w:rFonts w:cs="Arial"/>
                <w:color w:val="000000"/>
                <w:sz w:val="22"/>
                <w:szCs w:val="22"/>
                <w:lang w:eastAsia="en-GB"/>
              </w:rPr>
            </w:pPr>
            <w:r>
              <w:rPr>
                <w:rFonts w:cs="Arial"/>
                <w:color w:val="000000"/>
                <w:sz w:val="22"/>
                <w:szCs w:val="22"/>
              </w:rPr>
              <w:t>10</w:t>
            </w:r>
          </w:p>
        </w:tc>
        <w:tc>
          <w:tcPr>
            <w:tcW w:w="1134" w:type="dxa"/>
            <w:tcBorders>
              <w:top w:val="nil"/>
              <w:left w:val="nil"/>
              <w:bottom w:val="nil"/>
              <w:right w:val="nil"/>
            </w:tcBorders>
            <w:shd w:val="clear" w:color="auto" w:fill="auto"/>
            <w:noWrap/>
            <w:vAlign w:val="center"/>
            <w:hideMark/>
          </w:tcPr>
          <w:p w14:paraId="10F5FE4B" w14:textId="77777777" w:rsidR="00B01A59" w:rsidRPr="00B01A59" w:rsidRDefault="00B01A59" w:rsidP="00B01A59">
            <w:pPr>
              <w:jc w:val="right"/>
              <w:rPr>
                <w:rFonts w:cs="Arial"/>
                <w:color w:val="000000"/>
                <w:sz w:val="22"/>
                <w:szCs w:val="22"/>
                <w:lang w:eastAsia="en-GB"/>
              </w:rPr>
            </w:pPr>
            <w:r>
              <w:rPr>
                <w:rFonts w:cs="Arial"/>
                <w:color w:val="000000"/>
                <w:sz w:val="22"/>
                <w:szCs w:val="22"/>
              </w:rPr>
              <w:t>10</w:t>
            </w:r>
          </w:p>
        </w:tc>
        <w:tc>
          <w:tcPr>
            <w:tcW w:w="712" w:type="dxa"/>
            <w:tcBorders>
              <w:top w:val="nil"/>
              <w:left w:val="nil"/>
              <w:bottom w:val="nil"/>
              <w:right w:val="nil"/>
            </w:tcBorders>
            <w:shd w:val="clear" w:color="auto" w:fill="auto"/>
            <w:noWrap/>
            <w:vAlign w:val="center"/>
            <w:hideMark/>
          </w:tcPr>
          <w:p w14:paraId="48293586" w14:textId="77777777" w:rsidR="00B01A59" w:rsidRPr="00B01A59" w:rsidRDefault="00B01A59" w:rsidP="00B01A59">
            <w:pPr>
              <w:jc w:val="right"/>
              <w:rPr>
                <w:rFonts w:cs="Arial"/>
                <w:color w:val="000000"/>
                <w:sz w:val="22"/>
                <w:szCs w:val="22"/>
                <w:lang w:eastAsia="en-GB"/>
              </w:rPr>
            </w:pPr>
            <w:r>
              <w:rPr>
                <w:rFonts w:cs="Arial"/>
                <w:color w:val="000000"/>
                <w:sz w:val="22"/>
                <w:szCs w:val="22"/>
              </w:rPr>
              <w:t>5</w:t>
            </w:r>
          </w:p>
        </w:tc>
        <w:tc>
          <w:tcPr>
            <w:tcW w:w="847" w:type="dxa"/>
            <w:tcBorders>
              <w:top w:val="nil"/>
              <w:left w:val="single" w:sz="8" w:space="0" w:color="auto"/>
              <w:bottom w:val="nil"/>
              <w:right w:val="single" w:sz="4" w:space="0" w:color="auto"/>
            </w:tcBorders>
            <w:shd w:val="clear" w:color="auto" w:fill="auto"/>
            <w:noWrap/>
            <w:vAlign w:val="center"/>
            <w:hideMark/>
          </w:tcPr>
          <w:p w14:paraId="6FF72AF2" w14:textId="77777777" w:rsidR="00B01A59" w:rsidRPr="00B01A59" w:rsidRDefault="00B01A59" w:rsidP="00B01A59">
            <w:pPr>
              <w:jc w:val="right"/>
              <w:rPr>
                <w:rFonts w:cs="Arial"/>
                <w:color w:val="000000"/>
                <w:sz w:val="22"/>
                <w:szCs w:val="22"/>
                <w:lang w:eastAsia="en-GB"/>
              </w:rPr>
            </w:pPr>
            <w:r>
              <w:rPr>
                <w:rFonts w:cs="Arial"/>
                <w:color w:val="000000"/>
                <w:sz w:val="22"/>
                <w:szCs w:val="22"/>
              </w:rPr>
              <w:t>610</w:t>
            </w:r>
          </w:p>
        </w:tc>
      </w:tr>
      <w:tr w:rsidR="00B01A59" w:rsidRPr="00B01A59" w14:paraId="2A8CA43E" w14:textId="77777777" w:rsidTr="00B01A59">
        <w:trPr>
          <w:trHeight w:val="315"/>
        </w:trPr>
        <w:tc>
          <w:tcPr>
            <w:tcW w:w="3467" w:type="dxa"/>
            <w:tcBorders>
              <w:top w:val="nil"/>
              <w:left w:val="single" w:sz="4" w:space="0" w:color="auto"/>
              <w:bottom w:val="single" w:sz="8" w:space="0" w:color="auto"/>
              <w:right w:val="single" w:sz="8" w:space="0" w:color="auto"/>
            </w:tcBorders>
            <w:shd w:val="clear" w:color="auto" w:fill="auto"/>
            <w:noWrap/>
            <w:vAlign w:val="center"/>
            <w:hideMark/>
          </w:tcPr>
          <w:p w14:paraId="0371D20C" w14:textId="77777777" w:rsidR="00B01A59" w:rsidRPr="00B01A59" w:rsidRDefault="00B01A59" w:rsidP="00B01A59">
            <w:pPr>
              <w:rPr>
                <w:rFonts w:cs="Arial"/>
                <w:color w:val="000000"/>
                <w:sz w:val="22"/>
                <w:szCs w:val="22"/>
                <w:lang w:eastAsia="en-GB"/>
              </w:rPr>
            </w:pPr>
            <w:r w:rsidRPr="00B01A59">
              <w:rPr>
                <w:rFonts w:cs="Arial"/>
                <w:color w:val="000000"/>
                <w:sz w:val="22"/>
                <w:szCs w:val="22"/>
                <w:lang w:eastAsia="en-GB"/>
              </w:rPr>
              <w:t>5030 : Inland passenger water transport</w:t>
            </w:r>
          </w:p>
        </w:tc>
        <w:tc>
          <w:tcPr>
            <w:tcW w:w="872" w:type="dxa"/>
            <w:tcBorders>
              <w:top w:val="nil"/>
              <w:left w:val="nil"/>
              <w:bottom w:val="nil"/>
              <w:right w:val="nil"/>
            </w:tcBorders>
            <w:shd w:val="clear" w:color="auto" w:fill="auto"/>
            <w:noWrap/>
            <w:vAlign w:val="center"/>
            <w:hideMark/>
          </w:tcPr>
          <w:p w14:paraId="4093D4C6" w14:textId="77777777" w:rsidR="00B01A59" w:rsidRPr="00B01A59" w:rsidRDefault="00B01A59" w:rsidP="00B01A59">
            <w:pPr>
              <w:jc w:val="right"/>
              <w:rPr>
                <w:rFonts w:cs="Arial"/>
                <w:color w:val="000000"/>
                <w:sz w:val="22"/>
                <w:szCs w:val="22"/>
                <w:lang w:eastAsia="en-GB"/>
              </w:rPr>
            </w:pPr>
            <w:r>
              <w:rPr>
                <w:rFonts w:cs="Arial"/>
                <w:color w:val="000000"/>
                <w:sz w:val="22"/>
                <w:szCs w:val="22"/>
              </w:rPr>
              <w:t>145</w:t>
            </w:r>
          </w:p>
        </w:tc>
        <w:tc>
          <w:tcPr>
            <w:tcW w:w="667" w:type="dxa"/>
            <w:tcBorders>
              <w:top w:val="nil"/>
              <w:left w:val="nil"/>
              <w:bottom w:val="nil"/>
              <w:right w:val="nil"/>
            </w:tcBorders>
            <w:shd w:val="clear" w:color="auto" w:fill="auto"/>
            <w:noWrap/>
            <w:vAlign w:val="center"/>
            <w:hideMark/>
          </w:tcPr>
          <w:p w14:paraId="02569589" w14:textId="77777777" w:rsidR="00B01A59" w:rsidRPr="00B01A59" w:rsidRDefault="00B01A59" w:rsidP="00B01A59">
            <w:pPr>
              <w:jc w:val="right"/>
              <w:rPr>
                <w:rFonts w:cs="Arial"/>
                <w:color w:val="000000"/>
                <w:sz w:val="22"/>
                <w:szCs w:val="22"/>
                <w:lang w:eastAsia="en-GB"/>
              </w:rPr>
            </w:pPr>
            <w:r>
              <w:rPr>
                <w:rFonts w:cs="Arial"/>
                <w:color w:val="000000"/>
                <w:sz w:val="22"/>
                <w:szCs w:val="22"/>
              </w:rPr>
              <w:t>30</w:t>
            </w:r>
          </w:p>
        </w:tc>
        <w:tc>
          <w:tcPr>
            <w:tcW w:w="994" w:type="dxa"/>
            <w:tcBorders>
              <w:top w:val="nil"/>
              <w:left w:val="nil"/>
              <w:bottom w:val="single" w:sz="8" w:space="0" w:color="auto"/>
              <w:right w:val="nil"/>
            </w:tcBorders>
            <w:shd w:val="clear" w:color="auto" w:fill="auto"/>
            <w:noWrap/>
            <w:vAlign w:val="center"/>
            <w:hideMark/>
          </w:tcPr>
          <w:p w14:paraId="4EB367EF" w14:textId="77777777" w:rsidR="00B01A59" w:rsidRPr="00B01A59" w:rsidRDefault="00B01A59" w:rsidP="00B01A59">
            <w:pPr>
              <w:jc w:val="right"/>
              <w:rPr>
                <w:rFonts w:cs="Arial"/>
                <w:color w:val="000000"/>
                <w:sz w:val="22"/>
                <w:szCs w:val="22"/>
                <w:lang w:eastAsia="en-GB"/>
              </w:rPr>
            </w:pPr>
            <w:r>
              <w:rPr>
                <w:rFonts w:cs="Arial"/>
                <w:color w:val="000000"/>
                <w:sz w:val="22"/>
                <w:szCs w:val="22"/>
              </w:rPr>
              <w:t>15</w:t>
            </w:r>
          </w:p>
        </w:tc>
        <w:tc>
          <w:tcPr>
            <w:tcW w:w="804" w:type="dxa"/>
            <w:tcBorders>
              <w:top w:val="nil"/>
              <w:left w:val="nil"/>
              <w:bottom w:val="single" w:sz="8" w:space="0" w:color="auto"/>
              <w:right w:val="nil"/>
            </w:tcBorders>
            <w:shd w:val="clear" w:color="auto" w:fill="auto"/>
            <w:noWrap/>
            <w:vAlign w:val="center"/>
            <w:hideMark/>
          </w:tcPr>
          <w:p w14:paraId="53A71A63" w14:textId="77777777" w:rsidR="00B01A59" w:rsidRPr="00B01A59" w:rsidRDefault="00B01A59" w:rsidP="00B01A59">
            <w:pPr>
              <w:jc w:val="right"/>
              <w:rPr>
                <w:rFonts w:cs="Arial"/>
                <w:color w:val="000000"/>
                <w:sz w:val="22"/>
                <w:szCs w:val="22"/>
                <w:lang w:eastAsia="en-GB"/>
              </w:rPr>
            </w:pPr>
            <w:r>
              <w:rPr>
                <w:rFonts w:cs="Arial"/>
                <w:color w:val="000000"/>
                <w:sz w:val="22"/>
                <w:szCs w:val="22"/>
              </w:rPr>
              <w:t>15</w:t>
            </w:r>
          </w:p>
        </w:tc>
        <w:tc>
          <w:tcPr>
            <w:tcW w:w="851" w:type="dxa"/>
            <w:tcBorders>
              <w:top w:val="nil"/>
              <w:left w:val="nil"/>
              <w:bottom w:val="single" w:sz="8" w:space="0" w:color="auto"/>
              <w:right w:val="nil"/>
            </w:tcBorders>
            <w:shd w:val="clear" w:color="auto" w:fill="auto"/>
            <w:noWrap/>
            <w:vAlign w:val="center"/>
            <w:hideMark/>
          </w:tcPr>
          <w:p w14:paraId="4CAC1B49" w14:textId="77777777" w:rsidR="00B01A59" w:rsidRPr="00B01A59" w:rsidRDefault="00B01A59" w:rsidP="00B01A59">
            <w:pPr>
              <w:jc w:val="right"/>
              <w:rPr>
                <w:rFonts w:cs="Arial"/>
                <w:color w:val="000000"/>
                <w:sz w:val="22"/>
                <w:szCs w:val="22"/>
                <w:lang w:eastAsia="en-GB"/>
              </w:rPr>
            </w:pPr>
            <w:r>
              <w:rPr>
                <w:rFonts w:cs="Arial"/>
                <w:color w:val="000000"/>
                <w:sz w:val="22"/>
                <w:szCs w:val="22"/>
              </w:rPr>
              <w:t>5</w:t>
            </w:r>
          </w:p>
        </w:tc>
        <w:tc>
          <w:tcPr>
            <w:tcW w:w="1134" w:type="dxa"/>
            <w:tcBorders>
              <w:top w:val="nil"/>
              <w:left w:val="nil"/>
              <w:bottom w:val="single" w:sz="8" w:space="0" w:color="auto"/>
              <w:right w:val="nil"/>
            </w:tcBorders>
            <w:shd w:val="clear" w:color="auto" w:fill="auto"/>
            <w:noWrap/>
            <w:vAlign w:val="center"/>
            <w:hideMark/>
          </w:tcPr>
          <w:p w14:paraId="019F98C3" w14:textId="77777777" w:rsidR="00B01A59" w:rsidRPr="00B01A59" w:rsidRDefault="00B01A59" w:rsidP="00B01A59">
            <w:pPr>
              <w:jc w:val="right"/>
              <w:rPr>
                <w:rFonts w:cs="Arial"/>
                <w:color w:val="000000"/>
                <w:sz w:val="22"/>
                <w:szCs w:val="22"/>
                <w:lang w:eastAsia="en-GB"/>
              </w:rPr>
            </w:pPr>
            <w:r>
              <w:rPr>
                <w:rFonts w:cs="Arial"/>
                <w:color w:val="000000"/>
                <w:sz w:val="22"/>
                <w:szCs w:val="22"/>
              </w:rPr>
              <w:t>0</w:t>
            </w:r>
          </w:p>
        </w:tc>
        <w:tc>
          <w:tcPr>
            <w:tcW w:w="712" w:type="dxa"/>
            <w:tcBorders>
              <w:top w:val="nil"/>
              <w:left w:val="nil"/>
              <w:bottom w:val="single" w:sz="8" w:space="0" w:color="auto"/>
              <w:right w:val="nil"/>
            </w:tcBorders>
            <w:shd w:val="clear" w:color="auto" w:fill="auto"/>
            <w:noWrap/>
            <w:vAlign w:val="center"/>
            <w:hideMark/>
          </w:tcPr>
          <w:p w14:paraId="62B43120" w14:textId="77777777" w:rsidR="00B01A59" w:rsidRPr="00B01A59" w:rsidRDefault="00B01A59" w:rsidP="00B01A59">
            <w:pPr>
              <w:jc w:val="right"/>
              <w:rPr>
                <w:rFonts w:cs="Arial"/>
                <w:color w:val="000000"/>
                <w:sz w:val="22"/>
                <w:szCs w:val="22"/>
                <w:lang w:eastAsia="en-GB"/>
              </w:rPr>
            </w:pPr>
            <w:r>
              <w:rPr>
                <w:rFonts w:cs="Arial"/>
                <w:color w:val="000000"/>
                <w:sz w:val="22"/>
                <w:szCs w:val="22"/>
              </w:rPr>
              <w:t>0</w:t>
            </w:r>
          </w:p>
        </w:tc>
        <w:tc>
          <w:tcPr>
            <w:tcW w:w="847" w:type="dxa"/>
            <w:tcBorders>
              <w:top w:val="nil"/>
              <w:left w:val="single" w:sz="8" w:space="0" w:color="auto"/>
              <w:bottom w:val="single" w:sz="8" w:space="0" w:color="auto"/>
              <w:right w:val="single" w:sz="4" w:space="0" w:color="auto"/>
            </w:tcBorders>
            <w:shd w:val="clear" w:color="auto" w:fill="auto"/>
            <w:noWrap/>
            <w:vAlign w:val="center"/>
            <w:hideMark/>
          </w:tcPr>
          <w:p w14:paraId="35CD92FC" w14:textId="77777777" w:rsidR="00B01A59" w:rsidRPr="00B01A59" w:rsidRDefault="00B01A59" w:rsidP="00B01A59">
            <w:pPr>
              <w:jc w:val="right"/>
              <w:rPr>
                <w:rFonts w:cs="Arial"/>
                <w:color w:val="000000"/>
                <w:sz w:val="22"/>
                <w:szCs w:val="22"/>
                <w:lang w:eastAsia="en-GB"/>
              </w:rPr>
            </w:pPr>
            <w:r>
              <w:rPr>
                <w:rFonts w:cs="Arial"/>
                <w:color w:val="000000"/>
                <w:sz w:val="22"/>
                <w:szCs w:val="22"/>
              </w:rPr>
              <w:t>210</w:t>
            </w:r>
          </w:p>
        </w:tc>
      </w:tr>
      <w:tr w:rsidR="00B01A59" w:rsidRPr="00B01A59" w14:paraId="1613118C" w14:textId="77777777" w:rsidTr="00B01A59">
        <w:trPr>
          <w:trHeight w:val="315"/>
        </w:trPr>
        <w:tc>
          <w:tcPr>
            <w:tcW w:w="3467" w:type="dxa"/>
            <w:tcBorders>
              <w:top w:val="nil"/>
              <w:left w:val="single" w:sz="4" w:space="0" w:color="auto"/>
              <w:bottom w:val="single" w:sz="8" w:space="0" w:color="auto"/>
              <w:right w:val="nil"/>
            </w:tcBorders>
            <w:shd w:val="clear" w:color="auto" w:fill="auto"/>
            <w:noWrap/>
            <w:vAlign w:val="center"/>
            <w:hideMark/>
          </w:tcPr>
          <w:p w14:paraId="70859811" w14:textId="77777777" w:rsidR="00B01A59" w:rsidRPr="00B01A59" w:rsidRDefault="00B01A59" w:rsidP="00B01A59">
            <w:pPr>
              <w:rPr>
                <w:rFonts w:cs="Arial"/>
                <w:color w:val="000000"/>
                <w:sz w:val="22"/>
                <w:szCs w:val="22"/>
                <w:lang w:eastAsia="en-GB"/>
              </w:rPr>
            </w:pPr>
            <w:r w:rsidRPr="00B01A59">
              <w:rPr>
                <w:rFonts w:cs="Arial"/>
                <w:color w:val="000000"/>
                <w:sz w:val="22"/>
                <w:szCs w:val="22"/>
                <w:lang w:eastAsia="en-GB"/>
              </w:rPr>
              <w:t>Total</w:t>
            </w:r>
          </w:p>
        </w:tc>
        <w:tc>
          <w:tcPr>
            <w:tcW w:w="872" w:type="dxa"/>
            <w:tcBorders>
              <w:top w:val="single" w:sz="8" w:space="0" w:color="auto"/>
              <w:left w:val="single" w:sz="8" w:space="0" w:color="auto"/>
              <w:bottom w:val="single" w:sz="8" w:space="0" w:color="auto"/>
              <w:right w:val="nil"/>
            </w:tcBorders>
            <w:shd w:val="clear" w:color="auto" w:fill="auto"/>
            <w:noWrap/>
            <w:vAlign w:val="center"/>
            <w:hideMark/>
          </w:tcPr>
          <w:p w14:paraId="5027B132" w14:textId="77777777" w:rsidR="00B01A59" w:rsidRPr="00B01A59" w:rsidRDefault="00B01A59" w:rsidP="00B01A59">
            <w:pPr>
              <w:jc w:val="right"/>
              <w:rPr>
                <w:rFonts w:cs="Arial"/>
                <w:color w:val="000000"/>
                <w:sz w:val="22"/>
                <w:szCs w:val="22"/>
                <w:lang w:eastAsia="en-GB"/>
              </w:rPr>
            </w:pPr>
            <w:r>
              <w:rPr>
                <w:rFonts w:cs="Arial"/>
                <w:color w:val="000000"/>
                <w:sz w:val="22"/>
                <w:szCs w:val="22"/>
              </w:rPr>
              <w:t>595</w:t>
            </w:r>
          </w:p>
        </w:tc>
        <w:tc>
          <w:tcPr>
            <w:tcW w:w="667" w:type="dxa"/>
            <w:tcBorders>
              <w:top w:val="single" w:sz="8" w:space="0" w:color="auto"/>
              <w:left w:val="nil"/>
              <w:bottom w:val="single" w:sz="8" w:space="0" w:color="auto"/>
              <w:right w:val="nil"/>
            </w:tcBorders>
            <w:shd w:val="clear" w:color="auto" w:fill="auto"/>
            <w:noWrap/>
            <w:vAlign w:val="center"/>
            <w:hideMark/>
          </w:tcPr>
          <w:p w14:paraId="1DC5B018" w14:textId="77777777" w:rsidR="00B01A59" w:rsidRPr="00B01A59" w:rsidRDefault="00B01A59" w:rsidP="00B01A59">
            <w:pPr>
              <w:jc w:val="right"/>
              <w:rPr>
                <w:rFonts w:cs="Arial"/>
                <w:color w:val="000000"/>
                <w:sz w:val="22"/>
                <w:szCs w:val="22"/>
                <w:lang w:eastAsia="en-GB"/>
              </w:rPr>
            </w:pPr>
            <w:r>
              <w:rPr>
                <w:rFonts w:cs="Arial"/>
                <w:color w:val="000000"/>
                <w:sz w:val="22"/>
                <w:szCs w:val="22"/>
              </w:rPr>
              <w:t>90</w:t>
            </w:r>
          </w:p>
        </w:tc>
        <w:tc>
          <w:tcPr>
            <w:tcW w:w="994" w:type="dxa"/>
            <w:tcBorders>
              <w:top w:val="nil"/>
              <w:left w:val="nil"/>
              <w:bottom w:val="single" w:sz="8" w:space="0" w:color="auto"/>
              <w:right w:val="nil"/>
            </w:tcBorders>
            <w:shd w:val="clear" w:color="auto" w:fill="auto"/>
            <w:noWrap/>
            <w:vAlign w:val="center"/>
            <w:hideMark/>
          </w:tcPr>
          <w:p w14:paraId="440155E5" w14:textId="77777777" w:rsidR="00B01A59" w:rsidRPr="00B01A59" w:rsidRDefault="00B01A59" w:rsidP="00B01A59">
            <w:pPr>
              <w:jc w:val="right"/>
              <w:rPr>
                <w:rFonts w:cs="Arial"/>
                <w:color w:val="000000"/>
                <w:sz w:val="22"/>
                <w:szCs w:val="22"/>
                <w:lang w:eastAsia="en-GB"/>
              </w:rPr>
            </w:pPr>
            <w:r>
              <w:rPr>
                <w:rFonts w:cs="Arial"/>
                <w:color w:val="000000"/>
                <w:sz w:val="22"/>
                <w:szCs w:val="22"/>
              </w:rPr>
              <w:t>60</w:t>
            </w:r>
          </w:p>
        </w:tc>
        <w:tc>
          <w:tcPr>
            <w:tcW w:w="804" w:type="dxa"/>
            <w:tcBorders>
              <w:top w:val="nil"/>
              <w:left w:val="nil"/>
              <w:bottom w:val="single" w:sz="8" w:space="0" w:color="auto"/>
              <w:right w:val="nil"/>
            </w:tcBorders>
            <w:shd w:val="clear" w:color="auto" w:fill="auto"/>
            <w:noWrap/>
            <w:vAlign w:val="center"/>
            <w:hideMark/>
          </w:tcPr>
          <w:p w14:paraId="02490F7B" w14:textId="77777777" w:rsidR="00B01A59" w:rsidRPr="00B01A59" w:rsidRDefault="00B01A59" w:rsidP="00B01A59">
            <w:pPr>
              <w:jc w:val="right"/>
              <w:rPr>
                <w:rFonts w:cs="Arial"/>
                <w:color w:val="000000"/>
                <w:sz w:val="22"/>
                <w:szCs w:val="22"/>
                <w:lang w:eastAsia="en-GB"/>
              </w:rPr>
            </w:pPr>
            <w:r>
              <w:rPr>
                <w:rFonts w:cs="Arial"/>
                <w:color w:val="000000"/>
                <w:sz w:val="22"/>
                <w:szCs w:val="22"/>
              </w:rPr>
              <w:t>45</w:t>
            </w:r>
          </w:p>
        </w:tc>
        <w:tc>
          <w:tcPr>
            <w:tcW w:w="851" w:type="dxa"/>
            <w:tcBorders>
              <w:top w:val="nil"/>
              <w:left w:val="nil"/>
              <w:bottom w:val="single" w:sz="8" w:space="0" w:color="auto"/>
              <w:right w:val="nil"/>
            </w:tcBorders>
            <w:shd w:val="clear" w:color="auto" w:fill="auto"/>
            <w:noWrap/>
            <w:vAlign w:val="center"/>
            <w:hideMark/>
          </w:tcPr>
          <w:p w14:paraId="47E39AA1" w14:textId="77777777" w:rsidR="00B01A59" w:rsidRPr="00B01A59" w:rsidRDefault="00B01A59" w:rsidP="00B01A59">
            <w:pPr>
              <w:jc w:val="right"/>
              <w:rPr>
                <w:rFonts w:cs="Arial"/>
                <w:color w:val="000000"/>
                <w:sz w:val="22"/>
                <w:szCs w:val="22"/>
                <w:lang w:eastAsia="en-GB"/>
              </w:rPr>
            </w:pPr>
            <w:r>
              <w:rPr>
                <w:rFonts w:cs="Arial"/>
                <w:color w:val="000000"/>
                <w:sz w:val="22"/>
                <w:szCs w:val="22"/>
              </w:rPr>
              <w:t>15</w:t>
            </w:r>
          </w:p>
        </w:tc>
        <w:tc>
          <w:tcPr>
            <w:tcW w:w="1134" w:type="dxa"/>
            <w:tcBorders>
              <w:top w:val="nil"/>
              <w:left w:val="nil"/>
              <w:bottom w:val="single" w:sz="8" w:space="0" w:color="auto"/>
              <w:right w:val="nil"/>
            </w:tcBorders>
            <w:shd w:val="clear" w:color="auto" w:fill="auto"/>
            <w:noWrap/>
            <w:vAlign w:val="center"/>
            <w:hideMark/>
          </w:tcPr>
          <w:p w14:paraId="01AFEE22" w14:textId="77777777" w:rsidR="00B01A59" w:rsidRPr="00B01A59" w:rsidRDefault="00B01A59" w:rsidP="00B01A59">
            <w:pPr>
              <w:jc w:val="right"/>
              <w:rPr>
                <w:rFonts w:cs="Arial"/>
                <w:color w:val="000000"/>
                <w:sz w:val="22"/>
                <w:szCs w:val="22"/>
                <w:lang w:eastAsia="en-GB"/>
              </w:rPr>
            </w:pPr>
            <w:r>
              <w:rPr>
                <w:rFonts w:cs="Arial"/>
                <w:color w:val="000000"/>
                <w:sz w:val="22"/>
                <w:szCs w:val="22"/>
              </w:rPr>
              <w:t>10</w:t>
            </w:r>
          </w:p>
        </w:tc>
        <w:tc>
          <w:tcPr>
            <w:tcW w:w="712" w:type="dxa"/>
            <w:tcBorders>
              <w:top w:val="nil"/>
              <w:left w:val="nil"/>
              <w:bottom w:val="single" w:sz="8" w:space="0" w:color="auto"/>
              <w:right w:val="nil"/>
            </w:tcBorders>
            <w:shd w:val="clear" w:color="auto" w:fill="auto"/>
            <w:noWrap/>
            <w:vAlign w:val="center"/>
            <w:hideMark/>
          </w:tcPr>
          <w:p w14:paraId="554F3816" w14:textId="77777777" w:rsidR="00B01A59" w:rsidRPr="00B01A59" w:rsidRDefault="00B01A59" w:rsidP="00B01A59">
            <w:pPr>
              <w:jc w:val="right"/>
              <w:rPr>
                <w:rFonts w:cs="Arial"/>
                <w:color w:val="000000"/>
                <w:sz w:val="22"/>
                <w:szCs w:val="22"/>
                <w:lang w:eastAsia="en-GB"/>
              </w:rPr>
            </w:pPr>
            <w:r>
              <w:rPr>
                <w:rFonts w:cs="Arial"/>
                <w:color w:val="000000"/>
                <w:sz w:val="22"/>
                <w:szCs w:val="22"/>
              </w:rPr>
              <w:t>5</w:t>
            </w:r>
          </w:p>
        </w:tc>
        <w:tc>
          <w:tcPr>
            <w:tcW w:w="847" w:type="dxa"/>
            <w:tcBorders>
              <w:top w:val="nil"/>
              <w:left w:val="single" w:sz="8" w:space="0" w:color="auto"/>
              <w:bottom w:val="single" w:sz="8" w:space="0" w:color="auto"/>
              <w:right w:val="single" w:sz="4" w:space="0" w:color="auto"/>
            </w:tcBorders>
            <w:shd w:val="clear" w:color="auto" w:fill="auto"/>
            <w:noWrap/>
            <w:vAlign w:val="center"/>
            <w:hideMark/>
          </w:tcPr>
          <w:p w14:paraId="5B278480" w14:textId="77777777" w:rsidR="00B01A59" w:rsidRPr="00B01A59" w:rsidRDefault="00B01A59" w:rsidP="00B01A59">
            <w:pPr>
              <w:jc w:val="right"/>
              <w:rPr>
                <w:rFonts w:cs="Arial"/>
                <w:color w:val="000000"/>
                <w:sz w:val="22"/>
                <w:szCs w:val="22"/>
                <w:lang w:eastAsia="en-GB"/>
              </w:rPr>
            </w:pPr>
            <w:r>
              <w:rPr>
                <w:rFonts w:cs="Arial"/>
                <w:color w:val="000000"/>
                <w:sz w:val="22"/>
                <w:szCs w:val="22"/>
              </w:rPr>
              <w:t>820</w:t>
            </w:r>
          </w:p>
        </w:tc>
      </w:tr>
    </w:tbl>
    <w:p w14:paraId="7494E2AD" w14:textId="77777777" w:rsidR="006E15E5" w:rsidRPr="00B01A59" w:rsidRDefault="00B01A59" w:rsidP="005D21B7">
      <w:pPr>
        <w:pStyle w:val="EBBodyPara"/>
        <w:rPr>
          <w:i/>
          <w:sz w:val="20"/>
          <w:szCs w:val="20"/>
        </w:rPr>
      </w:pPr>
      <w:r>
        <w:lastRenderedPageBreak/>
        <w:t xml:space="preserve">  </w:t>
      </w:r>
      <w:r w:rsidRPr="00B01A59">
        <w:rPr>
          <w:i/>
          <w:sz w:val="20"/>
          <w:szCs w:val="20"/>
        </w:rPr>
        <w:t>Source: ONS, UK business; activity, size and location: 2017</w:t>
      </w:r>
      <w:r w:rsidRPr="00B01A59">
        <w:rPr>
          <w:rStyle w:val="FootnoteReference"/>
          <w:i/>
          <w:sz w:val="20"/>
          <w:szCs w:val="20"/>
        </w:rPr>
        <w:footnoteReference w:id="31"/>
      </w:r>
    </w:p>
    <w:p w14:paraId="0EC8F73E" w14:textId="77777777" w:rsidR="005D21B7" w:rsidRDefault="005D21B7" w:rsidP="005D21B7">
      <w:pPr>
        <w:pStyle w:val="EBBodyPara"/>
      </w:pPr>
      <w:r>
        <w:t>The requirements to which this Impact Assessment refers has been developed in consultation with the Domestic Passenger Ship Steering Group (DPSSG). The formal consultation exercise will be directed at all ship owners and will seek to identify further information from this sector on potential costs to small businesses. Responses to the consultation will be considered in the final version of this Impact Assessment.</w:t>
      </w:r>
    </w:p>
    <w:p w14:paraId="4EC1CAAF" w14:textId="77777777" w:rsidR="005D21B7" w:rsidRDefault="005D21B7" w:rsidP="00E43086">
      <w:pPr>
        <w:pStyle w:val="Heading3"/>
      </w:pPr>
      <w:r>
        <w:t xml:space="preserve">Competition </w:t>
      </w:r>
      <w:r w:rsidRPr="00E43086">
        <w:t>Assessment</w:t>
      </w:r>
    </w:p>
    <w:p w14:paraId="7B896826" w14:textId="1EF69EA6" w:rsidR="005D21B7" w:rsidRDefault="005D21B7" w:rsidP="005D21B7">
      <w:pPr>
        <w:pStyle w:val="EBBodyPara"/>
      </w:pPr>
      <w:r>
        <w:t xml:space="preserve">The proposed requirements should have a small positive impact on competition, as it prevents owners of older vessels from undercutting newer vessels by complying with a less burdensome safety regime. However, this will need to be balanced against the fact that these requirements could lead to a reduction in the number of suppliers, where vessel owners are unable to make their vessels comply with the new requirements and are </w:t>
      </w:r>
      <w:r w:rsidR="0056759D">
        <w:t>unable to procure a new vessel.</w:t>
      </w:r>
    </w:p>
    <w:p w14:paraId="5317FA39" w14:textId="59E73712" w:rsidR="0056759D" w:rsidRDefault="0056759D" w:rsidP="0056759D">
      <w:pPr>
        <w:pStyle w:val="Heading3"/>
      </w:pPr>
      <w:r>
        <w:t>Justice Impact Test</w:t>
      </w:r>
    </w:p>
    <w:p w14:paraId="56C8DDC1" w14:textId="7A69C64C" w:rsidR="0056759D" w:rsidRDefault="0056759D" w:rsidP="005D21B7">
      <w:pPr>
        <w:pStyle w:val="EBBodyPara"/>
      </w:pPr>
      <w:r>
        <w:t>A separate JIT is to be developed a</w:t>
      </w:r>
      <w:r w:rsidR="00BA564B">
        <w:t>head of the amendments of the relevant Statutory Instruments.</w:t>
      </w:r>
    </w:p>
    <w:p w14:paraId="22E75CB5" w14:textId="77777777" w:rsidR="0056759D" w:rsidRPr="00B563AD" w:rsidRDefault="0056759D" w:rsidP="0056759D">
      <w:pPr>
        <w:pStyle w:val="Heading3"/>
      </w:pPr>
      <w:r w:rsidRPr="00B563AD">
        <w:t>Family Test</w:t>
      </w:r>
    </w:p>
    <w:p w14:paraId="20DC4227" w14:textId="77777777" w:rsidR="0056759D" w:rsidRPr="00B563AD" w:rsidRDefault="0056759D" w:rsidP="0056759D">
      <w:pPr>
        <w:pStyle w:val="EBBodyPara"/>
      </w:pPr>
      <w:r w:rsidRPr="00B563AD">
        <w:t>This measure is not expected to impact families.</w:t>
      </w:r>
    </w:p>
    <w:p w14:paraId="3CE2A710" w14:textId="77777777" w:rsidR="0056759D" w:rsidRPr="00B563AD" w:rsidRDefault="0056759D" w:rsidP="0056759D">
      <w:pPr>
        <w:pStyle w:val="Heading3"/>
      </w:pPr>
      <w:r w:rsidRPr="00B563AD">
        <w:t>Health Impact Assessment</w:t>
      </w:r>
    </w:p>
    <w:p w14:paraId="5E2FE2EF" w14:textId="77777777" w:rsidR="0056759D" w:rsidRPr="00B563AD" w:rsidRDefault="0056759D" w:rsidP="0056759D">
      <w:pPr>
        <w:pStyle w:val="EBBodyPara"/>
      </w:pPr>
      <w:r w:rsidRPr="00B563AD">
        <w:t>This measure is not expected to impact health.</w:t>
      </w:r>
    </w:p>
    <w:p w14:paraId="6E21C7A8" w14:textId="77777777" w:rsidR="0056759D" w:rsidRPr="00B563AD" w:rsidRDefault="0056759D" w:rsidP="0056759D">
      <w:pPr>
        <w:pStyle w:val="Heading3"/>
      </w:pPr>
      <w:r w:rsidRPr="00B563AD">
        <w:t>Rural Proofing Toolkit</w:t>
      </w:r>
    </w:p>
    <w:p w14:paraId="20F57A42" w14:textId="77777777" w:rsidR="0056759D" w:rsidRDefault="0056759D" w:rsidP="0056759D">
      <w:pPr>
        <w:pStyle w:val="EBBodyPara"/>
      </w:pPr>
      <w:r w:rsidRPr="00B563AD">
        <w:t>This measure is not expected to impact those in a rural setting unfairly.</w:t>
      </w:r>
    </w:p>
    <w:p w14:paraId="48B1AAC4" w14:textId="77777777" w:rsidR="0056759D" w:rsidRPr="00B563AD" w:rsidRDefault="0056759D" w:rsidP="0056759D">
      <w:pPr>
        <w:pStyle w:val="Heading3"/>
      </w:pPr>
      <w:r w:rsidRPr="00B563AD">
        <w:t>Sustainable Development</w:t>
      </w:r>
    </w:p>
    <w:p w14:paraId="5BCB3D2C" w14:textId="68BDC413" w:rsidR="0056759D" w:rsidRDefault="0056759D" w:rsidP="005D21B7">
      <w:pPr>
        <w:pStyle w:val="EBBodyPara"/>
      </w:pPr>
      <w:r w:rsidRPr="00B563AD">
        <w:t>This measure is not expected to impact sustainable development</w:t>
      </w:r>
    </w:p>
    <w:p w14:paraId="616D6C12" w14:textId="77777777" w:rsidR="005D21B7" w:rsidRDefault="005D21B7" w:rsidP="00E43086">
      <w:pPr>
        <w:pStyle w:val="Heading3"/>
      </w:pPr>
      <w:r w:rsidRPr="00E43086">
        <w:t>Others</w:t>
      </w:r>
    </w:p>
    <w:p w14:paraId="3DD7C887" w14:textId="77777777" w:rsidR="005D21B7" w:rsidRDefault="005D21B7" w:rsidP="005D21B7">
      <w:pPr>
        <w:pStyle w:val="EBBodyPara"/>
        <w:keepNext/>
      </w:pPr>
      <w:r>
        <w:t>We believe there are no other significant wider impacts pertinent to this regulation.</w:t>
      </w:r>
    </w:p>
    <w:p w14:paraId="1A34C2A7" w14:textId="77777777" w:rsidR="005D21B7" w:rsidRDefault="005D21B7" w:rsidP="005D21B7">
      <w:pPr>
        <w:pStyle w:val="Heading2"/>
      </w:pPr>
      <w:r>
        <w:t>Summary and preferred option with description of implementation plan</w:t>
      </w:r>
    </w:p>
    <w:p w14:paraId="5DFD5A88" w14:textId="301202ED" w:rsidR="000A16BA" w:rsidRDefault="003614E1" w:rsidP="005D21B7">
      <w:pPr>
        <w:pStyle w:val="EBBodyPara"/>
      </w:pPr>
      <w:r>
        <w:t>Option 1, t</w:t>
      </w:r>
      <w:r w:rsidR="005D21B7">
        <w:t>he preferred option</w:t>
      </w:r>
      <w:r>
        <w:t>,</w:t>
      </w:r>
      <w:r w:rsidR="005D21B7">
        <w:t xml:space="preserve"> implements technical safety standards in key safety areas which gives a comparable safety standard for new and existing vessels. Allowances have been made, where possible, for alternative arrangements which ensure the safety concern is addressed, without being prohibitively expensive.</w:t>
      </w:r>
      <w:r w:rsidR="000A16BA">
        <w:t xml:space="preserve"> </w:t>
      </w:r>
      <w:r w:rsidR="00BA2789">
        <w:t>Although t</w:t>
      </w:r>
      <w:r w:rsidR="009B01FB">
        <w:t>he NPV</w:t>
      </w:r>
      <w:r w:rsidR="00BA2789">
        <w:t xml:space="preserve"> of the preferred option</w:t>
      </w:r>
      <w:r w:rsidR="009B01FB">
        <w:t xml:space="preserve"> </w:t>
      </w:r>
      <w:r w:rsidR="00BA2789">
        <w:t>under the central scenario is negative, we believe the net impact of the non-monetised costs and benefits, especially around safety, would if quantified lead to a positive NPV.</w:t>
      </w:r>
    </w:p>
    <w:p w14:paraId="42A1865B" w14:textId="6B775E9C" w:rsidR="008605C7" w:rsidRDefault="008605C7" w:rsidP="005D21B7">
      <w:pPr>
        <w:pStyle w:val="EBBodyPara"/>
      </w:pPr>
      <w:r>
        <w:t>We believe the additional benefits</w:t>
      </w:r>
      <w:r w:rsidR="0062539E">
        <w:t xml:space="preserve"> under O</w:t>
      </w:r>
      <w:r>
        <w:t>ption 2</w:t>
      </w:r>
      <w:r w:rsidR="00A87CA1">
        <w:t>, requiring vessels to be fully compliant with current regulations,</w:t>
      </w:r>
      <w:r>
        <w:t xml:space="preserve"> do not provide value for money due to the excessive additional </w:t>
      </w:r>
      <w:r w:rsidR="00A87CA1">
        <w:t>burden these elements will place onto businesses</w:t>
      </w:r>
      <w:r>
        <w:t>.</w:t>
      </w:r>
      <w:r w:rsidR="0062539E">
        <w:t xml:space="preserve"> Although we have not been able to</w:t>
      </w:r>
      <w:r w:rsidR="00BA2789">
        <w:t xml:space="preserve"> fully</w:t>
      </w:r>
      <w:r w:rsidR="0062539E">
        <w:t xml:space="preserve"> quantify the extent of the additional cost through Option 2, the non-monetised costs are likely to be significant.</w:t>
      </w:r>
      <w:r w:rsidR="00A87CA1">
        <w:t xml:space="preserve"> </w:t>
      </w:r>
      <w:r w:rsidR="0062539E">
        <w:t xml:space="preserve">A tailored approach considered under Option 1 meets our stated policy objectives at a minimum possible burden on industry. </w:t>
      </w:r>
      <w:r w:rsidR="00A87CA1">
        <w:t>Through our consultation, we will seek to refine this approach.</w:t>
      </w:r>
    </w:p>
    <w:p w14:paraId="5A7B8DE6" w14:textId="717FE5A9" w:rsidR="00472DED" w:rsidRDefault="00472DED" w:rsidP="00472DED">
      <w:pPr>
        <w:pStyle w:val="EBBodyPara"/>
        <w:keepNext/>
      </w:pPr>
      <w:r>
        <w:lastRenderedPageBreak/>
        <w:t>It is planned to amend the relevant Statutory Instruments and Marine Shipping Notices to implement the proposed regulations.</w:t>
      </w:r>
      <w:r w:rsidR="00317181">
        <w:t xml:space="preserve"> </w:t>
      </w:r>
      <w:r w:rsidR="00B45F62">
        <w:t>Vessels are surveyed and certificated annually and as a result we do not envisage additional monitoring will be required above current practices.</w:t>
      </w:r>
    </w:p>
    <w:p w14:paraId="50FF9BC7" w14:textId="77777777" w:rsidR="005D21B7" w:rsidRDefault="005D21B7" w:rsidP="005D21B7">
      <w:pPr>
        <w:pStyle w:val="EBBodyPara"/>
        <w:keepNext/>
      </w:pPr>
      <w:r>
        <w:t xml:space="preserve">The regulations will be made </w:t>
      </w:r>
      <w:r w:rsidR="00193436">
        <w:t>as soon as possible and</w:t>
      </w:r>
      <w:r>
        <w:t xml:space="preserve"> will be reviewed five years to assess the impact, the value of the guidance and whether anything can be done to improve the regime.</w:t>
      </w:r>
      <w:r w:rsidR="008F2CE9">
        <w:t xml:space="preserve"> A detailed Post Implementation Review (PIR) plan will be included in the final stage Impact Assessment.</w:t>
      </w:r>
      <w:r>
        <w:t xml:space="preserve"> In the </w:t>
      </w:r>
      <w:r w:rsidR="002E55B5">
        <w:t>meantime,</w:t>
      </w:r>
      <w:r>
        <w:t xml:space="preserve"> the MCA will continue to work with the industry to ensure practical implementation.  </w:t>
      </w:r>
    </w:p>
    <w:p w14:paraId="7907F85B" w14:textId="77777777" w:rsidR="00C77E30" w:rsidRDefault="00C77E30"/>
    <w:p w14:paraId="41CFBDCF" w14:textId="77777777" w:rsidR="00E43086" w:rsidRDefault="00E43086">
      <w:pPr>
        <w:sectPr w:rsidR="00E43086" w:rsidSect="00AC3587">
          <w:footnotePr>
            <w:numRestart w:val="eachSect"/>
          </w:footnotePr>
          <w:pgSz w:w="11907" w:h="16840" w:code="9"/>
          <w:pgMar w:top="680" w:right="680" w:bottom="680" w:left="680" w:header="284" w:footer="284" w:gutter="0"/>
          <w:cols w:space="708"/>
          <w:formProt w:val="0"/>
          <w:docGrid w:linePitch="360"/>
        </w:sectPr>
      </w:pPr>
    </w:p>
    <w:p w14:paraId="59B186B0" w14:textId="77777777" w:rsidR="00C77E30" w:rsidRDefault="00C77E30">
      <w:pPr>
        <w:rPr>
          <w:b/>
          <w:u w:val="single"/>
        </w:rPr>
      </w:pPr>
    </w:p>
    <w:tbl>
      <w:tblPr>
        <w:tblpPr w:leftFromText="180" w:rightFromText="180" w:vertAnchor="page" w:horzAnchor="margin" w:tblpY="1206"/>
        <w:tblW w:w="5131" w:type="pct"/>
        <w:tblLook w:val="04A0" w:firstRow="1" w:lastRow="0" w:firstColumn="1" w:lastColumn="0" w:noHBand="0" w:noVBand="1"/>
      </w:tblPr>
      <w:tblGrid>
        <w:gridCol w:w="1044"/>
        <w:gridCol w:w="977"/>
        <w:gridCol w:w="1805"/>
        <w:gridCol w:w="1701"/>
        <w:gridCol w:w="949"/>
        <w:gridCol w:w="1945"/>
        <w:gridCol w:w="1936"/>
        <w:gridCol w:w="1932"/>
        <w:gridCol w:w="1732"/>
        <w:gridCol w:w="1844"/>
      </w:tblGrid>
      <w:tr w:rsidR="00127910" w:rsidRPr="00AC3587" w14:paraId="25CD1026" w14:textId="77777777" w:rsidTr="00A77DF4">
        <w:trPr>
          <w:trHeight w:val="55"/>
          <w:tblHeader/>
        </w:trPr>
        <w:tc>
          <w:tcPr>
            <w:tcW w:w="2040" w:type="pct"/>
            <w:gridSpan w:val="5"/>
            <w:tcBorders>
              <w:top w:val="single" w:sz="8" w:space="0" w:color="auto"/>
              <w:left w:val="single" w:sz="8" w:space="0" w:color="auto"/>
              <w:bottom w:val="single" w:sz="8" w:space="0" w:color="auto"/>
              <w:right w:val="single" w:sz="8" w:space="0" w:color="000000"/>
            </w:tcBorders>
            <w:shd w:val="clear" w:color="auto" w:fill="E7E6E6" w:themeFill="background2"/>
            <w:noWrap/>
            <w:vAlign w:val="center"/>
            <w:hideMark/>
          </w:tcPr>
          <w:p w14:paraId="0A88FBA3" w14:textId="77777777" w:rsidR="00127910" w:rsidRPr="00127910" w:rsidRDefault="00127910" w:rsidP="00127910">
            <w:pPr>
              <w:keepNext/>
              <w:spacing w:before="40" w:after="40" w:line="259" w:lineRule="auto"/>
              <w:jc w:val="center"/>
              <w:rPr>
                <w:rFonts w:cs="Arial"/>
                <w:b/>
                <w:bCs/>
                <w:color w:val="000000"/>
                <w:sz w:val="22"/>
                <w:szCs w:val="22"/>
                <w:lang w:eastAsia="en-GB"/>
              </w:rPr>
            </w:pPr>
            <w:r w:rsidRPr="00AC3587">
              <w:rPr>
                <w:rFonts w:cs="Arial"/>
                <w:bCs/>
                <w:color w:val="000000"/>
                <w:sz w:val="22"/>
                <w:szCs w:val="22"/>
                <w:lang w:eastAsia="en-GB"/>
              </w:rPr>
              <w:br w:type="page"/>
            </w:r>
            <w:r w:rsidRPr="00127910">
              <w:rPr>
                <w:rFonts w:cs="Arial"/>
                <w:b/>
                <w:bCs/>
                <w:color w:val="000000"/>
                <w:sz w:val="22"/>
                <w:szCs w:val="22"/>
                <w:lang w:eastAsia="en-GB"/>
              </w:rPr>
              <w:t>Vessel Particulars</w:t>
            </w:r>
          </w:p>
        </w:tc>
        <w:tc>
          <w:tcPr>
            <w:tcW w:w="2960" w:type="pct"/>
            <w:gridSpan w:val="5"/>
            <w:tcBorders>
              <w:top w:val="single" w:sz="8" w:space="0" w:color="auto"/>
              <w:left w:val="nil"/>
              <w:bottom w:val="single" w:sz="8" w:space="0" w:color="auto"/>
              <w:right w:val="single" w:sz="8" w:space="0" w:color="000000"/>
            </w:tcBorders>
            <w:shd w:val="clear" w:color="auto" w:fill="E7E6E6" w:themeFill="background2"/>
            <w:noWrap/>
            <w:vAlign w:val="center"/>
            <w:hideMark/>
          </w:tcPr>
          <w:p w14:paraId="442A4CB2" w14:textId="77777777" w:rsidR="00127910" w:rsidRPr="00127910" w:rsidRDefault="00127910" w:rsidP="00127910">
            <w:pPr>
              <w:keepNext/>
              <w:spacing w:before="40" w:after="40" w:line="259" w:lineRule="auto"/>
              <w:jc w:val="center"/>
              <w:rPr>
                <w:rFonts w:cs="Arial"/>
                <w:b/>
                <w:bCs/>
                <w:color w:val="000000"/>
                <w:sz w:val="22"/>
                <w:szCs w:val="22"/>
                <w:lang w:eastAsia="en-GB"/>
              </w:rPr>
            </w:pPr>
            <w:r w:rsidRPr="00127910">
              <w:rPr>
                <w:rFonts w:cs="Arial"/>
                <w:b/>
                <w:bCs/>
                <w:color w:val="000000"/>
                <w:sz w:val="22"/>
                <w:szCs w:val="22"/>
                <w:lang w:eastAsia="en-GB"/>
              </w:rPr>
              <w:t>Annex A: Applicable Technical Standards for Passenger Ships on Domestic Voyages</w:t>
            </w:r>
          </w:p>
        </w:tc>
      </w:tr>
      <w:tr w:rsidR="00127910" w:rsidRPr="00AC3587" w14:paraId="33412022" w14:textId="77777777" w:rsidTr="00A77DF4">
        <w:trPr>
          <w:trHeight w:val="1350"/>
          <w:tblHeader/>
        </w:trPr>
        <w:tc>
          <w:tcPr>
            <w:tcW w:w="329"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46F14038"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Area of operation</w:t>
            </w:r>
          </w:p>
        </w:tc>
        <w:tc>
          <w:tcPr>
            <w:tcW w:w="877" w:type="pct"/>
            <w:gridSpan w:val="2"/>
            <w:vMerge w:val="restart"/>
            <w:tcBorders>
              <w:top w:val="single" w:sz="8" w:space="0" w:color="auto"/>
              <w:left w:val="single" w:sz="8" w:space="0" w:color="auto"/>
              <w:bottom w:val="single" w:sz="8" w:space="0" w:color="000000"/>
              <w:right w:val="single" w:sz="8" w:space="0" w:color="000000"/>
            </w:tcBorders>
            <w:shd w:val="clear" w:color="auto" w:fill="E7E6E6" w:themeFill="background2"/>
            <w:noWrap/>
            <w:textDirection w:val="btLr"/>
            <w:vAlign w:val="center"/>
            <w:hideMark/>
          </w:tcPr>
          <w:p w14:paraId="303989F3"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Age of vessel</w:t>
            </w:r>
          </w:p>
        </w:tc>
        <w:tc>
          <w:tcPr>
            <w:tcW w:w="536"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2A6DEE72"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Hull construction material</w:t>
            </w:r>
          </w:p>
        </w:tc>
        <w:tc>
          <w:tcPr>
            <w:tcW w:w="299"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5661439C"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Vessel Length</w:t>
            </w:r>
            <w:r w:rsidRPr="00AC3587">
              <w:rPr>
                <w:rFonts w:cs="Arial"/>
                <w:b/>
                <w:bCs/>
                <w:color w:val="000000"/>
                <w:sz w:val="18"/>
                <w:szCs w:val="20"/>
                <w:vertAlign w:val="superscript"/>
                <w:lang w:eastAsia="en-GB"/>
              </w:rPr>
              <w:t>6</w:t>
            </w:r>
          </w:p>
        </w:tc>
        <w:tc>
          <w:tcPr>
            <w:tcW w:w="613"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6C6B9A5A"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UK Class III to VI(A) Regulations</w:t>
            </w:r>
            <w:r w:rsidRPr="00AC3587">
              <w:rPr>
                <w:rFonts w:cs="Arial"/>
                <w:b/>
                <w:bCs/>
                <w:color w:val="000000"/>
                <w:sz w:val="18"/>
                <w:szCs w:val="20"/>
                <w:vertAlign w:val="superscript"/>
                <w:lang w:eastAsia="en-GB"/>
              </w:rPr>
              <w:t>4</w:t>
            </w:r>
          </w:p>
        </w:tc>
        <w:tc>
          <w:tcPr>
            <w:tcW w:w="610"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770D5100"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 xml:space="preserve">Directive 2009/45/EC, as amended </w:t>
            </w:r>
          </w:p>
        </w:tc>
        <w:tc>
          <w:tcPr>
            <w:tcW w:w="609"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54E952D4"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Existing Phased in Directive 2009/45/EC, as amended by Directive 2010/36/EU</w:t>
            </w:r>
          </w:p>
        </w:tc>
        <w:tc>
          <w:tcPr>
            <w:tcW w:w="546"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161B632A" w14:textId="77777777" w:rsidR="00127910" w:rsidRPr="00080182" w:rsidRDefault="00127910" w:rsidP="00127910">
            <w:pPr>
              <w:keepNext/>
              <w:spacing w:before="40" w:after="40" w:line="259" w:lineRule="auto"/>
              <w:ind w:left="113" w:right="113"/>
              <w:rPr>
                <w:rFonts w:cs="Arial"/>
                <w:b/>
                <w:bCs/>
                <w:color w:val="000000"/>
                <w:sz w:val="18"/>
                <w:szCs w:val="20"/>
                <w:vertAlign w:val="superscript"/>
                <w:lang w:eastAsia="en-GB"/>
              </w:rPr>
            </w:pPr>
            <w:r w:rsidRPr="00AC3587">
              <w:rPr>
                <w:rFonts w:cs="Arial"/>
                <w:b/>
                <w:bCs/>
                <w:color w:val="000000"/>
                <w:sz w:val="18"/>
                <w:szCs w:val="20"/>
                <w:lang w:eastAsia="en-GB"/>
              </w:rPr>
              <w:t>Safety Code for Passenger Ships Operating Solely in UK Categorised waters (MSN 1823)</w:t>
            </w:r>
            <w:r>
              <w:rPr>
                <w:rFonts w:cs="Arial"/>
                <w:b/>
                <w:bCs/>
                <w:color w:val="000000"/>
                <w:sz w:val="18"/>
                <w:szCs w:val="20"/>
                <w:vertAlign w:val="superscript"/>
                <w:lang w:eastAsia="en-GB"/>
              </w:rPr>
              <w:t>7</w:t>
            </w:r>
          </w:p>
        </w:tc>
        <w:tc>
          <w:tcPr>
            <w:tcW w:w="581"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33B7F50F" w14:textId="77777777" w:rsidR="00127910" w:rsidRPr="00AC3587" w:rsidRDefault="00127910" w:rsidP="00127910">
            <w:pPr>
              <w:keepNext/>
              <w:spacing w:before="40" w:after="40" w:line="259" w:lineRule="auto"/>
              <w:ind w:left="113" w:right="113"/>
              <w:rPr>
                <w:rFonts w:cs="Arial"/>
                <w:b/>
                <w:bCs/>
                <w:color w:val="000000"/>
                <w:sz w:val="18"/>
                <w:szCs w:val="20"/>
                <w:lang w:eastAsia="en-GB"/>
              </w:rPr>
            </w:pPr>
            <w:r w:rsidRPr="00AC3587">
              <w:rPr>
                <w:rFonts w:cs="Arial"/>
                <w:b/>
                <w:bCs/>
                <w:color w:val="000000"/>
                <w:sz w:val="18"/>
                <w:szCs w:val="20"/>
                <w:lang w:eastAsia="en-GB"/>
              </w:rPr>
              <w:t>Small Seagoing Passenger Ship (SSPS) Code</w:t>
            </w:r>
            <w:r w:rsidRPr="00AC3587">
              <w:rPr>
                <w:rFonts w:cs="Arial"/>
                <w:b/>
                <w:bCs/>
                <w:color w:val="000000"/>
                <w:sz w:val="18"/>
                <w:szCs w:val="20"/>
                <w:vertAlign w:val="superscript"/>
                <w:lang w:eastAsia="en-GB"/>
              </w:rPr>
              <w:t>1</w:t>
            </w:r>
            <w:r w:rsidRPr="00AC3587">
              <w:rPr>
                <w:rFonts w:cs="Arial"/>
                <w:b/>
                <w:bCs/>
                <w:color w:val="000000"/>
                <w:sz w:val="18"/>
                <w:szCs w:val="20"/>
                <w:lang w:eastAsia="en-GB"/>
              </w:rPr>
              <w:t xml:space="preserve"> </w:t>
            </w:r>
          </w:p>
        </w:tc>
      </w:tr>
      <w:tr w:rsidR="00127910" w:rsidRPr="00AC3587" w14:paraId="21E086AC" w14:textId="77777777" w:rsidTr="00A77DF4">
        <w:trPr>
          <w:trHeight w:val="648"/>
          <w:tblHeader/>
        </w:trPr>
        <w:tc>
          <w:tcPr>
            <w:tcW w:w="329"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647A9077" w14:textId="77777777" w:rsidR="00127910" w:rsidRPr="00AC3587" w:rsidRDefault="00127910" w:rsidP="00127910">
            <w:pPr>
              <w:keepNext/>
              <w:spacing w:before="40" w:after="40" w:line="259" w:lineRule="auto"/>
              <w:rPr>
                <w:rFonts w:cs="Arial"/>
                <w:bCs/>
                <w:color w:val="000000"/>
                <w:sz w:val="18"/>
                <w:szCs w:val="20"/>
                <w:lang w:eastAsia="en-GB"/>
              </w:rPr>
            </w:pPr>
          </w:p>
        </w:tc>
        <w:tc>
          <w:tcPr>
            <w:tcW w:w="877" w:type="pct"/>
            <w:gridSpan w:val="2"/>
            <w:vMerge/>
            <w:tcBorders>
              <w:top w:val="single" w:sz="8" w:space="0" w:color="auto"/>
              <w:left w:val="single" w:sz="8" w:space="0" w:color="auto"/>
              <w:bottom w:val="single" w:sz="8" w:space="0" w:color="000000"/>
              <w:right w:val="single" w:sz="8" w:space="0" w:color="000000"/>
            </w:tcBorders>
            <w:shd w:val="clear" w:color="auto" w:fill="E7E6E6" w:themeFill="background2"/>
            <w:vAlign w:val="center"/>
            <w:hideMark/>
          </w:tcPr>
          <w:p w14:paraId="4D051672" w14:textId="77777777" w:rsidR="00127910" w:rsidRPr="00AC3587" w:rsidRDefault="00127910" w:rsidP="00127910">
            <w:pPr>
              <w:keepNext/>
              <w:spacing w:before="40" w:after="40" w:line="259" w:lineRule="auto"/>
              <w:rPr>
                <w:rFonts w:cs="Arial"/>
                <w:bCs/>
                <w:color w:val="000000"/>
                <w:sz w:val="18"/>
                <w:szCs w:val="20"/>
                <w:lang w:eastAsia="en-GB"/>
              </w:rPr>
            </w:pPr>
          </w:p>
        </w:tc>
        <w:tc>
          <w:tcPr>
            <w:tcW w:w="536"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573AFEDC" w14:textId="77777777" w:rsidR="00127910" w:rsidRPr="00AC3587" w:rsidRDefault="00127910" w:rsidP="00127910">
            <w:pPr>
              <w:keepNext/>
              <w:spacing w:before="40" w:after="40" w:line="259" w:lineRule="auto"/>
              <w:rPr>
                <w:rFonts w:cs="Arial"/>
                <w:bCs/>
                <w:color w:val="000000"/>
                <w:sz w:val="18"/>
                <w:szCs w:val="20"/>
                <w:lang w:eastAsia="en-GB"/>
              </w:rPr>
            </w:pPr>
          </w:p>
        </w:tc>
        <w:tc>
          <w:tcPr>
            <w:tcW w:w="299"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0D5029E6" w14:textId="77777777" w:rsidR="00127910" w:rsidRPr="00AC3587" w:rsidRDefault="00127910" w:rsidP="00127910">
            <w:pPr>
              <w:keepNext/>
              <w:spacing w:before="40" w:after="40" w:line="259" w:lineRule="auto"/>
              <w:rPr>
                <w:rFonts w:cs="Arial"/>
                <w:bCs/>
                <w:color w:val="000000"/>
                <w:sz w:val="18"/>
                <w:szCs w:val="20"/>
                <w:lang w:eastAsia="en-GB"/>
              </w:rPr>
            </w:pPr>
          </w:p>
        </w:tc>
        <w:tc>
          <w:tcPr>
            <w:tcW w:w="613"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57640637" w14:textId="77777777" w:rsidR="00127910" w:rsidRPr="00AC3587" w:rsidRDefault="00127910" w:rsidP="00127910">
            <w:pPr>
              <w:keepNext/>
              <w:spacing w:before="40" w:after="40" w:line="259" w:lineRule="auto"/>
              <w:rPr>
                <w:rFonts w:cs="Arial"/>
                <w:bCs/>
                <w:color w:val="000000"/>
                <w:sz w:val="18"/>
                <w:szCs w:val="20"/>
                <w:lang w:eastAsia="en-GB"/>
              </w:rPr>
            </w:pPr>
          </w:p>
        </w:tc>
        <w:tc>
          <w:tcPr>
            <w:tcW w:w="610"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334F4585" w14:textId="77777777" w:rsidR="00127910" w:rsidRPr="00AC3587" w:rsidRDefault="00127910" w:rsidP="00127910">
            <w:pPr>
              <w:keepNext/>
              <w:spacing w:before="40" w:after="40" w:line="259" w:lineRule="auto"/>
              <w:rPr>
                <w:rFonts w:cs="Arial"/>
                <w:bCs/>
                <w:color w:val="000000"/>
                <w:sz w:val="18"/>
                <w:szCs w:val="20"/>
                <w:lang w:eastAsia="en-GB"/>
              </w:rPr>
            </w:pPr>
          </w:p>
        </w:tc>
        <w:tc>
          <w:tcPr>
            <w:tcW w:w="609"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032ADB7B" w14:textId="77777777" w:rsidR="00127910" w:rsidRPr="00AC3587" w:rsidRDefault="00127910" w:rsidP="00127910">
            <w:pPr>
              <w:keepNext/>
              <w:spacing w:before="40" w:after="40" w:line="259" w:lineRule="auto"/>
              <w:rPr>
                <w:rFonts w:cs="Arial"/>
                <w:bCs/>
                <w:color w:val="000000"/>
                <w:sz w:val="18"/>
                <w:szCs w:val="20"/>
                <w:lang w:eastAsia="en-GB"/>
              </w:rPr>
            </w:pPr>
          </w:p>
        </w:tc>
        <w:tc>
          <w:tcPr>
            <w:tcW w:w="546"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1E32C132" w14:textId="77777777" w:rsidR="00127910" w:rsidRPr="00AC3587" w:rsidRDefault="00127910" w:rsidP="00127910">
            <w:pPr>
              <w:keepNext/>
              <w:spacing w:before="40" w:after="40" w:line="259" w:lineRule="auto"/>
              <w:rPr>
                <w:rFonts w:cs="Arial"/>
                <w:bCs/>
                <w:color w:val="000000"/>
                <w:sz w:val="18"/>
                <w:szCs w:val="20"/>
                <w:lang w:eastAsia="en-GB"/>
              </w:rPr>
            </w:pPr>
          </w:p>
        </w:tc>
        <w:tc>
          <w:tcPr>
            <w:tcW w:w="581"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1C2A67E5" w14:textId="77777777" w:rsidR="00127910" w:rsidRPr="00AC3587" w:rsidRDefault="00127910" w:rsidP="00127910">
            <w:pPr>
              <w:keepNext/>
              <w:spacing w:before="40" w:after="40" w:line="259" w:lineRule="auto"/>
              <w:rPr>
                <w:rFonts w:cs="Arial"/>
                <w:bCs/>
                <w:color w:val="000000"/>
                <w:sz w:val="18"/>
                <w:szCs w:val="20"/>
                <w:lang w:eastAsia="en-GB"/>
              </w:rPr>
            </w:pPr>
          </w:p>
        </w:tc>
      </w:tr>
      <w:tr w:rsidR="00127910" w:rsidRPr="00AC3587" w14:paraId="58CC25DC" w14:textId="77777777" w:rsidTr="00A77DF4">
        <w:trPr>
          <w:cantSplit/>
          <w:trHeight w:val="60"/>
          <w:tblHeader/>
        </w:trPr>
        <w:tc>
          <w:tcPr>
            <w:tcW w:w="329"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3D9B3D17" w14:textId="77777777" w:rsidR="00127910" w:rsidRPr="00AC3587" w:rsidRDefault="00127910" w:rsidP="00127910">
            <w:pPr>
              <w:keepNext/>
              <w:spacing w:before="40" w:after="40" w:line="259" w:lineRule="auto"/>
              <w:ind w:left="113" w:right="113"/>
              <w:jc w:val="center"/>
              <w:rPr>
                <w:rFonts w:cs="Arial"/>
                <w:b/>
                <w:bCs/>
                <w:color w:val="000000"/>
                <w:sz w:val="18"/>
                <w:szCs w:val="20"/>
                <w:lang w:eastAsia="en-GB"/>
              </w:rPr>
            </w:pPr>
            <w:r w:rsidRPr="00AC3587">
              <w:rPr>
                <w:rFonts w:cs="Arial"/>
                <w:b/>
                <w:bCs/>
                <w:color w:val="000000"/>
                <w:sz w:val="18"/>
                <w:szCs w:val="20"/>
                <w:lang w:eastAsia="en-GB"/>
              </w:rPr>
              <w:t>Seagoing</w:t>
            </w:r>
          </w:p>
        </w:tc>
        <w:tc>
          <w:tcPr>
            <w:tcW w:w="877" w:type="pct"/>
            <w:gridSpan w:val="2"/>
            <w:tcBorders>
              <w:top w:val="single" w:sz="8" w:space="0" w:color="auto"/>
              <w:left w:val="nil"/>
              <w:bottom w:val="single" w:sz="8" w:space="0" w:color="auto"/>
              <w:right w:val="single" w:sz="8" w:space="0" w:color="000000"/>
            </w:tcBorders>
            <w:shd w:val="clear" w:color="auto" w:fill="E7E6E6" w:themeFill="background2"/>
            <w:vAlign w:val="center"/>
            <w:hideMark/>
          </w:tcPr>
          <w:p w14:paraId="07837593"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Any</w:t>
            </w:r>
            <w:r w:rsidRPr="00AC3587">
              <w:rPr>
                <w:rFonts w:cs="Arial"/>
                <w:bCs/>
                <w:color w:val="000000"/>
                <w:sz w:val="18"/>
                <w:szCs w:val="20"/>
                <w:vertAlign w:val="superscript"/>
                <w:lang w:eastAsia="en-GB"/>
              </w:rPr>
              <w:t>2</w:t>
            </w:r>
          </w:p>
        </w:tc>
        <w:tc>
          <w:tcPr>
            <w:tcW w:w="536" w:type="pct"/>
            <w:tcBorders>
              <w:top w:val="nil"/>
              <w:left w:val="nil"/>
              <w:bottom w:val="single" w:sz="8" w:space="0" w:color="auto"/>
              <w:right w:val="single" w:sz="8" w:space="0" w:color="auto"/>
            </w:tcBorders>
            <w:shd w:val="clear" w:color="auto" w:fill="E7E6E6" w:themeFill="background2"/>
            <w:vAlign w:val="center"/>
            <w:hideMark/>
          </w:tcPr>
          <w:p w14:paraId="59423030"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Not steel or equivalent</w:t>
            </w:r>
          </w:p>
        </w:tc>
        <w:tc>
          <w:tcPr>
            <w:tcW w:w="299" w:type="pct"/>
            <w:tcBorders>
              <w:top w:val="nil"/>
              <w:left w:val="nil"/>
              <w:bottom w:val="single" w:sz="8" w:space="0" w:color="auto"/>
              <w:right w:val="single" w:sz="8" w:space="0" w:color="auto"/>
            </w:tcBorders>
            <w:shd w:val="clear" w:color="auto" w:fill="E7E6E6" w:themeFill="background2"/>
            <w:vAlign w:val="center"/>
            <w:hideMark/>
          </w:tcPr>
          <w:p w14:paraId="5B3F8C95"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&lt; 24m </w:t>
            </w:r>
          </w:p>
        </w:tc>
        <w:tc>
          <w:tcPr>
            <w:tcW w:w="613" w:type="pct"/>
            <w:tcBorders>
              <w:top w:val="nil"/>
              <w:left w:val="nil"/>
              <w:bottom w:val="single" w:sz="8" w:space="0" w:color="auto"/>
              <w:right w:val="single" w:sz="8" w:space="0" w:color="auto"/>
            </w:tcBorders>
            <w:shd w:val="clear" w:color="auto" w:fill="auto"/>
            <w:vAlign w:val="center"/>
            <w:hideMark/>
          </w:tcPr>
          <w:p w14:paraId="30012698"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10" w:type="pct"/>
            <w:tcBorders>
              <w:top w:val="nil"/>
              <w:left w:val="nil"/>
              <w:bottom w:val="single" w:sz="8" w:space="0" w:color="auto"/>
              <w:right w:val="single" w:sz="8" w:space="0" w:color="auto"/>
            </w:tcBorders>
            <w:shd w:val="clear" w:color="auto" w:fill="auto"/>
            <w:vAlign w:val="center"/>
            <w:hideMark/>
          </w:tcPr>
          <w:p w14:paraId="37324F5D"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09" w:type="pct"/>
            <w:tcBorders>
              <w:top w:val="nil"/>
              <w:left w:val="nil"/>
              <w:bottom w:val="single" w:sz="8" w:space="0" w:color="auto"/>
              <w:right w:val="single" w:sz="8" w:space="0" w:color="auto"/>
            </w:tcBorders>
            <w:shd w:val="clear" w:color="auto" w:fill="auto"/>
            <w:vAlign w:val="center"/>
            <w:hideMark/>
          </w:tcPr>
          <w:p w14:paraId="201B7AD4"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46" w:type="pct"/>
            <w:tcBorders>
              <w:top w:val="nil"/>
              <w:left w:val="nil"/>
              <w:bottom w:val="single" w:sz="8" w:space="0" w:color="auto"/>
              <w:right w:val="single" w:sz="8" w:space="0" w:color="auto"/>
            </w:tcBorders>
            <w:shd w:val="clear" w:color="auto" w:fill="auto"/>
            <w:vAlign w:val="center"/>
            <w:hideMark/>
          </w:tcPr>
          <w:p w14:paraId="5943DAE6"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81" w:type="pct"/>
            <w:tcBorders>
              <w:top w:val="nil"/>
              <w:left w:val="nil"/>
              <w:bottom w:val="single" w:sz="8" w:space="0" w:color="auto"/>
              <w:right w:val="single" w:sz="8" w:space="0" w:color="auto"/>
            </w:tcBorders>
            <w:shd w:val="clear" w:color="auto" w:fill="auto"/>
            <w:noWrap/>
            <w:vAlign w:val="center"/>
            <w:hideMark/>
          </w:tcPr>
          <w:p w14:paraId="1B319920"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r w:rsidRPr="00AC3587">
              <w:rPr>
                <w:rFonts w:cs="Arial"/>
                <w:bCs/>
                <w:color w:val="000000"/>
                <w:szCs w:val="20"/>
                <w:vertAlign w:val="superscript"/>
                <w:lang w:eastAsia="en-GB"/>
              </w:rPr>
              <w:t>1</w:t>
            </w:r>
          </w:p>
        </w:tc>
      </w:tr>
      <w:tr w:rsidR="00127910" w:rsidRPr="00AC3587" w14:paraId="0869914E" w14:textId="77777777" w:rsidTr="00A77DF4">
        <w:trPr>
          <w:trHeight w:val="315"/>
          <w:tblHeader/>
        </w:trPr>
        <w:tc>
          <w:tcPr>
            <w:tcW w:w="329" w:type="pct"/>
            <w:vMerge/>
            <w:tcBorders>
              <w:top w:val="nil"/>
              <w:left w:val="single" w:sz="8" w:space="0" w:color="auto"/>
              <w:bottom w:val="single" w:sz="8" w:space="0" w:color="000000"/>
              <w:right w:val="single" w:sz="8" w:space="0" w:color="auto"/>
            </w:tcBorders>
            <w:shd w:val="clear" w:color="auto" w:fill="E7E6E6" w:themeFill="background2"/>
            <w:textDirection w:val="tbRl"/>
            <w:vAlign w:val="center"/>
            <w:hideMark/>
          </w:tcPr>
          <w:p w14:paraId="2AD53C78" w14:textId="77777777" w:rsidR="00127910" w:rsidRPr="00AC3587" w:rsidRDefault="00127910" w:rsidP="00127910">
            <w:pPr>
              <w:keepNext/>
              <w:spacing w:before="40" w:after="40" w:line="259" w:lineRule="auto"/>
              <w:ind w:left="113" w:right="113"/>
              <w:jc w:val="center"/>
              <w:rPr>
                <w:rFonts w:cs="Arial"/>
                <w:b/>
                <w:bCs/>
                <w:color w:val="000000"/>
                <w:sz w:val="18"/>
                <w:szCs w:val="20"/>
                <w:lang w:eastAsia="en-GB"/>
              </w:rPr>
            </w:pPr>
          </w:p>
        </w:tc>
        <w:tc>
          <w:tcPr>
            <w:tcW w:w="308" w:type="pct"/>
            <w:vMerge w:val="restart"/>
            <w:tcBorders>
              <w:top w:val="nil"/>
              <w:left w:val="single" w:sz="8" w:space="0" w:color="auto"/>
              <w:bottom w:val="single" w:sz="8" w:space="0" w:color="000000"/>
              <w:right w:val="single" w:sz="8" w:space="0" w:color="auto"/>
            </w:tcBorders>
            <w:shd w:val="clear" w:color="auto" w:fill="E7E6E6" w:themeFill="background2"/>
            <w:noWrap/>
            <w:vAlign w:val="center"/>
            <w:hideMark/>
          </w:tcPr>
          <w:p w14:paraId="517D8F60"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"New"</w:t>
            </w:r>
          </w:p>
        </w:tc>
        <w:tc>
          <w:tcPr>
            <w:tcW w:w="569" w:type="pct"/>
            <w:vMerge w:val="restart"/>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58F2302A"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Constructed on or after 1 July 1998;</w:t>
            </w:r>
          </w:p>
        </w:tc>
        <w:tc>
          <w:tcPr>
            <w:tcW w:w="536" w:type="pct"/>
            <w:tcBorders>
              <w:top w:val="nil"/>
              <w:left w:val="nil"/>
              <w:bottom w:val="single" w:sz="8" w:space="0" w:color="auto"/>
              <w:right w:val="single" w:sz="8" w:space="0" w:color="auto"/>
            </w:tcBorders>
            <w:shd w:val="clear" w:color="auto" w:fill="E7E6E6" w:themeFill="background2"/>
            <w:vAlign w:val="center"/>
            <w:hideMark/>
          </w:tcPr>
          <w:p w14:paraId="5E2E9060"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Steel or equivalent</w:t>
            </w:r>
          </w:p>
        </w:tc>
        <w:tc>
          <w:tcPr>
            <w:tcW w:w="299" w:type="pct"/>
            <w:tcBorders>
              <w:top w:val="nil"/>
              <w:left w:val="nil"/>
              <w:bottom w:val="single" w:sz="8" w:space="0" w:color="auto"/>
              <w:right w:val="single" w:sz="8" w:space="0" w:color="auto"/>
            </w:tcBorders>
            <w:shd w:val="clear" w:color="auto" w:fill="E7E6E6" w:themeFill="background2"/>
            <w:vAlign w:val="center"/>
            <w:hideMark/>
          </w:tcPr>
          <w:p w14:paraId="3B6599E7"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24m</w:t>
            </w:r>
          </w:p>
        </w:tc>
        <w:tc>
          <w:tcPr>
            <w:tcW w:w="613" w:type="pct"/>
            <w:tcBorders>
              <w:top w:val="nil"/>
              <w:left w:val="nil"/>
              <w:bottom w:val="single" w:sz="8" w:space="0" w:color="auto"/>
              <w:right w:val="single" w:sz="8" w:space="0" w:color="auto"/>
            </w:tcBorders>
            <w:shd w:val="clear" w:color="auto" w:fill="auto"/>
            <w:noWrap/>
            <w:vAlign w:val="center"/>
            <w:hideMark/>
          </w:tcPr>
          <w:p w14:paraId="43CE0364"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10" w:type="pct"/>
            <w:tcBorders>
              <w:top w:val="nil"/>
              <w:left w:val="nil"/>
              <w:bottom w:val="single" w:sz="8" w:space="0" w:color="auto"/>
              <w:right w:val="single" w:sz="8" w:space="0" w:color="auto"/>
            </w:tcBorders>
            <w:shd w:val="clear" w:color="auto" w:fill="auto"/>
            <w:noWrap/>
            <w:vAlign w:val="center"/>
            <w:hideMark/>
          </w:tcPr>
          <w:p w14:paraId="5164F050"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p>
        </w:tc>
        <w:tc>
          <w:tcPr>
            <w:tcW w:w="609" w:type="pct"/>
            <w:tcBorders>
              <w:top w:val="nil"/>
              <w:left w:val="nil"/>
              <w:bottom w:val="single" w:sz="8" w:space="0" w:color="auto"/>
              <w:right w:val="single" w:sz="8" w:space="0" w:color="auto"/>
            </w:tcBorders>
            <w:shd w:val="clear" w:color="auto" w:fill="auto"/>
            <w:noWrap/>
            <w:vAlign w:val="center"/>
            <w:hideMark/>
          </w:tcPr>
          <w:p w14:paraId="286416DD"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46" w:type="pct"/>
            <w:tcBorders>
              <w:top w:val="nil"/>
              <w:left w:val="nil"/>
              <w:bottom w:val="single" w:sz="8" w:space="0" w:color="auto"/>
              <w:right w:val="single" w:sz="8" w:space="0" w:color="auto"/>
            </w:tcBorders>
            <w:shd w:val="clear" w:color="auto" w:fill="auto"/>
            <w:noWrap/>
            <w:vAlign w:val="center"/>
            <w:hideMark/>
          </w:tcPr>
          <w:p w14:paraId="22CDE20C"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81" w:type="pct"/>
            <w:tcBorders>
              <w:top w:val="nil"/>
              <w:left w:val="nil"/>
              <w:bottom w:val="single" w:sz="8" w:space="0" w:color="auto"/>
              <w:right w:val="single" w:sz="8" w:space="0" w:color="auto"/>
            </w:tcBorders>
            <w:shd w:val="clear" w:color="auto" w:fill="auto"/>
            <w:noWrap/>
            <w:vAlign w:val="center"/>
            <w:hideMark/>
          </w:tcPr>
          <w:p w14:paraId="4F659DF5" w14:textId="77777777" w:rsidR="00127910" w:rsidRPr="00AC3587" w:rsidRDefault="00127910" w:rsidP="00127910">
            <w:pPr>
              <w:keepNext/>
              <w:spacing w:before="40" w:after="40" w:line="259" w:lineRule="auto"/>
              <w:jc w:val="center"/>
              <w:rPr>
                <w:rFonts w:cs="Arial"/>
                <w:bCs/>
                <w:color w:val="000000"/>
                <w:szCs w:val="20"/>
                <w:lang w:eastAsia="en-GB"/>
              </w:rPr>
            </w:pPr>
          </w:p>
        </w:tc>
      </w:tr>
      <w:tr w:rsidR="00127910" w:rsidRPr="00AC3587" w14:paraId="648BE476" w14:textId="77777777" w:rsidTr="00A77DF4">
        <w:trPr>
          <w:trHeight w:val="253"/>
          <w:tblHeader/>
        </w:trPr>
        <w:tc>
          <w:tcPr>
            <w:tcW w:w="329" w:type="pct"/>
            <w:vMerge/>
            <w:tcBorders>
              <w:top w:val="nil"/>
              <w:left w:val="single" w:sz="8" w:space="0" w:color="auto"/>
              <w:bottom w:val="single" w:sz="8" w:space="0" w:color="000000"/>
              <w:right w:val="single" w:sz="8" w:space="0" w:color="auto"/>
            </w:tcBorders>
            <w:shd w:val="clear" w:color="auto" w:fill="E7E6E6" w:themeFill="background2"/>
            <w:textDirection w:val="tbRl"/>
            <w:vAlign w:val="center"/>
            <w:hideMark/>
          </w:tcPr>
          <w:p w14:paraId="54F813E2" w14:textId="77777777" w:rsidR="00127910" w:rsidRPr="00AC3587" w:rsidRDefault="00127910" w:rsidP="00127910">
            <w:pPr>
              <w:keepNext/>
              <w:spacing w:before="40" w:after="40" w:line="259" w:lineRule="auto"/>
              <w:ind w:left="113" w:right="113"/>
              <w:jc w:val="center"/>
              <w:rPr>
                <w:rFonts w:cs="Arial"/>
                <w:b/>
                <w:bCs/>
                <w:color w:val="000000"/>
                <w:sz w:val="18"/>
                <w:szCs w:val="20"/>
                <w:lang w:eastAsia="en-GB"/>
              </w:rPr>
            </w:pPr>
          </w:p>
        </w:tc>
        <w:tc>
          <w:tcPr>
            <w:tcW w:w="308"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4C1FA7EE" w14:textId="77777777" w:rsidR="00127910" w:rsidRPr="00AC3587" w:rsidRDefault="00127910" w:rsidP="00127910">
            <w:pPr>
              <w:keepNext/>
              <w:spacing w:before="40" w:after="40" w:line="259" w:lineRule="auto"/>
              <w:rPr>
                <w:rFonts w:cs="Arial"/>
                <w:bCs/>
                <w:color w:val="000000"/>
                <w:sz w:val="18"/>
                <w:szCs w:val="20"/>
                <w:lang w:eastAsia="en-GB"/>
              </w:rPr>
            </w:pPr>
          </w:p>
        </w:tc>
        <w:tc>
          <w:tcPr>
            <w:tcW w:w="569" w:type="pct"/>
            <w:vMerge/>
            <w:tcBorders>
              <w:top w:val="single" w:sz="8" w:space="0" w:color="auto"/>
              <w:left w:val="single" w:sz="8" w:space="0" w:color="auto"/>
              <w:bottom w:val="single" w:sz="8" w:space="0" w:color="000000"/>
              <w:right w:val="single" w:sz="8" w:space="0" w:color="auto"/>
            </w:tcBorders>
            <w:shd w:val="clear" w:color="auto" w:fill="E7E6E6" w:themeFill="background2"/>
            <w:vAlign w:val="center"/>
            <w:hideMark/>
          </w:tcPr>
          <w:p w14:paraId="757A45B3" w14:textId="77777777" w:rsidR="00127910" w:rsidRPr="00AC3587" w:rsidRDefault="00127910" w:rsidP="00127910">
            <w:pPr>
              <w:keepNext/>
              <w:spacing w:before="40" w:after="40" w:line="259" w:lineRule="auto"/>
              <w:rPr>
                <w:rFonts w:cs="Arial"/>
                <w:bCs/>
                <w:color w:val="000000"/>
                <w:sz w:val="18"/>
                <w:szCs w:val="20"/>
                <w:lang w:eastAsia="en-GB"/>
              </w:rPr>
            </w:pPr>
          </w:p>
        </w:tc>
        <w:tc>
          <w:tcPr>
            <w:tcW w:w="536" w:type="pct"/>
            <w:tcBorders>
              <w:top w:val="nil"/>
              <w:left w:val="single" w:sz="8" w:space="0" w:color="auto"/>
              <w:bottom w:val="single" w:sz="8" w:space="0" w:color="000000"/>
              <w:right w:val="single" w:sz="8" w:space="0" w:color="auto"/>
            </w:tcBorders>
            <w:shd w:val="clear" w:color="auto" w:fill="E7E6E6" w:themeFill="background2"/>
            <w:vAlign w:val="center"/>
            <w:hideMark/>
          </w:tcPr>
          <w:p w14:paraId="6ED0E7F9"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Not steel or equivalent</w:t>
            </w:r>
          </w:p>
        </w:tc>
        <w:tc>
          <w:tcPr>
            <w:tcW w:w="299" w:type="pct"/>
            <w:tcBorders>
              <w:top w:val="nil"/>
              <w:left w:val="nil"/>
              <w:bottom w:val="single" w:sz="8" w:space="0" w:color="auto"/>
              <w:right w:val="single" w:sz="8" w:space="0" w:color="auto"/>
            </w:tcBorders>
            <w:shd w:val="clear" w:color="auto" w:fill="E7E6E6" w:themeFill="background2"/>
            <w:noWrap/>
            <w:vAlign w:val="center"/>
            <w:hideMark/>
          </w:tcPr>
          <w:p w14:paraId="5F6036B6"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Any </w:t>
            </w:r>
          </w:p>
        </w:tc>
        <w:tc>
          <w:tcPr>
            <w:tcW w:w="613" w:type="pct"/>
            <w:tcBorders>
              <w:top w:val="nil"/>
              <w:left w:val="nil"/>
              <w:bottom w:val="single" w:sz="8" w:space="0" w:color="auto"/>
              <w:right w:val="single" w:sz="8" w:space="0" w:color="auto"/>
            </w:tcBorders>
            <w:shd w:val="clear" w:color="auto" w:fill="auto"/>
            <w:noWrap/>
            <w:vAlign w:val="center"/>
            <w:hideMark/>
          </w:tcPr>
          <w:p w14:paraId="091FDCAE"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p>
        </w:tc>
        <w:tc>
          <w:tcPr>
            <w:tcW w:w="610" w:type="pct"/>
            <w:tcBorders>
              <w:top w:val="nil"/>
              <w:left w:val="nil"/>
              <w:bottom w:val="single" w:sz="8" w:space="0" w:color="auto"/>
              <w:right w:val="single" w:sz="8" w:space="0" w:color="auto"/>
            </w:tcBorders>
            <w:shd w:val="clear" w:color="auto" w:fill="auto"/>
            <w:noWrap/>
            <w:vAlign w:val="center"/>
            <w:hideMark/>
          </w:tcPr>
          <w:p w14:paraId="2661BCA7"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09" w:type="pct"/>
            <w:tcBorders>
              <w:top w:val="nil"/>
              <w:left w:val="nil"/>
              <w:bottom w:val="single" w:sz="8" w:space="0" w:color="auto"/>
              <w:right w:val="single" w:sz="8" w:space="0" w:color="auto"/>
            </w:tcBorders>
            <w:shd w:val="clear" w:color="auto" w:fill="auto"/>
            <w:noWrap/>
            <w:vAlign w:val="center"/>
            <w:hideMark/>
          </w:tcPr>
          <w:p w14:paraId="0E8F2A6A"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46" w:type="pct"/>
            <w:tcBorders>
              <w:top w:val="nil"/>
              <w:left w:val="nil"/>
              <w:bottom w:val="single" w:sz="8" w:space="0" w:color="auto"/>
              <w:right w:val="single" w:sz="8" w:space="0" w:color="auto"/>
            </w:tcBorders>
            <w:shd w:val="clear" w:color="auto" w:fill="auto"/>
            <w:noWrap/>
            <w:vAlign w:val="center"/>
            <w:hideMark/>
          </w:tcPr>
          <w:p w14:paraId="255ACC85"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81" w:type="pct"/>
            <w:tcBorders>
              <w:top w:val="nil"/>
              <w:left w:val="nil"/>
              <w:bottom w:val="single" w:sz="8" w:space="0" w:color="auto"/>
              <w:right w:val="single" w:sz="8" w:space="0" w:color="auto"/>
            </w:tcBorders>
            <w:shd w:val="clear" w:color="auto" w:fill="auto"/>
            <w:noWrap/>
            <w:vAlign w:val="center"/>
            <w:hideMark/>
          </w:tcPr>
          <w:p w14:paraId="2764E402" w14:textId="77777777" w:rsidR="00127910" w:rsidRPr="00AC3587" w:rsidRDefault="00127910" w:rsidP="00127910">
            <w:pPr>
              <w:keepNext/>
              <w:spacing w:before="40" w:after="40" w:line="259" w:lineRule="auto"/>
              <w:jc w:val="center"/>
              <w:rPr>
                <w:rFonts w:cs="Arial"/>
                <w:bCs/>
                <w:color w:val="000000"/>
                <w:szCs w:val="20"/>
                <w:lang w:eastAsia="en-GB"/>
              </w:rPr>
            </w:pPr>
          </w:p>
        </w:tc>
      </w:tr>
      <w:tr w:rsidR="00127910" w:rsidRPr="00AC3587" w14:paraId="3466F774" w14:textId="77777777" w:rsidTr="00A77DF4">
        <w:trPr>
          <w:trHeight w:val="261"/>
          <w:tblHeader/>
        </w:trPr>
        <w:tc>
          <w:tcPr>
            <w:tcW w:w="329" w:type="pct"/>
            <w:vMerge/>
            <w:tcBorders>
              <w:top w:val="nil"/>
              <w:left w:val="single" w:sz="8" w:space="0" w:color="auto"/>
              <w:bottom w:val="single" w:sz="8" w:space="0" w:color="000000"/>
              <w:right w:val="single" w:sz="8" w:space="0" w:color="auto"/>
            </w:tcBorders>
            <w:shd w:val="clear" w:color="auto" w:fill="E7E6E6" w:themeFill="background2"/>
            <w:textDirection w:val="tbRl"/>
            <w:vAlign w:val="center"/>
            <w:hideMark/>
          </w:tcPr>
          <w:p w14:paraId="65C8647F" w14:textId="77777777" w:rsidR="00127910" w:rsidRPr="00AC3587" w:rsidRDefault="00127910" w:rsidP="00127910">
            <w:pPr>
              <w:keepNext/>
              <w:spacing w:before="40" w:after="40" w:line="259" w:lineRule="auto"/>
              <w:ind w:left="113" w:right="113"/>
              <w:jc w:val="center"/>
              <w:rPr>
                <w:rFonts w:cs="Arial"/>
                <w:b/>
                <w:bCs/>
                <w:color w:val="000000"/>
                <w:sz w:val="18"/>
                <w:szCs w:val="20"/>
                <w:lang w:eastAsia="en-GB"/>
              </w:rPr>
            </w:pPr>
          </w:p>
        </w:tc>
        <w:tc>
          <w:tcPr>
            <w:tcW w:w="308" w:type="pct"/>
            <w:vMerge w:val="restart"/>
            <w:tcBorders>
              <w:top w:val="nil"/>
              <w:left w:val="single" w:sz="8" w:space="0" w:color="auto"/>
              <w:bottom w:val="single" w:sz="8" w:space="0" w:color="000000"/>
              <w:right w:val="single" w:sz="8" w:space="0" w:color="auto"/>
            </w:tcBorders>
            <w:shd w:val="clear" w:color="auto" w:fill="E7E6E6" w:themeFill="background2"/>
            <w:noWrap/>
            <w:vAlign w:val="center"/>
            <w:hideMark/>
          </w:tcPr>
          <w:p w14:paraId="53C44FFA"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"Existing" </w:t>
            </w:r>
          </w:p>
        </w:tc>
        <w:tc>
          <w:tcPr>
            <w:tcW w:w="569" w:type="pct"/>
            <w:vMerge w:val="restart"/>
            <w:tcBorders>
              <w:top w:val="nil"/>
              <w:left w:val="single" w:sz="8" w:space="0" w:color="auto"/>
              <w:bottom w:val="single" w:sz="8" w:space="0" w:color="000000"/>
              <w:right w:val="single" w:sz="8" w:space="0" w:color="auto"/>
            </w:tcBorders>
            <w:shd w:val="clear" w:color="auto" w:fill="E7E6E6" w:themeFill="background2"/>
            <w:vAlign w:val="center"/>
            <w:hideMark/>
          </w:tcPr>
          <w:p w14:paraId="2D3CFC9E"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Constructed before 1 July 1998.</w:t>
            </w:r>
          </w:p>
        </w:tc>
        <w:tc>
          <w:tcPr>
            <w:tcW w:w="536" w:type="pct"/>
            <w:tcBorders>
              <w:top w:val="nil"/>
              <w:left w:val="nil"/>
              <w:bottom w:val="single" w:sz="8" w:space="0" w:color="auto"/>
              <w:right w:val="single" w:sz="8" w:space="0" w:color="auto"/>
            </w:tcBorders>
            <w:shd w:val="clear" w:color="auto" w:fill="E7E6E6" w:themeFill="background2"/>
            <w:vAlign w:val="center"/>
            <w:hideMark/>
          </w:tcPr>
          <w:p w14:paraId="17B4083A"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Steel or equivalent</w:t>
            </w:r>
          </w:p>
        </w:tc>
        <w:tc>
          <w:tcPr>
            <w:tcW w:w="299" w:type="pct"/>
            <w:tcBorders>
              <w:top w:val="nil"/>
              <w:left w:val="nil"/>
              <w:bottom w:val="single" w:sz="8" w:space="0" w:color="auto"/>
              <w:right w:val="single" w:sz="8" w:space="0" w:color="auto"/>
            </w:tcBorders>
            <w:shd w:val="clear" w:color="auto" w:fill="E7E6E6" w:themeFill="background2"/>
            <w:vAlign w:val="center"/>
            <w:hideMark/>
          </w:tcPr>
          <w:p w14:paraId="70AC4FD7"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≥24m</w:t>
            </w:r>
          </w:p>
        </w:tc>
        <w:tc>
          <w:tcPr>
            <w:tcW w:w="613" w:type="pct"/>
            <w:tcBorders>
              <w:top w:val="nil"/>
              <w:left w:val="nil"/>
              <w:bottom w:val="single" w:sz="8" w:space="0" w:color="auto"/>
              <w:right w:val="single" w:sz="8" w:space="0" w:color="auto"/>
            </w:tcBorders>
            <w:shd w:val="clear" w:color="auto" w:fill="auto"/>
            <w:noWrap/>
            <w:vAlign w:val="center"/>
            <w:hideMark/>
          </w:tcPr>
          <w:p w14:paraId="1D7FE2D8"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10" w:type="pct"/>
            <w:tcBorders>
              <w:top w:val="nil"/>
              <w:left w:val="nil"/>
              <w:bottom w:val="single" w:sz="8" w:space="0" w:color="auto"/>
              <w:right w:val="single" w:sz="8" w:space="0" w:color="auto"/>
            </w:tcBorders>
            <w:shd w:val="clear" w:color="auto" w:fill="auto"/>
            <w:noWrap/>
            <w:vAlign w:val="center"/>
            <w:hideMark/>
          </w:tcPr>
          <w:p w14:paraId="4E2E3622"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09" w:type="pct"/>
            <w:tcBorders>
              <w:top w:val="nil"/>
              <w:left w:val="nil"/>
              <w:bottom w:val="single" w:sz="8" w:space="0" w:color="auto"/>
              <w:right w:val="single" w:sz="8" w:space="0" w:color="auto"/>
            </w:tcBorders>
            <w:shd w:val="clear" w:color="auto" w:fill="auto"/>
            <w:noWrap/>
            <w:vAlign w:val="center"/>
            <w:hideMark/>
          </w:tcPr>
          <w:p w14:paraId="5DDFA2FF"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r w:rsidRPr="00AC3587">
              <w:rPr>
                <w:rFonts w:cs="Arial"/>
                <w:bCs/>
                <w:color w:val="000000"/>
                <w:szCs w:val="20"/>
                <w:vertAlign w:val="superscript"/>
                <w:lang w:eastAsia="en-GB"/>
              </w:rPr>
              <w:t>3</w:t>
            </w:r>
          </w:p>
        </w:tc>
        <w:tc>
          <w:tcPr>
            <w:tcW w:w="546" w:type="pct"/>
            <w:tcBorders>
              <w:top w:val="nil"/>
              <w:left w:val="nil"/>
              <w:bottom w:val="single" w:sz="8" w:space="0" w:color="auto"/>
              <w:right w:val="single" w:sz="8" w:space="0" w:color="auto"/>
            </w:tcBorders>
            <w:shd w:val="clear" w:color="auto" w:fill="auto"/>
            <w:noWrap/>
            <w:vAlign w:val="center"/>
            <w:hideMark/>
          </w:tcPr>
          <w:p w14:paraId="677CF902"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81" w:type="pct"/>
            <w:tcBorders>
              <w:top w:val="nil"/>
              <w:left w:val="nil"/>
              <w:bottom w:val="single" w:sz="8" w:space="0" w:color="auto"/>
              <w:right w:val="single" w:sz="8" w:space="0" w:color="auto"/>
            </w:tcBorders>
            <w:shd w:val="clear" w:color="auto" w:fill="auto"/>
            <w:noWrap/>
            <w:vAlign w:val="center"/>
            <w:hideMark/>
          </w:tcPr>
          <w:p w14:paraId="4069C2E7" w14:textId="77777777" w:rsidR="00127910" w:rsidRPr="00AC3587" w:rsidRDefault="00127910" w:rsidP="00127910">
            <w:pPr>
              <w:keepNext/>
              <w:spacing w:before="40" w:after="40" w:line="259" w:lineRule="auto"/>
              <w:jc w:val="center"/>
              <w:rPr>
                <w:rFonts w:cs="Arial"/>
                <w:bCs/>
                <w:color w:val="000000"/>
                <w:szCs w:val="20"/>
                <w:lang w:eastAsia="en-GB"/>
              </w:rPr>
            </w:pPr>
          </w:p>
        </w:tc>
      </w:tr>
      <w:tr w:rsidR="00127910" w:rsidRPr="00AC3587" w14:paraId="637AC309" w14:textId="77777777" w:rsidTr="00A77DF4">
        <w:trPr>
          <w:trHeight w:val="155"/>
          <w:tblHeader/>
        </w:trPr>
        <w:tc>
          <w:tcPr>
            <w:tcW w:w="329" w:type="pct"/>
            <w:vMerge/>
            <w:tcBorders>
              <w:top w:val="nil"/>
              <w:left w:val="single" w:sz="8" w:space="0" w:color="auto"/>
              <w:bottom w:val="single" w:sz="8" w:space="0" w:color="000000"/>
              <w:right w:val="single" w:sz="8" w:space="0" w:color="auto"/>
            </w:tcBorders>
            <w:shd w:val="clear" w:color="auto" w:fill="E7E6E6" w:themeFill="background2"/>
            <w:textDirection w:val="tbRl"/>
            <w:vAlign w:val="center"/>
            <w:hideMark/>
          </w:tcPr>
          <w:p w14:paraId="6D2FE751" w14:textId="77777777" w:rsidR="00127910" w:rsidRPr="00AC3587" w:rsidRDefault="00127910" w:rsidP="00127910">
            <w:pPr>
              <w:keepNext/>
              <w:spacing w:before="40" w:after="40" w:line="259" w:lineRule="auto"/>
              <w:ind w:left="113" w:right="113"/>
              <w:jc w:val="center"/>
              <w:rPr>
                <w:rFonts w:cs="Arial"/>
                <w:b/>
                <w:bCs/>
                <w:color w:val="000000"/>
                <w:sz w:val="18"/>
                <w:szCs w:val="20"/>
                <w:lang w:eastAsia="en-GB"/>
              </w:rPr>
            </w:pPr>
          </w:p>
        </w:tc>
        <w:tc>
          <w:tcPr>
            <w:tcW w:w="308"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61CA07E2" w14:textId="77777777" w:rsidR="00127910" w:rsidRPr="00AC3587" w:rsidRDefault="00127910" w:rsidP="00127910">
            <w:pPr>
              <w:keepNext/>
              <w:spacing w:before="40" w:after="40" w:line="259" w:lineRule="auto"/>
              <w:rPr>
                <w:rFonts w:cs="Arial"/>
                <w:bCs/>
                <w:color w:val="000000"/>
                <w:sz w:val="18"/>
                <w:szCs w:val="20"/>
                <w:lang w:eastAsia="en-GB"/>
              </w:rPr>
            </w:pPr>
          </w:p>
        </w:tc>
        <w:tc>
          <w:tcPr>
            <w:tcW w:w="569" w:type="pct"/>
            <w:vMerge/>
            <w:tcBorders>
              <w:top w:val="nil"/>
              <w:left w:val="single" w:sz="8" w:space="0" w:color="auto"/>
              <w:bottom w:val="single" w:sz="8" w:space="0" w:color="000000"/>
              <w:right w:val="single" w:sz="8" w:space="0" w:color="auto"/>
            </w:tcBorders>
            <w:shd w:val="clear" w:color="auto" w:fill="E7E6E6" w:themeFill="background2"/>
            <w:textDirection w:val="tbRl"/>
            <w:vAlign w:val="center"/>
            <w:hideMark/>
          </w:tcPr>
          <w:p w14:paraId="1E9D53E0" w14:textId="77777777" w:rsidR="00127910" w:rsidRPr="00AC3587" w:rsidRDefault="00127910" w:rsidP="00127910">
            <w:pPr>
              <w:keepNext/>
              <w:spacing w:before="40" w:after="40" w:line="259" w:lineRule="auto"/>
              <w:ind w:left="113" w:right="113"/>
              <w:rPr>
                <w:rFonts w:cs="Arial"/>
                <w:bCs/>
                <w:color w:val="000000"/>
                <w:sz w:val="18"/>
                <w:szCs w:val="20"/>
                <w:lang w:eastAsia="en-GB"/>
              </w:rPr>
            </w:pPr>
          </w:p>
        </w:tc>
        <w:tc>
          <w:tcPr>
            <w:tcW w:w="536" w:type="pct"/>
            <w:tcBorders>
              <w:top w:val="nil"/>
              <w:left w:val="nil"/>
              <w:bottom w:val="single" w:sz="8" w:space="0" w:color="auto"/>
              <w:right w:val="single" w:sz="8" w:space="0" w:color="auto"/>
            </w:tcBorders>
            <w:shd w:val="clear" w:color="auto" w:fill="E7E6E6" w:themeFill="background2"/>
            <w:vAlign w:val="center"/>
            <w:hideMark/>
          </w:tcPr>
          <w:p w14:paraId="14A78BFF"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Not steel or equivalent</w:t>
            </w:r>
          </w:p>
        </w:tc>
        <w:tc>
          <w:tcPr>
            <w:tcW w:w="299" w:type="pct"/>
            <w:tcBorders>
              <w:top w:val="nil"/>
              <w:left w:val="nil"/>
              <w:bottom w:val="single" w:sz="8" w:space="0" w:color="auto"/>
              <w:right w:val="single" w:sz="8" w:space="0" w:color="auto"/>
            </w:tcBorders>
            <w:shd w:val="clear" w:color="auto" w:fill="E7E6E6" w:themeFill="background2"/>
            <w:vAlign w:val="center"/>
            <w:hideMark/>
          </w:tcPr>
          <w:p w14:paraId="7AB28462"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&lt;24m</w:t>
            </w:r>
          </w:p>
        </w:tc>
        <w:tc>
          <w:tcPr>
            <w:tcW w:w="613" w:type="pct"/>
            <w:tcBorders>
              <w:top w:val="nil"/>
              <w:left w:val="nil"/>
              <w:bottom w:val="single" w:sz="8" w:space="0" w:color="auto"/>
              <w:right w:val="single" w:sz="8" w:space="0" w:color="auto"/>
            </w:tcBorders>
            <w:shd w:val="clear" w:color="auto" w:fill="auto"/>
            <w:noWrap/>
            <w:vAlign w:val="center"/>
            <w:hideMark/>
          </w:tcPr>
          <w:p w14:paraId="2D8DA022"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p>
        </w:tc>
        <w:tc>
          <w:tcPr>
            <w:tcW w:w="610" w:type="pct"/>
            <w:tcBorders>
              <w:top w:val="nil"/>
              <w:left w:val="nil"/>
              <w:bottom w:val="single" w:sz="8" w:space="0" w:color="auto"/>
              <w:right w:val="single" w:sz="8" w:space="0" w:color="auto"/>
            </w:tcBorders>
            <w:shd w:val="clear" w:color="auto" w:fill="auto"/>
            <w:noWrap/>
            <w:vAlign w:val="center"/>
            <w:hideMark/>
          </w:tcPr>
          <w:p w14:paraId="2D450DFF"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09" w:type="pct"/>
            <w:tcBorders>
              <w:top w:val="nil"/>
              <w:left w:val="nil"/>
              <w:bottom w:val="single" w:sz="8" w:space="0" w:color="auto"/>
              <w:right w:val="single" w:sz="8" w:space="0" w:color="auto"/>
            </w:tcBorders>
            <w:shd w:val="clear" w:color="auto" w:fill="auto"/>
            <w:noWrap/>
            <w:vAlign w:val="center"/>
            <w:hideMark/>
          </w:tcPr>
          <w:p w14:paraId="4D36BAB7"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46" w:type="pct"/>
            <w:tcBorders>
              <w:top w:val="nil"/>
              <w:left w:val="nil"/>
              <w:bottom w:val="single" w:sz="8" w:space="0" w:color="auto"/>
              <w:right w:val="single" w:sz="8" w:space="0" w:color="auto"/>
            </w:tcBorders>
            <w:shd w:val="clear" w:color="auto" w:fill="auto"/>
            <w:noWrap/>
            <w:vAlign w:val="center"/>
            <w:hideMark/>
          </w:tcPr>
          <w:p w14:paraId="47A5D878"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81" w:type="pct"/>
            <w:tcBorders>
              <w:top w:val="nil"/>
              <w:left w:val="nil"/>
              <w:bottom w:val="single" w:sz="8" w:space="0" w:color="auto"/>
              <w:right w:val="single" w:sz="8" w:space="0" w:color="auto"/>
            </w:tcBorders>
            <w:shd w:val="clear" w:color="auto" w:fill="auto"/>
            <w:noWrap/>
            <w:vAlign w:val="center"/>
            <w:hideMark/>
          </w:tcPr>
          <w:p w14:paraId="406E5334" w14:textId="77777777" w:rsidR="00127910" w:rsidRPr="00AC3587" w:rsidRDefault="00127910" w:rsidP="00127910">
            <w:pPr>
              <w:keepNext/>
              <w:spacing w:before="40" w:after="40" w:line="259" w:lineRule="auto"/>
              <w:jc w:val="center"/>
              <w:rPr>
                <w:rFonts w:cs="Arial"/>
                <w:bCs/>
                <w:color w:val="000000"/>
                <w:szCs w:val="20"/>
                <w:lang w:eastAsia="en-GB"/>
              </w:rPr>
            </w:pPr>
          </w:p>
        </w:tc>
      </w:tr>
      <w:tr w:rsidR="00127910" w:rsidRPr="00AC3587" w14:paraId="7E9A835F" w14:textId="77777777" w:rsidTr="00A77DF4">
        <w:trPr>
          <w:cantSplit/>
          <w:trHeight w:val="55"/>
          <w:tblHeader/>
        </w:trPr>
        <w:tc>
          <w:tcPr>
            <w:tcW w:w="329" w:type="pct"/>
            <w:vMerge w:val="restart"/>
            <w:tcBorders>
              <w:top w:val="nil"/>
              <w:left w:val="single" w:sz="8" w:space="0" w:color="auto"/>
              <w:bottom w:val="single" w:sz="8" w:space="0" w:color="000000"/>
              <w:right w:val="single" w:sz="8" w:space="0" w:color="auto"/>
            </w:tcBorders>
            <w:shd w:val="clear" w:color="auto" w:fill="E7E6E6" w:themeFill="background2"/>
            <w:textDirection w:val="btLr"/>
            <w:vAlign w:val="center"/>
            <w:hideMark/>
          </w:tcPr>
          <w:p w14:paraId="7799259B" w14:textId="77777777" w:rsidR="00127910" w:rsidRPr="00AC3587" w:rsidRDefault="00127910" w:rsidP="00127910">
            <w:pPr>
              <w:keepNext/>
              <w:spacing w:before="40" w:after="40" w:line="259" w:lineRule="auto"/>
              <w:ind w:left="113" w:right="113"/>
              <w:jc w:val="center"/>
              <w:rPr>
                <w:rFonts w:cs="Arial"/>
                <w:b/>
                <w:bCs/>
                <w:color w:val="000000"/>
                <w:sz w:val="18"/>
                <w:szCs w:val="20"/>
                <w:lang w:eastAsia="en-GB"/>
              </w:rPr>
            </w:pPr>
            <w:r w:rsidRPr="00AC3587">
              <w:rPr>
                <w:rFonts w:cs="Arial"/>
                <w:b/>
                <w:bCs/>
                <w:color w:val="000000"/>
                <w:sz w:val="18"/>
                <w:szCs w:val="20"/>
                <w:lang w:eastAsia="en-GB"/>
              </w:rPr>
              <w:t xml:space="preserve">Non-Seagoing </w:t>
            </w:r>
          </w:p>
        </w:tc>
        <w:tc>
          <w:tcPr>
            <w:tcW w:w="308" w:type="pct"/>
            <w:tcBorders>
              <w:top w:val="nil"/>
              <w:left w:val="nil"/>
              <w:bottom w:val="single" w:sz="8" w:space="0" w:color="auto"/>
              <w:right w:val="single" w:sz="8" w:space="0" w:color="auto"/>
            </w:tcBorders>
            <w:shd w:val="clear" w:color="auto" w:fill="E7E6E6" w:themeFill="background2"/>
            <w:noWrap/>
            <w:vAlign w:val="center"/>
            <w:hideMark/>
          </w:tcPr>
          <w:p w14:paraId="49449662"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"New" </w:t>
            </w:r>
          </w:p>
        </w:tc>
        <w:tc>
          <w:tcPr>
            <w:tcW w:w="569" w:type="pct"/>
            <w:tcBorders>
              <w:top w:val="nil"/>
              <w:left w:val="nil"/>
              <w:bottom w:val="single" w:sz="8" w:space="0" w:color="auto"/>
              <w:right w:val="single" w:sz="8" w:space="0" w:color="auto"/>
            </w:tcBorders>
            <w:shd w:val="clear" w:color="auto" w:fill="E7E6E6" w:themeFill="background2"/>
            <w:vAlign w:val="center"/>
            <w:hideMark/>
          </w:tcPr>
          <w:p w14:paraId="6749F6CE"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Certified</w:t>
            </w:r>
            <w:r w:rsidRPr="00AC3587">
              <w:rPr>
                <w:rFonts w:cs="Arial"/>
                <w:bCs/>
                <w:color w:val="000000"/>
                <w:sz w:val="18"/>
                <w:szCs w:val="20"/>
                <w:vertAlign w:val="superscript"/>
                <w:lang w:eastAsia="en-GB"/>
              </w:rPr>
              <w:t>7</w:t>
            </w:r>
            <w:r w:rsidRPr="00AC3587">
              <w:rPr>
                <w:rFonts w:cs="Arial"/>
                <w:bCs/>
                <w:color w:val="000000"/>
                <w:sz w:val="18"/>
                <w:szCs w:val="20"/>
                <w:lang w:eastAsia="en-GB"/>
              </w:rPr>
              <w:t xml:space="preserve"> on or after 6th April 2010</w:t>
            </w:r>
          </w:p>
        </w:tc>
        <w:tc>
          <w:tcPr>
            <w:tcW w:w="536" w:type="pct"/>
            <w:tcBorders>
              <w:top w:val="nil"/>
              <w:left w:val="nil"/>
              <w:bottom w:val="single" w:sz="8" w:space="0" w:color="auto"/>
              <w:right w:val="single" w:sz="8" w:space="0" w:color="auto"/>
            </w:tcBorders>
            <w:shd w:val="clear" w:color="auto" w:fill="E7E6E6" w:themeFill="background2"/>
            <w:vAlign w:val="center"/>
            <w:hideMark/>
          </w:tcPr>
          <w:p w14:paraId="1B8E286F"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All</w:t>
            </w:r>
          </w:p>
        </w:tc>
        <w:tc>
          <w:tcPr>
            <w:tcW w:w="299" w:type="pct"/>
            <w:tcBorders>
              <w:top w:val="nil"/>
              <w:left w:val="nil"/>
              <w:bottom w:val="single" w:sz="8" w:space="0" w:color="auto"/>
              <w:right w:val="single" w:sz="8" w:space="0" w:color="auto"/>
            </w:tcBorders>
            <w:shd w:val="clear" w:color="auto" w:fill="E7E6E6" w:themeFill="background2"/>
            <w:vAlign w:val="center"/>
            <w:hideMark/>
          </w:tcPr>
          <w:p w14:paraId="37B1FDDF"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All</w:t>
            </w:r>
          </w:p>
        </w:tc>
        <w:tc>
          <w:tcPr>
            <w:tcW w:w="613" w:type="pct"/>
            <w:tcBorders>
              <w:top w:val="nil"/>
              <w:left w:val="nil"/>
              <w:bottom w:val="single" w:sz="8" w:space="0" w:color="auto"/>
              <w:right w:val="single" w:sz="8" w:space="0" w:color="auto"/>
            </w:tcBorders>
            <w:shd w:val="clear" w:color="auto" w:fill="auto"/>
            <w:noWrap/>
            <w:vAlign w:val="center"/>
            <w:hideMark/>
          </w:tcPr>
          <w:p w14:paraId="42651BCB"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10" w:type="pct"/>
            <w:tcBorders>
              <w:top w:val="nil"/>
              <w:left w:val="nil"/>
              <w:bottom w:val="single" w:sz="8" w:space="0" w:color="auto"/>
              <w:right w:val="single" w:sz="8" w:space="0" w:color="auto"/>
            </w:tcBorders>
            <w:shd w:val="clear" w:color="auto" w:fill="auto"/>
            <w:noWrap/>
            <w:vAlign w:val="center"/>
            <w:hideMark/>
          </w:tcPr>
          <w:p w14:paraId="3BE81509"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09" w:type="pct"/>
            <w:tcBorders>
              <w:top w:val="nil"/>
              <w:left w:val="nil"/>
              <w:bottom w:val="single" w:sz="8" w:space="0" w:color="auto"/>
              <w:right w:val="single" w:sz="8" w:space="0" w:color="auto"/>
            </w:tcBorders>
            <w:shd w:val="clear" w:color="auto" w:fill="auto"/>
            <w:noWrap/>
            <w:vAlign w:val="center"/>
            <w:hideMark/>
          </w:tcPr>
          <w:p w14:paraId="517BCF63"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46" w:type="pct"/>
            <w:tcBorders>
              <w:top w:val="nil"/>
              <w:left w:val="nil"/>
              <w:bottom w:val="single" w:sz="8" w:space="0" w:color="auto"/>
              <w:right w:val="single" w:sz="8" w:space="0" w:color="auto"/>
            </w:tcBorders>
            <w:shd w:val="clear" w:color="auto" w:fill="auto"/>
            <w:noWrap/>
            <w:vAlign w:val="center"/>
            <w:hideMark/>
          </w:tcPr>
          <w:p w14:paraId="15CFEFFF"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p>
        </w:tc>
        <w:tc>
          <w:tcPr>
            <w:tcW w:w="581" w:type="pct"/>
            <w:tcBorders>
              <w:top w:val="nil"/>
              <w:left w:val="nil"/>
              <w:bottom w:val="single" w:sz="8" w:space="0" w:color="auto"/>
              <w:right w:val="single" w:sz="8" w:space="0" w:color="auto"/>
            </w:tcBorders>
            <w:shd w:val="clear" w:color="auto" w:fill="auto"/>
            <w:noWrap/>
            <w:vAlign w:val="center"/>
            <w:hideMark/>
          </w:tcPr>
          <w:p w14:paraId="6536B3BF" w14:textId="77777777" w:rsidR="00127910" w:rsidRPr="00AC3587" w:rsidRDefault="00127910" w:rsidP="00127910">
            <w:pPr>
              <w:keepNext/>
              <w:spacing w:before="40" w:after="40" w:line="259" w:lineRule="auto"/>
              <w:jc w:val="center"/>
              <w:rPr>
                <w:rFonts w:cs="Arial"/>
                <w:bCs/>
                <w:color w:val="000000"/>
                <w:szCs w:val="20"/>
                <w:lang w:eastAsia="en-GB"/>
              </w:rPr>
            </w:pPr>
          </w:p>
        </w:tc>
      </w:tr>
      <w:tr w:rsidR="00127910" w:rsidRPr="00AC3587" w14:paraId="1712A137" w14:textId="77777777" w:rsidTr="00A77DF4">
        <w:trPr>
          <w:cantSplit/>
          <w:trHeight w:val="60"/>
          <w:tblHeader/>
        </w:trPr>
        <w:tc>
          <w:tcPr>
            <w:tcW w:w="329" w:type="pct"/>
            <w:vMerge/>
            <w:tcBorders>
              <w:top w:val="nil"/>
              <w:left w:val="single" w:sz="8" w:space="0" w:color="auto"/>
              <w:bottom w:val="single" w:sz="8" w:space="0" w:color="000000"/>
              <w:right w:val="single" w:sz="8" w:space="0" w:color="auto"/>
            </w:tcBorders>
            <w:shd w:val="clear" w:color="auto" w:fill="E7E6E6" w:themeFill="background2"/>
            <w:vAlign w:val="center"/>
            <w:hideMark/>
          </w:tcPr>
          <w:p w14:paraId="08AEBD50" w14:textId="77777777" w:rsidR="00127910" w:rsidRPr="00AC3587" w:rsidRDefault="00127910" w:rsidP="00127910">
            <w:pPr>
              <w:keepNext/>
              <w:spacing w:before="40" w:after="40" w:line="259" w:lineRule="auto"/>
              <w:rPr>
                <w:rFonts w:cs="Arial"/>
                <w:bCs/>
                <w:color w:val="000000"/>
                <w:sz w:val="18"/>
                <w:szCs w:val="20"/>
                <w:lang w:eastAsia="en-GB"/>
              </w:rPr>
            </w:pPr>
          </w:p>
        </w:tc>
        <w:tc>
          <w:tcPr>
            <w:tcW w:w="308" w:type="pct"/>
            <w:tcBorders>
              <w:top w:val="nil"/>
              <w:left w:val="nil"/>
              <w:bottom w:val="single" w:sz="8" w:space="0" w:color="auto"/>
              <w:right w:val="single" w:sz="8" w:space="0" w:color="auto"/>
            </w:tcBorders>
            <w:shd w:val="clear" w:color="auto" w:fill="E7E6E6" w:themeFill="background2"/>
            <w:noWrap/>
            <w:vAlign w:val="center"/>
            <w:hideMark/>
          </w:tcPr>
          <w:p w14:paraId="32A16BD2"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"Existing" </w:t>
            </w:r>
          </w:p>
        </w:tc>
        <w:tc>
          <w:tcPr>
            <w:tcW w:w="569" w:type="pct"/>
            <w:tcBorders>
              <w:top w:val="nil"/>
              <w:left w:val="nil"/>
              <w:bottom w:val="single" w:sz="8" w:space="0" w:color="auto"/>
              <w:right w:val="single" w:sz="8" w:space="0" w:color="auto"/>
            </w:tcBorders>
            <w:shd w:val="clear" w:color="auto" w:fill="E7E6E6" w:themeFill="background2"/>
            <w:vAlign w:val="center"/>
            <w:hideMark/>
          </w:tcPr>
          <w:p w14:paraId="75B2353F"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Certified</w:t>
            </w:r>
            <w:r w:rsidRPr="00AC3587">
              <w:rPr>
                <w:rFonts w:cs="Arial"/>
                <w:bCs/>
                <w:color w:val="000000"/>
                <w:sz w:val="18"/>
                <w:szCs w:val="20"/>
                <w:vertAlign w:val="superscript"/>
                <w:lang w:eastAsia="en-GB"/>
              </w:rPr>
              <w:t>7</w:t>
            </w:r>
            <w:r w:rsidRPr="00AC3587">
              <w:rPr>
                <w:rFonts w:cs="Arial"/>
                <w:bCs/>
                <w:color w:val="000000"/>
                <w:sz w:val="18"/>
                <w:szCs w:val="20"/>
                <w:lang w:eastAsia="en-GB"/>
              </w:rPr>
              <w:t xml:space="preserve"> before 6th April 2010</w:t>
            </w:r>
          </w:p>
        </w:tc>
        <w:tc>
          <w:tcPr>
            <w:tcW w:w="536" w:type="pct"/>
            <w:tcBorders>
              <w:top w:val="nil"/>
              <w:left w:val="nil"/>
              <w:bottom w:val="single" w:sz="8" w:space="0" w:color="auto"/>
              <w:right w:val="single" w:sz="8" w:space="0" w:color="auto"/>
            </w:tcBorders>
            <w:shd w:val="clear" w:color="auto" w:fill="E7E6E6" w:themeFill="background2"/>
            <w:vAlign w:val="center"/>
            <w:hideMark/>
          </w:tcPr>
          <w:p w14:paraId="50B1A98C"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All</w:t>
            </w:r>
          </w:p>
        </w:tc>
        <w:tc>
          <w:tcPr>
            <w:tcW w:w="299" w:type="pct"/>
            <w:tcBorders>
              <w:top w:val="nil"/>
              <w:left w:val="nil"/>
              <w:bottom w:val="single" w:sz="8" w:space="0" w:color="auto"/>
              <w:right w:val="single" w:sz="8" w:space="0" w:color="auto"/>
            </w:tcBorders>
            <w:shd w:val="clear" w:color="auto" w:fill="E7E6E6" w:themeFill="background2"/>
            <w:vAlign w:val="center"/>
            <w:hideMark/>
          </w:tcPr>
          <w:p w14:paraId="4AC23CD8"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All</w:t>
            </w:r>
          </w:p>
        </w:tc>
        <w:tc>
          <w:tcPr>
            <w:tcW w:w="613" w:type="pct"/>
            <w:tcBorders>
              <w:top w:val="nil"/>
              <w:left w:val="nil"/>
              <w:bottom w:val="single" w:sz="8" w:space="0" w:color="auto"/>
              <w:right w:val="single" w:sz="8" w:space="0" w:color="auto"/>
            </w:tcBorders>
            <w:shd w:val="clear" w:color="auto" w:fill="auto"/>
            <w:noWrap/>
            <w:vAlign w:val="center"/>
            <w:hideMark/>
          </w:tcPr>
          <w:p w14:paraId="18A51445" w14:textId="77777777" w:rsidR="00127910" w:rsidRPr="00AC3587" w:rsidRDefault="00127910" w:rsidP="00127910">
            <w:pPr>
              <w:keepNext/>
              <w:spacing w:before="40" w:after="40" w:line="259" w:lineRule="auto"/>
              <w:jc w:val="center"/>
              <w:rPr>
                <w:rFonts w:cs="Arial"/>
                <w:bCs/>
                <w:color w:val="000000"/>
                <w:szCs w:val="20"/>
                <w:lang w:eastAsia="en-GB"/>
              </w:rPr>
            </w:pPr>
            <w:r w:rsidRPr="00AC3587">
              <w:rPr>
                <w:rFonts w:cs="Arial"/>
                <w:bCs/>
                <w:color w:val="000000"/>
                <w:szCs w:val="20"/>
                <w:lang w:eastAsia="en-GB"/>
              </w:rPr>
              <w:t>X</w:t>
            </w:r>
          </w:p>
        </w:tc>
        <w:tc>
          <w:tcPr>
            <w:tcW w:w="610" w:type="pct"/>
            <w:tcBorders>
              <w:top w:val="nil"/>
              <w:left w:val="nil"/>
              <w:bottom w:val="single" w:sz="8" w:space="0" w:color="auto"/>
              <w:right w:val="single" w:sz="8" w:space="0" w:color="auto"/>
            </w:tcBorders>
            <w:shd w:val="clear" w:color="auto" w:fill="auto"/>
            <w:noWrap/>
            <w:vAlign w:val="center"/>
            <w:hideMark/>
          </w:tcPr>
          <w:p w14:paraId="100760D4"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609" w:type="pct"/>
            <w:tcBorders>
              <w:top w:val="nil"/>
              <w:left w:val="nil"/>
              <w:bottom w:val="single" w:sz="8" w:space="0" w:color="auto"/>
              <w:right w:val="single" w:sz="8" w:space="0" w:color="auto"/>
            </w:tcBorders>
            <w:shd w:val="clear" w:color="auto" w:fill="auto"/>
            <w:noWrap/>
            <w:vAlign w:val="center"/>
            <w:hideMark/>
          </w:tcPr>
          <w:p w14:paraId="061A5C9E"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46" w:type="pct"/>
            <w:tcBorders>
              <w:top w:val="nil"/>
              <w:left w:val="nil"/>
              <w:bottom w:val="single" w:sz="8" w:space="0" w:color="auto"/>
              <w:right w:val="single" w:sz="8" w:space="0" w:color="auto"/>
            </w:tcBorders>
            <w:shd w:val="clear" w:color="auto" w:fill="auto"/>
            <w:noWrap/>
            <w:vAlign w:val="center"/>
            <w:hideMark/>
          </w:tcPr>
          <w:p w14:paraId="3C5FC455" w14:textId="77777777" w:rsidR="00127910" w:rsidRPr="00AC3587" w:rsidRDefault="00127910" w:rsidP="00127910">
            <w:pPr>
              <w:keepNext/>
              <w:spacing w:before="40" w:after="40" w:line="259" w:lineRule="auto"/>
              <w:jc w:val="center"/>
              <w:rPr>
                <w:rFonts w:cs="Arial"/>
                <w:bCs/>
                <w:color w:val="000000"/>
                <w:szCs w:val="20"/>
                <w:lang w:eastAsia="en-GB"/>
              </w:rPr>
            </w:pPr>
          </w:p>
        </w:tc>
        <w:tc>
          <w:tcPr>
            <w:tcW w:w="581" w:type="pct"/>
            <w:tcBorders>
              <w:top w:val="nil"/>
              <w:left w:val="nil"/>
              <w:bottom w:val="single" w:sz="8" w:space="0" w:color="auto"/>
              <w:right w:val="single" w:sz="8" w:space="0" w:color="auto"/>
            </w:tcBorders>
            <w:shd w:val="clear" w:color="auto" w:fill="auto"/>
            <w:noWrap/>
            <w:vAlign w:val="center"/>
            <w:hideMark/>
          </w:tcPr>
          <w:p w14:paraId="40FBCDCA" w14:textId="77777777" w:rsidR="00127910" w:rsidRPr="00AC3587" w:rsidRDefault="00127910" w:rsidP="00127910">
            <w:pPr>
              <w:keepNext/>
              <w:spacing w:before="40" w:after="40" w:line="259" w:lineRule="auto"/>
              <w:jc w:val="center"/>
              <w:rPr>
                <w:rFonts w:cs="Arial"/>
                <w:bCs/>
                <w:color w:val="000000"/>
                <w:szCs w:val="20"/>
                <w:lang w:eastAsia="en-GB"/>
              </w:rPr>
            </w:pPr>
          </w:p>
        </w:tc>
      </w:tr>
      <w:tr w:rsidR="00127910" w:rsidRPr="00AC3587" w14:paraId="0E58C983" w14:textId="77777777" w:rsidTr="00A77DF4">
        <w:trPr>
          <w:trHeight w:val="67"/>
          <w:tblHeader/>
        </w:trPr>
        <w:tc>
          <w:tcPr>
            <w:tcW w:w="5000" w:type="pct"/>
            <w:gridSpan w:val="10"/>
            <w:tcBorders>
              <w:top w:val="single" w:sz="8" w:space="0" w:color="auto"/>
              <w:left w:val="single" w:sz="8" w:space="0" w:color="auto"/>
              <w:bottom w:val="nil"/>
              <w:right w:val="single" w:sz="8" w:space="0" w:color="000000"/>
            </w:tcBorders>
            <w:shd w:val="clear" w:color="auto" w:fill="auto"/>
            <w:noWrap/>
            <w:vAlign w:val="center"/>
            <w:hideMark/>
          </w:tcPr>
          <w:p w14:paraId="40BF84DC"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Notes:</w:t>
            </w:r>
          </w:p>
        </w:tc>
      </w:tr>
      <w:tr w:rsidR="00127910" w:rsidRPr="00AC3587" w14:paraId="08C67884" w14:textId="77777777" w:rsidTr="00A77DF4">
        <w:trPr>
          <w:trHeight w:val="87"/>
          <w:tblHeader/>
        </w:trPr>
        <w:tc>
          <w:tcPr>
            <w:tcW w:w="5000" w:type="pct"/>
            <w:gridSpan w:val="10"/>
            <w:tcBorders>
              <w:top w:val="nil"/>
              <w:left w:val="single" w:sz="8" w:space="0" w:color="auto"/>
              <w:bottom w:val="nil"/>
              <w:right w:val="single" w:sz="8" w:space="0" w:color="000000"/>
            </w:tcBorders>
            <w:shd w:val="clear" w:color="auto" w:fill="auto"/>
            <w:vAlign w:val="center"/>
            <w:hideMark/>
          </w:tcPr>
          <w:p w14:paraId="7F37550B"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1 This is a voluntary code introduced in June 2015 which provides a comparable standard to Directive 2009/45/EC, as amended by Directive 2010/36/EU and Directive 2016/844 and may be used as an equivalence to UK Class III to VI(A) Regulations. For further guidance see MGN 535 (M). </w:t>
            </w:r>
          </w:p>
        </w:tc>
      </w:tr>
      <w:tr w:rsidR="00127910" w:rsidRPr="00AC3587" w14:paraId="3BAC2838" w14:textId="77777777" w:rsidTr="00A77DF4">
        <w:trPr>
          <w:trHeight w:val="87"/>
          <w:tblHeader/>
        </w:trPr>
        <w:tc>
          <w:tcPr>
            <w:tcW w:w="5000" w:type="pct"/>
            <w:gridSpan w:val="10"/>
            <w:tcBorders>
              <w:top w:val="nil"/>
              <w:left w:val="single" w:sz="8" w:space="0" w:color="auto"/>
              <w:bottom w:val="nil"/>
              <w:right w:val="single" w:sz="8" w:space="0" w:color="000000"/>
            </w:tcBorders>
            <w:shd w:val="clear" w:color="auto" w:fill="auto"/>
            <w:vAlign w:val="center"/>
            <w:hideMark/>
          </w:tcPr>
          <w:p w14:paraId="410A1A9F"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2 For new vessels operators are encouraged to use the Small Seagoing Passenger Ship Code in lieu of the Class VI/VI(A) regulations as the Code allows for greater plying limits. </w:t>
            </w:r>
          </w:p>
        </w:tc>
      </w:tr>
      <w:tr w:rsidR="00127910" w:rsidRPr="00AC3587" w14:paraId="62D5A036" w14:textId="77777777" w:rsidTr="00A77DF4">
        <w:trPr>
          <w:trHeight w:val="87"/>
          <w:tblHeader/>
        </w:trPr>
        <w:tc>
          <w:tcPr>
            <w:tcW w:w="5000" w:type="pct"/>
            <w:gridSpan w:val="10"/>
            <w:tcBorders>
              <w:top w:val="nil"/>
              <w:left w:val="single" w:sz="8" w:space="0" w:color="auto"/>
              <w:bottom w:val="nil"/>
              <w:right w:val="single" w:sz="8" w:space="0" w:color="000000"/>
            </w:tcBorders>
            <w:shd w:val="clear" w:color="auto" w:fill="auto"/>
            <w:vAlign w:val="center"/>
            <w:hideMark/>
          </w:tcPr>
          <w:p w14:paraId="568FB9BE"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3 The European Commission has agreed an equivalence arrangement under which “existing” UK Class III, VI and VI(A) ships (those constructed before 1 July 1998) may continue to operate under the UK regulations applicable to those classes, subject to certain conditions and restrictions. Details of this equivalence arrangement are set out in MSN 1811 (as amended or superseded).</w:t>
            </w:r>
          </w:p>
        </w:tc>
      </w:tr>
      <w:tr w:rsidR="00127910" w:rsidRPr="00AC3587" w14:paraId="4311D0DC" w14:textId="77777777" w:rsidTr="00A77DF4">
        <w:trPr>
          <w:trHeight w:val="87"/>
          <w:tblHeader/>
        </w:trPr>
        <w:tc>
          <w:tcPr>
            <w:tcW w:w="5000" w:type="pct"/>
            <w:gridSpan w:val="10"/>
            <w:tcBorders>
              <w:top w:val="nil"/>
              <w:left w:val="single" w:sz="8" w:space="0" w:color="auto"/>
              <w:bottom w:val="nil"/>
              <w:right w:val="single" w:sz="8" w:space="0" w:color="000000"/>
            </w:tcBorders>
            <w:shd w:val="clear" w:color="auto" w:fill="auto"/>
            <w:vAlign w:val="center"/>
            <w:hideMark/>
          </w:tcPr>
          <w:p w14:paraId="387030ED"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 xml:space="preserve">4 The Merchant Shipping (Passenger Ship Construction: Ships of Classes III to VI(A)) Regulations (including MSN 1699 (M)), The Merchant Shipping (Life-Saving Appliances For Passenger Ships Of Classes III To VI(A)) Regulations and The Merchant Shipping (Fire Protection - Small Ships) Regulations. </w:t>
            </w:r>
          </w:p>
        </w:tc>
      </w:tr>
      <w:tr w:rsidR="00127910" w:rsidRPr="00AC3587" w14:paraId="0BD9F933" w14:textId="77777777" w:rsidTr="00A77DF4">
        <w:trPr>
          <w:trHeight w:val="87"/>
          <w:tblHeader/>
        </w:trPr>
        <w:tc>
          <w:tcPr>
            <w:tcW w:w="5000" w:type="pct"/>
            <w:gridSpan w:val="10"/>
            <w:tcBorders>
              <w:top w:val="nil"/>
              <w:left w:val="single" w:sz="8" w:space="0" w:color="auto"/>
              <w:bottom w:val="nil"/>
              <w:right w:val="single" w:sz="8" w:space="0" w:color="000000"/>
            </w:tcBorders>
            <w:shd w:val="clear" w:color="auto" w:fill="auto"/>
            <w:vAlign w:val="center"/>
            <w:hideMark/>
          </w:tcPr>
          <w:p w14:paraId="1D865CD1"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5 The majority of the requirements for this code are made mandatory by the Merchant Shipping (Passenger Ships) (Safety Code for UK Categorised Waters) Regulations 2010 (SI 2010/680).</w:t>
            </w:r>
          </w:p>
          <w:p w14:paraId="46A3900C"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6 Loadline length</w:t>
            </w:r>
          </w:p>
        </w:tc>
      </w:tr>
      <w:tr w:rsidR="00127910" w:rsidRPr="00AC3587" w14:paraId="78C80D8A" w14:textId="77777777" w:rsidTr="00A77DF4">
        <w:trPr>
          <w:trHeight w:val="87"/>
          <w:tblHeader/>
        </w:trPr>
        <w:tc>
          <w:tcPr>
            <w:tcW w:w="5000" w:type="pct"/>
            <w:gridSpan w:val="10"/>
            <w:tcBorders>
              <w:top w:val="nil"/>
              <w:left w:val="single" w:sz="8" w:space="0" w:color="auto"/>
              <w:bottom w:val="single" w:sz="8" w:space="0" w:color="auto"/>
              <w:right w:val="single" w:sz="8" w:space="0" w:color="000000"/>
            </w:tcBorders>
            <w:shd w:val="clear" w:color="auto" w:fill="auto"/>
            <w:vAlign w:val="center"/>
            <w:hideMark/>
          </w:tcPr>
          <w:p w14:paraId="4439CF07" w14:textId="77777777" w:rsidR="00127910" w:rsidRPr="00AC3587" w:rsidRDefault="00127910" w:rsidP="00127910">
            <w:pPr>
              <w:keepNext/>
              <w:spacing w:before="40" w:after="40" w:line="259" w:lineRule="auto"/>
              <w:rPr>
                <w:rFonts w:cs="Arial"/>
                <w:bCs/>
                <w:color w:val="000000"/>
                <w:sz w:val="18"/>
                <w:szCs w:val="20"/>
                <w:lang w:eastAsia="en-GB"/>
              </w:rPr>
            </w:pPr>
            <w:r w:rsidRPr="00AC3587">
              <w:rPr>
                <w:rFonts w:cs="Arial"/>
                <w:bCs/>
                <w:color w:val="000000"/>
                <w:sz w:val="18"/>
                <w:szCs w:val="20"/>
                <w:lang w:eastAsia="en-GB"/>
              </w:rPr>
              <w:t>7 For the purpose of this Code a new passenger ship is any ship not holding a valid passenger ship certificate issued under the regulation 11 of The Merchant Shipping (Survey and Certification) Regulations 1995 (SI 1995/1210) on the date this Code enters into force. Transitional arrangements are permitted in some circumstances as outlined in SI 2010/680.</w:t>
            </w:r>
            <w:r>
              <w:rPr>
                <w:rFonts w:cs="Arial"/>
                <w:bCs/>
                <w:color w:val="000000"/>
                <w:sz w:val="18"/>
                <w:szCs w:val="20"/>
                <w:lang w:eastAsia="en-GB"/>
              </w:rPr>
              <w:t xml:space="preserve"> A second edition of MSN 1823 applies to new ships built after 1 January 2018.</w:t>
            </w:r>
          </w:p>
        </w:tc>
      </w:tr>
    </w:tbl>
    <w:p w14:paraId="2DBC6AB5" w14:textId="77777777" w:rsidR="00C77E30" w:rsidRDefault="00C77E30">
      <w:pPr>
        <w:rPr>
          <w:b/>
          <w:u w:val="single"/>
        </w:rPr>
        <w:sectPr w:rsidR="00C77E30" w:rsidSect="00C77E30">
          <w:footnotePr>
            <w:numRestart w:val="eachSect"/>
          </w:footnotePr>
          <w:pgSz w:w="16840" w:h="11907" w:orient="landscape" w:code="9"/>
          <w:pgMar w:top="680" w:right="680" w:bottom="680" w:left="680" w:header="284" w:footer="284" w:gutter="0"/>
          <w:cols w:space="708"/>
          <w:formProt w:val="0"/>
          <w:docGrid w:linePitch="360"/>
        </w:sectPr>
      </w:pPr>
    </w:p>
    <w:p w14:paraId="30567A18" w14:textId="77777777" w:rsidR="00C77E30" w:rsidRDefault="00C77E30">
      <w:pPr>
        <w:rPr>
          <w:rFonts w:cs="Arial"/>
          <w:b/>
          <w:bCs/>
          <w:color w:val="000000"/>
          <w:sz w:val="22"/>
          <w:szCs w:val="22"/>
          <w:u w:val="single"/>
          <w:lang w:eastAsia="en-GB"/>
        </w:rPr>
      </w:pPr>
    </w:p>
    <w:p w14:paraId="0096CA7B" w14:textId="77777777" w:rsidR="00BB56AB" w:rsidRDefault="00BB56AB" w:rsidP="00BB56AB">
      <w:pPr>
        <w:pStyle w:val="EBBodyPara"/>
        <w:keepNext/>
        <w:jc w:val="center"/>
        <w:rPr>
          <w:b/>
          <w:u w:val="single"/>
        </w:rPr>
      </w:pPr>
      <w:r w:rsidRPr="00DA4F44">
        <w:rPr>
          <w:b/>
          <w:u w:val="single"/>
        </w:rPr>
        <w:t xml:space="preserve">Annex </w:t>
      </w:r>
      <w:r w:rsidR="00127910" w:rsidRPr="00127910">
        <w:rPr>
          <w:b/>
          <w:u w:val="single"/>
        </w:rPr>
        <w:t>B</w:t>
      </w:r>
      <w:r w:rsidRPr="00DA4F44">
        <w:rPr>
          <w:b/>
          <w:u w:val="single"/>
        </w:rPr>
        <w:t xml:space="preserve"> – Definitions</w:t>
      </w:r>
    </w:p>
    <w:p w14:paraId="33E28968" w14:textId="77777777" w:rsidR="00DA4F44" w:rsidRPr="00DA4F44" w:rsidRDefault="00DA4F44" w:rsidP="00DA4F44">
      <w:pPr>
        <w:pStyle w:val="EBBodyPara"/>
        <w:keepNext/>
        <w:rPr>
          <w:b/>
          <w:u w:val="single"/>
        </w:rPr>
      </w:pPr>
      <w:r>
        <w:rPr>
          <w:b/>
          <w:u w:val="single"/>
        </w:rPr>
        <w:t>Category of Water</w:t>
      </w:r>
    </w:p>
    <w:p w14:paraId="14BE2185" w14:textId="77777777" w:rsidR="00DA4F44" w:rsidRDefault="00DA4F44" w:rsidP="00DA4F44">
      <w:pPr>
        <w:pStyle w:val="EBBodyPara"/>
        <w:keepNext/>
      </w:pPr>
      <w:r w:rsidRPr="00E41ADC">
        <w:rPr>
          <w:b/>
        </w:rPr>
        <w:t>Category A</w:t>
      </w:r>
      <w:r>
        <w:t xml:space="preserve"> - narrow rivers and canals where the depth of water is generally less than 1.5 metres.</w:t>
      </w:r>
    </w:p>
    <w:p w14:paraId="5D1895E9" w14:textId="77777777" w:rsidR="00DA4F44" w:rsidRDefault="00DA4F44" w:rsidP="00DA4F44">
      <w:pPr>
        <w:pStyle w:val="EBBodyPara"/>
        <w:keepNext/>
      </w:pPr>
      <w:r w:rsidRPr="00E41ADC">
        <w:rPr>
          <w:b/>
        </w:rPr>
        <w:t>Category B</w:t>
      </w:r>
      <w:r>
        <w:t xml:space="preserve"> - wider rivers and canals where the depth of water is generally 1.5 metres or more and where the significant wave height could not be expected to exceed 0.6 metres at any time.</w:t>
      </w:r>
    </w:p>
    <w:p w14:paraId="133C02BF" w14:textId="77777777" w:rsidR="00DA4F44" w:rsidRDefault="00DA4F44" w:rsidP="00DA4F44">
      <w:pPr>
        <w:pStyle w:val="EBBodyPara"/>
        <w:keepNext/>
      </w:pPr>
      <w:r w:rsidRPr="00E41ADC">
        <w:rPr>
          <w:b/>
        </w:rPr>
        <w:t>Category C</w:t>
      </w:r>
      <w:r>
        <w:t xml:space="preserve"> - tidal rivers, estuaries and large, deep lakes and lochs where the significant wave height could not be expected to exceed 1.2 metres at any time.</w:t>
      </w:r>
    </w:p>
    <w:p w14:paraId="0042152F" w14:textId="77777777" w:rsidR="00DA4F44" w:rsidRDefault="00DA4F44" w:rsidP="00DA4F44">
      <w:pPr>
        <w:pStyle w:val="EBBodyPara"/>
        <w:keepNext/>
      </w:pPr>
      <w:r w:rsidRPr="00E41ADC">
        <w:rPr>
          <w:b/>
        </w:rPr>
        <w:t>Category D</w:t>
      </w:r>
      <w:r w:rsidRPr="00087D6D">
        <w:t xml:space="preserve"> - tidal rivers and estuaries where the significant wave height could not be expected to exceed 2 metres at any time</w:t>
      </w:r>
      <w:r>
        <w:t>.</w:t>
      </w:r>
    </w:p>
    <w:p w14:paraId="02335D9B" w14:textId="77777777" w:rsidR="00E41ADC" w:rsidRDefault="00E41ADC" w:rsidP="00E41ADC">
      <w:pPr>
        <w:pStyle w:val="EBBodyPara"/>
      </w:pPr>
    </w:p>
    <w:p w14:paraId="079AB943" w14:textId="77777777" w:rsidR="00E41ADC" w:rsidRDefault="00E41ADC" w:rsidP="00E41ADC">
      <w:pPr>
        <w:pStyle w:val="EBBodyPara"/>
      </w:pPr>
      <w:r w:rsidRPr="00E41ADC">
        <w:rPr>
          <w:b/>
        </w:rPr>
        <w:t>Cold water shock</w:t>
      </w:r>
      <w:r>
        <w:t xml:space="preserve"> - This is the uncontrollable reaction of the body when it is first submerged in cold water (15°C or lower). The water temperature in the UK is 6-10 °C in the winter to 15-20 °C in the summer. In initial submersion, the body will experience a gasp reflex, which is a rapid intake of air. This is followed by a fourfold increase in breathing rate and associated increases in heart rate and blood pressure, making some people susceptible to heart attacks. These symptoms will last up to 3–5 minutes during which even the fittest person is unable to swim or to focus on breathing. Wearing a lifejacket with the correct buoyancy is vital to survival.</w:t>
      </w:r>
      <w:r>
        <w:rPr>
          <w:vertAlign w:val="superscript"/>
        </w:rPr>
        <w:footnoteReference w:id="32"/>
      </w:r>
    </w:p>
    <w:p w14:paraId="55C1F8CC" w14:textId="77777777" w:rsidR="00E41ADC" w:rsidRDefault="00E41ADC" w:rsidP="00E41ADC">
      <w:pPr>
        <w:pStyle w:val="EBBodyPara"/>
      </w:pPr>
      <w:r>
        <w:t>Without a lifejacket even the most competent swimmer will suffer from ‘swim failure’ after around 30 minutes of swimming in cold water. Research</w:t>
      </w:r>
      <w:r>
        <w:rPr>
          <w:rStyle w:val="FootnoteReference"/>
        </w:rPr>
        <w:footnoteReference w:id="33"/>
      </w:r>
      <w:r>
        <w:t xml:space="preserve"> has shown significantly longer survival times when using buoyancy aids or lifejackets. </w:t>
      </w:r>
    </w:p>
    <w:p w14:paraId="0D729047" w14:textId="77777777" w:rsidR="00E41ADC" w:rsidRDefault="00E41ADC" w:rsidP="00DA4F44">
      <w:pPr>
        <w:pStyle w:val="EBBodyPara"/>
        <w:keepNext/>
      </w:pPr>
    </w:p>
    <w:p w14:paraId="7F15ADA2" w14:textId="77777777" w:rsidR="006C63BF" w:rsidRDefault="006C63BF">
      <w:pPr>
        <w:rPr>
          <w:rFonts w:cs="Arial"/>
          <w:bCs/>
          <w:color w:val="000000"/>
          <w:sz w:val="22"/>
          <w:szCs w:val="22"/>
          <w:lang w:eastAsia="en-GB"/>
        </w:rPr>
      </w:pPr>
      <w:r>
        <w:br w:type="page"/>
      </w:r>
    </w:p>
    <w:p w14:paraId="7DB328BE" w14:textId="77777777" w:rsidR="004C71CF" w:rsidRPr="00F33DC8" w:rsidRDefault="004C71CF" w:rsidP="004C71CF">
      <w:pPr>
        <w:jc w:val="center"/>
        <w:rPr>
          <w:rFonts w:cs="Arial"/>
          <w:b/>
          <w:bCs/>
          <w:color w:val="000000"/>
          <w:sz w:val="22"/>
          <w:szCs w:val="22"/>
          <w:lang w:eastAsia="en-GB"/>
        </w:rPr>
      </w:pPr>
      <w:r w:rsidRPr="00F33DC8">
        <w:rPr>
          <w:b/>
        </w:rPr>
        <w:lastRenderedPageBreak/>
        <w:t>Annex C:</w:t>
      </w:r>
      <w:r w:rsidR="00F33DC8" w:rsidRPr="00F33DC8">
        <w:rPr>
          <w:b/>
        </w:rPr>
        <w:t xml:space="preserve"> </w:t>
      </w:r>
      <w:r w:rsidR="00F33DC8">
        <w:rPr>
          <w:b/>
        </w:rPr>
        <w:t xml:space="preserve">MCA </w:t>
      </w:r>
      <w:r w:rsidR="00F33DC8" w:rsidRPr="00F33DC8">
        <w:rPr>
          <w:b/>
        </w:rPr>
        <w:t>Formal Safety Assessment</w:t>
      </w:r>
      <w:r w:rsidR="00F33DC8">
        <w:rPr>
          <w:b/>
        </w:rPr>
        <w:t xml:space="preserve"> </w:t>
      </w:r>
      <w:r w:rsidR="00F33DC8" w:rsidRPr="00F33DC8">
        <w:rPr>
          <w:b/>
        </w:rPr>
        <w:t>(FSA)</w:t>
      </w:r>
      <w:r w:rsidR="00F33DC8">
        <w:rPr>
          <w:b/>
        </w:rPr>
        <w:t xml:space="preserve"> (2001-2003) </w:t>
      </w:r>
      <w:r w:rsidR="003F7330">
        <w:rPr>
          <w:b/>
        </w:rPr>
        <w:t>- Estimates</w:t>
      </w:r>
      <w:r w:rsidR="00F33DC8">
        <w:rPr>
          <w:b/>
        </w:rPr>
        <w:t xml:space="preserve"> of risk </w:t>
      </w:r>
    </w:p>
    <w:p w14:paraId="5D2EFBD4" w14:textId="77777777" w:rsidR="004C71CF" w:rsidRDefault="004C71CF">
      <w:pPr>
        <w:rPr>
          <w:rFonts w:cs="Arial"/>
          <w:bCs/>
          <w:color w:val="000000"/>
          <w:sz w:val="22"/>
          <w:szCs w:val="22"/>
          <w:lang w:eastAsia="en-GB"/>
        </w:rPr>
      </w:pPr>
    </w:p>
    <w:p w14:paraId="6E7FE920" w14:textId="77777777" w:rsidR="004C71CF" w:rsidRDefault="004C71CF">
      <w:pPr>
        <w:rPr>
          <w:rFonts w:cs="Arial"/>
          <w:bCs/>
          <w:color w:val="000000"/>
          <w:sz w:val="22"/>
          <w:szCs w:val="22"/>
          <w:lang w:eastAsia="en-GB"/>
        </w:rPr>
      </w:pPr>
      <w:r w:rsidRPr="00C4288E">
        <w:rPr>
          <w:rFonts w:cs="Arial"/>
          <w:bCs/>
          <w:color w:val="000000"/>
          <w:sz w:val="22"/>
          <w:szCs w:val="22"/>
          <w:lang w:eastAsia="en-GB"/>
        </w:rPr>
        <w:t>The FSA estimates that the individual risk of an injury, fatality, or accident</w:t>
      </w:r>
      <w:r w:rsidR="00D573FD">
        <w:rPr>
          <w:rFonts w:cs="Arial"/>
          <w:bCs/>
          <w:color w:val="000000"/>
          <w:sz w:val="22"/>
          <w:szCs w:val="22"/>
          <w:lang w:eastAsia="en-GB"/>
        </w:rPr>
        <w:t>:</w:t>
      </w:r>
    </w:p>
    <w:p w14:paraId="3C1F6D28" w14:textId="77777777" w:rsidR="004C71CF" w:rsidRDefault="004C71CF">
      <w:pPr>
        <w:rPr>
          <w:rFonts w:cs="Arial"/>
          <w:bCs/>
          <w:color w:val="000000"/>
          <w:sz w:val="22"/>
          <w:szCs w:val="22"/>
          <w:lang w:eastAsia="en-GB"/>
        </w:rPr>
      </w:pPr>
    </w:p>
    <w:tbl>
      <w:tblPr>
        <w:tblStyle w:val="PlainTable2"/>
        <w:tblW w:w="0" w:type="auto"/>
        <w:tblLook w:val="06A0" w:firstRow="1" w:lastRow="0" w:firstColumn="1" w:lastColumn="0" w:noHBand="1" w:noVBand="1"/>
      </w:tblPr>
      <w:tblGrid>
        <w:gridCol w:w="2796"/>
        <w:gridCol w:w="2716"/>
        <w:gridCol w:w="2716"/>
        <w:gridCol w:w="2319"/>
      </w:tblGrid>
      <w:tr w:rsidR="004C71CF" w:rsidRPr="00C4288E" w14:paraId="7788226C" w14:textId="77777777" w:rsidTr="00DB08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47" w:type="dxa"/>
            <w:gridSpan w:val="4"/>
            <w:tcBorders>
              <w:top w:val="nil"/>
            </w:tcBorders>
          </w:tcPr>
          <w:p w14:paraId="1CAB6D2D" w14:textId="77777777" w:rsidR="004C71CF" w:rsidRPr="00653DEE" w:rsidRDefault="004C71CF" w:rsidP="00DB0890">
            <w:pPr>
              <w:spacing w:before="40" w:after="40"/>
              <w:rPr>
                <w:rFonts w:cs="Arial"/>
                <w:b w:val="0"/>
                <w:i/>
                <w:color w:val="000000"/>
                <w:sz w:val="22"/>
                <w:szCs w:val="22"/>
                <w:lang w:eastAsia="en-GB"/>
              </w:rPr>
            </w:pPr>
          </w:p>
        </w:tc>
      </w:tr>
      <w:tr w:rsidR="004C71CF" w:rsidRPr="00C4288E" w14:paraId="75CBA913" w14:textId="77777777" w:rsidTr="00DB0890">
        <w:tc>
          <w:tcPr>
            <w:cnfStyle w:val="001000000000" w:firstRow="0" w:lastRow="0" w:firstColumn="1" w:lastColumn="0" w:oddVBand="0" w:evenVBand="0" w:oddHBand="0" w:evenHBand="0" w:firstRowFirstColumn="0" w:firstRowLastColumn="0" w:lastRowFirstColumn="0" w:lastRowLastColumn="0"/>
            <w:tcW w:w="2796" w:type="dxa"/>
          </w:tcPr>
          <w:p w14:paraId="3C9D8996"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Operating environment</w:t>
            </w:r>
          </w:p>
        </w:tc>
        <w:tc>
          <w:tcPr>
            <w:tcW w:w="2716" w:type="dxa"/>
          </w:tcPr>
          <w:p w14:paraId="02B41F2E"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C4288E">
              <w:rPr>
                <w:rFonts w:cs="Arial"/>
                <w:color w:val="000000"/>
                <w:sz w:val="22"/>
                <w:szCs w:val="22"/>
                <w:lang w:eastAsia="en-GB"/>
              </w:rPr>
              <w:t>Individual risk of passenger fatality per voyage</w:t>
            </w:r>
          </w:p>
        </w:tc>
        <w:tc>
          <w:tcPr>
            <w:tcW w:w="2716" w:type="dxa"/>
          </w:tcPr>
          <w:p w14:paraId="531CD976"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C4288E">
              <w:rPr>
                <w:rFonts w:cs="Arial"/>
                <w:color w:val="000000"/>
                <w:sz w:val="22"/>
                <w:szCs w:val="22"/>
                <w:lang w:eastAsia="en-GB"/>
              </w:rPr>
              <w:t>Individual risk of passenger injury per voyage</w:t>
            </w:r>
          </w:p>
        </w:tc>
        <w:tc>
          <w:tcPr>
            <w:tcW w:w="2319" w:type="dxa"/>
          </w:tcPr>
          <w:p w14:paraId="14CF7517"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C4288E">
              <w:rPr>
                <w:rFonts w:cs="Arial"/>
                <w:color w:val="000000"/>
                <w:sz w:val="22"/>
                <w:szCs w:val="22"/>
                <w:lang w:eastAsia="en-GB"/>
              </w:rPr>
              <w:t>Risk of accident per voyage</w:t>
            </w:r>
          </w:p>
        </w:tc>
      </w:tr>
      <w:tr w:rsidR="004C71CF" w:rsidRPr="00C4288E" w14:paraId="6F2BAB63" w14:textId="77777777" w:rsidTr="00DB0890">
        <w:tc>
          <w:tcPr>
            <w:cnfStyle w:val="001000000000" w:firstRow="0" w:lastRow="0" w:firstColumn="1" w:lastColumn="0" w:oddVBand="0" w:evenVBand="0" w:oddHBand="0" w:evenHBand="0" w:firstRowFirstColumn="0" w:firstRowLastColumn="0" w:lastRowFirstColumn="0" w:lastRowLastColumn="0"/>
            <w:tcW w:w="2796" w:type="dxa"/>
          </w:tcPr>
          <w:p w14:paraId="2122472C"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Tidal / Estuaries</w:t>
            </w:r>
          </w:p>
        </w:tc>
        <w:tc>
          <w:tcPr>
            <w:tcW w:w="2716" w:type="dxa"/>
          </w:tcPr>
          <w:p w14:paraId="3B1133D5"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1.5 × 10</w:t>
            </w:r>
            <w:r w:rsidRPr="00C4288E">
              <w:rPr>
                <w:rFonts w:cs="Arial"/>
                <w:bCs/>
                <w:color w:val="000000"/>
                <w:sz w:val="22"/>
                <w:szCs w:val="22"/>
                <w:vertAlign w:val="superscript"/>
                <w:lang w:eastAsia="en-GB"/>
              </w:rPr>
              <w:t>-7</w:t>
            </w:r>
          </w:p>
        </w:tc>
        <w:tc>
          <w:tcPr>
            <w:tcW w:w="2716" w:type="dxa"/>
          </w:tcPr>
          <w:p w14:paraId="1DFE4BD8"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3.6 × 10</w:t>
            </w:r>
            <w:r w:rsidRPr="00C4288E">
              <w:rPr>
                <w:rFonts w:cs="Arial"/>
                <w:bCs/>
                <w:color w:val="000000"/>
                <w:sz w:val="22"/>
                <w:szCs w:val="22"/>
                <w:vertAlign w:val="superscript"/>
                <w:lang w:eastAsia="en-GB"/>
              </w:rPr>
              <w:t>-2</w:t>
            </w:r>
          </w:p>
        </w:tc>
        <w:tc>
          <w:tcPr>
            <w:tcW w:w="2319" w:type="dxa"/>
          </w:tcPr>
          <w:p w14:paraId="3FB072AA"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4.3 × 10</w:t>
            </w:r>
            <w:r w:rsidRPr="00C4288E">
              <w:rPr>
                <w:rFonts w:cs="Arial"/>
                <w:bCs/>
                <w:color w:val="000000"/>
                <w:sz w:val="22"/>
                <w:szCs w:val="22"/>
                <w:vertAlign w:val="superscript"/>
                <w:lang w:eastAsia="en-GB"/>
              </w:rPr>
              <w:t>-6</w:t>
            </w:r>
          </w:p>
        </w:tc>
      </w:tr>
      <w:tr w:rsidR="004C71CF" w:rsidRPr="00C4288E" w14:paraId="57960FA0" w14:textId="77777777" w:rsidTr="00DB0890">
        <w:tc>
          <w:tcPr>
            <w:cnfStyle w:val="001000000000" w:firstRow="0" w:lastRow="0" w:firstColumn="1" w:lastColumn="0" w:oddVBand="0" w:evenVBand="0" w:oddHBand="0" w:evenHBand="0" w:firstRowFirstColumn="0" w:firstRowLastColumn="0" w:lastRowFirstColumn="0" w:lastRowLastColumn="0"/>
            <w:tcW w:w="2796" w:type="dxa"/>
          </w:tcPr>
          <w:p w14:paraId="795AE7AD"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Inland Waters</w:t>
            </w:r>
          </w:p>
        </w:tc>
        <w:tc>
          <w:tcPr>
            <w:tcW w:w="2716" w:type="dxa"/>
          </w:tcPr>
          <w:p w14:paraId="2F76DBA6"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9.1 × 10</w:t>
            </w:r>
            <w:r w:rsidRPr="00C4288E">
              <w:rPr>
                <w:rFonts w:cs="Arial"/>
                <w:bCs/>
                <w:color w:val="000000"/>
                <w:sz w:val="22"/>
                <w:szCs w:val="22"/>
                <w:vertAlign w:val="superscript"/>
                <w:lang w:eastAsia="en-GB"/>
              </w:rPr>
              <w:t>-8</w:t>
            </w:r>
          </w:p>
        </w:tc>
        <w:tc>
          <w:tcPr>
            <w:tcW w:w="2716" w:type="dxa"/>
          </w:tcPr>
          <w:p w14:paraId="7DD53642"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2.0 × 10</w:t>
            </w:r>
            <w:r w:rsidRPr="00C4288E">
              <w:rPr>
                <w:rFonts w:cs="Arial"/>
                <w:bCs/>
                <w:color w:val="000000"/>
                <w:sz w:val="22"/>
                <w:szCs w:val="22"/>
                <w:vertAlign w:val="superscript"/>
                <w:lang w:eastAsia="en-GB"/>
              </w:rPr>
              <w:t>-2</w:t>
            </w:r>
          </w:p>
        </w:tc>
        <w:tc>
          <w:tcPr>
            <w:tcW w:w="2319" w:type="dxa"/>
          </w:tcPr>
          <w:p w14:paraId="778F82B3"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2.3 × 10</w:t>
            </w:r>
            <w:r w:rsidRPr="00C4288E">
              <w:rPr>
                <w:rFonts w:cs="Arial"/>
                <w:bCs/>
                <w:color w:val="000000"/>
                <w:sz w:val="22"/>
                <w:szCs w:val="22"/>
                <w:vertAlign w:val="superscript"/>
                <w:lang w:eastAsia="en-GB"/>
              </w:rPr>
              <w:t>-6</w:t>
            </w:r>
          </w:p>
        </w:tc>
      </w:tr>
      <w:tr w:rsidR="004C71CF" w:rsidRPr="00C4288E" w14:paraId="3180BD01" w14:textId="77777777" w:rsidTr="00DB0890">
        <w:tc>
          <w:tcPr>
            <w:cnfStyle w:val="001000000000" w:firstRow="0" w:lastRow="0" w:firstColumn="1" w:lastColumn="0" w:oddVBand="0" w:evenVBand="0" w:oddHBand="0" w:evenHBand="0" w:firstRowFirstColumn="0" w:firstRowLastColumn="0" w:lastRowFirstColumn="0" w:lastRowLastColumn="0"/>
            <w:tcW w:w="2796" w:type="dxa"/>
          </w:tcPr>
          <w:p w14:paraId="32E25E0B"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Lochs and Lakes</w:t>
            </w:r>
          </w:p>
        </w:tc>
        <w:tc>
          <w:tcPr>
            <w:tcW w:w="2716" w:type="dxa"/>
          </w:tcPr>
          <w:p w14:paraId="313E9B92"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1.4 × 10</w:t>
            </w:r>
            <w:r w:rsidRPr="00C4288E">
              <w:rPr>
                <w:rFonts w:cs="Arial"/>
                <w:bCs/>
                <w:color w:val="000000"/>
                <w:sz w:val="22"/>
                <w:szCs w:val="22"/>
                <w:vertAlign w:val="superscript"/>
                <w:lang w:eastAsia="en-GB"/>
              </w:rPr>
              <w:t>-7</w:t>
            </w:r>
          </w:p>
        </w:tc>
        <w:tc>
          <w:tcPr>
            <w:tcW w:w="2716" w:type="dxa"/>
          </w:tcPr>
          <w:p w14:paraId="49E30622"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3.4 × 10</w:t>
            </w:r>
            <w:r w:rsidRPr="00C4288E">
              <w:rPr>
                <w:rFonts w:cs="Arial"/>
                <w:bCs/>
                <w:color w:val="000000"/>
                <w:sz w:val="22"/>
                <w:szCs w:val="22"/>
                <w:vertAlign w:val="superscript"/>
                <w:lang w:eastAsia="en-GB"/>
              </w:rPr>
              <w:t>-2</w:t>
            </w:r>
          </w:p>
        </w:tc>
        <w:tc>
          <w:tcPr>
            <w:tcW w:w="2319" w:type="dxa"/>
          </w:tcPr>
          <w:p w14:paraId="256F14E1"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4.1 × 10</w:t>
            </w:r>
            <w:r w:rsidRPr="00C4288E">
              <w:rPr>
                <w:rFonts w:cs="Arial"/>
                <w:bCs/>
                <w:color w:val="000000"/>
                <w:sz w:val="22"/>
                <w:szCs w:val="22"/>
                <w:vertAlign w:val="superscript"/>
                <w:lang w:eastAsia="en-GB"/>
              </w:rPr>
              <w:t>-6</w:t>
            </w:r>
          </w:p>
        </w:tc>
      </w:tr>
      <w:tr w:rsidR="004C71CF" w:rsidRPr="00C4288E" w14:paraId="4A0CA5B5" w14:textId="77777777" w:rsidTr="00DB0890">
        <w:tc>
          <w:tcPr>
            <w:cnfStyle w:val="001000000000" w:firstRow="0" w:lastRow="0" w:firstColumn="1" w:lastColumn="0" w:oddVBand="0" w:evenVBand="0" w:oddHBand="0" w:evenHBand="0" w:firstRowFirstColumn="0" w:firstRowLastColumn="0" w:lastRowFirstColumn="0" w:lastRowLastColumn="0"/>
            <w:tcW w:w="2796" w:type="dxa"/>
          </w:tcPr>
          <w:p w14:paraId="32DF8ADC"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Coastal Waters</w:t>
            </w:r>
          </w:p>
        </w:tc>
        <w:tc>
          <w:tcPr>
            <w:tcW w:w="2716" w:type="dxa"/>
          </w:tcPr>
          <w:p w14:paraId="44DED5F1"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1.3 × 10</w:t>
            </w:r>
            <w:r w:rsidRPr="00C4288E">
              <w:rPr>
                <w:rFonts w:cs="Arial"/>
                <w:bCs/>
                <w:color w:val="000000"/>
                <w:sz w:val="22"/>
                <w:szCs w:val="22"/>
                <w:vertAlign w:val="superscript"/>
                <w:lang w:eastAsia="en-GB"/>
              </w:rPr>
              <w:t>-7</w:t>
            </w:r>
          </w:p>
        </w:tc>
        <w:tc>
          <w:tcPr>
            <w:tcW w:w="2716" w:type="dxa"/>
          </w:tcPr>
          <w:p w14:paraId="33C244FC"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9.5 × 10</w:t>
            </w:r>
            <w:r w:rsidRPr="00C4288E">
              <w:rPr>
                <w:rFonts w:cs="Arial"/>
                <w:bCs/>
                <w:color w:val="000000"/>
                <w:sz w:val="22"/>
                <w:szCs w:val="22"/>
                <w:vertAlign w:val="superscript"/>
                <w:lang w:eastAsia="en-GB"/>
              </w:rPr>
              <w:t>-2</w:t>
            </w:r>
          </w:p>
        </w:tc>
        <w:tc>
          <w:tcPr>
            <w:tcW w:w="2319" w:type="dxa"/>
          </w:tcPr>
          <w:p w14:paraId="3EDD477F" w14:textId="77777777" w:rsidR="004C71CF" w:rsidRPr="00C4288E" w:rsidRDefault="004C71CF" w:rsidP="00DB0890">
            <w:pPr>
              <w:spacing w:before="40" w:after="40"/>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3.8 × 10</w:t>
            </w:r>
            <w:r w:rsidRPr="00C4288E">
              <w:rPr>
                <w:rFonts w:cs="Arial"/>
                <w:bCs/>
                <w:color w:val="000000"/>
                <w:sz w:val="22"/>
                <w:szCs w:val="22"/>
                <w:vertAlign w:val="superscript"/>
                <w:lang w:eastAsia="en-GB"/>
              </w:rPr>
              <w:t>-6</w:t>
            </w:r>
          </w:p>
        </w:tc>
      </w:tr>
    </w:tbl>
    <w:p w14:paraId="623DF109" w14:textId="77777777" w:rsidR="004C71CF" w:rsidRDefault="004C71CF" w:rsidP="004C71CF">
      <w:pPr>
        <w:spacing w:after="120" w:line="259" w:lineRule="auto"/>
        <w:rPr>
          <w:rFonts w:cs="Arial"/>
          <w:sz w:val="22"/>
          <w:szCs w:val="22"/>
          <w:lang w:eastAsia="en-GB"/>
        </w:rPr>
      </w:pPr>
    </w:p>
    <w:p w14:paraId="7D54CFC4" w14:textId="77777777" w:rsidR="004C71CF" w:rsidRPr="00C4288E" w:rsidRDefault="004C71CF" w:rsidP="004C71CF">
      <w:pPr>
        <w:spacing w:after="120" w:line="259" w:lineRule="auto"/>
        <w:rPr>
          <w:rFonts w:cs="Arial"/>
          <w:bCs/>
          <w:color w:val="000000"/>
          <w:sz w:val="22"/>
          <w:szCs w:val="22"/>
          <w:lang w:eastAsia="en-GB"/>
        </w:rPr>
      </w:pPr>
      <w:r w:rsidRPr="00C4288E">
        <w:rPr>
          <w:rFonts w:cs="Arial"/>
          <w:bCs/>
          <w:color w:val="000000"/>
          <w:sz w:val="22"/>
          <w:szCs w:val="22"/>
          <w:lang w:eastAsia="en-GB"/>
        </w:rPr>
        <w:t>The FSA also estimates the frequencies of various types of accident:</w:t>
      </w:r>
    </w:p>
    <w:tbl>
      <w:tblPr>
        <w:tblStyle w:val="PlainTable2"/>
        <w:tblW w:w="0" w:type="auto"/>
        <w:jc w:val="center"/>
        <w:tblLook w:val="06E0" w:firstRow="1" w:lastRow="1" w:firstColumn="1" w:lastColumn="0" w:noHBand="1" w:noVBand="1"/>
      </w:tblPr>
      <w:tblGrid>
        <w:gridCol w:w="2378"/>
        <w:gridCol w:w="2867"/>
      </w:tblGrid>
      <w:tr w:rsidR="004C71CF" w:rsidRPr="00C4288E" w14:paraId="37948215" w14:textId="77777777" w:rsidTr="00DB08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245" w:type="dxa"/>
            <w:gridSpan w:val="2"/>
            <w:tcBorders>
              <w:top w:val="nil"/>
            </w:tcBorders>
          </w:tcPr>
          <w:p w14:paraId="39B388D1" w14:textId="77777777" w:rsidR="004C71CF" w:rsidRPr="00653DEE" w:rsidRDefault="004C71CF" w:rsidP="00DB0890">
            <w:pPr>
              <w:spacing w:before="40" w:after="40"/>
              <w:rPr>
                <w:rFonts w:cs="Arial"/>
                <w:b w:val="0"/>
                <w:i/>
                <w:color w:val="000000"/>
                <w:sz w:val="22"/>
                <w:szCs w:val="22"/>
                <w:lang w:eastAsia="en-GB"/>
              </w:rPr>
            </w:pPr>
          </w:p>
        </w:tc>
      </w:tr>
      <w:tr w:rsidR="004C71CF" w:rsidRPr="00C4288E" w14:paraId="6FB74E93"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574F3665"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Accident category</w:t>
            </w:r>
          </w:p>
        </w:tc>
        <w:tc>
          <w:tcPr>
            <w:tcW w:w="2867" w:type="dxa"/>
          </w:tcPr>
          <w:p w14:paraId="14E6A792"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22"/>
                <w:szCs w:val="22"/>
                <w:lang w:eastAsia="en-GB"/>
              </w:rPr>
            </w:pPr>
            <w:r w:rsidRPr="00C4288E">
              <w:rPr>
                <w:rFonts w:cs="Arial"/>
                <w:color w:val="000000"/>
                <w:sz w:val="22"/>
                <w:szCs w:val="22"/>
                <w:lang w:eastAsia="en-GB"/>
              </w:rPr>
              <w:t>Individual risk of passenger fatality</w:t>
            </w:r>
          </w:p>
        </w:tc>
      </w:tr>
      <w:tr w:rsidR="004C71CF" w:rsidRPr="00C4288E" w14:paraId="4F1A71CE"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664E42A1"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Collision</w:t>
            </w:r>
          </w:p>
        </w:tc>
        <w:tc>
          <w:tcPr>
            <w:tcW w:w="2867" w:type="dxa"/>
          </w:tcPr>
          <w:p w14:paraId="635F039C"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10%</w:t>
            </w:r>
          </w:p>
        </w:tc>
      </w:tr>
      <w:tr w:rsidR="004C71CF" w:rsidRPr="00C4288E" w14:paraId="51D3328D"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448CC886"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Grounding</w:t>
            </w:r>
          </w:p>
        </w:tc>
        <w:tc>
          <w:tcPr>
            <w:tcW w:w="2867" w:type="dxa"/>
          </w:tcPr>
          <w:p w14:paraId="67F58A9A"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13%</w:t>
            </w:r>
          </w:p>
        </w:tc>
      </w:tr>
      <w:tr w:rsidR="004C71CF" w:rsidRPr="00C4288E" w14:paraId="3C9DF09C"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2E4727B0"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Contact</w:t>
            </w:r>
          </w:p>
        </w:tc>
        <w:tc>
          <w:tcPr>
            <w:tcW w:w="2867" w:type="dxa"/>
          </w:tcPr>
          <w:p w14:paraId="7ACA43F4"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49%</w:t>
            </w:r>
          </w:p>
        </w:tc>
      </w:tr>
      <w:tr w:rsidR="004C71CF" w:rsidRPr="00C4288E" w14:paraId="1B4C2A8C"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12246C03"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Flooding</w:t>
            </w:r>
          </w:p>
        </w:tc>
        <w:tc>
          <w:tcPr>
            <w:tcW w:w="2867" w:type="dxa"/>
          </w:tcPr>
          <w:p w14:paraId="1A5072AE"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w:t>
            </w:r>
          </w:p>
        </w:tc>
      </w:tr>
      <w:tr w:rsidR="004C71CF" w:rsidRPr="00C4288E" w14:paraId="3751FE69"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5408EC37"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Fire</w:t>
            </w:r>
          </w:p>
        </w:tc>
        <w:tc>
          <w:tcPr>
            <w:tcW w:w="2867" w:type="dxa"/>
          </w:tcPr>
          <w:p w14:paraId="755ACC06"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16%</w:t>
            </w:r>
          </w:p>
        </w:tc>
      </w:tr>
      <w:tr w:rsidR="004C71CF" w:rsidRPr="00C4288E" w14:paraId="392A108D" w14:textId="77777777" w:rsidTr="00DB0890">
        <w:trPr>
          <w:jc w:val="center"/>
        </w:trPr>
        <w:tc>
          <w:tcPr>
            <w:cnfStyle w:val="001000000000" w:firstRow="0" w:lastRow="0" w:firstColumn="1" w:lastColumn="0" w:oddVBand="0" w:evenVBand="0" w:oddHBand="0" w:evenHBand="0" w:firstRowFirstColumn="0" w:firstRowLastColumn="0" w:lastRowFirstColumn="0" w:lastRowLastColumn="0"/>
            <w:tcW w:w="2378" w:type="dxa"/>
          </w:tcPr>
          <w:p w14:paraId="5F99E247"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Personal</w:t>
            </w:r>
          </w:p>
        </w:tc>
        <w:tc>
          <w:tcPr>
            <w:tcW w:w="2867" w:type="dxa"/>
          </w:tcPr>
          <w:p w14:paraId="2D8A995B" w14:textId="77777777" w:rsidR="004C71CF" w:rsidRPr="00C4288E" w:rsidRDefault="004C71CF" w:rsidP="00DB0890">
            <w:pPr>
              <w:spacing w:before="40" w:after="40"/>
              <w:jc w:val="center"/>
              <w:cnfStyle w:val="000000000000" w:firstRow="0" w:lastRow="0" w:firstColumn="0" w:lastColumn="0" w:oddVBand="0" w:evenVBand="0" w:oddHBand="0" w:evenHBand="0" w:firstRowFirstColumn="0" w:firstRowLastColumn="0" w:lastRowFirstColumn="0" w:lastRowLastColumn="0"/>
              <w:rPr>
                <w:rFonts w:cs="Arial"/>
                <w:bCs/>
                <w:color w:val="000000"/>
                <w:sz w:val="22"/>
                <w:szCs w:val="22"/>
                <w:lang w:eastAsia="en-GB"/>
              </w:rPr>
            </w:pPr>
            <w:r w:rsidRPr="00C4288E">
              <w:rPr>
                <w:rFonts w:cs="Arial"/>
                <w:bCs/>
                <w:color w:val="000000"/>
                <w:sz w:val="22"/>
                <w:szCs w:val="22"/>
                <w:lang w:eastAsia="en-GB"/>
              </w:rPr>
              <w:t>11%</w:t>
            </w:r>
          </w:p>
        </w:tc>
      </w:tr>
      <w:tr w:rsidR="004C71CF" w:rsidRPr="00C4288E" w14:paraId="1F2FA172" w14:textId="77777777" w:rsidTr="00DB0890">
        <w:trPr>
          <w:cnfStyle w:val="010000000000" w:firstRow="0" w:lastRow="1"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78" w:type="dxa"/>
          </w:tcPr>
          <w:p w14:paraId="1DC9B88F" w14:textId="77777777" w:rsidR="004C71CF" w:rsidRPr="00C4288E" w:rsidRDefault="004C71CF" w:rsidP="00DB0890">
            <w:pPr>
              <w:spacing w:before="40" w:after="40"/>
              <w:rPr>
                <w:rFonts w:cs="Arial"/>
                <w:color w:val="000000"/>
                <w:sz w:val="22"/>
                <w:szCs w:val="22"/>
                <w:lang w:eastAsia="en-GB"/>
              </w:rPr>
            </w:pPr>
            <w:r w:rsidRPr="00C4288E">
              <w:rPr>
                <w:rFonts w:cs="Arial"/>
                <w:color w:val="000000"/>
                <w:sz w:val="22"/>
                <w:szCs w:val="22"/>
                <w:lang w:eastAsia="en-GB"/>
              </w:rPr>
              <w:t>Total</w:t>
            </w:r>
          </w:p>
        </w:tc>
        <w:tc>
          <w:tcPr>
            <w:tcW w:w="2867" w:type="dxa"/>
          </w:tcPr>
          <w:p w14:paraId="5EB9F66D" w14:textId="77777777" w:rsidR="004C71CF" w:rsidRPr="00B409D5" w:rsidRDefault="004C71CF" w:rsidP="00DB0890">
            <w:pPr>
              <w:spacing w:before="40" w:after="40"/>
              <w:jc w:val="center"/>
              <w:cnfStyle w:val="010000000000" w:firstRow="0" w:lastRow="1" w:firstColumn="0" w:lastColumn="0" w:oddVBand="0" w:evenVBand="0" w:oddHBand="0" w:evenHBand="0" w:firstRowFirstColumn="0" w:firstRowLastColumn="0" w:lastRowFirstColumn="0" w:lastRowLastColumn="0"/>
              <w:rPr>
                <w:rFonts w:cs="Arial"/>
                <w:b w:val="0"/>
                <w:color w:val="000000"/>
                <w:sz w:val="22"/>
                <w:szCs w:val="22"/>
                <w:lang w:eastAsia="en-GB"/>
              </w:rPr>
            </w:pPr>
            <w:r w:rsidRPr="00B409D5">
              <w:rPr>
                <w:rFonts w:cs="Arial"/>
                <w:b w:val="0"/>
                <w:color w:val="000000"/>
                <w:sz w:val="22"/>
                <w:szCs w:val="22"/>
                <w:lang w:eastAsia="en-GB"/>
              </w:rPr>
              <w:t>100%</w:t>
            </w:r>
          </w:p>
        </w:tc>
      </w:tr>
    </w:tbl>
    <w:p w14:paraId="015150D5" w14:textId="77777777" w:rsidR="004C71CF" w:rsidRPr="004C71CF" w:rsidRDefault="004C71CF">
      <w:pPr>
        <w:rPr>
          <w:rFonts w:cs="Arial"/>
          <w:bCs/>
          <w:color w:val="000000"/>
          <w:sz w:val="22"/>
          <w:szCs w:val="22"/>
          <w:lang w:eastAsia="en-GB"/>
        </w:rPr>
      </w:pPr>
    </w:p>
    <w:p w14:paraId="2796BA9F" w14:textId="77777777" w:rsidR="004C71CF" w:rsidRDefault="004C71CF">
      <w:pPr>
        <w:rPr>
          <w:rFonts w:cs="Arial"/>
          <w:b/>
          <w:bCs/>
          <w:color w:val="000000"/>
          <w:sz w:val="22"/>
          <w:szCs w:val="22"/>
          <w:u w:val="single"/>
          <w:lang w:eastAsia="en-GB"/>
        </w:rPr>
      </w:pPr>
      <w:r>
        <w:rPr>
          <w:b/>
          <w:u w:val="single"/>
        </w:rPr>
        <w:br w:type="page"/>
      </w:r>
    </w:p>
    <w:p w14:paraId="5C8224ED" w14:textId="77777777" w:rsidR="006C63BF" w:rsidRPr="00127910" w:rsidRDefault="006C63BF" w:rsidP="006C63BF">
      <w:pPr>
        <w:pStyle w:val="EBBodyPara"/>
        <w:keepNext/>
        <w:jc w:val="center"/>
        <w:rPr>
          <w:b/>
          <w:u w:val="single"/>
        </w:rPr>
      </w:pPr>
      <w:r w:rsidRPr="00127910">
        <w:rPr>
          <w:b/>
          <w:u w:val="single"/>
        </w:rPr>
        <w:lastRenderedPageBreak/>
        <w:t xml:space="preserve">Annex </w:t>
      </w:r>
      <w:r w:rsidR="004C71CF" w:rsidRPr="00F33DC8">
        <w:rPr>
          <w:b/>
          <w:u w:val="single"/>
        </w:rPr>
        <w:t>D</w:t>
      </w:r>
      <w:r w:rsidR="00127910" w:rsidRPr="00F33DC8">
        <w:rPr>
          <w:b/>
          <w:u w:val="single"/>
        </w:rPr>
        <w:t>:</w:t>
      </w:r>
      <w:r w:rsidR="00F33DC8" w:rsidRPr="00F33DC8">
        <w:rPr>
          <w:b/>
          <w:u w:val="single"/>
        </w:rPr>
        <w:t xml:space="preserve"> MCA Formal Safety Assessment (FSA) (2001-2003)</w:t>
      </w:r>
      <w:r w:rsidR="00F33DC8">
        <w:rPr>
          <w:b/>
          <w:u w:val="single"/>
        </w:rPr>
        <w:t xml:space="preserve"> – Probability trees</w:t>
      </w:r>
    </w:p>
    <w:p w14:paraId="07CF822A" w14:textId="77777777" w:rsidR="006C63BF" w:rsidRDefault="006C63BF" w:rsidP="006C63BF">
      <w:pPr>
        <w:pStyle w:val="EBBodyPara"/>
        <w:keepNext/>
        <w:jc w:val="center"/>
      </w:pPr>
    </w:p>
    <w:p w14:paraId="3EC129D3" w14:textId="77777777" w:rsidR="006C63BF" w:rsidRDefault="006C63BF" w:rsidP="006C63BF">
      <w:pPr>
        <w:pStyle w:val="EBBodyPara"/>
        <w:keepNext/>
      </w:pPr>
      <w:r>
        <w:rPr>
          <w:noProof/>
        </w:rPr>
        <w:drawing>
          <wp:inline distT="0" distB="0" distL="0" distR="0" wp14:anchorId="411C6D21" wp14:editId="7A9370E3">
            <wp:extent cx="6559550" cy="2470150"/>
            <wp:effectExtent l="0" t="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36E4FB5" w14:textId="77777777" w:rsidR="006C63BF" w:rsidRDefault="006C63BF" w:rsidP="006C63BF">
      <w:pPr>
        <w:pStyle w:val="EBBodyPara"/>
        <w:keepNext/>
      </w:pPr>
    </w:p>
    <w:p w14:paraId="09F4943F" w14:textId="77777777" w:rsidR="006C63BF" w:rsidRDefault="006C63BF" w:rsidP="006C63BF">
      <w:pPr>
        <w:pStyle w:val="EBBodyPara"/>
      </w:pPr>
      <w:r>
        <w:t xml:space="preserve">This shows the various different outcomes from a collision and the probability of the outcome occurring. There are three outcomes; no fatalities, a fatal impact and an evacuation of a ship. If the impact is fatal or there are no fatalities the provision of liferafts is irrelevant. As such this analysis only looks at when an evacuation occurs. </w:t>
      </w:r>
    </w:p>
    <w:p w14:paraId="06E7DEED" w14:textId="77777777" w:rsidR="006C63BF" w:rsidRDefault="006C63BF" w:rsidP="006C63BF">
      <w:pPr>
        <w:pStyle w:val="EBBodyPara"/>
      </w:pPr>
      <w:r>
        <w:t>A further event tree shows what happens when there is an evacuation and the chances of death:</w:t>
      </w:r>
    </w:p>
    <w:p w14:paraId="085FD9C1" w14:textId="77777777" w:rsidR="006C63BF" w:rsidRDefault="006C63BF" w:rsidP="006C63BF">
      <w:pPr>
        <w:pStyle w:val="EBBodyPara"/>
      </w:pPr>
      <w:r>
        <w:rPr>
          <w:noProof/>
        </w:rPr>
        <w:drawing>
          <wp:inline distT="0" distB="0" distL="0" distR="0" wp14:anchorId="055EB5DF" wp14:editId="1D73D3CD">
            <wp:extent cx="6565900" cy="2222500"/>
            <wp:effectExtent l="0" t="0" r="0" b="2540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603188AB" w14:textId="77777777" w:rsidR="006C63BF" w:rsidRDefault="006C63BF" w:rsidP="006C63BF">
      <w:pPr>
        <w:pStyle w:val="EBBodyPara"/>
      </w:pPr>
      <w:r>
        <w:t xml:space="preserve">This shows four outcomes, trapped inside the ship, drowning, rescue from water and dry rescue (from the boat). For this measure it is assumed the provision of liferafts will not affect deaths by being trapped inside. In </w:t>
      </w:r>
      <w:r w:rsidR="004B2C12">
        <w:t>addition,</w:t>
      </w:r>
      <w:r>
        <w:t xml:space="preserve"> if you are rescued from the water, you may gain value from being in a liferaft but there is no change in surviving rates. This measure therefore only takes into account lives that could be saved from a liferaft avoiding drowning. </w:t>
      </w:r>
    </w:p>
    <w:p w14:paraId="6754F3DE" w14:textId="77777777" w:rsidR="006C63BF" w:rsidRDefault="006C63BF" w:rsidP="006C63BF">
      <w:pPr>
        <w:pStyle w:val="EBBodyPara"/>
        <w:keepNext/>
      </w:pPr>
    </w:p>
    <w:sectPr w:rsidR="006C63BF" w:rsidSect="00AC3587">
      <w:footnotePr>
        <w:numRestart w:val="eachSect"/>
      </w:footnotePr>
      <w:pgSz w:w="11907" w:h="16840" w:code="9"/>
      <w:pgMar w:top="680" w:right="680" w:bottom="680" w:left="680" w:header="284" w:footer="28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98D50" w14:textId="77777777" w:rsidR="009B01FB" w:rsidRDefault="009B01FB">
      <w:r>
        <w:separator/>
      </w:r>
    </w:p>
    <w:p w14:paraId="71BEEC75" w14:textId="77777777" w:rsidR="009B01FB" w:rsidRDefault="009B01FB"/>
  </w:endnote>
  <w:endnote w:type="continuationSeparator" w:id="0">
    <w:p w14:paraId="53D4EE09" w14:textId="77777777" w:rsidR="009B01FB" w:rsidRDefault="009B01FB">
      <w:r>
        <w:continuationSeparator/>
      </w:r>
    </w:p>
    <w:p w14:paraId="2ABCB313" w14:textId="77777777" w:rsidR="009B01FB" w:rsidRDefault="009B01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86A3" w14:textId="77777777" w:rsidR="009B01FB" w:rsidRPr="00EB43FD" w:rsidRDefault="009B01FB" w:rsidP="00475400">
    <w:pPr>
      <w:pStyle w:val="Footer"/>
      <w:tabs>
        <w:tab w:val="clear" w:pos="5132"/>
        <w:tab w:val="clear" w:pos="10260"/>
        <w:tab w:val="center" w:pos="5245"/>
        <w:tab w:val="right" w:pos="10490"/>
      </w:tabs>
    </w:pPr>
    <w:r w:rsidRPr="00EB43FD">
      <w:rPr>
        <w:rStyle w:val="PageNumber"/>
        <w:rFonts w:eastAsia="SimSun"/>
        <w:b w:val="0"/>
        <w:szCs w:val="18"/>
      </w:rPr>
      <w:fldChar w:fldCharType="begin"/>
    </w:r>
    <w:r w:rsidRPr="00EB43FD">
      <w:rPr>
        <w:rStyle w:val="PageNumber"/>
        <w:rFonts w:eastAsia="SimSun"/>
        <w:b w:val="0"/>
        <w:szCs w:val="18"/>
      </w:rPr>
      <w:instrText xml:space="preserve"> PAGE </w:instrText>
    </w:r>
    <w:r w:rsidRPr="00EB43FD">
      <w:rPr>
        <w:rStyle w:val="PageNumber"/>
        <w:rFonts w:eastAsia="SimSun"/>
        <w:b w:val="0"/>
        <w:szCs w:val="18"/>
      </w:rPr>
      <w:fldChar w:fldCharType="separate"/>
    </w:r>
    <w:r w:rsidR="00816133">
      <w:rPr>
        <w:rStyle w:val="PageNumber"/>
        <w:rFonts w:eastAsia="SimSun"/>
        <w:b w:val="0"/>
        <w:noProof/>
        <w:szCs w:val="18"/>
      </w:rPr>
      <w:t>1</w:t>
    </w:r>
    <w:r w:rsidRPr="00EB43FD">
      <w:rPr>
        <w:rStyle w:val="PageNumber"/>
        <w:rFonts w:eastAsia="SimSun"/>
        <w:b w:val="0"/>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F1798" w14:textId="77777777" w:rsidR="009B01FB" w:rsidRDefault="009B01FB" w:rsidP="002F2E4B">
    <w:pPr>
      <w:pStyle w:val="Footer"/>
    </w:pPr>
    <w:r w:rsidRPr="00EB43FD">
      <w:rPr>
        <w:rStyle w:val="PageNumber"/>
        <w:b w:val="0"/>
        <w:szCs w:val="18"/>
      </w:rPr>
      <w:fldChar w:fldCharType="begin"/>
    </w:r>
    <w:r w:rsidRPr="00EB43FD">
      <w:rPr>
        <w:rStyle w:val="PageNumber"/>
        <w:b w:val="0"/>
        <w:szCs w:val="18"/>
      </w:rPr>
      <w:instrText xml:space="preserve"> PAGE </w:instrText>
    </w:r>
    <w:r w:rsidRPr="00EB43FD">
      <w:rPr>
        <w:rStyle w:val="PageNumber"/>
        <w:b w:val="0"/>
        <w:szCs w:val="18"/>
      </w:rPr>
      <w:fldChar w:fldCharType="separate"/>
    </w:r>
    <w:r w:rsidR="00816133">
      <w:rPr>
        <w:rStyle w:val="PageNumber"/>
        <w:b w:val="0"/>
        <w:noProof/>
        <w:szCs w:val="18"/>
      </w:rPr>
      <w:t>5</w:t>
    </w:r>
    <w:r w:rsidRPr="00EB43FD">
      <w:rPr>
        <w:rStyle w:val="PageNumber"/>
        <w:b w:val="0"/>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AAC7CE" w14:textId="77777777" w:rsidR="009B01FB" w:rsidRDefault="009B01FB">
      <w:r>
        <w:separator/>
      </w:r>
    </w:p>
    <w:p w14:paraId="1BC01C2E" w14:textId="77777777" w:rsidR="009B01FB" w:rsidRDefault="009B01FB"/>
  </w:footnote>
  <w:footnote w:type="continuationSeparator" w:id="0">
    <w:p w14:paraId="5D582AB1" w14:textId="77777777" w:rsidR="009B01FB" w:rsidRDefault="009B01FB">
      <w:r>
        <w:continuationSeparator/>
      </w:r>
    </w:p>
    <w:p w14:paraId="1A6ABC11" w14:textId="77777777" w:rsidR="009B01FB" w:rsidRDefault="009B01FB"/>
  </w:footnote>
  <w:footnote w:id="1">
    <w:p w14:paraId="034B6AA0" w14:textId="77777777" w:rsidR="009B01FB" w:rsidRPr="00E25E83" w:rsidRDefault="009B01FB" w:rsidP="00AC3587">
      <w:pPr>
        <w:pStyle w:val="FootnoteText"/>
        <w:rPr>
          <w:bCs/>
        </w:rPr>
      </w:pPr>
      <w:r>
        <w:rPr>
          <w:rStyle w:val="FootnoteReference"/>
        </w:rPr>
        <w:footnoteRef/>
      </w:r>
      <w:r>
        <w:t xml:space="preserve"> </w:t>
      </w:r>
      <w:r>
        <w:rPr>
          <w:bCs/>
        </w:rPr>
        <w:t>T</w:t>
      </w:r>
      <w:r w:rsidRPr="00E25E83">
        <w:rPr>
          <w:bCs/>
        </w:rPr>
        <w:t xml:space="preserve">hose pertinent to </w:t>
      </w:r>
      <w:r>
        <w:rPr>
          <w:bCs/>
        </w:rPr>
        <w:t>this assessment</w:t>
      </w:r>
      <w:r w:rsidRPr="00E25E83">
        <w:rPr>
          <w:bCs/>
        </w:rPr>
        <w:t xml:space="preserve"> are:</w:t>
      </w:r>
    </w:p>
    <w:p w14:paraId="7F461CF1" w14:textId="77777777" w:rsidR="009B01FB" w:rsidRPr="00E25E83" w:rsidRDefault="009B01FB" w:rsidP="00AC3587">
      <w:pPr>
        <w:pStyle w:val="FootnoteText"/>
        <w:numPr>
          <w:ilvl w:val="0"/>
          <w:numId w:val="27"/>
        </w:numPr>
        <w:rPr>
          <w:bCs/>
        </w:rPr>
      </w:pPr>
      <w:r w:rsidRPr="00E25E83">
        <w:rPr>
          <w:bCs/>
        </w:rPr>
        <w:t>The Merchant Shipping (Fire Protection: Small Ships) Regulations 1998, as amended (SI 1998/1011) (Merchant Shipping Notices (MSN) 1665(M), 1666(M), 1667(M), 1668(M),1669(M) and 1670(M));</w:t>
      </w:r>
    </w:p>
    <w:p w14:paraId="3FD138D2" w14:textId="77777777" w:rsidR="009B01FB" w:rsidRPr="00E25E83" w:rsidRDefault="009B01FB" w:rsidP="00AC3587">
      <w:pPr>
        <w:pStyle w:val="FootnoteText"/>
        <w:numPr>
          <w:ilvl w:val="0"/>
          <w:numId w:val="27"/>
        </w:numPr>
        <w:rPr>
          <w:bCs/>
        </w:rPr>
      </w:pPr>
      <w:r w:rsidRPr="00E25E83">
        <w:rPr>
          <w:bCs/>
        </w:rPr>
        <w:t>The Merchant Shipping (Passenger Ship Construction: Ships of Classes III to VI(A)) Regulations 1998, as amended (SI 1998/2515) (MSN 1699(M));</w:t>
      </w:r>
    </w:p>
    <w:p w14:paraId="587DB704" w14:textId="77777777" w:rsidR="009B01FB" w:rsidRPr="00E25E83" w:rsidRDefault="009B01FB" w:rsidP="00AC3587">
      <w:pPr>
        <w:pStyle w:val="FootnoteText"/>
        <w:numPr>
          <w:ilvl w:val="0"/>
          <w:numId w:val="27"/>
        </w:numPr>
        <w:rPr>
          <w:bCs/>
        </w:rPr>
      </w:pPr>
      <w:r w:rsidRPr="00E25E83">
        <w:rPr>
          <w:bCs/>
        </w:rPr>
        <w:t>The Merchant Shipping (Life-Saving Appliances for Passenger Ships of Classes III to VI(A)) Regulations 1999, as amended (SI 1999/2723) (MSN 1676(M));</w:t>
      </w:r>
    </w:p>
  </w:footnote>
  <w:footnote w:id="2">
    <w:p w14:paraId="69E2EF6A" w14:textId="77777777" w:rsidR="009B01FB" w:rsidRDefault="009B01FB" w:rsidP="00AC3587">
      <w:pPr>
        <w:pStyle w:val="FootnoteText"/>
      </w:pPr>
      <w:r>
        <w:rPr>
          <w:rStyle w:val="FootnoteReference"/>
        </w:rPr>
        <w:footnoteRef/>
      </w:r>
      <w:r>
        <w:t xml:space="preserve"> </w:t>
      </w:r>
      <w:r w:rsidRPr="008426E0">
        <w:t>Merchant Shipping (Passenger Ship Construction) Regulations 1980 and the Merchant Shipping (Passenger Ship Construction and Survey) Regulations 1984</w:t>
      </w:r>
      <w:r>
        <w:t>.</w:t>
      </w:r>
    </w:p>
  </w:footnote>
  <w:footnote w:id="3">
    <w:p w14:paraId="4207A2FA" w14:textId="77777777" w:rsidR="009B01FB" w:rsidRDefault="009B01FB" w:rsidP="00AC3587">
      <w:pPr>
        <w:pStyle w:val="FootnoteText"/>
      </w:pPr>
      <w:r>
        <w:rPr>
          <w:rStyle w:val="FootnoteReference"/>
        </w:rPr>
        <w:footnoteRef/>
      </w:r>
      <w:r>
        <w:t xml:space="preserve"> These are:</w:t>
      </w:r>
    </w:p>
    <w:p w14:paraId="3A04391F" w14:textId="77777777" w:rsidR="009B01FB" w:rsidRPr="00E25E83" w:rsidRDefault="009B01FB" w:rsidP="00AC3587">
      <w:pPr>
        <w:pStyle w:val="FootnoteText"/>
        <w:numPr>
          <w:ilvl w:val="0"/>
          <w:numId w:val="26"/>
        </w:numPr>
        <w:rPr>
          <w:bCs/>
        </w:rPr>
      </w:pPr>
      <w:r w:rsidRPr="00E25E83">
        <w:rPr>
          <w:bCs/>
        </w:rPr>
        <w:t>Directive 2009/45/EC of the European Parliament and of the Council on safety rules and standards for passenger ships</w:t>
      </w:r>
      <w:r>
        <w:rPr>
          <w:bCs/>
        </w:rPr>
        <w:t xml:space="preserve"> as amended by Directives 2010/36 and 2016/844</w:t>
      </w:r>
    </w:p>
    <w:p w14:paraId="4F102E1B" w14:textId="77777777" w:rsidR="009B01FB" w:rsidRPr="00E25E83" w:rsidRDefault="009B01FB" w:rsidP="00AC3587">
      <w:pPr>
        <w:pStyle w:val="FootnoteText"/>
        <w:numPr>
          <w:ilvl w:val="0"/>
          <w:numId w:val="26"/>
        </w:numPr>
        <w:rPr>
          <w:bCs/>
        </w:rPr>
      </w:pPr>
      <w:r w:rsidRPr="00E25E83">
        <w:rPr>
          <w:bCs/>
        </w:rPr>
        <w:t>Safety Code for Passenger Ships Operating Solely in UK Categorised Waters (MSN 1823)</w:t>
      </w:r>
      <w:r>
        <w:rPr>
          <w:bCs/>
        </w:rPr>
        <w:t xml:space="preserve"> Edition 2</w:t>
      </w:r>
    </w:p>
    <w:p w14:paraId="3AC5A577" w14:textId="77777777" w:rsidR="009B01FB" w:rsidRPr="00E25E83" w:rsidRDefault="009B01FB" w:rsidP="00AC3587">
      <w:pPr>
        <w:pStyle w:val="FootnoteText"/>
        <w:numPr>
          <w:ilvl w:val="0"/>
          <w:numId w:val="26"/>
        </w:numPr>
        <w:rPr>
          <w:bCs/>
        </w:rPr>
      </w:pPr>
      <w:r w:rsidRPr="00E25E83">
        <w:rPr>
          <w:bCs/>
        </w:rPr>
        <w:t xml:space="preserve">Small Seagoing Passenger Ship Code </w:t>
      </w:r>
    </w:p>
  </w:footnote>
  <w:footnote w:id="4">
    <w:p w14:paraId="0B602E4F" w14:textId="6669BD96" w:rsidR="009B01FB" w:rsidRDefault="009B01FB">
      <w:pPr>
        <w:pStyle w:val="FootnoteText"/>
      </w:pPr>
      <w:r>
        <w:rPr>
          <w:rStyle w:val="FootnoteReference"/>
        </w:rPr>
        <w:footnoteRef/>
      </w:r>
      <w:r>
        <w:t xml:space="preserve"> Post -damage survivability is the ability for a vessel to stay afloat following damage. </w:t>
      </w:r>
    </w:p>
  </w:footnote>
  <w:footnote w:id="5">
    <w:p w14:paraId="5B41A87E" w14:textId="77777777" w:rsidR="009B01FB" w:rsidRDefault="009B01FB" w:rsidP="00AD6588">
      <w:pPr>
        <w:pStyle w:val="FootnoteText"/>
      </w:pPr>
      <w:r>
        <w:rPr>
          <w:rStyle w:val="FootnoteReference"/>
        </w:rPr>
        <w:footnoteRef/>
      </w:r>
      <w:r>
        <w:t xml:space="preserve"> See annex </w:t>
      </w:r>
      <w:r w:rsidRPr="00D3313F">
        <w:t>B</w:t>
      </w:r>
      <w:r>
        <w:t xml:space="preserve"> for full definitions of the different categories of water.</w:t>
      </w:r>
    </w:p>
  </w:footnote>
  <w:footnote w:id="6">
    <w:p w14:paraId="2BC77FE3" w14:textId="77777777" w:rsidR="009B01FB" w:rsidRDefault="009B01FB" w:rsidP="00F67902">
      <w:pPr>
        <w:pStyle w:val="FootnoteText"/>
      </w:pPr>
      <w:r>
        <w:rPr>
          <w:rStyle w:val="FootnoteReference"/>
        </w:rPr>
        <w:footnoteRef/>
      </w:r>
      <w:r>
        <w:t xml:space="preserve"> For more information on the FSA see section </w:t>
      </w:r>
      <w:r w:rsidRPr="00F67902">
        <w:fldChar w:fldCharType="begin"/>
      </w:r>
      <w:r w:rsidRPr="00F67902">
        <w:instrText xml:space="preserve"> REF _Ref491165207 \r \h </w:instrText>
      </w:r>
      <w:r>
        <w:instrText xml:space="preserve"> \* MERGEFORMAT </w:instrText>
      </w:r>
      <w:r w:rsidRPr="00F67902">
        <w:fldChar w:fldCharType="separate"/>
      </w:r>
      <w:r w:rsidR="00742166">
        <w:t>1.2</w:t>
      </w:r>
      <w:r w:rsidRPr="00F67902">
        <w:fldChar w:fldCharType="end"/>
      </w:r>
      <w:r>
        <w:t>.</w:t>
      </w:r>
    </w:p>
  </w:footnote>
  <w:footnote w:id="7">
    <w:p w14:paraId="1F820068" w14:textId="77777777" w:rsidR="009B01FB" w:rsidRDefault="009B01FB">
      <w:pPr>
        <w:pStyle w:val="FootnoteText"/>
      </w:pPr>
      <w:r>
        <w:rPr>
          <w:rStyle w:val="FootnoteReference"/>
        </w:rPr>
        <w:footnoteRef/>
      </w:r>
      <w:r>
        <w:t xml:space="preserve"> WebTAG TAG data book, May 2018 – Unit A4.1.1, </w:t>
      </w:r>
      <w:r w:rsidRPr="00E642D5">
        <w:t>https://www.gov.uk/government/publications/webtag-tag-data-book-may-2018</w:t>
      </w:r>
    </w:p>
  </w:footnote>
  <w:footnote w:id="8">
    <w:p w14:paraId="5956608F" w14:textId="77777777" w:rsidR="009B01FB" w:rsidRDefault="009B01FB">
      <w:pPr>
        <w:pStyle w:val="FootnoteText"/>
      </w:pPr>
      <w:r>
        <w:rPr>
          <w:rStyle w:val="FootnoteReference"/>
        </w:rPr>
        <w:footnoteRef/>
      </w:r>
      <w:r>
        <w:t xml:space="preserve"> WebTAG TAG data book, May 2018 – Annual Parameters (originally from OBR), </w:t>
      </w:r>
      <w:r w:rsidRPr="00E642D5">
        <w:t>https://www.gov.uk/government/publications/webtag-tag-data-book-may-2018</w:t>
      </w:r>
    </w:p>
  </w:footnote>
  <w:footnote w:id="9">
    <w:p w14:paraId="09C73B8C" w14:textId="77777777" w:rsidR="009B01FB" w:rsidRDefault="009B01FB" w:rsidP="00E74924">
      <w:pPr>
        <w:pStyle w:val="FootnoteText"/>
      </w:pPr>
      <w:r>
        <w:rPr>
          <w:rStyle w:val="FootnoteReference"/>
        </w:rPr>
        <w:footnoteRef/>
      </w:r>
      <w:r>
        <w:t xml:space="preserve"> http://completeguide.rnli.org/lifejackets.html</w:t>
      </w:r>
    </w:p>
  </w:footnote>
  <w:footnote w:id="10">
    <w:p w14:paraId="18726FB1" w14:textId="77777777" w:rsidR="009B01FB" w:rsidRDefault="009B01FB" w:rsidP="00B8185D">
      <w:pPr>
        <w:pStyle w:val="FootnoteText"/>
      </w:pPr>
      <w:r>
        <w:rPr>
          <w:rStyle w:val="FootnoteReference"/>
        </w:rPr>
        <w:footnoteRef/>
      </w:r>
      <w:r>
        <w:t>https://www.gov.uk/maib-reports/fire-in-engine-room-on-tug-sd-dexterous-off-gareloch-scotland</w:t>
      </w:r>
    </w:p>
  </w:footnote>
  <w:footnote w:id="11">
    <w:p w14:paraId="7933A8F2" w14:textId="77777777" w:rsidR="009B01FB" w:rsidRDefault="009B01FB" w:rsidP="00B8185D">
      <w:pPr>
        <w:pStyle w:val="FootnoteText"/>
      </w:pPr>
      <w:r>
        <w:rPr>
          <w:rStyle w:val="FootnoteReference"/>
        </w:rPr>
        <w:footnoteRef/>
      </w:r>
      <w:r>
        <w:t>https://www.gov.uk/maib-reports/fire-in-engine-room-of-wind-farm-workboat-windcat-3-in-the-solway-firth-scotland</w:t>
      </w:r>
    </w:p>
  </w:footnote>
  <w:footnote w:id="12">
    <w:p w14:paraId="4DE54F56" w14:textId="77777777" w:rsidR="009B01FB" w:rsidRDefault="009B01FB" w:rsidP="00B8185D">
      <w:pPr>
        <w:pStyle w:val="FootnoteText"/>
      </w:pPr>
      <w:r>
        <w:rPr>
          <w:rStyle w:val="FootnoteReference"/>
        </w:rPr>
        <w:footnoteRef/>
      </w:r>
      <w:r>
        <w:t>https://www.gov.uk/maib-reports/fire-in-engine-room-of-general-cargo-vessel-saline-while-in-the-approaches-to-the-humber-estuary-england</w:t>
      </w:r>
    </w:p>
  </w:footnote>
  <w:footnote w:id="13">
    <w:p w14:paraId="71218728" w14:textId="77777777" w:rsidR="009B01FB" w:rsidRDefault="009B01FB" w:rsidP="00B8185D">
      <w:pPr>
        <w:pStyle w:val="FootnoteText"/>
      </w:pPr>
      <w:r>
        <w:rPr>
          <w:rStyle w:val="FootnoteReference"/>
        </w:rPr>
        <w:footnoteRef/>
      </w:r>
      <w:r>
        <w:t>https://www.gov.uk/maib-reports/fire-in-engine-room-of-twin-rig-prawn-stern-trawler-amy-harris-iii-off-the-isle-of-arran-scotland</w:t>
      </w:r>
    </w:p>
  </w:footnote>
  <w:footnote w:id="14">
    <w:p w14:paraId="2E4AFF78" w14:textId="77777777" w:rsidR="009B01FB" w:rsidRDefault="009B01FB" w:rsidP="00F06550">
      <w:pPr>
        <w:pStyle w:val="FootnoteText"/>
      </w:pPr>
      <w:r>
        <w:rPr>
          <w:rStyle w:val="FootnoteReference"/>
        </w:rPr>
        <w:footnoteRef/>
      </w:r>
      <w:r>
        <w:t xml:space="preserve"> https://www.gov.uk/maib-reports/fire-in-engine-room-and-subsequent-abandonment-of-twin-rig-trawler-denarius-83-miles-off-kinnaird-head-scotland</w:t>
      </w:r>
    </w:p>
  </w:footnote>
  <w:footnote w:id="15">
    <w:p w14:paraId="0E3774D7" w14:textId="77777777" w:rsidR="009B01FB" w:rsidRDefault="009B01FB" w:rsidP="00F06550">
      <w:pPr>
        <w:pStyle w:val="FootnoteText"/>
      </w:pPr>
      <w:r>
        <w:rPr>
          <w:rStyle w:val="FootnoteReference"/>
        </w:rPr>
        <w:footnoteRef/>
      </w:r>
      <w:r>
        <w:t xml:space="preserve"> https://www.gov.uk/maib-reports/fire-in-engine-room-on-pilot-boat-haven-hawk-south-east-of-harwich-england</w:t>
      </w:r>
    </w:p>
  </w:footnote>
  <w:footnote w:id="16">
    <w:p w14:paraId="008A1235" w14:textId="77777777" w:rsidR="009B01FB" w:rsidRDefault="009B01FB" w:rsidP="00F06550">
      <w:pPr>
        <w:pStyle w:val="FootnoteText"/>
      </w:pPr>
      <w:r>
        <w:rPr>
          <w:rStyle w:val="FootnoteReference"/>
        </w:rPr>
        <w:footnoteRef/>
      </w:r>
      <w:r>
        <w:t xml:space="preserve"> https://assets.publishing.service.gov.uk/media/547c70e6ed915d4c100000c1/pride-of-bath.pdf</w:t>
      </w:r>
    </w:p>
  </w:footnote>
  <w:footnote w:id="17">
    <w:p w14:paraId="4BE93446" w14:textId="77777777" w:rsidR="009B01FB" w:rsidRDefault="009B01FB" w:rsidP="00F06550">
      <w:pPr>
        <w:pStyle w:val="FootnoteText"/>
      </w:pPr>
      <w:r>
        <w:rPr>
          <w:rStyle w:val="FootnoteReference"/>
        </w:rPr>
        <w:footnoteRef/>
      </w:r>
      <w:r>
        <w:t>https://www.gov.uk/maib-reports/flooding-of-charter-fishing-vessel-random-harvest-off-brighton-england</w:t>
      </w:r>
    </w:p>
  </w:footnote>
  <w:footnote w:id="18">
    <w:p w14:paraId="4C874409" w14:textId="77777777" w:rsidR="009B01FB" w:rsidRDefault="009B01FB" w:rsidP="00F06550">
      <w:pPr>
        <w:pStyle w:val="FootnoteText"/>
      </w:pPr>
      <w:r>
        <w:rPr>
          <w:rStyle w:val="FootnoteReference"/>
        </w:rPr>
        <w:footnoteRef/>
      </w:r>
      <w:r>
        <w:t>https://www.gov.uk/maib-reports/grounding-and-evacuation-of-domestic-passenger-vessel-surprise</w:t>
      </w:r>
    </w:p>
  </w:footnote>
  <w:footnote w:id="19">
    <w:p w14:paraId="7C49F411" w14:textId="77777777" w:rsidR="009B01FB" w:rsidRDefault="009B01FB" w:rsidP="00F06550">
      <w:pPr>
        <w:pStyle w:val="FootnoteText"/>
      </w:pPr>
      <w:r>
        <w:rPr>
          <w:rStyle w:val="FootnoteReference"/>
        </w:rPr>
        <w:footnoteRef/>
      </w:r>
      <w:r>
        <w:t>https://www.gov.uk/maib-reports/contact-made-by-passenger-vessel-millennium-city-with-westminster-bridge-river-thames-england</w:t>
      </w:r>
    </w:p>
  </w:footnote>
  <w:footnote w:id="20">
    <w:p w14:paraId="3C253879" w14:textId="77777777" w:rsidR="009B01FB" w:rsidRDefault="009B01FB" w:rsidP="00F06550">
      <w:pPr>
        <w:pStyle w:val="FootnoteText"/>
      </w:pPr>
      <w:r>
        <w:rPr>
          <w:rStyle w:val="FootnoteReference"/>
        </w:rPr>
        <w:footnoteRef/>
      </w:r>
      <w:r>
        <w:t>https://www.gov.uk/maib-reports/sinking-of-small-passenger-ferry-vixen-in-ardlui-marina-loch-lomond-scotland</w:t>
      </w:r>
    </w:p>
  </w:footnote>
  <w:footnote w:id="21">
    <w:p w14:paraId="7AF43D04" w14:textId="77777777" w:rsidR="009B01FB" w:rsidRDefault="009B01FB" w:rsidP="00F06550">
      <w:pPr>
        <w:pStyle w:val="FootnoteText"/>
      </w:pPr>
      <w:r>
        <w:rPr>
          <w:rStyle w:val="FootnoteReference"/>
        </w:rPr>
        <w:footnoteRef/>
      </w:r>
      <w:r>
        <w:t>https://www.gov.uk/maib-reports/flooding-and-sinking-of-seine-netter-neptune-off-the-shetland-isles-scotland</w:t>
      </w:r>
    </w:p>
  </w:footnote>
  <w:footnote w:id="22">
    <w:p w14:paraId="06D5B21A" w14:textId="77777777" w:rsidR="009B01FB" w:rsidRDefault="009B01FB" w:rsidP="00F06550">
      <w:pPr>
        <w:pStyle w:val="FootnoteText"/>
      </w:pPr>
      <w:r>
        <w:rPr>
          <w:rStyle w:val="FootnoteReference"/>
        </w:rPr>
        <w:footnoteRef/>
      </w:r>
      <w:r>
        <w:t>https://assets.publishing.service.gov.uk/media/547c7111ed915d4c0d0000f7/vertrauen.pdf</w:t>
      </w:r>
    </w:p>
  </w:footnote>
  <w:footnote w:id="23">
    <w:p w14:paraId="4F1E356F" w14:textId="77777777" w:rsidR="009B01FB" w:rsidRDefault="009B01FB" w:rsidP="00F06550">
      <w:pPr>
        <w:pStyle w:val="FootnoteText"/>
      </w:pPr>
      <w:r>
        <w:rPr>
          <w:rStyle w:val="FootnoteReference"/>
        </w:rPr>
        <w:footnoteRef/>
      </w:r>
      <w:r>
        <w:t>https://www.gov.uk/maib-reports/flooding-of-charter-fishing-vessel-random-harvest-off-brighton-england</w:t>
      </w:r>
    </w:p>
  </w:footnote>
  <w:footnote w:id="24">
    <w:p w14:paraId="54F4C0AF" w14:textId="77777777" w:rsidR="009B01FB" w:rsidRDefault="009B01FB" w:rsidP="00F06550">
      <w:pPr>
        <w:pStyle w:val="FootnoteText"/>
      </w:pPr>
      <w:r>
        <w:rPr>
          <w:rStyle w:val="FootnoteReference"/>
        </w:rPr>
        <w:footnoteRef/>
      </w:r>
      <w:r>
        <w:t>https://www.gov.uk/maib-reports/flooding-and-sinking-of-grab-hopper-dredger-abigail-h-while-alongside-at-the-port-of-heysham-england</w:t>
      </w:r>
    </w:p>
  </w:footnote>
  <w:footnote w:id="25">
    <w:p w14:paraId="4C90DFDA" w14:textId="77777777" w:rsidR="009B01FB" w:rsidRDefault="009B01FB" w:rsidP="00F06550">
      <w:pPr>
        <w:pStyle w:val="FootnoteText"/>
      </w:pPr>
      <w:r>
        <w:rPr>
          <w:rStyle w:val="FootnoteReference"/>
        </w:rPr>
        <w:footnoteRef/>
      </w:r>
      <w:r>
        <w:t xml:space="preserve"> Prepared by MAIB for MCA 25 September 2017</w:t>
      </w:r>
    </w:p>
  </w:footnote>
  <w:footnote w:id="26">
    <w:p w14:paraId="6CE885B6" w14:textId="77777777" w:rsidR="009B01FB" w:rsidRDefault="009B01FB" w:rsidP="00F06550">
      <w:pPr>
        <w:pStyle w:val="FootnoteText"/>
      </w:pPr>
      <w:r>
        <w:rPr>
          <w:rStyle w:val="FootnoteReference"/>
        </w:rPr>
        <w:footnoteRef/>
      </w:r>
      <w:r>
        <w:t xml:space="preserve"> https://assets.publishing.service.gov.uk/media/55c3108aed915d534600000c/MAIBInvReport-18_2015.pdf</w:t>
      </w:r>
    </w:p>
  </w:footnote>
  <w:footnote w:id="27">
    <w:p w14:paraId="2F5E76F4" w14:textId="77777777" w:rsidR="009B01FB" w:rsidRDefault="009B01FB" w:rsidP="000E564B">
      <w:pPr>
        <w:pStyle w:val="FootnoteText"/>
      </w:pPr>
      <w:r>
        <w:rPr>
          <w:rStyle w:val="FootnoteReference"/>
        </w:rPr>
        <w:footnoteRef/>
      </w:r>
      <w:r>
        <w:t xml:space="preserve"> </w:t>
      </w:r>
      <w:r w:rsidRPr="00102A18">
        <w:t>http://cdn.budgetresponsibility.org.uk/Nov2017EFOwebversion-</w:t>
      </w:r>
      <w:r>
        <w:t>2.pdf, Up to 2022 and Web</w:t>
      </w:r>
      <w:r w:rsidRPr="00102A18">
        <w:t>TAG 2022-2066  from OBR FSR Jan 17, table 1.1, published 17/01/2017 (adjustment made to convert from FY to CY), from 2023- 2027</w:t>
      </w:r>
    </w:p>
  </w:footnote>
  <w:footnote w:id="28">
    <w:p w14:paraId="793F8B3D" w14:textId="2B99759F" w:rsidR="009B01FB" w:rsidRDefault="009B01FB">
      <w:pPr>
        <w:pStyle w:val="FootnoteText"/>
      </w:pPr>
      <w:r>
        <w:rPr>
          <w:rStyle w:val="FootnoteReference"/>
        </w:rPr>
        <w:footnoteRef/>
      </w:r>
      <w:r>
        <w:t xml:space="preserve"> See </w:t>
      </w:r>
      <w:r>
        <w:fldChar w:fldCharType="begin"/>
      </w:r>
      <w:r>
        <w:instrText xml:space="preserve"> REF _Ref518990559 \r \h </w:instrText>
      </w:r>
      <w:r>
        <w:fldChar w:fldCharType="separate"/>
      </w:r>
      <w:r w:rsidR="00742166">
        <w:t>10.2.1.1</w:t>
      </w:r>
      <w:r>
        <w:fldChar w:fldCharType="end"/>
      </w:r>
      <w:r>
        <w:t xml:space="preserve">, </w:t>
      </w:r>
      <w:r>
        <w:fldChar w:fldCharType="begin"/>
      </w:r>
      <w:r>
        <w:instrText xml:space="preserve"> REF _Ref518990570 \r \h </w:instrText>
      </w:r>
      <w:r>
        <w:fldChar w:fldCharType="separate"/>
      </w:r>
      <w:r w:rsidR="00742166">
        <w:t>10.2.2.1</w:t>
      </w:r>
      <w:r>
        <w:fldChar w:fldCharType="end"/>
      </w:r>
      <w:r>
        <w:t xml:space="preserve">, </w:t>
      </w:r>
      <w:r>
        <w:fldChar w:fldCharType="begin"/>
      </w:r>
      <w:r>
        <w:instrText xml:space="preserve"> REF _Ref518990578 \r \h </w:instrText>
      </w:r>
      <w:r>
        <w:fldChar w:fldCharType="separate"/>
      </w:r>
      <w:r w:rsidR="00742166">
        <w:t>10.2.3.1</w:t>
      </w:r>
      <w:r>
        <w:fldChar w:fldCharType="end"/>
      </w:r>
      <w:r>
        <w:t xml:space="preserve">, </w:t>
      </w:r>
      <w:r>
        <w:fldChar w:fldCharType="begin"/>
      </w:r>
      <w:r>
        <w:instrText xml:space="preserve"> REF _Ref518990582 \r \h </w:instrText>
      </w:r>
      <w:r>
        <w:fldChar w:fldCharType="separate"/>
      </w:r>
      <w:r w:rsidR="00742166">
        <w:t>10.2.4.1</w:t>
      </w:r>
      <w:r>
        <w:fldChar w:fldCharType="end"/>
      </w:r>
      <w:r>
        <w:t xml:space="preserve">, </w:t>
      </w:r>
      <w:r>
        <w:fldChar w:fldCharType="begin"/>
      </w:r>
      <w:r>
        <w:instrText xml:space="preserve"> REF _Ref518990586 \r \h </w:instrText>
      </w:r>
      <w:r>
        <w:fldChar w:fldCharType="separate"/>
      </w:r>
      <w:r w:rsidR="00742166">
        <w:t>10.2.5.1</w:t>
      </w:r>
      <w:r>
        <w:fldChar w:fldCharType="end"/>
      </w:r>
      <w:r>
        <w:t xml:space="preserve">, </w:t>
      </w:r>
      <w:r>
        <w:fldChar w:fldCharType="begin"/>
      </w:r>
      <w:r>
        <w:instrText xml:space="preserve"> REF _Ref518990590 \r \h </w:instrText>
      </w:r>
      <w:r>
        <w:fldChar w:fldCharType="separate"/>
      </w:r>
      <w:r w:rsidR="00742166">
        <w:t>10.2.6.1</w:t>
      </w:r>
      <w:r>
        <w:fldChar w:fldCharType="end"/>
      </w:r>
      <w:r>
        <w:t xml:space="preserve">, </w:t>
      </w:r>
      <w:r>
        <w:fldChar w:fldCharType="begin"/>
      </w:r>
      <w:r>
        <w:instrText xml:space="preserve"> REF _Ref518990598 \r \h </w:instrText>
      </w:r>
      <w:r>
        <w:fldChar w:fldCharType="separate"/>
      </w:r>
      <w:r w:rsidR="00742166">
        <w:t>10.2.8.1</w:t>
      </w:r>
      <w:r>
        <w:fldChar w:fldCharType="end"/>
      </w:r>
      <w:r>
        <w:t xml:space="preserve">, </w:t>
      </w:r>
      <w:r>
        <w:fldChar w:fldCharType="begin"/>
      </w:r>
      <w:r>
        <w:instrText xml:space="preserve"> REF _Ref518990601 \r \h </w:instrText>
      </w:r>
      <w:r>
        <w:fldChar w:fldCharType="separate"/>
      </w:r>
      <w:r w:rsidR="00742166">
        <w:t>10.2.9.1</w:t>
      </w:r>
      <w:r>
        <w:fldChar w:fldCharType="end"/>
      </w:r>
      <w:r>
        <w:t xml:space="preserve">, </w:t>
      </w:r>
      <w:r>
        <w:fldChar w:fldCharType="begin"/>
      </w:r>
      <w:r>
        <w:instrText xml:space="preserve"> REF _Ref518990605 \r \h </w:instrText>
      </w:r>
      <w:r>
        <w:fldChar w:fldCharType="separate"/>
      </w:r>
      <w:r w:rsidR="00742166">
        <w:t>10.2.10.1</w:t>
      </w:r>
      <w:r>
        <w:fldChar w:fldCharType="end"/>
      </w:r>
      <w:r>
        <w:t xml:space="preserve">, </w:t>
      </w:r>
      <w:r>
        <w:fldChar w:fldCharType="begin"/>
      </w:r>
      <w:r>
        <w:instrText xml:space="preserve"> REF _Ref513657379 \r \h </w:instrText>
      </w:r>
      <w:r>
        <w:fldChar w:fldCharType="separate"/>
      </w:r>
      <w:r w:rsidR="00742166">
        <w:t>10.2.11</w:t>
      </w:r>
      <w:r>
        <w:fldChar w:fldCharType="end"/>
      </w:r>
      <w:r>
        <w:t xml:space="preserve"> for the calculation of the monetised costs that are included under both Option 1 and Option 2.</w:t>
      </w:r>
    </w:p>
  </w:footnote>
  <w:footnote w:id="29">
    <w:p w14:paraId="6FD86FF6" w14:textId="6B86F0E8" w:rsidR="009B01FB" w:rsidRDefault="009B01FB" w:rsidP="00845E91">
      <w:pPr>
        <w:pStyle w:val="FootnoteText"/>
      </w:pPr>
      <w:r>
        <w:rPr>
          <w:rStyle w:val="FootnoteReference"/>
        </w:rPr>
        <w:footnoteRef/>
      </w:r>
      <w:r>
        <w:t xml:space="preserve"> See </w:t>
      </w:r>
      <w:r>
        <w:fldChar w:fldCharType="begin"/>
      </w:r>
      <w:r>
        <w:instrText xml:space="preserve"> REF _Ref519064390 \r \h </w:instrText>
      </w:r>
      <w:r>
        <w:fldChar w:fldCharType="separate"/>
      </w:r>
      <w:r w:rsidR="00742166">
        <w:t>10.2.1.2</w:t>
      </w:r>
      <w:r>
        <w:fldChar w:fldCharType="end"/>
      </w:r>
      <w:r>
        <w:t xml:space="preserve">, </w:t>
      </w:r>
      <w:r>
        <w:fldChar w:fldCharType="begin"/>
      </w:r>
      <w:r>
        <w:instrText xml:space="preserve"> REF _Ref519064396 \r \h </w:instrText>
      </w:r>
      <w:r>
        <w:fldChar w:fldCharType="separate"/>
      </w:r>
      <w:r w:rsidR="00742166">
        <w:t>10.2.2.2</w:t>
      </w:r>
      <w:r>
        <w:fldChar w:fldCharType="end"/>
      </w:r>
      <w:r>
        <w:t xml:space="preserve">, </w:t>
      </w:r>
      <w:r>
        <w:fldChar w:fldCharType="begin"/>
      </w:r>
      <w:r>
        <w:instrText xml:space="preserve"> REF _Ref519064402 \r \h </w:instrText>
      </w:r>
      <w:r>
        <w:fldChar w:fldCharType="separate"/>
      </w:r>
      <w:r w:rsidR="00742166">
        <w:t>10.2.3.2</w:t>
      </w:r>
      <w:r>
        <w:fldChar w:fldCharType="end"/>
      </w:r>
      <w:r>
        <w:t xml:space="preserve">, </w:t>
      </w:r>
      <w:r>
        <w:fldChar w:fldCharType="begin"/>
      </w:r>
      <w:r>
        <w:instrText xml:space="preserve"> REF _Ref519064406 \r \h </w:instrText>
      </w:r>
      <w:r>
        <w:fldChar w:fldCharType="separate"/>
      </w:r>
      <w:r w:rsidR="00742166">
        <w:t>10.2.4.2</w:t>
      </w:r>
      <w:r>
        <w:fldChar w:fldCharType="end"/>
      </w:r>
      <w:r>
        <w:t xml:space="preserve">, </w:t>
      </w:r>
      <w:r>
        <w:fldChar w:fldCharType="begin"/>
      </w:r>
      <w:r>
        <w:instrText xml:space="preserve"> REF _Ref519064410 \r \h </w:instrText>
      </w:r>
      <w:r>
        <w:fldChar w:fldCharType="separate"/>
      </w:r>
      <w:r w:rsidR="00742166">
        <w:t>10.2.5.2</w:t>
      </w:r>
      <w:r>
        <w:fldChar w:fldCharType="end"/>
      </w:r>
      <w:r>
        <w:t xml:space="preserve">, </w:t>
      </w:r>
      <w:r>
        <w:fldChar w:fldCharType="begin"/>
      </w:r>
      <w:r>
        <w:instrText xml:space="preserve"> REF _Ref519064413 \r \h </w:instrText>
      </w:r>
      <w:r>
        <w:fldChar w:fldCharType="separate"/>
      </w:r>
      <w:r w:rsidR="00742166">
        <w:t>10.2.6.2</w:t>
      </w:r>
      <w:r>
        <w:fldChar w:fldCharType="end"/>
      </w:r>
      <w:r>
        <w:t xml:space="preserve">, </w:t>
      </w:r>
      <w:r>
        <w:fldChar w:fldCharType="begin"/>
      </w:r>
      <w:r>
        <w:instrText xml:space="preserve"> REF _Ref519064415 \r \h </w:instrText>
      </w:r>
      <w:r>
        <w:fldChar w:fldCharType="separate"/>
      </w:r>
      <w:r w:rsidR="00742166">
        <w:t>10.2.7.1</w:t>
      </w:r>
      <w:r>
        <w:fldChar w:fldCharType="end"/>
      </w:r>
      <w:r>
        <w:t xml:space="preserve">, </w:t>
      </w:r>
      <w:r>
        <w:fldChar w:fldCharType="begin"/>
      </w:r>
      <w:r>
        <w:instrText xml:space="preserve"> REF _Ref519064418 \r \h </w:instrText>
      </w:r>
      <w:r>
        <w:fldChar w:fldCharType="separate"/>
      </w:r>
      <w:r w:rsidR="00742166">
        <w:t>10.2.8.2</w:t>
      </w:r>
      <w:r>
        <w:fldChar w:fldCharType="end"/>
      </w:r>
      <w:r>
        <w:t xml:space="preserve">, </w:t>
      </w:r>
      <w:r>
        <w:fldChar w:fldCharType="begin"/>
      </w:r>
      <w:r>
        <w:instrText xml:space="preserve"> REF _Ref519064421 \r \h </w:instrText>
      </w:r>
      <w:r>
        <w:fldChar w:fldCharType="separate"/>
      </w:r>
      <w:r w:rsidR="00742166">
        <w:t>10.2.9.2</w:t>
      </w:r>
      <w:r>
        <w:fldChar w:fldCharType="end"/>
      </w:r>
      <w:r>
        <w:t xml:space="preserve">, </w:t>
      </w:r>
      <w:r>
        <w:fldChar w:fldCharType="begin"/>
      </w:r>
      <w:r>
        <w:instrText xml:space="preserve"> REF _Ref519064427 \r \h </w:instrText>
      </w:r>
      <w:r>
        <w:fldChar w:fldCharType="separate"/>
      </w:r>
      <w:r w:rsidR="00742166">
        <w:t>10.2.10.2</w:t>
      </w:r>
      <w:r>
        <w:fldChar w:fldCharType="end"/>
      </w:r>
      <w:r>
        <w:t xml:space="preserve"> for the mon-monetised costs that are included under both Option 1 and Option 2.</w:t>
      </w:r>
    </w:p>
  </w:footnote>
  <w:footnote w:id="30">
    <w:p w14:paraId="1BEBAA8C" w14:textId="5C57EE21" w:rsidR="009B01FB" w:rsidRDefault="009B01FB" w:rsidP="004F2965">
      <w:pPr>
        <w:pStyle w:val="FootnoteText"/>
      </w:pPr>
      <w:r>
        <w:rPr>
          <w:rStyle w:val="FootnoteReference"/>
        </w:rPr>
        <w:footnoteRef/>
      </w:r>
      <w:r>
        <w:t xml:space="preserve"> See </w:t>
      </w:r>
      <w:r>
        <w:fldChar w:fldCharType="begin"/>
      </w:r>
      <w:r>
        <w:instrText xml:space="preserve"> REF _Ref519064606 \r \h </w:instrText>
      </w:r>
      <w:r>
        <w:fldChar w:fldCharType="separate"/>
      </w:r>
      <w:r w:rsidR="00742166">
        <w:t>10.2.1.4</w:t>
      </w:r>
      <w:r>
        <w:fldChar w:fldCharType="end"/>
      </w:r>
      <w:r>
        <w:t xml:space="preserve">, </w:t>
      </w:r>
      <w:r>
        <w:fldChar w:fldCharType="begin"/>
      </w:r>
      <w:r>
        <w:instrText xml:space="preserve"> REF _Ref519064613 \r \h </w:instrText>
      </w:r>
      <w:r>
        <w:fldChar w:fldCharType="separate"/>
      </w:r>
      <w:r w:rsidR="00742166">
        <w:t>10.2.2.3</w:t>
      </w:r>
      <w:r>
        <w:fldChar w:fldCharType="end"/>
      </w:r>
      <w:r>
        <w:t xml:space="preserve">, </w:t>
      </w:r>
      <w:r>
        <w:fldChar w:fldCharType="begin"/>
      </w:r>
      <w:r>
        <w:instrText xml:space="preserve"> REF _Ref519064630 \r \h </w:instrText>
      </w:r>
      <w:r>
        <w:fldChar w:fldCharType="separate"/>
      </w:r>
      <w:r w:rsidR="00742166">
        <w:t>10.2.3.3</w:t>
      </w:r>
      <w:r>
        <w:fldChar w:fldCharType="end"/>
      </w:r>
      <w:r>
        <w:t xml:space="preserve">, </w:t>
      </w:r>
      <w:r>
        <w:fldChar w:fldCharType="begin"/>
      </w:r>
      <w:r>
        <w:instrText xml:space="preserve"> REF _Ref519064633 \r \h </w:instrText>
      </w:r>
      <w:r>
        <w:fldChar w:fldCharType="separate"/>
      </w:r>
      <w:r w:rsidR="00742166">
        <w:t>10.2.4.3</w:t>
      </w:r>
      <w:r>
        <w:fldChar w:fldCharType="end"/>
      </w:r>
      <w:r>
        <w:t xml:space="preserve">, </w:t>
      </w:r>
      <w:r>
        <w:fldChar w:fldCharType="begin"/>
      </w:r>
      <w:r>
        <w:instrText xml:space="preserve"> REF _Ref519064637 \r \h </w:instrText>
      </w:r>
      <w:r>
        <w:fldChar w:fldCharType="separate"/>
      </w:r>
      <w:r w:rsidR="00742166">
        <w:t>10.2.5.3</w:t>
      </w:r>
      <w:r>
        <w:fldChar w:fldCharType="end"/>
      </w:r>
      <w:r>
        <w:t xml:space="preserve">, </w:t>
      </w:r>
      <w:r>
        <w:fldChar w:fldCharType="begin"/>
      </w:r>
      <w:r>
        <w:instrText xml:space="preserve"> REF _Ref519064640 \r \h </w:instrText>
      </w:r>
      <w:r>
        <w:fldChar w:fldCharType="separate"/>
      </w:r>
      <w:r w:rsidR="00742166">
        <w:t>10.2.6.3</w:t>
      </w:r>
      <w:r>
        <w:fldChar w:fldCharType="end"/>
      </w:r>
      <w:r>
        <w:t xml:space="preserve">, </w:t>
      </w:r>
      <w:r>
        <w:fldChar w:fldCharType="begin"/>
      </w:r>
      <w:r>
        <w:instrText xml:space="preserve"> REF _Ref519064643 \r \h </w:instrText>
      </w:r>
      <w:r>
        <w:fldChar w:fldCharType="separate"/>
      </w:r>
      <w:r w:rsidR="00742166">
        <w:t>10.2.7.2</w:t>
      </w:r>
      <w:r>
        <w:fldChar w:fldCharType="end"/>
      </w:r>
      <w:r>
        <w:t xml:space="preserve">, </w:t>
      </w:r>
      <w:r>
        <w:fldChar w:fldCharType="begin"/>
      </w:r>
      <w:r>
        <w:instrText xml:space="preserve"> REF _Ref519064646 \r \h </w:instrText>
      </w:r>
      <w:r>
        <w:fldChar w:fldCharType="separate"/>
      </w:r>
      <w:r w:rsidR="00742166">
        <w:t>10.2.8.3</w:t>
      </w:r>
      <w:r>
        <w:fldChar w:fldCharType="end"/>
      </w:r>
      <w:r>
        <w:t xml:space="preserve">, </w:t>
      </w:r>
      <w:r>
        <w:fldChar w:fldCharType="begin"/>
      </w:r>
      <w:r>
        <w:instrText xml:space="preserve"> REF _Ref519064650 \r \h </w:instrText>
      </w:r>
      <w:r>
        <w:fldChar w:fldCharType="separate"/>
      </w:r>
      <w:r w:rsidR="00742166">
        <w:t>10.2.9.3</w:t>
      </w:r>
      <w:r>
        <w:fldChar w:fldCharType="end"/>
      </w:r>
      <w:r>
        <w:t xml:space="preserve">, </w:t>
      </w:r>
      <w:r>
        <w:fldChar w:fldCharType="begin"/>
      </w:r>
      <w:r>
        <w:instrText xml:space="preserve"> REF _Ref519064654 \r \h </w:instrText>
      </w:r>
      <w:r>
        <w:fldChar w:fldCharType="separate"/>
      </w:r>
      <w:r w:rsidR="00742166">
        <w:t>10.2.10.3</w:t>
      </w:r>
      <w:r>
        <w:fldChar w:fldCharType="end"/>
      </w:r>
      <w:r>
        <w:t xml:space="preserve"> for the mon-monetised benefits that are included under both Option 1 and Option 2.</w:t>
      </w:r>
    </w:p>
  </w:footnote>
  <w:footnote w:id="31">
    <w:p w14:paraId="56062E67" w14:textId="77777777" w:rsidR="009B01FB" w:rsidRDefault="009B01FB">
      <w:pPr>
        <w:pStyle w:val="FootnoteText"/>
      </w:pPr>
      <w:r>
        <w:rPr>
          <w:rStyle w:val="FootnoteReference"/>
        </w:rPr>
        <w:footnoteRef/>
      </w:r>
      <w:r>
        <w:t xml:space="preserve"> </w:t>
      </w:r>
      <w:r w:rsidRPr="00B01A59">
        <w:t>https://www.ons.gov.uk/businessindustryandtrade/business/activitysizeandlocation/bulletins/ukbusinessactivitysizeandlocation/2017</w:t>
      </w:r>
    </w:p>
  </w:footnote>
  <w:footnote w:id="32">
    <w:p w14:paraId="462F155C" w14:textId="77777777" w:rsidR="009B01FB" w:rsidRDefault="009B01FB" w:rsidP="00E41ADC">
      <w:pPr>
        <w:pStyle w:val="FootnoteText"/>
      </w:pPr>
      <w:r>
        <w:rPr>
          <w:rStyle w:val="FootnoteReference"/>
        </w:rPr>
        <w:footnoteRef/>
      </w:r>
      <w:r>
        <w:t xml:space="preserve"> RNLI guide to lifejackets and buoyancy aid</w:t>
      </w:r>
    </w:p>
  </w:footnote>
  <w:footnote w:id="33">
    <w:p w14:paraId="17535280" w14:textId="77777777" w:rsidR="009B01FB" w:rsidRDefault="009B01FB" w:rsidP="00E41ADC">
      <w:pPr>
        <w:pStyle w:val="FootnoteText"/>
      </w:pPr>
      <w:r>
        <w:rPr>
          <w:rStyle w:val="FootnoteReference"/>
        </w:rPr>
        <w:footnoteRef/>
      </w:r>
      <w:r>
        <w:t xml:space="preserve"> Tipton, M., Mccormack, E. &amp; Turner, C., 2013. International Data Registration for Accidental and Immersion Hypothermia: The UK National Immersion Incident Survey – Revisited. Drowning, pp.921–923.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80351" w14:textId="77777777" w:rsidR="009B01FB" w:rsidRPr="00AC557B" w:rsidRDefault="009B01FB">
    <w:pPr>
      <w:pStyle w:val="Header"/>
      <w:rPr>
        <w:color w:val="FF7171"/>
      </w:rPr>
    </w:pPr>
    <w:r w:rsidRPr="00AC557B">
      <w:rPr>
        <w:color w:val="FF7171"/>
      </w:rPr>
      <w:fldChar w:fldCharType="begin"/>
    </w:r>
    <w:r w:rsidRPr="00AC557B">
      <w:rPr>
        <w:color w:val="FF7171"/>
      </w:rPr>
      <w:instrText xml:space="preserve"> DOCPROPERTY  Classification  \* MERGEFORMAT </w:instrText>
    </w:r>
    <w:r w:rsidRPr="00AC557B">
      <w:rPr>
        <w:color w:val="FF7171"/>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A2086" w14:textId="77777777" w:rsidR="009B01FB" w:rsidRDefault="009B01FB"/>
  <w:p w14:paraId="1CBE877A" w14:textId="77777777" w:rsidR="009B01FB" w:rsidRDefault="009B01FB"/>
  <w:p w14:paraId="54602225" w14:textId="77777777" w:rsidR="009B01FB" w:rsidRDefault="009B01FB"/>
  <w:p w14:paraId="070AC295" w14:textId="77777777" w:rsidR="009B01FB" w:rsidRDefault="009B01F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02EAC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38C8F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42A8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A4D5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CBC2C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7E6D1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9C09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E07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587A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4431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131D5"/>
    <w:multiLevelType w:val="multilevel"/>
    <w:tmpl w:val="7E8654E2"/>
    <w:lvl w:ilvl="0">
      <w:start w:val="1"/>
      <w:numFmt w:val="decimal"/>
      <w:lvlText w:val="%1"/>
      <w:lvlJc w:val="left"/>
      <w:pPr>
        <w:tabs>
          <w:tab w:val="num" w:pos="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FA5AB5"/>
    <w:multiLevelType w:val="hybridMultilevel"/>
    <w:tmpl w:val="23782240"/>
    <w:lvl w:ilvl="0" w:tplc="EFC0280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30D3CCE"/>
    <w:multiLevelType w:val="hybridMultilevel"/>
    <w:tmpl w:val="8A961AAE"/>
    <w:lvl w:ilvl="0" w:tplc="975AC7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434013B"/>
    <w:multiLevelType w:val="hybridMultilevel"/>
    <w:tmpl w:val="1CEE4FE2"/>
    <w:lvl w:ilvl="0" w:tplc="3920DD7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547CA9"/>
    <w:multiLevelType w:val="hybridMultilevel"/>
    <w:tmpl w:val="2346A4C0"/>
    <w:lvl w:ilvl="0" w:tplc="2BFCA9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0E1B5778"/>
    <w:multiLevelType w:val="hybridMultilevel"/>
    <w:tmpl w:val="A496A7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1726F90"/>
    <w:multiLevelType w:val="hybridMultilevel"/>
    <w:tmpl w:val="885823AA"/>
    <w:lvl w:ilvl="0" w:tplc="1B587AE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34B4C9C"/>
    <w:multiLevelType w:val="hybridMultilevel"/>
    <w:tmpl w:val="5EB6E260"/>
    <w:lvl w:ilvl="0" w:tplc="65583D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5E93584"/>
    <w:multiLevelType w:val="multilevel"/>
    <w:tmpl w:val="B456F9DC"/>
    <w:lvl w:ilvl="0">
      <w:start w:val="1"/>
      <w:numFmt w:val="decimal"/>
      <w:pStyle w:val="Heading2"/>
      <w:lvlText w:val="%1"/>
      <w:lvlJc w:val="left"/>
      <w:pPr>
        <w:ind w:left="540" w:hanging="540"/>
      </w:pPr>
      <w:rPr>
        <w:rFonts w:hint="default"/>
      </w:rPr>
    </w:lvl>
    <w:lvl w:ilvl="1">
      <w:start w:val="1"/>
      <w:numFmt w:val="decimal"/>
      <w:pStyle w:val="Heading3"/>
      <w:lvlText w:val="%1.%2"/>
      <w:lvlJc w:val="left"/>
      <w:pPr>
        <w:ind w:left="720" w:hanging="720"/>
      </w:pPr>
      <w:rPr>
        <w:rFonts w:hint="default"/>
      </w:rPr>
    </w:lvl>
    <w:lvl w:ilvl="2">
      <w:start w:val="1"/>
      <w:numFmt w:val="decimal"/>
      <w:pStyle w:val="Heading4"/>
      <w:lvlText w:val="%1.%2.%3"/>
      <w:lvlJc w:val="left"/>
      <w:pPr>
        <w:ind w:left="900" w:hanging="900"/>
      </w:pPr>
      <w:rPr>
        <w:rFonts w:hint="default"/>
      </w:rPr>
    </w:lvl>
    <w:lvl w:ilvl="3">
      <w:start w:val="1"/>
      <w:numFmt w:val="decimal"/>
      <w:pStyle w:val="Heading5"/>
      <w:lvlText w:val="%1.%2.%3.%4"/>
      <w:lvlJc w:val="left"/>
      <w:pPr>
        <w:ind w:left="1080" w:hanging="1080"/>
      </w:pPr>
      <w:rPr>
        <w:rFonts w:hint="default"/>
      </w:rPr>
    </w:lvl>
    <w:lvl w:ilvl="4">
      <w:start w:val="1"/>
      <w:numFmt w:val="decimal"/>
      <w:pStyle w:val="Heading6"/>
      <w:lvlText w:val="%1.%2.%3.%4.%5"/>
      <w:lvlJc w:val="left"/>
      <w:pPr>
        <w:ind w:left="1260" w:hanging="12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6284325"/>
    <w:multiLevelType w:val="hybridMultilevel"/>
    <w:tmpl w:val="496AB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2943E7"/>
    <w:multiLevelType w:val="multilevel"/>
    <w:tmpl w:val="3604C19E"/>
    <w:lvl w:ilvl="0">
      <w:start w:val="1"/>
      <w:numFmt w:val="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1F6513D2"/>
    <w:multiLevelType w:val="hybridMultilevel"/>
    <w:tmpl w:val="09B02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3F39F8"/>
    <w:multiLevelType w:val="multilevel"/>
    <w:tmpl w:val="130ADDBA"/>
    <w:lvl w:ilvl="0">
      <w:start w:val="1"/>
      <w:numFmt w:val="bullet"/>
      <w:pStyle w:val="EBBullet"/>
      <w:lvlText w:val=""/>
      <w:lvlJc w:val="left"/>
      <w:pPr>
        <w:tabs>
          <w:tab w:val="num" w:pos="284"/>
        </w:tabs>
        <w:ind w:left="284" w:hanging="284"/>
      </w:pPr>
      <w:rPr>
        <w:rFonts w:ascii="Symbol" w:hAnsi="Symbol" w:hint="default"/>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2CAE3CEC"/>
    <w:multiLevelType w:val="hybridMultilevel"/>
    <w:tmpl w:val="22C6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7B12CC"/>
    <w:multiLevelType w:val="hybridMultilevel"/>
    <w:tmpl w:val="A496A77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777104D"/>
    <w:multiLevelType w:val="multilevel"/>
    <w:tmpl w:val="02B2DD8E"/>
    <w:lvl w:ilvl="0">
      <w:start w:val="1"/>
      <w:numFmt w:val="decimal"/>
      <w:suff w:val="nothing"/>
      <w:lvlText w:val="%1"/>
      <w:lvlJc w:val="left"/>
      <w:pPr>
        <w:ind w:left="0" w:firstLine="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39E25D64"/>
    <w:multiLevelType w:val="hybridMultilevel"/>
    <w:tmpl w:val="2AC4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AC2358"/>
    <w:multiLevelType w:val="hybridMultilevel"/>
    <w:tmpl w:val="45F63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45731998"/>
    <w:multiLevelType w:val="hybridMultilevel"/>
    <w:tmpl w:val="138C5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D46AA0"/>
    <w:multiLevelType w:val="hybridMultilevel"/>
    <w:tmpl w:val="AFD29F4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0" w15:restartNumberingAfterBreak="0">
    <w:nsid w:val="69565AE1"/>
    <w:multiLevelType w:val="multilevel"/>
    <w:tmpl w:val="84F2A1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18851C2"/>
    <w:multiLevelType w:val="multilevel"/>
    <w:tmpl w:val="3626DD9A"/>
    <w:lvl w:ilvl="0">
      <w:start w:val="1"/>
      <w:numFmt w:val="decimal"/>
      <w:suff w:val="nothing"/>
      <w:lvlText w:val="%1"/>
      <w:lvlJc w:val="left"/>
      <w:pPr>
        <w:ind w:left="0" w:firstLine="113"/>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2" w15:restartNumberingAfterBreak="0">
    <w:nsid w:val="780F16F0"/>
    <w:multiLevelType w:val="hybridMultilevel"/>
    <w:tmpl w:val="597079F2"/>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7A76638E"/>
    <w:multiLevelType w:val="hybridMultilevel"/>
    <w:tmpl w:val="0A50E88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4" w15:restartNumberingAfterBreak="0">
    <w:nsid w:val="7D46497E"/>
    <w:multiLevelType w:val="hybridMultilevel"/>
    <w:tmpl w:val="7DD25570"/>
    <w:lvl w:ilvl="0" w:tplc="0809000F">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7512AB"/>
    <w:multiLevelType w:val="hybridMultilevel"/>
    <w:tmpl w:val="E410D200"/>
    <w:lvl w:ilvl="0" w:tplc="FF4245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75C1D"/>
    <w:multiLevelType w:val="multilevel"/>
    <w:tmpl w:val="E2CC615A"/>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6"/>
  </w:num>
  <w:num w:numId="12">
    <w:abstractNumId w:val="31"/>
  </w:num>
  <w:num w:numId="13">
    <w:abstractNumId w:val="10"/>
  </w:num>
  <w:num w:numId="14">
    <w:abstractNumId w:val="25"/>
  </w:num>
  <w:num w:numId="15">
    <w:abstractNumId w:val="22"/>
  </w:num>
  <w:num w:numId="16">
    <w:abstractNumId w:val="20"/>
  </w:num>
  <w:num w:numId="17">
    <w:abstractNumId w:val="22"/>
  </w:num>
  <w:num w:numId="18">
    <w:abstractNumId w:val="36"/>
  </w:num>
  <w:num w:numId="19">
    <w:abstractNumId w:val="36"/>
  </w:num>
  <w:num w:numId="20">
    <w:abstractNumId w:val="36"/>
  </w:num>
  <w:num w:numId="21">
    <w:abstractNumId w:val="22"/>
  </w:num>
  <w:num w:numId="22">
    <w:abstractNumId w:val="3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6"/>
  </w:num>
  <w:num w:numId="27">
    <w:abstractNumId w:val="19"/>
  </w:num>
  <w:num w:numId="28">
    <w:abstractNumId w:val="16"/>
  </w:num>
  <w:num w:numId="29">
    <w:abstractNumId w:val="28"/>
  </w:num>
  <w:num w:numId="30">
    <w:abstractNumId w:val="29"/>
  </w:num>
  <w:num w:numId="31">
    <w:abstractNumId w:val="32"/>
  </w:num>
  <w:num w:numId="32">
    <w:abstractNumId w:val="27"/>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33"/>
  </w:num>
  <w:num w:numId="37">
    <w:abstractNumId w:val="13"/>
  </w:num>
  <w:num w:numId="38">
    <w:abstractNumId w:val="23"/>
  </w:num>
  <w:num w:numId="39">
    <w:abstractNumId w:val="24"/>
  </w:num>
  <w:num w:numId="40">
    <w:abstractNumId w:val="21"/>
  </w:num>
  <w:num w:numId="41">
    <w:abstractNumId w:val="34"/>
  </w:num>
  <w:num w:numId="42">
    <w:abstractNumId w:val="35"/>
  </w:num>
  <w:num w:numId="43">
    <w:abstractNumId w:val="17"/>
  </w:num>
  <w:num w:numId="44">
    <w:abstractNumId w:val="12"/>
  </w:num>
  <w:num w:numId="45">
    <w:abstractNumId w:val="11"/>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oNotShadeFormData/>
  <w:characterSpacingControl w:val="doNotCompress"/>
  <w:hdrShapeDefaults>
    <o:shapedefaults v:ext="edit" spidmax="18433"/>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ewDoc" w:val="Created"/>
  </w:docVars>
  <w:rsids>
    <w:rsidRoot w:val="005A07C0"/>
    <w:rsid w:val="00000396"/>
    <w:rsid w:val="00000766"/>
    <w:rsid w:val="00000C2F"/>
    <w:rsid w:val="000019B2"/>
    <w:rsid w:val="00001E72"/>
    <w:rsid w:val="00002E5A"/>
    <w:rsid w:val="00003485"/>
    <w:rsid w:val="00003A70"/>
    <w:rsid w:val="0000505F"/>
    <w:rsid w:val="00006E17"/>
    <w:rsid w:val="000071A5"/>
    <w:rsid w:val="000079C0"/>
    <w:rsid w:val="000100BE"/>
    <w:rsid w:val="000103F5"/>
    <w:rsid w:val="00010950"/>
    <w:rsid w:val="00010EE1"/>
    <w:rsid w:val="00012458"/>
    <w:rsid w:val="000142F1"/>
    <w:rsid w:val="0001460F"/>
    <w:rsid w:val="0001652A"/>
    <w:rsid w:val="000166B7"/>
    <w:rsid w:val="00020EF8"/>
    <w:rsid w:val="00021306"/>
    <w:rsid w:val="00022066"/>
    <w:rsid w:val="000222F1"/>
    <w:rsid w:val="00022BE0"/>
    <w:rsid w:val="00022F52"/>
    <w:rsid w:val="00023080"/>
    <w:rsid w:val="0002370C"/>
    <w:rsid w:val="000239A7"/>
    <w:rsid w:val="00023E62"/>
    <w:rsid w:val="0002422E"/>
    <w:rsid w:val="00024D86"/>
    <w:rsid w:val="000251D0"/>
    <w:rsid w:val="00026050"/>
    <w:rsid w:val="00026555"/>
    <w:rsid w:val="00026AC0"/>
    <w:rsid w:val="00031C8E"/>
    <w:rsid w:val="00033D13"/>
    <w:rsid w:val="00035BFF"/>
    <w:rsid w:val="000362B4"/>
    <w:rsid w:val="00036380"/>
    <w:rsid w:val="000369C4"/>
    <w:rsid w:val="00037647"/>
    <w:rsid w:val="0003786D"/>
    <w:rsid w:val="00037AC1"/>
    <w:rsid w:val="0004016B"/>
    <w:rsid w:val="000406ED"/>
    <w:rsid w:val="000407D8"/>
    <w:rsid w:val="000421FA"/>
    <w:rsid w:val="00042C4F"/>
    <w:rsid w:val="00045828"/>
    <w:rsid w:val="00045BAD"/>
    <w:rsid w:val="0004624B"/>
    <w:rsid w:val="00050912"/>
    <w:rsid w:val="00050C69"/>
    <w:rsid w:val="00051403"/>
    <w:rsid w:val="00051648"/>
    <w:rsid w:val="00052F44"/>
    <w:rsid w:val="00054279"/>
    <w:rsid w:val="00055A40"/>
    <w:rsid w:val="00056EE6"/>
    <w:rsid w:val="00057BFA"/>
    <w:rsid w:val="0006047F"/>
    <w:rsid w:val="0006053F"/>
    <w:rsid w:val="0006385D"/>
    <w:rsid w:val="00065104"/>
    <w:rsid w:val="00066876"/>
    <w:rsid w:val="0006719B"/>
    <w:rsid w:val="000671A2"/>
    <w:rsid w:val="00070EEB"/>
    <w:rsid w:val="00071299"/>
    <w:rsid w:val="00072272"/>
    <w:rsid w:val="0007239E"/>
    <w:rsid w:val="00073737"/>
    <w:rsid w:val="0007467B"/>
    <w:rsid w:val="0007524C"/>
    <w:rsid w:val="0007532E"/>
    <w:rsid w:val="000767AC"/>
    <w:rsid w:val="0007695E"/>
    <w:rsid w:val="00076A78"/>
    <w:rsid w:val="00076C08"/>
    <w:rsid w:val="00080182"/>
    <w:rsid w:val="00081483"/>
    <w:rsid w:val="00081DE8"/>
    <w:rsid w:val="00082659"/>
    <w:rsid w:val="00082BAC"/>
    <w:rsid w:val="000847EA"/>
    <w:rsid w:val="00084DF9"/>
    <w:rsid w:val="00085F6D"/>
    <w:rsid w:val="000860CC"/>
    <w:rsid w:val="00086128"/>
    <w:rsid w:val="0008731F"/>
    <w:rsid w:val="00087D70"/>
    <w:rsid w:val="00090685"/>
    <w:rsid w:val="000933F1"/>
    <w:rsid w:val="00093598"/>
    <w:rsid w:val="0009381F"/>
    <w:rsid w:val="000942C4"/>
    <w:rsid w:val="000944C1"/>
    <w:rsid w:val="00094680"/>
    <w:rsid w:val="000956FD"/>
    <w:rsid w:val="00095978"/>
    <w:rsid w:val="000966F1"/>
    <w:rsid w:val="000A16BA"/>
    <w:rsid w:val="000A3684"/>
    <w:rsid w:val="000A36B0"/>
    <w:rsid w:val="000A36EE"/>
    <w:rsid w:val="000A4E85"/>
    <w:rsid w:val="000A57B2"/>
    <w:rsid w:val="000A5C5D"/>
    <w:rsid w:val="000A6457"/>
    <w:rsid w:val="000A64CD"/>
    <w:rsid w:val="000A6E4B"/>
    <w:rsid w:val="000A79FC"/>
    <w:rsid w:val="000B07A1"/>
    <w:rsid w:val="000B1176"/>
    <w:rsid w:val="000B13F8"/>
    <w:rsid w:val="000B219F"/>
    <w:rsid w:val="000B2739"/>
    <w:rsid w:val="000B2FDA"/>
    <w:rsid w:val="000B3E49"/>
    <w:rsid w:val="000B7F4B"/>
    <w:rsid w:val="000C031E"/>
    <w:rsid w:val="000C165A"/>
    <w:rsid w:val="000C1D45"/>
    <w:rsid w:val="000C30D8"/>
    <w:rsid w:val="000C4589"/>
    <w:rsid w:val="000C54D1"/>
    <w:rsid w:val="000C57D5"/>
    <w:rsid w:val="000C608B"/>
    <w:rsid w:val="000C6A87"/>
    <w:rsid w:val="000C786F"/>
    <w:rsid w:val="000D1CB0"/>
    <w:rsid w:val="000D4F27"/>
    <w:rsid w:val="000D55B5"/>
    <w:rsid w:val="000D58BD"/>
    <w:rsid w:val="000D5B16"/>
    <w:rsid w:val="000D5ED5"/>
    <w:rsid w:val="000D7F7C"/>
    <w:rsid w:val="000E2EB6"/>
    <w:rsid w:val="000E3308"/>
    <w:rsid w:val="000E371C"/>
    <w:rsid w:val="000E3B5D"/>
    <w:rsid w:val="000E3FD7"/>
    <w:rsid w:val="000E452D"/>
    <w:rsid w:val="000E4ECC"/>
    <w:rsid w:val="000E564B"/>
    <w:rsid w:val="000E642B"/>
    <w:rsid w:val="000E6C99"/>
    <w:rsid w:val="000F004E"/>
    <w:rsid w:val="000F0840"/>
    <w:rsid w:val="000F0DEB"/>
    <w:rsid w:val="000F215D"/>
    <w:rsid w:val="000F2661"/>
    <w:rsid w:val="000F334D"/>
    <w:rsid w:val="000F37BB"/>
    <w:rsid w:val="000F3D1A"/>
    <w:rsid w:val="000F4481"/>
    <w:rsid w:val="000F4745"/>
    <w:rsid w:val="000F57BB"/>
    <w:rsid w:val="000F6492"/>
    <w:rsid w:val="000F67A7"/>
    <w:rsid w:val="000F6A81"/>
    <w:rsid w:val="001006E3"/>
    <w:rsid w:val="00101961"/>
    <w:rsid w:val="00101E8A"/>
    <w:rsid w:val="00102870"/>
    <w:rsid w:val="001034F4"/>
    <w:rsid w:val="00110396"/>
    <w:rsid w:val="001110DB"/>
    <w:rsid w:val="0011115A"/>
    <w:rsid w:val="001139CF"/>
    <w:rsid w:val="00115D70"/>
    <w:rsid w:val="001160B3"/>
    <w:rsid w:val="001160CA"/>
    <w:rsid w:val="00117E44"/>
    <w:rsid w:val="00120113"/>
    <w:rsid w:val="00120589"/>
    <w:rsid w:val="0012110B"/>
    <w:rsid w:val="001235DD"/>
    <w:rsid w:val="0012369A"/>
    <w:rsid w:val="001243CD"/>
    <w:rsid w:val="0012460B"/>
    <w:rsid w:val="001259B2"/>
    <w:rsid w:val="00126D78"/>
    <w:rsid w:val="00127373"/>
    <w:rsid w:val="00127910"/>
    <w:rsid w:val="00130045"/>
    <w:rsid w:val="00130DA3"/>
    <w:rsid w:val="00131CE4"/>
    <w:rsid w:val="00133095"/>
    <w:rsid w:val="001331E3"/>
    <w:rsid w:val="00133497"/>
    <w:rsid w:val="00133A17"/>
    <w:rsid w:val="00133C58"/>
    <w:rsid w:val="00133E4B"/>
    <w:rsid w:val="0013533B"/>
    <w:rsid w:val="00136490"/>
    <w:rsid w:val="001365F4"/>
    <w:rsid w:val="0013701A"/>
    <w:rsid w:val="001403F5"/>
    <w:rsid w:val="0014140D"/>
    <w:rsid w:val="001415D3"/>
    <w:rsid w:val="00141B6F"/>
    <w:rsid w:val="00141E23"/>
    <w:rsid w:val="00142264"/>
    <w:rsid w:val="0014280C"/>
    <w:rsid w:val="0014336D"/>
    <w:rsid w:val="00146424"/>
    <w:rsid w:val="001464FB"/>
    <w:rsid w:val="00146FC8"/>
    <w:rsid w:val="001477D1"/>
    <w:rsid w:val="00150B19"/>
    <w:rsid w:val="00150DAE"/>
    <w:rsid w:val="0015254E"/>
    <w:rsid w:val="00152C60"/>
    <w:rsid w:val="001535F3"/>
    <w:rsid w:val="00154018"/>
    <w:rsid w:val="00154118"/>
    <w:rsid w:val="00154EDC"/>
    <w:rsid w:val="001560B1"/>
    <w:rsid w:val="00156248"/>
    <w:rsid w:val="00156E0C"/>
    <w:rsid w:val="00160055"/>
    <w:rsid w:val="00160691"/>
    <w:rsid w:val="001612F1"/>
    <w:rsid w:val="00162D76"/>
    <w:rsid w:val="00165113"/>
    <w:rsid w:val="00165470"/>
    <w:rsid w:val="00165B09"/>
    <w:rsid w:val="00165D5D"/>
    <w:rsid w:val="00165FB9"/>
    <w:rsid w:val="001660F4"/>
    <w:rsid w:val="001709E2"/>
    <w:rsid w:val="00174861"/>
    <w:rsid w:val="00174C10"/>
    <w:rsid w:val="00175447"/>
    <w:rsid w:val="00177502"/>
    <w:rsid w:val="00181FB1"/>
    <w:rsid w:val="00182ACF"/>
    <w:rsid w:val="00182B85"/>
    <w:rsid w:val="00183038"/>
    <w:rsid w:val="001830C7"/>
    <w:rsid w:val="00183882"/>
    <w:rsid w:val="001844B6"/>
    <w:rsid w:val="001851A3"/>
    <w:rsid w:val="001851B9"/>
    <w:rsid w:val="001855B1"/>
    <w:rsid w:val="0019021E"/>
    <w:rsid w:val="00190E17"/>
    <w:rsid w:val="00190F9A"/>
    <w:rsid w:val="00191563"/>
    <w:rsid w:val="00193436"/>
    <w:rsid w:val="00194050"/>
    <w:rsid w:val="00194745"/>
    <w:rsid w:val="00194E96"/>
    <w:rsid w:val="001950B5"/>
    <w:rsid w:val="001A07F1"/>
    <w:rsid w:val="001A134E"/>
    <w:rsid w:val="001A16B0"/>
    <w:rsid w:val="001A2B03"/>
    <w:rsid w:val="001A3B0B"/>
    <w:rsid w:val="001A4332"/>
    <w:rsid w:val="001A4432"/>
    <w:rsid w:val="001A478E"/>
    <w:rsid w:val="001A509E"/>
    <w:rsid w:val="001A6FE6"/>
    <w:rsid w:val="001A7B61"/>
    <w:rsid w:val="001A7D6D"/>
    <w:rsid w:val="001B1210"/>
    <w:rsid w:val="001B305C"/>
    <w:rsid w:val="001B34EB"/>
    <w:rsid w:val="001B3757"/>
    <w:rsid w:val="001B563F"/>
    <w:rsid w:val="001B569A"/>
    <w:rsid w:val="001C0644"/>
    <w:rsid w:val="001C0B58"/>
    <w:rsid w:val="001C3363"/>
    <w:rsid w:val="001C4744"/>
    <w:rsid w:val="001C56AF"/>
    <w:rsid w:val="001C7C39"/>
    <w:rsid w:val="001D0272"/>
    <w:rsid w:val="001D03F9"/>
    <w:rsid w:val="001D09CC"/>
    <w:rsid w:val="001D0AF4"/>
    <w:rsid w:val="001D12D6"/>
    <w:rsid w:val="001D2096"/>
    <w:rsid w:val="001D27C7"/>
    <w:rsid w:val="001D3688"/>
    <w:rsid w:val="001D3A43"/>
    <w:rsid w:val="001D3C11"/>
    <w:rsid w:val="001D4AA8"/>
    <w:rsid w:val="001D4B8D"/>
    <w:rsid w:val="001D4D42"/>
    <w:rsid w:val="001D5EC9"/>
    <w:rsid w:val="001D6B90"/>
    <w:rsid w:val="001E04A3"/>
    <w:rsid w:val="001E0A1F"/>
    <w:rsid w:val="001E1025"/>
    <w:rsid w:val="001E152A"/>
    <w:rsid w:val="001E1B3A"/>
    <w:rsid w:val="001E1DA0"/>
    <w:rsid w:val="001E255F"/>
    <w:rsid w:val="001E2D17"/>
    <w:rsid w:val="001E3159"/>
    <w:rsid w:val="001F3A2B"/>
    <w:rsid w:val="001F4352"/>
    <w:rsid w:val="001F5423"/>
    <w:rsid w:val="001F5DD9"/>
    <w:rsid w:val="001F69E9"/>
    <w:rsid w:val="001F6D51"/>
    <w:rsid w:val="001F71C9"/>
    <w:rsid w:val="001F798A"/>
    <w:rsid w:val="0020104C"/>
    <w:rsid w:val="0020151D"/>
    <w:rsid w:val="00201B79"/>
    <w:rsid w:val="002024CC"/>
    <w:rsid w:val="00202E56"/>
    <w:rsid w:val="002033D6"/>
    <w:rsid w:val="00203758"/>
    <w:rsid w:val="00204AB1"/>
    <w:rsid w:val="00204CCE"/>
    <w:rsid w:val="00205E05"/>
    <w:rsid w:val="00206452"/>
    <w:rsid w:val="0020708B"/>
    <w:rsid w:val="00207B21"/>
    <w:rsid w:val="00207D2A"/>
    <w:rsid w:val="00211257"/>
    <w:rsid w:val="00211B4C"/>
    <w:rsid w:val="00212E1E"/>
    <w:rsid w:val="002144F0"/>
    <w:rsid w:val="0021679C"/>
    <w:rsid w:val="00216F02"/>
    <w:rsid w:val="0021706D"/>
    <w:rsid w:val="0021731F"/>
    <w:rsid w:val="00217CA1"/>
    <w:rsid w:val="00217EF5"/>
    <w:rsid w:val="00220F29"/>
    <w:rsid w:val="002215B3"/>
    <w:rsid w:val="00221FAD"/>
    <w:rsid w:val="002226BF"/>
    <w:rsid w:val="002230DD"/>
    <w:rsid w:val="0022490F"/>
    <w:rsid w:val="00225F9C"/>
    <w:rsid w:val="002274E5"/>
    <w:rsid w:val="0022767B"/>
    <w:rsid w:val="00227EBE"/>
    <w:rsid w:val="00231363"/>
    <w:rsid w:val="0023330E"/>
    <w:rsid w:val="0023355B"/>
    <w:rsid w:val="002346A3"/>
    <w:rsid w:val="002347A2"/>
    <w:rsid w:val="002402E9"/>
    <w:rsid w:val="00240654"/>
    <w:rsid w:val="00241738"/>
    <w:rsid w:val="002425C2"/>
    <w:rsid w:val="00242C41"/>
    <w:rsid w:val="002437A8"/>
    <w:rsid w:val="00243E6E"/>
    <w:rsid w:val="002449FF"/>
    <w:rsid w:val="00246360"/>
    <w:rsid w:val="00250021"/>
    <w:rsid w:val="00250259"/>
    <w:rsid w:val="00251B88"/>
    <w:rsid w:val="00251ED1"/>
    <w:rsid w:val="002530A8"/>
    <w:rsid w:val="0025394A"/>
    <w:rsid w:val="00253F4D"/>
    <w:rsid w:val="00256952"/>
    <w:rsid w:val="00257551"/>
    <w:rsid w:val="002577E8"/>
    <w:rsid w:val="0026191F"/>
    <w:rsid w:val="00262437"/>
    <w:rsid w:val="002637D4"/>
    <w:rsid w:val="00265153"/>
    <w:rsid w:val="00266813"/>
    <w:rsid w:val="002718D6"/>
    <w:rsid w:val="00271DE0"/>
    <w:rsid w:val="00272539"/>
    <w:rsid w:val="00272F62"/>
    <w:rsid w:val="00273A3C"/>
    <w:rsid w:val="00273ACA"/>
    <w:rsid w:val="002766C5"/>
    <w:rsid w:val="00280709"/>
    <w:rsid w:val="00281E7E"/>
    <w:rsid w:val="00282EFA"/>
    <w:rsid w:val="00283237"/>
    <w:rsid w:val="002837FC"/>
    <w:rsid w:val="00284C30"/>
    <w:rsid w:val="00285DA2"/>
    <w:rsid w:val="00286282"/>
    <w:rsid w:val="0028755A"/>
    <w:rsid w:val="00287BA8"/>
    <w:rsid w:val="00287DF9"/>
    <w:rsid w:val="00290335"/>
    <w:rsid w:val="00290D32"/>
    <w:rsid w:val="00291405"/>
    <w:rsid w:val="0029158C"/>
    <w:rsid w:val="002943F7"/>
    <w:rsid w:val="00295608"/>
    <w:rsid w:val="002966A9"/>
    <w:rsid w:val="00297569"/>
    <w:rsid w:val="002A06DA"/>
    <w:rsid w:val="002A0CB5"/>
    <w:rsid w:val="002A2280"/>
    <w:rsid w:val="002A28E2"/>
    <w:rsid w:val="002A415B"/>
    <w:rsid w:val="002A456F"/>
    <w:rsid w:val="002A6E2B"/>
    <w:rsid w:val="002B2572"/>
    <w:rsid w:val="002B27D1"/>
    <w:rsid w:val="002B4D79"/>
    <w:rsid w:val="002B51E5"/>
    <w:rsid w:val="002B6152"/>
    <w:rsid w:val="002B6283"/>
    <w:rsid w:val="002B7335"/>
    <w:rsid w:val="002B77F5"/>
    <w:rsid w:val="002B7E13"/>
    <w:rsid w:val="002C0125"/>
    <w:rsid w:val="002C1D0C"/>
    <w:rsid w:val="002C1EC2"/>
    <w:rsid w:val="002C2A1B"/>
    <w:rsid w:val="002C2EC0"/>
    <w:rsid w:val="002C3223"/>
    <w:rsid w:val="002C331D"/>
    <w:rsid w:val="002C3D3E"/>
    <w:rsid w:val="002C5114"/>
    <w:rsid w:val="002C7B31"/>
    <w:rsid w:val="002D1AE9"/>
    <w:rsid w:val="002D2D7E"/>
    <w:rsid w:val="002D3103"/>
    <w:rsid w:val="002D4104"/>
    <w:rsid w:val="002D4177"/>
    <w:rsid w:val="002D4C99"/>
    <w:rsid w:val="002D548B"/>
    <w:rsid w:val="002D5B24"/>
    <w:rsid w:val="002D6043"/>
    <w:rsid w:val="002D66B1"/>
    <w:rsid w:val="002D7ECF"/>
    <w:rsid w:val="002E0C1A"/>
    <w:rsid w:val="002E1C94"/>
    <w:rsid w:val="002E230A"/>
    <w:rsid w:val="002E46DE"/>
    <w:rsid w:val="002E5406"/>
    <w:rsid w:val="002E55B5"/>
    <w:rsid w:val="002E6468"/>
    <w:rsid w:val="002E6810"/>
    <w:rsid w:val="002E6E08"/>
    <w:rsid w:val="002E753F"/>
    <w:rsid w:val="002E78D7"/>
    <w:rsid w:val="002E7FA5"/>
    <w:rsid w:val="002F1CB1"/>
    <w:rsid w:val="002F2E4B"/>
    <w:rsid w:val="002F3633"/>
    <w:rsid w:val="002F5B67"/>
    <w:rsid w:val="002F653C"/>
    <w:rsid w:val="002F77CE"/>
    <w:rsid w:val="002F7D4C"/>
    <w:rsid w:val="00300C80"/>
    <w:rsid w:val="00300CED"/>
    <w:rsid w:val="00300D77"/>
    <w:rsid w:val="003012DC"/>
    <w:rsid w:val="003030E1"/>
    <w:rsid w:val="00304677"/>
    <w:rsid w:val="00304C1D"/>
    <w:rsid w:val="003061A2"/>
    <w:rsid w:val="003069E8"/>
    <w:rsid w:val="00307737"/>
    <w:rsid w:val="00307E85"/>
    <w:rsid w:val="00310269"/>
    <w:rsid w:val="0031058D"/>
    <w:rsid w:val="00310E67"/>
    <w:rsid w:val="003111DB"/>
    <w:rsid w:val="00311373"/>
    <w:rsid w:val="00311CCB"/>
    <w:rsid w:val="00313937"/>
    <w:rsid w:val="00314466"/>
    <w:rsid w:val="003149E9"/>
    <w:rsid w:val="0031624F"/>
    <w:rsid w:val="00316B83"/>
    <w:rsid w:val="00317181"/>
    <w:rsid w:val="00317DAD"/>
    <w:rsid w:val="003203C7"/>
    <w:rsid w:val="00320415"/>
    <w:rsid w:val="003228BF"/>
    <w:rsid w:val="00322E0B"/>
    <w:rsid w:val="00323107"/>
    <w:rsid w:val="003237CF"/>
    <w:rsid w:val="00323C5A"/>
    <w:rsid w:val="00324485"/>
    <w:rsid w:val="00330A89"/>
    <w:rsid w:val="00331DCE"/>
    <w:rsid w:val="00332055"/>
    <w:rsid w:val="00332280"/>
    <w:rsid w:val="003323DB"/>
    <w:rsid w:val="00332B05"/>
    <w:rsid w:val="00332BFF"/>
    <w:rsid w:val="003330C7"/>
    <w:rsid w:val="00335C9A"/>
    <w:rsid w:val="00336977"/>
    <w:rsid w:val="00336E0C"/>
    <w:rsid w:val="00336EC2"/>
    <w:rsid w:val="00337369"/>
    <w:rsid w:val="0033792E"/>
    <w:rsid w:val="003409BF"/>
    <w:rsid w:val="003429ED"/>
    <w:rsid w:val="00345525"/>
    <w:rsid w:val="00351211"/>
    <w:rsid w:val="00351302"/>
    <w:rsid w:val="0035191E"/>
    <w:rsid w:val="0035261C"/>
    <w:rsid w:val="00352EC3"/>
    <w:rsid w:val="00355E73"/>
    <w:rsid w:val="00356715"/>
    <w:rsid w:val="00356841"/>
    <w:rsid w:val="00357994"/>
    <w:rsid w:val="003614E1"/>
    <w:rsid w:val="00361678"/>
    <w:rsid w:val="003634ED"/>
    <w:rsid w:val="00364077"/>
    <w:rsid w:val="003640B6"/>
    <w:rsid w:val="00364715"/>
    <w:rsid w:val="00365411"/>
    <w:rsid w:val="00365687"/>
    <w:rsid w:val="003657AB"/>
    <w:rsid w:val="0037019F"/>
    <w:rsid w:val="00370A03"/>
    <w:rsid w:val="003715BD"/>
    <w:rsid w:val="00372A69"/>
    <w:rsid w:val="00373126"/>
    <w:rsid w:val="0037341D"/>
    <w:rsid w:val="003735E6"/>
    <w:rsid w:val="00376491"/>
    <w:rsid w:val="00376C65"/>
    <w:rsid w:val="00380189"/>
    <w:rsid w:val="003804C2"/>
    <w:rsid w:val="00380A15"/>
    <w:rsid w:val="00381107"/>
    <w:rsid w:val="00381308"/>
    <w:rsid w:val="0038147C"/>
    <w:rsid w:val="003818E8"/>
    <w:rsid w:val="003823B1"/>
    <w:rsid w:val="003825EA"/>
    <w:rsid w:val="003827FE"/>
    <w:rsid w:val="003848EF"/>
    <w:rsid w:val="00384905"/>
    <w:rsid w:val="00385BF8"/>
    <w:rsid w:val="00386560"/>
    <w:rsid w:val="00386820"/>
    <w:rsid w:val="0039163B"/>
    <w:rsid w:val="00392386"/>
    <w:rsid w:val="003957E2"/>
    <w:rsid w:val="00395DFD"/>
    <w:rsid w:val="00395F95"/>
    <w:rsid w:val="00396C1A"/>
    <w:rsid w:val="003972F5"/>
    <w:rsid w:val="003978E5"/>
    <w:rsid w:val="003A12B1"/>
    <w:rsid w:val="003A151C"/>
    <w:rsid w:val="003A2265"/>
    <w:rsid w:val="003A337C"/>
    <w:rsid w:val="003A36FA"/>
    <w:rsid w:val="003A4846"/>
    <w:rsid w:val="003A53C5"/>
    <w:rsid w:val="003A5EEC"/>
    <w:rsid w:val="003A6079"/>
    <w:rsid w:val="003A68AB"/>
    <w:rsid w:val="003A7572"/>
    <w:rsid w:val="003B00FB"/>
    <w:rsid w:val="003B04F0"/>
    <w:rsid w:val="003B0C63"/>
    <w:rsid w:val="003B1336"/>
    <w:rsid w:val="003B20FC"/>
    <w:rsid w:val="003B30DD"/>
    <w:rsid w:val="003B3E18"/>
    <w:rsid w:val="003B46A4"/>
    <w:rsid w:val="003B72CF"/>
    <w:rsid w:val="003B78AB"/>
    <w:rsid w:val="003C2DEE"/>
    <w:rsid w:val="003C2E0F"/>
    <w:rsid w:val="003C32CE"/>
    <w:rsid w:val="003C3704"/>
    <w:rsid w:val="003C4286"/>
    <w:rsid w:val="003C4C5D"/>
    <w:rsid w:val="003C6664"/>
    <w:rsid w:val="003C6C81"/>
    <w:rsid w:val="003C7DAB"/>
    <w:rsid w:val="003D042A"/>
    <w:rsid w:val="003D0DE4"/>
    <w:rsid w:val="003D11C0"/>
    <w:rsid w:val="003D124F"/>
    <w:rsid w:val="003D225D"/>
    <w:rsid w:val="003D2341"/>
    <w:rsid w:val="003D2D82"/>
    <w:rsid w:val="003D33A3"/>
    <w:rsid w:val="003D3F9D"/>
    <w:rsid w:val="003D5446"/>
    <w:rsid w:val="003D572E"/>
    <w:rsid w:val="003D57B2"/>
    <w:rsid w:val="003D5DFE"/>
    <w:rsid w:val="003D6960"/>
    <w:rsid w:val="003D77EE"/>
    <w:rsid w:val="003E0281"/>
    <w:rsid w:val="003E0510"/>
    <w:rsid w:val="003E1BBB"/>
    <w:rsid w:val="003E2295"/>
    <w:rsid w:val="003E54B6"/>
    <w:rsid w:val="003E58BD"/>
    <w:rsid w:val="003E61D2"/>
    <w:rsid w:val="003E66BB"/>
    <w:rsid w:val="003E71BB"/>
    <w:rsid w:val="003E7A4D"/>
    <w:rsid w:val="003F1D29"/>
    <w:rsid w:val="003F1F49"/>
    <w:rsid w:val="003F2930"/>
    <w:rsid w:val="003F2FA0"/>
    <w:rsid w:val="003F42A7"/>
    <w:rsid w:val="003F6045"/>
    <w:rsid w:val="003F71C5"/>
    <w:rsid w:val="003F7330"/>
    <w:rsid w:val="003F7B1E"/>
    <w:rsid w:val="004003AD"/>
    <w:rsid w:val="004011F7"/>
    <w:rsid w:val="004016DE"/>
    <w:rsid w:val="004025DC"/>
    <w:rsid w:val="00402E80"/>
    <w:rsid w:val="004041B8"/>
    <w:rsid w:val="00405ACA"/>
    <w:rsid w:val="00411F1F"/>
    <w:rsid w:val="00412F8A"/>
    <w:rsid w:val="00413648"/>
    <w:rsid w:val="00415022"/>
    <w:rsid w:val="00415098"/>
    <w:rsid w:val="00415385"/>
    <w:rsid w:val="00415552"/>
    <w:rsid w:val="00416050"/>
    <w:rsid w:val="004160E0"/>
    <w:rsid w:val="00417259"/>
    <w:rsid w:val="004175D4"/>
    <w:rsid w:val="004208F0"/>
    <w:rsid w:val="00422963"/>
    <w:rsid w:val="004240A9"/>
    <w:rsid w:val="0042494E"/>
    <w:rsid w:val="00424A7C"/>
    <w:rsid w:val="0042598E"/>
    <w:rsid w:val="00426022"/>
    <w:rsid w:val="00426AB3"/>
    <w:rsid w:val="004276FD"/>
    <w:rsid w:val="004313D6"/>
    <w:rsid w:val="00432445"/>
    <w:rsid w:val="00433533"/>
    <w:rsid w:val="0043446F"/>
    <w:rsid w:val="004364F4"/>
    <w:rsid w:val="0043683F"/>
    <w:rsid w:val="00437872"/>
    <w:rsid w:val="0044039A"/>
    <w:rsid w:val="004406D1"/>
    <w:rsid w:val="00440A77"/>
    <w:rsid w:val="004422A6"/>
    <w:rsid w:val="004442E2"/>
    <w:rsid w:val="00445634"/>
    <w:rsid w:val="00446126"/>
    <w:rsid w:val="004501DF"/>
    <w:rsid w:val="0045253C"/>
    <w:rsid w:val="00452B35"/>
    <w:rsid w:val="004547EA"/>
    <w:rsid w:val="00455EAA"/>
    <w:rsid w:val="00456494"/>
    <w:rsid w:val="00457408"/>
    <w:rsid w:val="004577E1"/>
    <w:rsid w:val="0045799A"/>
    <w:rsid w:val="00460306"/>
    <w:rsid w:val="0046144B"/>
    <w:rsid w:val="00462598"/>
    <w:rsid w:val="004632E8"/>
    <w:rsid w:val="00463490"/>
    <w:rsid w:val="00466326"/>
    <w:rsid w:val="00470048"/>
    <w:rsid w:val="00470384"/>
    <w:rsid w:val="00470BEA"/>
    <w:rsid w:val="00471060"/>
    <w:rsid w:val="004716AC"/>
    <w:rsid w:val="0047187B"/>
    <w:rsid w:val="00471991"/>
    <w:rsid w:val="00471E07"/>
    <w:rsid w:val="00472DED"/>
    <w:rsid w:val="00474233"/>
    <w:rsid w:val="00475400"/>
    <w:rsid w:val="004754FB"/>
    <w:rsid w:val="00475AA6"/>
    <w:rsid w:val="004763AF"/>
    <w:rsid w:val="00477A67"/>
    <w:rsid w:val="0048196D"/>
    <w:rsid w:val="00481DBF"/>
    <w:rsid w:val="00482885"/>
    <w:rsid w:val="00483B5B"/>
    <w:rsid w:val="00483E1A"/>
    <w:rsid w:val="00483FB7"/>
    <w:rsid w:val="00485114"/>
    <w:rsid w:val="004859A5"/>
    <w:rsid w:val="004860C0"/>
    <w:rsid w:val="00487074"/>
    <w:rsid w:val="0049072A"/>
    <w:rsid w:val="00490FF7"/>
    <w:rsid w:val="004930F6"/>
    <w:rsid w:val="004936D2"/>
    <w:rsid w:val="00493B5E"/>
    <w:rsid w:val="0049416F"/>
    <w:rsid w:val="004948C9"/>
    <w:rsid w:val="00495404"/>
    <w:rsid w:val="00495F9C"/>
    <w:rsid w:val="00496868"/>
    <w:rsid w:val="00497931"/>
    <w:rsid w:val="004A14BC"/>
    <w:rsid w:val="004A3D93"/>
    <w:rsid w:val="004A3EFD"/>
    <w:rsid w:val="004A3F27"/>
    <w:rsid w:val="004A70AC"/>
    <w:rsid w:val="004A712F"/>
    <w:rsid w:val="004A7E39"/>
    <w:rsid w:val="004B0141"/>
    <w:rsid w:val="004B0596"/>
    <w:rsid w:val="004B0735"/>
    <w:rsid w:val="004B0DAA"/>
    <w:rsid w:val="004B1880"/>
    <w:rsid w:val="004B2608"/>
    <w:rsid w:val="004B2C12"/>
    <w:rsid w:val="004B37BC"/>
    <w:rsid w:val="004B3B7B"/>
    <w:rsid w:val="004B3DEB"/>
    <w:rsid w:val="004B5251"/>
    <w:rsid w:val="004B5CC0"/>
    <w:rsid w:val="004B5E36"/>
    <w:rsid w:val="004C0023"/>
    <w:rsid w:val="004C0D91"/>
    <w:rsid w:val="004C1BBB"/>
    <w:rsid w:val="004C3FB9"/>
    <w:rsid w:val="004C4721"/>
    <w:rsid w:val="004C4C8F"/>
    <w:rsid w:val="004C5754"/>
    <w:rsid w:val="004C6F4D"/>
    <w:rsid w:val="004C7028"/>
    <w:rsid w:val="004C71CF"/>
    <w:rsid w:val="004C799A"/>
    <w:rsid w:val="004D0574"/>
    <w:rsid w:val="004D0C7C"/>
    <w:rsid w:val="004D118B"/>
    <w:rsid w:val="004D6A72"/>
    <w:rsid w:val="004E0159"/>
    <w:rsid w:val="004E1174"/>
    <w:rsid w:val="004E17B4"/>
    <w:rsid w:val="004E1E07"/>
    <w:rsid w:val="004E29C6"/>
    <w:rsid w:val="004E3012"/>
    <w:rsid w:val="004E3223"/>
    <w:rsid w:val="004E3E8F"/>
    <w:rsid w:val="004E4095"/>
    <w:rsid w:val="004E5E6C"/>
    <w:rsid w:val="004E6683"/>
    <w:rsid w:val="004F2965"/>
    <w:rsid w:val="004F5E43"/>
    <w:rsid w:val="004F621C"/>
    <w:rsid w:val="004F7020"/>
    <w:rsid w:val="004F70A0"/>
    <w:rsid w:val="004F76B3"/>
    <w:rsid w:val="004F7BA3"/>
    <w:rsid w:val="00500676"/>
    <w:rsid w:val="00500698"/>
    <w:rsid w:val="00500C9D"/>
    <w:rsid w:val="00503C39"/>
    <w:rsid w:val="005043FA"/>
    <w:rsid w:val="005063B8"/>
    <w:rsid w:val="00506528"/>
    <w:rsid w:val="0050716D"/>
    <w:rsid w:val="00507986"/>
    <w:rsid w:val="00507F3C"/>
    <w:rsid w:val="0051053A"/>
    <w:rsid w:val="00510AC6"/>
    <w:rsid w:val="005116B1"/>
    <w:rsid w:val="00511814"/>
    <w:rsid w:val="00511AFD"/>
    <w:rsid w:val="00515C81"/>
    <w:rsid w:val="00517351"/>
    <w:rsid w:val="00520444"/>
    <w:rsid w:val="00521129"/>
    <w:rsid w:val="005213FB"/>
    <w:rsid w:val="0052463E"/>
    <w:rsid w:val="0052465E"/>
    <w:rsid w:val="005248F8"/>
    <w:rsid w:val="00525051"/>
    <w:rsid w:val="00525511"/>
    <w:rsid w:val="00525C51"/>
    <w:rsid w:val="00526B28"/>
    <w:rsid w:val="00527387"/>
    <w:rsid w:val="00527A7D"/>
    <w:rsid w:val="005308E6"/>
    <w:rsid w:val="00531A61"/>
    <w:rsid w:val="00532DA2"/>
    <w:rsid w:val="00533D7B"/>
    <w:rsid w:val="005358EB"/>
    <w:rsid w:val="005409A2"/>
    <w:rsid w:val="005409C5"/>
    <w:rsid w:val="00540A7C"/>
    <w:rsid w:val="00543DBF"/>
    <w:rsid w:val="00544292"/>
    <w:rsid w:val="005456EC"/>
    <w:rsid w:val="00546C33"/>
    <w:rsid w:val="00547154"/>
    <w:rsid w:val="005473DB"/>
    <w:rsid w:val="005532E2"/>
    <w:rsid w:val="00553AE1"/>
    <w:rsid w:val="00554795"/>
    <w:rsid w:val="00555AB1"/>
    <w:rsid w:val="00556DEA"/>
    <w:rsid w:val="00560465"/>
    <w:rsid w:val="00560972"/>
    <w:rsid w:val="00563B31"/>
    <w:rsid w:val="00563F7B"/>
    <w:rsid w:val="005640A6"/>
    <w:rsid w:val="0056664A"/>
    <w:rsid w:val="005668AE"/>
    <w:rsid w:val="0056759D"/>
    <w:rsid w:val="005701C8"/>
    <w:rsid w:val="00570F8E"/>
    <w:rsid w:val="005719FD"/>
    <w:rsid w:val="00571B06"/>
    <w:rsid w:val="00572118"/>
    <w:rsid w:val="0057282D"/>
    <w:rsid w:val="00572F5B"/>
    <w:rsid w:val="00573359"/>
    <w:rsid w:val="0057382C"/>
    <w:rsid w:val="00574050"/>
    <w:rsid w:val="005748B0"/>
    <w:rsid w:val="00574A89"/>
    <w:rsid w:val="00574E95"/>
    <w:rsid w:val="005755D9"/>
    <w:rsid w:val="00575FFA"/>
    <w:rsid w:val="005763A9"/>
    <w:rsid w:val="005766F6"/>
    <w:rsid w:val="00576F30"/>
    <w:rsid w:val="00580209"/>
    <w:rsid w:val="005831E8"/>
    <w:rsid w:val="0058474A"/>
    <w:rsid w:val="00586CE4"/>
    <w:rsid w:val="00586D82"/>
    <w:rsid w:val="005875FD"/>
    <w:rsid w:val="005879B8"/>
    <w:rsid w:val="00591130"/>
    <w:rsid w:val="00592B63"/>
    <w:rsid w:val="00593648"/>
    <w:rsid w:val="00593F1B"/>
    <w:rsid w:val="00594141"/>
    <w:rsid w:val="00594AC6"/>
    <w:rsid w:val="00594D7B"/>
    <w:rsid w:val="00594F99"/>
    <w:rsid w:val="00596C0B"/>
    <w:rsid w:val="00596F19"/>
    <w:rsid w:val="005970B5"/>
    <w:rsid w:val="005978D0"/>
    <w:rsid w:val="005A0026"/>
    <w:rsid w:val="005A07C0"/>
    <w:rsid w:val="005A0B86"/>
    <w:rsid w:val="005A2FC0"/>
    <w:rsid w:val="005A3880"/>
    <w:rsid w:val="005A66F6"/>
    <w:rsid w:val="005A74E2"/>
    <w:rsid w:val="005A7A14"/>
    <w:rsid w:val="005B0446"/>
    <w:rsid w:val="005B0F30"/>
    <w:rsid w:val="005B341F"/>
    <w:rsid w:val="005B44D6"/>
    <w:rsid w:val="005B45E5"/>
    <w:rsid w:val="005B4757"/>
    <w:rsid w:val="005B4760"/>
    <w:rsid w:val="005B5651"/>
    <w:rsid w:val="005B589F"/>
    <w:rsid w:val="005B613F"/>
    <w:rsid w:val="005B6153"/>
    <w:rsid w:val="005B66B4"/>
    <w:rsid w:val="005C0E7F"/>
    <w:rsid w:val="005C0F3B"/>
    <w:rsid w:val="005C1425"/>
    <w:rsid w:val="005C615C"/>
    <w:rsid w:val="005C6C4E"/>
    <w:rsid w:val="005C6F2F"/>
    <w:rsid w:val="005D01F6"/>
    <w:rsid w:val="005D21B7"/>
    <w:rsid w:val="005D27B8"/>
    <w:rsid w:val="005D2E03"/>
    <w:rsid w:val="005D3BFD"/>
    <w:rsid w:val="005D4544"/>
    <w:rsid w:val="005D4F09"/>
    <w:rsid w:val="005D506D"/>
    <w:rsid w:val="005D5178"/>
    <w:rsid w:val="005D55E5"/>
    <w:rsid w:val="005D6EA8"/>
    <w:rsid w:val="005D6F05"/>
    <w:rsid w:val="005E0D46"/>
    <w:rsid w:val="005E10E3"/>
    <w:rsid w:val="005E1593"/>
    <w:rsid w:val="005E39AE"/>
    <w:rsid w:val="005E3FC7"/>
    <w:rsid w:val="005E4B5D"/>
    <w:rsid w:val="005E6858"/>
    <w:rsid w:val="005E7555"/>
    <w:rsid w:val="005F32E7"/>
    <w:rsid w:val="005F54D7"/>
    <w:rsid w:val="005F698B"/>
    <w:rsid w:val="00600956"/>
    <w:rsid w:val="00600DC8"/>
    <w:rsid w:val="006011E1"/>
    <w:rsid w:val="00602401"/>
    <w:rsid w:val="00602459"/>
    <w:rsid w:val="0060404D"/>
    <w:rsid w:val="00604158"/>
    <w:rsid w:val="0060666C"/>
    <w:rsid w:val="00606C5F"/>
    <w:rsid w:val="0060708C"/>
    <w:rsid w:val="00613977"/>
    <w:rsid w:val="006146AA"/>
    <w:rsid w:val="006148E3"/>
    <w:rsid w:val="00614CE6"/>
    <w:rsid w:val="00615CA5"/>
    <w:rsid w:val="00615D43"/>
    <w:rsid w:val="00616BCC"/>
    <w:rsid w:val="0061761A"/>
    <w:rsid w:val="006213C7"/>
    <w:rsid w:val="00621677"/>
    <w:rsid w:val="00623D44"/>
    <w:rsid w:val="00623DFF"/>
    <w:rsid w:val="00624299"/>
    <w:rsid w:val="006243EB"/>
    <w:rsid w:val="00624D5A"/>
    <w:rsid w:val="0062539E"/>
    <w:rsid w:val="00625536"/>
    <w:rsid w:val="00625669"/>
    <w:rsid w:val="00625AC1"/>
    <w:rsid w:val="00626698"/>
    <w:rsid w:val="006267F8"/>
    <w:rsid w:val="00626B07"/>
    <w:rsid w:val="00627079"/>
    <w:rsid w:val="00630789"/>
    <w:rsid w:val="00630966"/>
    <w:rsid w:val="00630EC4"/>
    <w:rsid w:val="00630EC9"/>
    <w:rsid w:val="00631B4C"/>
    <w:rsid w:val="00632522"/>
    <w:rsid w:val="006328B1"/>
    <w:rsid w:val="00632CB9"/>
    <w:rsid w:val="0063358F"/>
    <w:rsid w:val="00633795"/>
    <w:rsid w:val="00633DEF"/>
    <w:rsid w:val="0063405B"/>
    <w:rsid w:val="006355D9"/>
    <w:rsid w:val="00635BAE"/>
    <w:rsid w:val="00635D15"/>
    <w:rsid w:val="00641D5A"/>
    <w:rsid w:val="00642777"/>
    <w:rsid w:val="00643B89"/>
    <w:rsid w:val="006454E0"/>
    <w:rsid w:val="00645936"/>
    <w:rsid w:val="00646433"/>
    <w:rsid w:val="00646B92"/>
    <w:rsid w:val="00647402"/>
    <w:rsid w:val="00650282"/>
    <w:rsid w:val="00650A11"/>
    <w:rsid w:val="006511BB"/>
    <w:rsid w:val="0065158B"/>
    <w:rsid w:val="006515CC"/>
    <w:rsid w:val="006531EF"/>
    <w:rsid w:val="00653253"/>
    <w:rsid w:val="00653DEE"/>
    <w:rsid w:val="00656305"/>
    <w:rsid w:val="0065750C"/>
    <w:rsid w:val="0066034A"/>
    <w:rsid w:val="006608BD"/>
    <w:rsid w:val="006631B8"/>
    <w:rsid w:val="006656EC"/>
    <w:rsid w:val="006662EE"/>
    <w:rsid w:val="006672D3"/>
    <w:rsid w:val="0066784A"/>
    <w:rsid w:val="00667977"/>
    <w:rsid w:val="00670983"/>
    <w:rsid w:val="00670FDA"/>
    <w:rsid w:val="006725A4"/>
    <w:rsid w:val="00672B78"/>
    <w:rsid w:val="006737AD"/>
    <w:rsid w:val="00674043"/>
    <w:rsid w:val="006741F3"/>
    <w:rsid w:val="0067684F"/>
    <w:rsid w:val="00676D14"/>
    <w:rsid w:val="0067720E"/>
    <w:rsid w:val="00677C65"/>
    <w:rsid w:val="0068051F"/>
    <w:rsid w:val="0068121A"/>
    <w:rsid w:val="006812CF"/>
    <w:rsid w:val="006820E6"/>
    <w:rsid w:val="006824EE"/>
    <w:rsid w:val="00682BBC"/>
    <w:rsid w:val="00684490"/>
    <w:rsid w:val="00686008"/>
    <w:rsid w:val="006867B7"/>
    <w:rsid w:val="00686F5E"/>
    <w:rsid w:val="006875DF"/>
    <w:rsid w:val="00687A78"/>
    <w:rsid w:val="006914EF"/>
    <w:rsid w:val="00692DDE"/>
    <w:rsid w:val="00692DE8"/>
    <w:rsid w:val="0069403E"/>
    <w:rsid w:val="006945C8"/>
    <w:rsid w:val="0069495E"/>
    <w:rsid w:val="006952FC"/>
    <w:rsid w:val="00695B85"/>
    <w:rsid w:val="00696F2F"/>
    <w:rsid w:val="006A01DC"/>
    <w:rsid w:val="006A0557"/>
    <w:rsid w:val="006A0782"/>
    <w:rsid w:val="006A0F64"/>
    <w:rsid w:val="006A1B09"/>
    <w:rsid w:val="006A2A2C"/>
    <w:rsid w:val="006A2D92"/>
    <w:rsid w:val="006A4640"/>
    <w:rsid w:val="006A5654"/>
    <w:rsid w:val="006A56C1"/>
    <w:rsid w:val="006A5A2E"/>
    <w:rsid w:val="006A5EB5"/>
    <w:rsid w:val="006A7FA6"/>
    <w:rsid w:val="006B04D1"/>
    <w:rsid w:val="006B3C41"/>
    <w:rsid w:val="006B4257"/>
    <w:rsid w:val="006C039C"/>
    <w:rsid w:val="006C0521"/>
    <w:rsid w:val="006C169E"/>
    <w:rsid w:val="006C37EB"/>
    <w:rsid w:val="006C5365"/>
    <w:rsid w:val="006C5CE3"/>
    <w:rsid w:val="006C635C"/>
    <w:rsid w:val="006C63BF"/>
    <w:rsid w:val="006C6483"/>
    <w:rsid w:val="006C66C8"/>
    <w:rsid w:val="006C7426"/>
    <w:rsid w:val="006D04E5"/>
    <w:rsid w:val="006D1474"/>
    <w:rsid w:val="006D1F7D"/>
    <w:rsid w:val="006D222B"/>
    <w:rsid w:val="006D29CD"/>
    <w:rsid w:val="006D2BE3"/>
    <w:rsid w:val="006D2BEB"/>
    <w:rsid w:val="006D2BF3"/>
    <w:rsid w:val="006D37CF"/>
    <w:rsid w:val="006E11EC"/>
    <w:rsid w:val="006E15E5"/>
    <w:rsid w:val="006E17B6"/>
    <w:rsid w:val="006E5178"/>
    <w:rsid w:val="006E7242"/>
    <w:rsid w:val="006F00CD"/>
    <w:rsid w:val="006F0554"/>
    <w:rsid w:val="006F0831"/>
    <w:rsid w:val="006F0945"/>
    <w:rsid w:val="006F1664"/>
    <w:rsid w:val="006F2F86"/>
    <w:rsid w:val="006F3BB8"/>
    <w:rsid w:val="006F422B"/>
    <w:rsid w:val="006F59E2"/>
    <w:rsid w:val="006F6D9C"/>
    <w:rsid w:val="006F7499"/>
    <w:rsid w:val="007005AB"/>
    <w:rsid w:val="00700AD5"/>
    <w:rsid w:val="0070149F"/>
    <w:rsid w:val="0070253A"/>
    <w:rsid w:val="00703D2D"/>
    <w:rsid w:val="00704D5E"/>
    <w:rsid w:val="00706B49"/>
    <w:rsid w:val="00706FE9"/>
    <w:rsid w:val="007079EF"/>
    <w:rsid w:val="00710AB2"/>
    <w:rsid w:val="00710BF9"/>
    <w:rsid w:val="00711E70"/>
    <w:rsid w:val="007125D1"/>
    <w:rsid w:val="00712914"/>
    <w:rsid w:val="00712919"/>
    <w:rsid w:val="0071360C"/>
    <w:rsid w:val="0071367B"/>
    <w:rsid w:val="007139B6"/>
    <w:rsid w:val="00713DF2"/>
    <w:rsid w:val="0071468E"/>
    <w:rsid w:val="00716373"/>
    <w:rsid w:val="0071686F"/>
    <w:rsid w:val="00716A12"/>
    <w:rsid w:val="00716D5C"/>
    <w:rsid w:val="00716E66"/>
    <w:rsid w:val="00717760"/>
    <w:rsid w:val="00717800"/>
    <w:rsid w:val="00717F56"/>
    <w:rsid w:val="007208D9"/>
    <w:rsid w:val="00720AF5"/>
    <w:rsid w:val="00720C9D"/>
    <w:rsid w:val="00720FFE"/>
    <w:rsid w:val="00723BA5"/>
    <w:rsid w:val="00724C0F"/>
    <w:rsid w:val="00731443"/>
    <w:rsid w:val="00732185"/>
    <w:rsid w:val="00732520"/>
    <w:rsid w:val="0073258B"/>
    <w:rsid w:val="00732BA8"/>
    <w:rsid w:val="0073350E"/>
    <w:rsid w:val="00733F8C"/>
    <w:rsid w:val="00734E99"/>
    <w:rsid w:val="00735666"/>
    <w:rsid w:val="007359A7"/>
    <w:rsid w:val="00736A54"/>
    <w:rsid w:val="0073799A"/>
    <w:rsid w:val="00740D03"/>
    <w:rsid w:val="00742166"/>
    <w:rsid w:val="0074315C"/>
    <w:rsid w:val="00744ECC"/>
    <w:rsid w:val="00744F94"/>
    <w:rsid w:val="0074677C"/>
    <w:rsid w:val="00746E21"/>
    <w:rsid w:val="0074740B"/>
    <w:rsid w:val="00747E73"/>
    <w:rsid w:val="00750305"/>
    <w:rsid w:val="0075393B"/>
    <w:rsid w:val="0075471A"/>
    <w:rsid w:val="0075771C"/>
    <w:rsid w:val="007608D7"/>
    <w:rsid w:val="00763D76"/>
    <w:rsid w:val="00764FAA"/>
    <w:rsid w:val="00767A04"/>
    <w:rsid w:val="00771058"/>
    <w:rsid w:val="0077106F"/>
    <w:rsid w:val="0077321E"/>
    <w:rsid w:val="00773719"/>
    <w:rsid w:val="00773B58"/>
    <w:rsid w:val="00774343"/>
    <w:rsid w:val="00774B16"/>
    <w:rsid w:val="00774C89"/>
    <w:rsid w:val="00774DAC"/>
    <w:rsid w:val="007754E1"/>
    <w:rsid w:val="007758B5"/>
    <w:rsid w:val="00777487"/>
    <w:rsid w:val="007777A1"/>
    <w:rsid w:val="0078003D"/>
    <w:rsid w:val="0078273E"/>
    <w:rsid w:val="00782DCD"/>
    <w:rsid w:val="00782F88"/>
    <w:rsid w:val="00784110"/>
    <w:rsid w:val="0078471D"/>
    <w:rsid w:val="00784EC0"/>
    <w:rsid w:val="0078730F"/>
    <w:rsid w:val="0078760F"/>
    <w:rsid w:val="0078782F"/>
    <w:rsid w:val="0078793A"/>
    <w:rsid w:val="007913FD"/>
    <w:rsid w:val="0079221B"/>
    <w:rsid w:val="007925C2"/>
    <w:rsid w:val="00792A9A"/>
    <w:rsid w:val="007940C7"/>
    <w:rsid w:val="00795317"/>
    <w:rsid w:val="00796404"/>
    <w:rsid w:val="00796416"/>
    <w:rsid w:val="00796A50"/>
    <w:rsid w:val="00797A2D"/>
    <w:rsid w:val="00797E5E"/>
    <w:rsid w:val="007A01E1"/>
    <w:rsid w:val="007A0D99"/>
    <w:rsid w:val="007A43FF"/>
    <w:rsid w:val="007A49C2"/>
    <w:rsid w:val="007A4BDD"/>
    <w:rsid w:val="007A73C6"/>
    <w:rsid w:val="007A769E"/>
    <w:rsid w:val="007A7AAE"/>
    <w:rsid w:val="007A7BC3"/>
    <w:rsid w:val="007B05B3"/>
    <w:rsid w:val="007B0E55"/>
    <w:rsid w:val="007B0EAC"/>
    <w:rsid w:val="007B14CE"/>
    <w:rsid w:val="007B33D7"/>
    <w:rsid w:val="007B3528"/>
    <w:rsid w:val="007B7203"/>
    <w:rsid w:val="007B7701"/>
    <w:rsid w:val="007C08F8"/>
    <w:rsid w:val="007C1837"/>
    <w:rsid w:val="007C2377"/>
    <w:rsid w:val="007C26C9"/>
    <w:rsid w:val="007C293A"/>
    <w:rsid w:val="007C4060"/>
    <w:rsid w:val="007C6D6E"/>
    <w:rsid w:val="007D0CC0"/>
    <w:rsid w:val="007D1599"/>
    <w:rsid w:val="007D4315"/>
    <w:rsid w:val="007D510A"/>
    <w:rsid w:val="007D5347"/>
    <w:rsid w:val="007D537B"/>
    <w:rsid w:val="007D6F3F"/>
    <w:rsid w:val="007E0C7E"/>
    <w:rsid w:val="007E1522"/>
    <w:rsid w:val="007E190E"/>
    <w:rsid w:val="007E1D58"/>
    <w:rsid w:val="007E4EF9"/>
    <w:rsid w:val="007E59B2"/>
    <w:rsid w:val="007E6AD5"/>
    <w:rsid w:val="007E6CF8"/>
    <w:rsid w:val="007E6ECC"/>
    <w:rsid w:val="007F050C"/>
    <w:rsid w:val="007F0ABE"/>
    <w:rsid w:val="007F0D9A"/>
    <w:rsid w:val="007F0ED9"/>
    <w:rsid w:val="007F25A7"/>
    <w:rsid w:val="007F2645"/>
    <w:rsid w:val="007F4668"/>
    <w:rsid w:val="007F571B"/>
    <w:rsid w:val="007F603E"/>
    <w:rsid w:val="007F64C7"/>
    <w:rsid w:val="008031EC"/>
    <w:rsid w:val="008034D8"/>
    <w:rsid w:val="008054F0"/>
    <w:rsid w:val="00805BD3"/>
    <w:rsid w:val="00807395"/>
    <w:rsid w:val="00807561"/>
    <w:rsid w:val="00807DB6"/>
    <w:rsid w:val="00810111"/>
    <w:rsid w:val="00811CA6"/>
    <w:rsid w:val="008124B6"/>
    <w:rsid w:val="00814236"/>
    <w:rsid w:val="00815425"/>
    <w:rsid w:val="008155E3"/>
    <w:rsid w:val="00816133"/>
    <w:rsid w:val="00816B34"/>
    <w:rsid w:val="00817638"/>
    <w:rsid w:val="00817B2A"/>
    <w:rsid w:val="00820561"/>
    <w:rsid w:val="00821C6B"/>
    <w:rsid w:val="008228A5"/>
    <w:rsid w:val="00822B3C"/>
    <w:rsid w:val="00822C6E"/>
    <w:rsid w:val="00825D50"/>
    <w:rsid w:val="00826861"/>
    <w:rsid w:val="00830ED9"/>
    <w:rsid w:val="0083298C"/>
    <w:rsid w:val="00833C6A"/>
    <w:rsid w:val="00834367"/>
    <w:rsid w:val="00835802"/>
    <w:rsid w:val="008369A3"/>
    <w:rsid w:val="008371B3"/>
    <w:rsid w:val="00837300"/>
    <w:rsid w:val="00837F65"/>
    <w:rsid w:val="0084026F"/>
    <w:rsid w:val="00840845"/>
    <w:rsid w:val="008410B6"/>
    <w:rsid w:val="00843754"/>
    <w:rsid w:val="00844FD1"/>
    <w:rsid w:val="00845B33"/>
    <w:rsid w:val="00845E91"/>
    <w:rsid w:val="008475EE"/>
    <w:rsid w:val="008478CE"/>
    <w:rsid w:val="00847C2B"/>
    <w:rsid w:val="00847E7D"/>
    <w:rsid w:val="00847F14"/>
    <w:rsid w:val="00850CF7"/>
    <w:rsid w:val="00851747"/>
    <w:rsid w:val="00851E90"/>
    <w:rsid w:val="00852EA9"/>
    <w:rsid w:val="00854B58"/>
    <w:rsid w:val="0085583B"/>
    <w:rsid w:val="00856859"/>
    <w:rsid w:val="00857641"/>
    <w:rsid w:val="00857E85"/>
    <w:rsid w:val="00857EEB"/>
    <w:rsid w:val="008605C7"/>
    <w:rsid w:val="00860E75"/>
    <w:rsid w:val="0086103A"/>
    <w:rsid w:val="00861557"/>
    <w:rsid w:val="008617EA"/>
    <w:rsid w:val="0086208D"/>
    <w:rsid w:val="008629E3"/>
    <w:rsid w:val="00862B4B"/>
    <w:rsid w:val="008632C7"/>
    <w:rsid w:val="00864321"/>
    <w:rsid w:val="00865DC8"/>
    <w:rsid w:val="008707E7"/>
    <w:rsid w:val="00870D58"/>
    <w:rsid w:val="00870FFA"/>
    <w:rsid w:val="008712A0"/>
    <w:rsid w:val="008717D4"/>
    <w:rsid w:val="00872621"/>
    <w:rsid w:val="008727AA"/>
    <w:rsid w:val="008729DD"/>
    <w:rsid w:val="00873250"/>
    <w:rsid w:val="00873494"/>
    <w:rsid w:val="00873825"/>
    <w:rsid w:val="008739EF"/>
    <w:rsid w:val="00873ADE"/>
    <w:rsid w:val="008749FB"/>
    <w:rsid w:val="00876F9A"/>
    <w:rsid w:val="00877C17"/>
    <w:rsid w:val="00880A9B"/>
    <w:rsid w:val="00882308"/>
    <w:rsid w:val="008839E5"/>
    <w:rsid w:val="00883C78"/>
    <w:rsid w:val="0088516C"/>
    <w:rsid w:val="008867E6"/>
    <w:rsid w:val="008868D1"/>
    <w:rsid w:val="0088761A"/>
    <w:rsid w:val="00890A9E"/>
    <w:rsid w:val="00891663"/>
    <w:rsid w:val="0089254F"/>
    <w:rsid w:val="00892576"/>
    <w:rsid w:val="00894580"/>
    <w:rsid w:val="00894601"/>
    <w:rsid w:val="00894CD3"/>
    <w:rsid w:val="00895D49"/>
    <w:rsid w:val="00895DD1"/>
    <w:rsid w:val="00896867"/>
    <w:rsid w:val="0089699B"/>
    <w:rsid w:val="00896A2A"/>
    <w:rsid w:val="00896DB1"/>
    <w:rsid w:val="008A0EDD"/>
    <w:rsid w:val="008A1BF2"/>
    <w:rsid w:val="008A2D5B"/>
    <w:rsid w:val="008A4654"/>
    <w:rsid w:val="008A6491"/>
    <w:rsid w:val="008A6708"/>
    <w:rsid w:val="008A6E3F"/>
    <w:rsid w:val="008A7CF1"/>
    <w:rsid w:val="008B0674"/>
    <w:rsid w:val="008B0B60"/>
    <w:rsid w:val="008B0CFF"/>
    <w:rsid w:val="008B0EDC"/>
    <w:rsid w:val="008B12D5"/>
    <w:rsid w:val="008B20C2"/>
    <w:rsid w:val="008B2335"/>
    <w:rsid w:val="008B333C"/>
    <w:rsid w:val="008B3CD2"/>
    <w:rsid w:val="008B5C6E"/>
    <w:rsid w:val="008B75E1"/>
    <w:rsid w:val="008B7631"/>
    <w:rsid w:val="008C011F"/>
    <w:rsid w:val="008C0805"/>
    <w:rsid w:val="008C096C"/>
    <w:rsid w:val="008C0B6E"/>
    <w:rsid w:val="008C1CAA"/>
    <w:rsid w:val="008C26F4"/>
    <w:rsid w:val="008C345A"/>
    <w:rsid w:val="008C3539"/>
    <w:rsid w:val="008C3BEA"/>
    <w:rsid w:val="008C4888"/>
    <w:rsid w:val="008C624A"/>
    <w:rsid w:val="008C7940"/>
    <w:rsid w:val="008C7DBD"/>
    <w:rsid w:val="008D1DB1"/>
    <w:rsid w:val="008D1DF0"/>
    <w:rsid w:val="008D29C8"/>
    <w:rsid w:val="008D3892"/>
    <w:rsid w:val="008D39AA"/>
    <w:rsid w:val="008D463C"/>
    <w:rsid w:val="008D5118"/>
    <w:rsid w:val="008D5597"/>
    <w:rsid w:val="008D55F9"/>
    <w:rsid w:val="008D6A9C"/>
    <w:rsid w:val="008E0D56"/>
    <w:rsid w:val="008E2423"/>
    <w:rsid w:val="008E2B2F"/>
    <w:rsid w:val="008E348C"/>
    <w:rsid w:val="008E37E1"/>
    <w:rsid w:val="008E4670"/>
    <w:rsid w:val="008E47BE"/>
    <w:rsid w:val="008E4DFF"/>
    <w:rsid w:val="008E549E"/>
    <w:rsid w:val="008E54D0"/>
    <w:rsid w:val="008E5E23"/>
    <w:rsid w:val="008E67C0"/>
    <w:rsid w:val="008E7F9F"/>
    <w:rsid w:val="008F0950"/>
    <w:rsid w:val="008F09FE"/>
    <w:rsid w:val="008F1046"/>
    <w:rsid w:val="008F18B3"/>
    <w:rsid w:val="008F1E40"/>
    <w:rsid w:val="008F213E"/>
    <w:rsid w:val="008F281A"/>
    <w:rsid w:val="008F2CE9"/>
    <w:rsid w:val="008F2DC7"/>
    <w:rsid w:val="008F2DE8"/>
    <w:rsid w:val="008F366D"/>
    <w:rsid w:val="008F3A49"/>
    <w:rsid w:val="008F5890"/>
    <w:rsid w:val="008F5B59"/>
    <w:rsid w:val="008F6B94"/>
    <w:rsid w:val="008F6E9D"/>
    <w:rsid w:val="00900C12"/>
    <w:rsid w:val="00901406"/>
    <w:rsid w:val="00901EDF"/>
    <w:rsid w:val="00903CAE"/>
    <w:rsid w:val="00903D91"/>
    <w:rsid w:val="00904B02"/>
    <w:rsid w:val="00904BBF"/>
    <w:rsid w:val="009050B9"/>
    <w:rsid w:val="00905651"/>
    <w:rsid w:val="00905752"/>
    <w:rsid w:val="00906288"/>
    <w:rsid w:val="00906E14"/>
    <w:rsid w:val="009076FD"/>
    <w:rsid w:val="009078FD"/>
    <w:rsid w:val="0091113E"/>
    <w:rsid w:val="009128E8"/>
    <w:rsid w:val="00913132"/>
    <w:rsid w:val="00920962"/>
    <w:rsid w:val="00920A27"/>
    <w:rsid w:val="00922DE3"/>
    <w:rsid w:val="009234AD"/>
    <w:rsid w:val="00925A37"/>
    <w:rsid w:val="00926406"/>
    <w:rsid w:val="0092726F"/>
    <w:rsid w:val="009308F0"/>
    <w:rsid w:val="0093251D"/>
    <w:rsid w:val="00934D29"/>
    <w:rsid w:val="00935217"/>
    <w:rsid w:val="00936A8F"/>
    <w:rsid w:val="00936C94"/>
    <w:rsid w:val="00937CD8"/>
    <w:rsid w:val="00937DFB"/>
    <w:rsid w:val="0094083F"/>
    <w:rsid w:val="00940A7B"/>
    <w:rsid w:val="00941161"/>
    <w:rsid w:val="009413EF"/>
    <w:rsid w:val="00941D69"/>
    <w:rsid w:val="009420A5"/>
    <w:rsid w:val="0094340B"/>
    <w:rsid w:val="00943511"/>
    <w:rsid w:val="00944597"/>
    <w:rsid w:val="00944936"/>
    <w:rsid w:val="00944AA7"/>
    <w:rsid w:val="009456DA"/>
    <w:rsid w:val="009468DF"/>
    <w:rsid w:val="00946AD7"/>
    <w:rsid w:val="00947C30"/>
    <w:rsid w:val="00947DDE"/>
    <w:rsid w:val="00947F91"/>
    <w:rsid w:val="0095045E"/>
    <w:rsid w:val="00951CD5"/>
    <w:rsid w:val="00952D7C"/>
    <w:rsid w:val="009540D9"/>
    <w:rsid w:val="009546F6"/>
    <w:rsid w:val="00955DAC"/>
    <w:rsid w:val="009569C9"/>
    <w:rsid w:val="00956BA1"/>
    <w:rsid w:val="0095732A"/>
    <w:rsid w:val="00957613"/>
    <w:rsid w:val="00957A32"/>
    <w:rsid w:val="009611A5"/>
    <w:rsid w:val="00961356"/>
    <w:rsid w:val="00962C22"/>
    <w:rsid w:val="00962C9F"/>
    <w:rsid w:val="0096395F"/>
    <w:rsid w:val="00963DA9"/>
    <w:rsid w:val="0096455D"/>
    <w:rsid w:val="00964F55"/>
    <w:rsid w:val="00965B53"/>
    <w:rsid w:val="00965CBF"/>
    <w:rsid w:val="00966008"/>
    <w:rsid w:val="00966271"/>
    <w:rsid w:val="009665AA"/>
    <w:rsid w:val="00966A72"/>
    <w:rsid w:val="00966C9E"/>
    <w:rsid w:val="009705A9"/>
    <w:rsid w:val="00973284"/>
    <w:rsid w:val="0097372C"/>
    <w:rsid w:val="009745ED"/>
    <w:rsid w:val="0097477D"/>
    <w:rsid w:val="009769C6"/>
    <w:rsid w:val="00976D46"/>
    <w:rsid w:val="00977F47"/>
    <w:rsid w:val="00980FD2"/>
    <w:rsid w:val="00981C04"/>
    <w:rsid w:val="00982147"/>
    <w:rsid w:val="009828FA"/>
    <w:rsid w:val="00982943"/>
    <w:rsid w:val="009837EF"/>
    <w:rsid w:val="00984BDC"/>
    <w:rsid w:val="009857E0"/>
    <w:rsid w:val="00987A1D"/>
    <w:rsid w:val="00990359"/>
    <w:rsid w:val="009918FB"/>
    <w:rsid w:val="00991CE2"/>
    <w:rsid w:val="009A02CC"/>
    <w:rsid w:val="009A0497"/>
    <w:rsid w:val="009A1142"/>
    <w:rsid w:val="009A1A9A"/>
    <w:rsid w:val="009A226B"/>
    <w:rsid w:val="009A2D21"/>
    <w:rsid w:val="009A4111"/>
    <w:rsid w:val="009B01FB"/>
    <w:rsid w:val="009B0F09"/>
    <w:rsid w:val="009B157C"/>
    <w:rsid w:val="009B189C"/>
    <w:rsid w:val="009B2293"/>
    <w:rsid w:val="009B24BC"/>
    <w:rsid w:val="009B36BF"/>
    <w:rsid w:val="009B57BB"/>
    <w:rsid w:val="009B5872"/>
    <w:rsid w:val="009B5A80"/>
    <w:rsid w:val="009B671B"/>
    <w:rsid w:val="009B6ACF"/>
    <w:rsid w:val="009B6B48"/>
    <w:rsid w:val="009B7123"/>
    <w:rsid w:val="009C0C70"/>
    <w:rsid w:val="009C0CEB"/>
    <w:rsid w:val="009C1761"/>
    <w:rsid w:val="009C3611"/>
    <w:rsid w:val="009C3E19"/>
    <w:rsid w:val="009C488A"/>
    <w:rsid w:val="009C6814"/>
    <w:rsid w:val="009C6951"/>
    <w:rsid w:val="009C74B5"/>
    <w:rsid w:val="009C7BD2"/>
    <w:rsid w:val="009D0E47"/>
    <w:rsid w:val="009D19A6"/>
    <w:rsid w:val="009D1F1C"/>
    <w:rsid w:val="009D273A"/>
    <w:rsid w:val="009D2902"/>
    <w:rsid w:val="009D3AEC"/>
    <w:rsid w:val="009D4CF1"/>
    <w:rsid w:val="009D5B24"/>
    <w:rsid w:val="009D653D"/>
    <w:rsid w:val="009D6E20"/>
    <w:rsid w:val="009D7957"/>
    <w:rsid w:val="009D7CE6"/>
    <w:rsid w:val="009E008F"/>
    <w:rsid w:val="009E0434"/>
    <w:rsid w:val="009E0870"/>
    <w:rsid w:val="009E262C"/>
    <w:rsid w:val="009E3848"/>
    <w:rsid w:val="009E3B03"/>
    <w:rsid w:val="009E6430"/>
    <w:rsid w:val="009E6C5F"/>
    <w:rsid w:val="009E720C"/>
    <w:rsid w:val="009E771F"/>
    <w:rsid w:val="009E7D1F"/>
    <w:rsid w:val="009F01FC"/>
    <w:rsid w:val="009F082F"/>
    <w:rsid w:val="009F106C"/>
    <w:rsid w:val="009F12D8"/>
    <w:rsid w:val="009F3B4C"/>
    <w:rsid w:val="009F4732"/>
    <w:rsid w:val="009F48BD"/>
    <w:rsid w:val="009F56A0"/>
    <w:rsid w:val="009F6692"/>
    <w:rsid w:val="009F7557"/>
    <w:rsid w:val="00A00F82"/>
    <w:rsid w:val="00A01DA8"/>
    <w:rsid w:val="00A02AB8"/>
    <w:rsid w:val="00A0444F"/>
    <w:rsid w:val="00A05393"/>
    <w:rsid w:val="00A05924"/>
    <w:rsid w:val="00A06EAA"/>
    <w:rsid w:val="00A07171"/>
    <w:rsid w:val="00A12337"/>
    <w:rsid w:val="00A126A8"/>
    <w:rsid w:val="00A127AE"/>
    <w:rsid w:val="00A127EA"/>
    <w:rsid w:val="00A1303C"/>
    <w:rsid w:val="00A16960"/>
    <w:rsid w:val="00A173E4"/>
    <w:rsid w:val="00A20CD6"/>
    <w:rsid w:val="00A212FC"/>
    <w:rsid w:val="00A21442"/>
    <w:rsid w:val="00A21C3A"/>
    <w:rsid w:val="00A22274"/>
    <w:rsid w:val="00A223AF"/>
    <w:rsid w:val="00A2267C"/>
    <w:rsid w:val="00A23419"/>
    <w:rsid w:val="00A2610A"/>
    <w:rsid w:val="00A27406"/>
    <w:rsid w:val="00A322A4"/>
    <w:rsid w:val="00A32793"/>
    <w:rsid w:val="00A332D2"/>
    <w:rsid w:val="00A3619C"/>
    <w:rsid w:val="00A36552"/>
    <w:rsid w:val="00A376D1"/>
    <w:rsid w:val="00A412A4"/>
    <w:rsid w:val="00A43C02"/>
    <w:rsid w:val="00A449FA"/>
    <w:rsid w:val="00A44E29"/>
    <w:rsid w:val="00A456DB"/>
    <w:rsid w:val="00A45752"/>
    <w:rsid w:val="00A46971"/>
    <w:rsid w:val="00A46BA8"/>
    <w:rsid w:val="00A54141"/>
    <w:rsid w:val="00A54607"/>
    <w:rsid w:val="00A54BB3"/>
    <w:rsid w:val="00A55FCF"/>
    <w:rsid w:val="00A566F7"/>
    <w:rsid w:val="00A57221"/>
    <w:rsid w:val="00A60788"/>
    <w:rsid w:val="00A60BEB"/>
    <w:rsid w:val="00A624D4"/>
    <w:rsid w:val="00A62B86"/>
    <w:rsid w:val="00A63795"/>
    <w:rsid w:val="00A63817"/>
    <w:rsid w:val="00A64DFC"/>
    <w:rsid w:val="00A64E67"/>
    <w:rsid w:val="00A65708"/>
    <w:rsid w:val="00A67679"/>
    <w:rsid w:val="00A71B24"/>
    <w:rsid w:val="00A73505"/>
    <w:rsid w:val="00A74FE2"/>
    <w:rsid w:val="00A755A2"/>
    <w:rsid w:val="00A75DAF"/>
    <w:rsid w:val="00A77DF4"/>
    <w:rsid w:val="00A80316"/>
    <w:rsid w:val="00A80DCD"/>
    <w:rsid w:val="00A8360B"/>
    <w:rsid w:val="00A857D9"/>
    <w:rsid w:val="00A87CA1"/>
    <w:rsid w:val="00A90857"/>
    <w:rsid w:val="00A90A64"/>
    <w:rsid w:val="00A91448"/>
    <w:rsid w:val="00A9204B"/>
    <w:rsid w:val="00A92245"/>
    <w:rsid w:val="00A93A78"/>
    <w:rsid w:val="00A94548"/>
    <w:rsid w:val="00A94721"/>
    <w:rsid w:val="00A96C2E"/>
    <w:rsid w:val="00A97107"/>
    <w:rsid w:val="00A97B95"/>
    <w:rsid w:val="00AA1AAE"/>
    <w:rsid w:val="00AA25A1"/>
    <w:rsid w:val="00AA2B6A"/>
    <w:rsid w:val="00AA3F3D"/>
    <w:rsid w:val="00AA4B70"/>
    <w:rsid w:val="00AA5DF9"/>
    <w:rsid w:val="00AA7756"/>
    <w:rsid w:val="00AA7F12"/>
    <w:rsid w:val="00AB0166"/>
    <w:rsid w:val="00AB02BE"/>
    <w:rsid w:val="00AB0614"/>
    <w:rsid w:val="00AB1B06"/>
    <w:rsid w:val="00AB2960"/>
    <w:rsid w:val="00AB574B"/>
    <w:rsid w:val="00AB6DF3"/>
    <w:rsid w:val="00AB79EC"/>
    <w:rsid w:val="00AB7B5A"/>
    <w:rsid w:val="00AC04C2"/>
    <w:rsid w:val="00AC06AD"/>
    <w:rsid w:val="00AC1849"/>
    <w:rsid w:val="00AC18FE"/>
    <w:rsid w:val="00AC1DB2"/>
    <w:rsid w:val="00AC2016"/>
    <w:rsid w:val="00AC23DD"/>
    <w:rsid w:val="00AC3584"/>
    <w:rsid w:val="00AC3587"/>
    <w:rsid w:val="00AC4436"/>
    <w:rsid w:val="00AC445F"/>
    <w:rsid w:val="00AC557B"/>
    <w:rsid w:val="00AC6D7C"/>
    <w:rsid w:val="00AC7347"/>
    <w:rsid w:val="00AC758F"/>
    <w:rsid w:val="00AC7C6B"/>
    <w:rsid w:val="00AD01BB"/>
    <w:rsid w:val="00AD02B4"/>
    <w:rsid w:val="00AD043B"/>
    <w:rsid w:val="00AD23E0"/>
    <w:rsid w:val="00AD288E"/>
    <w:rsid w:val="00AD4CDC"/>
    <w:rsid w:val="00AD5C7A"/>
    <w:rsid w:val="00AD5CD4"/>
    <w:rsid w:val="00AD60E8"/>
    <w:rsid w:val="00AD640D"/>
    <w:rsid w:val="00AD6588"/>
    <w:rsid w:val="00AD6B21"/>
    <w:rsid w:val="00AD6B97"/>
    <w:rsid w:val="00AD6D7F"/>
    <w:rsid w:val="00AE02DA"/>
    <w:rsid w:val="00AE0DAF"/>
    <w:rsid w:val="00AE1E77"/>
    <w:rsid w:val="00AE311C"/>
    <w:rsid w:val="00AE32FC"/>
    <w:rsid w:val="00AE3926"/>
    <w:rsid w:val="00AE46AA"/>
    <w:rsid w:val="00AE5A78"/>
    <w:rsid w:val="00AE6061"/>
    <w:rsid w:val="00AE65A6"/>
    <w:rsid w:val="00AF0388"/>
    <w:rsid w:val="00AF05EF"/>
    <w:rsid w:val="00AF0863"/>
    <w:rsid w:val="00AF182E"/>
    <w:rsid w:val="00AF1D09"/>
    <w:rsid w:val="00AF29BB"/>
    <w:rsid w:val="00AF2B88"/>
    <w:rsid w:val="00AF32DD"/>
    <w:rsid w:val="00AF4614"/>
    <w:rsid w:val="00AF5128"/>
    <w:rsid w:val="00AF5F2E"/>
    <w:rsid w:val="00AF63A9"/>
    <w:rsid w:val="00AF739D"/>
    <w:rsid w:val="00B00194"/>
    <w:rsid w:val="00B006A9"/>
    <w:rsid w:val="00B01A59"/>
    <w:rsid w:val="00B01ECE"/>
    <w:rsid w:val="00B0325E"/>
    <w:rsid w:val="00B05889"/>
    <w:rsid w:val="00B06148"/>
    <w:rsid w:val="00B068F2"/>
    <w:rsid w:val="00B074CC"/>
    <w:rsid w:val="00B07CD4"/>
    <w:rsid w:val="00B1025D"/>
    <w:rsid w:val="00B10FBA"/>
    <w:rsid w:val="00B11191"/>
    <w:rsid w:val="00B1160B"/>
    <w:rsid w:val="00B12922"/>
    <w:rsid w:val="00B131D7"/>
    <w:rsid w:val="00B13310"/>
    <w:rsid w:val="00B154EA"/>
    <w:rsid w:val="00B16720"/>
    <w:rsid w:val="00B20969"/>
    <w:rsid w:val="00B2109F"/>
    <w:rsid w:val="00B22390"/>
    <w:rsid w:val="00B2258D"/>
    <w:rsid w:val="00B225B0"/>
    <w:rsid w:val="00B27DEB"/>
    <w:rsid w:val="00B307B2"/>
    <w:rsid w:val="00B318B0"/>
    <w:rsid w:val="00B31E83"/>
    <w:rsid w:val="00B3230A"/>
    <w:rsid w:val="00B325B0"/>
    <w:rsid w:val="00B328FC"/>
    <w:rsid w:val="00B3411C"/>
    <w:rsid w:val="00B34504"/>
    <w:rsid w:val="00B34AE3"/>
    <w:rsid w:val="00B34FDF"/>
    <w:rsid w:val="00B409D5"/>
    <w:rsid w:val="00B411EC"/>
    <w:rsid w:val="00B4136C"/>
    <w:rsid w:val="00B42528"/>
    <w:rsid w:val="00B4271C"/>
    <w:rsid w:val="00B42A04"/>
    <w:rsid w:val="00B43453"/>
    <w:rsid w:val="00B450F8"/>
    <w:rsid w:val="00B45184"/>
    <w:rsid w:val="00B45F62"/>
    <w:rsid w:val="00B4618D"/>
    <w:rsid w:val="00B47A0F"/>
    <w:rsid w:val="00B47CFD"/>
    <w:rsid w:val="00B50649"/>
    <w:rsid w:val="00B50941"/>
    <w:rsid w:val="00B519C5"/>
    <w:rsid w:val="00B51DCA"/>
    <w:rsid w:val="00B51EDA"/>
    <w:rsid w:val="00B5241B"/>
    <w:rsid w:val="00B5400D"/>
    <w:rsid w:val="00B549E8"/>
    <w:rsid w:val="00B55231"/>
    <w:rsid w:val="00B557B6"/>
    <w:rsid w:val="00B55E3F"/>
    <w:rsid w:val="00B6011A"/>
    <w:rsid w:val="00B60A1E"/>
    <w:rsid w:val="00B61595"/>
    <w:rsid w:val="00B61C3E"/>
    <w:rsid w:val="00B62C99"/>
    <w:rsid w:val="00B657A0"/>
    <w:rsid w:val="00B65FA8"/>
    <w:rsid w:val="00B66384"/>
    <w:rsid w:val="00B664D8"/>
    <w:rsid w:val="00B67E37"/>
    <w:rsid w:val="00B67E86"/>
    <w:rsid w:val="00B7014D"/>
    <w:rsid w:val="00B7017B"/>
    <w:rsid w:val="00B70C9B"/>
    <w:rsid w:val="00B70CF0"/>
    <w:rsid w:val="00B711D6"/>
    <w:rsid w:val="00B72094"/>
    <w:rsid w:val="00B722B5"/>
    <w:rsid w:val="00B73119"/>
    <w:rsid w:val="00B73641"/>
    <w:rsid w:val="00B73F2E"/>
    <w:rsid w:val="00B74113"/>
    <w:rsid w:val="00B8185D"/>
    <w:rsid w:val="00B827C5"/>
    <w:rsid w:val="00B83D1F"/>
    <w:rsid w:val="00B84190"/>
    <w:rsid w:val="00B84937"/>
    <w:rsid w:val="00B8773A"/>
    <w:rsid w:val="00B87B01"/>
    <w:rsid w:val="00B87FBD"/>
    <w:rsid w:val="00B9057D"/>
    <w:rsid w:val="00B91546"/>
    <w:rsid w:val="00B919DC"/>
    <w:rsid w:val="00B91D3B"/>
    <w:rsid w:val="00B9311B"/>
    <w:rsid w:val="00B93466"/>
    <w:rsid w:val="00B94293"/>
    <w:rsid w:val="00B94B1E"/>
    <w:rsid w:val="00B970F1"/>
    <w:rsid w:val="00B9718C"/>
    <w:rsid w:val="00B977A4"/>
    <w:rsid w:val="00BA1224"/>
    <w:rsid w:val="00BA1333"/>
    <w:rsid w:val="00BA1691"/>
    <w:rsid w:val="00BA2789"/>
    <w:rsid w:val="00BA3214"/>
    <w:rsid w:val="00BA326C"/>
    <w:rsid w:val="00BA3CC4"/>
    <w:rsid w:val="00BA4782"/>
    <w:rsid w:val="00BA49D3"/>
    <w:rsid w:val="00BA564B"/>
    <w:rsid w:val="00BA7103"/>
    <w:rsid w:val="00BB1709"/>
    <w:rsid w:val="00BB2346"/>
    <w:rsid w:val="00BB249D"/>
    <w:rsid w:val="00BB3A08"/>
    <w:rsid w:val="00BB4097"/>
    <w:rsid w:val="00BB56AB"/>
    <w:rsid w:val="00BB6AFA"/>
    <w:rsid w:val="00BB76DF"/>
    <w:rsid w:val="00BC0766"/>
    <w:rsid w:val="00BC17BE"/>
    <w:rsid w:val="00BC186E"/>
    <w:rsid w:val="00BC25CB"/>
    <w:rsid w:val="00BC2FCC"/>
    <w:rsid w:val="00BC2FD0"/>
    <w:rsid w:val="00BC348C"/>
    <w:rsid w:val="00BC468A"/>
    <w:rsid w:val="00BC479B"/>
    <w:rsid w:val="00BC493F"/>
    <w:rsid w:val="00BC5328"/>
    <w:rsid w:val="00BC54C1"/>
    <w:rsid w:val="00BC6D32"/>
    <w:rsid w:val="00BC7245"/>
    <w:rsid w:val="00BC7D24"/>
    <w:rsid w:val="00BD0413"/>
    <w:rsid w:val="00BD0C96"/>
    <w:rsid w:val="00BD2E17"/>
    <w:rsid w:val="00BD483E"/>
    <w:rsid w:val="00BD5482"/>
    <w:rsid w:val="00BD6E3E"/>
    <w:rsid w:val="00BD725C"/>
    <w:rsid w:val="00BD7B1A"/>
    <w:rsid w:val="00BE08C7"/>
    <w:rsid w:val="00BE08F5"/>
    <w:rsid w:val="00BE2ED0"/>
    <w:rsid w:val="00BE3370"/>
    <w:rsid w:val="00BE4286"/>
    <w:rsid w:val="00BE4622"/>
    <w:rsid w:val="00BE4C41"/>
    <w:rsid w:val="00BE57AA"/>
    <w:rsid w:val="00BE5FB9"/>
    <w:rsid w:val="00BE647C"/>
    <w:rsid w:val="00BE650A"/>
    <w:rsid w:val="00BE655B"/>
    <w:rsid w:val="00BE7CC4"/>
    <w:rsid w:val="00BF05F2"/>
    <w:rsid w:val="00BF268F"/>
    <w:rsid w:val="00BF385C"/>
    <w:rsid w:val="00BF56DE"/>
    <w:rsid w:val="00BF6B96"/>
    <w:rsid w:val="00C00F56"/>
    <w:rsid w:val="00C02859"/>
    <w:rsid w:val="00C03042"/>
    <w:rsid w:val="00C0349A"/>
    <w:rsid w:val="00C03717"/>
    <w:rsid w:val="00C04A7D"/>
    <w:rsid w:val="00C069A7"/>
    <w:rsid w:val="00C06A01"/>
    <w:rsid w:val="00C06E89"/>
    <w:rsid w:val="00C079DC"/>
    <w:rsid w:val="00C07D36"/>
    <w:rsid w:val="00C11C8C"/>
    <w:rsid w:val="00C11CC8"/>
    <w:rsid w:val="00C11D2B"/>
    <w:rsid w:val="00C120C0"/>
    <w:rsid w:val="00C13270"/>
    <w:rsid w:val="00C13EF0"/>
    <w:rsid w:val="00C140F0"/>
    <w:rsid w:val="00C15A21"/>
    <w:rsid w:val="00C17AAA"/>
    <w:rsid w:val="00C202C8"/>
    <w:rsid w:val="00C2157C"/>
    <w:rsid w:val="00C22912"/>
    <w:rsid w:val="00C22EBB"/>
    <w:rsid w:val="00C2545A"/>
    <w:rsid w:val="00C26BA5"/>
    <w:rsid w:val="00C27ECA"/>
    <w:rsid w:val="00C30AB4"/>
    <w:rsid w:val="00C31CC0"/>
    <w:rsid w:val="00C31FDC"/>
    <w:rsid w:val="00C3203A"/>
    <w:rsid w:val="00C33045"/>
    <w:rsid w:val="00C3316C"/>
    <w:rsid w:val="00C3371B"/>
    <w:rsid w:val="00C364F8"/>
    <w:rsid w:val="00C412D7"/>
    <w:rsid w:val="00C41A41"/>
    <w:rsid w:val="00C4288E"/>
    <w:rsid w:val="00C4306B"/>
    <w:rsid w:val="00C45162"/>
    <w:rsid w:val="00C45B9E"/>
    <w:rsid w:val="00C46EA7"/>
    <w:rsid w:val="00C509D3"/>
    <w:rsid w:val="00C50B64"/>
    <w:rsid w:val="00C51F94"/>
    <w:rsid w:val="00C5219B"/>
    <w:rsid w:val="00C522A9"/>
    <w:rsid w:val="00C53B22"/>
    <w:rsid w:val="00C55B41"/>
    <w:rsid w:val="00C5670B"/>
    <w:rsid w:val="00C56BE6"/>
    <w:rsid w:val="00C60191"/>
    <w:rsid w:val="00C60BBD"/>
    <w:rsid w:val="00C62A9A"/>
    <w:rsid w:val="00C63080"/>
    <w:rsid w:val="00C63CA5"/>
    <w:rsid w:val="00C650F6"/>
    <w:rsid w:val="00C674DE"/>
    <w:rsid w:val="00C6786E"/>
    <w:rsid w:val="00C67CDD"/>
    <w:rsid w:val="00C70E1F"/>
    <w:rsid w:val="00C734E1"/>
    <w:rsid w:val="00C74661"/>
    <w:rsid w:val="00C74E11"/>
    <w:rsid w:val="00C75682"/>
    <w:rsid w:val="00C75C12"/>
    <w:rsid w:val="00C76B99"/>
    <w:rsid w:val="00C76E50"/>
    <w:rsid w:val="00C77E30"/>
    <w:rsid w:val="00C81AC3"/>
    <w:rsid w:val="00C81D5F"/>
    <w:rsid w:val="00C82364"/>
    <w:rsid w:val="00C84E0F"/>
    <w:rsid w:val="00C850F4"/>
    <w:rsid w:val="00C8797D"/>
    <w:rsid w:val="00C902D7"/>
    <w:rsid w:val="00C9053C"/>
    <w:rsid w:val="00C92583"/>
    <w:rsid w:val="00C92709"/>
    <w:rsid w:val="00C94463"/>
    <w:rsid w:val="00C94CD6"/>
    <w:rsid w:val="00C96388"/>
    <w:rsid w:val="00C9661C"/>
    <w:rsid w:val="00C9665D"/>
    <w:rsid w:val="00C9668E"/>
    <w:rsid w:val="00C971CD"/>
    <w:rsid w:val="00CA10EB"/>
    <w:rsid w:val="00CA31D5"/>
    <w:rsid w:val="00CA5465"/>
    <w:rsid w:val="00CA5B78"/>
    <w:rsid w:val="00CA6695"/>
    <w:rsid w:val="00CA70B9"/>
    <w:rsid w:val="00CB1215"/>
    <w:rsid w:val="00CB1671"/>
    <w:rsid w:val="00CB2BD2"/>
    <w:rsid w:val="00CB511B"/>
    <w:rsid w:val="00CB5CFA"/>
    <w:rsid w:val="00CB72F5"/>
    <w:rsid w:val="00CC3017"/>
    <w:rsid w:val="00CC3809"/>
    <w:rsid w:val="00CC5BA6"/>
    <w:rsid w:val="00CC7744"/>
    <w:rsid w:val="00CD058E"/>
    <w:rsid w:val="00CD163A"/>
    <w:rsid w:val="00CD2C94"/>
    <w:rsid w:val="00CD3F58"/>
    <w:rsid w:val="00CD44C8"/>
    <w:rsid w:val="00CD5970"/>
    <w:rsid w:val="00CD764D"/>
    <w:rsid w:val="00CD7C25"/>
    <w:rsid w:val="00CE0A14"/>
    <w:rsid w:val="00CE1011"/>
    <w:rsid w:val="00CE146C"/>
    <w:rsid w:val="00CE30A6"/>
    <w:rsid w:val="00CE42A1"/>
    <w:rsid w:val="00CE5234"/>
    <w:rsid w:val="00CE5FFF"/>
    <w:rsid w:val="00CE6738"/>
    <w:rsid w:val="00CE7C01"/>
    <w:rsid w:val="00CF2024"/>
    <w:rsid w:val="00CF21BC"/>
    <w:rsid w:val="00CF3FBF"/>
    <w:rsid w:val="00CF4AD8"/>
    <w:rsid w:val="00CF4B43"/>
    <w:rsid w:val="00CF5484"/>
    <w:rsid w:val="00CF61B6"/>
    <w:rsid w:val="00CF62CE"/>
    <w:rsid w:val="00CF671F"/>
    <w:rsid w:val="00CF6D81"/>
    <w:rsid w:val="00CF6F07"/>
    <w:rsid w:val="00D00503"/>
    <w:rsid w:val="00D00846"/>
    <w:rsid w:val="00D008E1"/>
    <w:rsid w:val="00D01950"/>
    <w:rsid w:val="00D02807"/>
    <w:rsid w:val="00D04123"/>
    <w:rsid w:val="00D04919"/>
    <w:rsid w:val="00D052B4"/>
    <w:rsid w:val="00D059AD"/>
    <w:rsid w:val="00D06FBF"/>
    <w:rsid w:val="00D07E33"/>
    <w:rsid w:val="00D10076"/>
    <w:rsid w:val="00D11F3C"/>
    <w:rsid w:val="00D125C8"/>
    <w:rsid w:val="00D12778"/>
    <w:rsid w:val="00D13B5A"/>
    <w:rsid w:val="00D13FC7"/>
    <w:rsid w:val="00D14277"/>
    <w:rsid w:val="00D1488F"/>
    <w:rsid w:val="00D14B87"/>
    <w:rsid w:val="00D15643"/>
    <w:rsid w:val="00D16690"/>
    <w:rsid w:val="00D20645"/>
    <w:rsid w:val="00D2065C"/>
    <w:rsid w:val="00D20D4C"/>
    <w:rsid w:val="00D21F82"/>
    <w:rsid w:val="00D22071"/>
    <w:rsid w:val="00D2210B"/>
    <w:rsid w:val="00D22AD5"/>
    <w:rsid w:val="00D23A87"/>
    <w:rsid w:val="00D2449C"/>
    <w:rsid w:val="00D24AAD"/>
    <w:rsid w:val="00D252D1"/>
    <w:rsid w:val="00D26F56"/>
    <w:rsid w:val="00D2758D"/>
    <w:rsid w:val="00D3042C"/>
    <w:rsid w:val="00D3177D"/>
    <w:rsid w:val="00D3313F"/>
    <w:rsid w:val="00D337D1"/>
    <w:rsid w:val="00D33EFF"/>
    <w:rsid w:val="00D340D1"/>
    <w:rsid w:val="00D34352"/>
    <w:rsid w:val="00D357D2"/>
    <w:rsid w:val="00D35822"/>
    <w:rsid w:val="00D35E5E"/>
    <w:rsid w:val="00D37495"/>
    <w:rsid w:val="00D406B9"/>
    <w:rsid w:val="00D40849"/>
    <w:rsid w:val="00D4195E"/>
    <w:rsid w:val="00D41FA2"/>
    <w:rsid w:val="00D420DA"/>
    <w:rsid w:val="00D43399"/>
    <w:rsid w:val="00D43E31"/>
    <w:rsid w:val="00D447EE"/>
    <w:rsid w:val="00D478C9"/>
    <w:rsid w:val="00D50283"/>
    <w:rsid w:val="00D5127D"/>
    <w:rsid w:val="00D54369"/>
    <w:rsid w:val="00D54448"/>
    <w:rsid w:val="00D55EA4"/>
    <w:rsid w:val="00D56ECB"/>
    <w:rsid w:val="00D573FD"/>
    <w:rsid w:val="00D61D23"/>
    <w:rsid w:val="00D6435C"/>
    <w:rsid w:val="00D646E3"/>
    <w:rsid w:val="00D675F9"/>
    <w:rsid w:val="00D6772B"/>
    <w:rsid w:val="00D71434"/>
    <w:rsid w:val="00D71F7D"/>
    <w:rsid w:val="00D71F97"/>
    <w:rsid w:val="00D7239D"/>
    <w:rsid w:val="00D73421"/>
    <w:rsid w:val="00D7450E"/>
    <w:rsid w:val="00D74A41"/>
    <w:rsid w:val="00D75A86"/>
    <w:rsid w:val="00D75DA0"/>
    <w:rsid w:val="00D76907"/>
    <w:rsid w:val="00D76F05"/>
    <w:rsid w:val="00D77130"/>
    <w:rsid w:val="00D77F7E"/>
    <w:rsid w:val="00D80FE6"/>
    <w:rsid w:val="00D81644"/>
    <w:rsid w:val="00D8200E"/>
    <w:rsid w:val="00D827C8"/>
    <w:rsid w:val="00D84365"/>
    <w:rsid w:val="00D85D6C"/>
    <w:rsid w:val="00D86113"/>
    <w:rsid w:val="00D866C4"/>
    <w:rsid w:val="00D87FC0"/>
    <w:rsid w:val="00D904A7"/>
    <w:rsid w:val="00D9088F"/>
    <w:rsid w:val="00D9441D"/>
    <w:rsid w:val="00D946B3"/>
    <w:rsid w:val="00D95143"/>
    <w:rsid w:val="00D95AEB"/>
    <w:rsid w:val="00D95C89"/>
    <w:rsid w:val="00D976C6"/>
    <w:rsid w:val="00DA04ED"/>
    <w:rsid w:val="00DA07E0"/>
    <w:rsid w:val="00DA166D"/>
    <w:rsid w:val="00DA17C0"/>
    <w:rsid w:val="00DA35CD"/>
    <w:rsid w:val="00DA4EBB"/>
    <w:rsid w:val="00DA4F44"/>
    <w:rsid w:val="00DA664C"/>
    <w:rsid w:val="00DA791C"/>
    <w:rsid w:val="00DB0890"/>
    <w:rsid w:val="00DB1471"/>
    <w:rsid w:val="00DB17A2"/>
    <w:rsid w:val="00DB1D74"/>
    <w:rsid w:val="00DB25E4"/>
    <w:rsid w:val="00DB348A"/>
    <w:rsid w:val="00DB36C2"/>
    <w:rsid w:val="00DB448D"/>
    <w:rsid w:val="00DB45EC"/>
    <w:rsid w:val="00DB4917"/>
    <w:rsid w:val="00DB5F07"/>
    <w:rsid w:val="00DB6524"/>
    <w:rsid w:val="00DB6746"/>
    <w:rsid w:val="00DB6D0F"/>
    <w:rsid w:val="00DB7AD9"/>
    <w:rsid w:val="00DC14F0"/>
    <w:rsid w:val="00DC1945"/>
    <w:rsid w:val="00DC271B"/>
    <w:rsid w:val="00DC3816"/>
    <w:rsid w:val="00DC3C1F"/>
    <w:rsid w:val="00DC42D2"/>
    <w:rsid w:val="00DC6235"/>
    <w:rsid w:val="00DC68C9"/>
    <w:rsid w:val="00DC7535"/>
    <w:rsid w:val="00DD0134"/>
    <w:rsid w:val="00DD188C"/>
    <w:rsid w:val="00DD1990"/>
    <w:rsid w:val="00DD1B1B"/>
    <w:rsid w:val="00DD32DC"/>
    <w:rsid w:val="00DD5553"/>
    <w:rsid w:val="00DD617D"/>
    <w:rsid w:val="00DD7B4B"/>
    <w:rsid w:val="00DD7F9B"/>
    <w:rsid w:val="00DD7FA6"/>
    <w:rsid w:val="00DE04E0"/>
    <w:rsid w:val="00DE06E0"/>
    <w:rsid w:val="00DE1221"/>
    <w:rsid w:val="00DE29E4"/>
    <w:rsid w:val="00DE469A"/>
    <w:rsid w:val="00DE55FF"/>
    <w:rsid w:val="00DE5C50"/>
    <w:rsid w:val="00DE5F6F"/>
    <w:rsid w:val="00DE73B3"/>
    <w:rsid w:val="00DE7F03"/>
    <w:rsid w:val="00DF2F4B"/>
    <w:rsid w:val="00DF3EBD"/>
    <w:rsid w:val="00DF401C"/>
    <w:rsid w:val="00DF467D"/>
    <w:rsid w:val="00DF4D5D"/>
    <w:rsid w:val="00DF71A3"/>
    <w:rsid w:val="00DF7BD7"/>
    <w:rsid w:val="00E00448"/>
    <w:rsid w:val="00E00B23"/>
    <w:rsid w:val="00E0117D"/>
    <w:rsid w:val="00E012D0"/>
    <w:rsid w:val="00E021A9"/>
    <w:rsid w:val="00E0310F"/>
    <w:rsid w:val="00E03125"/>
    <w:rsid w:val="00E03A21"/>
    <w:rsid w:val="00E04D95"/>
    <w:rsid w:val="00E05F5C"/>
    <w:rsid w:val="00E0769B"/>
    <w:rsid w:val="00E10B5C"/>
    <w:rsid w:val="00E1117A"/>
    <w:rsid w:val="00E11760"/>
    <w:rsid w:val="00E119E8"/>
    <w:rsid w:val="00E12973"/>
    <w:rsid w:val="00E12BE7"/>
    <w:rsid w:val="00E141EC"/>
    <w:rsid w:val="00E14792"/>
    <w:rsid w:val="00E14DAE"/>
    <w:rsid w:val="00E155FA"/>
    <w:rsid w:val="00E1576C"/>
    <w:rsid w:val="00E16600"/>
    <w:rsid w:val="00E169CD"/>
    <w:rsid w:val="00E205A2"/>
    <w:rsid w:val="00E217A2"/>
    <w:rsid w:val="00E22659"/>
    <w:rsid w:val="00E228DE"/>
    <w:rsid w:val="00E23208"/>
    <w:rsid w:val="00E23244"/>
    <w:rsid w:val="00E24758"/>
    <w:rsid w:val="00E24BF9"/>
    <w:rsid w:val="00E26D76"/>
    <w:rsid w:val="00E2763D"/>
    <w:rsid w:val="00E27E22"/>
    <w:rsid w:val="00E27FFD"/>
    <w:rsid w:val="00E3374A"/>
    <w:rsid w:val="00E345DB"/>
    <w:rsid w:val="00E3545D"/>
    <w:rsid w:val="00E354D2"/>
    <w:rsid w:val="00E3574A"/>
    <w:rsid w:val="00E35A46"/>
    <w:rsid w:val="00E3668C"/>
    <w:rsid w:val="00E36CDA"/>
    <w:rsid w:val="00E37E0A"/>
    <w:rsid w:val="00E40533"/>
    <w:rsid w:val="00E405B8"/>
    <w:rsid w:val="00E41ADC"/>
    <w:rsid w:val="00E41CDC"/>
    <w:rsid w:val="00E43086"/>
    <w:rsid w:val="00E435D8"/>
    <w:rsid w:val="00E43B93"/>
    <w:rsid w:val="00E4448D"/>
    <w:rsid w:val="00E46A9F"/>
    <w:rsid w:val="00E46F96"/>
    <w:rsid w:val="00E475AC"/>
    <w:rsid w:val="00E47DD5"/>
    <w:rsid w:val="00E50D28"/>
    <w:rsid w:val="00E51807"/>
    <w:rsid w:val="00E53642"/>
    <w:rsid w:val="00E53896"/>
    <w:rsid w:val="00E5597A"/>
    <w:rsid w:val="00E55ABB"/>
    <w:rsid w:val="00E56140"/>
    <w:rsid w:val="00E5686D"/>
    <w:rsid w:val="00E6038C"/>
    <w:rsid w:val="00E60BCA"/>
    <w:rsid w:val="00E61322"/>
    <w:rsid w:val="00E62FEA"/>
    <w:rsid w:val="00E6319E"/>
    <w:rsid w:val="00E63F0C"/>
    <w:rsid w:val="00E642D5"/>
    <w:rsid w:val="00E64602"/>
    <w:rsid w:val="00E65663"/>
    <w:rsid w:val="00E659E5"/>
    <w:rsid w:val="00E66438"/>
    <w:rsid w:val="00E6761D"/>
    <w:rsid w:val="00E67B60"/>
    <w:rsid w:val="00E67D90"/>
    <w:rsid w:val="00E701FB"/>
    <w:rsid w:val="00E70698"/>
    <w:rsid w:val="00E7214E"/>
    <w:rsid w:val="00E72931"/>
    <w:rsid w:val="00E74924"/>
    <w:rsid w:val="00E74DC5"/>
    <w:rsid w:val="00E75380"/>
    <w:rsid w:val="00E7665D"/>
    <w:rsid w:val="00E766DF"/>
    <w:rsid w:val="00E8172C"/>
    <w:rsid w:val="00E81F35"/>
    <w:rsid w:val="00E82A56"/>
    <w:rsid w:val="00E82B1A"/>
    <w:rsid w:val="00E83D8A"/>
    <w:rsid w:val="00E84CBB"/>
    <w:rsid w:val="00E86434"/>
    <w:rsid w:val="00E871AE"/>
    <w:rsid w:val="00E90731"/>
    <w:rsid w:val="00E93107"/>
    <w:rsid w:val="00E937B6"/>
    <w:rsid w:val="00E95A84"/>
    <w:rsid w:val="00E96235"/>
    <w:rsid w:val="00E96CB5"/>
    <w:rsid w:val="00E9789E"/>
    <w:rsid w:val="00E97BF4"/>
    <w:rsid w:val="00EA0B74"/>
    <w:rsid w:val="00EA113C"/>
    <w:rsid w:val="00EA2A88"/>
    <w:rsid w:val="00EA7662"/>
    <w:rsid w:val="00EA78FF"/>
    <w:rsid w:val="00EA7D3C"/>
    <w:rsid w:val="00EB002B"/>
    <w:rsid w:val="00EB094A"/>
    <w:rsid w:val="00EB2632"/>
    <w:rsid w:val="00EB279B"/>
    <w:rsid w:val="00EB2CA5"/>
    <w:rsid w:val="00EB4198"/>
    <w:rsid w:val="00EB43FD"/>
    <w:rsid w:val="00EB44BE"/>
    <w:rsid w:val="00EB4682"/>
    <w:rsid w:val="00EB477D"/>
    <w:rsid w:val="00EB7FCF"/>
    <w:rsid w:val="00EC28E5"/>
    <w:rsid w:val="00EC6350"/>
    <w:rsid w:val="00EC6B93"/>
    <w:rsid w:val="00EC741D"/>
    <w:rsid w:val="00ED052C"/>
    <w:rsid w:val="00ED2FBE"/>
    <w:rsid w:val="00EE0868"/>
    <w:rsid w:val="00EE1372"/>
    <w:rsid w:val="00EE1BFF"/>
    <w:rsid w:val="00EE1F4E"/>
    <w:rsid w:val="00EE39C8"/>
    <w:rsid w:val="00EE51F1"/>
    <w:rsid w:val="00EF0B62"/>
    <w:rsid w:val="00EF1989"/>
    <w:rsid w:val="00EF19C6"/>
    <w:rsid w:val="00EF1AFC"/>
    <w:rsid w:val="00EF3A40"/>
    <w:rsid w:val="00EF468B"/>
    <w:rsid w:val="00EF5429"/>
    <w:rsid w:val="00EF705B"/>
    <w:rsid w:val="00F016A0"/>
    <w:rsid w:val="00F02857"/>
    <w:rsid w:val="00F03424"/>
    <w:rsid w:val="00F034AF"/>
    <w:rsid w:val="00F04CDD"/>
    <w:rsid w:val="00F0606D"/>
    <w:rsid w:val="00F06550"/>
    <w:rsid w:val="00F06858"/>
    <w:rsid w:val="00F06C5C"/>
    <w:rsid w:val="00F071A7"/>
    <w:rsid w:val="00F07633"/>
    <w:rsid w:val="00F0778D"/>
    <w:rsid w:val="00F077D3"/>
    <w:rsid w:val="00F07E0C"/>
    <w:rsid w:val="00F07F66"/>
    <w:rsid w:val="00F1065D"/>
    <w:rsid w:val="00F11DBC"/>
    <w:rsid w:val="00F12C97"/>
    <w:rsid w:val="00F1328C"/>
    <w:rsid w:val="00F1362E"/>
    <w:rsid w:val="00F13939"/>
    <w:rsid w:val="00F13B21"/>
    <w:rsid w:val="00F14463"/>
    <w:rsid w:val="00F1653E"/>
    <w:rsid w:val="00F16CC4"/>
    <w:rsid w:val="00F17524"/>
    <w:rsid w:val="00F17FE9"/>
    <w:rsid w:val="00F20F66"/>
    <w:rsid w:val="00F20F8F"/>
    <w:rsid w:val="00F2128C"/>
    <w:rsid w:val="00F23291"/>
    <w:rsid w:val="00F23D35"/>
    <w:rsid w:val="00F25284"/>
    <w:rsid w:val="00F26CA1"/>
    <w:rsid w:val="00F2709F"/>
    <w:rsid w:val="00F27FB6"/>
    <w:rsid w:val="00F31416"/>
    <w:rsid w:val="00F32B14"/>
    <w:rsid w:val="00F33190"/>
    <w:rsid w:val="00F332A2"/>
    <w:rsid w:val="00F337B2"/>
    <w:rsid w:val="00F33D36"/>
    <w:rsid w:val="00F33DC8"/>
    <w:rsid w:val="00F34F46"/>
    <w:rsid w:val="00F36FA6"/>
    <w:rsid w:val="00F37425"/>
    <w:rsid w:val="00F43BD2"/>
    <w:rsid w:val="00F45799"/>
    <w:rsid w:val="00F467A5"/>
    <w:rsid w:val="00F472CE"/>
    <w:rsid w:val="00F4755A"/>
    <w:rsid w:val="00F5386A"/>
    <w:rsid w:val="00F53CF3"/>
    <w:rsid w:val="00F547A2"/>
    <w:rsid w:val="00F5537C"/>
    <w:rsid w:val="00F555C6"/>
    <w:rsid w:val="00F60CC6"/>
    <w:rsid w:val="00F622E8"/>
    <w:rsid w:val="00F6316C"/>
    <w:rsid w:val="00F63895"/>
    <w:rsid w:val="00F63F39"/>
    <w:rsid w:val="00F63F4E"/>
    <w:rsid w:val="00F64822"/>
    <w:rsid w:val="00F65CB3"/>
    <w:rsid w:val="00F66848"/>
    <w:rsid w:val="00F66B4C"/>
    <w:rsid w:val="00F6759D"/>
    <w:rsid w:val="00F67902"/>
    <w:rsid w:val="00F705BB"/>
    <w:rsid w:val="00F707E3"/>
    <w:rsid w:val="00F70A04"/>
    <w:rsid w:val="00F70A77"/>
    <w:rsid w:val="00F71CD0"/>
    <w:rsid w:val="00F71FC5"/>
    <w:rsid w:val="00F72252"/>
    <w:rsid w:val="00F72261"/>
    <w:rsid w:val="00F72B22"/>
    <w:rsid w:val="00F73049"/>
    <w:rsid w:val="00F7378F"/>
    <w:rsid w:val="00F74187"/>
    <w:rsid w:val="00F745EC"/>
    <w:rsid w:val="00F756E0"/>
    <w:rsid w:val="00F75810"/>
    <w:rsid w:val="00F77609"/>
    <w:rsid w:val="00F77C1A"/>
    <w:rsid w:val="00F77CC9"/>
    <w:rsid w:val="00F80AE5"/>
    <w:rsid w:val="00F8451D"/>
    <w:rsid w:val="00F84BBE"/>
    <w:rsid w:val="00F84E50"/>
    <w:rsid w:val="00F851B9"/>
    <w:rsid w:val="00F8547A"/>
    <w:rsid w:val="00F9065F"/>
    <w:rsid w:val="00F9142F"/>
    <w:rsid w:val="00F91F5A"/>
    <w:rsid w:val="00F92232"/>
    <w:rsid w:val="00F92A99"/>
    <w:rsid w:val="00F92F01"/>
    <w:rsid w:val="00F93387"/>
    <w:rsid w:val="00F941C2"/>
    <w:rsid w:val="00F959C4"/>
    <w:rsid w:val="00F95B2C"/>
    <w:rsid w:val="00F95DDC"/>
    <w:rsid w:val="00F971E5"/>
    <w:rsid w:val="00F977FF"/>
    <w:rsid w:val="00FA0AA2"/>
    <w:rsid w:val="00FA0EE8"/>
    <w:rsid w:val="00FA249D"/>
    <w:rsid w:val="00FA41A6"/>
    <w:rsid w:val="00FA509B"/>
    <w:rsid w:val="00FB0F81"/>
    <w:rsid w:val="00FB1502"/>
    <w:rsid w:val="00FB17F6"/>
    <w:rsid w:val="00FB2075"/>
    <w:rsid w:val="00FB30B7"/>
    <w:rsid w:val="00FB3263"/>
    <w:rsid w:val="00FB4D78"/>
    <w:rsid w:val="00FB5CFE"/>
    <w:rsid w:val="00FB6565"/>
    <w:rsid w:val="00FB6800"/>
    <w:rsid w:val="00FB6ED3"/>
    <w:rsid w:val="00FB79D5"/>
    <w:rsid w:val="00FC07D5"/>
    <w:rsid w:val="00FC0D50"/>
    <w:rsid w:val="00FC1E27"/>
    <w:rsid w:val="00FC3832"/>
    <w:rsid w:val="00FC40E9"/>
    <w:rsid w:val="00FC4754"/>
    <w:rsid w:val="00FC546A"/>
    <w:rsid w:val="00FC68C0"/>
    <w:rsid w:val="00FC6BFA"/>
    <w:rsid w:val="00FC7658"/>
    <w:rsid w:val="00FC7C51"/>
    <w:rsid w:val="00FD0C77"/>
    <w:rsid w:val="00FD1F2A"/>
    <w:rsid w:val="00FD4195"/>
    <w:rsid w:val="00FD4C18"/>
    <w:rsid w:val="00FD5B91"/>
    <w:rsid w:val="00FD5FBF"/>
    <w:rsid w:val="00FD6732"/>
    <w:rsid w:val="00FD753A"/>
    <w:rsid w:val="00FE3E9E"/>
    <w:rsid w:val="00FE41CB"/>
    <w:rsid w:val="00FE574F"/>
    <w:rsid w:val="00FE5C2B"/>
    <w:rsid w:val="00FE610F"/>
    <w:rsid w:val="00FE622E"/>
    <w:rsid w:val="00FE65D5"/>
    <w:rsid w:val="00FE678C"/>
    <w:rsid w:val="00FE756A"/>
    <w:rsid w:val="00FF029E"/>
    <w:rsid w:val="00FF0918"/>
    <w:rsid w:val="00FF0A78"/>
    <w:rsid w:val="00FF0EC6"/>
    <w:rsid w:val="00FF0F85"/>
    <w:rsid w:val="00FF18E9"/>
    <w:rsid w:val="00FF211C"/>
    <w:rsid w:val="00FF2332"/>
    <w:rsid w:val="00FF247B"/>
    <w:rsid w:val="00FF275E"/>
    <w:rsid w:val="00FF29CA"/>
    <w:rsid w:val="00FF48F9"/>
    <w:rsid w:val="00FF5E21"/>
    <w:rsid w:val="00FF6506"/>
    <w:rsid w:val="00FF6F4D"/>
    <w:rsid w:val="00FF797F"/>
    <w:rsid w:val="00FF7B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FE6CCDE"/>
  <w15:chartTrackingRefBased/>
  <w15:docId w15:val="{7BA1644A-AA73-4492-B295-5ADE2014B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08D9"/>
    <w:rPr>
      <w:rFonts w:ascii="Arial" w:hAnsi="Arial"/>
      <w:sz w:val="24"/>
      <w:szCs w:val="24"/>
      <w:lang w:eastAsia="en-US"/>
    </w:rPr>
  </w:style>
  <w:style w:type="paragraph" w:styleId="Heading1">
    <w:name w:val="heading 1"/>
    <w:basedOn w:val="Normal"/>
    <w:next w:val="Normal"/>
    <w:qFormat/>
    <w:rsid w:val="00511814"/>
    <w:pPr>
      <w:keepNext/>
      <w:tabs>
        <w:tab w:val="right" w:pos="10206"/>
      </w:tabs>
      <w:spacing w:after="60"/>
      <w:outlineLvl w:val="0"/>
    </w:pPr>
    <w:rPr>
      <w:rFonts w:ascii="Arial Bold" w:hAnsi="Arial Bold" w:cs="Arial"/>
      <w:b/>
      <w:bCs/>
      <w:spacing w:val="-4"/>
      <w:kern w:val="32"/>
      <w:sz w:val="32"/>
      <w:szCs w:val="32"/>
    </w:rPr>
  </w:style>
  <w:style w:type="paragraph" w:styleId="Heading2">
    <w:name w:val="heading 2"/>
    <w:aliases w:val="EBHeading1"/>
    <w:basedOn w:val="Normal"/>
    <w:next w:val="EBBodyPara"/>
    <w:link w:val="Heading2Char"/>
    <w:qFormat/>
    <w:rsid w:val="002B7335"/>
    <w:pPr>
      <w:keepNext/>
      <w:keepLines/>
      <w:numPr>
        <w:numId w:val="25"/>
      </w:numPr>
      <w:spacing w:before="480" w:after="240"/>
      <w:outlineLvl w:val="1"/>
    </w:pPr>
    <w:rPr>
      <w:rFonts w:cs="Arial"/>
      <w:bCs/>
      <w:color w:val="000000"/>
      <w:sz w:val="32"/>
      <w:szCs w:val="22"/>
      <w:lang w:eastAsia="en-GB"/>
    </w:rPr>
  </w:style>
  <w:style w:type="paragraph" w:styleId="Heading3">
    <w:name w:val="heading 3"/>
    <w:aliases w:val="EBHeading2"/>
    <w:basedOn w:val="Normal"/>
    <w:next w:val="EBBodyPara"/>
    <w:qFormat/>
    <w:rsid w:val="002B7335"/>
    <w:pPr>
      <w:keepNext/>
      <w:keepLines/>
      <w:numPr>
        <w:ilvl w:val="1"/>
        <w:numId w:val="25"/>
      </w:numPr>
      <w:spacing w:before="360" w:after="240"/>
      <w:outlineLvl w:val="2"/>
    </w:pPr>
    <w:rPr>
      <w:rFonts w:cs="Arial"/>
      <w:b/>
      <w:bCs/>
      <w:color w:val="000000"/>
      <w:szCs w:val="22"/>
      <w:lang w:eastAsia="en-GB"/>
    </w:rPr>
  </w:style>
  <w:style w:type="paragraph" w:styleId="Heading4">
    <w:name w:val="heading 4"/>
    <w:aliases w:val="EBHeading3"/>
    <w:basedOn w:val="EBBodyPara"/>
    <w:next w:val="Normal"/>
    <w:qFormat/>
    <w:rsid w:val="002B7335"/>
    <w:pPr>
      <w:numPr>
        <w:ilvl w:val="2"/>
        <w:numId w:val="25"/>
      </w:numPr>
      <w:spacing w:before="240"/>
      <w:outlineLvl w:val="3"/>
    </w:pPr>
    <w:rPr>
      <w:b/>
    </w:rPr>
  </w:style>
  <w:style w:type="paragraph" w:styleId="Heading5">
    <w:name w:val="heading 5"/>
    <w:aliases w:val="EBHeading4"/>
    <w:basedOn w:val="Normal"/>
    <w:next w:val="Normal"/>
    <w:qFormat/>
    <w:rsid w:val="002B7335"/>
    <w:pPr>
      <w:numPr>
        <w:ilvl w:val="3"/>
        <w:numId w:val="25"/>
      </w:numPr>
      <w:spacing w:before="240" w:after="120"/>
      <w:outlineLvl w:val="4"/>
    </w:pPr>
    <w:rPr>
      <w:bCs/>
      <w:i/>
      <w:iCs/>
      <w:sz w:val="22"/>
      <w:szCs w:val="26"/>
    </w:rPr>
  </w:style>
  <w:style w:type="paragraph" w:styleId="Heading6">
    <w:name w:val="heading 6"/>
    <w:basedOn w:val="Normal"/>
    <w:next w:val="Normal"/>
    <w:link w:val="Heading6Char"/>
    <w:semiHidden/>
    <w:unhideWhenUsed/>
    <w:qFormat/>
    <w:rsid w:val="00CC3017"/>
    <w:pPr>
      <w:keepNext/>
      <w:keepLines/>
      <w:numPr>
        <w:ilvl w:val="4"/>
        <w:numId w:val="25"/>
      </w:numPr>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ATableLabel">
    <w:name w:val="IATableLabel"/>
    <w:basedOn w:val="Normal"/>
    <w:link w:val="IATableLabelCharChar"/>
    <w:rsid w:val="008A2D5B"/>
    <w:rPr>
      <w:rFonts w:eastAsia="SimSun"/>
      <w:color w:val="000000"/>
      <w:sz w:val="20"/>
      <w:szCs w:val="20"/>
      <w:lang w:eastAsia="zh-CN"/>
    </w:rPr>
  </w:style>
  <w:style w:type="character" w:customStyle="1" w:styleId="IATableLabelCharChar">
    <w:name w:val="IATableLabel Char Char"/>
    <w:link w:val="IATableLabel"/>
    <w:rsid w:val="008A2D5B"/>
    <w:rPr>
      <w:rFonts w:ascii="Arial" w:eastAsia="SimSun" w:hAnsi="Arial"/>
      <w:color w:val="000000"/>
      <w:lang w:eastAsia="zh-CN"/>
    </w:rPr>
  </w:style>
  <w:style w:type="paragraph" w:customStyle="1" w:styleId="IASpacer">
    <w:name w:val="IASpacer"/>
    <w:basedOn w:val="Normal"/>
    <w:rsid w:val="00133095"/>
    <w:pPr>
      <w:spacing w:line="80" w:lineRule="exact"/>
    </w:pPr>
    <w:rPr>
      <w:rFonts w:eastAsia="SimSun"/>
      <w:sz w:val="10"/>
      <w:lang w:eastAsia="zh-CN"/>
    </w:rPr>
  </w:style>
  <w:style w:type="paragraph" w:customStyle="1" w:styleId="IATableText">
    <w:name w:val="IATableText"/>
    <w:basedOn w:val="Normal"/>
    <w:link w:val="IATableTextChar"/>
    <w:rsid w:val="00712919"/>
    <w:pPr>
      <w:spacing w:after="60"/>
    </w:pPr>
    <w:rPr>
      <w:rFonts w:eastAsia="SimSun"/>
      <w:sz w:val="20"/>
      <w:szCs w:val="20"/>
      <w:lang w:eastAsia="zh-CN"/>
    </w:rPr>
  </w:style>
  <w:style w:type="character" w:customStyle="1" w:styleId="IATableTextChar">
    <w:name w:val="IATableText Char"/>
    <w:link w:val="IATableText"/>
    <w:rsid w:val="00712919"/>
    <w:rPr>
      <w:rFonts w:ascii="Arial" w:eastAsia="SimSun" w:hAnsi="Arial"/>
      <w:lang w:eastAsia="zh-CN"/>
    </w:rPr>
  </w:style>
  <w:style w:type="table" w:styleId="TableGrid">
    <w:name w:val="Table Grid"/>
    <w:basedOn w:val="TableNormal"/>
    <w:rsid w:val="000265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F64C7"/>
    <w:pPr>
      <w:ind w:left="113"/>
      <w:outlineLvl w:val="0"/>
    </w:pPr>
    <w:rPr>
      <w:rFonts w:cs="Arial"/>
      <w:bCs/>
      <w:color w:val="FFFFFF"/>
      <w:kern w:val="28"/>
      <w:sz w:val="32"/>
      <w:szCs w:val="32"/>
    </w:rPr>
  </w:style>
  <w:style w:type="paragraph" w:customStyle="1" w:styleId="IAHeadLab">
    <w:name w:val="IAHeadLab"/>
    <w:next w:val="Normal"/>
    <w:link w:val="IAHeadLabChar"/>
    <w:rsid w:val="00B67E86"/>
    <w:pPr>
      <w:spacing w:before="120" w:after="120"/>
    </w:pPr>
    <w:rPr>
      <w:rFonts w:ascii="Arial" w:eastAsia="SimSun" w:hAnsi="Arial"/>
      <w:szCs w:val="22"/>
      <w:lang w:eastAsia="zh-CN"/>
    </w:rPr>
  </w:style>
  <w:style w:type="table" w:customStyle="1" w:styleId="TableIAHeading">
    <w:name w:val="Table_IAHeading"/>
    <w:basedOn w:val="TableNormal"/>
    <w:semiHidden/>
    <w:rsid w:val="006A5A2E"/>
    <w:rPr>
      <w:rFonts w:eastAsia="SimSun"/>
      <w:color w:val="FFFFFF"/>
    </w:rPr>
    <w:tblPr>
      <w:tblBorders>
        <w:top w:val="single" w:sz="12" w:space="0" w:color="008080"/>
        <w:left w:val="single" w:sz="12" w:space="0" w:color="008080"/>
        <w:bottom w:val="single" w:sz="12" w:space="0" w:color="008080"/>
        <w:right w:val="single" w:sz="12" w:space="0" w:color="008080"/>
        <w:insideH w:val="single" w:sz="12" w:space="0" w:color="008080"/>
      </w:tblBorders>
      <w:tblCellMar>
        <w:left w:w="0" w:type="dxa"/>
        <w:right w:w="0" w:type="dxa"/>
      </w:tblCellMar>
    </w:tblPr>
    <w:tcPr>
      <w:shd w:val="clear" w:color="auto" w:fill="008080"/>
      <w:vAlign w:val="center"/>
    </w:tcPr>
  </w:style>
  <w:style w:type="character" w:styleId="CommentReference">
    <w:name w:val="annotation reference"/>
    <w:basedOn w:val="DefaultParagraphFont"/>
    <w:uiPriority w:val="99"/>
    <w:rsid w:val="009B24BC"/>
    <w:rPr>
      <w:sz w:val="16"/>
      <w:szCs w:val="16"/>
    </w:rPr>
  </w:style>
  <w:style w:type="paragraph" w:styleId="CommentText">
    <w:name w:val="annotation text"/>
    <w:basedOn w:val="Normal"/>
    <w:link w:val="CommentTextChar"/>
    <w:rsid w:val="009B24BC"/>
    <w:rPr>
      <w:sz w:val="20"/>
      <w:szCs w:val="20"/>
    </w:rPr>
  </w:style>
  <w:style w:type="paragraph" w:customStyle="1" w:styleId="IASignOff">
    <w:name w:val="IASignOff"/>
    <w:basedOn w:val="Normal"/>
    <w:link w:val="IASignOffChar"/>
    <w:semiHidden/>
    <w:rsid w:val="0050716D"/>
    <w:pPr>
      <w:spacing w:before="120" w:after="120"/>
      <w:ind w:left="567" w:right="567"/>
    </w:pPr>
    <w:rPr>
      <w:b/>
      <w:bCs/>
      <w:i/>
      <w:iCs/>
    </w:rPr>
  </w:style>
  <w:style w:type="character" w:customStyle="1" w:styleId="IASignOffChar">
    <w:name w:val="IASignOff Char"/>
    <w:link w:val="IASignOff"/>
    <w:rsid w:val="006A5A2E"/>
    <w:rPr>
      <w:rFonts w:ascii="Arial" w:eastAsia="SimSun" w:hAnsi="Arial"/>
      <w:b/>
      <w:bCs/>
      <w:i/>
      <w:iCs/>
      <w:sz w:val="18"/>
      <w:lang w:val="en-GB" w:eastAsia="zh-CN" w:bidi="ar-SA"/>
    </w:rPr>
  </w:style>
  <w:style w:type="paragraph" w:customStyle="1" w:styleId="IASign-off">
    <w:name w:val="IA Sign-off"/>
    <w:basedOn w:val="IATableText"/>
    <w:rsid w:val="007B7203"/>
    <w:pPr>
      <w:spacing w:after="0"/>
    </w:pPr>
    <w:rPr>
      <w:b/>
      <w:i/>
    </w:rPr>
  </w:style>
  <w:style w:type="paragraph" w:customStyle="1" w:styleId="IAHeading2">
    <w:name w:val="IAHeading2"/>
    <w:basedOn w:val="Normal"/>
    <w:semiHidden/>
    <w:rsid w:val="000A79FC"/>
    <w:pPr>
      <w:keepNext/>
      <w:keepLines/>
      <w:spacing w:before="60" w:after="60"/>
      <w:ind w:left="113" w:right="113"/>
    </w:pPr>
    <w:rPr>
      <w:rFonts w:eastAsia="SimSun"/>
      <w:b/>
      <w:sz w:val="20"/>
      <w:lang w:eastAsia="zh-CN"/>
    </w:rPr>
  </w:style>
  <w:style w:type="table" w:customStyle="1" w:styleId="TableIABox">
    <w:name w:val="Table_IABox"/>
    <w:basedOn w:val="TableNormal"/>
    <w:rsid w:val="007777A1"/>
    <w:rPr>
      <w:rFonts w:eastAsia="SimSun"/>
    </w:rPr>
    <w:tblPr>
      <w:tblBorders>
        <w:top w:val="single" w:sz="4" w:space="0" w:color="auto"/>
        <w:left w:val="single" w:sz="4" w:space="0" w:color="auto"/>
        <w:bottom w:val="single" w:sz="4" w:space="0" w:color="auto"/>
        <w:right w:val="single" w:sz="4" w:space="0" w:color="auto"/>
      </w:tblBorders>
      <w:tblCellMar>
        <w:left w:w="0" w:type="dxa"/>
        <w:right w:w="0" w:type="dxa"/>
      </w:tblCellMar>
    </w:tblPr>
  </w:style>
  <w:style w:type="paragraph" w:styleId="Header">
    <w:name w:val="header"/>
    <w:basedOn w:val="Normal"/>
    <w:rsid w:val="00E96CB5"/>
    <w:pPr>
      <w:jc w:val="center"/>
    </w:pPr>
    <w:rPr>
      <w:caps/>
    </w:rPr>
  </w:style>
  <w:style w:type="paragraph" w:styleId="Footer">
    <w:name w:val="footer"/>
    <w:basedOn w:val="Normal"/>
    <w:rsid w:val="000407D8"/>
    <w:pPr>
      <w:tabs>
        <w:tab w:val="center" w:pos="5132"/>
        <w:tab w:val="right" w:pos="10260"/>
      </w:tabs>
      <w:jc w:val="center"/>
    </w:pPr>
    <w:rPr>
      <w:b/>
      <w:sz w:val="18"/>
    </w:rPr>
  </w:style>
  <w:style w:type="character" w:styleId="PageNumber">
    <w:name w:val="page number"/>
    <w:basedOn w:val="DefaultParagraphFont"/>
    <w:rsid w:val="00EB43FD"/>
  </w:style>
  <w:style w:type="paragraph" w:customStyle="1" w:styleId="IANotes">
    <w:name w:val="IANotes"/>
    <w:basedOn w:val="Normal"/>
    <w:semiHidden/>
    <w:rsid w:val="00650282"/>
    <w:rPr>
      <w:rFonts w:eastAsia="SimSun"/>
      <w:color w:val="008080"/>
      <w:sz w:val="22"/>
      <w:lang w:eastAsia="zh-CN"/>
    </w:rPr>
  </w:style>
  <w:style w:type="paragraph" w:customStyle="1" w:styleId="IATableHeading">
    <w:name w:val="IATableHeading"/>
    <w:basedOn w:val="IATableLabel"/>
    <w:next w:val="IATableLabel"/>
    <w:link w:val="IATableHeadingChar"/>
    <w:rsid w:val="008A2D5B"/>
    <w:rPr>
      <w:b/>
    </w:rPr>
  </w:style>
  <w:style w:type="paragraph" w:styleId="FootnoteText">
    <w:name w:val="footnote text"/>
    <w:basedOn w:val="Normal"/>
    <w:link w:val="FootnoteTextChar"/>
    <w:semiHidden/>
    <w:rsid w:val="00490FF7"/>
    <w:rPr>
      <w:rFonts w:eastAsia="SimSun"/>
      <w:sz w:val="16"/>
      <w:szCs w:val="20"/>
      <w:lang w:eastAsia="zh-CN"/>
    </w:rPr>
  </w:style>
  <w:style w:type="character" w:styleId="FootnoteReference">
    <w:name w:val="footnote reference"/>
    <w:rsid w:val="00B84190"/>
    <w:rPr>
      <w:sz w:val="22"/>
      <w:vertAlign w:val="superscript"/>
    </w:rPr>
  </w:style>
  <w:style w:type="paragraph" w:customStyle="1" w:styleId="EBBodyPara">
    <w:name w:val="EBBodyPara"/>
    <w:basedOn w:val="Normal"/>
    <w:link w:val="EBBodyParaChar"/>
    <w:rsid w:val="00AF182E"/>
    <w:pPr>
      <w:spacing w:after="120"/>
    </w:pPr>
    <w:rPr>
      <w:rFonts w:cs="Arial"/>
      <w:bCs/>
      <w:color w:val="000000"/>
      <w:sz w:val="22"/>
      <w:szCs w:val="22"/>
      <w:lang w:eastAsia="en-GB"/>
    </w:rPr>
  </w:style>
  <w:style w:type="paragraph" w:styleId="BalloonText">
    <w:name w:val="Balloon Text"/>
    <w:basedOn w:val="Normal"/>
    <w:semiHidden/>
    <w:rsid w:val="00300CED"/>
    <w:rPr>
      <w:rFonts w:ascii="Tahoma" w:hAnsi="Tahoma" w:cs="Tahoma"/>
      <w:sz w:val="16"/>
      <w:szCs w:val="16"/>
    </w:rPr>
  </w:style>
  <w:style w:type="paragraph" w:customStyle="1" w:styleId="EBNumber">
    <w:name w:val="EBNumber"/>
    <w:basedOn w:val="Normal"/>
    <w:rsid w:val="00EE39C8"/>
    <w:pPr>
      <w:numPr>
        <w:ilvl w:val="1"/>
        <w:numId w:val="20"/>
      </w:numPr>
      <w:spacing w:after="120"/>
      <w:ind w:left="709"/>
    </w:pPr>
    <w:rPr>
      <w:rFonts w:cs="Arial"/>
      <w:bCs/>
      <w:color w:val="000000"/>
      <w:sz w:val="22"/>
      <w:szCs w:val="22"/>
      <w:lang w:eastAsia="en-GB"/>
    </w:rPr>
  </w:style>
  <w:style w:type="paragraph" w:customStyle="1" w:styleId="EBNumberRestart">
    <w:name w:val="EBNumberRestart"/>
    <w:basedOn w:val="Normal"/>
    <w:next w:val="EBNumber"/>
    <w:rsid w:val="00AF182E"/>
    <w:pPr>
      <w:numPr>
        <w:numId w:val="20"/>
      </w:numPr>
      <w:spacing w:after="120"/>
    </w:pPr>
    <w:rPr>
      <w:rFonts w:cs="Arial"/>
      <w:bCs/>
      <w:color w:val="000000"/>
      <w:sz w:val="22"/>
      <w:szCs w:val="22"/>
      <w:lang w:eastAsia="en-GB"/>
    </w:rPr>
  </w:style>
  <w:style w:type="paragraph" w:customStyle="1" w:styleId="SecurityClass">
    <w:name w:val="SecurityClass"/>
    <w:basedOn w:val="Header"/>
    <w:rsid w:val="00AE46AA"/>
  </w:style>
  <w:style w:type="character" w:customStyle="1" w:styleId="Heading6Char">
    <w:name w:val="Heading 6 Char"/>
    <w:basedOn w:val="DefaultParagraphFont"/>
    <w:link w:val="Heading6"/>
    <w:semiHidden/>
    <w:rsid w:val="00CC3017"/>
    <w:rPr>
      <w:rFonts w:asciiTheme="majorHAnsi" w:eastAsiaTheme="majorEastAsia" w:hAnsiTheme="majorHAnsi" w:cstheme="majorBidi"/>
      <w:color w:val="1F4D78" w:themeColor="accent1" w:themeShade="7F"/>
      <w:sz w:val="24"/>
      <w:szCs w:val="24"/>
      <w:lang w:eastAsia="en-US"/>
    </w:rPr>
  </w:style>
  <w:style w:type="character" w:styleId="Hyperlink">
    <w:name w:val="Hyperlink"/>
    <w:rsid w:val="00B4136C"/>
    <w:rPr>
      <w:color w:val="auto"/>
      <w:u w:val="single"/>
    </w:rPr>
  </w:style>
  <w:style w:type="paragraph" w:customStyle="1" w:styleId="IASignature">
    <w:name w:val="IA Signature"/>
    <w:basedOn w:val="IATableText"/>
    <w:rsid w:val="00594D7B"/>
    <w:pPr>
      <w:tabs>
        <w:tab w:val="left" w:leader="dot" w:pos="6804"/>
        <w:tab w:val="right" w:leader="dot" w:pos="10206"/>
      </w:tabs>
      <w:spacing w:after="0"/>
    </w:pPr>
  </w:style>
  <w:style w:type="paragraph" w:customStyle="1" w:styleId="EBBullet">
    <w:name w:val="EBBullet"/>
    <w:basedOn w:val="Normal"/>
    <w:rsid w:val="00EE39C8"/>
    <w:pPr>
      <w:numPr>
        <w:numId w:val="17"/>
      </w:numPr>
      <w:spacing w:after="120"/>
      <w:ind w:left="568"/>
    </w:pPr>
    <w:rPr>
      <w:rFonts w:cs="Arial"/>
      <w:bCs/>
      <w:color w:val="000000"/>
      <w:sz w:val="22"/>
      <w:szCs w:val="22"/>
      <w:lang w:eastAsia="en-GB"/>
    </w:rPr>
  </w:style>
  <w:style w:type="paragraph" w:customStyle="1" w:styleId="IATableLines">
    <w:name w:val="IATableLines"/>
    <w:basedOn w:val="IATableHeading"/>
    <w:link w:val="IATableLinesChar"/>
    <w:rsid w:val="00475400"/>
    <w:pPr>
      <w:spacing w:after="80"/>
    </w:pPr>
  </w:style>
  <w:style w:type="paragraph" w:customStyle="1" w:styleId="EvidenceHeadPIR">
    <w:name w:val="EvidenceHeadPIR"/>
    <w:rsid w:val="00BE650A"/>
    <w:pPr>
      <w:spacing w:after="120"/>
    </w:pPr>
    <w:rPr>
      <w:rFonts w:ascii="Arial" w:hAnsi="Arial" w:cs="Arial"/>
      <w:bCs/>
      <w:color w:val="000000"/>
      <w:sz w:val="22"/>
      <w:szCs w:val="22"/>
    </w:rPr>
  </w:style>
  <w:style w:type="character" w:styleId="FollowedHyperlink">
    <w:name w:val="FollowedHyperlink"/>
    <w:rsid w:val="006D37CF"/>
    <w:rPr>
      <w:color w:val="auto"/>
      <w:u w:val="single"/>
    </w:rPr>
  </w:style>
  <w:style w:type="paragraph" w:customStyle="1" w:styleId="POPVBY">
    <w:name w:val="POPVBY"/>
    <w:basedOn w:val="IATableLabel"/>
    <w:rsid w:val="00475400"/>
    <w:pPr>
      <w:jc w:val="right"/>
    </w:pPr>
    <w:rPr>
      <w:b/>
    </w:rPr>
  </w:style>
  <w:style w:type="paragraph" w:customStyle="1" w:styleId="POTPY">
    <w:name w:val="POTPY"/>
    <w:basedOn w:val="IATableLabel"/>
    <w:rsid w:val="00475400"/>
    <w:pPr>
      <w:jc w:val="right"/>
    </w:pPr>
  </w:style>
  <w:style w:type="character" w:customStyle="1" w:styleId="IAHeadLabChar">
    <w:name w:val="IAHeadLab Char"/>
    <w:link w:val="IAHeadLab"/>
    <w:rsid w:val="00B67E86"/>
    <w:rPr>
      <w:rFonts w:ascii="Arial" w:eastAsia="SimSun" w:hAnsi="Arial"/>
      <w:szCs w:val="22"/>
      <w:lang w:eastAsia="zh-CN"/>
    </w:rPr>
  </w:style>
  <w:style w:type="paragraph" w:customStyle="1" w:styleId="IADate">
    <w:name w:val="IADate"/>
    <w:basedOn w:val="IATableLabel"/>
    <w:link w:val="IADateChar"/>
    <w:rsid w:val="008031EC"/>
    <w:rPr>
      <w:b/>
      <w:sz w:val="22"/>
      <w:szCs w:val="22"/>
    </w:rPr>
  </w:style>
  <w:style w:type="paragraph" w:customStyle="1" w:styleId="IATOM">
    <w:name w:val="IATOM"/>
    <w:basedOn w:val="IATableLabel"/>
    <w:link w:val="IATOMChar"/>
    <w:rsid w:val="00133095"/>
    <w:rPr>
      <w:b/>
      <w:sz w:val="24"/>
      <w:szCs w:val="24"/>
    </w:rPr>
  </w:style>
  <w:style w:type="paragraph" w:customStyle="1" w:styleId="IACOE">
    <w:name w:val="IACOE"/>
    <w:basedOn w:val="Normal"/>
    <w:link w:val="IACOEChar"/>
    <w:autoRedefine/>
    <w:rsid w:val="00B225B0"/>
    <w:rPr>
      <w:rFonts w:eastAsia="SimSun"/>
      <w:spacing w:val="-5"/>
      <w:sz w:val="20"/>
      <w:lang w:eastAsia="zh-CN"/>
    </w:rPr>
  </w:style>
  <w:style w:type="paragraph" w:customStyle="1" w:styleId="IARPC">
    <w:name w:val="IARPC"/>
    <w:basedOn w:val="Title"/>
    <w:link w:val="IARPCChar"/>
    <w:rsid w:val="002766C5"/>
    <w:pPr>
      <w:ind w:left="0"/>
    </w:pPr>
    <w:rPr>
      <w:rFonts w:eastAsia="SimSun"/>
      <w:color w:val="000000"/>
      <w:sz w:val="24"/>
      <w:szCs w:val="24"/>
    </w:rPr>
  </w:style>
  <w:style w:type="paragraph" w:customStyle="1" w:styleId="IAIIOTNPV">
    <w:name w:val="IAIIOTNPV"/>
    <w:basedOn w:val="IATableLabel"/>
    <w:rsid w:val="00300C80"/>
    <w:rPr>
      <w:sz w:val="22"/>
      <w:szCs w:val="22"/>
    </w:rPr>
  </w:style>
  <w:style w:type="character" w:customStyle="1" w:styleId="CommentTextChar">
    <w:name w:val="Comment Text Char"/>
    <w:basedOn w:val="DefaultParagraphFont"/>
    <w:link w:val="CommentText"/>
    <w:rsid w:val="009B24BC"/>
    <w:rPr>
      <w:rFonts w:ascii="Arial" w:hAnsi="Arial"/>
      <w:lang w:eastAsia="en-US"/>
    </w:rPr>
  </w:style>
  <w:style w:type="paragraph" w:styleId="CommentSubject">
    <w:name w:val="annotation subject"/>
    <w:basedOn w:val="CommentText"/>
    <w:next w:val="CommentText"/>
    <w:link w:val="CommentSubjectChar"/>
    <w:rsid w:val="009B24BC"/>
    <w:rPr>
      <w:b/>
      <w:bCs/>
    </w:rPr>
  </w:style>
  <w:style w:type="character" w:customStyle="1" w:styleId="CommentSubjectChar">
    <w:name w:val="Comment Subject Char"/>
    <w:basedOn w:val="CommentTextChar"/>
    <w:link w:val="CommentSubject"/>
    <w:rsid w:val="009B24BC"/>
    <w:rPr>
      <w:rFonts w:ascii="Arial" w:hAnsi="Arial"/>
      <w:b/>
      <w:bCs/>
      <w:lang w:eastAsia="en-US"/>
    </w:rPr>
  </w:style>
  <w:style w:type="paragraph" w:customStyle="1" w:styleId="IAIOSigDate">
    <w:name w:val="IAIOSigDate"/>
    <w:basedOn w:val="Normal"/>
    <w:rsid w:val="00F91F5A"/>
    <w:pPr>
      <w:jc w:val="center"/>
    </w:pPr>
    <w:rPr>
      <w:sz w:val="22"/>
      <w:szCs w:val="22"/>
    </w:rPr>
  </w:style>
  <w:style w:type="character" w:customStyle="1" w:styleId="IADateChar">
    <w:name w:val="IADate Char"/>
    <w:link w:val="IADate"/>
    <w:rsid w:val="00174C10"/>
    <w:rPr>
      <w:rFonts w:ascii="Arial" w:eastAsia="SimSun" w:hAnsi="Arial"/>
      <w:b/>
      <w:color w:val="000000"/>
      <w:spacing w:val="-5"/>
      <w:sz w:val="22"/>
      <w:szCs w:val="22"/>
      <w:lang w:val="en-GB" w:eastAsia="zh-CN" w:bidi="ar-SA"/>
    </w:rPr>
  </w:style>
  <w:style w:type="character" w:customStyle="1" w:styleId="IATableLinesChar">
    <w:name w:val="IATableLines Char"/>
    <w:basedOn w:val="IATableTextChar"/>
    <w:link w:val="IATableLines"/>
    <w:rsid w:val="00475400"/>
    <w:rPr>
      <w:rFonts w:ascii="Arial" w:eastAsia="SimSun" w:hAnsi="Arial"/>
      <w:b/>
      <w:color w:val="000000"/>
      <w:lang w:eastAsia="zh-CN"/>
    </w:rPr>
  </w:style>
  <w:style w:type="character" w:customStyle="1" w:styleId="IACOEChar">
    <w:name w:val="IACOE Char"/>
    <w:link w:val="IACOE"/>
    <w:rsid w:val="00B225B0"/>
    <w:rPr>
      <w:rFonts w:ascii="Arial" w:eastAsia="SimSun" w:hAnsi="Arial"/>
      <w:b/>
      <w:color w:val="000000"/>
      <w:spacing w:val="-5"/>
      <w:sz w:val="22"/>
      <w:szCs w:val="24"/>
      <w:lang w:val="en-GB" w:eastAsia="zh-CN" w:bidi="ar-SA"/>
    </w:rPr>
  </w:style>
  <w:style w:type="character" w:customStyle="1" w:styleId="IATOMChar">
    <w:name w:val="IATOM Char"/>
    <w:link w:val="IATOM"/>
    <w:rsid w:val="00133095"/>
    <w:rPr>
      <w:rFonts w:ascii="Arial" w:eastAsia="SimSun" w:hAnsi="Arial"/>
      <w:b/>
      <w:color w:val="000000"/>
      <w:sz w:val="24"/>
      <w:szCs w:val="24"/>
      <w:lang w:eastAsia="zh-CN"/>
    </w:rPr>
  </w:style>
  <w:style w:type="character" w:customStyle="1" w:styleId="TitleChar">
    <w:name w:val="Title Char"/>
    <w:link w:val="Title"/>
    <w:rsid w:val="00174C10"/>
    <w:rPr>
      <w:rFonts w:ascii="Arial" w:hAnsi="Arial" w:cs="Arial"/>
      <w:bCs/>
      <w:color w:val="FFFFFF"/>
      <w:kern w:val="28"/>
      <w:sz w:val="32"/>
      <w:szCs w:val="32"/>
      <w:lang w:val="en-GB" w:eastAsia="en-US" w:bidi="ar-SA"/>
    </w:rPr>
  </w:style>
  <w:style w:type="character" w:customStyle="1" w:styleId="IARPCChar">
    <w:name w:val="IARPC Char"/>
    <w:link w:val="IARPC"/>
    <w:rsid w:val="002766C5"/>
    <w:rPr>
      <w:rFonts w:ascii="Arial" w:eastAsia="SimSun" w:hAnsi="Arial" w:cs="Arial"/>
      <w:bCs/>
      <w:color w:val="000000"/>
      <w:kern w:val="28"/>
      <w:sz w:val="24"/>
      <w:szCs w:val="24"/>
      <w:lang w:eastAsia="en-US"/>
    </w:rPr>
  </w:style>
  <w:style w:type="character" w:styleId="PlaceholderText">
    <w:name w:val="Placeholder Text"/>
    <w:basedOn w:val="DefaultParagraphFont"/>
    <w:uiPriority w:val="99"/>
    <w:semiHidden/>
    <w:rsid w:val="005B66B4"/>
    <w:rPr>
      <w:color w:val="808080"/>
    </w:rPr>
  </w:style>
  <w:style w:type="paragraph" w:customStyle="1" w:styleId="IASign-offlabel">
    <w:name w:val="IA Sign-off label"/>
    <w:basedOn w:val="Normal"/>
    <w:link w:val="IASign-offlabelChar"/>
    <w:rsid w:val="005C615C"/>
    <w:pPr>
      <w:spacing w:before="110" w:after="120"/>
    </w:pPr>
    <w:rPr>
      <w:rFonts w:eastAsia="SimSun"/>
      <w:color w:val="000000"/>
      <w:sz w:val="20"/>
      <w:szCs w:val="22"/>
      <w:u w:val="single"/>
      <w:lang w:eastAsia="zh-CN"/>
    </w:rPr>
  </w:style>
  <w:style w:type="character" w:customStyle="1" w:styleId="IASign-offlabelChar">
    <w:name w:val="IA Sign-off label Char"/>
    <w:link w:val="IASign-offlabel"/>
    <w:rsid w:val="00154118"/>
    <w:rPr>
      <w:rFonts w:ascii="Arial" w:eastAsia="SimSun" w:hAnsi="Arial"/>
      <w:color w:val="000000"/>
      <w:szCs w:val="22"/>
      <w:u w:val="single"/>
      <w:lang w:eastAsia="zh-CN"/>
    </w:rPr>
  </w:style>
  <w:style w:type="character" w:customStyle="1" w:styleId="IATableHeadingChar">
    <w:name w:val="IATableHeading Char"/>
    <w:basedOn w:val="IATableLabelCharChar"/>
    <w:link w:val="IATableHeading"/>
    <w:rsid w:val="007A73C6"/>
    <w:rPr>
      <w:rFonts w:ascii="Arial" w:eastAsia="SimSun" w:hAnsi="Arial"/>
      <w:b/>
      <w:color w:val="000000"/>
      <w:lang w:eastAsia="zh-CN"/>
    </w:rPr>
  </w:style>
  <w:style w:type="paragraph" w:customStyle="1" w:styleId="IAHeadTitle">
    <w:name w:val="IAHeadTitle"/>
    <w:basedOn w:val="IAHeadLab"/>
    <w:next w:val="IAHeadLab"/>
    <w:qFormat/>
    <w:rsid w:val="00B67E86"/>
    <w:rPr>
      <w:b/>
    </w:rPr>
  </w:style>
  <w:style w:type="character" w:customStyle="1" w:styleId="FootnoteTextChar">
    <w:name w:val="Footnote Text Char"/>
    <w:basedOn w:val="DefaultParagraphFont"/>
    <w:link w:val="FootnoteText"/>
    <w:semiHidden/>
    <w:rsid w:val="00AC3587"/>
    <w:rPr>
      <w:rFonts w:ascii="Arial" w:eastAsia="SimSun" w:hAnsi="Arial"/>
      <w:sz w:val="16"/>
      <w:lang w:eastAsia="zh-CN"/>
    </w:rPr>
  </w:style>
  <w:style w:type="table" w:styleId="PlainTable2">
    <w:name w:val="Plain Table 2"/>
    <w:basedOn w:val="TableNormal"/>
    <w:uiPriority w:val="42"/>
    <w:rsid w:val="000944C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Heading2Char">
    <w:name w:val="Heading 2 Char"/>
    <w:aliases w:val="EBHeading1 Char"/>
    <w:basedOn w:val="DefaultParagraphFont"/>
    <w:link w:val="Heading2"/>
    <w:rsid w:val="005D21B7"/>
    <w:rPr>
      <w:rFonts w:ascii="Arial" w:hAnsi="Arial" w:cs="Arial"/>
      <w:bCs/>
      <w:color w:val="000000"/>
      <w:sz w:val="32"/>
      <w:szCs w:val="22"/>
    </w:rPr>
  </w:style>
  <w:style w:type="paragraph" w:styleId="Revision">
    <w:name w:val="Revision"/>
    <w:hidden/>
    <w:uiPriority w:val="99"/>
    <w:semiHidden/>
    <w:rsid w:val="004C4721"/>
    <w:rPr>
      <w:rFonts w:ascii="Arial" w:hAnsi="Arial"/>
      <w:sz w:val="24"/>
      <w:szCs w:val="24"/>
      <w:lang w:eastAsia="en-US"/>
    </w:rPr>
  </w:style>
  <w:style w:type="character" w:customStyle="1" w:styleId="EBBodyParaChar">
    <w:name w:val="EBBodyPara Char"/>
    <w:link w:val="EBBodyPara"/>
    <w:rsid w:val="004632E8"/>
    <w:rPr>
      <w:rFonts w:ascii="Arial" w:hAnsi="Arial" w:cs="Arial"/>
      <w:bCs/>
      <w:color w:val="000000"/>
      <w:sz w:val="22"/>
      <w:szCs w:val="22"/>
    </w:rPr>
  </w:style>
  <w:style w:type="paragraph" w:styleId="ListParagraph">
    <w:name w:val="List Paragraph"/>
    <w:basedOn w:val="Normal"/>
    <w:uiPriority w:val="34"/>
    <w:qFormat/>
    <w:rsid w:val="008D5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433">
      <w:bodyDiv w:val="1"/>
      <w:marLeft w:val="0"/>
      <w:marRight w:val="0"/>
      <w:marTop w:val="0"/>
      <w:marBottom w:val="0"/>
      <w:divBdr>
        <w:top w:val="none" w:sz="0" w:space="0" w:color="auto"/>
        <w:left w:val="none" w:sz="0" w:space="0" w:color="auto"/>
        <w:bottom w:val="none" w:sz="0" w:space="0" w:color="auto"/>
        <w:right w:val="none" w:sz="0" w:space="0" w:color="auto"/>
      </w:divBdr>
    </w:div>
    <w:div w:id="40835436">
      <w:bodyDiv w:val="1"/>
      <w:marLeft w:val="0"/>
      <w:marRight w:val="0"/>
      <w:marTop w:val="0"/>
      <w:marBottom w:val="0"/>
      <w:divBdr>
        <w:top w:val="none" w:sz="0" w:space="0" w:color="auto"/>
        <w:left w:val="none" w:sz="0" w:space="0" w:color="auto"/>
        <w:bottom w:val="none" w:sz="0" w:space="0" w:color="auto"/>
        <w:right w:val="none" w:sz="0" w:space="0" w:color="auto"/>
      </w:divBdr>
    </w:div>
    <w:div w:id="69621463">
      <w:bodyDiv w:val="1"/>
      <w:marLeft w:val="0"/>
      <w:marRight w:val="0"/>
      <w:marTop w:val="0"/>
      <w:marBottom w:val="0"/>
      <w:divBdr>
        <w:top w:val="none" w:sz="0" w:space="0" w:color="auto"/>
        <w:left w:val="none" w:sz="0" w:space="0" w:color="auto"/>
        <w:bottom w:val="none" w:sz="0" w:space="0" w:color="auto"/>
        <w:right w:val="none" w:sz="0" w:space="0" w:color="auto"/>
      </w:divBdr>
    </w:div>
    <w:div w:id="101150713">
      <w:bodyDiv w:val="1"/>
      <w:marLeft w:val="0"/>
      <w:marRight w:val="0"/>
      <w:marTop w:val="0"/>
      <w:marBottom w:val="0"/>
      <w:divBdr>
        <w:top w:val="none" w:sz="0" w:space="0" w:color="auto"/>
        <w:left w:val="none" w:sz="0" w:space="0" w:color="auto"/>
        <w:bottom w:val="none" w:sz="0" w:space="0" w:color="auto"/>
        <w:right w:val="none" w:sz="0" w:space="0" w:color="auto"/>
      </w:divBdr>
    </w:div>
    <w:div w:id="141047722">
      <w:bodyDiv w:val="1"/>
      <w:marLeft w:val="0"/>
      <w:marRight w:val="0"/>
      <w:marTop w:val="0"/>
      <w:marBottom w:val="0"/>
      <w:divBdr>
        <w:top w:val="none" w:sz="0" w:space="0" w:color="auto"/>
        <w:left w:val="none" w:sz="0" w:space="0" w:color="auto"/>
        <w:bottom w:val="none" w:sz="0" w:space="0" w:color="auto"/>
        <w:right w:val="none" w:sz="0" w:space="0" w:color="auto"/>
      </w:divBdr>
    </w:div>
    <w:div w:id="177085807">
      <w:bodyDiv w:val="1"/>
      <w:marLeft w:val="0"/>
      <w:marRight w:val="0"/>
      <w:marTop w:val="0"/>
      <w:marBottom w:val="0"/>
      <w:divBdr>
        <w:top w:val="none" w:sz="0" w:space="0" w:color="auto"/>
        <w:left w:val="none" w:sz="0" w:space="0" w:color="auto"/>
        <w:bottom w:val="none" w:sz="0" w:space="0" w:color="auto"/>
        <w:right w:val="none" w:sz="0" w:space="0" w:color="auto"/>
      </w:divBdr>
    </w:div>
    <w:div w:id="209345375">
      <w:bodyDiv w:val="1"/>
      <w:marLeft w:val="0"/>
      <w:marRight w:val="0"/>
      <w:marTop w:val="0"/>
      <w:marBottom w:val="0"/>
      <w:divBdr>
        <w:top w:val="none" w:sz="0" w:space="0" w:color="auto"/>
        <w:left w:val="none" w:sz="0" w:space="0" w:color="auto"/>
        <w:bottom w:val="none" w:sz="0" w:space="0" w:color="auto"/>
        <w:right w:val="none" w:sz="0" w:space="0" w:color="auto"/>
      </w:divBdr>
    </w:div>
    <w:div w:id="214661697">
      <w:bodyDiv w:val="1"/>
      <w:marLeft w:val="0"/>
      <w:marRight w:val="0"/>
      <w:marTop w:val="0"/>
      <w:marBottom w:val="0"/>
      <w:divBdr>
        <w:top w:val="none" w:sz="0" w:space="0" w:color="auto"/>
        <w:left w:val="none" w:sz="0" w:space="0" w:color="auto"/>
        <w:bottom w:val="none" w:sz="0" w:space="0" w:color="auto"/>
        <w:right w:val="none" w:sz="0" w:space="0" w:color="auto"/>
      </w:divBdr>
    </w:div>
    <w:div w:id="271667277">
      <w:bodyDiv w:val="1"/>
      <w:marLeft w:val="0"/>
      <w:marRight w:val="0"/>
      <w:marTop w:val="0"/>
      <w:marBottom w:val="0"/>
      <w:divBdr>
        <w:top w:val="none" w:sz="0" w:space="0" w:color="auto"/>
        <w:left w:val="none" w:sz="0" w:space="0" w:color="auto"/>
        <w:bottom w:val="none" w:sz="0" w:space="0" w:color="auto"/>
        <w:right w:val="none" w:sz="0" w:space="0" w:color="auto"/>
      </w:divBdr>
    </w:div>
    <w:div w:id="278101247">
      <w:bodyDiv w:val="1"/>
      <w:marLeft w:val="0"/>
      <w:marRight w:val="0"/>
      <w:marTop w:val="0"/>
      <w:marBottom w:val="0"/>
      <w:divBdr>
        <w:top w:val="none" w:sz="0" w:space="0" w:color="auto"/>
        <w:left w:val="none" w:sz="0" w:space="0" w:color="auto"/>
        <w:bottom w:val="none" w:sz="0" w:space="0" w:color="auto"/>
        <w:right w:val="none" w:sz="0" w:space="0" w:color="auto"/>
      </w:divBdr>
    </w:div>
    <w:div w:id="353962874">
      <w:bodyDiv w:val="1"/>
      <w:marLeft w:val="0"/>
      <w:marRight w:val="0"/>
      <w:marTop w:val="0"/>
      <w:marBottom w:val="0"/>
      <w:divBdr>
        <w:top w:val="none" w:sz="0" w:space="0" w:color="auto"/>
        <w:left w:val="none" w:sz="0" w:space="0" w:color="auto"/>
        <w:bottom w:val="none" w:sz="0" w:space="0" w:color="auto"/>
        <w:right w:val="none" w:sz="0" w:space="0" w:color="auto"/>
      </w:divBdr>
    </w:div>
    <w:div w:id="378668820">
      <w:bodyDiv w:val="1"/>
      <w:marLeft w:val="0"/>
      <w:marRight w:val="0"/>
      <w:marTop w:val="0"/>
      <w:marBottom w:val="0"/>
      <w:divBdr>
        <w:top w:val="none" w:sz="0" w:space="0" w:color="auto"/>
        <w:left w:val="none" w:sz="0" w:space="0" w:color="auto"/>
        <w:bottom w:val="none" w:sz="0" w:space="0" w:color="auto"/>
        <w:right w:val="none" w:sz="0" w:space="0" w:color="auto"/>
      </w:divBdr>
    </w:div>
    <w:div w:id="436995918">
      <w:bodyDiv w:val="1"/>
      <w:marLeft w:val="0"/>
      <w:marRight w:val="0"/>
      <w:marTop w:val="0"/>
      <w:marBottom w:val="0"/>
      <w:divBdr>
        <w:top w:val="none" w:sz="0" w:space="0" w:color="auto"/>
        <w:left w:val="none" w:sz="0" w:space="0" w:color="auto"/>
        <w:bottom w:val="none" w:sz="0" w:space="0" w:color="auto"/>
        <w:right w:val="none" w:sz="0" w:space="0" w:color="auto"/>
      </w:divBdr>
    </w:div>
    <w:div w:id="454449065">
      <w:bodyDiv w:val="1"/>
      <w:marLeft w:val="0"/>
      <w:marRight w:val="0"/>
      <w:marTop w:val="0"/>
      <w:marBottom w:val="0"/>
      <w:divBdr>
        <w:top w:val="none" w:sz="0" w:space="0" w:color="auto"/>
        <w:left w:val="none" w:sz="0" w:space="0" w:color="auto"/>
        <w:bottom w:val="none" w:sz="0" w:space="0" w:color="auto"/>
        <w:right w:val="none" w:sz="0" w:space="0" w:color="auto"/>
      </w:divBdr>
    </w:div>
    <w:div w:id="494616513">
      <w:bodyDiv w:val="1"/>
      <w:marLeft w:val="0"/>
      <w:marRight w:val="0"/>
      <w:marTop w:val="0"/>
      <w:marBottom w:val="0"/>
      <w:divBdr>
        <w:top w:val="none" w:sz="0" w:space="0" w:color="auto"/>
        <w:left w:val="none" w:sz="0" w:space="0" w:color="auto"/>
        <w:bottom w:val="none" w:sz="0" w:space="0" w:color="auto"/>
        <w:right w:val="none" w:sz="0" w:space="0" w:color="auto"/>
      </w:divBdr>
    </w:div>
    <w:div w:id="628902402">
      <w:bodyDiv w:val="1"/>
      <w:marLeft w:val="0"/>
      <w:marRight w:val="0"/>
      <w:marTop w:val="0"/>
      <w:marBottom w:val="0"/>
      <w:divBdr>
        <w:top w:val="none" w:sz="0" w:space="0" w:color="auto"/>
        <w:left w:val="none" w:sz="0" w:space="0" w:color="auto"/>
        <w:bottom w:val="none" w:sz="0" w:space="0" w:color="auto"/>
        <w:right w:val="none" w:sz="0" w:space="0" w:color="auto"/>
      </w:divBdr>
    </w:div>
    <w:div w:id="766586017">
      <w:bodyDiv w:val="1"/>
      <w:marLeft w:val="0"/>
      <w:marRight w:val="0"/>
      <w:marTop w:val="0"/>
      <w:marBottom w:val="0"/>
      <w:divBdr>
        <w:top w:val="none" w:sz="0" w:space="0" w:color="auto"/>
        <w:left w:val="none" w:sz="0" w:space="0" w:color="auto"/>
        <w:bottom w:val="none" w:sz="0" w:space="0" w:color="auto"/>
        <w:right w:val="none" w:sz="0" w:space="0" w:color="auto"/>
      </w:divBdr>
    </w:div>
    <w:div w:id="772164618">
      <w:bodyDiv w:val="1"/>
      <w:marLeft w:val="0"/>
      <w:marRight w:val="0"/>
      <w:marTop w:val="0"/>
      <w:marBottom w:val="0"/>
      <w:divBdr>
        <w:top w:val="none" w:sz="0" w:space="0" w:color="auto"/>
        <w:left w:val="none" w:sz="0" w:space="0" w:color="auto"/>
        <w:bottom w:val="none" w:sz="0" w:space="0" w:color="auto"/>
        <w:right w:val="none" w:sz="0" w:space="0" w:color="auto"/>
      </w:divBdr>
    </w:div>
    <w:div w:id="839125329">
      <w:bodyDiv w:val="1"/>
      <w:marLeft w:val="0"/>
      <w:marRight w:val="0"/>
      <w:marTop w:val="0"/>
      <w:marBottom w:val="0"/>
      <w:divBdr>
        <w:top w:val="none" w:sz="0" w:space="0" w:color="auto"/>
        <w:left w:val="none" w:sz="0" w:space="0" w:color="auto"/>
        <w:bottom w:val="none" w:sz="0" w:space="0" w:color="auto"/>
        <w:right w:val="none" w:sz="0" w:space="0" w:color="auto"/>
      </w:divBdr>
    </w:div>
    <w:div w:id="907112817">
      <w:bodyDiv w:val="1"/>
      <w:marLeft w:val="0"/>
      <w:marRight w:val="0"/>
      <w:marTop w:val="0"/>
      <w:marBottom w:val="0"/>
      <w:divBdr>
        <w:top w:val="none" w:sz="0" w:space="0" w:color="auto"/>
        <w:left w:val="none" w:sz="0" w:space="0" w:color="auto"/>
        <w:bottom w:val="none" w:sz="0" w:space="0" w:color="auto"/>
        <w:right w:val="none" w:sz="0" w:space="0" w:color="auto"/>
      </w:divBdr>
    </w:div>
    <w:div w:id="948972132">
      <w:bodyDiv w:val="1"/>
      <w:marLeft w:val="0"/>
      <w:marRight w:val="0"/>
      <w:marTop w:val="0"/>
      <w:marBottom w:val="0"/>
      <w:divBdr>
        <w:top w:val="none" w:sz="0" w:space="0" w:color="auto"/>
        <w:left w:val="none" w:sz="0" w:space="0" w:color="auto"/>
        <w:bottom w:val="none" w:sz="0" w:space="0" w:color="auto"/>
        <w:right w:val="none" w:sz="0" w:space="0" w:color="auto"/>
      </w:divBdr>
    </w:div>
    <w:div w:id="1026759072">
      <w:bodyDiv w:val="1"/>
      <w:marLeft w:val="0"/>
      <w:marRight w:val="0"/>
      <w:marTop w:val="0"/>
      <w:marBottom w:val="0"/>
      <w:divBdr>
        <w:top w:val="none" w:sz="0" w:space="0" w:color="auto"/>
        <w:left w:val="none" w:sz="0" w:space="0" w:color="auto"/>
        <w:bottom w:val="none" w:sz="0" w:space="0" w:color="auto"/>
        <w:right w:val="none" w:sz="0" w:space="0" w:color="auto"/>
      </w:divBdr>
    </w:div>
    <w:div w:id="1085421809">
      <w:bodyDiv w:val="1"/>
      <w:marLeft w:val="0"/>
      <w:marRight w:val="0"/>
      <w:marTop w:val="0"/>
      <w:marBottom w:val="0"/>
      <w:divBdr>
        <w:top w:val="none" w:sz="0" w:space="0" w:color="auto"/>
        <w:left w:val="none" w:sz="0" w:space="0" w:color="auto"/>
        <w:bottom w:val="none" w:sz="0" w:space="0" w:color="auto"/>
        <w:right w:val="none" w:sz="0" w:space="0" w:color="auto"/>
      </w:divBdr>
    </w:div>
    <w:div w:id="1086150894">
      <w:bodyDiv w:val="1"/>
      <w:marLeft w:val="0"/>
      <w:marRight w:val="0"/>
      <w:marTop w:val="0"/>
      <w:marBottom w:val="0"/>
      <w:divBdr>
        <w:top w:val="none" w:sz="0" w:space="0" w:color="auto"/>
        <w:left w:val="none" w:sz="0" w:space="0" w:color="auto"/>
        <w:bottom w:val="none" w:sz="0" w:space="0" w:color="auto"/>
        <w:right w:val="none" w:sz="0" w:space="0" w:color="auto"/>
      </w:divBdr>
    </w:div>
    <w:div w:id="1096898602">
      <w:bodyDiv w:val="1"/>
      <w:marLeft w:val="0"/>
      <w:marRight w:val="0"/>
      <w:marTop w:val="0"/>
      <w:marBottom w:val="0"/>
      <w:divBdr>
        <w:top w:val="none" w:sz="0" w:space="0" w:color="auto"/>
        <w:left w:val="none" w:sz="0" w:space="0" w:color="auto"/>
        <w:bottom w:val="none" w:sz="0" w:space="0" w:color="auto"/>
        <w:right w:val="none" w:sz="0" w:space="0" w:color="auto"/>
      </w:divBdr>
    </w:div>
    <w:div w:id="1104963249">
      <w:bodyDiv w:val="1"/>
      <w:marLeft w:val="0"/>
      <w:marRight w:val="0"/>
      <w:marTop w:val="0"/>
      <w:marBottom w:val="0"/>
      <w:divBdr>
        <w:top w:val="none" w:sz="0" w:space="0" w:color="auto"/>
        <w:left w:val="none" w:sz="0" w:space="0" w:color="auto"/>
        <w:bottom w:val="none" w:sz="0" w:space="0" w:color="auto"/>
        <w:right w:val="none" w:sz="0" w:space="0" w:color="auto"/>
      </w:divBdr>
    </w:div>
    <w:div w:id="1171413755">
      <w:bodyDiv w:val="1"/>
      <w:marLeft w:val="0"/>
      <w:marRight w:val="0"/>
      <w:marTop w:val="0"/>
      <w:marBottom w:val="0"/>
      <w:divBdr>
        <w:top w:val="none" w:sz="0" w:space="0" w:color="auto"/>
        <w:left w:val="none" w:sz="0" w:space="0" w:color="auto"/>
        <w:bottom w:val="none" w:sz="0" w:space="0" w:color="auto"/>
        <w:right w:val="none" w:sz="0" w:space="0" w:color="auto"/>
      </w:divBdr>
    </w:div>
    <w:div w:id="1239169004">
      <w:bodyDiv w:val="1"/>
      <w:marLeft w:val="0"/>
      <w:marRight w:val="0"/>
      <w:marTop w:val="0"/>
      <w:marBottom w:val="0"/>
      <w:divBdr>
        <w:top w:val="none" w:sz="0" w:space="0" w:color="auto"/>
        <w:left w:val="none" w:sz="0" w:space="0" w:color="auto"/>
        <w:bottom w:val="none" w:sz="0" w:space="0" w:color="auto"/>
        <w:right w:val="none" w:sz="0" w:space="0" w:color="auto"/>
      </w:divBdr>
    </w:div>
    <w:div w:id="1261641921">
      <w:bodyDiv w:val="1"/>
      <w:marLeft w:val="0"/>
      <w:marRight w:val="0"/>
      <w:marTop w:val="0"/>
      <w:marBottom w:val="0"/>
      <w:divBdr>
        <w:top w:val="none" w:sz="0" w:space="0" w:color="auto"/>
        <w:left w:val="none" w:sz="0" w:space="0" w:color="auto"/>
        <w:bottom w:val="none" w:sz="0" w:space="0" w:color="auto"/>
        <w:right w:val="none" w:sz="0" w:space="0" w:color="auto"/>
      </w:divBdr>
    </w:div>
    <w:div w:id="1402605621">
      <w:bodyDiv w:val="1"/>
      <w:marLeft w:val="0"/>
      <w:marRight w:val="0"/>
      <w:marTop w:val="0"/>
      <w:marBottom w:val="0"/>
      <w:divBdr>
        <w:top w:val="none" w:sz="0" w:space="0" w:color="auto"/>
        <w:left w:val="none" w:sz="0" w:space="0" w:color="auto"/>
        <w:bottom w:val="none" w:sz="0" w:space="0" w:color="auto"/>
        <w:right w:val="none" w:sz="0" w:space="0" w:color="auto"/>
      </w:divBdr>
    </w:div>
    <w:div w:id="1432967598">
      <w:bodyDiv w:val="1"/>
      <w:marLeft w:val="0"/>
      <w:marRight w:val="0"/>
      <w:marTop w:val="0"/>
      <w:marBottom w:val="0"/>
      <w:divBdr>
        <w:top w:val="none" w:sz="0" w:space="0" w:color="auto"/>
        <w:left w:val="none" w:sz="0" w:space="0" w:color="auto"/>
        <w:bottom w:val="none" w:sz="0" w:space="0" w:color="auto"/>
        <w:right w:val="none" w:sz="0" w:space="0" w:color="auto"/>
      </w:divBdr>
    </w:div>
    <w:div w:id="1607615319">
      <w:bodyDiv w:val="1"/>
      <w:marLeft w:val="0"/>
      <w:marRight w:val="0"/>
      <w:marTop w:val="0"/>
      <w:marBottom w:val="0"/>
      <w:divBdr>
        <w:top w:val="none" w:sz="0" w:space="0" w:color="auto"/>
        <w:left w:val="none" w:sz="0" w:space="0" w:color="auto"/>
        <w:bottom w:val="none" w:sz="0" w:space="0" w:color="auto"/>
        <w:right w:val="none" w:sz="0" w:space="0" w:color="auto"/>
      </w:divBdr>
    </w:div>
    <w:div w:id="1618366965">
      <w:bodyDiv w:val="1"/>
      <w:marLeft w:val="0"/>
      <w:marRight w:val="0"/>
      <w:marTop w:val="0"/>
      <w:marBottom w:val="0"/>
      <w:divBdr>
        <w:top w:val="none" w:sz="0" w:space="0" w:color="auto"/>
        <w:left w:val="none" w:sz="0" w:space="0" w:color="auto"/>
        <w:bottom w:val="none" w:sz="0" w:space="0" w:color="auto"/>
        <w:right w:val="none" w:sz="0" w:space="0" w:color="auto"/>
      </w:divBdr>
    </w:div>
    <w:div w:id="1697541851">
      <w:bodyDiv w:val="1"/>
      <w:marLeft w:val="0"/>
      <w:marRight w:val="0"/>
      <w:marTop w:val="0"/>
      <w:marBottom w:val="0"/>
      <w:divBdr>
        <w:top w:val="none" w:sz="0" w:space="0" w:color="auto"/>
        <w:left w:val="none" w:sz="0" w:space="0" w:color="auto"/>
        <w:bottom w:val="none" w:sz="0" w:space="0" w:color="auto"/>
        <w:right w:val="none" w:sz="0" w:space="0" w:color="auto"/>
      </w:divBdr>
    </w:div>
    <w:div w:id="1772510658">
      <w:bodyDiv w:val="1"/>
      <w:marLeft w:val="0"/>
      <w:marRight w:val="0"/>
      <w:marTop w:val="0"/>
      <w:marBottom w:val="0"/>
      <w:divBdr>
        <w:top w:val="none" w:sz="0" w:space="0" w:color="auto"/>
        <w:left w:val="none" w:sz="0" w:space="0" w:color="auto"/>
        <w:bottom w:val="none" w:sz="0" w:space="0" w:color="auto"/>
        <w:right w:val="none" w:sz="0" w:space="0" w:color="auto"/>
      </w:divBdr>
    </w:div>
    <w:div w:id="1790473286">
      <w:bodyDiv w:val="1"/>
      <w:marLeft w:val="0"/>
      <w:marRight w:val="0"/>
      <w:marTop w:val="0"/>
      <w:marBottom w:val="0"/>
      <w:divBdr>
        <w:top w:val="none" w:sz="0" w:space="0" w:color="auto"/>
        <w:left w:val="none" w:sz="0" w:space="0" w:color="auto"/>
        <w:bottom w:val="none" w:sz="0" w:space="0" w:color="auto"/>
        <w:right w:val="none" w:sz="0" w:space="0" w:color="auto"/>
      </w:divBdr>
    </w:div>
    <w:div w:id="1859390121">
      <w:bodyDiv w:val="1"/>
      <w:marLeft w:val="0"/>
      <w:marRight w:val="0"/>
      <w:marTop w:val="0"/>
      <w:marBottom w:val="0"/>
      <w:divBdr>
        <w:top w:val="none" w:sz="0" w:space="0" w:color="auto"/>
        <w:left w:val="none" w:sz="0" w:space="0" w:color="auto"/>
        <w:bottom w:val="none" w:sz="0" w:space="0" w:color="auto"/>
        <w:right w:val="none" w:sz="0" w:space="0" w:color="auto"/>
      </w:divBdr>
    </w:div>
    <w:div w:id="1882473324">
      <w:bodyDiv w:val="1"/>
      <w:marLeft w:val="0"/>
      <w:marRight w:val="0"/>
      <w:marTop w:val="0"/>
      <w:marBottom w:val="0"/>
      <w:divBdr>
        <w:top w:val="none" w:sz="0" w:space="0" w:color="auto"/>
        <w:left w:val="none" w:sz="0" w:space="0" w:color="auto"/>
        <w:bottom w:val="none" w:sz="0" w:space="0" w:color="auto"/>
        <w:right w:val="none" w:sz="0" w:space="0" w:color="auto"/>
      </w:divBdr>
    </w:div>
    <w:div w:id="1889951309">
      <w:bodyDiv w:val="1"/>
      <w:marLeft w:val="0"/>
      <w:marRight w:val="0"/>
      <w:marTop w:val="0"/>
      <w:marBottom w:val="0"/>
      <w:divBdr>
        <w:top w:val="none" w:sz="0" w:space="0" w:color="auto"/>
        <w:left w:val="none" w:sz="0" w:space="0" w:color="auto"/>
        <w:bottom w:val="none" w:sz="0" w:space="0" w:color="auto"/>
        <w:right w:val="none" w:sz="0" w:space="0" w:color="auto"/>
      </w:divBdr>
    </w:div>
    <w:div w:id="1957364379">
      <w:bodyDiv w:val="1"/>
      <w:marLeft w:val="0"/>
      <w:marRight w:val="0"/>
      <w:marTop w:val="0"/>
      <w:marBottom w:val="0"/>
      <w:divBdr>
        <w:top w:val="none" w:sz="0" w:space="0" w:color="auto"/>
        <w:left w:val="none" w:sz="0" w:space="0" w:color="auto"/>
        <w:bottom w:val="none" w:sz="0" w:space="0" w:color="auto"/>
        <w:right w:val="none" w:sz="0" w:space="0" w:color="auto"/>
      </w:divBdr>
    </w:div>
    <w:div w:id="1966228716">
      <w:bodyDiv w:val="1"/>
      <w:marLeft w:val="0"/>
      <w:marRight w:val="0"/>
      <w:marTop w:val="0"/>
      <w:marBottom w:val="0"/>
      <w:divBdr>
        <w:top w:val="none" w:sz="0" w:space="0" w:color="auto"/>
        <w:left w:val="none" w:sz="0" w:space="0" w:color="auto"/>
        <w:bottom w:val="none" w:sz="0" w:space="0" w:color="auto"/>
        <w:right w:val="none" w:sz="0" w:space="0" w:color="auto"/>
      </w:divBdr>
    </w:div>
    <w:div w:id="2110656982">
      <w:bodyDiv w:val="1"/>
      <w:marLeft w:val="0"/>
      <w:marRight w:val="0"/>
      <w:marTop w:val="0"/>
      <w:marBottom w:val="0"/>
      <w:divBdr>
        <w:top w:val="none" w:sz="0" w:space="0" w:color="auto"/>
        <w:left w:val="none" w:sz="0" w:space="0" w:color="auto"/>
        <w:bottom w:val="none" w:sz="0" w:space="0" w:color="auto"/>
        <w:right w:val="none" w:sz="0" w:space="0" w:color="auto"/>
      </w:divBdr>
    </w:div>
    <w:div w:id="2129353405">
      <w:bodyDiv w:val="1"/>
      <w:marLeft w:val="0"/>
      <w:marRight w:val="0"/>
      <w:marTop w:val="0"/>
      <w:marBottom w:val="0"/>
      <w:divBdr>
        <w:top w:val="none" w:sz="0" w:space="0" w:color="auto"/>
        <w:left w:val="none" w:sz="0" w:space="0" w:color="auto"/>
        <w:bottom w:val="none" w:sz="0" w:space="0" w:color="auto"/>
        <w:right w:val="none" w:sz="0" w:space="0" w:color="auto"/>
      </w:divBdr>
    </w:div>
    <w:div w:id="213963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n.wikipedia.org/wiki/Shipping" TargetMode="External"/><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diagramLayout" Target="diagrams/layout2.xml"/><Relationship Id="rId7" Type="http://schemas.openxmlformats.org/officeDocument/2006/relationships/endnotes" Target="endnotes.xml"/><Relationship Id="rId12" Type="http://schemas.openxmlformats.org/officeDocument/2006/relationships/hyperlink" Target="https://en.wikipedia.org/wiki/Non-governmental_organization"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diagramDrawing" Target="diagrams/drawing2.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10" Type="http://schemas.openxmlformats.org/officeDocument/2006/relationships/header" Target="header2.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n.wikipedia.org/wiki/Offshore_platform" TargetMode="External"/><Relationship Id="rId22" Type="http://schemas.openxmlformats.org/officeDocument/2006/relationships/diagramQuickStyle" Target="diagrams/quickStyle2.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FE4048D-9ABC-4BC5-AD08-0F3F1C12D84A}"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GB"/>
        </a:p>
      </dgm:t>
    </dgm:pt>
    <dgm:pt modelId="{11E00BF6-0CEE-404A-98FB-F1D375E48126}">
      <dgm:prSet phldrT="[Text]">
        <dgm:style>
          <a:lnRef idx="1">
            <a:schemeClr val="dk1"/>
          </a:lnRef>
          <a:fillRef idx="2">
            <a:schemeClr val="dk1"/>
          </a:fillRef>
          <a:effectRef idx="1">
            <a:schemeClr val="dk1"/>
          </a:effectRef>
          <a:fontRef idx="minor">
            <a:schemeClr val="dk1"/>
          </a:fontRef>
        </dgm:style>
      </dgm:prSet>
      <dgm:spPr/>
      <dgm:t>
        <a:bodyPr/>
        <a:lstStyle/>
        <a:p>
          <a:r>
            <a:rPr lang="en-GB">
              <a:latin typeface="Arial" panose="020B0604020202020204" pitchFamily="34" charset="0"/>
              <a:cs typeface="Arial" panose="020B0604020202020204" pitchFamily="34" charset="0"/>
            </a:rPr>
            <a:t>Collision</a:t>
          </a:r>
        </a:p>
      </dgm:t>
    </dgm:pt>
    <dgm:pt modelId="{EEA14668-B664-476A-9CCC-1289D14D3C6D}" type="parTrans" cxnId="{EB8AFA69-6C84-491E-9500-649040957306}">
      <dgm:prSet/>
      <dgm:spPr/>
      <dgm:t>
        <a:bodyPr/>
        <a:lstStyle/>
        <a:p>
          <a:endParaRPr lang="en-GB">
            <a:latin typeface="Arial" panose="020B0604020202020204" pitchFamily="34" charset="0"/>
            <a:cs typeface="Arial" panose="020B0604020202020204" pitchFamily="34" charset="0"/>
          </a:endParaRPr>
        </a:p>
      </dgm:t>
    </dgm:pt>
    <dgm:pt modelId="{65CD20FB-4BD9-40D9-97C7-0BF32C5AB602}" type="sibTrans" cxnId="{EB8AFA69-6C84-491E-9500-649040957306}">
      <dgm:prSet/>
      <dgm:spPr/>
      <dgm:t>
        <a:bodyPr/>
        <a:lstStyle/>
        <a:p>
          <a:endParaRPr lang="en-GB">
            <a:latin typeface="Arial" panose="020B0604020202020204" pitchFamily="34" charset="0"/>
            <a:cs typeface="Arial" panose="020B0604020202020204" pitchFamily="34" charset="0"/>
          </a:endParaRPr>
        </a:p>
      </dgm:t>
    </dgm:pt>
    <dgm:pt modelId="{2C2A80B6-AA39-4849-8A5A-2CE5405EB36D}">
      <dgm:prSet phldrT="[Text]"/>
      <dgm:spPr/>
      <dgm:t>
        <a:bodyPr/>
        <a:lstStyle/>
        <a:p>
          <a:r>
            <a:rPr lang="en-GB">
              <a:latin typeface="Arial" panose="020B0604020202020204" pitchFamily="34" charset="0"/>
              <a:cs typeface="Arial" panose="020B0604020202020204" pitchFamily="34" charset="0"/>
            </a:rPr>
            <a:t>Full-on collision (18%)</a:t>
          </a:r>
        </a:p>
      </dgm:t>
    </dgm:pt>
    <dgm:pt modelId="{8827ECC8-2016-458B-A7FA-AEC61FF2770B}" type="parTrans" cxnId="{D1B8408C-4551-4685-802D-28DF415957C0}">
      <dgm:prSet/>
      <dgm:spPr/>
      <dgm:t>
        <a:bodyPr/>
        <a:lstStyle/>
        <a:p>
          <a:endParaRPr lang="en-GB">
            <a:latin typeface="Arial" panose="020B0604020202020204" pitchFamily="34" charset="0"/>
            <a:cs typeface="Arial" panose="020B0604020202020204" pitchFamily="34" charset="0"/>
          </a:endParaRPr>
        </a:p>
      </dgm:t>
    </dgm:pt>
    <dgm:pt modelId="{6D8A0A09-392F-407A-B8D4-97C3D441CDCE}" type="sibTrans" cxnId="{D1B8408C-4551-4685-802D-28DF415957C0}">
      <dgm:prSet/>
      <dgm:spPr/>
      <dgm:t>
        <a:bodyPr/>
        <a:lstStyle/>
        <a:p>
          <a:endParaRPr lang="en-GB">
            <a:latin typeface="Arial" panose="020B0604020202020204" pitchFamily="34" charset="0"/>
            <a:cs typeface="Arial" panose="020B0604020202020204" pitchFamily="34" charset="0"/>
          </a:endParaRPr>
        </a:p>
      </dgm:t>
    </dgm:pt>
    <dgm:pt modelId="{2440E86C-DB16-4269-B585-1301ABC141EC}">
      <dgm:prSet phldrT="[Text]"/>
      <dgm:spPr/>
      <dgm:t>
        <a:bodyPr/>
        <a:lstStyle/>
        <a:p>
          <a:r>
            <a:rPr lang="en-GB">
              <a:latin typeface="Arial" panose="020B0604020202020204" pitchFamily="34" charset="0"/>
              <a:cs typeface="Arial" panose="020B0604020202020204" pitchFamily="34" charset="0"/>
            </a:rPr>
            <a:t>Struck vessel (50%)</a:t>
          </a:r>
        </a:p>
      </dgm:t>
    </dgm:pt>
    <dgm:pt modelId="{148B8C70-117A-4BDC-9324-45E9B5EC9B7C}" type="parTrans" cxnId="{DA52F4BE-156A-47AF-82B4-534FA0A9645A}">
      <dgm:prSet/>
      <dgm:spPr/>
      <dgm:t>
        <a:bodyPr/>
        <a:lstStyle/>
        <a:p>
          <a:endParaRPr lang="en-GB">
            <a:latin typeface="Arial" panose="020B0604020202020204" pitchFamily="34" charset="0"/>
            <a:cs typeface="Arial" panose="020B0604020202020204" pitchFamily="34" charset="0"/>
          </a:endParaRPr>
        </a:p>
      </dgm:t>
    </dgm:pt>
    <dgm:pt modelId="{27D11E1E-73F5-4AE3-89E2-2DEF0084A778}" type="sibTrans" cxnId="{DA52F4BE-156A-47AF-82B4-534FA0A9645A}">
      <dgm:prSet/>
      <dgm:spPr/>
      <dgm:t>
        <a:bodyPr/>
        <a:lstStyle/>
        <a:p>
          <a:endParaRPr lang="en-GB">
            <a:latin typeface="Arial" panose="020B0604020202020204" pitchFamily="34" charset="0"/>
            <a:cs typeface="Arial" panose="020B0604020202020204" pitchFamily="34" charset="0"/>
          </a:endParaRPr>
        </a:p>
      </dgm:t>
    </dgm:pt>
    <dgm:pt modelId="{0400B92E-FB3B-47AE-951C-6DD12D71D8E3}">
      <dgm:prSet phldrT="[Text]"/>
      <dgm:spPr/>
      <dgm:t>
        <a:bodyPr/>
        <a:lstStyle/>
        <a:p>
          <a:r>
            <a:rPr lang="en-GB">
              <a:latin typeface="Arial" panose="020B0604020202020204" pitchFamily="34" charset="0"/>
              <a:cs typeface="Arial" panose="020B0604020202020204" pitchFamily="34" charset="0"/>
            </a:rPr>
            <a:t>Glancing blow (82%)</a:t>
          </a:r>
        </a:p>
      </dgm:t>
    </dgm:pt>
    <dgm:pt modelId="{4E7AD529-414F-4598-811F-A231D9E06B69}" type="parTrans" cxnId="{EC53D13F-7AF7-406C-99B3-7C26B799C4AA}">
      <dgm:prSet/>
      <dgm:spPr/>
      <dgm:t>
        <a:bodyPr/>
        <a:lstStyle/>
        <a:p>
          <a:endParaRPr lang="en-GB">
            <a:latin typeface="Arial" panose="020B0604020202020204" pitchFamily="34" charset="0"/>
            <a:cs typeface="Arial" panose="020B0604020202020204" pitchFamily="34" charset="0"/>
          </a:endParaRPr>
        </a:p>
      </dgm:t>
    </dgm:pt>
    <dgm:pt modelId="{89B79D75-15A9-4A7F-9DE1-886E8FFC7D26}" type="sibTrans" cxnId="{EC53D13F-7AF7-406C-99B3-7C26B799C4AA}">
      <dgm:prSet/>
      <dgm:spPr/>
      <dgm:t>
        <a:bodyPr/>
        <a:lstStyle/>
        <a:p>
          <a:endParaRPr lang="en-GB">
            <a:latin typeface="Arial" panose="020B0604020202020204" pitchFamily="34" charset="0"/>
            <a:cs typeface="Arial" panose="020B0604020202020204" pitchFamily="34" charset="0"/>
          </a:endParaRPr>
        </a:p>
      </dgm:t>
    </dgm:pt>
    <dgm:pt modelId="{D6790F73-0616-450C-A5B0-BF9AC63432FE}">
      <dgm:prSet phldrT="[Text]"/>
      <dgm:spPr/>
      <dgm:t>
        <a:bodyPr/>
        <a:lstStyle/>
        <a:p>
          <a:r>
            <a:rPr lang="en-GB">
              <a:latin typeface="Arial" panose="020B0604020202020204" pitchFamily="34" charset="0"/>
              <a:cs typeface="Arial" panose="020B0604020202020204" pitchFamily="34" charset="0"/>
            </a:rPr>
            <a:t>Flooding (25%)</a:t>
          </a:r>
        </a:p>
      </dgm:t>
    </dgm:pt>
    <dgm:pt modelId="{CBBF82B8-D6FC-41E7-A218-FEEC5A338234}" type="parTrans" cxnId="{5234565D-34AA-4F16-8C97-5BF86FE4E322}">
      <dgm:prSet/>
      <dgm:spPr/>
      <dgm:t>
        <a:bodyPr/>
        <a:lstStyle/>
        <a:p>
          <a:endParaRPr lang="en-GB">
            <a:latin typeface="Arial" panose="020B0604020202020204" pitchFamily="34" charset="0"/>
            <a:cs typeface="Arial" panose="020B0604020202020204" pitchFamily="34" charset="0"/>
          </a:endParaRPr>
        </a:p>
      </dgm:t>
    </dgm:pt>
    <dgm:pt modelId="{4633CBF6-1084-44B7-9D7C-B7544AA8CE0F}" type="sibTrans" cxnId="{5234565D-34AA-4F16-8C97-5BF86FE4E322}">
      <dgm:prSet/>
      <dgm:spPr/>
      <dgm:t>
        <a:bodyPr/>
        <a:lstStyle/>
        <a:p>
          <a:endParaRPr lang="en-GB">
            <a:latin typeface="Arial" panose="020B0604020202020204" pitchFamily="34" charset="0"/>
            <a:cs typeface="Arial" panose="020B0604020202020204" pitchFamily="34" charset="0"/>
          </a:endParaRPr>
        </a:p>
      </dgm:t>
    </dgm:pt>
    <dgm:pt modelId="{B748AF8C-3E35-422B-8217-A7ED2FC3860D}">
      <dgm:prSet phldrT="[Text]"/>
      <dgm:spPr/>
      <dgm:t>
        <a:bodyPr/>
        <a:lstStyle/>
        <a:p>
          <a:r>
            <a:rPr lang="en-GB">
              <a:latin typeface="Arial" panose="020B0604020202020204" pitchFamily="34" charset="0"/>
              <a:cs typeface="Arial" panose="020B0604020202020204" pitchFamily="34" charset="0"/>
            </a:rPr>
            <a:t>Sinking (22%)</a:t>
          </a:r>
        </a:p>
      </dgm:t>
    </dgm:pt>
    <dgm:pt modelId="{4BC671AE-E4D4-43C8-8DE6-97E8352688E7}" type="parTrans" cxnId="{233412C8-EEB8-40C5-957A-BAC570B42BE5}">
      <dgm:prSet/>
      <dgm:spPr/>
      <dgm:t>
        <a:bodyPr/>
        <a:lstStyle/>
        <a:p>
          <a:endParaRPr lang="en-GB">
            <a:latin typeface="Arial" panose="020B0604020202020204" pitchFamily="34" charset="0"/>
            <a:cs typeface="Arial" panose="020B0604020202020204" pitchFamily="34" charset="0"/>
          </a:endParaRPr>
        </a:p>
      </dgm:t>
    </dgm:pt>
    <dgm:pt modelId="{53F884AB-A509-4391-BF77-73CC72FDF89C}" type="sibTrans" cxnId="{233412C8-EEB8-40C5-957A-BAC570B42BE5}">
      <dgm:prSet/>
      <dgm:spPr/>
      <dgm:t>
        <a:bodyPr/>
        <a:lstStyle/>
        <a:p>
          <a:endParaRPr lang="en-GB">
            <a:latin typeface="Arial" panose="020B0604020202020204" pitchFamily="34" charset="0"/>
            <a:cs typeface="Arial" panose="020B0604020202020204" pitchFamily="34" charset="0"/>
          </a:endParaRPr>
        </a:p>
      </dgm:t>
    </dgm:pt>
    <dgm:pt modelId="{37D240CD-852C-45AE-BCCD-7D86B1527A1E}">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GB">
              <a:latin typeface="Arial" panose="020B0604020202020204" pitchFamily="34" charset="0"/>
              <a:cs typeface="Arial" panose="020B0604020202020204" pitchFamily="34" charset="0"/>
            </a:rPr>
            <a:t>Flooding evacuation</a:t>
          </a:r>
        </a:p>
      </dgm:t>
    </dgm:pt>
    <dgm:pt modelId="{5C550B41-0741-4785-8C3D-3EF04FCB3B5E}" type="parTrans" cxnId="{07F39C47-B6CC-48AF-B764-4ED7BF32404A}">
      <dgm:prSet/>
      <dgm:spPr/>
      <dgm:t>
        <a:bodyPr/>
        <a:lstStyle/>
        <a:p>
          <a:endParaRPr lang="en-GB">
            <a:latin typeface="Arial" panose="020B0604020202020204" pitchFamily="34" charset="0"/>
            <a:cs typeface="Arial" panose="020B0604020202020204" pitchFamily="34" charset="0"/>
          </a:endParaRPr>
        </a:p>
      </dgm:t>
    </dgm:pt>
    <dgm:pt modelId="{8F843745-69F3-408E-9DD6-4D0D35858153}" type="sibTrans" cxnId="{07F39C47-B6CC-48AF-B764-4ED7BF32404A}">
      <dgm:prSet/>
      <dgm:spPr/>
      <dgm:t>
        <a:bodyPr/>
        <a:lstStyle/>
        <a:p>
          <a:endParaRPr lang="en-GB">
            <a:latin typeface="Arial" panose="020B0604020202020204" pitchFamily="34" charset="0"/>
            <a:cs typeface="Arial" panose="020B0604020202020204" pitchFamily="34" charset="0"/>
          </a:endParaRPr>
        </a:p>
      </dgm:t>
    </dgm:pt>
    <dgm:pt modelId="{65D73191-B7BE-46F6-8AC5-3E6F8838E023}">
      <dgm:prSet phldrT="[Text]"/>
      <dgm:spPr/>
      <dgm:t>
        <a:bodyPr/>
        <a:lstStyle/>
        <a:p>
          <a:r>
            <a:rPr lang="en-GB">
              <a:latin typeface="Arial" panose="020B0604020202020204" pitchFamily="34" charset="0"/>
              <a:cs typeface="Arial" panose="020B0604020202020204" pitchFamily="34" charset="0"/>
            </a:rPr>
            <a:t>Remains afloat (78%)</a:t>
          </a:r>
        </a:p>
      </dgm:t>
    </dgm:pt>
    <dgm:pt modelId="{6E5D9118-4813-4472-923F-81CB00CD4B25}" type="parTrans" cxnId="{29360C78-104A-4A49-9F5B-59003A341EF2}">
      <dgm:prSet/>
      <dgm:spPr/>
      <dgm:t>
        <a:bodyPr/>
        <a:lstStyle/>
        <a:p>
          <a:endParaRPr lang="en-GB">
            <a:latin typeface="Arial" panose="020B0604020202020204" pitchFamily="34" charset="0"/>
            <a:cs typeface="Arial" panose="020B0604020202020204" pitchFamily="34" charset="0"/>
          </a:endParaRPr>
        </a:p>
      </dgm:t>
    </dgm:pt>
    <dgm:pt modelId="{BF5E2BDF-56BD-4D42-8DC4-C6E79793C5D6}" type="sibTrans" cxnId="{29360C78-104A-4A49-9F5B-59003A341EF2}">
      <dgm:prSet/>
      <dgm:spPr/>
      <dgm:t>
        <a:bodyPr/>
        <a:lstStyle/>
        <a:p>
          <a:endParaRPr lang="en-GB">
            <a:latin typeface="Arial" panose="020B0604020202020204" pitchFamily="34" charset="0"/>
            <a:cs typeface="Arial" panose="020B0604020202020204" pitchFamily="34" charset="0"/>
          </a:endParaRPr>
        </a:p>
      </dgm:t>
    </dgm:pt>
    <dgm:pt modelId="{E28786A6-CB55-45C1-BFFE-4682DFA50B01}">
      <dgm:prSet phldrT="[Text]"/>
      <dgm:spPr/>
      <dgm:t>
        <a:bodyPr/>
        <a:lstStyle/>
        <a:p>
          <a:r>
            <a:rPr lang="en-GB">
              <a:latin typeface="Arial" panose="020B0604020202020204" pitchFamily="34" charset="0"/>
              <a:cs typeface="Arial" panose="020B0604020202020204" pitchFamily="34" charset="0"/>
            </a:rPr>
            <a:t>Impact only (75%)</a:t>
          </a:r>
        </a:p>
      </dgm:t>
    </dgm:pt>
    <dgm:pt modelId="{2A3A974A-5256-4F8D-9DA7-A32DF1F85633}" type="parTrans" cxnId="{69E9972E-0BF3-4B16-BD4E-EB7830CC9674}">
      <dgm:prSet/>
      <dgm:spPr/>
      <dgm:t>
        <a:bodyPr/>
        <a:lstStyle/>
        <a:p>
          <a:endParaRPr lang="en-GB">
            <a:latin typeface="Arial" panose="020B0604020202020204" pitchFamily="34" charset="0"/>
            <a:cs typeface="Arial" panose="020B0604020202020204" pitchFamily="34" charset="0"/>
          </a:endParaRPr>
        </a:p>
      </dgm:t>
    </dgm:pt>
    <dgm:pt modelId="{A744A649-D3EA-4FF0-885C-2E2895808A19}" type="sibTrans" cxnId="{69E9972E-0BF3-4B16-BD4E-EB7830CC9674}">
      <dgm:prSet/>
      <dgm:spPr/>
      <dgm:t>
        <a:bodyPr/>
        <a:lstStyle/>
        <a:p>
          <a:endParaRPr lang="en-GB">
            <a:latin typeface="Arial" panose="020B0604020202020204" pitchFamily="34" charset="0"/>
            <a:cs typeface="Arial" panose="020B0604020202020204" pitchFamily="34" charset="0"/>
          </a:endParaRPr>
        </a:p>
      </dgm:t>
    </dgm:pt>
    <dgm:pt modelId="{21D57B61-F44D-41F9-9DB0-F4AE6040F389}">
      <dgm:prSet phldrT="[Text]"/>
      <dgm:spPr/>
      <dgm:t>
        <a:bodyPr/>
        <a:lstStyle/>
        <a:p>
          <a:r>
            <a:rPr lang="en-GB">
              <a:latin typeface="Arial" panose="020B0604020202020204" pitchFamily="34" charset="0"/>
              <a:cs typeface="Arial" panose="020B0604020202020204" pitchFamily="34" charset="0"/>
            </a:rPr>
            <a:t>Fatal impact (25%)</a:t>
          </a:r>
        </a:p>
      </dgm:t>
    </dgm:pt>
    <dgm:pt modelId="{0D4323BC-C219-415A-9497-729120EE44E8}" type="parTrans" cxnId="{512A9A9A-4679-4597-B3E8-8DC75BFF0853}">
      <dgm:prSet/>
      <dgm:spPr/>
      <dgm:t>
        <a:bodyPr/>
        <a:lstStyle/>
        <a:p>
          <a:endParaRPr lang="en-GB">
            <a:latin typeface="Arial" panose="020B0604020202020204" pitchFamily="34" charset="0"/>
            <a:cs typeface="Arial" panose="020B0604020202020204" pitchFamily="34" charset="0"/>
          </a:endParaRPr>
        </a:p>
      </dgm:t>
    </dgm:pt>
    <dgm:pt modelId="{31EEA668-360D-40C9-B950-7A8C5D3FE5A3}" type="sibTrans" cxnId="{512A9A9A-4679-4597-B3E8-8DC75BFF0853}">
      <dgm:prSet/>
      <dgm:spPr/>
      <dgm:t>
        <a:bodyPr/>
        <a:lstStyle/>
        <a:p>
          <a:endParaRPr lang="en-GB">
            <a:latin typeface="Arial" panose="020B0604020202020204" pitchFamily="34" charset="0"/>
            <a:cs typeface="Arial" panose="020B0604020202020204" pitchFamily="34" charset="0"/>
          </a:endParaRPr>
        </a:p>
      </dgm:t>
    </dgm:pt>
    <dgm:pt modelId="{1F063B6F-F6BE-4CA2-88C2-2B1B495220CE}">
      <dgm:prSet phldrT="[Text]"/>
      <dgm:spPr/>
      <dgm:t>
        <a:bodyPr/>
        <a:lstStyle/>
        <a:p>
          <a:r>
            <a:rPr lang="en-GB">
              <a:latin typeface="Arial" panose="020B0604020202020204" pitchFamily="34" charset="0"/>
              <a:cs typeface="Arial" panose="020B0604020202020204" pitchFamily="34" charset="0"/>
            </a:rPr>
            <a:t>No fatalities (75%)</a:t>
          </a:r>
        </a:p>
      </dgm:t>
    </dgm:pt>
    <dgm:pt modelId="{34CACA29-CA45-475A-8C3B-45A97B18A288}" type="parTrans" cxnId="{5BC34277-C182-4F8A-BBDB-12FEC8C7A8FD}">
      <dgm:prSet/>
      <dgm:spPr/>
      <dgm:t>
        <a:bodyPr/>
        <a:lstStyle/>
        <a:p>
          <a:endParaRPr lang="en-GB">
            <a:latin typeface="Arial" panose="020B0604020202020204" pitchFamily="34" charset="0"/>
            <a:cs typeface="Arial" panose="020B0604020202020204" pitchFamily="34" charset="0"/>
          </a:endParaRPr>
        </a:p>
      </dgm:t>
    </dgm:pt>
    <dgm:pt modelId="{8A3DC9EA-41B1-4051-B153-7ED6E0A2F91B}" type="sibTrans" cxnId="{5BC34277-C182-4F8A-BBDB-12FEC8C7A8FD}">
      <dgm:prSet/>
      <dgm:spPr/>
      <dgm:t>
        <a:bodyPr/>
        <a:lstStyle/>
        <a:p>
          <a:endParaRPr lang="en-GB">
            <a:latin typeface="Arial" panose="020B0604020202020204" pitchFamily="34" charset="0"/>
            <a:cs typeface="Arial" panose="020B0604020202020204" pitchFamily="34" charset="0"/>
          </a:endParaRPr>
        </a:p>
      </dgm:t>
    </dgm:pt>
    <dgm:pt modelId="{DE7879BB-0E28-4E6A-BDB1-579DC7AA6630}">
      <dgm:prSet phldrT="[Text]"/>
      <dgm:spPr/>
      <dgm:t>
        <a:bodyPr/>
        <a:lstStyle/>
        <a:p>
          <a:r>
            <a:rPr lang="en-GB">
              <a:latin typeface="Arial" panose="020B0604020202020204" pitchFamily="34" charset="0"/>
              <a:cs typeface="Arial" panose="020B0604020202020204" pitchFamily="34" charset="0"/>
            </a:rPr>
            <a:t>Striking vessel (50%)</a:t>
          </a:r>
        </a:p>
      </dgm:t>
    </dgm:pt>
    <dgm:pt modelId="{5F8F2389-C00D-4EA9-987C-6782BF44A1D4}" type="parTrans" cxnId="{2BD49C6F-7091-46C5-A902-1415040F6280}">
      <dgm:prSet/>
      <dgm:spPr/>
      <dgm:t>
        <a:bodyPr/>
        <a:lstStyle/>
        <a:p>
          <a:endParaRPr lang="en-GB">
            <a:latin typeface="Arial" panose="020B0604020202020204" pitchFamily="34" charset="0"/>
            <a:cs typeface="Arial" panose="020B0604020202020204" pitchFamily="34" charset="0"/>
          </a:endParaRPr>
        </a:p>
      </dgm:t>
    </dgm:pt>
    <dgm:pt modelId="{8E4AE5E0-19F5-4B19-9B38-9EB14DED1AF9}" type="sibTrans" cxnId="{2BD49C6F-7091-46C5-A902-1415040F6280}">
      <dgm:prSet/>
      <dgm:spPr/>
      <dgm:t>
        <a:bodyPr/>
        <a:lstStyle/>
        <a:p>
          <a:endParaRPr lang="en-GB">
            <a:latin typeface="Arial" panose="020B0604020202020204" pitchFamily="34" charset="0"/>
            <a:cs typeface="Arial" panose="020B0604020202020204" pitchFamily="34" charset="0"/>
          </a:endParaRPr>
        </a:p>
      </dgm:t>
    </dgm:pt>
    <dgm:pt modelId="{9E6C8651-9CD9-4489-850E-6718FA1002E8}">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latin typeface="Arial" panose="020B0604020202020204" pitchFamily="34" charset="0"/>
              <a:cs typeface="Arial" panose="020B0604020202020204" pitchFamily="34" charset="0"/>
            </a:rPr>
            <a:t>No fatalities</a:t>
          </a:r>
        </a:p>
      </dgm:t>
    </dgm:pt>
    <dgm:pt modelId="{71F77287-3520-47FF-8E20-183DFD28795F}" type="parTrans" cxnId="{0025E693-21D2-46F9-955B-B094B243F19E}">
      <dgm:prSet/>
      <dgm:spPr/>
      <dgm:t>
        <a:bodyPr/>
        <a:lstStyle/>
        <a:p>
          <a:endParaRPr lang="en-GB">
            <a:latin typeface="Arial" panose="020B0604020202020204" pitchFamily="34" charset="0"/>
            <a:cs typeface="Arial" panose="020B0604020202020204" pitchFamily="34" charset="0"/>
          </a:endParaRPr>
        </a:p>
      </dgm:t>
    </dgm:pt>
    <dgm:pt modelId="{4EA9DB79-2C6F-4C41-A203-223727F78147}" type="sibTrans" cxnId="{0025E693-21D2-46F9-955B-B094B243F19E}">
      <dgm:prSet/>
      <dgm:spPr/>
      <dgm:t>
        <a:bodyPr/>
        <a:lstStyle/>
        <a:p>
          <a:endParaRPr lang="en-GB">
            <a:latin typeface="Arial" panose="020B0604020202020204" pitchFamily="34" charset="0"/>
            <a:cs typeface="Arial" panose="020B0604020202020204" pitchFamily="34" charset="0"/>
          </a:endParaRPr>
        </a:p>
      </dgm:t>
    </dgm:pt>
    <dgm:pt modelId="{37B2A911-8834-4202-88F5-FF977641C62C}">
      <dgm:prSet phldrT="[Text]">
        <dgm:style>
          <a:lnRef idx="2">
            <a:schemeClr val="accent2">
              <a:shade val="50000"/>
            </a:schemeClr>
          </a:lnRef>
          <a:fillRef idx="1">
            <a:schemeClr val="accent2"/>
          </a:fillRef>
          <a:effectRef idx="0">
            <a:schemeClr val="accent2"/>
          </a:effectRef>
          <a:fontRef idx="minor">
            <a:schemeClr val="lt1"/>
          </a:fontRef>
        </dgm:style>
      </dgm:prSet>
      <dgm:spPr/>
      <dgm:t>
        <a:bodyPr/>
        <a:lstStyle/>
        <a:p>
          <a:r>
            <a:rPr lang="en-GB">
              <a:latin typeface="Arial" panose="020B0604020202020204" pitchFamily="34" charset="0"/>
              <a:cs typeface="Arial" panose="020B0604020202020204" pitchFamily="34" charset="0"/>
            </a:rPr>
            <a:t>Fatal impact</a:t>
          </a:r>
        </a:p>
      </dgm:t>
    </dgm:pt>
    <dgm:pt modelId="{3B486F09-1801-4CCF-BE96-F44F0B064889}" type="parTrans" cxnId="{C78092EA-A8A9-4B76-99E8-7DCFB2C26F8A}">
      <dgm:prSet/>
      <dgm:spPr/>
      <dgm:t>
        <a:bodyPr/>
        <a:lstStyle/>
        <a:p>
          <a:endParaRPr lang="en-GB">
            <a:latin typeface="Arial" panose="020B0604020202020204" pitchFamily="34" charset="0"/>
            <a:cs typeface="Arial" panose="020B0604020202020204" pitchFamily="34" charset="0"/>
          </a:endParaRPr>
        </a:p>
      </dgm:t>
    </dgm:pt>
    <dgm:pt modelId="{52890DA2-C39D-48D7-9124-E5D8756BF49A}" type="sibTrans" cxnId="{C78092EA-A8A9-4B76-99E8-7DCFB2C26F8A}">
      <dgm:prSet/>
      <dgm:spPr/>
      <dgm:t>
        <a:bodyPr/>
        <a:lstStyle/>
        <a:p>
          <a:endParaRPr lang="en-GB">
            <a:latin typeface="Arial" panose="020B0604020202020204" pitchFamily="34" charset="0"/>
            <a:cs typeface="Arial" panose="020B0604020202020204" pitchFamily="34" charset="0"/>
          </a:endParaRPr>
        </a:p>
      </dgm:t>
    </dgm:pt>
    <dgm:pt modelId="{555EA9F6-F3BE-4CE2-B2E8-B5D2942B2396}">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latin typeface="Arial" panose="020B0604020202020204" pitchFamily="34" charset="0"/>
              <a:cs typeface="Arial" panose="020B0604020202020204" pitchFamily="34" charset="0"/>
            </a:rPr>
            <a:t>No fatalities</a:t>
          </a:r>
        </a:p>
      </dgm:t>
    </dgm:pt>
    <dgm:pt modelId="{C3EC5C97-3EEE-4EDC-AAD2-6FFB4F3AD8D8}" type="parTrans" cxnId="{09BA55CA-CD58-4B6D-8D2A-FEE96E8E4E85}">
      <dgm:prSet/>
      <dgm:spPr/>
      <dgm:t>
        <a:bodyPr/>
        <a:lstStyle/>
        <a:p>
          <a:endParaRPr lang="en-GB">
            <a:latin typeface="Arial" panose="020B0604020202020204" pitchFamily="34" charset="0"/>
            <a:cs typeface="Arial" panose="020B0604020202020204" pitchFamily="34" charset="0"/>
          </a:endParaRPr>
        </a:p>
      </dgm:t>
    </dgm:pt>
    <dgm:pt modelId="{92013434-C340-408B-9CF6-96E9F5FDD0C8}" type="sibTrans" cxnId="{09BA55CA-CD58-4B6D-8D2A-FEE96E8E4E85}">
      <dgm:prSet/>
      <dgm:spPr/>
      <dgm:t>
        <a:bodyPr/>
        <a:lstStyle/>
        <a:p>
          <a:endParaRPr lang="en-GB">
            <a:latin typeface="Arial" panose="020B0604020202020204" pitchFamily="34" charset="0"/>
            <a:cs typeface="Arial" panose="020B0604020202020204" pitchFamily="34" charset="0"/>
          </a:endParaRPr>
        </a:p>
      </dgm:t>
    </dgm:pt>
    <dgm:pt modelId="{7561439E-41DC-409C-BD02-442CC0CBBD94}">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latin typeface="Arial" panose="020B0604020202020204" pitchFamily="34" charset="0"/>
              <a:cs typeface="Arial" panose="020B0604020202020204" pitchFamily="34" charset="0"/>
            </a:rPr>
            <a:t>No fatalities</a:t>
          </a:r>
        </a:p>
      </dgm:t>
    </dgm:pt>
    <dgm:pt modelId="{D97AC182-377E-437D-9117-378327F28103}" type="parTrans" cxnId="{040883C5-67E5-451E-887D-DFC0107F510B}">
      <dgm:prSet/>
      <dgm:spPr/>
      <dgm:t>
        <a:bodyPr/>
        <a:lstStyle/>
        <a:p>
          <a:endParaRPr lang="en-GB">
            <a:latin typeface="Arial" panose="020B0604020202020204" pitchFamily="34" charset="0"/>
            <a:cs typeface="Arial" panose="020B0604020202020204" pitchFamily="34" charset="0"/>
          </a:endParaRPr>
        </a:p>
      </dgm:t>
    </dgm:pt>
    <dgm:pt modelId="{49B3749B-B791-45F5-8E72-6FECD30A382E}" type="sibTrans" cxnId="{040883C5-67E5-451E-887D-DFC0107F510B}">
      <dgm:prSet/>
      <dgm:spPr/>
      <dgm:t>
        <a:bodyPr/>
        <a:lstStyle/>
        <a:p>
          <a:endParaRPr lang="en-GB">
            <a:latin typeface="Arial" panose="020B0604020202020204" pitchFamily="34" charset="0"/>
            <a:cs typeface="Arial" panose="020B0604020202020204" pitchFamily="34" charset="0"/>
          </a:endParaRPr>
        </a:p>
      </dgm:t>
    </dgm:pt>
    <dgm:pt modelId="{027A4334-0FC6-4384-A58A-DB8E0A278575}">
      <dgm:prSet phldrT="[Text]">
        <dgm:style>
          <a:lnRef idx="2">
            <a:schemeClr val="accent6">
              <a:shade val="50000"/>
            </a:schemeClr>
          </a:lnRef>
          <a:fillRef idx="1">
            <a:schemeClr val="accent6"/>
          </a:fillRef>
          <a:effectRef idx="0">
            <a:schemeClr val="accent6"/>
          </a:effectRef>
          <a:fontRef idx="minor">
            <a:schemeClr val="lt1"/>
          </a:fontRef>
        </dgm:style>
      </dgm:prSet>
      <dgm:spPr/>
      <dgm:t>
        <a:bodyPr/>
        <a:lstStyle/>
        <a:p>
          <a:r>
            <a:rPr lang="en-GB">
              <a:latin typeface="Arial" panose="020B0604020202020204" pitchFamily="34" charset="0"/>
              <a:cs typeface="Arial" panose="020B0604020202020204" pitchFamily="34" charset="0"/>
            </a:rPr>
            <a:t>No fatalities</a:t>
          </a:r>
        </a:p>
      </dgm:t>
    </dgm:pt>
    <dgm:pt modelId="{7A7A9A8D-3659-4345-86B4-2953C5F17469}" type="parTrans" cxnId="{09BF9E72-2038-4D23-AAB4-C39DD6CB3A5F}">
      <dgm:prSet/>
      <dgm:spPr/>
      <dgm:t>
        <a:bodyPr/>
        <a:lstStyle/>
        <a:p>
          <a:endParaRPr lang="en-GB">
            <a:latin typeface="Arial" panose="020B0604020202020204" pitchFamily="34" charset="0"/>
            <a:cs typeface="Arial" panose="020B0604020202020204" pitchFamily="34" charset="0"/>
          </a:endParaRPr>
        </a:p>
      </dgm:t>
    </dgm:pt>
    <dgm:pt modelId="{255BA0BA-FAC5-4B4B-8E7F-214B7DA5AE59}" type="sibTrans" cxnId="{09BF9E72-2038-4D23-AAB4-C39DD6CB3A5F}">
      <dgm:prSet/>
      <dgm:spPr/>
      <dgm:t>
        <a:bodyPr/>
        <a:lstStyle/>
        <a:p>
          <a:endParaRPr lang="en-GB">
            <a:latin typeface="Arial" panose="020B0604020202020204" pitchFamily="34" charset="0"/>
            <a:cs typeface="Arial" panose="020B0604020202020204" pitchFamily="34" charset="0"/>
          </a:endParaRPr>
        </a:p>
      </dgm:t>
    </dgm:pt>
    <dgm:pt modelId="{354155E2-4594-4345-B4FD-690B4937465A}" type="pres">
      <dgm:prSet presAssocID="{4FE4048D-9ABC-4BC5-AD08-0F3F1C12D84A}" presName="diagram" presStyleCnt="0">
        <dgm:presLayoutVars>
          <dgm:chPref val="1"/>
          <dgm:dir/>
          <dgm:animOne val="branch"/>
          <dgm:animLvl val="lvl"/>
          <dgm:resizeHandles val="exact"/>
        </dgm:presLayoutVars>
      </dgm:prSet>
      <dgm:spPr/>
    </dgm:pt>
    <dgm:pt modelId="{A73C5C7B-0F46-4E23-AA91-B4F5F47349C6}" type="pres">
      <dgm:prSet presAssocID="{11E00BF6-0CEE-404A-98FB-F1D375E48126}" presName="root1" presStyleCnt="0"/>
      <dgm:spPr/>
    </dgm:pt>
    <dgm:pt modelId="{DF732329-5FBC-4B15-8D3E-C1A59C9B6FC5}" type="pres">
      <dgm:prSet presAssocID="{11E00BF6-0CEE-404A-98FB-F1D375E48126}" presName="LevelOneTextNode" presStyleLbl="node0" presStyleIdx="0" presStyleCnt="1">
        <dgm:presLayoutVars>
          <dgm:chPref val="3"/>
        </dgm:presLayoutVars>
      </dgm:prSet>
      <dgm:spPr/>
    </dgm:pt>
    <dgm:pt modelId="{B6CFDD7D-BF65-4FDF-AA16-AA8F186BC9E0}" type="pres">
      <dgm:prSet presAssocID="{11E00BF6-0CEE-404A-98FB-F1D375E48126}" presName="level2hierChild" presStyleCnt="0"/>
      <dgm:spPr/>
    </dgm:pt>
    <dgm:pt modelId="{2E26BBC6-85DD-4EB5-BE0C-480F7DC4BBF9}" type="pres">
      <dgm:prSet presAssocID="{8827ECC8-2016-458B-A7FA-AEC61FF2770B}" presName="conn2-1" presStyleLbl="parChTrans1D2" presStyleIdx="0" presStyleCnt="2"/>
      <dgm:spPr/>
    </dgm:pt>
    <dgm:pt modelId="{665902B8-05A1-4053-9617-6DED79C39E79}" type="pres">
      <dgm:prSet presAssocID="{8827ECC8-2016-458B-A7FA-AEC61FF2770B}" presName="connTx" presStyleLbl="parChTrans1D2" presStyleIdx="0" presStyleCnt="2"/>
      <dgm:spPr/>
    </dgm:pt>
    <dgm:pt modelId="{F7525B89-BA6C-4F8D-B71B-9CD843DB42B6}" type="pres">
      <dgm:prSet presAssocID="{2C2A80B6-AA39-4849-8A5A-2CE5405EB36D}" presName="root2" presStyleCnt="0"/>
      <dgm:spPr/>
    </dgm:pt>
    <dgm:pt modelId="{A6AFFEE0-B265-4F5E-8FAF-18E0B2F2E1C4}" type="pres">
      <dgm:prSet presAssocID="{2C2A80B6-AA39-4849-8A5A-2CE5405EB36D}" presName="LevelTwoTextNode" presStyleLbl="node2" presStyleIdx="0" presStyleCnt="2">
        <dgm:presLayoutVars>
          <dgm:chPref val="3"/>
        </dgm:presLayoutVars>
      </dgm:prSet>
      <dgm:spPr/>
    </dgm:pt>
    <dgm:pt modelId="{96519391-3AE5-4D62-8164-DEB8F1670B4A}" type="pres">
      <dgm:prSet presAssocID="{2C2A80B6-AA39-4849-8A5A-2CE5405EB36D}" presName="level3hierChild" presStyleCnt="0"/>
      <dgm:spPr/>
    </dgm:pt>
    <dgm:pt modelId="{CCBE4A09-8B43-4EC8-92EF-788D59B4DB07}" type="pres">
      <dgm:prSet presAssocID="{148B8C70-117A-4BDC-9324-45E9B5EC9B7C}" presName="conn2-1" presStyleLbl="parChTrans1D3" presStyleIdx="0" presStyleCnt="3"/>
      <dgm:spPr/>
    </dgm:pt>
    <dgm:pt modelId="{E627B562-1574-4AB6-B62D-D31B40C6059C}" type="pres">
      <dgm:prSet presAssocID="{148B8C70-117A-4BDC-9324-45E9B5EC9B7C}" presName="connTx" presStyleLbl="parChTrans1D3" presStyleIdx="0" presStyleCnt="3"/>
      <dgm:spPr/>
    </dgm:pt>
    <dgm:pt modelId="{50E9CE56-C07A-490D-A701-F5690D6385C3}" type="pres">
      <dgm:prSet presAssocID="{2440E86C-DB16-4269-B585-1301ABC141EC}" presName="root2" presStyleCnt="0"/>
      <dgm:spPr/>
    </dgm:pt>
    <dgm:pt modelId="{D0082119-E1F3-42F7-A65D-3B212BAD4DD3}" type="pres">
      <dgm:prSet presAssocID="{2440E86C-DB16-4269-B585-1301ABC141EC}" presName="LevelTwoTextNode" presStyleLbl="node3" presStyleIdx="0" presStyleCnt="3">
        <dgm:presLayoutVars>
          <dgm:chPref val="3"/>
        </dgm:presLayoutVars>
      </dgm:prSet>
      <dgm:spPr/>
    </dgm:pt>
    <dgm:pt modelId="{D6168626-C111-4C47-8487-E4A112301A63}" type="pres">
      <dgm:prSet presAssocID="{2440E86C-DB16-4269-B585-1301ABC141EC}" presName="level3hierChild" presStyleCnt="0"/>
      <dgm:spPr/>
    </dgm:pt>
    <dgm:pt modelId="{4E49F845-BB2C-441D-AF6E-6B74BD3C41BA}" type="pres">
      <dgm:prSet presAssocID="{CBBF82B8-D6FC-41E7-A218-FEEC5A338234}" presName="conn2-1" presStyleLbl="parChTrans1D4" presStyleIdx="0" presStyleCnt="11"/>
      <dgm:spPr/>
    </dgm:pt>
    <dgm:pt modelId="{DC51499D-94BD-480D-A5BC-D6F44DBF1D61}" type="pres">
      <dgm:prSet presAssocID="{CBBF82B8-D6FC-41E7-A218-FEEC5A338234}" presName="connTx" presStyleLbl="parChTrans1D4" presStyleIdx="0" presStyleCnt="11"/>
      <dgm:spPr/>
    </dgm:pt>
    <dgm:pt modelId="{218C2C14-8A30-48B5-ADFB-5602B39B69C9}" type="pres">
      <dgm:prSet presAssocID="{D6790F73-0616-450C-A5B0-BF9AC63432FE}" presName="root2" presStyleCnt="0"/>
      <dgm:spPr/>
    </dgm:pt>
    <dgm:pt modelId="{72349769-8DD2-4516-AC7E-A35C488C0C0F}" type="pres">
      <dgm:prSet presAssocID="{D6790F73-0616-450C-A5B0-BF9AC63432FE}" presName="LevelTwoTextNode" presStyleLbl="node4" presStyleIdx="0" presStyleCnt="11">
        <dgm:presLayoutVars>
          <dgm:chPref val="3"/>
        </dgm:presLayoutVars>
      </dgm:prSet>
      <dgm:spPr/>
    </dgm:pt>
    <dgm:pt modelId="{45AF6C5D-0755-47FC-8E3F-7623CC7F46D1}" type="pres">
      <dgm:prSet presAssocID="{D6790F73-0616-450C-A5B0-BF9AC63432FE}" presName="level3hierChild" presStyleCnt="0"/>
      <dgm:spPr/>
    </dgm:pt>
    <dgm:pt modelId="{9D359435-BC03-4724-A0C9-2291E712ABFA}" type="pres">
      <dgm:prSet presAssocID="{4BC671AE-E4D4-43C8-8DE6-97E8352688E7}" presName="conn2-1" presStyleLbl="parChTrans1D4" presStyleIdx="1" presStyleCnt="11"/>
      <dgm:spPr/>
    </dgm:pt>
    <dgm:pt modelId="{22E42436-1316-4B64-8E73-534B12A34B44}" type="pres">
      <dgm:prSet presAssocID="{4BC671AE-E4D4-43C8-8DE6-97E8352688E7}" presName="connTx" presStyleLbl="parChTrans1D4" presStyleIdx="1" presStyleCnt="11"/>
      <dgm:spPr/>
    </dgm:pt>
    <dgm:pt modelId="{A289D392-ECE6-4724-A423-119D7097253D}" type="pres">
      <dgm:prSet presAssocID="{B748AF8C-3E35-422B-8217-A7ED2FC3860D}" presName="root2" presStyleCnt="0"/>
      <dgm:spPr/>
    </dgm:pt>
    <dgm:pt modelId="{EA333CE3-BCB5-4E4C-91D8-A9B3BC2B284B}" type="pres">
      <dgm:prSet presAssocID="{B748AF8C-3E35-422B-8217-A7ED2FC3860D}" presName="LevelTwoTextNode" presStyleLbl="node4" presStyleIdx="1" presStyleCnt="11">
        <dgm:presLayoutVars>
          <dgm:chPref val="3"/>
        </dgm:presLayoutVars>
      </dgm:prSet>
      <dgm:spPr/>
    </dgm:pt>
    <dgm:pt modelId="{744F24A6-31AB-4643-A9B4-F5B8F173053C}" type="pres">
      <dgm:prSet presAssocID="{B748AF8C-3E35-422B-8217-A7ED2FC3860D}" presName="level3hierChild" presStyleCnt="0"/>
      <dgm:spPr/>
    </dgm:pt>
    <dgm:pt modelId="{86333CBF-0890-4485-B556-F7B7CC439871}" type="pres">
      <dgm:prSet presAssocID="{5C550B41-0741-4785-8C3D-3EF04FCB3B5E}" presName="conn2-1" presStyleLbl="parChTrans1D4" presStyleIdx="2" presStyleCnt="11"/>
      <dgm:spPr/>
    </dgm:pt>
    <dgm:pt modelId="{4896B5EE-0CA2-44A7-A089-11A0F9E453C9}" type="pres">
      <dgm:prSet presAssocID="{5C550B41-0741-4785-8C3D-3EF04FCB3B5E}" presName="connTx" presStyleLbl="parChTrans1D4" presStyleIdx="2" presStyleCnt="11"/>
      <dgm:spPr/>
    </dgm:pt>
    <dgm:pt modelId="{04200CDF-CE6F-4724-B3B7-AEFED05A93B6}" type="pres">
      <dgm:prSet presAssocID="{37D240CD-852C-45AE-BCCD-7D86B1527A1E}" presName="root2" presStyleCnt="0"/>
      <dgm:spPr/>
    </dgm:pt>
    <dgm:pt modelId="{50C86E0C-D077-4173-84D2-EB33D40D824D}" type="pres">
      <dgm:prSet presAssocID="{37D240CD-852C-45AE-BCCD-7D86B1527A1E}" presName="LevelTwoTextNode" presStyleLbl="node4" presStyleIdx="2" presStyleCnt="11">
        <dgm:presLayoutVars>
          <dgm:chPref val="3"/>
        </dgm:presLayoutVars>
      </dgm:prSet>
      <dgm:spPr/>
    </dgm:pt>
    <dgm:pt modelId="{16C28217-E44F-43E4-B78D-CAF81CEA710F}" type="pres">
      <dgm:prSet presAssocID="{37D240CD-852C-45AE-BCCD-7D86B1527A1E}" presName="level3hierChild" presStyleCnt="0"/>
      <dgm:spPr/>
    </dgm:pt>
    <dgm:pt modelId="{4E5D54D0-7601-4FE6-A5A5-1D15645DFC37}" type="pres">
      <dgm:prSet presAssocID="{6E5D9118-4813-4472-923F-81CB00CD4B25}" presName="conn2-1" presStyleLbl="parChTrans1D4" presStyleIdx="3" presStyleCnt="11"/>
      <dgm:spPr/>
    </dgm:pt>
    <dgm:pt modelId="{1EC3F6AE-2AF1-4CE8-B29A-4FF708C4996A}" type="pres">
      <dgm:prSet presAssocID="{6E5D9118-4813-4472-923F-81CB00CD4B25}" presName="connTx" presStyleLbl="parChTrans1D4" presStyleIdx="3" presStyleCnt="11"/>
      <dgm:spPr/>
    </dgm:pt>
    <dgm:pt modelId="{EEA9EEC0-7FF2-4EB8-A8A4-A9C397F780A5}" type="pres">
      <dgm:prSet presAssocID="{65D73191-B7BE-46F6-8AC5-3E6F8838E023}" presName="root2" presStyleCnt="0"/>
      <dgm:spPr/>
    </dgm:pt>
    <dgm:pt modelId="{6C9A8951-376C-46D1-8839-35B19CB9DC7C}" type="pres">
      <dgm:prSet presAssocID="{65D73191-B7BE-46F6-8AC5-3E6F8838E023}" presName="LevelTwoTextNode" presStyleLbl="node4" presStyleIdx="3" presStyleCnt="11">
        <dgm:presLayoutVars>
          <dgm:chPref val="3"/>
        </dgm:presLayoutVars>
      </dgm:prSet>
      <dgm:spPr/>
    </dgm:pt>
    <dgm:pt modelId="{B48FC84B-5D42-4B17-863B-1E36D3883931}" type="pres">
      <dgm:prSet presAssocID="{65D73191-B7BE-46F6-8AC5-3E6F8838E023}" presName="level3hierChild" presStyleCnt="0"/>
      <dgm:spPr/>
    </dgm:pt>
    <dgm:pt modelId="{B103C851-A3D1-4EBD-84A3-83A9D9F0A9AA}" type="pres">
      <dgm:prSet presAssocID="{71F77287-3520-47FF-8E20-183DFD28795F}" presName="conn2-1" presStyleLbl="parChTrans1D4" presStyleIdx="4" presStyleCnt="11"/>
      <dgm:spPr/>
    </dgm:pt>
    <dgm:pt modelId="{C81257FD-7EB9-4232-AD90-9B48DF7864ED}" type="pres">
      <dgm:prSet presAssocID="{71F77287-3520-47FF-8E20-183DFD28795F}" presName="connTx" presStyleLbl="parChTrans1D4" presStyleIdx="4" presStyleCnt="11"/>
      <dgm:spPr/>
    </dgm:pt>
    <dgm:pt modelId="{0E6BC1BD-7FC7-46C2-B0BD-3AE890BBDB1B}" type="pres">
      <dgm:prSet presAssocID="{9E6C8651-9CD9-4489-850E-6718FA1002E8}" presName="root2" presStyleCnt="0"/>
      <dgm:spPr/>
    </dgm:pt>
    <dgm:pt modelId="{CE48C854-5DA3-4517-9CC0-081E74D0AF5B}" type="pres">
      <dgm:prSet presAssocID="{9E6C8651-9CD9-4489-850E-6718FA1002E8}" presName="LevelTwoTextNode" presStyleLbl="node4" presStyleIdx="4" presStyleCnt="11">
        <dgm:presLayoutVars>
          <dgm:chPref val="3"/>
        </dgm:presLayoutVars>
      </dgm:prSet>
      <dgm:spPr/>
    </dgm:pt>
    <dgm:pt modelId="{DABD74FC-0B06-42A0-AD84-DD5CF7F2DB59}" type="pres">
      <dgm:prSet presAssocID="{9E6C8651-9CD9-4489-850E-6718FA1002E8}" presName="level3hierChild" presStyleCnt="0"/>
      <dgm:spPr/>
    </dgm:pt>
    <dgm:pt modelId="{CC5E227C-1854-4141-A5FB-6A484C7D1BED}" type="pres">
      <dgm:prSet presAssocID="{2A3A974A-5256-4F8D-9DA7-A32DF1F85633}" presName="conn2-1" presStyleLbl="parChTrans1D4" presStyleIdx="5" presStyleCnt="11"/>
      <dgm:spPr/>
    </dgm:pt>
    <dgm:pt modelId="{0F7B5128-1C6C-42FE-93E8-CB5674F28AFF}" type="pres">
      <dgm:prSet presAssocID="{2A3A974A-5256-4F8D-9DA7-A32DF1F85633}" presName="connTx" presStyleLbl="parChTrans1D4" presStyleIdx="5" presStyleCnt="11"/>
      <dgm:spPr/>
    </dgm:pt>
    <dgm:pt modelId="{3F0416E8-0659-42FB-A0C3-D654B64AA46E}" type="pres">
      <dgm:prSet presAssocID="{E28786A6-CB55-45C1-BFFE-4682DFA50B01}" presName="root2" presStyleCnt="0"/>
      <dgm:spPr/>
    </dgm:pt>
    <dgm:pt modelId="{C0523779-B385-4385-A529-633EF847112B}" type="pres">
      <dgm:prSet presAssocID="{E28786A6-CB55-45C1-BFFE-4682DFA50B01}" presName="LevelTwoTextNode" presStyleLbl="node4" presStyleIdx="5" presStyleCnt="11">
        <dgm:presLayoutVars>
          <dgm:chPref val="3"/>
        </dgm:presLayoutVars>
      </dgm:prSet>
      <dgm:spPr/>
    </dgm:pt>
    <dgm:pt modelId="{DA9B37EE-83B9-4283-9D1E-C2811B78DC2D}" type="pres">
      <dgm:prSet presAssocID="{E28786A6-CB55-45C1-BFFE-4682DFA50B01}" presName="level3hierChild" presStyleCnt="0"/>
      <dgm:spPr/>
    </dgm:pt>
    <dgm:pt modelId="{9D894C3C-0B8F-40F4-94C8-4570701E7C08}" type="pres">
      <dgm:prSet presAssocID="{0D4323BC-C219-415A-9497-729120EE44E8}" presName="conn2-1" presStyleLbl="parChTrans1D4" presStyleIdx="6" presStyleCnt="11"/>
      <dgm:spPr/>
    </dgm:pt>
    <dgm:pt modelId="{9ACAE0AC-9840-42CB-90BE-80FE4BC5E9B2}" type="pres">
      <dgm:prSet presAssocID="{0D4323BC-C219-415A-9497-729120EE44E8}" presName="connTx" presStyleLbl="parChTrans1D4" presStyleIdx="6" presStyleCnt="11"/>
      <dgm:spPr/>
    </dgm:pt>
    <dgm:pt modelId="{4EE23DA4-2C88-4124-9A97-59BAA879C857}" type="pres">
      <dgm:prSet presAssocID="{21D57B61-F44D-41F9-9DB0-F4AE6040F389}" presName="root2" presStyleCnt="0"/>
      <dgm:spPr/>
    </dgm:pt>
    <dgm:pt modelId="{B47FDAC5-A796-4F8F-A435-165338E5B2E4}" type="pres">
      <dgm:prSet presAssocID="{21D57B61-F44D-41F9-9DB0-F4AE6040F389}" presName="LevelTwoTextNode" presStyleLbl="node4" presStyleIdx="6" presStyleCnt="11">
        <dgm:presLayoutVars>
          <dgm:chPref val="3"/>
        </dgm:presLayoutVars>
      </dgm:prSet>
      <dgm:spPr/>
    </dgm:pt>
    <dgm:pt modelId="{4F14A884-D88A-4EFD-AC99-C757525B9F37}" type="pres">
      <dgm:prSet presAssocID="{21D57B61-F44D-41F9-9DB0-F4AE6040F389}" presName="level3hierChild" presStyleCnt="0"/>
      <dgm:spPr/>
    </dgm:pt>
    <dgm:pt modelId="{ECB17D58-B894-4F27-B415-995F598E8D28}" type="pres">
      <dgm:prSet presAssocID="{3B486F09-1801-4CCF-BE96-F44F0B064889}" presName="conn2-1" presStyleLbl="parChTrans1D4" presStyleIdx="7" presStyleCnt="11"/>
      <dgm:spPr/>
    </dgm:pt>
    <dgm:pt modelId="{DD5FDB31-8E9C-41A1-974B-4BC726A08C7F}" type="pres">
      <dgm:prSet presAssocID="{3B486F09-1801-4CCF-BE96-F44F0B064889}" presName="connTx" presStyleLbl="parChTrans1D4" presStyleIdx="7" presStyleCnt="11"/>
      <dgm:spPr/>
    </dgm:pt>
    <dgm:pt modelId="{96F7BBC3-807A-4079-916E-09E4FFC5E4E0}" type="pres">
      <dgm:prSet presAssocID="{37B2A911-8834-4202-88F5-FF977641C62C}" presName="root2" presStyleCnt="0"/>
      <dgm:spPr/>
    </dgm:pt>
    <dgm:pt modelId="{30219523-2003-4593-A759-4A612E12C348}" type="pres">
      <dgm:prSet presAssocID="{37B2A911-8834-4202-88F5-FF977641C62C}" presName="LevelTwoTextNode" presStyleLbl="node4" presStyleIdx="7" presStyleCnt="11">
        <dgm:presLayoutVars>
          <dgm:chPref val="3"/>
        </dgm:presLayoutVars>
      </dgm:prSet>
      <dgm:spPr/>
    </dgm:pt>
    <dgm:pt modelId="{79AD92A3-76B3-430D-8CD3-7D8667D4ACB5}" type="pres">
      <dgm:prSet presAssocID="{37B2A911-8834-4202-88F5-FF977641C62C}" presName="level3hierChild" presStyleCnt="0"/>
      <dgm:spPr/>
    </dgm:pt>
    <dgm:pt modelId="{53C6B25B-DB09-4060-98CF-9416BA8CC3D4}" type="pres">
      <dgm:prSet presAssocID="{34CACA29-CA45-475A-8C3B-45A97B18A288}" presName="conn2-1" presStyleLbl="parChTrans1D4" presStyleIdx="8" presStyleCnt="11"/>
      <dgm:spPr/>
    </dgm:pt>
    <dgm:pt modelId="{96AE4B69-4956-4F25-9658-42139C1A5B30}" type="pres">
      <dgm:prSet presAssocID="{34CACA29-CA45-475A-8C3B-45A97B18A288}" presName="connTx" presStyleLbl="parChTrans1D4" presStyleIdx="8" presStyleCnt="11"/>
      <dgm:spPr/>
    </dgm:pt>
    <dgm:pt modelId="{3E1E44DC-4F3F-45C6-BAC9-F628B769ACB5}" type="pres">
      <dgm:prSet presAssocID="{1F063B6F-F6BE-4CA2-88C2-2B1B495220CE}" presName="root2" presStyleCnt="0"/>
      <dgm:spPr/>
    </dgm:pt>
    <dgm:pt modelId="{06558ACC-5DAC-4D11-A320-28C14E88ACFE}" type="pres">
      <dgm:prSet presAssocID="{1F063B6F-F6BE-4CA2-88C2-2B1B495220CE}" presName="LevelTwoTextNode" presStyleLbl="node4" presStyleIdx="8" presStyleCnt="11">
        <dgm:presLayoutVars>
          <dgm:chPref val="3"/>
        </dgm:presLayoutVars>
      </dgm:prSet>
      <dgm:spPr/>
    </dgm:pt>
    <dgm:pt modelId="{3C8B4385-3302-4C57-A64F-01E3CFFC3165}" type="pres">
      <dgm:prSet presAssocID="{1F063B6F-F6BE-4CA2-88C2-2B1B495220CE}" presName="level3hierChild" presStyleCnt="0"/>
      <dgm:spPr/>
    </dgm:pt>
    <dgm:pt modelId="{EF96F75F-93EA-449A-87D3-17F8E555C534}" type="pres">
      <dgm:prSet presAssocID="{C3EC5C97-3EEE-4EDC-AAD2-6FFB4F3AD8D8}" presName="conn2-1" presStyleLbl="parChTrans1D4" presStyleIdx="9" presStyleCnt="11"/>
      <dgm:spPr/>
    </dgm:pt>
    <dgm:pt modelId="{F08E2A31-03A6-4E85-BD82-BA490A76D605}" type="pres">
      <dgm:prSet presAssocID="{C3EC5C97-3EEE-4EDC-AAD2-6FFB4F3AD8D8}" presName="connTx" presStyleLbl="parChTrans1D4" presStyleIdx="9" presStyleCnt="11"/>
      <dgm:spPr/>
    </dgm:pt>
    <dgm:pt modelId="{649B3545-5A12-47CE-A937-95036816D6A7}" type="pres">
      <dgm:prSet presAssocID="{555EA9F6-F3BE-4CE2-B2E8-B5D2942B2396}" presName="root2" presStyleCnt="0"/>
      <dgm:spPr/>
    </dgm:pt>
    <dgm:pt modelId="{ABB959CA-AD71-4AE9-88DD-BA8817718F67}" type="pres">
      <dgm:prSet presAssocID="{555EA9F6-F3BE-4CE2-B2E8-B5D2942B2396}" presName="LevelTwoTextNode" presStyleLbl="node4" presStyleIdx="9" presStyleCnt="11">
        <dgm:presLayoutVars>
          <dgm:chPref val="3"/>
        </dgm:presLayoutVars>
      </dgm:prSet>
      <dgm:spPr/>
    </dgm:pt>
    <dgm:pt modelId="{5D67071E-1C0A-4829-A3D4-3F0CA9452D72}" type="pres">
      <dgm:prSet presAssocID="{555EA9F6-F3BE-4CE2-B2E8-B5D2942B2396}" presName="level3hierChild" presStyleCnt="0"/>
      <dgm:spPr/>
    </dgm:pt>
    <dgm:pt modelId="{A96954E4-0F50-40C0-B2FC-5ABE98A0B0D0}" type="pres">
      <dgm:prSet presAssocID="{5F8F2389-C00D-4EA9-987C-6782BF44A1D4}" presName="conn2-1" presStyleLbl="parChTrans1D3" presStyleIdx="1" presStyleCnt="3"/>
      <dgm:spPr/>
    </dgm:pt>
    <dgm:pt modelId="{CA3AAEA0-1831-4DF6-B897-438CB58820F5}" type="pres">
      <dgm:prSet presAssocID="{5F8F2389-C00D-4EA9-987C-6782BF44A1D4}" presName="connTx" presStyleLbl="parChTrans1D3" presStyleIdx="1" presStyleCnt="3"/>
      <dgm:spPr/>
    </dgm:pt>
    <dgm:pt modelId="{463E5775-FEBE-46B6-96BF-F0AA73256B42}" type="pres">
      <dgm:prSet presAssocID="{DE7879BB-0E28-4E6A-BDB1-579DC7AA6630}" presName="root2" presStyleCnt="0"/>
      <dgm:spPr/>
    </dgm:pt>
    <dgm:pt modelId="{0A16698F-66BE-445A-BDBB-AA206C5DAEE8}" type="pres">
      <dgm:prSet presAssocID="{DE7879BB-0E28-4E6A-BDB1-579DC7AA6630}" presName="LevelTwoTextNode" presStyleLbl="node3" presStyleIdx="1" presStyleCnt="3">
        <dgm:presLayoutVars>
          <dgm:chPref val="3"/>
        </dgm:presLayoutVars>
      </dgm:prSet>
      <dgm:spPr/>
    </dgm:pt>
    <dgm:pt modelId="{9F3E7F74-448F-4D2A-A82C-97045537FE9D}" type="pres">
      <dgm:prSet presAssocID="{DE7879BB-0E28-4E6A-BDB1-579DC7AA6630}" presName="level3hierChild" presStyleCnt="0"/>
      <dgm:spPr/>
    </dgm:pt>
    <dgm:pt modelId="{4FF9932D-4CEC-4242-8901-A39494F594C6}" type="pres">
      <dgm:prSet presAssocID="{D97AC182-377E-437D-9117-378327F28103}" presName="conn2-1" presStyleLbl="parChTrans1D4" presStyleIdx="10" presStyleCnt="11"/>
      <dgm:spPr/>
    </dgm:pt>
    <dgm:pt modelId="{0DB7BE1B-43C7-4622-8DC1-E86E9CC12E5D}" type="pres">
      <dgm:prSet presAssocID="{D97AC182-377E-437D-9117-378327F28103}" presName="connTx" presStyleLbl="parChTrans1D4" presStyleIdx="10" presStyleCnt="11"/>
      <dgm:spPr/>
    </dgm:pt>
    <dgm:pt modelId="{F3BB7C77-34ED-4CA2-84CA-82A7B08043F4}" type="pres">
      <dgm:prSet presAssocID="{7561439E-41DC-409C-BD02-442CC0CBBD94}" presName="root2" presStyleCnt="0"/>
      <dgm:spPr/>
    </dgm:pt>
    <dgm:pt modelId="{05B8F57B-FB1C-46DA-BFC9-38D90326AACB}" type="pres">
      <dgm:prSet presAssocID="{7561439E-41DC-409C-BD02-442CC0CBBD94}" presName="LevelTwoTextNode" presStyleLbl="node4" presStyleIdx="10" presStyleCnt="11">
        <dgm:presLayoutVars>
          <dgm:chPref val="3"/>
        </dgm:presLayoutVars>
      </dgm:prSet>
      <dgm:spPr/>
    </dgm:pt>
    <dgm:pt modelId="{EE32F65F-432C-44D1-8C04-7D04D285491C}" type="pres">
      <dgm:prSet presAssocID="{7561439E-41DC-409C-BD02-442CC0CBBD94}" presName="level3hierChild" presStyleCnt="0"/>
      <dgm:spPr/>
    </dgm:pt>
    <dgm:pt modelId="{C068E05C-CEA3-496A-A0D4-9B34C14A4EC4}" type="pres">
      <dgm:prSet presAssocID="{4E7AD529-414F-4598-811F-A231D9E06B69}" presName="conn2-1" presStyleLbl="parChTrans1D2" presStyleIdx="1" presStyleCnt="2"/>
      <dgm:spPr/>
    </dgm:pt>
    <dgm:pt modelId="{7C7081BE-2547-4ADD-936F-A33B74067060}" type="pres">
      <dgm:prSet presAssocID="{4E7AD529-414F-4598-811F-A231D9E06B69}" presName="connTx" presStyleLbl="parChTrans1D2" presStyleIdx="1" presStyleCnt="2"/>
      <dgm:spPr/>
    </dgm:pt>
    <dgm:pt modelId="{D0730B20-FEA6-4840-A3CB-45714DFE87C2}" type="pres">
      <dgm:prSet presAssocID="{0400B92E-FB3B-47AE-951C-6DD12D71D8E3}" presName="root2" presStyleCnt="0"/>
      <dgm:spPr/>
    </dgm:pt>
    <dgm:pt modelId="{50ED4D90-5206-4E15-AFED-772D024A5B21}" type="pres">
      <dgm:prSet presAssocID="{0400B92E-FB3B-47AE-951C-6DD12D71D8E3}" presName="LevelTwoTextNode" presStyleLbl="node2" presStyleIdx="1" presStyleCnt="2">
        <dgm:presLayoutVars>
          <dgm:chPref val="3"/>
        </dgm:presLayoutVars>
      </dgm:prSet>
      <dgm:spPr/>
    </dgm:pt>
    <dgm:pt modelId="{410C56CA-E455-41C6-9540-A9C9A4C061A3}" type="pres">
      <dgm:prSet presAssocID="{0400B92E-FB3B-47AE-951C-6DD12D71D8E3}" presName="level3hierChild" presStyleCnt="0"/>
      <dgm:spPr/>
    </dgm:pt>
    <dgm:pt modelId="{CDEB17E2-7E0E-44D0-8A71-9D3D6F3934AE}" type="pres">
      <dgm:prSet presAssocID="{7A7A9A8D-3659-4345-86B4-2953C5F17469}" presName="conn2-1" presStyleLbl="parChTrans1D3" presStyleIdx="2" presStyleCnt="3"/>
      <dgm:spPr/>
    </dgm:pt>
    <dgm:pt modelId="{E8CFBB0D-A21B-41E5-9251-20D1B150695F}" type="pres">
      <dgm:prSet presAssocID="{7A7A9A8D-3659-4345-86B4-2953C5F17469}" presName="connTx" presStyleLbl="parChTrans1D3" presStyleIdx="2" presStyleCnt="3"/>
      <dgm:spPr/>
    </dgm:pt>
    <dgm:pt modelId="{72A785A1-F5E7-40EA-8194-E35FE00A00FD}" type="pres">
      <dgm:prSet presAssocID="{027A4334-0FC6-4384-A58A-DB8E0A278575}" presName="root2" presStyleCnt="0"/>
      <dgm:spPr/>
    </dgm:pt>
    <dgm:pt modelId="{7E92AED3-9183-49E5-A4B8-111E46199B8C}" type="pres">
      <dgm:prSet presAssocID="{027A4334-0FC6-4384-A58A-DB8E0A278575}" presName="LevelTwoTextNode" presStyleLbl="node3" presStyleIdx="2" presStyleCnt="3">
        <dgm:presLayoutVars>
          <dgm:chPref val="3"/>
        </dgm:presLayoutVars>
      </dgm:prSet>
      <dgm:spPr/>
    </dgm:pt>
    <dgm:pt modelId="{EDD292FB-BE76-44ED-B441-3A86ADCB2770}" type="pres">
      <dgm:prSet presAssocID="{027A4334-0FC6-4384-A58A-DB8E0A278575}" presName="level3hierChild" presStyleCnt="0"/>
      <dgm:spPr/>
    </dgm:pt>
  </dgm:ptLst>
  <dgm:cxnLst>
    <dgm:cxn modelId="{29959B01-2BD2-489D-8EF8-7E3C5713EF5A}" type="presOf" srcId="{0D4323BC-C219-415A-9497-729120EE44E8}" destId="{9ACAE0AC-9840-42CB-90BE-80FE4BC5E9B2}" srcOrd="1" destOrd="0" presId="urn:microsoft.com/office/officeart/2005/8/layout/hierarchy2"/>
    <dgm:cxn modelId="{3EF87707-EAA6-47D6-8963-2C7322F5968F}" type="presOf" srcId="{1F063B6F-F6BE-4CA2-88C2-2B1B495220CE}" destId="{06558ACC-5DAC-4D11-A320-28C14E88ACFE}" srcOrd="0" destOrd="0" presId="urn:microsoft.com/office/officeart/2005/8/layout/hierarchy2"/>
    <dgm:cxn modelId="{BB639C0A-3B51-4276-932F-1125AB7D6DC1}" type="presOf" srcId="{0D4323BC-C219-415A-9497-729120EE44E8}" destId="{9D894C3C-0B8F-40F4-94C8-4570701E7C08}" srcOrd="0" destOrd="0" presId="urn:microsoft.com/office/officeart/2005/8/layout/hierarchy2"/>
    <dgm:cxn modelId="{E2F1AF18-E217-49C7-9841-1939C4F09C77}" type="presOf" srcId="{CBBF82B8-D6FC-41E7-A218-FEEC5A338234}" destId="{DC51499D-94BD-480D-A5BC-D6F44DBF1D61}" srcOrd="1" destOrd="0" presId="urn:microsoft.com/office/officeart/2005/8/layout/hierarchy2"/>
    <dgm:cxn modelId="{0D16F319-FC43-4F25-8B14-379256572ED4}" type="presOf" srcId="{71F77287-3520-47FF-8E20-183DFD28795F}" destId="{B103C851-A3D1-4EBD-84A3-83A9D9F0A9AA}" srcOrd="0" destOrd="0" presId="urn:microsoft.com/office/officeart/2005/8/layout/hierarchy2"/>
    <dgm:cxn modelId="{AC491E1D-F1BC-4578-9D2D-438FD768095F}" type="presOf" srcId="{4BC671AE-E4D4-43C8-8DE6-97E8352688E7}" destId="{9D359435-BC03-4724-A0C9-2291E712ABFA}" srcOrd="0" destOrd="0" presId="urn:microsoft.com/office/officeart/2005/8/layout/hierarchy2"/>
    <dgm:cxn modelId="{66EA431F-BC74-46E5-9F1F-B30A8F76E57F}" type="presOf" srcId="{CBBF82B8-D6FC-41E7-A218-FEEC5A338234}" destId="{4E49F845-BB2C-441D-AF6E-6B74BD3C41BA}" srcOrd="0" destOrd="0" presId="urn:microsoft.com/office/officeart/2005/8/layout/hierarchy2"/>
    <dgm:cxn modelId="{A6ADB420-E2C4-4539-BC91-7A6669ADF3F1}" type="presOf" srcId="{4BC671AE-E4D4-43C8-8DE6-97E8352688E7}" destId="{22E42436-1316-4B64-8E73-534B12A34B44}" srcOrd="1" destOrd="0" presId="urn:microsoft.com/office/officeart/2005/8/layout/hierarchy2"/>
    <dgm:cxn modelId="{A313AB23-65AF-4B4A-AD6C-D107940933C2}" type="presOf" srcId="{6E5D9118-4813-4472-923F-81CB00CD4B25}" destId="{1EC3F6AE-2AF1-4CE8-B29A-4FF708C4996A}" srcOrd="1" destOrd="0" presId="urn:microsoft.com/office/officeart/2005/8/layout/hierarchy2"/>
    <dgm:cxn modelId="{38256724-7104-458B-AA59-54FEFE7D5FEE}" type="presOf" srcId="{2C2A80B6-AA39-4849-8A5A-2CE5405EB36D}" destId="{A6AFFEE0-B265-4F5E-8FAF-18E0B2F2E1C4}" srcOrd="0" destOrd="0" presId="urn:microsoft.com/office/officeart/2005/8/layout/hierarchy2"/>
    <dgm:cxn modelId="{1A4C9524-3C5B-444E-81DD-8C62AAC32775}" type="presOf" srcId="{7561439E-41DC-409C-BD02-442CC0CBBD94}" destId="{05B8F57B-FB1C-46DA-BFC9-38D90326AACB}" srcOrd="0" destOrd="0" presId="urn:microsoft.com/office/officeart/2005/8/layout/hierarchy2"/>
    <dgm:cxn modelId="{69E9972E-0BF3-4B16-BD4E-EB7830CC9674}" srcId="{2440E86C-DB16-4269-B585-1301ABC141EC}" destId="{E28786A6-CB55-45C1-BFFE-4682DFA50B01}" srcOrd="1" destOrd="0" parTransId="{2A3A974A-5256-4F8D-9DA7-A32DF1F85633}" sibTransId="{A744A649-D3EA-4FF0-885C-2E2895808A19}"/>
    <dgm:cxn modelId="{52731930-676A-4986-A41A-00D29105CEA1}" type="presOf" srcId="{8827ECC8-2016-458B-A7FA-AEC61FF2770B}" destId="{2E26BBC6-85DD-4EB5-BE0C-480F7DC4BBF9}" srcOrd="0" destOrd="0" presId="urn:microsoft.com/office/officeart/2005/8/layout/hierarchy2"/>
    <dgm:cxn modelId="{D93C6437-F7F3-4D5B-BB48-4EFF1B542547}" type="presOf" srcId="{555EA9F6-F3BE-4CE2-B2E8-B5D2942B2396}" destId="{ABB959CA-AD71-4AE9-88DD-BA8817718F67}" srcOrd="0" destOrd="0" presId="urn:microsoft.com/office/officeart/2005/8/layout/hierarchy2"/>
    <dgm:cxn modelId="{4057E03A-71E4-444F-8212-C73F4B802E42}" type="presOf" srcId="{148B8C70-117A-4BDC-9324-45E9B5EC9B7C}" destId="{CCBE4A09-8B43-4EC8-92EF-788D59B4DB07}" srcOrd="0" destOrd="0" presId="urn:microsoft.com/office/officeart/2005/8/layout/hierarchy2"/>
    <dgm:cxn modelId="{032D763B-10AA-42B7-B7D1-15E74E2D9919}" type="presOf" srcId="{4E7AD529-414F-4598-811F-A231D9E06B69}" destId="{C068E05C-CEA3-496A-A0D4-9B34C14A4EC4}" srcOrd="0" destOrd="0" presId="urn:microsoft.com/office/officeart/2005/8/layout/hierarchy2"/>
    <dgm:cxn modelId="{EC53D13F-7AF7-406C-99B3-7C26B799C4AA}" srcId="{11E00BF6-0CEE-404A-98FB-F1D375E48126}" destId="{0400B92E-FB3B-47AE-951C-6DD12D71D8E3}" srcOrd="1" destOrd="0" parTransId="{4E7AD529-414F-4598-811F-A231D9E06B69}" sibTransId="{89B79D75-15A9-4A7F-9DE1-886E8FFC7D26}"/>
    <dgm:cxn modelId="{9299E33F-D481-4BDF-99AA-026DAB56DCDE}" type="presOf" srcId="{DE7879BB-0E28-4E6A-BDB1-579DC7AA6630}" destId="{0A16698F-66BE-445A-BDBB-AA206C5DAEE8}" srcOrd="0" destOrd="0" presId="urn:microsoft.com/office/officeart/2005/8/layout/hierarchy2"/>
    <dgm:cxn modelId="{5234565D-34AA-4F16-8C97-5BF86FE4E322}" srcId="{2440E86C-DB16-4269-B585-1301ABC141EC}" destId="{D6790F73-0616-450C-A5B0-BF9AC63432FE}" srcOrd="0" destOrd="0" parTransId="{CBBF82B8-D6FC-41E7-A218-FEEC5A338234}" sibTransId="{4633CBF6-1084-44B7-9D7C-B7544AA8CE0F}"/>
    <dgm:cxn modelId="{B7119760-5558-41AD-A8B2-853A2523FA51}" type="presOf" srcId="{34CACA29-CA45-475A-8C3B-45A97B18A288}" destId="{53C6B25B-DB09-4060-98CF-9416BA8CC3D4}" srcOrd="0" destOrd="0" presId="urn:microsoft.com/office/officeart/2005/8/layout/hierarchy2"/>
    <dgm:cxn modelId="{22CB5C46-2285-4FF9-9392-79ED8B82E257}" type="presOf" srcId="{7A7A9A8D-3659-4345-86B4-2953C5F17469}" destId="{E8CFBB0D-A21B-41E5-9251-20D1B150695F}" srcOrd="1" destOrd="0" presId="urn:microsoft.com/office/officeart/2005/8/layout/hierarchy2"/>
    <dgm:cxn modelId="{07F39C47-B6CC-48AF-B764-4ED7BF32404A}" srcId="{B748AF8C-3E35-422B-8217-A7ED2FC3860D}" destId="{37D240CD-852C-45AE-BCCD-7D86B1527A1E}" srcOrd="0" destOrd="0" parTransId="{5C550B41-0741-4785-8C3D-3EF04FCB3B5E}" sibTransId="{8F843745-69F3-408E-9DD6-4D0D35858153}"/>
    <dgm:cxn modelId="{B1900669-7A54-4F4E-8383-320BACEF4C59}" type="presOf" srcId="{D97AC182-377E-437D-9117-378327F28103}" destId="{4FF9932D-4CEC-4242-8901-A39494F594C6}" srcOrd="0" destOrd="0" presId="urn:microsoft.com/office/officeart/2005/8/layout/hierarchy2"/>
    <dgm:cxn modelId="{EB8AFA69-6C84-491E-9500-649040957306}" srcId="{4FE4048D-9ABC-4BC5-AD08-0F3F1C12D84A}" destId="{11E00BF6-0CEE-404A-98FB-F1D375E48126}" srcOrd="0" destOrd="0" parTransId="{EEA14668-B664-476A-9CCC-1289D14D3C6D}" sibTransId="{65CD20FB-4BD9-40D9-97C7-0BF32C5AB602}"/>
    <dgm:cxn modelId="{7BD4884B-E285-4402-B989-DAABD6E27A0E}" type="presOf" srcId="{4E7AD529-414F-4598-811F-A231D9E06B69}" destId="{7C7081BE-2547-4ADD-936F-A33B74067060}" srcOrd="1" destOrd="0" presId="urn:microsoft.com/office/officeart/2005/8/layout/hierarchy2"/>
    <dgm:cxn modelId="{5F9FB64B-2340-4F9E-A10C-B246887AFB6E}" type="presOf" srcId="{9E6C8651-9CD9-4489-850E-6718FA1002E8}" destId="{CE48C854-5DA3-4517-9CC0-081E74D0AF5B}" srcOrd="0" destOrd="0" presId="urn:microsoft.com/office/officeart/2005/8/layout/hierarchy2"/>
    <dgm:cxn modelId="{2BD49C6F-7091-46C5-A902-1415040F6280}" srcId="{2C2A80B6-AA39-4849-8A5A-2CE5405EB36D}" destId="{DE7879BB-0E28-4E6A-BDB1-579DC7AA6630}" srcOrd="1" destOrd="0" parTransId="{5F8F2389-C00D-4EA9-987C-6782BF44A1D4}" sibTransId="{8E4AE5E0-19F5-4B19-9B38-9EB14DED1AF9}"/>
    <dgm:cxn modelId="{09BF9E72-2038-4D23-AAB4-C39DD6CB3A5F}" srcId="{0400B92E-FB3B-47AE-951C-6DD12D71D8E3}" destId="{027A4334-0FC6-4384-A58A-DB8E0A278575}" srcOrd="0" destOrd="0" parTransId="{7A7A9A8D-3659-4345-86B4-2953C5F17469}" sibTransId="{255BA0BA-FAC5-4B4B-8E7F-214B7DA5AE59}"/>
    <dgm:cxn modelId="{EE32C572-7749-4C09-BF53-9EF0419A2B5C}" type="presOf" srcId="{2A3A974A-5256-4F8D-9DA7-A32DF1F85633}" destId="{0F7B5128-1C6C-42FE-93E8-CB5674F28AFF}" srcOrd="1" destOrd="0" presId="urn:microsoft.com/office/officeart/2005/8/layout/hierarchy2"/>
    <dgm:cxn modelId="{5BC34277-C182-4F8A-BBDB-12FEC8C7A8FD}" srcId="{E28786A6-CB55-45C1-BFFE-4682DFA50B01}" destId="{1F063B6F-F6BE-4CA2-88C2-2B1B495220CE}" srcOrd="1" destOrd="0" parTransId="{34CACA29-CA45-475A-8C3B-45A97B18A288}" sibTransId="{8A3DC9EA-41B1-4051-B153-7ED6E0A2F91B}"/>
    <dgm:cxn modelId="{29360C78-104A-4A49-9F5B-59003A341EF2}" srcId="{D6790F73-0616-450C-A5B0-BF9AC63432FE}" destId="{65D73191-B7BE-46F6-8AC5-3E6F8838E023}" srcOrd="1" destOrd="0" parTransId="{6E5D9118-4813-4472-923F-81CB00CD4B25}" sibTransId="{BF5E2BDF-56BD-4D42-8DC4-C6E79793C5D6}"/>
    <dgm:cxn modelId="{2E9D4B78-E529-495C-91EF-2BA80EE16CE5}" type="presOf" srcId="{3B486F09-1801-4CCF-BE96-F44F0B064889}" destId="{ECB17D58-B894-4F27-B415-995F598E8D28}" srcOrd="0" destOrd="0" presId="urn:microsoft.com/office/officeart/2005/8/layout/hierarchy2"/>
    <dgm:cxn modelId="{C04A1785-CAB3-44FA-AD7B-1C04A98F92CB}" type="presOf" srcId="{7A7A9A8D-3659-4345-86B4-2953C5F17469}" destId="{CDEB17E2-7E0E-44D0-8A71-9D3D6F3934AE}" srcOrd="0" destOrd="0" presId="urn:microsoft.com/office/officeart/2005/8/layout/hierarchy2"/>
    <dgm:cxn modelId="{41C59C86-F068-4A55-91A5-14266F7FC185}" type="presOf" srcId="{D97AC182-377E-437D-9117-378327F28103}" destId="{0DB7BE1B-43C7-4622-8DC1-E86E9CC12E5D}" srcOrd="1" destOrd="0" presId="urn:microsoft.com/office/officeart/2005/8/layout/hierarchy2"/>
    <dgm:cxn modelId="{B75A0C8B-339F-410C-931D-F1835BA90AE4}" type="presOf" srcId="{11E00BF6-0CEE-404A-98FB-F1D375E48126}" destId="{DF732329-5FBC-4B15-8D3E-C1A59C9B6FC5}" srcOrd="0" destOrd="0" presId="urn:microsoft.com/office/officeart/2005/8/layout/hierarchy2"/>
    <dgm:cxn modelId="{D1B8408C-4551-4685-802D-28DF415957C0}" srcId="{11E00BF6-0CEE-404A-98FB-F1D375E48126}" destId="{2C2A80B6-AA39-4849-8A5A-2CE5405EB36D}" srcOrd="0" destOrd="0" parTransId="{8827ECC8-2016-458B-A7FA-AEC61FF2770B}" sibTransId="{6D8A0A09-392F-407A-B8D4-97C3D441CDCE}"/>
    <dgm:cxn modelId="{0025E693-21D2-46F9-955B-B094B243F19E}" srcId="{65D73191-B7BE-46F6-8AC5-3E6F8838E023}" destId="{9E6C8651-9CD9-4489-850E-6718FA1002E8}" srcOrd="0" destOrd="0" parTransId="{71F77287-3520-47FF-8E20-183DFD28795F}" sibTransId="{4EA9DB79-2C6F-4C41-A203-223727F78147}"/>
    <dgm:cxn modelId="{2EB5FC93-BCEE-4081-A015-A864E7C6D56E}" type="presOf" srcId="{34CACA29-CA45-475A-8C3B-45A97B18A288}" destId="{96AE4B69-4956-4F25-9658-42139C1A5B30}" srcOrd="1" destOrd="0" presId="urn:microsoft.com/office/officeart/2005/8/layout/hierarchy2"/>
    <dgm:cxn modelId="{3E959095-276A-4BD1-A463-4E1E45B7C4F6}" type="presOf" srcId="{37B2A911-8834-4202-88F5-FF977641C62C}" destId="{30219523-2003-4593-A759-4A612E12C348}" srcOrd="0" destOrd="0" presId="urn:microsoft.com/office/officeart/2005/8/layout/hierarchy2"/>
    <dgm:cxn modelId="{D481C398-46D8-4C3F-A0E2-F887E604BD00}" type="presOf" srcId="{B748AF8C-3E35-422B-8217-A7ED2FC3860D}" destId="{EA333CE3-BCB5-4E4C-91D8-A9B3BC2B284B}" srcOrd="0" destOrd="0" presId="urn:microsoft.com/office/officeart/2005/8/layout/hierarchy2"/>
    <dgm:cxn modelId="{512A9A9A-4679-4597-B3E8-8DC75BFF0853}" srcId="{E28786A6-CB55-45C1-BFFE-4682DFA50B01}" destId="{21D57B61-F44D-41F9-9DB0-F4AE6040F389}" srcOrd="0" destOrd="0" parTransId="{0D4323BC-C219-415A-9497-729120EE44E8}" sibTransId="{31EEA668-360D-40C9-B950-7A8C5D3FE5A3}"/>
    <dgm:cxn modelId="{9DCDB19E-2080-4142-B9C1-3C3E4F446406}" type="presOf" srcId="{0400B92E-FB3B-47AE-951C-6DD12D71D8E3}" destId="{50ED4D90-5206-4E15-AFED-772D024A5B21}" srcOrd="0" destOrd="0" presId="urn:microsoft.com/office/officeart/2005/8/layout/hierarchy2"/>
    <dgm:cxn modelId="{F8A7DAA0-C6A4-4930-B7A7-57C204ABA81E}" type="presOf" srcId="{6E5D9118-4813-4472-923F-81CB00CD4B25}" destId="{4E5D54D0-7601-4FE6-A5A5-1D15645DFC37}" srcOrd="0" destOrd="0" presId="urn:microsoft.com/office/officeart/2005/8/layout/hierarchy2"/>
    <dgm:cxn modelId="{FE2468A4-A32F-4866-8D58-248BC6101A6B}" type="presOf" srcId="{D6790F73-0616-450C-A5B0-BF9AC63432FE}" destId="{72349769-8DD2-4516-AC7E-A35C488C0C0F}" srcOrd="0" destOrd="0" presId="urn:microsoft.com/office/officeart/2005/8/layout/hierarchy2"/>
    <dgm:cxn modelId="{DC7AF0AA-5676-4E5D-B4BE-F6CF8E37A72A}" type="presOf" srcId="{4FE4048D-9ABC-4BC5-AD08-0F3F1C12D84A}" destId="{354155E2-4594-4345-B4FD-690B4937465A}" srcOrd="0" destOrd="0" presId="urn:microsoft.com/office/officeart/2005/8/layout/hierarchy2"/>
    <dgm:cxn modelId="{BB2EA0AB-43D4-4168-93A9-8F0CCE6B9175}" type="presOf" srcId="{37D240CD-852C-45AE-BCCD-7D86B1527A1E}" destId="{50C86E0C-D077-4173-84D2-EB33D40D824D}" srcOrd="0" destOrd="0" presId="urn:microsoft.com/office/officeart/2005/8/layout/hierarchy2"/>
    <dgm:cxn modelId="{FD53CEAB-0503-4859-890A-D94B6E6F0E71}" type="presOf" srcId="{71F77287-3520-47FF-8E20-183DFD28795F}" destId="{C81257FD-7EB9-4232-AD90-9B48DF7864ED}" srcOrd="1" destOrd="0" presId="urn:microsoft.com/office/officeart/2005/8/layout/hierarchy2"/>
    <dgm:cxn modelId="{CDD3A0AE-8375-4C07-8D86-C16E64D8283F}" type="presOf" srcId="{3B486F09-1801-4CCF-BE96-F44F0B064889}" destId="{DD5FDB31-8E9C-41A1-974B-4BC726A08C7F}" srcOrd="1" destOrd="0" presId="urn:microsoft.com/office/officeart/2005/8/layout/hierarchy2"/>
    <dgm:cxn modelId="{B8914FBA-D6AA-46B2-A96F-318760404B48}" type="presOf" srcId="{2A3A974A-5256-4F8D-9DA7-A32DF1F85633}" destId="{CC5E227C-1854-4141-A5FB-6A484C7D1BED}" srcOrd="0" destOrd="0" presId="urn:microsoft.com/office/officeart/2005/8/layout/hierarchy2"/>
    <dgm:cxn modelId="{DA52F4BE-156A-47AF-82B4-534FA0A9645A}" srcId="{2C2A80B6-AA39-4849-8A5A-2CE5405EB36D}" destId="{2440E86C-DB16-4269-B585-1301ABC141EC}" srcOrd="0" destOrd="0" parTransId="{148B8C70-117A-4BDC-9324-45E9B5EC9B7C}" sibTransId="{27D11E1E-73F5-4AE3-89E2-2DEF0084A778}"/>
    <dgm:cxn modelId="{040883C5-67E5-451E-887D-DFC0107F510B}" srcId="{DE7879BB-0E28-4E6A-BDB1-579DC7AA6630}" destId="{7561439E-41DC-409C-BD02-442CC0CBBD94}" srcOrd="0" destOrd="0" parTransId="{D97AC182-377E-437D-9117-378327F28103}" sibTransId="{49B3749B-B791-45F5-8E72-6FECD30A382E}"/>
    <dgm:cxn modelId="{9E9748C6-6441-486E-9C2E-DEBC9C44F3AE}" type="presOf" srcId="{2440E86C-DB16-4269-B585-1301ABC141EC}" destId="{D0082119-E1F3-42F7-A65D-3B212BAD4DD3}" srcOrd="0" destOrd="0" presId="urn:microsoft.com/office/officeart/2005/8/layout/hierarchy2"/>
    <dgm:cxn modelId="{5A35BBC6-5218-4D8E-AFEA-BF3D8C5BF9F4}" type="presOf" srcId="{027A4334-0FC6-4384-A58A-DB8E0A278575}" destId="{7E92AED3-9183-49E5-A4B8-111E46199B8C}" srcOrd="0" destOrd="0" presId="urn:microsoft.com/office/officeart/2005/8/layout/hierarchy2"/>
    <dgm:cxn modelId="{233412C8-EEB8-40C5-957A-BAC570B42BE5}" srcId="{D6790F73-0616-450C-A5B0-BF9AC63432FE}" destId="{B748AF8C-3E35-422B-8217-A7ED2FC3860D}" srcOrd="0" destOrd="0" parTransId="{4BC671AE-E4D4-43C8-8DE6-97E8352688E7}" sibTransId="{53F884AB-A509-4391-BF77-73CC72FDF89C}"/>
    <dgm:cxn modelId="{09BA55CA-CD58-4B6D-8D2A-FEE96E8E4E85}" srcId="{1F063B6F-F6BE-4CA2-88C2-2B1B495220CE}" destId="{555EA9F6-F3BE-4CE2-B2E8-B5D2942B2396}" srcOrd="0" destOrd="0" parTransId="{C3EC5C97-3EEE-4EDC-AAD2-6FFB4F3AD8D8}" sibTransId="{92013434-C340-408B-9CF6-96E9F5FDD0C8}"/>
    <dgm:cxn modelId="{D0104CCE-6930-4E33-A6C0-3174907E39A0}" type="presOf" srcId="{5F8F2389-C00D-4EA9-987C-6782BF44A1D4}" destId="{A96954E4-0F50-40C0-B2FC-5ABE98A0B0D0}" srcOrd="0" destOrd="0" presId="urn:microsoft.com/office/officeart/2005/8/layout/hierarchy2"/>
    <dgm:cxn modelId="{76EC10DA-96D3-4FB8-B9E2-403456A3CC24}" type="presOf" srcId="{E28786A6-CB55-45C1-BFFE-4682DFA50B01}" destId="{C0523779-B385-4385-A529-633EF847112B}" srcOrd="0" destOrd="0" presId="urn:microsoft.com/office/officeart/2005/8/layout/hierarchy2"/>
    <dgm:cxn modelId="{81AD94DB-2D8A-431E-AAE3-BA633D874A78}" type="presOf" srcId="{5C550B41-0741-4785-8C3D-3EF04FCB3B5E}" destId="{86333CBF-0890-4485-B556-F7B7CC439871}" srcOrd="0" destOrd="0" presId="urn:microsoft.com/office/officeart/2005/8/layout/hierarchy2"/>
    <dgm:cxn modelId="{980814DF-429E-4C17-9F17-A95183B82C9D}" type="presOf" srcId="{C3EC5C97-3EEE-4EDC-AAD2-6FFB4F3AD8D8}" destId="{EF96F75F-93EA-449A-87D3-17F8E555C534}" srcOrd="0" destOrd="0" presId="urn:microsoft.com/office/officeart/2005/8/layout/hierarchy2"/>
    <dgm:cxn modelId="{58FD3CE0-CB6B-4627-859F-6B64EF12F23D}" type="presOf" srcId="{C3EC5C97-3EEE-4EDC-AAD2-6FFB4F3AD8D8}" destId="{F08E2A31-03A6-4E85-BD82-BA490A76D605}" srcOrd="1" destOrd="0" presId="urn:microsoft.com/office/officeart/2005/8/layout/hierarchy2"/>
    <dgm:cxn modelId="{03D0F4E6-DAE9-4230-9A89-6B3AFAC27C20}" type="presOf" srcId="{8827ECC8-2016-458B-A7FA-AEC61FF2770B}" destId="{665902B8-05A1-4053-9617-6DED79C39E79}" srcOrd="1" destOrd="0" presId="urn:microsoft.com/office/officeart/2005/8/layout/hierarchy2"/>
    <dgm:cxn modelId="{65D80DE7-64C9-4982-8E1A-A09776269571}" type="presOf" srcId="{21D57B61-F44D-41F9-9DB0-F4AE6040F389}" destId="{B47FDAC5-A796-4F8F-A435-165338E5B2E4}" srcOrd="0" destOrd="0" presId="urn:microsoft.com/office/officeart/2005/8/layout/hierarchy2"/>
    <dgm:cxn modelId="{D769DCE9-0D48-4B31-B60C-D47D057722FD}" type="presOf" srcId="{5C550B41-0741-4785-8C3D-3EF04FCB3B5E}" destId="{4896B5EE-0CA2-44A7-A089-11A0F9E453C9}" srcOrd="1" destOrd="0" presId="urn:microsoft.com/office/officeart/2005/8/layout/hierarchy2"/>
    <dgm:cxn modelId="{C78092EA-A8A9-4B76-99E8-7DCFB2C26F8A}" srcId="{21D57B61-F44D-41F9-9DB0-F4AE6040F389}" destId="{37B2A911-8834-4202-88F5-FF977641C62C}" srcOrd="0" destOrd="0" parTransId="{3B486F09-1801-4CCF-BE96-F44F0B064889}" sibTransId="{52890DA2-C39D-48D7-9124-E5D8756BF49A}"/>
    <dgm:cxn modelId="{A4BD5BEC-DB52-45A0-B8A1-667EBDBC3B14}" type="presOf" srcId="{148B8C70-117A-4BDC-9324-45E9B5EC9B7C}" destId="{E627B562-1574-4AB6-B62D-D31B40C6059C}" srcOrd="1" destOrd="0" presId="urn:microsoft.com/office/officeart/2005/8/layout/hierarchy2"/>
    <dgm:cxn modelId="{7F4F9EEE-4EAA-4799-84F4-B057EA164939}" type="presOf" srcId="{65D73191-B7BE-46F6-8AC5-3E6F8838E023}" destId="{6C9A8951-376C-46D1-8839-35B19CB9DC7C}" srcOrd="0" destOrd="0" presId="urn:microsoft.com/office/officeart/2005/8/layout/hierarchy2"/>
    <dgm:cxn modelId="{F79ED3EF-98B4-4F29-A993-22F2A7861E11}" type="presOf" srcId="{5F8F2389-C00D-4EA9-987C-6782BF44A1D4}" destId="{CA3AAEA0-1831-4DF6-B897-438CB58820F5}" srcOrd="1" destOrd="0" presId="urn:microsoft.com/office/officeart/2005/8/layout/hierarchy2"/>
    <dgm:cxn modelId="{C9D6BDD8-D61E-4A24-A7E5-15195CC424DD}" type="presParOf" srcId="{354155E2-4594-4345-B4FD-690B4937465A}" destId="{A73C5C7B-0F46-4E23-AA91-B4F5F47349C6}" srcOrd="0" destOrd="0" presId="urn:microsoft.com/office/officeart/2005/8/layout/hierarchy2"/>
    <dgm:cxn modelId="{2BD27381-2224-4D41-A09D-9DC6B10B5D2C}" type="presParOf" srcId="{A73C5C7B-0F46-4E23-AA91-B4F5F47349C6}" destId="{DF732329-5FBC-4B15-8D3E-C1A59C9B6FC5}" srcOrd="0" destOrd="0" presId="urn:microsoft.com/office/officeart/2005/8/layout/hierarchy2"/>
    <dgm:cxn modelId="{275DA9F4-13B5-4AE4-81F0-E36FCA5009F5}" type="presParOf" srcId="{A73C5C7B-0F46-4E23-AA91-B4F5F47349C6}" destId="{B6CFDD7D-BF65-4FDF-AA16-AA8F186BC9E0}" srcOrd="1" destOrd="0" presId="urn:microsoft.com/office/officeart/2005/8/layout/hierarchy2"/>
    <dgm:cxn modelId="{AF0750B8-42F3-4375-9547-E04E78E4A4F2}" type="presParOf" srcId="{B6CFDD7D-BF65-4FDF-AA16-AA8F186BC9E0}" destId="{2E26BBC6-85DD-4EB5-BE0C-480F7DC4BBF9}" srcOrd="0" destOrd="0" presId="urn:microsoft.com/office/officeart/2005/8/layout/hierarchy2"/>
    <dgm:cxn modelId="{06E0D3AC-5EAC-4A15-9710-3956248B0C3E}" type="presParOf" srcId="{2E26BBC6-85DD-4EB5-BE0C-480F7DC4BBF9}" destId="{665902B8-05A1-4053-9617-6DED79C39E79}" srcOrd="0" destOrd="0" presId="urn:microsoft.com/office/officeart/2005/8/layout/hierarchy2"/>
    <dgm:cxn modelId="{AE73760C-568A-45EB-8092-0CC3AC1AB811}" type="presParOf" srcId="{B6CFDD7D-BF65-4FDF-AA16-AA8F186BC9E0}" destId="{F7525B89-BA6C-4F8D-B71B-9CD843DB42B6}" srcOrd="1" destOrd="0" presId="urn:microsoft.com/office/officeart/2005/8/layout/hierarchy2"/>
    <dgm:cxn modelId="{1EB5DA66-26D0-44D8-9CFA-C8644FA16B63}" type="presParOf" srcId="{F7525B89-BA6C-4F8D-B71B-9CD843DB42B6}" destId="{A6AFFEE0-B265-4F5E-8FAF-18E0B2F2E1C4}" srcOrd="0" destOrd="0" presId="urn:microsoft.com/office/officeart/2005/8/layout/hierarchy2"/>
    <dgm:cxn modelId="{37335E5B-120B-484F-8804-FA4B5185A3F1}" type="presParOf" srcId="{F7525B89-BA6C-4F8D-B71B-9CD843DB42B6}" destId="{96519391-3AE5-4D62-8164-DEB8F1670B4A}" srcOrd="1" destOrd="0" presId="urn:microsoft.com/office/officeart/2005/8/layout/hierarchy2"/>
    <dgm:cxn modelId="{6C320D6C-87FF-43D0-8254-B454BF420004}" type="presParOf" srcId="{96519391-3AE5-4D62-8164-DEB8F1670B4A}" destId="{CCBE4A09-8B43-4EC8-92EF-788D59B4DB07}" srcOrd="0" destOrd="0" presId="urn:microsoft.com/office/officeart/2005/8/layout/hierarchy2"/>
    <dgm:cxn modelId="{9CBECA8E-A864-45DF-8562-6223FC0BA657}" type="presParOf" srcId="{CCBE4A09-8B43-4EC8-92EF-788D59B4DB07}" destId="{E627B562-1574-4AB6-B62D-D31B40C6059C}" srcOrd="0" destOrd="0" presId="urn:microsoft.com/office/officeart/2005/8/layout/hierarchy2"/>
    <dgm:cxn modelId="{BAABC870-C1BA-4D56-9A9E-81CEF1CF7D57}" type="presParOf" srcId="{96519391-3AE5-4D62-8164-DEB8F1670B4A}" destId="{50E9CE56-C07A-490D-A701-F5690D6385C3}" srcOrd="1" destOrd="0" presId="urn:microsoft.com/office/officeart/2005/8/layout/hierarchy2"/>
    <dgm:cxn modelId="{0765A34D-E13F-48E1-971E-01CA81FAF6C3}" type="presParOf" srcId="{50E9CE56-C07A-490D-A701-F5690D6385C3}" destId="{D0082119-E1F3-42F7-A65D-3B212BAD4DD3}" srcOrd="0" destOrd="0" presId="urn:microsoft.com/office/officeart/2005/8/layout/hierarchy2"/>
    <dgm:cxn modelId="{7FB36896-87A2-4203-A447-3A6612F0926C}" type="presParOf" srcId="{50E9CE56-C07A-490D-A701-F5690D6385C3}" destId="{D6168626-C111-4C47-8487-E4A112301A63}" srcOrd="1" destOrd="0" presId="urn:microsoft.com/office/officeart/2005/8/layout/hierarchy2"/>
    <dgm:cxn modelId="{AC3CB2E6-4500-4C95-AB70-2B91C5919242}" type="presParOf" srcId="{D6168626-C111-4C47-8487-E4A112301A63}" destId="{4E49F845-BB2C-441D-AF6E-6B74BD3C41BA}" srcOrd="0" destOrd="0" presId="urn:microsoft.com/office/officeart/2005/8/layout/hierarchy2"/>
    <dgm:cxn modelId="{E0464192-6AC1-4A4D-B211-DA3EEB4CD865}" type="presParOf" srcId="{4E49F845-BB2C-441D-AF6E-6B74BD3C41BA}" destId="{DC51499D-94BD-480D-A5BC-D6F44DBF1D61}" srcOrd="0" destOrd="0" presId="urn:microsoft.com/office/officeart/2005/8/layout/hierarchy2"/>
    <dgm:cxn modelId="{81DA6926-61C6-41CC-BD84-73D164B64806}" type="presParOf" srcId="{D6168626-C111-4C47-8487-E4A112301A63}" destId="{218C2C14-8A30-48B5-ADFB-5602B39B69C9}" srcOrd="1" destOrd="0" presId="urn:microsoft.com/office/officeart/2005/8/layout/hierarchy2"/>
    <dgm:cxn modelId="{81F8692F-802F-47EA-BF39-A3DADE8B2F9A}" type="presParOf" srcId="{218C2C14-8A30-48B5-ADFB-5602B39B69C9}" destId="{72349769-8DD2-4516-AC7E-A35C488C0C0F}" srcOrd="0" destOrd="0" presId="urn:microsoft.com/office/officeart/2005/8/layout/hierarchy2"/>
    <dgm:cxn modelId="{E909CDE9-A8BB-4F5B-9B6D-45CA5DF2FAA3}" type="presParOf" srcId="{218C2C14-8A30-48B5-ADFB-5602B39B69C9}" destId="{45AF6C5D-0755-47FC-8E3F-7623CC7F46D1}" srcOrd="1" destOrd="0" presId="urn:microsoft.com/office/officeart/2005/8/layout/hierarchy2"/>
    <dgm:cxn modelId="{4DB1655B-64EA-4456-8290-CFAD747B4A2E}" type="presParOf" srcId="{45AF6C5D-0755-47FC-8E3F-7623CC7F46D1}" destId="{9D359435-BC03-4724-A0C9-2291E712ABFA}" srcOrd="0" destOrd="0" presId="urn:microsoft.com/office/officeart/2005/8/layout/hierarchy2"/>
    <dgm:cxn modelId="{3D24AE44-983F-4C34-92B7-18D8C43B7952}" type="presParOf" srcId="{9D359435-BC03-4724-A0C9-2291E712ABFA}" destId="{22E42436-1316-4B64-8E73-534B12A34B44}" srcOrd="0" destOrd="0" presId="urn:microsoft.com/office/officeart/2005/8/layout/hierarchy2"/>
    <dgm:cxn modelId="{FC25E360-9C29-4BB4-8003-A60183CC25D9}" type="presParOf" srcId="{45AF6C5D-0755-47FC-8E3F-7623CC7F46D1}" destId="{A289D392-ECE6-4724-A423-119D7097253D}" srcOrd="1" destOrd="0" presId="urn:microsoft.com/office/officeart/2005/8/layout/hierarchy2"/>
    <dgm:cxn modelId="{AD09DA39-C166-4698-825C-7280F722D74C}" type="presParOf" srcId="{A289D392-ECE6-4724-A423-119D7097253D}" destId="{EA333CE3-BCB5-4E4C-91D8-A9B3BC2B284B}" srcOrd="0" destOrd="0" presId="urn:microsoft.com/office/officeart/2005/8/layout/hierarchy2"/>
    <dgm:cxn modelId="{41FE3230-5067-4EBD-B348-ECACDF7BEACD}" type="presParOf" srcId="{A289D392-ECE6-4724-A423-119D7097253D}" destId="{744F24A6-31AB-4643-A9B4-F5B8F173053C}" srcOrd="1" destOrd="0" presId="urn:microsoft.com/office/officeart/2005/8/layout/hierarchy2"/>
    <dgm:cxn modelId="{D961B9EE-C54B-47EB-8468-B6E9EDF323E3}" type="presParOf" srcId="{744F24A6-31AB-4643-A9B4-F5B8F173053C}" destId="{86333CBF-0890-4485-B556-F7B7CC439871}" srcOrd="0" destOrd="0" presId="urn:microsoft.com/office/officeart/2005/8/layout/hierarchy2"/>
    <dgm:cxn modelId="{E776EC9F-4D79-4C69-A4B5-43305523E3FD}" type="presParOf" srcId="{86333CBF-0890-4485-B556-F7B7CC439871}" destId="{4896B5EE-0CA2-44A7-A089-11A0F9E453C9}" srcOrd="0" destOrd="0" presId="urn:microsoft.com/office/officeart/2005/8/layout/hierarchy2"/>
    <dgm:cxn modelId="{8EF48E6F-B387-4B15-AEE2-35475B345692}" type="presParOf" srcId="{744F24A6-31AB-4643-A9B4-F5B8F173053C}" destId="{04200CDF-CE6F-4724-B3B7-AEFED05A93B6}" srcOrd="1" destOrd="0" presId="urn:microsoft.com/office/officeart/2005/8/layout/hierarchy2"/>
    <dgm:cxn modelId="{000231DE-9C0E-43E5-A0D2-FC1DABDA390F}" type="presParOf" srcId="{04200CDF-CE6F-4724-B3B7-AEFED05A93B6}" destId="{50C86E0C-D077-4173-84D2-EB33D40D824D}" srcOrd="0" destOrd="0" presId="urn:microsoft.com/office/officeart/2005/8/layout/hierarchy2"/>
    <dgm:cxn modelId="{1D0E828F-0752-49AC-8328-3A3667F86615}" type="presParOf" srcId="{04200CDF-CE6F-4724-B3B7-AEFED05A93B6}" destId="{16C28217-E44F-43E4-B78D-CAF81CEA710F}" srcOrd="1" destOrd="0" presId="urn:microsoft.com/office/officeart/2005/8/layout/hierarchy2"/>
    <dgm:cxn modelId="{BAA85B06-3F83-49DE-B2A9-72BFC5ECC6BC}" type="presParOf" srcId="{45AF6C5D-0755-47FC-8E3F-7623CC7F46D1}" destId="{4E5D54D0-7601-4FE6-A5A5-1D15645DFC37}" srcOrd="2" destOrd="0" presId="urn:microsoft.com/office/officeart/2005/8/layout/hierarchy2"/>
    <dgm:cxn modelId="{1A16DC8F-20AA-4CC8-9647-CCCAF0706D4E}" type="presParOf" srcId="{4E5D54D0-7601-4FE6-A5A5-1D15645DFC37}" destId="{1EC3F6AE-2AF1-4CE8-B29A-4FF708C4996A}" srcOrd="0" destOrd="0" presId="urn:microsoft.com/office/officeart/2005/8/layout/hierarchy2"/>
    <dgm:cxn modelId="{5373381B-95DD-4460-A17C-76CDEA4958AE}" type="presParOf" srcId="{45AF6C5D-0755-47FC-8E3F-7623CC7F46D1}" destId="{EEA9EEC0-7FF2-4EB8-A8A4-A9C397F780A5}" srcOrd="3" destOrd="0" presId="urn:microsoft.com/office/officeart/2005/8/layout/hierarchy2"/>
    <dgm:cxn modelId="{FE639F8A-7A22-491B-B35E-98DABD2D60B5}" type="presParOf" srcId="{EEA9EEC0-7FF2-4EB8-A8A4-A9C397F780A5}" destId="{6C9A8951-376C-46D1-8839-35B19CB9DC7C}" srcOrd="0" destOrd="0" presId="urn:microsoft.com/office/officeart/2005/8/layout/hierarchy2"/>
    <dgm:cxn modelId="{46021171-A010-4B95-A9A7-8B798A5B04C3}" type="presParOf" srcId="{EEA9EEC0-7FF2-4EB8-A8A4-A9C397F780A5}" destId="{B48FC84B-5D42-4B17-863B-1E36D3883931}" srcOrd="1" destOrd="0" presId="urn:microsoft.com/office/officeart/2005/8/layout/hierarchy2"/>
    <dgm:cxn modelId="{1D61E5EC-353C-4F52-836A-DA6B08A74F15}" type="presParOf" srcId="{B48FC84B-5D42-4B17-863B-1E36D3883931}" destId="{B103C851-A3D1-4EBD-84A3-83A9D9F0A9AA}" srcOrd="0" destOrd="0" presId="urn:microsoft.com/office/officeart/2005/8/layout/hierarchy2"/>
    <dgm:cxn modelId="{15314D00-586B-40D0-9B13-C2A4DBE62284}" type="presParOf" srcId="{B103C851-A3D1-4EBD-84A3-83A9D9F0A9AA}" destId="{C81257FD-7EB9-4232-AD90-9B48DF7864ED}" srcOrd="0" destOrd="0" presId="urn:microsoft.com/office/officeart/2005/8/layout/hierarchy2"/>
    <dgm:cxn modelId="{1CF0CED2-D158-40E2-823D-2FFB74025C08}" type="presParOf" srcId="{B48FC84B-5D42-4B17-863B-1E36D3883931}" destId="{0E6BC1BD-7FC7-46C2-B0BD-3AE890BBDB1B}" srcOrd="1" destOrd="0" presId="urn:microsoft.com/office/officeart/2005/8/layout/hierarchy2"/>
    <dgm:cxn modelId="{1E5CFA26-9A29-4945-AFA8-0E64BCAF551B}" type="presParOf" srcId="{0E6BC1BD-7FC7-46C2-B0BD-3AE890BBDB1B}" destId="{CE48C854-5DA3-4517-9CC0-081E74D0AF5B}" srcOrd="0" destOrd="0" presId="urn:microsoft.com/office/officeart/2005/8/layout/hierarchy2"/>
    <dgm:cxn modelId="{24C88B06-513B-4171-84C8-A3C8E7A43FCE}" type="presParOf" srcId="{0E6BC1BD-7FC7-46C2-B0BD-3AE890BBDB1B}" destId="{DABD74FC-0B06-42A0-AD84-DD5CF7F2DB59}" srcOrd="1" destOrd="0" presId="urn:microsoft.com/office/officeart/2005/8/layout/hierarchy2"/>
    <dgm:cxn modelId="{E0808CEF-39F0-47BB-AB9C-E5023BCA47BB}" type="presParOf" srcId="{D6168626-C111-4C47-8487-E4A112301A63}" destId="{CC5E227C-1854-4141-A5FB-6A484C7D1BED}" srcOrd="2" destOrd="0" presId="urn:microsoft.com/office/officeart/2005/8/layout/hierarchy2"/>
    <dgm:cxn modelId="{E41B3C30-13E6-4C4C-8157-EFEE5BD0D3BF}" type="presParOf" srcId="{CC5E227C-1854-4141-A5FB-6A484C7D1BED}" destId="{0F7B5128-1C6C-42FE-93E8-CB5674F28AFF}" srcOrd="0" destOrd="0" presId="urn:microsoft.com/office/officeart/2005/8/layout/hierarchy2"/>
    <dgm:cxn modelId="{172A4202-99E9-4B8A-8803-3E40D115983F}" type="presParOf" srcId="{D6168626-C111-4C47-8487-E4A112301A63}" destId="{3F0416E8-0659-42FB-A0C3-D654B64AA46E}" srcOrd="3" destOrd="0" presId="urn:microsoft.com/office/officeart/2005/8/layout/hierarchy2"/>
    <dgm:cxn modelId="{82291DC5-8C5A-47E8-95B8-9E16A717AEF4}" type="presParOf" srcId="{3F0416E8-0659-42FB-A0C3-D654B64AA46E}" destId="{C0523779-B385-4385-A529-633EF847112B}" srcOrd="0" destOrd="0" presId="urn:microsoft.com/office/officeart/2005/8/layout/hierarchy2"/>
    <dgm:cxn modelId="{0A2CC8A3-603C-4D7E-A2FF-AC2B2482D120}" type="presParOf" srcId="{3F0416E8-0659-42FB-A0C3-D654B64AA46E}" destId="{DA9B37EE-83B9-4283-9D1E-C2811B78DC2D}" srcOrd="1" destOrd="0" presId="urn:microsoft.com/office/officeart/2005/8/layout/hierarchy2"/>
    <dgm:cxn modelId="{060FF163-02C4-4028-B970-B3ADF6CDBD8E}" type="presParOf" srcId="{DA9B37EE-83B9-4283-9D1E-C2811B78DC2D}" destId="{9D894C3C-0B8F-40F4-94C8-4570701E7C08}" srcOrd="0" destOrd="0" presId="urn:microsoft.com/office/officeart/2005/8/layout/hierarchy2"/>
    <dgm:cxn modelId="{4C18B323-CE88-4DA0-A988-1725FF323E0C}" type="presParOf" srcId="{9D894C3C-0B8F-40F4-94C8-4570701E7C08}" destId="{9ACAE0AC-9840-42CB-90BE-80FE4BC5E9B2}" srcOrd="0" destOrd="0" presId="urn:microsoft.com/office/officeart/2005/8/layout/hierarchy2"/>
    <dgm:cxn modelId="{74DDA38D-558E-412E-8658-5C97EDA3063E}" type="presParOf" srcId="{DA9B37EE-83B9-4283-9D1E-C2811B78DC2D}" destId="{4EE23DA4-2C88-4124-9A97-59BAA879C857}" srcOrd="1" destOrd="0" presId="urn:microsoft.com/office/officeart/2005/8/layout/hierarchy2"/>
    <dgm:cxn modelId="{85BC7588-97F1-4B49-8847-345B68EBE356}" type="presParOf" srcId="{4EE23DA4-2C88-4124-9A97-59BAA879C857}" destId="{B47FDAC5-A796-4F8F-A435-165338E5B2E4}" srcOrd="0" destOrd="0" presId="urn:microsoft.com/office/officeart/2005/8/layout/hierarchy2"/>
    <dgm:cxn modelId="{41D1FA53-0897-4EE2-9072-D1204F84BFC2}" type="presParOf" srcId="{4EE23DA4-2C88-4124-9A97-59BAA879C857}" destId="{4F14A884-D88A-4EFD-AC99-C757525B9F37}" srcOrd="1" destOrd="0" presId="urn:microsoft.com/office/officeart/2005/8/layout/hierarchy2"/>
    <dgm:cxn modelId="{4CA5622C-DB4C-46D7-974F-9F23D618A7EC}" type="presParOf" srcId="{4F14A884-D88A-4EFD-AC99-C757525B9F37}" destId="{ECB17D58-B894-4F27-B415-995F598E8D28}" srcOrd="0" destOrd="0" presId="urn:microsoft.com/office/officeart/2005/8/layout/hierarchy2"/>
    <dgm:cxn modelId="{36E22C18-6C03-4206-9924-5172D68AB7F4}" type="presParOf" srcId="{ECB17D58-B894-4F27-B415-995F598E8D28}" destId="{DD5FDB31-8E9C-41A1-974B-4BC726A08C7F}" srcOrd="0" destOrd="0" presId="urn:microsoft.com/office/officeart/2005/8/layout/hierarchy2"/>
    <dgm:cxn modelId="{46985789-CEA2-4B22-B247-9ED67BD5287C}" type="presParOf" srcId="{4F14A884-D88A-4EFD-AC99-C757525B9F37}" destId="{96F7BBC3-807A-4079-916E-09E4FFC5E4E0}" srcOrd="1" destOrd="0" presId="urn:microsoft.com/office/officeart/2005/8/layout/hierarchy2"/>
    <dgm:cxn modelId="{5E3EDD7B-AE34-4E3F-8EB8-C377902EE966}" type="presParOf" srcId="{96F7BBC3-807A-4079-916E-09E4FFC5E4E0}" destId="{30219523-2003-4593-A759-4A612E12C348}" srcOrd="0" destOrd="0" presId="urn:microsoft.com/office/officeart/2005/8/layout/hierarchy2"/>
    <dgm:cxn modelId="{1AEE7CED-497F-42C8-A9EC-C42D0C3F9EB9}" type="presParOf" srcId="{96F7BBC3-807A-4079-916E-09E4FFC5E4E0}" destId="{79AD92A3-76B3-430D-8CD3-7D8667D4ACB5}" srcOrd="1" destOrd="0" presId="urn:microsoft.com/office/officeart/2005/8/layout/hierarchy2"/>
    <dgm:cxn modelId="{C980097F-B21E-4C60-B422-BBE6F53F9C8E}" type="presParOf" srcId="{DA9B37EE-83B9-4283-9D1E-C2811B78DC2D}" destId="{53C6B25B-DB09-4060-98CF-9416BA8CC3D4}" srcOrd="2" destOrd="0" presId="urn:microsoft.com/office/officeart/2005/8/layout/hierarchy2"/>
    <dgm:cxn modelId="{646F4C88-2A35-4E00-8AA8-50191A635B39}" type="presParOf" srcId="{53C6B25B-DB09-4060-98CF-9416BA8CC3D4}" destId="{96AE4B69-4956-4F25-9658-42139C1A5B30}" srcOrd="0" destOrd="0" presId="urn:microsoft.com/office/officeart/2005/8/layout/hierarchy2"/>
    <dgm:cxn modelId="{FA48A16E-55ED-4E35-81E9-B0AA99FEC2AA}" type="presParOf" srcId="{DA9B37EE-83B9-4283-9D1E-C2811B78DC2D}" destId="{3E1E44DC-4F3F-45C6-BAC9-F628B769ACB5}" srcOrd="3" destOrd="0" presId="urn:microsoft.com/office/officeart/2005/8/layout/hierarchy2"/>
    <dgm:cxn modelId="{BAAF33DB-B5E0-44A0-B981-916FFB5B5E17}" type="presParOf" srcId="{3E1E44DC-4F3F-45C6-BAC9-F628B769ACB5}" destId="{06558ACC-5DAC-4D11-A320-28C14E88ACFE}" srcOrd="0" destOrd="0" presId="urn:microsoft.com/office/officeart/2005/8/layout/hierarchy2"/>
    <dgm:cxn modelId="{56D38CE1-8369-465B-8D7E-8FBA7996EBFC}" type="presParOf" srcId="{3E1E44DC-4F3F-45C6-BAC9-F628B769ACB5}" destId="{3C8B4385-3302-4C57-A64F-01E3CFFC3165}" srcOrd="1" destOrd="0" presId="urn:microsoft.com/office/officeart/2005/8/layout/hierarchy2"/>
    <dgm:cxn modelId="{FBAA3078-9CE4-4FA2-AEF1-4A86A8959884}" type="presParOf" srcId="{3C8B4385-3302-4C57-A64F-01E3CFFC3165}" destId="{EF96F75F-93EA-449A-87D3-17F8E555C534}" srcOrd="0" destOrd="0" presId="urn:microsoft.com/office/officeart/2005/8/layout/hierarchy2"/>
    <dgm:cxn modelId="{AAAAE328-A46F-4FA6-ADFC-D08FB35E8374}" type="presParOf" srcId="{EF96F75F-93EA-449A-87D3-17F8E555C534}" destId="{F08E2A31-03A6-4E85-BD82-BA490A76D605}" srcOrd="0" destOrd="0" presId="urn:microsoft.com/office/officeart/2005/8/layout/hierarchy2"/>
    <dgm:cxn modelId="{BFD0EC3B-CE60-4F29-94BC-0E843F49E5D3}" type="presParOf" srcId="{3C8B4385-3302-4C57-A64F-01E3CFFC3165}" destId="{649B3545-5A12-47CE-A937-95036816D6A7}" srcOrd="1" destOrd="0" presId="urn:microsoft.com/office/officeart/2005/8/layout/hierarchy2"/>
    <dgm:cxn modelId="{CB52F17E-5820-4CF5-AA3C-5E447477B16B}" type="presParOf" srcId="{649B3545-5A12-47CE-A937-95036816D6A7}" destId="{ABB959CA-AD71-4AE9-88DD-BA8817718F67}" srcOrd="0" destOrd="0" presId="urn:microsoft.com/office/officeart/2005/8/layout/hierarchy2"/>
    <dgm:cxn modelId="{AD3D42E0-9473-4170-A28D-B99E76881459}" type="presParOf" srcId="{649B3545-5A12-47CE-A937-95036816D6A7}" destId="{5D67071E-1C0A-4829-A3D4-3F0CA9452D72}" srcOrd="1" destOrd="0" presId="urn:microsoft.com/office/officeart/2005/8/layout/hierarchy2"/>
    <dgm:cxn modelId="{0F074620-AFAA-40C1-B613-04E3C81871E7}" type="presParOf" srcId="{96519391-3AE5-4D62-8164-DEB8F1670B4A}" destId="{A96954E4-0F50-40C0-B2FC-5ABE98A0B0D0}" srcOrd="2" destOrd="0" presId="urn:microsoft.com/office/officeart/2005/8/layout/hierarchy2"/>
    <dgm:cxn modelId="{1F5ED3D1-AC71-41FC-AC61-8987DDA551D6}" type="presParOf" srcId="{A96954E4-0F50-40C0-B2FC-5ABE98A0B0D0}" destId="{CA3AAEA0-1831-4DF6-B897-438CB58820F5}" srcOrd="0" destOrd="0" presId="urn:microsoft.com/office/officeart/2005/8/layout/hierarchy2"/>
    <dgm:cxn modelId="{068E73B3-E98C-41D8-98F4-01A6927E88AE}" type="presParOf" srcId="{96519391-3AE5-4D62-8164-DEB8F1670B4A}" destId="{463E5775-FEBE-46B6-96BF-F0AA73256B42}" srcOrd="3" destOrd="0" presId="urn:microsoft.com/office/officeart/2005/8/layout/hierarchy2"/>
    <dgm:cxn modelId="{3B01C84F-405D-4288-A840-4A5D4EACA920}" type="presParOf" srcId="{463E5775-FEBE-46B6-96BF-F0AA73256B42}" destId="{0A16698F-66BE-445A-BDBB-AA206C5DAEE8}" srcOrd="0" destOrd="0" presId="urn:microsoft.com/office/officeart/2005/8/layout/hierarchy2"/>
    <dgm:cxn modelId="{6266B14A-792F-4177-838A-2106D31DE89F}" type="presParOf" srcId="{463E5775-FEBE-46B6-96BF-F0AA73256B42}" destId="{9F3E7F74-448F-4D2A-A82C-97045537FE9D}" srcOrd="1" destOrd="0" presId="urn:microsoft.com/office/officeart/2005/8/layout/hierarchy2"/>
    <dgm:cxn modelId="{DDBB4256-CC26-4963-AB10-A3934A8F1E60}" type="presParOf" srcId="{9F3E7F74-448F-4D2A-A82C-97045537FE9D}" destId="{4FF9932D-4CEC-4242-8901-A39494F594C6}" srcOrd="0" destOrd="0" presId="urn:microsoft.com/office/officeart/2005/8/layout/hierarchy2"/>
    <dgm:cxn modelId="{45E504B3-F901-42E3-A89D-0F80D407E2AE}" type="presParOf" srcId="{4FF9932D-4CEC-4242-8901-A39494F594C6}" destId="{0DB7BE1B-43C7-4622-8DC1-E86E9CC12E5D}" srcOrd="0" destOrd="0" presId="urn:microsoft.com/office/officeart/2005/8/layout/hierarchy2"/>
    <dgm:cxn modelId="{2C09761D-A390-471C-B5DF-5709C6CB0603}" type="presParOf" srcId="{9F3E7F74-448F-4D2A-A82C-97045537FE9D}" destId="{F3BB7C77-34ED-4CA2-84CA-82A7B08043F4}" srcOrd="1" destOrd="0" presId="urn:microsoft.com/office/officeart/2005/8/layout/hierarchy2"/>
    <dgm:cxn modelId="{FEE3D38E-05E6-458C-BB26-5FF872BC3489}" type="presParOf" srcId="{F3BB7C77-34ED-4CA2-84CA-82A7B08043F4}" destId="{05B8F57B-FB1C-46DA-BFC9-38D90326AACB}" srcOrd="0" destOrd="0" presId="urn:microsoft.com/office/officeart/2005/8/layout/hierarchy2"/>
    <dgm:cxn modelId="{07A8ED15-E9F6-4377-A644-B8D4E193ED12}" type="presParOf" srcId="{F3BB7C77-34ED-4CA2-84CA-82A7B08043F4}" destId="{EE32F65F-432C-44D1-8C04-7D04D285491C}" srcOrd="1" destOrd="0" presId="urn:microsoft.com/office/officeart/2005/8/layout/hierarchy2"/>
    <dgm:cxn modelId="{9C5F0127-3BAD-4D48-8A63-296D01339061}" type="presParOf" srcId="{B6CFDD7D-BF65-4FDF-AA16-AA8F186BC9E0}" destId="{C068E05C-CEA3-496A-A0D4-9B34C14A4EC4}" srcOrd="2" destOrd="0" presId="urn:microsoft.com/office/officeart/2005/8/layout/hierarchy2"/>
    <dgm:cxn modelId="{7DABD4FC-8250-478D-A9B4-ABFCC9075E6C}" type="presParOf" srcId="{C068E05C-CEA3-496A-A0D4-9B34C14A4EC4}" destId="{7C7081BE-2547-4ADD-936F-A33B74067060}" srcOrd="0" destOrd="0" presId="urn:microsoft.com/office/officeart/2005/8/layout/hierarchy2"/>
    <dgm:cxn modelId="{1060B28A-1911-49C6-AB5E-10AE6936EC5E}" type="presParOf" srcId="{B6CFDD7D-BF65-4FDF-AA16-AA8F186BC9E0}" destId="{D0730B20-FEA6-4840-A3CB-45714DFE87C2}" srcOrd="3" destOrd="0" presId="urn:microsoft.com/office/officeart/2005/8/layout/hierarchy2"/>
    <dgm:cxn modelId="{8CB16148-F945-4C94-96C0-84A7EBB07088}" type="presParOf" srcId="{D0730B20-FEA6-4840-A3CB-45714DFE87C2}" destId="{50ED4D90-5206-4E15-AFED-772D024A5B21}" srcOrd="0" destOrd="0" presId="urn:microsoft.com/office/officeart/2005/8/layout/hierarchy2"/>
    <dgm:cxn modelId="{60DE3A5A-0EEA-450F-8FC3-E671B68FDBA9}" type="presParOf" srcId="{D0730B20-FEA6-4840-A3CB-45714DFE87C2}" destId="{410C56CA-E455-41C6-9540-A9C9A4C061A3}" srcOrd="1" destOrd="0" presId="urn:microsoft.com/office/officeart/2005/8/layout/hierarchy2"/>
    <dgm:cxn modelId="{94AD1E3A-1265-46C3-B92F-9F5F21586A45}" type="presParOf" srcId="{410C56CA-E455-41C6-9540-A9C9A4C061A3}" destId="{CDEB17E2-7E0E-44D0-8A71-9D3D6F3934AE}" srcOrd="0" destOrd="0" presId="urn:microsoft.com/office/officeart/2005/8/layout/hierarchy2"/>
    <dgm:cxn modelId="{D029AE16-9B9F-4450-8EAF-2DC06B61FBB5}" type="presParOf" srcId="{CDEB17E2-7E0E-44D0-8A71-9D3D6F3934AE}" destId="{E8CFBB0D-A21B-41E5-9251-20D1B150695F}" srcOrd="0" destOrd="0" presId="urn:microsoft.com/office/officeart/2005/8/layout/hierarchy2"/>
    <dgm:cxn modelId="{59EA4499-4907-4153-8BED-06D97BB04324}" type="presParOf" srcId="{410C56CA-E455-41C6-9540-A9C9A4C061A3}" destId="{72A785A1-F5E7-40EA-8194-E35FE00A00FD}" srcOrd="1" destOrd="0" presId="urn:microsoft.com/office/officeart/2005/8/layout/hierarchy2"/>
    <dgm:cxn modelId="{AA816C68-5042-4BF9-AD43-BD5ED26A8689}" type="presParOf" srcId="{72A785A1-F5E7-40EA-8194-E35FE00A00FD}" destId="{7E92AED3-9183-49E5-A4B8-111E46199B8C}" srcOrd="0" destOrd="0" presId="urn:microsoft.com/office/officeart/2005/8/layout/hierarchy2"/>
    <dgm:cxn modelId="{73EA38BD-97DD-443D-8333-9624F2B47F2F}" type="presParOf" srcId="{72A785A1-F5E7-40EA-8194-E35FE00A00FD}" destId="{EDD292FB-BE76-44ED-B441-3A86ADCB2770}" srcOrd="1" destOrd="0" presId="urn:microsoft.com/office/officeart/2005/8/layout/hierarchy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FE4048D-9ABC-4BC5-AD08-0F3F1C12D84A}" type="doc">
      <dgm:prSet loTypeId="urn:microsoft.com/office/officeart/2005/8/layout/hierarchy2" loCatId="hierarchy" qsTypeId="urn:microsoft.com/office/officeart/2005/8/quickstyle/simple1" qsCatId="simple" csTypeId="urn:microsoft.com/office/officeart/2005/8/colors/accent1_1" csCatId="accent1" phldr="1"/>
      <dgm:spPr/>
      <dgm:t>
        <a:bodyPr/>
        <a:lstStyle/>
        <a:p>
          <a:endParaRPr lang="en-GB"/>
        </a:p>
      </dgm:t>
    </dgm:pt>
    <dgm:pt modelId="{11E00BF6-0CEE-404A-98FB-F1D375E48126}">
      <dgm:prSet phldrT="[Text]">
        <dgm:style>
          <a:lnRef idx="2">
            <a:schemeClr val="accent1">
              <a:shade val="50000"/>
            </a:schemeClr>
          </a:lnRef>
          <a:fillRef idx="1">
            <a:schemeClr val="accent1"/>
          </a:fillRef>
          <a:effectRef idx="0">
            <a:schemeClr val="accent1"/>
          </a:effectRef>
          <a:fontRef idx="minor">
            <a:schemeClr val="lt1"/>
          </a:fontRef>
        </dgm:style>
      </dgm:prSet>
      <dgm:spPr/>
      <dgm:t>
        <a:bodyPr/>
        <a:lstStyle/>
        <a:p>
          <a:r>
            <a:rPr lang="en-GB">
              <a:latin typeface="Arial" panose="020B0604020202020204" pitchFamily="34" charset="0"/>
              <a:cs typeface="Arial" panose="020B0604020202020204" pitchFamily="34" charset="0"/>
            </a:rPr>
            <a:t>Flooding evacuation</a:t>
          </a:r>
        </a:p>
      </dgm:t>
    </dgm:pt>
    <dgm:pt modelId="{EEA14668-B664-476A-9CCC-1289D14D3C6D}" type="parTrans" cxnId="{EB8AFA69-6C84-491E-9500-649040957306}">
      <dgm:prSet/>
      <dgm:spPr/>
      <dgm:t>
        <a:bodyPr/>
        <a:lstStyle/>
        <a:p>
          <a:endParaRPr lang="en-GB">
            <a:latin typeface="Arial" panose="020B0604020202020204" pitchFamily="34" charset="0"/>
            <a:cs typeface="Arial" panose="020B0604020202020204" pitchFamily="34" charset="0"/>
          </a:endParaRPr>
        </a:p>
      </dgm:t>
    </dgm:pt>
    <dgm:pt modelId="{65CD20FB-4BD9-40D9-97C7-0BF32C5AB602}" type="sibTrans" cxnId="{EB8AFA69-6C84-491E-9500-649040957306}">
      <dgm:prSet/>
      <dgm:spPr/>
      <dgm:t>
        <a:bodyPr/>
        <a:lstStyle/>
        <a:p>
          <a:endParaRPr lang="en-GB">
            <a:latin typeface="Arial" panose="020B0604020202020204" pitchFamily="34" charset="0"/>
            <a:cs typeface="Arial" panose="020B0604020202020204" pitchFamily="34" charset="0"/>
          </a:endParaRPr>
        </a:p>
      </dgm:t>
    </dgm:pt>
    <dgm:pt modelId="{2C2A80B6-AA39-4849-8A5A-2CE5405EB36D}">
      <dgm:prSet phldrT="[Text]"/>
      <dgm:spPr/>
      <dgm:t>
        <a:bodyPr/>
        <a:lstStyle/>
        <a:p>
          <a:r>
            <a:rPr lang="en-GB">
              <a:latin typeface="Arial" panose="020B0604020202020204" pitchFamily="34" charset="0"/>
              <a:cs typeface="Arial" panose="020B0604020202020204" pitchFamily="34" charset="0"/>
            </a:rPr>
            <a:t>Open deck (40%)</a:t>
          </a:r>
        </a:p>
      </dgm:t>
    </dgm:pt>
    <dgm:pt modelId="{8827ECC8-2016-458B-A7FA-AEC61FF2770B}" type="parTrans" cxnId="{D1B8408C-4551-4685-802D-28DF415957C0}">
      <dgm:prSet/>
      <dgm:spPr/>
      <dgm:t>
        <a:bodyPr/>
        <a:lstStyle/>
        <a:p>
          <a:endParaRPr lang="en-GB">
            <a:latin typeface="Arial" panose="020B0604020202020204" pitchFamily="34" charset="0"/>
            <a:cs typeface="Arial" panose="020B0604020202020204" pitchFamily="34" charset="0"/>
          </a:endParaRPr>
        </a:p>
      </dgm:t>
    </dgm:pt>
    <dgm:pt modelId="{6D8A0A09-392F-407A-B8D4-97C3D441CDCE}" type="sibTrans" cxnId="{D1B8408C-4551-4685-802D-28DF415957C0}">
      <dgm:prSet/>
      <dgm:spPr/>
      <dgm:t>
        <a:bodyPr/>
        <a:lstStyle/>
        <a:p>
          <a:endParaRPr lang="en-GB">
            <a:latin typeface="Arial" panose="020B0604020202020204" pitchFamily="34" charset="0"/>
            <a:cs typeface="Arial" panose="020B0604020202020204" pitchFamily="34" charset="0"/>
          </a:endParaRPr>
        </a:p>
      </dgm:t>
    </dgm:pt>
    <dgm:pt modelId="{2440E86C-DB16-4269-B585-1301ABC141EC}">
      <dgm:prSet phldrT="[Text]"/>
      <dgm:spPr/>
      <dgm:t>
        <a:bodyPr/>
        <a:lstStyle/>
        <a:p>
          <a:r>
            <a:rPr lang="en-GB">
              <a:latin typeface="Arial" panose="020B0604020202020204" pitchFamily="34" charset="0"/>
              <a:cs typeface="Arial" panose="020B0604020202020204" pitchFamily="34" charset="0"/>
            </a:rPr>
            <a:t>Dry Rescue (11%)</a:t>
          </a:r>
        </a:p>
      </dgm:t>
    </dgm:pt>
    <dgm:pt modelId="{148B8C70-117A-4BDC-9324-45E9B5EC9B7C}" type="parTrans" cxnId="{DA52F4BE-156A-47AF-82B4-534FA0A9645A}">
      <dgm:prSet/>
      <dgm:spPr/>
      <dgm:t>
        <a:bodyPr/>
        <a:lstStyle/>
        <a:p>
          <a:endParaRPr lang="en-GB">
            <a:latin typeface="Arial" panose="020B0604020202020204" pitchFamily="34" charset="0"/>
            <a:cs typeface="Arial" panose="020B0604020202020204" pitchFamily="34" charset="0"/>
          </a:endParaRPr>
        </a:p>
      </dgm:t>
    </dgm:pt>
    <dgm:pt modelId="{27D11E1E-73F5-4AE3-89E2-2DEF0084A778}" type="sibTrans" cxnId="{DA52F4BE-156A-47AF-82B4-534FA0A9645A}">
      <dgm:prSet/>
      <dgm:spPr/>
      <dgm:t>
        <a:bodyPr/>
        <a:lstStyle/>
        <a:p>
          <a:endParaRPr lang="en-GB">
            <a:latin typeface="Arial" panose="020B0604020202020204" pitchFamily="34" charset="0"/>
            <a:cs typeface="Arial" panose="020B0604020202020204" pitchFamily="34" charset="0"/>
          </a:endParaRPr>
        </a:p>
      </dgm:t>
    </dgm:pt>
    <dgm:pt modelId="{F5AF8AC4-C340-4BDD-B88B-CB9E47EA592E}">
      <dgm:prSet phldrT="[Text]"/>
      <dgm:spPr/>
      <dgm:t>
        <a:bodyPr/>
        <a:lstStyle/>
        <a:p>
          <a:r>
            <a:rPr lang="en-GB">
              <a:latin typeface="Arial" panose="020B0604020202020204" pitchFamily="34" charset="0"/>
              <a:cs typeface="Arial" panose="020B0604020202020204" pitchFamily="34" charset="0"/>
            </a:rPr>
            <a:t>Enter Water (89%)</a:t>
          </a:r>
        </a:p>
      </dgm:t>
    </dgm:pt>
    <dgm:pt modelId="{61A89C83-2736-477D-9676-83479867A1C6}" type="parTrans" cxnId="{34DEA3DE-6B8E-4986-B4FE-6CCE5EDFC67B}">
      <dgm:prSet/>
      <dgm:spPr/>
      <dgm:t>
        <a:bodyPr/>
        <a:lstStyle/>
        <a:p>
          <a:endParaRPr lang="en-GB"/>
        </a:p>
      </dgm:t>
    </dgm:pt>
    <dgm:pt modelId="{2E993FDC-0BB5-463F-97F6-6EA101A95B8B}" type="sibTrans" cxnId="{34DEA3DE-6B8E-4986-B4FE-6CCE5EDFC67B}">
      <dgm:prSet/>
      <dgm:spPr/>
      <dgm:t>
        <a:bodyPr/>
        <a:lstStyle/>
        <a:p>
          <a:endParaRPr lang="en-GB"/>
        </a:p>
      </dgm:t>
    </dgm:pt>
    <dgm:pt modelId="{D12BCC63-7D6D-4065-8FCB-BBC9B1A59232}">
      <dgm:prSet phldrT="[Text]"/>
      <dgm:spPr/>
      <dgm:t>
        <a:bodyPr/>
        <a:lstStyle/>
        <a:p>
          <a:r>
            <a:rPr lang="en-GB">
              <a:latin typeface="Arial" panose="020B0604020202020204" pitchFamily="34" charset="0"/>
              <a:cs typeface="Arial" panose="020B0604020202020204" pitchFamily="34" charset="0"/>
            </a:rPr>
            <a:t>Rescue from water (88%)</a:t>
          </a:r>
        </a:p>
      </dgm:t>
    </dgm:pt>
    <dgm:pt modelId="{AF76BDD6-89CA-42BB-977F-BC4904488671}" type="parTrans" cxnId="{D50FB67E-191B-452D-BF2F-903C29DB8B8D}">
      <dgm:prSet/>
      <dgm:spPr/>
      <dgm:t>
        <a:bodyPr/>
        <a:lstStyle/>
        <a:p>
          <a:endParaRPr lang="en-GB"/>
        </a:p>
      </dgm:t>
    </dgm:pt>
    <dgm:pt modelId="{CD0EA73D-CD90-4CDB-A6B2-629EA0D36088}" type="sibTrans" cxnId="{D50FB67E-191B-452D-BF2F-903C29DB8B8D}">
      <dgm:prSet/>
      <dgm:spPr/>
      <dgm:t>
        <a:bodyPr/>
        <a:lstStyle/>
        <a:p>
          <a:endParaRPr lang="en-GB"/>
        </a:p>
      </dgm:t>
    </dgm:pt>
    <dgm:pt modelId="{928473D0-33C3-4336-B8BC-025ABEBF494F}">
      <dgm:prSet phldrT="[Text]"/>
      <dgm:spPr/>
      <dgm:t>
        <a:bodyPr/>
        <a:lstStyle/>
        <a:p>
          <a:r>
            <a:rPr lang="en-GB">
              <a:latin typeface="Arial" panose="020B0604020202020204" pitchFamily="34" charset="0"/>
              <a:cs typeface="Arial" panose="020B0604020202020204" pitchFamily="34" charset="0"/>
            </a:rPr>
            <a:t>Drowned (12%)</a:t>
          </a:r>
        </a:p>
      </dgm:t>
    </dgm:pt>
    <dgm:pt modelId="{E2AEC5AC-3090-43A9-B8C0-580A11B00D82}" type="parTrans" cxnId="{FA1105D8-CB62-4576-8C96-CFB618AF78C4}">
      <dgm:prSet/>
      <dgm:spPr/>
      <dgm:t>
        <a:bodyPr/>
        <a:lstStyle/>
        <a:p>
          <a:endParaRPr lang="en-GB"/>
        </a:p>
      </dgm:t>
    </dgm:pt>
    <dgm:pt modelId="{8812D59D-1590-4222-BF26-844E58983670}" type="sibTrans" cxnId="{FA1105D8-CB62-4576-8C96-CFB618AF78C4}">
      <dgm:prSet/>
      <dgm:spPr/>
      <dgm:t>
        <a:bodyPr/>
        <a:lstStyle/>
        <a:p>
          <a:endParaRPr lang="en-GB"/>
        </a:p>
      </dgm:t>
    </dgm:pt>
    <dgm:pt modelId="{9E024EE2-23F8-472D-9288-62B4C6A45712}">
      <dgm:prSet phldrT="[Text]"/>
      <dgm:spPr/>
      <dgm:t>
        <a:bodyPr/>
        <a:lstStyle/>
        <a:p>
          <a:r>
            <a:rPr lang="en-GB">
              <a:latin typeface="Arial" panose="020B0604020202020204" pitchFamily="34" charset="0"/>
              <a:cs typeface="Arial" panose="020B0604020202020204" pitchFamily="34" charset="0"/>
            </a:rPr>
            <a:t>Escape outside (94%)</a:t>
          </a:r>
        </a:p>
      </dgm:t>
    </dgm:pt>
    <dgm:pt modelId="{B38EBE3E-971A-4CB4-B75C-46ACF4DF5245}" type="parTrans" cxnId="{953A3397-182E-4878-8C89-3C9EE495D2B6}">
      <dgm:prSet/>
      <dgm:spPr/>
      <dgm:t>
        <a:bodyPr/>
        <a:lstStyle/>
        <a:p>
          <a:endParaRPr lang="en-GB"/>
        </a:p>
      </dgm:t>
    </dgm:pt>
    <dgm:pt modelId="{720B97BC-4B89-4765-8819-24FE5FB39D98}" type="sibTrans" cxnId="{953A3397-182E-4878-8C89-3C9EE495D2B6}">
      <dgm:prSet/>
      <dgm:spPr/>
      <dgm:t>
        <a:bodyPr/>
        <a:lstStyle/>
        <a:p>
          <a:endParaRPr lang="en-GB"/>
        </a:p>
      </dgm:t>
    </dgm:pt>
    <dgm:pt modelId="{C0CCF6C5-7669-4119-88D1-CFE97318916A}">
      <dgm:prSet phldrT="[Text]"/>
      <dgm:spPr/>
      <dgm:t>
        <a:bodyPr/>
        <a:lstStyle/>
        <a:p>
          <a:r>
            <a:rPr lang="en-GB">
              <a:latin typeface="Arial" panose="020B0604020202020204" pitchFamily="34" charset="0"/>
              <a:cs typeface="Arial" panose="020B0604020202020204" pitchFamily="34" charset="0"/>
            </a:rPr>
            <a:t>Dry rescue (11%)</a:t>
          </a:r>
        </a:p>
      </dgm:t>
    </dgm:pt>
    <dgm:pt modelId="{F1BD60AC-D930-4777-B6FC-94745B52BE25}" type="parTrans" cxnId="{7AB22DB6-CD08-4560-8AAA-D1EC883AE708}">
      <dgm:prSet/>
      <dgm:spPr/>
      <dgm:t>
        <a:bodyPr/>
        <a:lstStyle/>
        <a:p>
          <a:endParaRPr lang="en-GB"/>
        </a:p>
      </dgm:t>
    </dgm:pt>
    <dgm:pt modelId="{63238460-D701-43BF-BE95-22A001B45036}" type="sibTrans" cxnId="{7AB22DB6-CD08-4560-8AAA-D1EC883AE708}">
      <dgm:prSet/>
      <dgm:spPr/>
      <dgm:t>
        <a:bodyPr/>
        <a:lstStyle/>
        <a:p>
          <a:endParaRPr lang="en-GB"/>
        </a:p>
      </dgm:t>
    </dgm:pt>
    <dgm:pt modelId="{69B0604B-A8E3-409C-AB24-E7611F97D926}">
      <dgm:prSet phldrT="[Text]"/>
      <dgm:spPr/>
      <dgm:t>
        <a:bodyPr/>
        <a:lstStyle/>
        <a:p>
          <a:r>
            <a:rPr lang="en-GB">
              <a:latin typeface="Arial" panose="020B0604020202020204" pitchFamily="34" charset="0"/>
              <a:cs typeface="Arial" panose="020B0604020202020204" pitchFamily="34" charset="0"/>
            </a:rPr>
            <a:t>Enter water (89%)</a:t>
          </a:r>
        </a:p>
      </dgm:t>
    </dgm:pt>
    <dgm:pt modelId="{9C090E9C-ED2F-4880-A5EB-B73F5F6DDC70}" type="parTrans" cxnId="{F2BFF549-ECF2-462A-80B2-E17856F156A5}">
      <dgm:prSet/>
      <dgm:spPr/>
      <dgm:t>
        <a:bodyPr/>
        <a:lstStyle/>
        <a:p>
          <a:endParaRPr lang="en-GB"/>
        </a:p>
      </dgm:t>
    </dgm:pt>
    <dgm:pt modelId="{B014F303-1C32-441F-8995-A937E8F97440}" type="sibTrans" cxnId="{F2BFF549-ECF2-462A-80B2-E17856F156A5}">
      <dgm:prSet/>
      <dgm:spPr/>
      <dgm:t>
        <a:bodyPr/>
        <a:lstStyle/>
        <a:p>
          <a:endParaRPr lang="en-GB"/>
        </a:p>
      </dgm:t>
    </dgm:pt>
    <dgm:pt modelId="{F24775F9-8A66-41E7-BF68-4AC788A8473D}">
      <dgm:prSet phldrT="[Text]"/>
      <dgm:spPr/>
      <dgm:t>
        <a:bodyPr/>
        <a:lstStyle/>
        <a:p>
          <a:r>
            <a:rPr lang="en-GB">
              <a:latin typeface="Arial" panose="020B0604020202020204" pitchFamily="34" charset="0"/>
              <a:cs typeface="Arial" panose="020B0604020202020204" pitchFamily="34" charset="0"/>
            </a:rPr>
            <a:t>Rescue from water (88%)</a:t>
          </a:r>
        </a:p>
      </dgm:t>
    </dgm:pt>
    <dgm:pt modelId="{C7790ACE-66C2-4BF1-9B49-CFAEC4428C70}" type="parTrans" cxnId="{C56C7CD9-F887-4930-9055-841AE08366A5}">
      <dgm:prSet/>
      <dgm:spPr/>
      <dgm:t>
        <a:bodyPr/>
        <a:lstStyle/>
        <a:p>
          <a:endParaRPr lang="en-GB"/>
        </a:p>
      </dgm:t>
    </dgm:pt>
    <dgm:pt modelId="{E62F5E13-D50D-4BD6-8B3C-C376EEFDFA11}" type="sibTrans" cxnId="{C56C7CD9-F887-4930-9055-841AE08366A5}">
      <dgm:prSet/>
      <dgm:spPr/>
      <dgm:t>
        <a:bodyPr/>
        <a:lstStyle/>
        <a:p>
          <a:endParaRPr lang="en-GB"/>
        </a:p>
      </dgm:t>
    </dgm:pt>
    <dgm:pt modelId="{1A8B1CD4-FFC2-40D0-9F67-9A61E158AB55}">
      <dgm:prSet phldrT="[Text]"/>
      <dgm:spPr/>
      <dgm:t>
        <a:bodyPr/>
        <a:lstStyle/>
        <a:p>
          <a:r>
            <a:rPr lang="en-GB">
              <a:latin typeface="Arial" panose="020B0604020202020204" pitchFamily="34" charset="0"/>
              <a:cs typeface="Arial" panose="020B0604020202020204" pitchFamily="34" charset="0"/>
            </a:rPr>
            <a:t>Drowned (12%)</a:t>
          </a:r>
        </a:p>
      </dgm:t>
    </dgm:pt>
    <dgm:pt modelId="{A050FE92-E1CC-4AF4-AC76-F60A8FA37222}" type="parTrans" cxnId="{6DFB66A9-3D9A-49E2-B5AA-AF66ED3452D9}">
      <dgm:prSet/>
      <dgm:spPr/>
      <dgm:t>
        <a:bodyPr/>
        <a:lstStyle/>
        <a:p>
          <a:endParaRPr lang="en-GB"/>
        </a:p>
      </dgm:t>
    </dgm:pt>
    <dgm:pt modelId="{BD37F558-CE0E-403E-A583-3BDA72D9A39B}" type="sibTrans" cxnId="{6DFB66A9-3D9A-49E2-B5AA-AF66ED3452D9}">
      <dgm:prSet/>
      <dgm:spPr/>
      <dgm:t>
        <a:bodyPr/>
        <a:lstStyle/>
        <a:p>
          <a:endParaRPr lang="en-GB"/>
        </a:p>
      </dgm:t>
    </dgm:pt>
    <dgm:pt modelId="{D152ED8B-10B2-4B1B-BFC2-9DCE73E39A9D}">
      <dgm:prSet phldrT="[Text]"/>
      <dgm:spPr/>
      <dgm:t>
        <a:bodyPr/>
        <a:lstStyle/>
        <a:p>
          <a:r>
            <a:rPr lang="en-GB">
              <a:latin typeface="Arial" panose="020B0604020202020204" pitchFamily="34" charset="0"/>
              <a:cs typeface="Arial" panose="020B0604020202020204" pitchFamily="34" charset="0"/>
            </a:rPr>
            <a:t>Trapped inside (6%)</a:t>
          </a:r>
        </a:p>
      </dgm:t>
    </dgm:pt>
    <dgm:pt modelId="{8AB84AC4-7961-4180-AC66-1C8B8A7E881E}" type="parTrans" cxnId="{9C967E1B-0056-4B83-974F-8464BD91B03A}">
      <dgm:prSet/>
      <dgm:spPr/>
      <dgm:t>
        <a:bodyPr/>
        <a:lstStyle/>
        <a:p>
          <a:endParaRPr lang="en-GB"/>
        </a:p>
      </dgm:t>
    </dgm:pt>
    <dgm:pt modelId="{64645D39-33D1-47B7-9F59-14E2AEB63C51}" type="sibTrans" cxnId="{9C967E1B-0056-4B83-974F-8464BD91B03A}">
      <dgm:prSet/>
      <dgm:spPr/>
      <dgm:t>
        <a:bodyPr/>
        <a:lstStyle/>
        <a:p>
          <a:endParaRPr lang="en-GB"/>
        </a:p>
      </dgm:t>
    </dgm:pt>
    <dgm:pt modelId="{51783D7F-CED6-42FB-8DFE-E56FDE9AE787}">
      <dgm:prSet phldrT="[Text]"/>
      <dgm:spPr/>
      <dgm:t>
        <a:bodyPr/>
        <a:lstStyle/>
        <a:p>
          <a:r>
            <a:rPr lang="en-GB">
              <a:latin typeface="Arial" panose="020B0604020202020204" pitchFamily="34" charset="0"/>
              <a:cs typeface="Arial" panose="020B0604020202020204" pitchFamily="34" charset="0"/>
            </a:rPr>
            <a:t>In enclosed space (60%)</a:t>
          </a:r>
        </a:p>
      </dgm:t>
    </dgm:pt>
    <dgm:pt modelId="{544B6626-733A-445B-945C-060C7A12FD7B}" type="parTrans" cxnId="{B5B463E0-1EC4-4600-A0A6-4B8EE4EEFEE2}">
      <dgm:prSet/>
      <dgm:spPr/>
      <dgm:t>
        <a:bodyPr/>
        <a:lstStyle/>
        <a:p>
          <a:endParaRPr lang="en-GB"/>
        </a:p>
      </dgm:t>
    </dgm:pt>
    <dgm:pt modelId="{CB0F4CA3-2979-40B3-A1C9-C29A85B222B6}" type="sibTrans" cxnId="{B5B463E0-1EC4-4600-A0A6-4B8EE4EEFEE2}">
      <dgm:prSet/>
      <dgm:spPr/>
      <dgm:t>
        <a:bodyPr/>
        <a:lstStyle/>
        <a:p>
          <a:endParaRPr lang="en-GB"/>
        </a:p>
      </dgm:t>
    </dgm:pt>
    <dgm:pt modelId="{354155E2-4594-4345-B4FD-690B4937465A}" type="pres">
      <dgm:prSet presAssocID="{4FE4048D-9ABC-4BC5-AD08-0F3F1C12D84A}" presName="diagram" presStyleCnt="0">
        <dgm:presLayoutVars>
          <dgm:chPref val="1"/>
          <dgm:dir/>
          <dgm:animOne val="branch"/>
          <dgm:animLvl val="lvl"/>
          <dgm:resizeHandles val="exact"/>
        </dgm:presLayoutVars>
      </dgm:prSet>
      <dgm:spPr/>
    </dgm:pt>
    <dgm:pt modelId="{A73C5C7B-0F46-4E23-AA91-B4F5F47349C6}" type="pres">
      <dgm:prSet presAssocID="{11E00BF6-0CEE-404A-98FB-F1D375E48126}" presName="root1" presStyleCnt="0"/>
      <dgm:spPr/>
    </dgm:pt>
    <dgm:pt modelId="{DF732329-5FBC-4B15-8D3E-C1A59C9B6FC5}" type="pres">
      <dgm:prSet presAssocID="{11E00BF6-0CEE-404A-98FB-F1D375E48126}" presName="LevelOneTextNode" presStyleLbl="node0" presStyleIdx="0" presStyleCnt="1">
        <dgm:presLayoutVars>
          <dgm:chPref val="3"/>
        </dgm:presLayoutVars>
      </dgm:prSet>
      <dgm:spPr/>
    </dgm:pt>
    <dgm:pt modelId="{B6CFDD7D-BF65-4FDF-AA16-AA8F186BC9E0}" type="pres">
      <dgm:prSet presAssocID="{11E00BF6-0CEE-404A-98FB-F1D375E48126}" presName="level2hierChild" presStyleCnt="0"/>
      <dgm:spPr/>
    </dgm:pt>
    <dgm:pt modelId="{2E26BBC6-85DD-4EB5-BE0C-480F7DC4BBF9}" type="pres">
      <dgm:prSet presAssocID="{8827ECC8-2016-458B-A7FA-AEC61FF2770B}" presName="conn2-1" presStyleLbl="parChTrans1D2" presStyleIdx="0" presStyleCnt="2"/>
      <dgm:spPr/>
    </dgm:pt>
    <dgm:pt modelId="{665902B8-05A1-4053-9617-6DED79C39E79}" type="pres">
      <dgm:prSet presAssocID="{8827ECC8-2016-458B-A7FA-AEC61FF2770B}" presName="connTx" presStyleLbl="parChTrans1D2" presStyleIdx="0" presStyleCnt="2"/>
      <dgm:spPr/>
    </dgm:pt>
    <dgm:pt modelId="{F7525B89-BA6C-4F8D-B71B-9CD843DB42B6}" type="pres">
      <dgm:prSet presAssocID="{2C2A80B6-AA39-4849-8A5A-2CE5405EB36D}" presName="root2" presStyleCnt="0"/>
      <dgm:spPr/>
    </dgm:pt>
    <dgm:pt modelId="{A6AFFEE0-B265-4F5E-8FAF-18E0B2F2E1C4}" type="pres">
      <dgm:prSet presAssocID="{2C2A80B6-AA39-4849-8A5A-2CE5405EB36D}" presName="LevelTwoTextNode" presStyleLbl="node2" presStyleIdx="0" presStyleCnt="2">
        <dgm:presLayoutVars>
          <dgm:chPref val="3"/>
        </dgm:presLayoutVars>
      </dgm:prSet>
      <dgm:spPr/>
    </dgm:pt>
    <dgm:pt modelId="{96519391-3AE5-4D62-8164-DEB8F1670B4A}" type="pres">
      <dgm:prSet presAssocID="{2C2A80B6-AA39-4849-8A5A-2CE5405EB36D}" presName="level3hierChild" presStyleCnt="0"/>
      <dgm:spPr/>
    </dgm:pt>
    <dgm:pt modelId="{CCBE4A09-8B43-4EC8-92EF-788D59B4DB07}" type="pres">
      <dgm:prSet presAssocID="{148B8C70-117A-4BDC-9324-45E9B5EC9B7C}" presName="conn2-1" presStyleLbl="parChTrans1D3" presStyleIdx="0" presStyleCnt="4"/>
      <dgm:spPr/>
    </dgm:pt>
    <dgm:pt modelId="{E627B562-1574-4AB6-B62D-D31B40C6059C}" type="pres">
      <dgm:prSet presAssocID="{148B8C70-117A-4BDC-9324-45E9B5EC9B7C}" presName="connTx" presStyleLbl="parChTrans1D3" presStyleIdx="0" presStyleCnt="4"/>
      <dgm:spPr/>
    </dgm:pt>
    <dgm:pt modelId="{50E9CE56-C07A-490D-A701-F5690D6385C3}" type="pres">
      <dgm:prSet presAssocID="{2440E86C-DB16-4269-B585-1301ABC141EC}" presName="root2" presStyleCnt="0"/>
      <dgm:spPr/>
    </dgm:pt>
    <dgm:pt modelId="{D0082119-E1F3-42F7-A65D-3B212BAD4DD3}" type="pres">
      <dgm:prSet presAssocID="{2440E86C-DB16-4269-B585-1301ABC141EC}" presName="LevelTwoTextNode" presStyleLbl="node3" presStyleIdx="0" presStyleCnt="4">
        <dgm:presLayoutVars>
          <dgm:chPref val="3"/>
        </dgm:presLayoutVars>
      </dgm:prSet>
      <dgm:spPr/>
    </dgm:pt>
    <dgm:pt modelId="{D6168626-C111-4C47-8487-E4A112301A63}" type="pres">
      <dgm:prSet presAssocID="{2440E86C-DB16-4269-B585-1301ABC141EC}" presName="level3hierChild" presStyleCnt="0"/>
      <dgm:spPr/>
    </dgm:pt>
    <dgm:pt modelId="{1B449E4F-FC21-48B5-867C-8FFBAD9CC316}" type="pres">
      <dgm:prSet presAssocID="{61A89C83-2736-477D-9676-83479867A1C6}" presName="conn2-1" presStyleLbl="parChTrans1D3" presStyleIdx="1" presStyleCnt="4"/>
      <dgm:spPr/>
    </dgm:pt>
    <dgm:pt modelId="{C76AF9C2-A69C-4B29-9580-7FF2DC437809}" type="pres">
      <dgm:prSet presAssocID="{61A89C83-2736-477D-9676-83479867A1C6}" presName="connTx" presStyleLbl="parChTrans1D3" presStyleIdx="1" presStyleCnt="4"/>
      <dgm:spPr/>
    </dgm:pt>
    <dgm:pt modelId="{E899C04A-D60E-4589-91FF-C7AC59842876}" type="pres">
      <dgm:prSet presAssocID="{F5AF8AC4-C340-4BDD-B88B-CB9E47EA592E}" presName="root2" presStyleCnt="0"/>
      <dgm:spPr/>
    </dgm:pt>
    <dgm:pt modelId="{364C5B3B-725B-4B05-B649-14B8285E521F}" type="pres">
      <dgm:prSet presAssocID="{F5AF8AC4-C340-4BDD-B88B-CB9E47EA592E}" presName="LevelTwoTextNode" presStyleLbl="node3" presStyleIdx="1" presStyleCnt="4">
        <dgm:presLayoutVars>
          <dgm:chPref val="3"/>
        </dgm:presLayoutVars>
      </dgm:prSet>
      <dgm:spPr/>
    </dgm:pt>
    <dgm:pt modelId="{5E6B190F-0ED2-4AD9-9802-91004B769A80}" type="pres">
      <dgm:prSet presAssocID="{F5AF8AC4-C340-4BDD-B88B-CB9E47EA592E}" presName="level3hierChild" presStyleCnt="0"/>
      <dgm:spPr/>
    </dgm:pt>
    <dgm:pt modelId="{E730A30F-46AD-46A9-B9E2-3A3A7405017C}" type="pres">
      <dgm:prSet presAssocID="{AF76BDD6-89CA-42BB-977F-BC4904488671}" presName="conn2-1" presStyleLbl="parChTrans1D4" presStyleIdx="0" presStyleCnt="6"/>
      <dgm:spPr/>
    </dgm:pt>
    <dgm:pt modelId="{3AAC802B-8E2E-4022-85B4-E5D4BF5D4DD1}" type="pres">
      <dgm:prSet presAssocID="{AF76BDD6-89CA-42BB-977F-BC4904488671}" presName="connTx" presStyleLbl="parChTrans1D4" presStyleIdx="0" presStyleCnt="6"/>
      <dgm:spPr/>
    </dgm:pt>
    <dgm:pt modelId="{55880987-7272-44EC-A7FE-E646AE1BC2EB}" type="pres">
      <dgm:prSet presAssocID="{D12BCC63-7D6D-4065-8FCB-BBC9B1A59232}" presName="root2" presStyleCnt="0"/>
      <dgm:spPr/>
    </dgm:pt>
    <dgm:pt modelId="{685C2A82-F5E0-4597-9E24-04CE1FB13131}" type="pres">
      <dgm:prSet presAssocID="{D12BCC63-7D6D-4065-8FCB-BBC9B1A59232}" presName="LevelTwoTextNode" presStyleLbl="node4" presStyleIdx="0" presStyleCnt="6">
        <dgm:presLayoutVars>
          <dgm:chPref val="3"/>
        </dgm:presLayoutVars>
      </dgm:prSet>
      <dgm:spPr/>
    </dgm:pt>
    <dgm:pt modelId="{E06AE1B4-B0B1-4D74-AA99-1779EE6D7497}" type="pres">
      <dgm:prSet presAssocID="{D12BCC63-7D6D-4065-8FCB-BBC9B1A59232}" presName="level3hierChild" presStyleCnt="0"/>
      <dgm:spPr/>
    </dgm:pt>
    <dgm:pt modelId="{813874AC-6B7D-4F76-8EEF-101E8283F7FA}" type="pres">
      <dgm:prSet presAssocID="{E2AEC5AC-3090-43A9-B8C0-580A11B00D82}" presName="conn2-1" presStyleLbl="parChTrans1D4" presStyleIdx="1" presStyleCnt="6"/>
      <dgm:spPr/>
    </dgm:pt>
    <dgm:pt modelId="{7DFF0FFC-F9D8-46C8-BB39-B50C30017A47}" type="pres">
      <dgm:prSet presAssocID="{E2AEC5AC-3090-43A9-B8C0-580A11B00D82}" presName="connTx" presStyleLbl="parChTrans1D4" presStyleIdx="1" presStyleCnt="6"/>
      <dgm:spPr/>
    </dgm:pt>
    <dgm:pt modelId="{14B9D499-F6A4-42A1-8F95-6F589F4684D2}" type="pres">
      <dgm:prSet presAssocID="{928473D0-33C3-4336-B8BC-025ABEBF494F}" presName="root2" presStyleCnt="0"/>
      <dgm:spPr/>
    </dgm:pt>
    <dgm:pt modelId="{A1D6D2A3-CA59-4A66-B4EB-3C70452C1F9F}" type="pres">
      <dgm:prSet presAssocID="{928473D0-33C3-4336-B8BC-025ABEBF494F}" presName="LevelTwoTextNode" presStyleLbl="node4" presStyleIdx="1" presStyleCnt="6">
        <dgm:presLayoutVars>
          <dgm:chPref val="3"/>
        </dgm:presLayoutVars>
      </dgm:prSet>
      <dgm:spPr/>
    </dgm:pt>
    <dgm:pt modelId="{3C4DB4F4-6C8C-445B-81AA-ACBE4A027DEB}" type="pres">
      <dgm:prSet presAssocID="{928473D0-33C3-4336-B8BC-025ABEBF494F}" presName="level3hierChild" presStyleCnt="0"/>
      <dgm:spPr/>
    </dgm:pt>
    <dgm:pt modelId="{0CA0BC23-A905-46CF-9CC8-3F8C058CD5D5}" type="pres">
      <dgm:prSet presAssocID="{544B6626-733A-445B-945C-060C7A12FD7B}" presName="conn2-1" presStyleLbl="parChTrans1D2" presStyleIdx="1" presStyleCnt="2"/>
      <dgm:spPr/>
    </dgm:pt>
    <dgm:pt modelId="{2E3BE6A4-D27C-4A4C-9170-B67EE1D5F835}" type="pres">
      <dgm:prSet presAssocID="{544B6626-733A-445B-945C-060C7A12FD7B}" presName="connTx" presStyleLbl="parChTrans1D2" presStyleIdx="1" presStyleCnt="2"/>
      <dgm:spPr/>
    </dgm:pt>
    <dgm:pt modelId="{CCCD17FE-F237-4EAC-B682-355CCB27C19D}" type="pres">
      <dgm:prSet presAssocID="{51783D7F-CED6-42FB-8DFE-E56FDE9AE787}" presName="root2" presStyleCnt="0"/>
      <dgm:spPr/>
    </dgm:pt>
    <dgm:pt modelId="{D1E0021D-6296-4A2B-9A81-E0B058309F8A}" type="pres">
      <dgm:prSet presAssocID="{51783D7F-CED6-42FB-8DFE-E56FDE9AE787}" presName="LevelTwoTextNode" presStyleLbl="node2" presStyleIdx="1" presStyleCnt="2">
        <dgm:presLayoutVars>
          <dgm:chPref val="3"/>
        </dgm:presLayoutVars>
      </dgm:prSet>
      <dgm:spPr/>
    </dgm:pt>
    <dgm:pt modelId="{0A819FE5-CFA6-4011-9018-66A13F8C5EDD}" type="pres">
      <dgm:prSet presAssocID="{51783D7F-CED6-42FB-8DFE-E56FDE9AE787}" presName="level3hierChild" presStyleCnt="0"/>
      <dgm:spPr/>
    </dgm:pt>
    <dgm:pt modelId="{B5F047B1-BDDE-4FC9-A1B1-62D5678ADD3E}" type="pres">
      <dgm:prSet presAssocID="{B38EBE3E-971A-4CB4-B75C-46ACF4DF5245}" presName="conn2-1" presStyleLbl="parChTrans1D3" presStyleIdx="2" presStyleCnt="4"/>
      <dgm:spPr/>
    </dgm:pt>
    <dgm:pt modelId="{99CE2576-B007-401F-84FE-44B8A2D0033F}" type="pres">
      <dgm:prSet presAssocID="{B38EBE3E-971A-4CB4-B75C-46ACF4DF5245}" presName="connTx" presStyleLbl="parChTrans1D3" presStyleIdx="2" presStyleCnt="4"/>
      <dgm:spPr/>
    </dgm:pt>
    <dgm:pt modelId="{AA49109C-4D6D-40E4-9F04-D6C1C4D833A2}" type="pres">
      <dgm:prSet presAssocID="{9E024EE2-23F8-472D-9288-62B4C6A45712}" presName="root2" presStyleCnt="0"/>
      <dgm:spPr/>
    </dgm:pt>
    <dgm:pt modelId="{8EBF43B1-36AA-4656-B825-697D4225501C}" type="pres">
      <dgm:prSet presAssocID="{9E024EE2-23F8-472D-9288-62B4C6A45712}" presName="LevelTwoTextNode" presStyleLbl="node3" presStyleIdx="2" presStyleCnt="4">
        <dgm:presLayoutVars>
          <dgm:chPref val="3"/>
        </dgm:presLayoutVars>
      </dgm:prSet>
      <dgm:spPr/>
    </dgm:pt>
    <dgm:pt modelId="{C5EE0BD3-AD26-45B5-B2CB-7B661FF03408}" type="pres">
      <dgm:prSet presAssocID="{9E024EE2-23F8-472D-9288-62B4C6A45712}" presName="level3hierChild" presStyleCnt="0"/>
      <dgm:spPr/>
    </dgm:pt>
    <dgm:pt modelId="{11252FF2-D731-4F95-8394-427D3303F867}" type="pres">
      <dgm:prSet presAssocID="{F1BD60AC-D930-4777-B6FC-94745B52BE25}" presName="conn2-1" presStyleLbl="parChTrans1D4" presStyleIdx="2" presStyleCnt="6"/>
      <dgm:spPr/>
    </dgm:pt>
    <dgm:pt modelId="{28401B34-B98E-4BAA-AE50-48CEC1669924}" type="pres">
      <dgm:prSet presAssocID="{F1BD60AC-D930-4777-B6FC-94745B52BE25}" presName="connTx" presStyleLbl="parChTrans1D4" presStyleIdx="2" presStyleCnt="6"/>
      <dgm:spPr/>
    </dgm:pt>
    <dgm:pt modelId="{3370A543-5B75-4608-9E97-0CF46B5200DA}" type="pres">
      <dgm:prSet presAssocID="{C0CCF6C5-7669-4119-88D1-CFE97318916A}" presName="root2" presStyleCnt="0"/>
      <dgm:spPr/>
    </dgm:pt>
    <dgm:pt modelId="{7F477C11-70D5-4E4C-9387-08AF87273E11}" type="pres">
      <dgm:prSet presAssocID="{C0CCF6C5-7669-4119-88D1-CFE97318916A}" presName="LevelTwoTextNode" presStyleLbl="node4" presStyleIdx="2" presStyleCnt="6">
        <dgm:presLayoutVars>
          <dgm:chPref val="3"/>
        </dgm:presLayoutVars>
      </dgm:prSet>
      <dgm:spPr/>
    </dgm:pt>
    <dgm:pt modelId="{22693C9C-D9C6-4F0A-A82C-E9DC5A99894E}" type="pres">
      <dgm:prSet presAssocID="{C0CCF6C5-7669-4119-88D1-CFE97318916A}" presName="level3hierChild" presStyleCnt="0"/>
      <dgm:spPr/>
    </dgm:pt>
    <dgm:pt modelId="{EF88E9CF-80B3-4E0A-B261-509AF03B5E9B}" type="pres">
      <dgm:prSet presAssocID="{9C090E9C-ED2F-4880-A5EB-B73F5F6DDC70}" presName="conn2-1" presStyleLbl="parChTrans1D4" presStyleIdx="3" presStyleCnt="6"/>
      <dgm:spPr/>
    </dgm:pt>
    <dgm:pt modelId="{CC38708A-ABC0-4D24-9E6A-F88F2DBE93BD}" type="pres">
      <dgm:prSet presAssocID="{9C090E9C-ED2F-4880-A5EB-B73F5F6DDC70}" presName="connTx" presStyleLbl="parChTrans1D4" presStyleIdx="3" presStyleCnt="6"/>
      <dgm:spPr/>
    </dgm:pt>
    <dgm:pt modelId="{D79D4841-FD1E-4FDB-BDFD-E05E0C627F35}" type="pres">
      <dgm:prSet presAssocID="{69B0604B-A8E3-409C-AB24-E7611F97D926}" presName="root2" presStyleCnt="0"/>
      <dgm:spPr/>
    </dgm:pt>
    <dgm:pt modelId="{BBFB34B1-D941-4797-8DD9-4DC79665F8B1}" type="pres">
      <dgm:prSet presAssocID="{69B0604B-A8E3-409C-AB24-E7611F97D926}" presName="LevelTwoTextNode" presStyleLbl="node4" presStyleIdx="3" presStyleCnt="6">
        <dgm:presLayoutVars>
          <dgm:chPref val="3"/>
        </dgm:presLayoutVars>
      </dgm:prSet>
      <dgm:spPr/>
    </dgm:pt>
    <dgm:pt modelId="{00AD0E22-2A37-46A3-9189-A4C750E9573C}" type="pres">
      <dgm:prSet presAssocID="{69B0604B-A8E3-409C-AB24-E7611F97D926}" presName="level3hierChild" presStyleCnt="0"/>
      <dgm:spPr/>
    </dgm:pt>
    <dgm:pt modelId="{E381286F-AE38-4EAA-8ABB-D09B231900EC}" type="pres">
      <dgm:prSet presAssocID="{C7790ACE-66C2-4BF1-9B49-CFAEC4428C70}" presName="conn2-1" presStyleLbl="parChTrans1D4" presStyleIdx="4" presStyleCnt="6"/>
      <dgm:spPr/>
    </dgm:pt>
    <dgm:pt modelId="{5D72FE54-9C7E-4754-BD4A-8EA50A3AAD57}" type="pres">
      <dgm:prSet presAssocID="{C7790ACE-66C2-4BF1-9B49-CFAEC4428C70}" presName="connTx" presStyleLbl="parChTrans1D4" presStyleIdx="4" presStyleCnt="6"/>
      <dgm:spPr/>
    </dgm:pt>
    <dgm:pt modelId="{4B0AF177-6FF8-43B8-82F3-0253EB93B224}" type="pres">
      <dgm:prSet presAssocID="{F24775F9-8A66-41E7-BF68-4AC788A8473D}" presName="root2" presStyleCnt="0"/>
      <dgm:spPr/>
    </dgm:pt>
    <dgm:pt modelId="{94A5E79E-0448-49CD-8B35-D48CFEF72480}" type="pres">
      <dgm:prSet presAssocID="{F24775F9-8A66-41E7-BF68-4AC788A8473D}" presName="LevelTwoTextNode" presStyleLbl="node4" presStyleIdx="4" presStyleCnt="6">
        <dgm:presLayoutVars>
          <dgm:chPref val="3"/>
        </dgm:presLayoutVars>
      </dgm:prSet>
      <dgm:spPr/>
    </dgm:pt>
    <dgm:pt modelId="{D94FADCB-31BE-488E-B3A5-B2BAC7CA5566}" type="pres">
      <dgm:prSet presAssocID="{F24775F9-8A66-41E7-BF68-4AC788A8473D}" presName="level3hierChild" presStyleCnt="0"/>
      <dgm:spPr/>
    </dgm:pt>
    <dgm:pt modelId="{DFEAE0F9-F782-466B-B062-8534911D27F4}" type="pres">
      <dgm:prSet presAssocID="{A050FE92-E1CC-4AF4-AC76-F60A8FA37222}" presName="conn2-1" presStyleLbl="parChTrans1D4" presStyleIdx="5" presStyleCnt="6"/>
      <dgm:spPr/>
    </dgm:pt>
    <dgm:pt modelId="{76731DE5-DB86-471A-BB54-FD23F9DAA28B}" type="pres">
      <dgm:prSet presAssocID="{A050FE92-E1CC-4AF4-AC76-F60A8FA37222}" presName="connTx" presStyleLbl="parChTrans1D4" presStyleIdx="5" presStyleCnt="6"/>
      <dgm:spPr/>
    </dgm:pt>
    <dgm:pt modelId="{0CD1517E-FBF5-45EC-8519-06184CE92A79}" type="pres">
      <dgm:prSet presAssocID="{1A8B1CD4-FFC2-40D0-9F67-9A61E158AB55}" presName="root2" presStyleCnt="0"/>
      <dgm:spPr/>
    </dgm:pt>
    <dgm:pt modelId="{D9055860-1392-4A79-8244-8D040B52FCF5}" type="pres">
      <dgm:prSet presAssocID="{1A8B1CD4-FFC2-40D0-9F67-9A61E158AB55}" presName="LevelTwoTextNode" presStyleLbl="node4" presStyleIdx="5" presStyleCnt="6">
        <dgm:presLayoutVars>
          <dgm:chPref val="3"/>
        </dgm:presLayoutVars>
      </dgm:prSet>
      <dgm:spPr/>
    </dgm:pt>
    <dgm:pt modelId="{02C59A0F-8152-4296-8E98-8A01F1CE0DA3}" type="pres">
      <dgm:prSet presAssocID="{1A8B1CD4-FFC2-40D0-9F67-9A61E158AB55}" presName="level3hierChild" presStyleCnt="0"/>
      <dgm:spPr/>
    </dgm:pt>
    <dgm:pt modelId="{A82206FC-2C28-4194-98CC-7D4E4D3D5CF4}" type="pres">
      <dgm:prSet presAssocID="{8AB84AC4-7961-4180-AC66-1C8B8A7E881E}" presName="conn2-1" presStyleLbl="parChTrans1D3" presStyleIdx="3" presStyleCnt="4"/>
      <dgm:spPr/>
    </dgm:pt>
    <dgm:pt modelId="{6CBDADD1-223D-4778-B427-03E74ED957D0}" type="pres">
      <dgm:prSet presAssocID="{8AB84AC4-7961-4180-AC66-1C8B8A7E881E}" presName="connTx" presStyleLbl="parChTrans1D3" presStyleIdx="3" presStyleCnt="4"/>
      <dgm:spPr/>
    </dgm:pt>
    <dgm:pt modelId="{ABD928C9-AE2F-417E-918A-221A312A5170}" type="pres">
      <dgm:prSet presAssocID="{D152ED8B-10B2-4B1B-BFC2-9DCE73E39A9D}" presName="root2" presStyleCnt="0"/>
      <dgm:spPr/>
    </dgm:pt>
    <dgm:pt modelId="{CB5262A8-4340-463A-A822-248DB94B5A4B}" type="pres">
      <dgm:prSet presAssocID="{D152ED8B-10B2-4B1B-BFC2-9DCE73E39A9D}" presName="LevelTwoTextNode" presStyleLbl="node3" presStyleIdx="3" presStyleCnt="4">
        <dgm:presLayoutVars>
          <dgm:chPref val="3"/>
        </dgm:presLayoutVars>
      </dgm:prSet>
      <dgm:spPr/>
    </dgm:pt>
    <dgm:pt modelId="{87637ECA-E0F0-4513-8D58-379AD9FD0048}" type="pres">
      <dgm:prSet presAssocID="{D152ED8B-10B2-4B1B-BFC2-9DCE73E39A9D}" presName="level3hierChild" presStyleCnt="0"/>
      <dgm:spPr/>
    </dgm:pt>
  </dgm:ptLst>
  <dgm:cxnLst>
    <dgm:cxn modelId="{FD542604-9634-4C9E-9341-A3495C8FAC2B}" type="presOf" srcId="{AF76BDD6-89CA-42BB-977F-BC4904488671}" destId="{E730A30F-46AD-46A9-B9E2-3A3A7405017C}" srcOrd="0" destOrd="0" presId="urn:microsoft.com/office/officeart/2005/8/layout/hierarchy2"/>
    <dgm:cxn modelId="{2CE1B40C-9598-4FC8-829A-135D777C7835}" type="presOf" srcId="{928473D0-33C3-4336-B8BC-025ABEBF494F}" destId="{A1D6D2A3-CA59-4A66-B4EB-3C70452C1F9F}" srcOrd="0" destOrd="0" presId="urn:microsoft.com/office/officeart/2005/8/layout/hierarchy2"/>
    <dgm:cxn modelId="{6CB24110-A835-4087-8219-6A4C57EF55C3}" type="presOf" srcId="{F24775F9-8A66-41E7-BF68-4AC788A8473D}" destId="{94A5E79E-0448-49CD-8B35-D48CFEF72480}" srcOrd="0" destOrd="0" presId="urn:microsoft.com/office/officeart/2005/8/layout/hierarchy2"/>
    <dgm:cxn modelId="{9C967E1B-0056-4B83-974F-8464BD91B03A}" srcId="{51783D7F-CED6-42FB-8DFE-E56FDE9AE787}" destId="{D152ED8B-10B2-4B1B-BFC2-9DCE73E39A9D}" srcOrd="1" destOrd="0" parTransId="{8AB84AC4-7961-4180-AC66-1C8B8A7E881E}" sibTransId="{64645D39-33D1-47B7-9F59-14E2AEB63C51}"/>
    <dgm:cxn modelId="{B213A71E-4718-4621-A8DC-94947C8480D4}" type="presOf" srcId="{C0CCF6C5-7669-4119-88D1-CFE97318916A}" destId="{7F477C11-70D5-4E4C-9387-08AF87273E11}" srcOrd="0" destOrd="0" presId="urn:microsoft.com/office/officeart/2005/8/layout/hierarchy2"/>
    <dgm:cxn modelId="{63B97521-F1E6-4D2C-8746-2F40BABFC49B}" type="presOf" srcId="{F1BD60AC-D930-4777-B6FC-94745B52BE25}" destId="{11252FF2-D731-4F95-8394-427D3303F867}" srcOrd="0" destOrd="0" presId="urn:microsoft.com/office/officeart/2005/8/layout/hierarchy2"/>
    <dgm:cxn modelId="{407B4D22-28BD-4CC9-92A0-E861304AE034}" type="presOf" srcId="{51783D7F-CED6-42FB-8DFE-E56FDE9AE787}" destId="{D1E0021D-6296-4A2B-9A81-E0B058309F8A}" srcOrd="0" destOrd="0" presId="urn:microsoft.com/office/officeart/2005/8/layout/hierarchy2"/>
    <dgm:cxn modelId="{D9BC7722-6A03-4424-8943-E51CD6D118AC}" type="presOf" srcId="{D12BCC63-7D6D-4065-8FCB-BBC9B1A59232}" destId="{685C2A82-F5E0-4597-9E24-04CE1FB13131}" srcOrd="0" destOrd="0" presId="urn:microsoft.com/office/officeart/2005/8/layout/hierarchy2"/>
    <dgm:cxn modelId="{96D5232B-35C2-454B-969E-ED1598011E10}" type="presOf" srcId="{148B8C70-117A-4BDC-9324-45E9B5EC9B7C}" destId="{CCBE4A09-8B43-4EC8-92EF-788D59B4DB07}" srcOrd="0" destOrd="0" presId="urn:microsoft.com/office/officeart/2005/8/layout/hierarchy2"/>
    <dgm:cxn modelId="{C647913D-9E9B-478F-A654-6343078565A1}" type="presOf" srcId="{B38EBE3E-971A-4CB4-B75C-46ACF4DF5245}" destId="{B5F047B1-BDDE-4FC9-A1B1-62D5678ADD3E}" srcOrd="0" destOrd="0" presId="urn:microsoft.com/office/officeart/2005/8/layout/hierarchy2"/>
    <dgm:cxn modelId="{720E0E41-EBD7-4D31-82F4-00B6E336274C}" type="presOf" srcId="{F5AF8AC4-C340-4BDD-B88B-CB9E47EA592E}" destId="{364C5B3B-725B-4B05-B649-14B8285E521F}" srcOrd="0" destOrd="0" presId="urn:microsoft.com/office/officeart/2005/8/layout/hierarchy2"/>
    <dgm:cxn modelId="{7F87EF66-DA67-4AE8-9492-67AF5441300E}" type="presOf" srcId="{A050FE92-E1CC-4AF4-AC76-F60A8FA37222}" destId="{76731DE5-DB86-471A-BB54-FD23F9DAA28B}" srcOrd="1" destOrd="0" presId="urn:microsoft.com/office/officeart/2005/8/layout/hierarchy2"/>
    <dgm:cxn modelId="{F2BFF549-ECF2-462A-80B2-E17856F156A5}" srcId="{9E024EE2-23F8-472D-9288-62B4C6A45712}" destId="{69B0604B-A8E3-409C-AB24-E7611F97D926}" srcOrd="1" destOrd="0" parTransId="{9C090E9C-ED2F-4880-A5EB-B73F5F6DDC70}" sibTransId="{B014F303-1C32-441F-8995-A937E8F97440}"/>
    <dgm:cxn modelId="{EB8AFA69-6C84-491E-9500-649040957306}" srcId="{4FE4048D-9ABC-4BC5-AD08-0F3F1C12D84A}" destId="{11E00BF6-0CEE-404A-98FB-F1D375E48126}" srcOrd="0" destOrd="0" parTransId="{EEA14668-B664-476A-9CCC-1289D14D3C6D}" sibTransId="{65CD20FB-4BD9-40D9-97C7-0BF32C5AB602}"/>
    <dgm:cxn modelId="{F7DE7D6B-173B-4156-B4D8-A964D05788FA}" type="presOf" srcId="{9E024EE2-23F8-472D-9288-62B4C6A45712}" destId="{8EBF43B1-36AA-4656-B825-697D4225501C}" srcOrd="0" destOrd="0" presId="urn:microsoft.com/office/officeart/2005/8/layout/hierarchy2"/>
    <dgm:cxn modelId="{CE9FE453-FA6E-474F-A31E-32E2FD747ABF}" type="presOf" srcId="{E2AEC5AC-3090-43A9-B8C0-580A11B00D82}" destId="{7DFF0FFC-F9D8-46C8-BB39-B50C30017A47}" srcOrd="1" destOrd="0" presId="urn:microsoft.com/office/officeart/2005/8/layout/hierarchy2"/>
    <dgm:cxn modelId="{78226574-D885-481E-829D-240D6A5FDAC4}" type="presOf" srcId="{544B6626-733A-445B-945C-060C7A12FD7B}" destId="{0CA0BC23-A905-46CF-9CC8-3F8C058CD5D5}" srcOrd="0" destOrd="0" presId="urn:microsoft.com/office/officeart/2005/8/layout/hierarchy2"/>
    <dgm:cxn modelId="{DEC65575-DB92-4AA0-A2EA-CD25750A3D5A}" type="presOf" srcId="{C7790ACE-66C2-4BF1-9B49-CFAEC4428C70}" destId="{E381286F-AE38-4EAA-8ABB-D09B231900EC}" srcOrd="0" destOrd="0" presId="urn:microsoft.com/office/officeart/2005/8/layout/hierarchy2"/>
    <dgm:cxn modelId="{EC4AAB7A-34A4-4569-8C67-CE39D4E8A31E}" type="presOf" srcId="{544B6626-733A-445B-945C-060C7A12FD7B}" destId="{2E3BE6A4-D27C-4A4C-9170-B67EE1D5F835}" srcOrd="1" destOrd="0" presId="urn:microsoft.com/office/officeart/2005/8/layout/hierarchy2"/>
    <dgm:cxn modelId="{7963717D-FBE5-499A-A96C-0BA8FC96E545}" type="presOf" srcId="{E2AEC5AC-3090-43A9-B8C0-580A11B00D82}" destId="{813874AC-6B7D-4F76-8EEF-101E8283F7FA}" srcOrd="0" destOrd="0" presId="urn:microsoft.com/office/officeart/2005/8/layout/hierarchy2"/>
    <dgm:cxn modelId="{D50FB67E-191B-452D-BF2F-903C29DB8B8D}" srcId="{F5AF8AC4-C340-4BDD-B88B-CB9E47EA592E}" destId="{D12BCC63-7D6D-4065-8FCB-BBC9B1A59232}" srcOrd="0" destOrd="0" parTransId="{AF76BDD6-89CA-42BB-977F-BC4904488671}" sibTransId="{CD0EA73D-CD90-4CDB-A6B2-629EA0D36088}"/>
    <dgm:cxn modelId="{921BFC80-4A92-4035-B052-800F7735EE61}" type="presOf" srcId="{11E00BF6-0CEE-404A-98FB-F1D375E48126}" destId="{DF732329-5FBC-4B15-8D3E-C1A59C9B6FC5}" srcOrd="0" destOrd="0" presId="urn:microsoft.com/office/officeart/2005/8/layout/hierarchy2"/>
    <dgm:cxn modelId="{9FB3C882-87E6-41F4-8B73-1FEF0948443A}" type="presOf" srcId="{B38EBE3E-971A-4CB4-B75C-46ACF4DF5245}" destId="{99CE2576-B007-401F-84FE-44B8A2D0033F}" srcOrd="1" destOrd="0" presId="urn:microsoft.com/office/officeart/2005/8/layout/hierarchy2"/>
    <dgm:cxn modelId="{7FD7A686-35E7-49B8-8E2F-889BA0114E21}" type="presOf" srcId="{1A8B1CD4-FFC2-40D0-9F67-9A61E158AB55}" destId="{D9055860-1392-4A79-8244-8D040B52FCF5}" srcOrd="0" destOrd="0" presId="urn:microsoft.com/office/officeart/2005/8/layout/hierarchy2"/>
    <dgm:cxn modelId="{F2084689-5D94-4778-92AB-0F8A11D81CDC}" type="presOf" srcId="{8AB84AC4-7961-4180-AC66-1C8B8A7E881E}" destId="{6CBDADD1-223D-4778-B427-03E74ED957D0}" srcOrd="1" destOrd="0" presId="urn:microsoft.com/office/officeart/2005/8/layout/hierarchy2"/>
    <dgm:cxn modelId="{D1B8408C-4551-4685-802D-28DF415957C0}" srcId="{11E00BF6-0CEE-404A-98FB-F1D375E48126}" destId="{2C2A80B6-AA39-4849-8A5A-2CE5405EB36D}" srcOrd="0" destOrd="0" parTransId="{8827ECC8-2016-458B-A7FA-AEC61FF2770B}" sibTransId="{6D8A0A09-392F-407A-B8D4-97C3D441CDCE}"/>
    <dgm:cxn modelId="{7841838E-2996-49F4-97A2-2C4E3E34FF93}" type="presOf" srcId="{2440E86C-DB16-4269-B585-1301ABC141EC}" destId="{D0082119-E1F3-42F7-A65D-3B212BAD4DD3}" srcOrd="0" destOrd="0" presId="urn:microsoft.com/office/officeart/2005/8/layout/hierarchy2"/>
    <dgm:cxn modelId="{E8E1BA90-934B-4652-A5CE-3B9ACADBED92}" type="presOf" srcId="{F1BD60AC-D930-4777-B6FC-94745B52BE25}" destId="{28401B34-B98E-4BAA-AE50-48CEC1669924}" srcOrd="1" destOrd="0" presId="urn:microsoft.com/office/officeart/2005/8/layout/hierarchy2"/>
    <dgm:cxn modelId="{75E25C96-E7B2-462D-81B5-1371FDF8B0CD}" type="presOf" srcId="{2C2A80B6-AA39-4849-8A5A-2CE5405EB36D}" destId="{A6AFFEE0-B265-4F5E-8FAF-18E0B2F2E1C4}" srcOrd="0" destOrd="0" presId="urn:microsoft.com/office/officeart/2005/8/layout/hierarchy2"/>
    <dgm:cxn modelId="{72837096-2464-422F-A4EC-61CE1CB9344F}" type="presOf" srcId="{8827ECC8-2016-458B-A7FA-AEC61FF2770B}" destId="{665902B8-05A1-4053-9617-6DED79C39E79}" srcOrd="1" destOrd="0" presId="urn:microsoft.com/office/officeart/2005/8/layout/hierarchy2"/>
    <dgm:cxn modelId="{953A3397-182E-4878-8C89-3C9EE495D2B6}" srcId="{51783D7F-CED6-42FB-8DFE-E56FDE9AE787}" destId="{9E024EE2-23F8-472D-9288-62B4C6A45712}" srcOrd="0" destOrd="0" parTransId="{B38EBE3E-971A-4CB4-B75C-46ACF4DF5245}" sibTransId="{720B97BC-4B89-4765-8819-24FE5FB39D98}"/>
    <dgm:cxn modelId="{E614509A-0087-4F88-9F38-2D335983FE24}" type="presOf" srcId="{148B8C70-117A-4BDC-9324-45E9B5EC9B7C}" destId="{E627B562-1574-4AB6-B62D-D31B40C6059C}" srcOrd="1" destOrd="0" presId="urn:microsoft.com/office/officeart/2005/8/layout/hierarchy2"/>
    <dgm:cxn modelId="{724BBBA2-0292-4981-AF49-503B461D4599}" type="presOf" srcId="{8827ECC8-2016-458B-A7FA-AEC61FF2770B}" destId="{2E26BBC6-85DD-4EB5-BE0C-480F7DC4BBF9}" srcOrd="0" destOrd="0" presId="urn:microsoft.com/office/officeart/2005/8/layout/hierarchy2"/>
    <dgm:cxn modelId="{1B517AA7-6F05-42FE-82AC-368C59A7D400}" type="presOf" srcId="{A050FE92-E1CC-4AF4-AC76-F60A8FA37222}" destId="{DFEAE0F9-F782-466B-B062-8534911D27F4}" srcOrd="0" destOrd="0" presId="urn:microsoft.com/office/officeart/2005/8/layout/hierarchy2"/>
    <dgm:cxn modelId="{6DFB66A9-3D9A-49E2-B5AA-AF66ED3452D9}" srcId="{69B0604B-A8E3-409C-AB24-E7611F97D926}" destId="{1A8B1CD4-FFC2-40D0-9F67-9A61E158AB55}" srcOrd="1" destOrd="0" parTransId="{A050FE92-E1CC-4AF4-AC76-F60A8FA37222}" sibTransId="{BD37F558-CE0E-403E-A583-3BDA72D9A39B}"/>
    <dgm:cxn modelId="{7AB22DB6-CD08-4560-8AAA-D1EC883AE708}" srcId="{9E024EE2-23F8-472D-9288-62B4C6A45712}" destId="{C0CCF6C5-7669-4119-88D1-CFE97318916A}" srcOrd="0" destOrd="0" parTransId="{F1BD60AC-D930-4777-B6FC-94745B52BE25}" sibTransId="{63238460-D701-43BF-BE95-22A001B45036}"/>
    <dgm:cxn modelId="{EE18B2BA-EC2B-4AC4-BA09-3E25FF9269A5}" type="presOf" srcId="{9C090E9C-ED2F-4880-A5EB-B73F5F6DDC70}" destId="{EF88E9CF-80B3-4E0A-B261-509AF03B5E9B}" srcOrd="0" destOrd="0" presId="urn:microsoft.com/office/officeart/2005/8/layout/hierarchy2"/>
    <dgm:cxn modelId="{DA52F4BE-156A-47AF-82B4-534FA0A9645A}" srcId="{2C2A80B6-AA39-4849-8A5A-2CE5405EB36D}" destId="{2440E86C-DB16-4269-B585-1301ABC141EC}" srcOrd="0" destOrd="0" parTransId="{148B8C70-117A-4BDC-9324-45E9B5EC9B7C}" sibTransId="{27D11E1E-73F5-4AE3-89E2-2DEF0084A778}"/>
    <dgm:cxn modelId="{5A31D5C0-1AFF-4928-94C2-97CBDE5B05A0}" type="presOf" srcId="{8AB84AC4-7961-4180-AC66-1C8B8A7E881E}" destId="{A82206FC-2C28-4194-98CC-7D4E4D3D5CF4}" srcOrd="0" destOrd="0" presId="urn:microsoft.com/office/officeart/2005/8/layout/hierarchy2"/>
    <dgm:cxn modelId="{6B67A5C4-7C33-47BB-9A2F-34940DE4A225}" type="presOf" srcId="{4FE4048D-9ABC-4BC5-AD08-0F3F1C12D84A}" destId="{354155E2-4594-4345-B4FD-690B4937465A}" srcOrd="0" destOrd="0" presId="urn:microsoft.com/office/officeart/2005/8/layout/hierarchy2"/>
    <dgm:cxn modelId="{25561ACF-60F1-4A6A-B3EA-036CF387ED0A}" type="presOf" srcId="{9C090E9C-ED2F-4880-A5EB-B73F5F6DDC70}" destId="{CC38708A-ABC0-4D24-9E6A-F88F2DBE93BD}" srcOrd="1" destOrd="0" presId="urn:microsoft.com/office/officeart/2005/8/layout/hierarchy2"/>
    <dgm:cxn modelId="{356FB8D5-AC48-4F6F-A2DB-E8D0211EC099}" type="presOf" srcId="{69B0604B-A8E3-409C-AB24-E7611F97D926}" destId="{BBFB34B1-D941-4797-8DD9-4DC79665F8B1}" srcOrd="0" destOrd="0" presId="urn:microsoft.com/office/officeart/2005/8/layout/hierarchy2"/>
    <dgm:cxn modelId="{FA1105D8-CB62-4576-8C96-CFB618AF78C4}" srcId="{F5AF8AC4-C340-4BDD-B88B-CB9E47EA592E}" destId="{928473D0-33C3-4336-B8BC-025ABEBF494F}" srcOrd="1" destOrd="0" parTransId="{E2AEC5AC-3090-43A9-B8C0-580A11B00D82}" sibTransId="{8812D59D-1590-4222-BF26-844E58983670}"/>
    <dgm:cxn modelId="{C56C7CD9-F887-4930-9055-841AE08366A5}" srcId="{69B0604B-A8E3-409C-AB24-E7611F97D926}" destId="{F24775F9-8A66-41E7-BF68-4AC788A8473D}" srcOrd="0" destOrd="0" parTransId="{C7790ACE-66C2-4BF1-9B49-CFAEC4428C70}" sibTransId="{E62F5E13-D50D-4BD6-8B3C-C376EEFDFA11}"/>
    <dgm:cxn modelId="{34DEA3DE-6B8E-4986-B4FE-6CCE5EDFC67B}" srcId="{2C2A80B6-AA39-4849-8A5A-2CE5405EB36D}" destId="{F5AF8AC4-C340-4BDD-B88B-CB9E47EA592E}" srcOrd="1" destOrd="0" parTransId="{61A89C83-2736-477D-9676-83479867A1C6}" sibTransId="{2E993FDC-0BB5-463F-97F6-6EA101A95B8B}"/>
    <dgm:cxn modelId="{B5B463E0-1EC4-4600-A0A6-4B8EE4EEFEE2}" srcId="{11E00BF6-0CEE-404A-98FB-F1D375E48126}" destId="{51783D7F-CED6-42FB-8DFE-E56FDE9AE787}" srcOrd="1" destOrd="0" parTransId="{544B6626-733A-445B-945C-060C7A12FD7B}" sibTransId="{CB0F4CA3-2979-40B3-A1C9-C29A85B222B6}"/>
    <dgm:cxn modelId="{B3E4CAE0-68FC-46C2-9268-3149A1D8CCDB}" type="presOf" srcId="{61A89C83-2736-477D-9676-83479867A1C6}" destId="{1B449E4F-FC21-48B5-867C-8FFBAD9CC316}" srcOrd="0" destOrd="0" presId="urn:microsoft.com/office/officeart/2005/8/layout/hierarchy2"/>
    <dgm:cxn modelId="{8D1142E6-804B-4C4D-884A-7A484977B5F0}" type="presOf" srcId="{C7790ACE-66C2-4BF1-9B49-CFAEC4428C70}" destId="{5D72FE54-9C7E-4754-BD4A-8EA50A3AAD57}" srcOrd="1" destOrd="0" presId="urn:microsoft.com/office/officeart/2005/8/layout/hierarchy2"/>
    <dgm:cxn modelId="{CC62C1EB-E589-45A7-B458-50BD3EBFF51E}" type="presOf" srcId="{D152ED8B-10B2-4B1B-BFC2-9DCE73E39A9D}" destId="{CB5262A8-4340-463A-A822-248DB94B5A4B}" srcOrd="0" destOrd="0" presId="urn:microsoft.com/office/officeart/2005/8/layout/hierarchy2"/>
    <dgm:cxn modelId="{B2C5D8ED-7F02-4358-89D1-A4EE9A150851}" type="presOf" srcId="{AF76BDD6-89CA-42BB-977F-BC4904488671}" destId="{3AAC802B-8E2E-4022-85B4-E5D4BF5D4DD1}" srcOrd="1" destOrd="0" presId="urn:microsoft.com/office/officeart/2005/8/layout/hierarchy2"/>
    <dgm:cxn modelId="{902BA2F3-AFF9-4454-9B5E-CD80A5D0238A}" type="presOf" srcId="{61A89C83-2736-477D-9676-83479867A1C6}" destId="{C76AF9C2-A69C-4B29-9580-7FF2DC437809}" srcOrd="1" destOrd="0" presId="urn:microsoft.com/office/officeart/2005/8/layout/hierarchy2"/>
    <dgm:cxn modelId="{032390E1-4C22-44EA-AA03-85DFD646704B}" type="presParOf" srcId="{354155E2-4594-4345-B4FD-690B4937465A}" destId="{A73C5C7B-0F46-4E23-AA91-B4F5F47349C6}" srcOrd="0" destOrd="0" presId="urn:microsoft.com/office/officeart/2005/8/layout/hierarchy2"/>
    <dgm:cxn modelId="{86519384-5766-4C13-84B0-C80592691854}" type="presParOf" srcId="{A73C5C7B-0F46-4E23-AA91-B4F5F47349C6}" destId="{DF732329-5FBC-4B15-8D3E-C1A59C9B6FC5}" srcOrd="0" destOrd="0" presId="urn:microsoft.com/office/officeart/2005/8/layout/hierarchy2"/>
    <dgm:cxn modelId="{11EED7F8-7AAE-4013-BD7F-C2362205CBC1}" type="presParOf" srcId="{A73C5C7B-0F46-4E23-AA91-B4F5F47349C6}" destId="{B6CFDD7D-BF65-4FDF-AA16-AA8F186BC9E0}" srcOrd="1" destOrd="0" presId="urn:microsoft.com/office/officeart/2005/8/layout/hierarchy2"/>
    <dgm:cxn modelId="{A77D3C76-A2C9-40F2-86E5-4C3108560AE2}" type="presParOf" srcId="{B6CFDD7D-BF65-4FDF-AA16-AA8F186BC9E0}" destId="{2E26BBC6-85DD-4EB5-BE0C-480F7DC4BBF9}" srcOrd="0" destOrd="0" presId="urn:microsoft.com/office/officeart/2005/8/layout/hierarchy2"/>
    <dgm:cxn modelId="{4FAE6E37-487B-411F-9DCB-25D3963D5DAF}" type="presParOf" srcId="{2E26BBC6-85DD-4EB5-BE0C-480F7DC4BBF9}" destId="{665902B8-05A1-4053-9617-6DED79C39E79}" srcOrd="0" destOrd="0" presId="urn:microsoft.com/office/officeart/2005/8/layout/hierarchy2"/>
    <dgm:cxn modelId="{07914B3C-F6A3-4F3F-929E-625ACC09FD1B}" type="presParOf" srcId="{B6CFDD7D-BF65-4FDF-AA16-AA8F186BC9E0}" destId="{F7525B89-BA6C-4F8D-B71B-9CD843DB42B6}" srcOrd="1" destOrd="0" presId="urn:microsoft.com/office/officeart/2005/8/layout/hierarchy2"/>
    <dgm:cxn modelId="{591831CD-4A87-411B-AB4E-F3E30A4AD0B0}" type="presParOf" srcId="{F7525B89-BA6C-4F8D-B71B-9CD843DB42B6}" destId="{A6AFFEE0-B265-4F5E-8FAF-18E0B2F2E1C4}" srcOrd="0" destOrd="0" presId="urn:microsoft.com/office/officeart/2005/8/layout/hierarchy2"/>
    <dgm:cxn modelId="{A1EEAC9B-C9AC-46A3-9A2A-57C70A1D183E}" type="presParOf" srcId="{F7525B89-BA6C-4F8D-B71B-9CD843DB42B6}" destId="{96519391-3AE5-4D62-8164-DEB8F1670B4A}" srcOrd="1" destOrd="0" presId="urn:microsoft.com/office/officeart/2005/8/layout/hierarchy2"/>
    <dgm:cxn modelId="{C7E3417F-D90E-4C95-A5D2-B8EEC41B2A1C}" type="presParOf" srcId="{96519391-3AE5-4D62-8164-DEB8F1670B4A}" destId="{CCBE4A09-8B43-4EC8-92EF-788D59B4DB07}" srcOrd="0" destOrd="0" presId="urn:microsoft.com/office/officeart/2005/8/layout/hierarchy2"/>
    <dgm:cxn modelId="{ECB894DB-79A0-4DDA-9549-F5196135C791}" type="presParOf" srcId="{CCBE4A09-8B43-4EC8-92EF-788D59B4DB07}" destId="{E627B562-1574-4AB6-B62D-D31B40C6059C}" srcOrd="0" destOrd="0" presId="urn:microsoft.com/office/officeart/2005/8/layout/hierarchy2"/>
    <dgm:cxn modelId="{E02C965D-FA57-4DC2-891B-EC46D7CE5D42}" type="presParOf" srcId="{96519391-3AE5-4D62-8164-DEB8F1670B4A}" destId="{50E9CE56-C07A-490D-A701-F5690D6385C3}" srcOrd="1" destOrd="0" presId="urn:microsoft.com/office/officeart/2005/8/layout/hierarchy2"/>
    <dgm:cxn modelId="{1B0E0610-1551-4BEC-8942-4E73C2E4633D}" type="presParOf" srcId="{50E9CE56-C07A-490D-A701-F5690D6385C3}" destId="{D0082119-E1F3-42F7-A65D-3B212BAD4DD3}" srcOrd="0" destOrd="0" presId="urn:microsoft.com/office/officeart/2005/8/layout/hierarchy2"/>
    <dgm:cxn modelId="{F2F2A464-6A8B-4F8E-86BF-B7FB1B5F2BB6}" type="presParOf" srcId="{50E9CE56-C07A-490D-A701-F5690D6385C3}" destId="{D6168626-C111-4C47-8487-E4A112301A63}" srcOrd="1" destOrd="0" presId="urn:microsoft.com/office/officeart/2005/8/layout/hierarchy2"/>
    <dgm:cxn modelId="{61738D71-7F13-443E-9E83-C7B7491C3235}" type="presParOf" srcId="{96519391-3AE5-4D62-8164-DEB8F1670B4A}" destId="{1B449E4F-FC21-48B5-867C-8FFBAD9CC316}" srcOrd="2" destOrd="0" presId="urn:microsoft.com/office/officeart/2005/8/layout/hierarchy2"/>
    <dgm:cxn modelId="{D48ACD4C-1FD9-46A2-8AD0-7FEC5E7B7A2F}" type="presParOf" srcId="{1B449E4F-FC21-48B5-867C-8FFBAD9CC316}" destId="{C76AF9C2-A69C-4B29-9580-7FF2DC437809}" srcOrd="0" destOrd="0" presId="urn:microsoft.com/office/officeart/2005/8/layout/hierarchy2"/>
    <dgm:cxn modelId="{13AF1A52-BDCA-48F8-AEB9-3AA3446A23DA}" type="presParOf" srcId="{96519391-3AE5-4D62-8164-DEB8F1670B4A}" destId="{E899C04A-D60E-4589-91FF-C7AC59842876}" srcOrd="3" destOrd="0" presId="urn:microsoft.com/office/officeart/2005/8/layout/hierarchy2"/>
    <dgm:cxn modelId="{A977C523-A07B-4ED0-B99E-DB5A5E18290C}" type="presParOf" srcId="{E899C04A-D60E-4589-91FF-C7AC59842876}" destId="{364C5B3B-725B-4B05-B649-14B8285E521F}" srcOrd="0" destOrd="0" presId="urn:microsoft.com/office/officeart/2005/8/layout/hierarchy2"/>
    <dgm:cxn modelId="{A05B0140-0338-4563-81EA-3D122625FEF8}" type="presParOf" srcId="{E899C04A-D60E-4589-91FF-C7AC59842876}" destId="{5E6B190F-0ED2-4AD9-9802-91004B769A80}" srcOrd="1" destOrd="0" presId="urn:microsoft.com/office/officeart/2005/8/layout/hierarchy2"/>
    <dgm:cxn modelId="{F44E7043-025C-4F3C-B847-016D3D04C517}" type="presParOf" srcId="{5E6B190F-0ED2-4AD9-9802-91004B769A80}" destId="{E730A30F-46AD-46A9-B9E2-3A3A7405017C}" srcOrd="0" destOrd="0" presId="urn:microsoft.com/office/officeart/2005/8/layout/hierarchy2"/>
    <dgm:cxn modelId="{2EAC27AF-4B98-4373-B9E9-41D9BBB1A79A}" type="presParOf" srcId="{E730A30F-46AD-46A9-B9E2-3A3A7405017C}" destId="{3AAC802B-8E2E-4022-85B4-E5D4BF5D4DD1}" srcOrd="0" destOrd="0" presId="urn:microsoft.com/office/officeart/2005/8/layout/hierarchy2"/>
    <dgm:cxn modelId="{810BA1FD-D569-406F-909E-CF9673C38A53}" type="presParOf" srcId="{5E6B190F-0ED2-4AD9-9802-91004B769A80}" destId="{55880987-7272-44EC-A7FE-E646AE1BC2EB}" srcOrd="1" destOrd="0" presId="urn:microsoft.com/office/officeart/2005/8/layout/hierarchy2"/>
    <dgm:cxn modelId="{A7394934-829C-4C7C-9E75-7425BBF8805E}" type="presParOf" srcId="{55880987-7272-44EC-A7FE-E646AE1BC2EB}" destId="{685C2A82-F5E0-4597-9E24-04CE1FB13131}" srcOrd="0" destOrd="0" presId="urn:microsoft.com/office/officeart/2005/8/layout/hierarchy2"/>
    <dgm:cxn modelId="{9856964E-8C3C-46C0-930F-4519921B8983}" type="presParOf" srcId="{55880987-7272-44EC-A7FE-E646AE1BC2EB}" destId="{E06AE1B4-B0B1-4D74-AA99-1779EE6D7497}" srcOrd="1" destOrd="0" presId="urn:microsoft.com/office/officeart/2005/8/layout/hierarchy2"/>
    <dgm:cxn modelId="{9D9D52EC-D81D-427E-8B48-1E2EDAA1EFBB}" type="presParOf" srcId="{5E6B190F-0ED2-4AD9-9802-91004B769A80}" destId="{813874AC-6B7D-4F76-8EEF-101E8283F7FA}" srcOrd="2" destOrd="0" presId="urn:microsoft.com/office/officeart/2005/8/layout/hierarchy2"/>
    <dgm:cxn modelId="{D540AB61-C523-4AC2-9440-91EC5CB54DF7}" type="presParOf" srcId="{813874AC-6B7D-4F76-8EEF-101E8283F7FA}" destId="{7DFF0FFC-F9D8-46C8-BB39-B50C30017A47}" srcOrd="0" destOrd="0" presId="urn:microsoft.com/office/officeart/2005/8/layout/hierarchy2"/>
    <dgm:cxn modelId="{365205E1-69E8-41CA-8790-DCD9FFFF8F29}" type="presParOf" srcId="{5E6B190F-0ED2-4AD9-9802-91004B769A80}" destId="{14B9D499-F6A4-42A1-8F95-6F589F4684D2}" srcOrd="3" destOrd="0" presId="urn:microsoft.com/office/officeart/2005/8/layout/hierarchy2"/>
    <dgm:cxn modelId="{22A7F2FB-D60B-4488-9EF4-3BBE44510600}" type="presParOf" srcId="{14B9D499-F6A4-42A1-8F95-6F589F4684D2}" destId="{A1D6D2A3-CA59-4A66-B4EB-3C70452C1F9F}" srcOrd="0" destOrd="0" presId="urn:microsoft.com/office/officeart/2005/8/layout/hierarchy2"/>
    <dgm:cxn modelId="{4E21D79B-CAEF-4C06-AD27-95A282E5C398}" type="presParOf" srcId="{14B9D499-F6A4-42A1-8F95-6F589F4684D2}" destId="{3C4DB4F4-6C8C-445B-81AA-ACBE4A027DEB}" srcOrd="1" destOrd="0" presId="urn:microsoft.com/office/officeart/2005/8/layout/hierarchy2"/>
    <dgm:cxn modelId="{79C93BC2-F027-40FE-8CAE-A3E0208C2EB2}" type="presParOf" srcId="{B6CFDD7D-BF65-4FDF-AA16-AA8F186BC9E0}" destId="{0CA0BC23-A905-46CF-9CC8-3F8C058CD5D5}" srcOrd="2" destOrd="0" presId="urn:microsoft.com/office/officeart/2005/8/layout/hierarchy2"/>
    <dgm:cxn modelId="{583AE142-3D56-47A6-93AD-725DD113DBAF}" type="presParOf" srcId="{0CA0BC23-A905-46CF-9CC8-3F8C058CD5D5}" destId="{2E3BE6A4-D27C-4A4C-9170-B67EE1D5F835}" srcOrd="0" destOrd="0" presId="urn:microsoft.com/office/officeart/2005/8/layout/hierarchy2"/>
    <dgm:cxn modelId="{ADC7FD76-F0E7-4BFB-8D87-F47F1CC9269C}" type="presParOf" srcId="{B6CFDD7D-BF65-4FDF-AA16-AA8F186BC9E0}" destId="{CCCD17FE-F237-4EAC-B682-355CCB27C19D}" srcOrd="3" destOrd="0" presId="urn:microsoft.com/office/officeart/2005/8/layout/hierarchy2"/>
    <dgm:cxn modelId="{8E25FE66-D1E4-46EE-9BB3-2F5E51B3C143}" type="presParOf" srcId="{CCCD17FE-F237-4EAC-B682-355CCB27C19D}" destId="{D1E0021D-6296-4A2B-9A81-E0B058309F8A}" srcOrd="0" destOrd="0" presId="urn:microsoft.com/office/officeart/2005/8/layout/hierarchy2"/>
    <dgm:cxn modelId="{5030F4C8-75A5-4F81-BA3C-70C013090B8A}" type="presParOf" srcId="{CCCD17FE-F237-4EAC-B682-355CCB27C19D}" destId="{0A819FE5-CFA6-4011-9018-66A13F8C5EDD}" srcOrd="1" destOrd="0" presId="urn:microsoft.com/office/officeart/2005/8/layout/hierarchy2"/>
    <dgm:cxn modelId="{158193DF-75F2-4DBA-8D64-05974ED68776}" type="presParOf" srcId="{0A819FE5-CFA6-4011-9018-66A13F8C5EDD}" destId="{B5F047B1-BDDE-4FC9-A1B1-62D5678ADD3E}" srcOrd="0" destOrd="0" presId="urn:microsoft.com/office/officeart/2005/8/layout/hierarchy2"/>
    <dgm:cxn modelId="{DC2A1F8B-D51D-45E7-9A56-0552D980A0F3}" type="presParOf" srcId="{B5F047B1-BDDE-4FC9-A1B1-62D5678ADD3E}" destId="{99CE2576-B007-401F-84FE-44B8A2D0033F}" srcOrd="0" destOrd="0" presId="urn:microsoft.com/office/officeart/2005/8/layout/hierarchy2"/>
    <dgm:cxn modelId="{DEA3F9B3-06D3-472D-9C44-F2A6F9FB1C50}" type="presParOf" srcId="{0A819FE5-CFA6-4011-9018-66A13F8C5EDD}" destId="{AA49109C-4D6D-40E4-9F04-D6C1C4D833A2}" srcOrd="1" destOrd="0" presId="urn:microsoft.com/office/officeart/2005/8/layout/hierarchy2"/>
    <dgm:cxn modelId="{8F0D0DD2-B53F-4352-8B6E-8B31E217B17B}" type="presParOf" srcId="{AA49109C-4D6D-40E4-9F04-D6C1C4D833A2}" destId="{8EBF43B1-36AA-4656-B825-697D4225501C}" srcOrd="0" destOrd="0" presId="urn:microsoft.com/office/officeart/2005/8/layout/hierarchy2"/>
    <dgm:cxn modelId="{2DE79CD6-15A7-4FB6-AD5C-1D799003813D}" type="presParOf" srcId="{AA49109C-4D6D-40E4-9F04-D6C1C4D833A2}" destId="{C5EE0BD3-AD26-45B5-B2CB-7B661FF03408}" srcOrd="1" destOrd="0" presId="urn:microsoft.com/office/officeart/2005/8/layout/hierarchy2"/>
    <dgm:cxn modelId="{0BF3A20E-665C-4288-8158-32434E938B31}" type="presParOf" srcId="{C5EE0BD3-AD26-45B5-B2CB-7B661FF03408}" destId="{11252FF2-D731-4F95-8394-427D3303F867}" srcOrd="0" destOrd="0" presId="urn:microsoft.com/office/officeart/2005/8/layout/hierarchy2"/>
    <dgm:cxn modelId="{BE13FD59-435A-4AD9-BF77-08FC243F0EBB}" type="presParOf" srcId="{11252FF2-D731-4F95-8394-427D3303F867}" destId="{28401B34-B98E-4BAA-AE50-48CEC1669924}" srcOrd="0" destOrd="0" presId="urn:microsoft.com/office/officeart/2005/8/layout/hierarchy2"/>
    <dgm:cxn modelId="{25D35EED-4401-4D29-A085-B9BE058D2EC0}" type="presParOf" srcId="{C5EE0BD3-AD26-45B5-B2CB-7B661FF03408}" destId="{3370A543-5B75-4608-9E97-0CF46B5200DA}" srcOrd="1" destOrd="0" presId="urn:microsoft.com/office/officeart/2005/8/layout/hierarchy2"/>
    <dgm:cxn modelId="{4EE18942-789C-4E64-AB7A-0DF7C910EF4E}" type="presParOf" srcId="{3370A543-5B75-4608-9E97-0CF46B5200DA}" destId="{7F477C11-70D5-4E4C-9387-08AF87273E11}" srcOrd="0" destOrd="0" presId="urn:microsoft.com/office/officeart/2005/8/layout/hierarchy2"/>
    <dgm:cxn modelId="{3EB0E0EC-5E42-4CEB-A70B-B1A883673588}" type="presParOf" srcId="{3370A543-5B75-4608-9E97-0CF46B5200DA}" destId="{22693C9C-D9C6-4F0A-A82C-E9DC5A99894E}" srcOrd="1" destOrd="0" presId="urn:microsoft.com/office/officeart/2005/8/layout/hierarchy2"/>
    <dgm:cxn modelId="{A49157C3-F11A-45C1-9E2D-5E78733CA63B}" type="presParOf" srcId="{C5EE0BD3-AD26-45B5-B2CB-7B661FF03408}" destId="{EF88E9CF-80B3-4E0A-B261-509AF03B5E9B}" srcOrd="2" destOrd="0" presId="urn:microsoft.com/office/officeart/2005/8/layout/hierarchy2"/>
    <dgm:cxn modelId="{CD0E35CC-3C18-422C-8E21-84339F49BA1A}" type="presParOf" srcId="{EF88E9CF-80B3-4E0A-B261-509AF03B5E9B}" destId="{CC38708A-ABC0-4D24-9E6A-F88F2DBE93BD}" srcOrd="0" destOrd="0" presId="urn:microsoft.com/office/officeart/2005/8/layout/hierarchy2"/>
    <dgm:cxn modelId="{75B24A8F-4673-415A-8DC0-90CD92F003AA}" type="presParOf" srcId="{C5EE0BD3-AD26-45B5-B2CB-7B661FF03408}" destId="{D79D4841-FD1E-4FDB-BDFD-E05E0C627F35}" srcOrd="3" destOrd="0" presId="urn:microsoft.com/office/officeart/2005/8/layout/hierarchy2"/>
    <dgm:cxn modelId="{E5F86247-8DB5-4348-B86F-FE12E4AABCE1}" type="presParOf" srcId="{D79D4841-FD1E-4FDB-BDFD-E05E0C627F35}" destId="{BBFB34B1-D941-4797-8DD9-4DC79665F8B1}" srcOrd="0" destOrd="0" presId="urn:microsoft.com/office/officeart/2005/8/layout/hierarchy2"/>
    <dgm:cxn modelId="{DA54EB85-DB63-4EF3-9A5C-F6578B27B274}" type="presParOf" srcId="{D79D4841-FD1E-4FDB-BDFD-E05E0C627F35}" destId="{00AD0E22-2A37-46A3-9189-A4C750E9573C}" srcOrd="1" destOrd="0" presId="urn:microsoft.com/office/officeart/2005/8/layout/hierarchy2"/>
    <dgm:cxn modelId="{B16B9E68-EA0A-4FAD-A78E-36CEA435F7FB}" type="presParOf" srcId="{00AD0E22-2A37-46A3-9189-A4C750E9573C}" destId="{E381286F-AE38-4EAA-8ABB-D09B231900EC}" srcOrd="0" destOrd="0" presId="urn:microsoft.com/office/officeart/2005/8/layout/hierarchy2"/>
    <dgm:cxn modelId="{112B3286-8880-46D8-A3F5-49D0860B59D0}" type="presParOf" srcId="{E381286F-AE38-4EAA-8ABB-D09B231900EC}" destId="{5D72FE54-9C7E-4754-BD4A-8EA50A3AAD57}" srcOrd="0" destOrd="0" presId="urn:microsoft.com/office/officeart/2005/8/layout/hierarchy2"/>
    <dgm:cxn modelId="{4713691B-BC48-4129-BB78-5870D876D2D4}" type="presParOf" srcId="{00AD0E22-2A37-46A3-9189-A4C750E9573C}" destId="{4B0AF177-6FF8-43B8-82F3-0253EB93B224}" srcOrd="1" destOrd="0" presId="urn:microsoft.com/office/officeart/2005/8/layout/hierarchy2"/>
    <dgm:cxn modelId="{516A969D-76C2-4A32-9A69-53A8703CBA8E}" type="presParOf" srcId="{4B0AF177-6FF8-43B8-82F3-0253EB93B224}" destId="{94A5E79E-0448-49CD-8B35-D48CFEF72480}" srcOrd="0" destOrd="0" presId="urn:microsoft.com/office/officeart/2005/8/layout/hierarchy2"/>
    <dgm:cxn modelId="{425BEB8C-48DA-4F2D-8D4F-9485B24DD49E}" type="presParOf" srcId="{4B0AF177-6FF8-43B8-82F3-0253EB93B224}" destId="{D94FADCB-31BE-488E-B3A5-B2BAC7CA5566}" srcOrd="1" destOrd="0" presId="urn:microsoft.com/office/officeart/2005/8/layout/hierarchy2"/>
    <dgm:cxn modelId="{BAA58714-1082-4158-B5FA-EA7C9B042139}" type="presParOf" srcId="{00AD0E22-2A37-46A3-9189-A4C750E9573C}" destId="{DFEAE0F9-F782-466B-B062-8534911D27F4}" srcOrd="2" destOrd="0" presId="urn:microsoft.com/office/officeart/2005/8/layout/hierarchy2"/>
    <dgm:cxn modelId="{A1B58C9B-C6CA-4342-A523-3C3441231AA6}" type="presParOf" srcId="{DFEAE0F9-F782-466B-B062-8534911D27F4}" destId="{76731DE5-DB86-471A-BB54-FD23F9DAA28B}" srcOrd="0" destOrd="0" presId="urn:microsoft.com/office/officeart/2005/8/layout/hierarchy2"/>
    <dgm:cxn modelId="{209925E9-8C5F-4866-8445-C47094DEE5D4}" type="presParOf" srcId="{00AD0E22-2A37-46A3-9189-A4C750E9573C}" destId="{0CD1517E-FBF5-45EC-8519-06184CE92A79}" srcOrd="3" destOrd="0" presId="urn:microsoft.com/office/officeart/2005/8/layout/hierarchy2"/>
    <dgm:cxn modelId="{4EB503C2-252B-423D-B36D-2D41237E97E8}" type="presParOf" srcId="{0CD1517E-FBF5-45EC-8519-06184CE92A79}" destId="{D9055860-1392-4A79-8244-8D040B52FCF5}" srcOrd="0" destOrd="0" presId="urn:microsoft.com/office/officeart/2005/8/layout/hierarchy2"/>
    <dgm:cxn modelId="{A2536A23-2136-45EF-A759-A2F7E509B62D}" type="presParOf" srcId="{0CD1517E-FBF5-45EC-8519-06184CE92A79}" destId="{02C59A0F-8152-4296-8E98-8A01F1CE0DA3}" srcOrd="1" destOrd="0" presId="urn:microsoft.com/office/officeart/2005/8/layout/hierarchy2"/>
    <dgm:cxn modelId="{28768DEB-651D-4EA3-A5A2-573B1865B962}" type="presParOf" srcId="{0A819FE5-CFA6-4011-9018-66A13F8C5EDD}" destId="{A82206FC-2C28-4194-98CC-7D4E4D3D5CF4}" srcOrd="2" destOrd="0" presId="urn:microsoft.com/office/officeart/2005/8/layout/hierarchy2"/>
    <dgm:cxn modelId="{9A6956E5-1DAE-4F4D-AEA5-9A28833F46A2}" type="presParOf" srcId="{A82206FC-2C28-4194-98CC-7D4E4D3D5CF4}" destId="{6CBDADD1-223D-4778-B427-03E74ED957D0}" srcOrd="0" destOrd="0" presId="urn:microsoft.com/office/officeart/2005/8/layout/hierarchy2"/>
    <dgm:cxn modelId="{82EB300B-7728-403D-A6F0-1DC2FEA6723F}" type="presParOf" srcId="{0A819FE5-CFA6-4011-9018-66A13F8C5EDD}" destId="{ABD928C9-AE2F-417E-918A-221A312A5170}" srcOrd="3" destOrd="0" presId="urn:microsoft.com/office/officeart/2005/8/layout/hierarchy2"/>
    <dgm:cxn modelId="{55B74AA7-7B2A-4DEF-98B7-E3A0F1FB9D90}" type="presParOf" srcId="{ABD928C9-AE2F-417E-918A-221A312A5170}" destId="{CB5262A8-4340-463A-A822-248DB94B5A4B}" srcOrd="0" destOrd="0" presId="urn:microsoft.com/office/officeart/2005/8/layout/hierarchy2"/>
    <dgm:cxn modelId="{1D10ABD5-1333-41C7-B170-51763423E747}" type="presParOf" srcId="{ABD928C9-AE2F-417E-918A-221A312A5170}" destId="{87637ECA-E0F0-4513-8D58-379AD9FD0048}" srcOrd="1" destOrd="0" presId="urn:microsoft.com/office/officeart/2005/8/layout/hierarchy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32329-5FBC-4B15-8D3E-C1A59C9B6FC5}">
      <dsp:nvSpPr>
        <dsp:cNvPr id="0" name=""/>
        <dsp:cNvSpPr/>
      </dsp:nvSpPr>
      <dsp:spPr>
        <a:xfrm>
          <a:off x="81123" y="1609916"/>
          <a:ext cx="799662" cy="399831"/>
        </a:xfrm>
        <a:prstGeom prst="roundRect">
          <a:avLst>
            <a:gd name="adj" fmla="val 10000"/>
          </a:avLst>
        </a:prstGeom>
        <a:gradFill rotWithShape="1">
          <a:gsLst>
            <a:gs pos="0">
              <a:schemeClr val="dk1">
                <a:lumMod val="110000"/>
                <a:satMod val="105000"/>
                <a:tint val="67000"/>
              </a:schemeClr>
            </a:gs>
            <a:gs pos="50000">
              <a:schemeClr val="dk1">
                <a:lumMod val="105000"/>
                <a:satMod val="103000"/>
                <a:tint val="73000"/>
              </a:schemeClr>
            </a:gs>
            <a:gs pos="100000">
              <a:schemeClr val="dk1">
                <a:lumMod val="105000"/>
                <a:satMod val="109000"/>
                <a:tint val="81000"/>
              </a:schemeClr>
            </a:gs>
          </a:gsLst>
          <a:lin ang="5400000" scaled="0"/>
        </a:gradFill>
        <a:ln w="6350" cap="flat" cmpd="sng" algn="ctr">
          <a:solidFill>
            <a:schemeClr val="dk1"/>
          </a:solidFill>
          <a:prstDash val="solid"/>
          <a:miter lim="800000"/>
        </a:ln>
        <a:effectLst/>
      </dsp:spPr>
      <dsp:style>
        <a:lnRef idx="1">
          <a:schemeClr val="dk1"/>
        </a:lnRef>
        <a:fillRef idx="2">
          <a:schemeClr val="dk1"/>
        </a:fillRef>
        <a:effectRef idx="1">
          <a:schemeClr val="dk1"/>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Collision</a:t>
          </a:r>
        </a:p>
      </dsp:txBody>
      <dsp:txXfrm>
        <a:off x="92834" y="1621627"/>
        <a:ext cx="776240" cy="376409"/>
      </dsp:txXfrm>
    </dsp:sp>
    <dsp:sp modelId="{2E26BBC6-85DD-4EB5-BE0C-480F7DC4BBF9}">
      <dsp:nvSpPr>
        <dsp:cNvPr id="0" name=""/>
        <dsp:cNvSpPr/>
      </dsp:nvSpPr>
      <dsp:spPr>
        <a:xfrm rot="18289469">
          <a:off x="760658" y="1565361"/>
          <a:ext cx="560120" cy="29135"/>
        </a:xfrm>
        <a:custGeom>
          <a:avLst/>
          <a:gdLst/>
          <a:ahLst/>
          <a:cxnLst/>
          <a:rect l="0" t="0" r="0" b="0"/>
          <a:pathLst>
            <a:path>
              <a:moveTo>
                <a:pt x="0" y="14567"/>
              </a:moveTo>
              <a:lnTo>
                <a:pt x="560120"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1026716" y="1565926"/>
        <a:ext cx="28006" cy="28006"/>
      </dsp:txXfrm>
    </dsp:sp>
    <dsp:sp modelId="{A6AFFEE0-B265-4F5E-8FAF-18E0B2F2E1C4}">
      <dsp:nvSpPr>
        <dsp:cNvPr id="0" name=""/>
        <dsp:cNvSpPr/>
      </dsp:nvSpPr>
      <dsp:spPr>
        <a:xfrm>
          <a:off x="1200651" y="1150110"/>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Full-on collision (18%)</a:t>
          </a:r>
        </a:p>
      </dsp:txBody>
      <dsp:txXfrm>
        <a:off x="1212362" y="1161821"/>
        <a:ext cx="776240" cy="376409"/>
      </dsp:txXfrm>
    </dsp:sp>
    <dsp:sp modelId="{CCBE4A09-8B43-4EC8-92EF-788D59B4DB07}">
      <dsp:nvSpPr>
        <dsp:cNvPr id="0" name=""/>
        <dsp:cNvSpPr/>
      </dsp:nvSpPr>
      <dsp:spPr>
        <a:xfrm rot="18289469">
          <a:off x="1880186" y="1105555"/>
          <a:ext cx="560120" cy="29135"/>
        </a:xfrm>
        <a:custGeom>
          <a:avLst/>
          <a:gdLst/>
          <a:ahLst/>
          <a:cxnLst/>
          <a:rect l="0" t="0" r="0" b="0"/>
          <a:pathLst>
            <a:path>
              <a:moveTo>
                <a:pt x="0" y="14567"/>
              </a:moveTo>
              <a:lnTo>
                <a:pt x="560120"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2146244" y="1106120"/>
        <a:ext cx="28006" cy="28006"/>
      </dsp:txXfrm>
    </dsp:sp>
    <dsp:sp modelId="{D0082119-E1F3-42F7-A65D-3B212BAD4DD3}">
      <dsp:nvSpPr>
        <dsp:cNvPr id="0" name=""/>
        <dsp:cNvSpPr/>
      </dsp:nvSpPr>
      <dsp:spPr>
        <a:xfrm>
          <a:off x="2320179" y="690304"/>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Struck vessel (50%)</a:t>
          </a:r>
        </a:p>
      </dsp:txBody>
      <dsp:txXfrm>
        <a:off x="2331890" y="702015"/>
        <a:ext cx="776240" cy="376409"/>
      </dsp:txXfrm>
    </dsp:sp>
    <dsp:sp modelId="{4E49F845-BB2C-441D-AF6E-6B74BD3C41BA}">
      <dsp:nvSpPr>
        <dsp:cNvPr id="0" name=""/>
        <dsp:cNvSpPr/>
      </dsp:nvSpPr>
      <dsp:spPr>
        <a:xfrm rot="18289469">
          <a:off x="2999714" y="645749"/>
          <a:ext cx="560120" cy="29135"/>
        </a:xfrm>
        <a:custGeom>
          <a:avLst/>
          <a:gdLst/>
          <a:ahLst/>
          <a:cxnLst/>
          <a:rect l="0" t="0" r="0" b="0"/>
          <a:pathLst>
            <a:path>
              <a:moveTo>
                <a:pt x="0" y="14567"/>
              </a:moveTo>
              <a:lnTo>
                <a:pt x="560120"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3265771" y="646314"/>
        <a:ext cx="28006" cy="28006"/>
      </dsp:txXfrm>
    </dsp:sp>
    <dsp:sp modelId="{72349769-8DD2-4516-AC7E-A35C488C0C0F}">
      <dsp:nvSpPr>
        <dsp:cNvPr id="0" name=""/>
        <dsp:cNvSpPr/>
      </dsp:nvSpPr>
      <dsp:spPr>
        <a:xfrm>
          <a:off x="3439707" y="230498"/>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Flooding (25%)</a:t>
          </a:r>
        </a:p>
      </dsp:txBody>
      <dsp:txXfrm>
        <a:off x="3451418" y="242209"/>
        <a:ext cx="776240" cy="376409"/>
      </dsp:txXfrm>
    </dsp:sp>
    <dsp:sp modelId="{9D359435-BC03-4724-A0C9-2291E712ABFA}">
      <dsp:nvSpPr>
        <dsp:cNvPr id="0" name=""/>
        <dsp:cNvSpPr/>
      </dsp:nvSpPr>
      <dsp:spPr>
        <a:xfrm rot="19457599">
          <a:off x="4202345" y="300894"/>
          <a:ext cx="393915" cy="29135"/>
        </a:xfrm>
        <a:custGeom>
          <a:avLst/>
          <a:gdLst/>
          <a:ahLst/>
          <a:cxnLst/>
          <a:rect l="0" t="0" r="0" b="0"/>
          <a:pathLst>
            <a:path>
              <a:moveTo>
                <a:pt x="0" y="14567"/>
              </a:moveTo>
              <a:lnTo>
                <a:pt x="39391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4389455" y="305614"/>
        <a:ext cx="19695" cy="19695"/>
      </dsp:txXfrm>
    </dsp:sp>
    <dsp:sp modelId="{EA333CE3-BCB5-4E4C-91D8-A9B3BC2B284B}">
      <dsp:nvSpPr>
        <dsp:cNvPr id="0" name=""/>
        <dsp:cNvSpPr/>
      </dsp:nvSpPr>
      <dsp:spPr>
        <a:xfrm>
          <a:off x="4559235" y="595"/>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Sinking (22%)</a:t>
          </a:r>
        </a:p>
      </dsp:txBody>
      <dsp:txXfrm>
        <a:off x="4570946" y="12306"/>
        <a:ext cx="776240" cy="376409"/>
      </dsp:txXfrm>
    </dsp:sp>
    <dsp:sp modelId="{86333CBF-0890-4485-B556-F7B7CC439871}">
      <dsp:nvSpPr>
        <dsp:cNvPr id="0" name=""/>
        <dsp:cNvSpPr/>
      </dsp:nvSpPr>
      <dsp:spPr>
        <a:xfrm>
          <a:off x="5358898" y="185943"/>
          <a:ext cx="319865" cy="29135"/>
        </a:xfrm>
        <a:custGeom>
          <a:avLst/>
          <a:gdLst/>
          <a:ahLst/>
          <a:cxnLst/>
          <a:rect l="0" t="0" r="0" b="0"/>
          <a:pathLst>
            <a:path>
              <a:moveTo>
                <a:pt x="0" y="14567"/>
              </a:moveTo>
              <a:lnTo>
                <a:pt x="31986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5510834" y="192514"/>
        <a:ext cx="15993" cy="15993"/>
      </dsp:txXfrm>
    </dsp:sp>
    <dsp:sp modelId="{50C86E0C-D077-4173-84D2-EB33D40D824D}">
      <dsp:nvSpPr>
        <dsp:cNvPr id="0" name=""/>
        <dsp:cNvSpPr/>
      </dsp:nvSpPr>
      <dsp:spPr>
        <a:xfrm>
          <a:off x="5678763" y="595"/>
          <a:ext cx="799662" cy="399831"/>
        </a:xfrm>
        <a:prstGeom prst="roundRect">
          <a:avLst>
            <a:gd name="adj" fmla="val 10000"/>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Flooding evacuation</a:t>
          </a:r>
        </a:p>
      </dsp:txBody>
      <dsp:txXfrm>
        <a:off x="5690474" y="12306"/>
        <a:ext cx="776240" cy="376409"/>
      </dsp:txXfrm>
    </dsp:sp>
    <dsp:sp modelId="{4E5D54D0-7601-4FE6-A5A5-1D15645DFC37}">
      <dsp:nvSpPr>
        <dsp:cNvPr id="0" name=""/>
        <dsp:cNvSpPr/>
      </dsp:nvSpPr>
      <dsp:spPr>
        <a:xfrm rot="2142401">
          <a:off x="4202345" y="530797"/>
          <a:ext cx="393915" cy="29135"/>
        </a:xfrm>
        <a:custGeom>
          <a:avLst/>
          <a:gdLst/>
          <a:ahLst/>
          <a:cxnLst/>
          <a:rect l="0" t="0" r="0" b="0"/>
          <a:pathLst>
            <a:path>
              <a:moveTo>
                <a:pt x="0" y="14567"/>
              </a:moveTo>
              <a:lnTo>
                <a:pt x="39391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4389455" y="535517"/>
        <a:ext cx="19695" cy="19695"/>
      </dsp:txXfrm>
    </dsp:sp>
    <dsp:sp modelId="{6C9A8951-376C-46D1-8839-35B19CB9DC7C}">
      <dsp:nvSpPr>
        <dsp:cNvPr id="0" name=""/>
        <dsp:cNvSpPr/>
      </dsp:nvSpPr>
      <dsp:spPr>
        <a:xfrm>
          <a:off x="4559235" y="460401"/>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Remains afloat (78%)</a:t>
          </a:r>
        </a:p>
      </dsp:txBody>
      <dsp:txXfrm>
        <a:off x="4570946" y="472112"/>
        <a:ext cx="776240" cy="376409"/>
      </dsp:txXfrm>
    </dsp:sp>
    <dsp:sp modelId="{B103C851-A3D1-4EBD-84A3-83A9D9F0A9AA}">
      <dsp:nvSpPr>
        <dsp:cNvPr id="0" name=""/>
        <dsp:cNvSpPr/>
      </dsp:nvSpPr>
      <dsp:spPr>
        <a:xfrm>
          <a:off x="5358898" y="645749"/>
          <a:ext cx="319865" cy="29135"/>
        </a:xfrm>
        <a:custGeom>
          <a:avLst/>
          <a:gdLst/>
          <a:ahLst/>
          <a:cxnLst/>
          <a:rect l="0" t="0" r="0" b="0"/>
          <a:pathLst>
            <a:path>
              <a:moveTo>
                <a:pt x="0" y="14567"/>
              </a:moveTo>
              <a:lnTo>
                <a:pt x="31986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5510834" y="652320"/>
        <a:ext cx="15993" cy="15993"/>
      </dsp:txXfrm>
    </dsp:sp>
    <dsp:sp modelId="{CE48C854-5DA3-4517-9CC0-081E74D0AF5B}">
      <dsp:nvSpPr>
        <dsp:cNvPr id="0" name=""/>
        <dsp:cNvSpPr/>
      </dsp:nvSpPr>
      <dsp:spPr>
        <a:xfrm>
          <a:off x="5678763" y="460401"/>
          <a:ext cx="799662" cy="399831"/>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No fatalities</a:t>
          </a:r>
        </a:p>
      </dsp:txBody>
      <dsp:txXfrm>
        <a:off x="5690474" y="472112"/>
        <a:ext cx="776240" cy="376409"/>
      </dsp:txXfrm>
    </dsp:sp>
    <dsp:sp modelId="{CC5E227C-1854-4141-A5FB-6A484C7D1BED}">
      <dsp:nvSpPr>
        <dsp:cNvPr id="0" name=""/>
        <dsp:cNvSpPr/>
      </dsp:nvSpPr>
      <dsp:spPr>
        <a:xfrm rot="3310531">
          <a:off x="2999714" y="1105555"/>
          <a:ext cx="560120" cy="29135"/>
        </a:xfrm>
        <a:custGeom>
          <a:avLst/>
          <a:gdLst/>
          <a:ahLst/>
          <a:cxnLst/>
          <a:rect l="0" t="0" r="0" b="0"/>
          <a:pathLst>
            <a:path>
              <a:moveTo>
                <a:pt x="0" y="14567"/>
              </a:moveTo>
              <a:lnTo>
                <a:pt x="560120"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3265771" y="1106120"/>
        <a:ext cx="28006" cy="28006"/>
      </dsp:txXfrm>
    </dsp:sp>
    <dsp:sp modelId="{C0523779-B385-4385-A529-633EF847112B}">
      <dsp:nvSpPr>
        <dsp:cNvPr id="0" name=""/>
        <dsp:cNvSpPr/>
      </dsp:nvSpPr>
      <dsp:spPr>
        <a:xfrm>
          <a:off x="3439707" y="1150110"/>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Impact only (75%)</a:t>
          </a:r>
        </a:p>
      </dsp:txBody>
      <dsp:txXfrm>
        <a:off x="3451418" y="1161821"/>
        <a:ext cx="776240" cy="376409"/>
      </dsp:txXfrm>
    </dsp:sp>
    <dsp:sp modelId="{9D894C3C-0B8F-40F4-94C8-4570701E7C08}">
      <dsp:nvSpPr>
        <dsp:cNvPr id="0" name=""/>
        <dsp:cNvSpPr/>
      </dsp:nvSpPr>
      <dsp:spPr>
        <a:xfrm rot="19457599">
          <a:off x="4202345" y="1220507"/>
          <a:ext cx="393915" cy="29135"/>
        </a:xfrm>
        <a:custGeom>
          <a:avLst/>
          <a:gdLst/>
          <a:ahLst/>
          <a:cxnLst/>
          <a:rect l="0" t="0" r="0" b="0"/>
          <a:pathLst>
            <a:path>
              <a:moveTo>
                <a:pt x="0" y="14567"/>
              </a:moveTo>
              <a:lnTo>
                <a:pt x="39391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4389455" y="1225227"/>
        <a:ext cx="19695" cy="19695"/>
      </dsp:txXfrm>
    </dsp:sp>
    <dsp:sp modelId="{B47FDAC5-A796-4F8F-A435-165338E5B2E4}">
      <dsp:nvSpPr>
        <dsp:cNvPr id="0" name=""/>
        <dsp:cNvSpPr/>
      </dsp:nvSpPr>
      <dsp:spPr>
        <a:xfrm>
          <a:off x="4559235" y="920207"/>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Fatal impact (25%)</a:t>
          </a:r>
        </a:p>
      </dsp:txBody>
      <dsp:txXfrm>
        <a:off x="4570946" y="931918"/>
        <a:ext cx="776240" cy="376409"/>
      </dsp:txXfrm>
    </dsp:sp>
    <dsp:sp modelId="{ECB17D58-B894-4F27-B415-995F598E8D28}">
      <dsp:nvSpPr>
        <dsp:cNvPr id="0" name=""/>
        <dsp:cNvSpPr/>
      </dsp:nvSpPr>
      <dsp:spPr>
        <a:xfrm>
          <a:off x="5358898" y="1105555"/>
          <a:ext cx="319865" cy="29135"/>
        </a:xfrm>
        <a:custGeom>
          <a:avLst/>
          <a:gdLst/>
          <a:ahLst/>
          <a:cxnLst/>
          <a:rect l="0" t="0" r="0" b="0"/>
          <a:pathLst>
            <a:path>
              <a:moveTo>
                <a:pt x="0" y="14567"/>
              </a:moveTo>
              <a:lnTo>
                <a:pt x="31986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5510834" y="1112126"/>
        <a:ext cx="15993" cy="15993"/>
      </dsp:txXfrm>
    </dsp:sp>
    <dsp:sp modelId="{30219523-2003-4593-A759-4A612E12C348}">
      <dsp:nvSpPr>
        <dsp:cNvPr id="0" name=""/>
        <dsp:cNvSpPr/>
      </dsp:nvSpPr>
      <dsp:spPr>
        <a:xfrm>
          <a:off x="5678763" y="920207"/>
          <a:ext cx="799662" cy="399831"/>
        </a:xfrm>
        <a:prstGeom prst="roundRect">
          <a:avLst>
            <a:gd name="adj" fmla="val 10000"/>
          </a:avLst>
        </a:prstGeom>
        <a:solidFill>
          <a:schemeClr val="accent2"/>
        </a:solidFill>
        <a:ln w="12700" cap="flat" cmpd="sng" algn="ctr">
          <a:solidFill>
            <a:schemeClr val="accent2">
              <a:shade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Fatal impact</a:t>
          </a:r>
        </a:p>
      </dsp:txBody>
      <dsp:txXfrm>
        <a:off x="5690474" y="931918"/>
        <a:ext cx="776240" cy="376409"/>
      </dsp:txXfrm>
    </dsp:sp>
    <dsp:sp modelId="{53C6B25B-DB09-4060-98CF-9416BA8CC3D4}">
      <dsp:nvSpPr>
        <dsp:cNvPr id="0" name=""/>
        <dsp:cNvSpPr/>
      </dsp:nvSpPr>
      <dsp:spPr>
        <a:xfrm rot="2142401">
          <a:off x="4202345" y="1450410"/>
          <a:ext cx="393915" cy="29135"/>
        </a:xfrm>
        <a:custGeom>
          <a:avLst/>
          <a:gdLst/>
          <a:ahLst/>
          <a:cxnLst/>
          <a:rect l="0" t="0" r="0" b="0"/>
          <a:pathLst>
            <a:path>
              <a:moveTo>
                <a:pt x="0" y="14567"/>
              </a:moveTo>
              <a:lnTo>
                <a:pt x="39391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4389455" y="1455130"/>
        <a:ext cx="19695" cy="19695"/>
      </dsp:txXfrm>
    </dsp:sp>
    <dsp:sp modelId="{06558ACC-5DAC-4D11-A320-28C14E88ACFE}">
      <dsp:nvSpPr>
        <dsp:cNvPr id="0" name=""/>
        <dsp:cNvSpPr/>
      </dsp:nvSpPr>
      <dsp:spPr>
        <a:xfrm>
          <a:off x="4559235" y="1380013"/>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No fatalities (75%)</a:t>
          </a:r>
        </a:p>
      </dsp:txBody>
      <dsp:txXfrm>
        <a:off x="4570946" y="1391724"/>
        <a:ext cx="776240" cy="376409"/>
      </dsp:txXfrm>
    </dsp:sp>
    <dsp:sp modelId="{EF96F75F-93EA-449A-87D3-17F8E555C534}">
      <dsp:nvSpPr>
        <dsp:cNvPr id="0" name=""/>
        <dsp:cNvSpPr/>
      </dsp:nvSpPr>
      <dsp:spPr>
        <a:xfrm>
          <a:off x="5358898" y="1565361"/>
          <a:ext cx="319865" cy="29135"/>
        </a:xfrm>
        <a:custGeom>
          <a:avLst/>
          <a:gdLst/>
          <a:ahLst/>
          <a:cxnLst/>
          <a:rect l="0" t="0" r="0" b="0"/>
          <a:pathLst>
            <a:path>
              <a:moveTo>
                <a:pt x="0" y="14567"/>
              </a:moveTo>
              <a:lnTo>
                <a:pt x="31986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5510834" y="1571932"/>
        <a:ext cx="15993" cy="15993"/>
      </dsp:txXfrm>
    </dsp:sp>
    <dsp:sp modelId="{ABB959CA-AD71-4AE9-88DD-BA8817718F67}">
      <dsp:nvSpPr>
        <dsp:cNvPr id="0" name=""/>
        <dsp:cNvSpPr/>
      </dsp:nvSpPr>
      <dsp:spPr>
        <a:xfrm>
          <a:off x="5678763" y="1380013"/>
          <a:ext cx="799662" cy="399831"/>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No fatalities</a:t>
          </a:r>
        </a:p>
      </dsp:txBody>
      <dsp:txXfrm>
        <a:off x="5690474" y="1391724"/>
        <a:ext cx="776240" cy="376409"/>
      </dsp:txXfrm>
    </dsp:sp>
    <dsp:sp modelId="{A96954E4-0F50-40C0-B2FC-5ABE98A0B0D0}">
      <dsp:nvSpPr>
        <dsp:cNvPr id="0" name=""/>
        <dsp:cNvSpPr/>
      </dsp:nvSpPr>
      <dsp:spPr>
        <a:xfrm rot="3310531">
          <a:off x="1880186" y="1565361"/>
          <a:ext cx="560120" cy="29135"/>
        </a:xfrm>
        <a:custGeom>
          <a:avLst/>
          <a:gdLst/>
          <a:ahLst/>
          <a:cxnLst/>
          <a:rect l="0" t="0" r="0" b="0"/>
          <a:pathLst>
            <a:path>
              <a:moveTo>
                <a:pt x="0" y="14567"/>
              </a:moveTo>
              <a:lnTo>
                <a:pt x="560120"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2146244" y="1565926"/>
        <a:ext cx="28006" cy="28006"/>
      </dsp:txXfrm>
    </dsp:sp>
    <dsp:sp modelId="{0A16698F-66BE-445A-BDBB-AA206C5DAEE8}">
      <dsp:nvSpPr>
        <dsp:cNvPr id="0" name=""/>
        <dsp:cNvSpPr/>
      </dsp:nvSpPr>
      <dsp:spPr>
        <a:xfrm>
          <a:off x="2320179" y="1609916"/>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Striking vessel (50%)</a:t>
          </a:r>
        </a:p>
      </dsp:txBody>
      <dsp:txXfrm>
        <a:off x="2331890" y="1621627"/>
        <a:ext cx="776240" cy="376409"/>
      </dsp:txXfrm>
    </dsp:sp>
    <dsp:sp modelId="{4FF9932D-4CEC-4242-8901-A39494F594C6}">
      <dsp:nvSpPr>
        <dsp:cNvPr id="0" name=""/>
        <dsp:cNvSpPr/>
      </dsp:nvSpPr>
      <dsp:spPr>
        <a:xfrm>
          <a:off x="3119842" y="1795264"/>
          <a:ext cx="319865" cy="29135"/>
        </a:xfrm>
        <a:custGeom>
          <a:avLst/>
          <a:gdLst/>
          <a:ahLst/>
          <a:cxnLst/>
          <a:rect l="0" t="0" r="0" b="0"/>
          <a:pathLst>
            <a:path>
              <a:moveTo>
                <a:pt x="0" y="14567"/>
              </a:moveTo>
              <a:lnTo>
                <a:pt x="31986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3271778" y="1801836"/>
        <a:ext cx="15993" cy="15993"/>
      </dsp:txXfrm>
    </dsp:sp>
    <dsp:sp modelId="{05B8F57B-FB1C-46DA-BFC9-38D90326AACB}">
      <dsp:nvSpPr>
        <dsp:cNvPr id="0" name=""/>
        <dsp:cNvSpPr/>
      </dsp:nvSpPr>
      <dsp:spPr>
        <a:xfrm>
          <a:off x="3439707" y="1609916"/>
          <a:ext cx="799662" cy="399831"/>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No fatalities</a:t>
          </a:r>
        </a:p>
      </dsp:txBody>
      <dsp:txXfrm>
        <a:off x="3451418" y="1621627"/>
        <a:ext cx="776240" cy="376409"/>
      </dsp:txXfrm>
    </dsp:sp>
    <dsp:sp modelId="{C068E05C-CEA3-496A-A0D4-9B34C14A4EC4}">
      <dsp:nvSpPr>
        <dsp:cNvPr id="0" name=""/>
        <dsp:cNvSpPr/>
      </dsp:nvSpPr>
      <dsp:spPr>
        <a:xfrm rot="3310531">
          <a:off x="760658" y="2025167"/>
          <a:ext cx="560120" cy="29135"/>
        </a:xfrm>
        <a:custGeom>
          <a:avLst/>
          <a:gdLst/>
          <a:ahLst/>
          <a:cxnLst/>
          <a:rect l="0" t="0" r="0" b="0"/>
          <a:pathLst>
            <a:path>
              <a:moveTo>
                <a:pt x="0" y="14567"/>
              </a:moveTo>
              <a:lnTo>
                <a:pt x="560120"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1026716" y="2025732"/>
        <a:ext cx="28006" cy="28006"/>
      </dsp:txXfrm>
    </dsp:sp>
    <dsp:sp modelId="{50ED4D90-5206-4E15-AFED-772D024A5B21}">
      <dsp:nvSpPr>
        <dsp:cNvPr id="0" name=""/>
        <dsp:cNvSpPr/>
      </dsp:nvSpPr>
      <dsp:spPr>
        <a:xfrm>
          <a:off x="1200651" y="2069723"/>
          <a:ext cx="799662" cy="399831"/>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Glancing blow (82%)</a:t>
          </a:r>
        </a:p>
      </dsp:txBody>
      <dsp:txXfrm>
        <a:off x="1212362" y="2081434"/>
        <a:ext cx="776240" cy="376409"/>
      </dsp:txXfrm>
    </dsp:sp>
    <dsp:sp modelId="{CDEB17E2-7E0E-44D0-8A71-9D3D6F3934AE}">
      <dsp:nvSpPr>
        <dsp:cNvPr id="0" name=""/>
        <dsp:cNvSpPr/>
      </dsp:nvSpPr>
      <dsp:spPr>
        <a:xfrm>
          <a:off x="2000314" y="2255070"/>
          <a:ext cx="319865" cy="29135"/>
        </a:xfrm>
        <a:custGeom>
          <a:avLst/>
          <a:gdLst/>
          <a:ahLst/>
          <a:cxnLst/>
          <a:rect l="0" t="0" r="0" b="0"/>
          <a:pathLst>
            <a:path>
              <a:moveTo>
                <a:pt x="0" y="14567"/>
              </a:moveTo>
              <a:lnTo>
                <a:pt x="319865" y="1456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2152250" y="2261642"/>
        <a:ext cx="15993" cy="15993"/>
      </dsp:txXfrm>
    </dsp:sp>
    <dsp:sp modelId="{7E92AED3-9183-49E5-A4B8-111E46199B8C}">
      <dsp:nvSpPr>
        <dsp:cNvPr id="0" name=""/>
        <dsp:cNvSpPr/>
      </dsp:nvSpPr>
      <dsp:spPr>
        <a:xfrm>
          <a:off x="2320179" y="2069723"/>
          <a:ext cx="799662" cy="399831"/>
        </a:xfrm>
        <a:prstGeom prst="roundRect">
          <a:avLst>
            <a:gd name="adj" fmla="val 10000"/>
          </a:avLst>
        </a:prstGeom>
        <a:solidFill>
          <a:schemeClr val="accent6"/>
        </a:solidFill>
        <a:ln w="12700" cap="flat" cmpd="sng" algn="ctr">
          <a:solidFill>
            <a:schemeClr val="accent6">
              <a:shade val="50000"/>
            </a:schemeClr>
          </a:solidFill>
          <a:prstDash val="solid"/>
          <a:miter lim="800000"/>
        </a:ln>
        <a:effectLst/>
      </dsp:spPr>
      <dsp:style>
        <a:lnRef idx="2">
          <a:schemeClr val="accent6">
            <a:shade val="50000"/>
          </a:schemeClr>
        </a:lnRef>
        <a:fillRef idx="1">
          <a:schemeClr val="accent6"/>
        </a:fillRef>
        <a:effectRef idx="0">
          <a:schemeClr val="accent6"/>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No fatalities</a:t>
          </a:r>
        </a:p>
      </dsp:txBody>
      <dsp:txXfrm>
        <a:off x="2331890" y="2081434"/>
        <a:ext cx="776240" cy="37640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732329-5FBC-4B15-8D3E-C1A59C9B6FC5}">
      <dsp:nvSpPr>
        <dsp:cNvPr id="0" name=""/>
        <dsp:cNvSpPr/>
      </dsp:nvSpPr>
      <dsp:spPr>
        <a:xfrm>
          <a:off x="665109" y="912928"/>
          <a:ext cx="793284" cy="396642"/>
        </a:xfrm>
        <a:prstGeom prst="roundRect">
          <a:avLst>
            <a:gd name="adj" fmla="val 10000"/>
          </a:avLst>
        </a:prstGeom>
        <a:solidFill>
          <a:schemeClr val="accent1"/>
        </a:solidFill>
        <a:ln w="12700" cap="flat" cmpd="sng" algn="ctr">
          <a:solidFill>
            <a:schemeClr val="accent1">
              <a:shade val="50000"/>
            </a:schemeClr>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Flooding evacuation</a:t>
          </a:r>
        </a:p>
      </dsp:txBody>
      <dsp:txXfrm>
        <a:off x="676726" y="924545"/>
        <a:ext cx="770050" cy="373408"/>
      </dsp:txXfrm>
    </dsp:sp>
    <dsp:sp modelId="{2E26BBC6-85DD-4EB5-BE0C-480F7DC4BBF9}">
      <dsp:nvSpPr>
        <dsp:cNvPr id="0" name=""/>
        <dsp:cNvSpPr/>
      </dsp:nvSpPr>
      <dsp:spPr>
        <a:xfrm rot="17692822">
          <a:off x="1239947" y="753083"/>
          <a:ext cx="754207" cy="32124"/>
        </a:xfrm>
        <a:custGeom>
          <a:avLst/>
          <a:gdLst/>
          <a:ahLst/>
          <a:cxnLst/>
          <a:rect l="0" t="0" r="0" b="0"/>
          <a:pathLst>
            <a:path>
              <a:moveTo>
                <a:pt x="0" y="16062"/>
              </a:moveTo>
              <a:lnTo>
                <a:pt x="754207"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1598196" y="750290"/>
        <a:ext cx="37710" cy="37710"/>
      </dsp:txXfrm>
    </dsp:sp>
    <dsp:sp modelId="{A6AFFEE0-B265-4F5E-8FAF-18E0B2F2E1C4}">
      <dsp:nvSpPr>
        <dsp:cNvPr id="0" name=""/>
        <dsp:cNvSpPr/>
      </dsp:nvSpPr>
      <dsp:spPr>
        <a:xfrm>
          <a:off x="1775708" y="228720"/>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Open deck (40%)</a:t>
          </a:r>
        </a:p>
      </dsp:txBody>
      <dsp:txXfrm>
        <a:off x="1787325" y="240337"/>
        <a:ext cx="770050" cy="373408"/>
      </dsp:txXfrm>
    </dsp:sp>
    <dsp:sp modelId="{CCBE4A09-8B43-4EC8-92EF-788D59B4DB07}">
      <dsp:nvSpPr>
        <dsp:cNvPr id="0" name=""/>
        <dsp:cNvSpPr/>
      </dsp:nvSpPr>
      <dsp:spPr>
        <a:xfrm rot="19457599">
          <a:off x="2532263" y="296945"/>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latin typeface="Arial" panose="020B0604020202020204" pitchFamily="34" charset="0"/>
            <a:cs typeface="Arial" panose="020B0604020202020204" pitchFamily="34" charset="0"/>
          </a:endParaRPr>
        </a:p>
      </dsp:txBody>
      <dsp:txXfrm>
        <a:off x="2717881" y="303237"/>
        <a:ext cx="19538" cy="19538"/>
      </dsp:txXfrm>
    </dsp:sp>
    <dsp:sp modelId="{D0082119-E1F3-42F7-A65D-3B212BAD4DD3}">
      <dsp:nvSpPr>
        <dsp:cNvPr id="0" name=""/>
        <dsp:cNvSpPr/>
      </dsp:nvSpPr>
      <dsp:spPr>
        <a:xfrm>
          <a:off x="2886307" y="651"/>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Dry Rescue (11%)</a:t>
          </a:r>
        </a:p>
      </dsp:txBody>
      <dsp:txXfrm>
        <a:off x="2897924" y="12268"/>
        <a:ext cx="770050" cy="373408"/>
      </dsp:txXfrm>
    </dsp:sp>
    <dsp:sp modelId="{1B449E4F-FC21-48B5-867C-8FFBAD9CC316}">
      <dsp:nvSpPr>
        <dsp:cNvPr id="0" name=""/>
        <dsp:cNvSpPr/>
      </dsp:nvSpPr>
      <dsp:spPr>
        <a:xfrm rot="2142401">
          <a:off x="2532263" y="525014"/>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7881" y="531307"/>
        <a:ext cx="19538" cy="19538"/>
      </dsp:txXfrm>
    </dsp:sp>
    <dsp:sp modelId="{364C5B3B-725B-4B05-B649-14B8285E521F}">
      <dsp:nvSpPr>
        <dsp:cNvPr id="0" name=""/>
        <dsp:cNvSpPr/>
      </dsp:nvSpPr>
      <dsp:spPr>
        <a:xfrm>
          <a:off x="2886307" y="456789"/>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Enter Water (89%)</a:t>
          </a:r>
        </a:p>
      </dsp:txBody>
      <dsp:txXfrm>
        <a:off x="2897924" y="468406"/>
        <a:ext cx="770050" cy="373408"/>
      </dsp:txXfrm>
    </dsp:sp>
    <dsp:sp modelId="{E730A30F-46AD-46A9-B9E2-3A3A7405017C}">
      <dsp:nvSpPr>
        <dsp:cNvPr id="0" name=""/>
        <dsp:cNvSpPr/>
      </dsp:nvSpPr>
      <dsp:spPr>
        <a:xfrm rot="19457599">
          <a:off x="3642862" y="525014"/>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28480" y="531307"/>
        <a:ext cx="19538" cy="19538"/>
      </dsp:txXfrm>
    </dsp:sp>
    <dsp:sp modelId="{685C2A82-F5E0-4597-9E24-04CE1FB13131}">
      <dsp:nvSpPr>
        <dsp:cNvPr id="0" name=""/>
        <dsp:cNvSpPr/>
      </dsp:nvSpPr>
      <dsp:spPr>
        <a:xfrm>
          <a:off x="3996906" y="228720"/>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Rescue from water (88%)</a:t>
          </a:r>
        </a:p>
      </dsp:txBody>
      <dsp:txXfrm>
        <a:off x="4008523" y="240337"/>
        <a:ext cx="770050" cy="373408"/>
      </dsp:txXfrm>
    </dsp:sp>
    <dsp:sp modelId="{813874AC-6B7D-4F76-8EEF-101E8283F7FA}">
      <dsp:nvSpPr>
        <dsp:cNvPr id="0" name=""/>
        <dsp:cNvSpPr/>
      </dsp:nvSpPr>
      <dsp:spPr>
        <a:xfrm rot="2142401">
          <a:off x="3642862" y="753083"/>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28480" y="759376"/>
        <a:ext cx="19538" cy="19538"/>
      </dsp:txXfrm>
    </dsp:sp>
    <dsp:sp modelId="{A1D6D2A3-CA59-4A66-B4EB-3C70452C1F9F}">
      <dsp:nvSpPr>
        <dsp:cNvPr id="0" name=""/>
        <dsp:cNvSpPr/>
      </dsp:nvSpPr>
      <dsp:spPr>
        <a:xfrm>
          <a:off x="3996906" y="684859"/>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Drowned (12%)</a:t>
          </a:r>
        </a:p>
      </dsp:txBody>
      <dsp:txXfrm>
        <a:off x="4008523" y="696476"/>
        <a:ext cx="770050" cy="373408"/>
      </dsp:txXfrm>
    </dsp:sp>
    <dsp:sp modelId="{0CA0BC23-A905-46CF-9CC8-3F8C058CD5D5}">
      <dsp:nvSpPr>
        <dsp:cNvPr id="0" name=""/>
        <dsp:cNvSpPr/>
      </dsp:nvSpPr>
      <dsp:spPr>
        <a:xfrm rot="3907178">
          <a:off x="1239947" y="1437292"/>
          <a:ext cx="754207" cy="32124"/>
        </a:xfrm>
        <a:custGeom>
          <a:avLst/>
          <a:gdLst/>
          <a:ahLst/>
          <a:cxnLst/>
          <a:rect l="0" t="0" r="0" b="0"/>
          <a:pathLst>
            <a:path>
              <a:moveTo>
                <a:pt x="0" y="16062"/>
              </a:moveTo>
              <a:lnTo>
                <a:pt x="754207" y="1606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598196" y="1434498"/>
        <a:ext cx="37710" cy="37710"/>
      </dsp:txXfrm>
    </dsp:sp>
    <dsp:sp modelId="{D1E0021D-6296-4A2B-9A81-E0B058309F8A}">
      <dsp:nvSpPr>
        <dsp:cNvPr id="0" name=""/>
        <dsp:cNvSpPr/>
      </dsp:nvSpPr>
      <dsp:spPr>
        <a:xfrm>
          <a:off x="1775708" y="1597137"/>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In enclosed space (60%)</a:t>
          </a:r>
        </a:p>
      </dsp:txBody>
      <dsp:txXfrm>
        <a:off x="1787325" y="1608754"/>
        <a:ext cx="770050" cy="373408"/>
      </dsp:txXfrm>
    </dsp:sp>
    <dsp:sp modelId="{B5F047B1-BDDE-4FC9-A1B1-62D5678ADD3E}">
      <dsp:nvSpPr>
        <dsp:cNvPr id="0" name=""/>
        <dsp:cNvSpPr/>
      </dsp:nvSpPr>
      <dsp:spPr>
        <a:xfrm rot="19457599">
          <a:off x="2532263" y="1665361"/>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7881" y="1671654"/>
        <a:ext cx="19538" cy="19538"/>
      </dsp:txXfrm>
    </dsp:sp>
    <dsp:sp modelId="{8EBF43B1-36AA-4656-B825-697D4225501C}">
      <dsp:nvSpPr>
        <dsp:cNvPr id="0" name=""/>
        <dsp:cNvSpPr/>
      </dsp:nvSpPr>
      <dsp:spPr>
        <a:xfrm>
          <a:off x="2886307" y="1369067"/>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Escape outside (94%)</a:t>
          </a:r>
        </a:p>
      </dsp:txBody>
      <dsp:txXfrm>
        <a:off x="2897924" y="1380684"/>
        <a:ext cx="770050" cy="373408"/>
      </dsp:txXfrm>
    </dsp:sp>
    <dsp:sp modelId="{11252FF2-D731-4F95-8394-427D3303F867}">
      <dsp:nvSpPr>
        <dsp:cNvPr id="0" name=""/>
        <dsp:cNvSpPr/>
      </dsp:nvSpPr>
      <dsp:spPr>
        <a:xfrm rot="19457599">
          <a:off x="3642862" y="1437292"/>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28480" y="1443584"/>
        <a:ext cx="19538" cy="19538"/>
      </dsp:txXfrm>
    </dsp:sp>
    <dsp:sp modelId="{7F477C11-70D5-4E4C-9387-08AF87273E11}">
      <dsp:nvSpPr>
        <dsp:cNvPr id="0" name=""/>
        <dsp:cNvSpPr/>
      </dsp:nvSpPr>
      <dsp:spPr>
        <a:xfrm>
          <a:off x="3996906" y="1140998"/>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Dry rescue (11%)</a:t>
          </a:r>
        </a:p>
      </dsp:txBody>
      <dsp:txXfrm>
        <a:off x="4008523" y="1152615"/>
        <a:ext cx="770050" cy="373408"/>
      </dsp:txXfrm>
    </dsp:sp>
    <dsp:sp modelId="{EF88E9CF-80B3-4E0A-B261-509AF03B5E9B}">
      <dsp:nvSpPr>
        <dsp:cNvPr id="0" name=""/>
        <dsp:cNvSpPr/>
      </dsp:nvSpPr>
      <dsp:spPr>
        <a:xfrm rot="2142401">
          <a:off x="3642862" y="1665361"/>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828480" y="1671654"/>
        <a:ext cx="19538" cy="19538"/>
      </dsp:txXfrm>
    </dsp:sp>
    <dsp:sp modelId="{BBFB34B1-D941-4797-8DD9-4DC79665F8B1}">
      <dsp:nvSpPr>
        <dsp:cNvPr id="0" name=""/>
        <dsp:cNvSpPr/>
      </dsp:nvSpPr>
      <dsp:spPr>
        <a:xfrm>
          <a:off x="3996906" y="1597137"/>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Enter water (89%)</a:t>
          </a:r>
        </a:p>
      </dsp:txBody>
      <dsp:txXfrm>
        <a:off x="4008523" y="1608754"/>
        <a:ext cx="770050" cy="373408"/>
      </dsp:txXfrm>
    </dsp:sp>
    <dsp:sp modelId="{E381286F-AE38-4EAA-8ABB-D09B231900EC}">
      <dsp:nvSpPr>
        <dsp:cNvPr id="0" name=""/>
        <dsp:cNvSpPr/>
      </dsp:nvSpPr>
      <dsp:spPr>
        <a:xfrm rot="19457599">
          <a:off x="4753461" y="1665361"/>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39078" y="1671654"/>
        <a:ext cx="19538" cy="19538"/>
      </dsp:txXfrm>
    </dsp:sp>
    <dsp:sp modelId="{94A5E79E-0448-49CD-8B35-D48CFEF72480}">
      <dsp:nvSpPr>
        <dsp:cNvPr id="0" name=""/>
        <dsp:cNvSpPr/>
      </dsp:nvSpPr>
      <dsp:spPr>
        <a:xfrm>
          <a:off x="5107505" y="1369067"/>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Rescue from water (88%)</a:t>
          </a:r>
        </a:p>
      </dsp:txBody>
      <dsp:txXfrm>
        <a:off x="5119122" y="1380684"/>
        <a:ext cx="770050" cy="373408"/>
      </dsp:txXfrm>
    </dsp:sp>
    <dsp:sp modelId="{DFEAE0F9-F782-466B-B062-8534911D27F4}">
      <dsp:nvSpPr>
        <dsp:cNvPr id="0" name=""/>
        <dsp:cNvSpPr/>
      </dsp:nvSpPr>
      <dsp:spPr>
        <a:xfrm rot="2142401">
          <a:off x="4753461" y="1893430"/>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939078" y="1899723"/>
        <a:ext cx="19538" cy="19538"/>
      </dsp:txXfrm>
    </dsp:sp>
    <dsp:sp modelId="{D9055860-1392-4A79-8244-8D040B52FCF5}">
      <dsp:nvSpPr>
        <dsp:cNvPr id="0" name=""/>
        <dsp:cNvSpPr/>
      </dsp:nvSpPr>
      <dsp:spPr>
        <a:xfrm>
          <a:off x="5107505" y="1825206"/>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Drowned (12%)</a:t>
          </a:r>
        </a:p>
      </dsp:txBody>
      <dsp:txXfrm>
        <a:off x="5119122" y="1836823"/>
        <a:ext cx="770050" cy="373408"/>
      </dsp:txXfrm>
    </dsp:sp>
    <dsp:sp modelId="{A82206FC-2C28-4194-98CC-7D4E4D3D5CF4}">
      <dsp:nvSpPr>
        <dsp:cNvPr id="0" name=""/>
        <dsp:cNvSpPr/>
      </dsp:nvSpPr>
      <dsp:spPr>
        <a:xfrm rot="2142401">
          <a:off x="2532263" y="1893430"/>
          <a:ext cx="390773" cy="32124"/>
        </a:xfrm>
        <a:custGeom>
          <a:avLst/>
          <a:gdLst/>
          <a:ahLst/>
          <a:cxnLst/>
          <a:rect l="0" t="0" r="0" b="0"/>
          <a:pathLst>
            <a:path>
              <a:moveTo>
                <a:pt x="0" y="16062"/>
              </a:moveTo>
              <a:lnTo>
                <a:pt x="390773" y="1606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717881" y="1899723"/>
        <a:ext cx="19538" cy="19538"/>
      </dsp:txXfrm>
    </dsp:sp>
    <dsp:sp modelId="{CB5262A8-4340-463A-A822-248DB94B5A4B}">
      <dsp:nvSpPr>
        <dsp:cNvPr id="0" name=""/>
        <dsp:cNvSpPr/>
      </dsp:nvSpPr>
      <dsp:spPr>
        <a:xfrm>
          <a:off x="2886307" y="1825206"/>
          <a:ext cx="793284" cy="396642"/>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GB" sz="900" kern="1200">
              <a:latin typeface="Arial" panose="020B0604020202020204" pitchFamily="34" charset="0"/>
              <a:cs typeface="Arial" panose="020B0604020202020204" pitchFamily="34" charset="0"/>
            </a:rPr>
            <a:t>Trapped inside (6%)</a:t>
          </a:r>
        </a:p>
      </dsp:txBody>
      <dsp:txXfrm>
        <a:off x="2897924" y="1836823"/>
        <a:ext cx="770050" cy="37340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961A552E34DF69B8E660E6BB48B12"/>
        <w:category>
          <w:name w:val="General"/>
          <w:gallery w:val="placeholder"/>
        </w:category>
        <w:types>
          <w:type w:val="bbPlcHdr"/>
        </w:types>
        <w:behaviors>
          <w:behavior w:val="content"/>
        </w:behaviors>
        <w:guid w:val="{E3832079-DD4B-4FFD-8D38-D611B4D99BC0}"/>
      </w:docPartPr>
      <w:docPartBody>
        <w:p w:rsidR="00D24D1F" w:rsidRDefault="00D24D1F">
          <w:pPr>
            <w:pStyle w:val="0E7961A552E34DF69B8E660E6BB48B12"/>
          </w:pPr>
          <w:r w:rsidRPr="00A06EAA">
            <w:rPr>
              <w:rStyle w:val="PlaceholderText"/>
            </w:rPr>
            <w:t>Click here to enter text.</w:t>
          </w:r>
        </w:p>
      </w:docPartBody>
    </w:docPart>
    <w:docPart>
      <w:docPartPr>
        <w:name w:val="AA3CDD6558564C5A9DB2921FC1393E48"/>
        <w:category>
          <w:name w:val="General"/>
          <w:gallery w:val="placeholder"/>
        </w:category>
        <w:types>
          <w:type w:val="bbPlcHdr"/>
        </w:types>
        <w:behaviors>
          <w:behavior w:val="content"/>
        </w:behaviors>
        <w:guid w:val="{57CB2679-9325-4965-ACEE-E00372D63E3D}"/>
      </w:docPartPr>
      <w:docPartBody>
        <w:p w:rsidR="00D24D1F" w:rsidRDefault="00D24D1F">
          <w:pPr>
            <w:pStyle w:val="AA3CDD6558564C5A9DB2921FC1393E48"/>
          </w:pPr>
          <w:r w:rsidRPr="003C2E0F">
            <w:rPr>
              <w:rStyle w:val="PlaceholderText"/>
            </w:rPr>
            <w:t>Click here to enter text.</w:t>
          </w:r>
        </w:p>
      </w:docPartBody>
    </w:docPart>
    <w:docPart>
      <w:docPartPr>
        <w:name w:val="FC153E3017AF402595D1D2851EF4D404"/>
        <w:category>
          <w:name w:val="General"/>
          <w:gallery w:val="placeholder"/>
        </w:category>
        <w:types>
          <w:type w:val="bbPlcHdr"/>
        </w:types>
        <w:behaviors>
          <w:behavior w:val="content"/>
        </w:behaviors>
        <w:guid w:val="{68293CB1-43B7-4108-BBCC-788FA0C13A5B}"/>
      </w:docPartPr>
      <w:docPartBody>
        <w:p w:rsidR="00D24D1F" w:rsidRDefault="00D24D1F">
          <w:pPr>
            <w:pStyle w:val="FC153E3017AF402595D1D2851EF4D404"/>
          </w:pPr>
          <w:r w:rsidRPr="003C2E0F">
            <w:rPr>
              <w:rStyle w:val="PlaceholderText"/>
            </w:rPr>
            <w:t>Click here to enter text.</w:t>
          </w:r>
        </w:p>
      </w:docPartBody>
    </w:docPart>
    <w:docPart>
      <w:docPartPr>
        <w:name w:val="0CD7674B6DF04AE48AD691CAD417BAD7"/>
        <w:category>
          <w:name w:val="General"/>
          <w:gallery w:val="placeholder"/>
        </w:category>
        <w:types>
          <w:type w:val="bbPlcHdr"/>
        </w:types>
        <w:behaviors>
          <w:behavior w:val="content"/>
        </w:behaviors>
        <w:guid w:val="{82E4AFC9-AA18-4D35-AD85-AFD2C76D2060}"/>
      </w:docPartPr>
      <w:docPartBody>
        <w:p w:rsidR="00D24D1F" w:rsidRDefault="00D24D1F">
          <w:pPr>
            <w:pStyle w:val="0CD7674B6DF04AE48AD691CAD417BAD7"/>
          </w:pPr>
          <w:r w:rsidRPr="003C2E0F">
            <w:rPr>
              <w:rStyle w:val="PlaceholderText"/>
            </w:rPr>
            <w:t>Click here to enter text.</w:t>
          </w:r>
        </w:p>
      </w:docPartBody>
    </w:docPart>
    <w:docPart>
      <w:docPartPr>
        <w:name w:val="DA8AABE41F114F78AE4B1D6EA9894F33"/>
        <w:category>
          <w:name w:val="General"/>
          <w:gallery w:val="placeholder"/>
        </w:category>
        <w:types>
          <w:type w:val="bbPlcHdr"/>
        </w:types>
        <w:behaviors>
          <w:behavior w:val="content"/>
        </w:behaviors>
        <w:guid w:val="{F1404F75-3019-4BEC-8DF9-468F6110CAED}"/>
      </w:docPartPr>
      <w:docPartBody>
        <w:p w:rsidR="00D24D1F" w:rsidRDefault="00D24D1F">
          <w:pPr>
            <w:pStyle w:val="DA8AABE41F114F78AE4B1D6EA9894F33"/>
          </w:pPr>
          <w:r w:rsidRPr="003C2E0F">
            <w:rPr>
              <w:rStyle w:val="PlaceholderText"/>
            </w:rPr>
            <w:t>Click here to enter text.</w:t>
          </w:r>
        </w:p>
      </w:docPartBody>
    </w:docPart>
    <w:docPart>
      <w:docPartPr>
        <w:name w:val="E554668D3B7941B59E2EFC1220F97B63"/>
        <w:category>
          <w:name w:val="General"/>
          <w:gallery w:val="placeholder"/>
        </w:category>
        <w:types>
          <w:type w:val="bbPlcHdr"/>
        </w:types>
        <w:behaviors>
          <w:behavior w:val="content"/>
        </w:behaviors>
        <w:guid w:val="{042D1053-46E0-4511-B175-A2EE73E2D400}"/>
      </w:docPartPr>
      <w:docPartBody>
        <w:p w:rsidR="00D24D1F" w:rsidRDefault="00D24D1F">
          <w:pPr>
            <w:pStyle w:val="E554668D3B7941B59E2EFC1220F97B63"/>
          </w:pPr>
          <w:r w:rsidRPr="006F08F3">
            <w:rPr>
              <w:rStyle w:val="PlaceholderText"/>
            </w:rPr>
            <w:t>Click here to enter a date.</w:t>
          </w:r>
        </w:p>
      </w:docPartBody>
    </w:docPart>
    <w:docPart>
      <w:docPartPr>
        <w:name w:val="D255E5E4375A4931A00B06094923911F"/>
        <w:category>
          <w:name w:val="General"/>
          <w:gallery w:val="placeholder"/>
        </w:category>
        <w:types>
          <w:type w:val="bbPlcHdr"/>
        </w:types>
        <w:behaviors>
          <w:behavior w:val="content"/>
        </w:behaviors>
        <w:guid w:val="{BEA1FCFC-8309-485B-8C49-7A4C13E3155B}"/>
      </w:docPartPr>
      <w:docPartBody>
        <w:p w:rsidR="00D24D1F" w:rsidRDefault="00D24D1F">
          <w:pPr>
            <w:pStyle w:val="D255E5E4375A4931A00B06094923911F"/>
          </w:pPr>
          <w:r w:rsidRPr="008A2D5B">
            <w:rPr>
              <w:rStyle w:val="PlaceholderText"/>
            </w:rPr>
            <w:t>Choose an item.</w:t>
          </w:r>
        </w:p>
      </w:docPartBody>
    </w:docPart>
    <w:docPart>
      <w:docPartPr>
        <w:name w:val="406844780E5E45CBB8F739B688BAFC4B"/>
        <w:category>
          <w:name w:val="General"/>
          <w:gallery w:val="placeholder"/>
        </w:category>
        <w:types>
          <w:type w:val="bbPlcHdr"/>
        </w:types>
        <w:behaviors>
          <w:behavior w:val="content"/>
        </w:behaviors>
        <w:guid w:val="{E889FBC6-6F2F-4F40-82F8-01868B21B6C4}"/>
      </w:docPartPr>
      <w:docPartBody>
        <w:p w:rsidR="00D24D1F" w:rsidRDefault="00D24D1F">
          <w:pPr>
            <w:pStyle w:val="406844780E5E45CBB8F739B688BAFC4B"/>
          </w:pPr>
          <w:r w:rsidRPr="008A2D5B">
            <w:rPr>
              <w:rStyle w:val="PlaceholderText"/>
            </w:rPr>
            <w:t>Choose an item.</w:t>
          </w:r>
        </w:p>
      </w:docPartBody>
    </w:docPart>
    <w:docPart>
      <w:docPartPr>
        <w:name w:val="62323E80704A4EC79AD2D95FBF205596"/>
        <w:category>
          <w:name w:val="General"/>
          <w:gallery w:val="placeholder"/>
        </w:category>
        <w:types>
          <w:type w:val="bbPlcHdr"/>
        </w:types>
        <w:behaviors>
          <w:behavior w:val="content"/>
        </w:behaviors>
        <w:guid w:val="{46E7A5DA-11F2-47C8-B4FA-7CC2BF56A76B}"/>
      </w:docPartPr>
      <w:docPartBody>
        <w:p w:rsidR="00D24D1F" w:rsidRDefault="00D24D1F">
          <w:pPr>
            <w:pStyle w:val="62323E80704A4EC79AD2D95FBF205596"/>
          </w:pPr>
          <w:r w:rsidRPr="008A2D5B">
            <w:rPr>
              <w:rStyle w:val="PlaceholderText"/>
            </w:rPr>
            <w:t>Click here to enter text.</w:t>
          </w:r>
        </w:p>
      </w:docPartBody>
    </w:docPart>
    <w:docPart>
      <w:docPartPr>
        <w:name w:val="59054587C6C94CD5BA573F0B6159E318"/>
        <w:category>
          <w:name w:val="General"/>
          <w:gallery w:val="placeholder"/>
        </w:category>
        <w:types>
          <w:type w:val="bbPlcHdr"/>
        </w:types>
        <w:behaviors>
          <w:behavior w:val="content"/>
        </w:behaviors>
        <w:guid w:val="{FF39BDEB-2FFA-4BEB-81B7-D72918AC0DCE}"/>
      </w:docPartPr>
      <w:docPartBody>
        <w:p w:rsidR="00D24D1F" w:rsidRDefault="00D24D1F">
          <w:pPr>
            <w:pStyle w:val="59054587C6C94CD5BA573F0B6159E318"/>
          </w:pPr>
          <w:r>
            <w:rPr>
              <w:rStyle w:val="PlaceholderText"/>
            </w:rPr>
            <w:t>RPC Opinion status</w:t>
          </w:r>
        </w:p>
      </w:docPartBody>
    </w:docPart>
    <w:docPart>
      <w:docPartPr>
        <w:name w:val="C50A0D257A7540838645B68A9CAC0785"/>
        <w:category>
          <w:name w:val="General"/>
          <w:gallery w:val="placeholder"/>
        </w:category>
        <w:types>
          <w:type w:val="bbPlcHdr"/>
        </w:types>
        <w:behaviors>
          <w:behavior w:val="content"/>
        </w:behaviors>
        <w:guid w:val="{38FBC834-98D4-483C-A9B3-864235CA1F0D}"/>
      </w:docPartPr>
      <w:docPartBody>
        <w:p w:rsidR="00D24D1F" w:rsidRDefault="00D24D1F">
          <w:pPr>
            <w:pStyle w:val="C50A0D257A7540838645B68A9CAC0785"/>
          </w:pPr>
          <w:r>
            <w:rPr>
              <w:rStyle w:val="PlaceholderText"/>
            </w:rPr>
            <w:t>£m</w:t>
          </w:r>
        </w:p>
      </w:docPartBody>
    </w:docPart>
    <w:docPart>
      <w:docPartPr>
        <w:name w:val="E8A2FB08AA304FD497B6051BC638E5F0"/>
        <w:category>
          <w:name w:val="General"/>
          <w:gallery w:val="placeholder"/>
        </w:category>
        <w:types>
          <w:type w:val="bbPlcHdr"/>
        </w:types>
        <w:behaviors>
          <w:behavior w:val="content"/>
        </w:behaviors>
        <w:guid w:val="{69E292F5-2C19-496D-B561-D8017BD90E9F}"/>
      </w:docPartPr>
      <w:docPartBody>
        <w:p w:rsidR="00D24D1F" w:rsidRDefault="00D24D1F">
          <w:pPr>
            <w:pStyle w:val="E8A2FB08AA304FD497B6051BC638E5F0"/>
          </w:pPr>
          <w:r>
            <w:rPr>
              <w:rStyle w:val="PlaceholderText"/>
            </w:rPr>
            <w:t>£m</w:t>
          </w:r>
        </w:p>
      </w:docPartBody>
    </w:docPart>
    <w:docPart>
      <w:docPartPr>
        <w:name w:val="7CB905A5F6564121BC7B54A797138041"/>
        <w:category>
          <w:name w:val="General"/>
          <w:gallery w:val="placeholder"/>
        </w:category>
        <w:types>
          <w:type w:val="bbPlcHdr"/>
        </w:types>
        <w:behaviors>
          <w:behavior w:val="content"/>
        </w:behaviors>
        <w:guid w:val="{D15850C7-D5C8-497E-81D2-D551BD3E0F9C}"/>
      </w:docPartPr>
      <w:docPartBody>
        <w:p w:rsidR="00D24D1F" w:rsidRDefault="00D24D1F">
          <w:pPr>
            <w:pStyle w:val="7CB905A5F6564121BC7B54A797138041"/>
          </w:pPr>
          <w:r>
            <w:rPr>
              <w:rStyle w:val="PlaceholderText"/>
            </w:rPr>
            <w:t>£m</w:t>
          </w:r>
        </w:p>
      </w:docPartBody>
    </w:docPart>
    <w:docPart>
      <w:docPartPr>
        <w:name w:val="4107BE3E758A4FD6B0BB146DFA867A50"/>
        <w:category>
          <w:name w:val="General"/>
          <w:gallery w:val="placeholder"/>
        </w:category>
        <w:types>
          <w:type w:val="bbPlcHdr"/>
        </w:types>
        <w:behaviors>
          <w:behavior w:val="content"/>
        </w:behaviors>
        <w:guid w:val="{83033376-796D-49C2-9C22-E7E9FA4CD9C3}"/>
      </w:docPartPr>
      <w:docPartBody>
        <w:p w:rsidR="00D24D1F" w:rsidRDefault="00D24D1F">
          <w:pPr>
            <w:pStyle w:val="4107BE3E758A4FD6B0BB146DFA867A50"/>
          </w:pPr>
          <w:r>
            <w:rPr>
              <w:rStyle w:val="PlaceholderText"/>
            </w:rPr>
            <w:t>Select</w:t>
          </w:r>
        </w:p>
      </w:docPartBody>
    </w:docPart>
    <w:docPart>
      <w:docPartPr>
        <w:name w:val="25F776313A9E419CAA5E224541841132"/>
        <w:category>
          <w:name w:val="General"/>
          <w:gallery w:val="placeholder"/>
        </w:category>
        <w:types>
          <w:type w:val="bbPlcHdr"/>
        </w:types>
        <w:behaviors>
          <w:behavior w:val="content"/>
        </w:behaviors>
        <w:guid w:val="{07C579CE-B707-4F2A-B901-B8E3CBFA4620}"/>
      </w:docPartPr>
      <w:docPartBody>
        <w:p w:rsidR="00D24D1F" w:rsidRDefault="00D24D1F">
          <w:pPr>
            <w:pStyle w:val="25F776313A9E419CAA5E224541841132"/>
          </w:pPr>
          <w:r>
            <w:rPr>
              <w:rStyle w:val="PlaceholderText"/>
            </w:rPr>
            <w:t>Select</w:t>
          </w:r>
        </w:p>
      </w:docPartBody>
    </w:docPart>
    <w:docPart>
      <w:docPartPr>
        <w:name w:val="2F4148F8EE3748B8BBDA7353BE05318C"/>
        <w:category>
          <w:name w:val="General"/>
          <w:gallery w:val="placeholder"/>
        </w:category>
        <w:types>
          <w:type w:val="bbPlcHdr"/>
        </w:types>
        <w:behaviors>
          <w:behavior w:val="content"/>
        </w:behaviors>
        <w:guid w:val="{0A4F72F8-AD71-4D05-BEC0-29ED4EEC9423}"/>
      </w:docPartPr>
      <w:docPartBody>
        <w:p w:rsidR="00D24D1F" w:rsidRDefault="00D24D1F">
          <w:pPr>
            <w:pStyle w:val="2F4148F8EE3748B8BBDA7353BE05318C"/>
          </w:pPr>
          <w:r>
            <w:rPr>
              <w:rStyle w:val="PlaceholderText"/>
            </w:rPr>
            <w:t>Maximum of 7 lines</w:t>
          </w:r>
          <w:r>
            <w:rPr>
              <w:rStyle w:val="PlaceholderText"/>
            </w:rPr>
            <w:br/>
          </w:r>
          <w:r>
            <w:br/>
          </w:r>
          <w:r>
            <w:br/>
          </w:r>
          <w:r>
            <w:br/>
          </w:r>
          <w:r>
            <w:br/>
          </w:r>
          <w:r>
            <w:br/>
          </w:r>
          <w:r>
            <w:br/>
          </w:r>
        </w:p>
      </w:docPartBody>
    </w:docPart>
    <w:docPart>
      <w:docPartPr>
        <w:name w:val="B4B4523A921841C6B1B6318FF5037FCE"/>
        <w:category>
          <w:name w:val="General"/>
          <w:gallery w:val="placeholder"/>
        </w:category>
        <w:types>
          <w:type w:val="bbPlcHdr"/>
        </w:types>
        <w:behaviors>
          <w:behavior w:val="content"/>
        </w:behaviors>
        <w:guid w:val="{93044D2E-3318-4AF8-A030-F4AE5C56D653}"/>
      </w:docPartPr>
      <w:docPartBody>
        <w:p w:rsidR="00D24D1F" w:rsidRDefault="00D24D1F">
          <w:pPr>
            <w:pStyle w:val="B4B4523A921841C6B1B6318FF5037FCE"/>
          </w:pPr>
          <w:r>
            <w:rPr>
              <w:rStyle w:val="PlaceholderText"/>
            </w:rPr>
            <w:t>Maximum of 7 lines</w:t>
          </w:r>
          <w:r>
            <w:rPr>
              <w:rStyle w:val="PlaceholderText"/>
            </w:rPr>
            <w:br/>
          </w:r>
          <w:r>
            <w:br/>
          </w:r>
          <w:r>
            <w:br/>
          </w:r>
          <w:r>
            <w:br/>
          </w:r>
          <w:r>
            <w:br/>
          </w:r>
          <w:r>
            <w:br/>
          </w:r>
          <w:r>
            <w:br/>
          </w:r>
        </w:p>
      </w:docPartBody>
    </w:docPart>
    <w:docPart>
      <w:docPartPr>
        <w:name w:val="AB2915F7BF78424EB677FE948C532135"/>
        <w:category>
          <w:name w:val="General"/>
          <w:gallery w:val="placeholder"/>
        </w:category>
        <w:types>
          <w:type w:val="bbPlcHdr"/>
        </w:types>
        <w:behaviors>
          <w:behavior w:val="content"/>
        </w:behaviors>
        <w:guid w:val="{AE36BA00-56CB-4F49-8B9B-10427FE4B87B}"/>
      </w:docPartPr>
      <w:docPartBody>
        <w:p w:rsidR="00D24D1F" w:rsidRDefault="00D24D1F">
          <w:pPr>
            <w:pStyle w:val="AB2915F7BF78424EB677FE948C532135"/>
          </w:pPr>
          <w:r>
            <w:rPr>
              <w:rStyle w:val="PlaceholderText"/>
            </w:rPr>
            <w:t>Maximum of 7 lines</w:t>
          </w:r>
          <w:r>
            <w:rPr>
              <w:rStyle w:val="PlaceholderText"/>
            </w:rPr>
            <w:br/>
          </w:r>
          <w:r>
            <w:br/>
          </w:r>
          <w:r>
            <w:br/>
          </w:r>
          <w:r>
            <w:br/>
          </w:r>
          <w:r>
            <w:br/>
          </w:r>
          <w:r>
            <w:br/>
          </w:r>
          <w:r>
            <w:br/>
          </w:r>
        </w:p>
      </w:docPartBody>
    </w:docPart>
    <w:docPart>
      <w:docPartPr>
        <w:name w:val="C7006060178D40E48E8D9D187A0E9829"/>
        <w:category>
          <w:name w:val="General"/>
          <w:gallery w:val="placeholder"/>
        </w:category>
        <w:types>
          <w:type w:val="bbPlcHdr"/>
        </w:types>
        <w:behaviors>
          <w:behavior w:val="content"/>
        </w:behaviors>
        <w:guid w:val="{F89DC4AB-62EA-4FC1-A9EB-0272D4E0AB9F}"/>
      </w:docPartPr>
      <w:docPartBody>
        <w:p w:rsidR="00D24D1F" w:rsidRDefault="00D24D1F">
          <w:pPr>
            <w:pStyle w:val="C7006060178D40E48E8D9D187A0E9829"/>
          </w:pPr>
          <w:r>
            <w:rPr>
              <w:rStyle w:val="PlaceholderText"/>
            </w:rPr>
            <w:t>Maximum of 7 lines</w:t>
          </w:r>
          <w:r>
            <w:rPr>
              <w:rStyle w:val="PlaceholderText"/>
            </w:rPr>
            <w:br/>
          </w:r>
          <w:r>
            <w:br/>
          </w:r>
          <w:r>
            <w:br/>
          </w:r>
          <w:r>
            <w:br/>
          </w:r>
          <w:r>
            <w:br/>
          </w:r>
          <w:r>
            <w:br/>
          </w:r>
          <w:r>
            <w:br/>
          </w:r>
        </w:p>
      </w:docPartBody>
    </w:docPart>
    <w:docPart>
      <w:docPartPr>
        <w:name w:val="B721DFCA5AF245A09DDF803AE3DD5EE4"/>
        <w:category>
          <w:name w:val="General"/>
          <w:gallery w:val="placeholder"/>
        </w:category>
        <w:types>
          <w:type w:val="bbPlcHdr"/>
        </w:types>
        <w:behaviors>
          <w:behavior w:val="content"/>
        </w:behaviors>
        <w:guid w:val="{1B9C96C4-D55A-485D-9B48-3AA256B2EF9B}"/>
      </w:docPartPr>
      <w:docPartBody>
        <w:p w:rsidR="00D24D1F" w:rsidRDefault="00D24D1F" w:rsidP="00D24D1F">
          <w:pPr>
            <w:pStyle w:val="IATableText"/>
          </w:pPr>
          <w:r>
            <w:rPr>
              <w:rStyle w:val="PlaceholderText"/>
            </w:rPr>
            <w:t>Maximum of 10 lines</w:t>
          </w:r>
          <w:r>
            <w:rPr>
              <w:rStyle w:val="PlaceholderText"/>
            </w:rPr>
            <w:br/>
          </w:r>
        </w:p>
        <w:p w:rsidR="00D24D1F" w:rsidRDefault="00D24D1F" w:rsidP="00D24D1F">
          <w:pPr>
            <w:pStyle w:val="IATableText"/>
          </w:pPr>
        </w:p>
        <w:p w:rsidR="00D24D1F" w:rsidRDefault="00D24D1F">
          <w:pPr>
            <w:pStyle w:val="B721DFCA5AF245A09DDF803AE3DD5EE4"/>
          </w:pPr>
          <w:r>
            <w:br/>
          </w:r>
          <w:r>
            <w:br/>
          </w:r>
          <w:r>
            <w:br/>
          </w:r>
          <w:r>
            <w:br/>
          </w:r>
          <w:r>
            <w:br/>
          </w:r>
          <w:r>
            <w:br/>
          </w:r>
        </w:p>
      </w:docPartBody>
    </w:docPart>
    <w:docPart>
      <w:docPartPr>
        <w:name w:val="89980FB56BF04AF4AC36EC0ED8107EE9"/>
        <w:category>
          <w:name w:val="General"/>
          <w:gallery w:val="placeholder"/>
        </w:category>
        <w:types>
          <w:type w:val="bbPlcHdr"/>
        </w:types>
        <w:behaviors>
          <w:behavior w:val="content"/>
        </w:behaviors>
        <w:guid w:val="{85AD2DD0-3BE6-45AF-81E3-E1EFB3BFF4DE}"/>
      </w:docPartPr>
      <w:docPartBody>
        <w:p w:rsidR="00D24D1F" w:rsidRDefault="00D24D1F" w:rsidP="00D24D1F">
          <w:pPr>
            <w:pStyle w:val="IATableText"/>
          </w:pPr>
          <w:r>
            <w:rPr>
              <w:rStyle w:val="PlaceholderText"/>
            </w:rPr>
            <w:t>Maximum of 10 lines</w:t>
          </w:r>
          <w:r>
            <w:rPr>
              <w:rStyle w:val="PlaceholderText"/>
            </w:rPr>
            <w:br/>
          </w:r>
        </w:p>
        <w:p w:rsidR="00D24D1F" w:rsidRDefault="00D24D1F" w:rsidP="00D24D1F">
          <w:pPr>
            <w:pStyle w:val="IATableText"/>
          </w:pPr>
        </w:p>
        <w:p w:rsidR="00D24D1F" w:rsidRDefault="00D24D1F">
          <w:pPr>
            <w:pStyle w:val="89980FB56BF04AF4AC36EC0ED8107EE9"/>
          </w:pPr>
          <w:r>
            <w:br/>
          </w:r>
          <w:r>
            <w:br/>
          </w:r>
          <w:r>
            <w:br/>
          </w:r>
          <w:r>
            <w:br/>
          </w:r>
          <w:r>
            <w:br/>
          </w:r>
          <w:r>
            <w:br/>
          </w:r>
        </w:p>
      </w:docPartBody>
    </w:docPart>
    <w:docPart>
      <w:docPartPr>
        <w:name w:val="B112D56BC9E94683A550BF8ED8C6FD19"/>
        <w:category>
          <w:name w:val="General"/>
          <w:gallery w:val="placeholder"/>
        </w:category>
        <w:types>
          <w:type w:val="bbPlcHdr"/>
        </w:types>
        <w:behaviors>
          <w:behavior w:val="content"/>
        </w:behaviors>
        <w:guid w:val="{B86B8369-7923-47AC-A9CC-F57BC9A4036D}"/>
      </w:docPartPr>
      <w:docPartBody>
        <w:p w:rsidR="00D24D1F" w:rsidRDefault="00D24D1F">
          <w:pPr>
            <w:pStyle w:val="B112D56BC9E94683A550BF8ED8C6FD19"/>
          </w:pPr>
          <w:r>
            <w:rPr>
              <w:rStyle w:val="PlaceholderText"/>
            </w:rPr>
            <w:t>will/will not</w:t>
          </w:r>
        </w:p>
      </w:docPartBody>
    </w:docPart>
    <w:docPart>
      <w:docPartPr>
        <w:name w:val="5B49015169354F7A84B094834D18AEA7"/>
        <w:category>
          <w:name w:val="General"/>
          <w:gallery w:val="placeholder"/>
        </w:category>
        <w:types>
          <w:type w:val="bbPlcHdr"/>
        </w:types>
        <w:behaviors>
          <w:behavior w:val="content"/>
        </w:behaviors>
        <w:guid w:val="{92BBC783-A390-4362-8535-A861C0EB4D0D}"/>
      </w:docPartPr>
      <w:docPartBody>
        <w:p w:rsidR="00D24D1F" w:rsidRDefault="00D24D1F">
          <w:pPr>
            <w:pStyle w:val="5B49015169354F7A84B094834D18AEA7"/>
          </w:pPr>
          <w:r>
            <w:rPr>
              <w:rStyle w:val="PlaceholderText"/>
            </w:rPr>
            <w:t>Month</w:t>
          </w:r>
        </w:p>
      </w:docPartBody>
    </w:docPart>
    <w:docPart>
      <w:docPartPr>
        <w:name w:val="E26674A8DFE54735985FD1D37CD424BE"/>
        <w:category>
          <w:name w:val="General"/>
          <w:gallery w:val="placeholder"/>
        </w:category>
        <w:types>
          <w:type w:val="bbPlcHdr"/>
        </w:types>
        <w:behaviors>
          <w:behavior w:val="content"/>
        </w:behaviors>
        <w:guid w:val="{455B65B9-BD30-47FA-85F0-08D8248DC83A}"/>
      </w:docPartPr>
      <w:docPartBody>
        <w:p w:rsidR="00D24D1F" w:rsidRDefault="00D24D1F">
          <w:pPr>
            <w:pStyle w:val="E26674A8DFE54735985FD1D37CD424BE"/>
          </w:pPr>
          <w:r>
            <w:rPr>
              <w:rStyle w:val="PlaceholderText"/>
            </w:rPr>
            <w:t>Year</w:t>
          </w:r>
        </w:p>
      </w:docPartBody>
    </w:docPart>
    <w:docPart>
      <w:docPartPr>
        <w:name w:val="1B5091D4294D4EAAB7075D6D16653E88"/>
        <w:category>
          <w:name w:val="General"/>
          <w:gallery w:val="placeholder"/>
        </w:category>
        <w:types>
          <w:type w:val="bbPlcHdr"/>
        </w:types>
        <w:behaviors>
          <w:behavior w:val="content"/>
        </w:behaviors>
        <w:guid w:val="{97F8B787-9116-455F-BEB2-AA95D673E52A}"/>
      </w:docPartPr>
      <w:docPartBody>
        <w:p w:rsidR="00D24D1F" w:rsidRDefault="00D24D1F">
          <w:pPr>
            <w:pStyle w:val="1B5091D4294D4EAAB7075D6D16653E88"/>
          </w:pPr>
          <w:r w:rsidRPr="0050716D">
            <w:rPr>
              <w:rStyle w:val="PlaceholderText"/>
            </w:rPr>
            <w:t>Yes</w:t>
          </w:r>
          <w:r>
            <w:rPr>
              <w:rStyle w:val="PlaceholderText"/>
            </w:rPr>
            <w:t xml:space="preserve"> </w:t>
          </w:r>
          <w:r w:rsidRPr="0050716D">
            <w:rPr>
              <w:rStyle w:val="PlaceholderText"/>
            </w:rPr>
            <w:t>/</w:t>
          </w:r>
          <w:r>
            <w:rPr>
              <w:rStyle w:val="PlaceholderText"/>
            </w:rPr>
            <w:t xml:space="preserve"> </w:t>
          </w:r>
          <w:r w:rsidRPr="0050716D">
            <w:rPr>
              <w:rStyle w:val="PlaceholderText"/>
            </w:rPr>
            <w:t>No</w:t>
          </w:r>
          <w:r>
            <w:rPr>
              <w:rStyle w:val="PlaceholderText"/>
            </w:rPr>
            <w:t xml:space="preserve"> / N/A</w:t>
          </w:r>
        </w:p>
      </w:docPartBody>
    </w:docPart>
    <w:docPart>
      <w:docPartPr>
        <w:name w:val="F67AB867315340718402EA2D85327772"/>
        <w:category>
          <w:name w:val="General"/>
          <w:gallery w:val="placeholder"/>
        </w:category>
        <w:types>
          <w:type w:val="bbPlcHdr"/>
        </w:types>
        <w:behaviors>
          <w:behavior w:val="content"/>
        </w:behaviors>
        <w:guid w:val="{7855FC07-BEC9-4E09-8BCD-9E98D2AC7D8C}"/>
      </w:docPartPr>
      <w:docPartBody>
        <w:p w:rsidR="00D24D1F" w:rsidRDefault="00D24D1F">
          <w:pPr>
            <w:pStyle w:val="F67AB867315340718402EA2D85327772"/>
          </w:pPr>
          <w:r w:rsidRPr="0050716D">
            <w:rPr>
              <w:rStyle w:val="PlaceholderText"/>
            </w:rPr>
            <w:t>Yes/No</w:t>
          </w:r>
        </w:p>
      </w:docPartBody>
    </w:docPart>
    <w:docPart>
      <w:docPartPr>
        <w:name w:val="0CD58350DA6B44C2AA78EBA4815852B2"/>
        <w:category>
          <w:name w:val="General"/>
          <w:gallery w:val="placeholder"/>
        </w:category>
        <w:types>
          <w:type w:val="bbPlcHdr"/>
        </w:types>
        <w:behaviors>
          <w:behavior w:val="content"/>
        </w:behaviors>
        <w:guid w:val="{93DC70E0-5A9E-44D5-A3FB-AC1CF4A4F29B}"/>
      </w:docPartPr>
      <w:docPartBody>
        <w:p w:rsidR="00D24D1F" w:rsidRDefault="00D24D1F">
          <w:pPr>
            <w:pStyle w:val="0CD58350DA6B44C2AA78EBA4815852B2"/>
          </w:pPr>
          <w:r w:rsidRPr="0050716D">
            <w:rPr>
              <w:rStyle w:val="PlaceholderText"/>
            </w:rPr>
            <w:t>Yes/No</w:t>
          </w:r>
        </w:p>
      </w:docPartBody>
    </w:docPart>
    <w:docPart>
      <w:docPartPr>
        <w:name w:val="0C19463BE91F47F1B301CA1622629C68"/>
        <w:category>
          <w:name w:val="General"/>
          <w:gallery w:val="placeholder"/>
        </w:category>
        <w:types>
          <w:type w:val="bbPlcHdr"/>
        </w:types>
        <w:behaviors>
          <w:behavior w:val="content"/>
        </w:behaviors>
        <w:guid w:val="{442F7B15-E4AC-4FDC-8031-21EBECC69BA5}"/>
      </w:docPartPr>
      <w:docPartBody>
        <w:p w:rsidR="00D24D1F" w:rsidRDefault="00D24D1F">
          <w:pPr>
            <w:pStyle w:val="0C19463BE91F47F1B301CA1622629C68"/>
          </w:pPr>
          <w:r w:rsidRPr="0050716D">
            <w:rPr>
              <w:rStyle w:val="PlaceholderText"/>
            </w:rPr>
            <w:t>Yes/No</w:t>
          </w:r>
        </w:p>
      </w:docPartBody>
    </w:docPart>
    <w:docPart>
      <w:docPartPr>
        <w:name w:val="A23D6182A8EE4A6F8BA8193EAB255579"/>
        <w:category>
          <w:name w:val="General"/>
          <w:gallery w:val="placeholder"/>
        </w:category>
        <w:types>
          <w:type w:val="bbPlcHdr"/>
        </w:types>
        <w:behaviors>
          <w:behavior w:val="content"/>
        </w:behaviors>
        <w:guid w:val="{255CEC2F-310B-4EBA-BD88-6E17B01FD6BB}"/>
      </w:docPartPr>
      <w:docPartBody>
        <w:p w:rsidR="00D24D1F" w:rsidRDefault="00D24D1F">
          <w:pPr>
            <w:pStyle w:val="A23D6182A8EE4A6F8BA8193EAB255579"/>
          </w:pPr>
          <w:r w:rsidRPr="0050716D">
            <w:rPr>
              <w:rStyle w:val="PlaceholderText"/>
            </w:rPr>
            <w:t>Yes/No</w:t>
          </w:r>
        </w:p>
      </w:docPartBody>
    </w:docPart>
    <w:docPart>
      <w:docPartPr>
        <w:name w:val="CA65C05F8DA9401ABC63FFB3EFC7C763"/>
        <w:category>
          <w:name w:val="General"/>
          <w:gallery w:val="placeholder"/>
        </w:category>
        <w:types>
          <w:type w:val="bbPlcHdr"/>
        </w:types>
        <w:behaviors>
          <w:behavior w:val="content"/>
        </w:behaviors>
        <w:guid w:val="{4E265BE9-528D-4ABC-93F4-E91DB5AE4EBA}"/>
      </w:docPartPr>
      <w:docPartBody>
        <w:p w:rsidR="00D24D1F" w:rsidRDefault="00D24D1F">
          <w:pPr>
            <w:pStyle w:val="CA65C05F8DA9401ABC63FFB3EFC7C763"/>
          </w:pPr>
          <w:r>
            <w:rPr>
              <w:rStyle w:val="PlaceholderText"/>
            </w:rPr>
            <w:t>Insert</w:t>
          </w:r>
        </w:p>
      </w:docPartBody>
    </w:docPart>
    <w:docPart>
      <w:docPartPr>
        <w:name w:val="1A9BEBB4FB1645AEB3D4412858E96F3E"/>
        <w:category>
          <w:name w:val="General"/>
          <w:gallery w:val="placeholder"/>
        </w:category>
        <w:types>
          <w:type w:val="bbPlcHdr"/>
        </w:types>
        <w:behaviors>
          <w:behavior w:val="content"/>
        </w:behaviors>
        <w:guid w:val="{CB903040-309C-475F-9BB8-D981F625EBFE}"/>
      </w:docPartPr>
      <w:docPartBody>
        <w:p w:rsidR="00D24D1F" w:rsidRDefault="00D24D1F">
          <w:pPr>
            <w:pStyle w:val="1A9BEBB4FB1645AEB3D4412858E96F3E"/>
          </w:pPr>
          <w:r>
            <w:rPr>
              <w:rStyle w:val="PlaceholderText"/>
            </w:rPr>
            <w:t>Insert</w:t>
          </w:r>
        </w:p>
      </w:docPartBody>
    </w:docPart>
    <w:docPart>
      <w:docPartPr>
        <w:name w:val="A95BE3BC291848E88C3E41FB52861B1D"/>
        <w:category>
          <w:name w:val="General"/>
          <w:gallery w:val="placeholder"/>
        </w:category>
        <w:types>
          <w:type w:val="bbPlcHdr"/>
        </w:types>
        <w:behaviors>
          <w:behavior w:val="content"/>
        </w:behaviors>
        <w:guid w:val="{1C4B8C09-5DCD-460B-9294-7855EA909CC5}"/>
      </w:docPartPr>
      <w:docPartBody>
        <w:p w:rsidR="00D24D1F" w:rsidRDefault="00D24D1F">
          <w:pPr>
            <w:pStyle w:val="A95BE3BC291848E88C3E41FB52861B1D"/>
          </w:pPr>
          <w:r>
            <w:rPr>
              <w:rStyle w:val="PlaceholderText"/>
            </w:rPr>
            <w:t>En</w:t>
          </w:r>
          <w:r w:rsidRPr="00C13701">
            <w:rPr>
              <w:rStyle w:val="PlaceholderText"/>
            </w:rPr>
            <w:t>ter a date</w:t>
          </w:r>
        </w:p>
      </w:docPartBody>
    </w:docPart>
    <w:docPart>
      <w:docPartPr>
        <w:name w:val="59CD9054018E4909B6DEFDF704221B41"/>
        <w:category>
          <w:name w:val="General"/>
          <w:gallery w:val="placeholder"/>
        </w:category>
        <w:types>
          <w:type w:val="bbPlcHdr"/>
        </w:types>
        <w:behaviors>
          <w:behavior w:val="content"/>
        </w:behaviors>
        <w:guid w:val="{8B2C67B0-1E11-4068-A385-516FD43C47F0}"/>
      </w:docPartPr>
      <w:docPartBody>
        <w:p w:rsidR="00D24D1F" w:rsidRDefault="00D24D1F">
          <w:pPr>
            <w:pStyle w:val="59CD9054018E4909B6DEFDF704221B41"/>
          </w:pPr>
          <w:r w:rsidRPr="007A73C6">
            <w:rPr>
              <w:rStyle w:val="PlaceholderText"/>
            </w:rPr>
            <w:t>Click here to enter text.</w:t>
          </w:r>
        </w:p>
      </w:docPartBody>
    </w:docPart>
    <w:docPart>
      <w:docPartPr>
        <w:name w:val="BC3FC203C5294AFE933B49F4B24D436A"/>
        <w:category>
          <w:name w:val="General"/>
          <w:gallery w:val="placeholder"/>
        </w:category>
        <w:types>
          <w:type w:val="bbPlcHdr"/>
        </w:types>
        <w:behaviors>
          <w:behavior w:val="content"/>
        </w:behaviors>
        <w:guid w:val="{E881499E-366A-4630-9321-653624365234}"/>
      </w:docPartPr>
      <w:docPartBody>
        <w:p w:rsidR="00D24D1F" w:rsidRDefault="00D24D1F">
          <w:pPr>
            <w:pStyle w:val="BC3FC203C5294AFE933B49F4B24D436A"/>
          </w:pPr>
          <w:r w:rsidRPr="007A73C6">
            <w:rPr>
              <w:rStyle w:val="PlaceholderText"/>
            </w:rPr>
            <w:t>Year</w:t>
          </w:r>
        </w:p>
      </w:docPartBody>
    </w:docPart>
    <w:docPart>
      <w:docPartPr>
        <w:name w:val="B3E91D0E9E1D45FDAD9704B463727AE0"/>
        <w:category>
          <w:name w:val="General"/>
          <w:gallery w:val="placeholder"/>
        </w:category>
        <w:types>
          <w:type w:val="bbPlcHdr"/>
        </w:types>
        <w:behaviors>
          <w:behavior w:val="content"/>
        </w:behaviors>
        <w:guid w:val="{FB435D83-DC6E-403A-98E5-346C1CE7B7F4}"/>
      </w:docPartPr>
      <w:docPartBody>
        <w:p w:rsidR="00D24D1F" w:rsidRDefault="00D24D1F">
          <w:pPr>
            <w:pStyle w:val="B3E91D0E9E1D45FDAD9704B463727AE0"/>
          </w:pPr>
          <w:r w:rsidRPr="007A73C6">
            <w:rPr>
              <w:rStyle w:val="PlaceholderText"/>
            </w:rPr>
            <w:t>Year</w:t>
          </w:r>
        </w:p>
      </w:docPartBody>
    </w:docPart>
    <w:docPart>
      <w:docPartPr>
        <w:name w:val="3F8BD1DBBE084CCFA3AC107E95D3A273"/>
        <w:category>
          <w:name w:val="General"/>
          <w:gallery w:val="placeholder"/>
        </w:category>
        <w:types>
          <w:type w:val="bbPlcHdr"/>
        </w:types>
        <w:behaviors>
          <w:behavior w:val="content"/>
        </w:behaviors>
        <w:guid w:val="{5AD4B1DD-24F5-4123-AAF9-0AEDEA355D82}"/>
      </w:docPartPr>
      <w:docPartBody>
        <w:p w:rsidR="00D24D1F" w:rsidRDefault="00D24D1F">
          <w:pPr>
            <w:pStyle w:val="3F8BD1DBBE084CCFA3AC107E95D3A273"/>
          </w:pPr>
          <w:r>
            <w:rPr>
              <w:rStyle w:val="PlaceholderText"/>
            </w:rPr>
            <w:t>Inse</w:t>
          </w:r>
          <w:r w:rsidRPr="007A73C6">
            <w:rPr>
              <w:rStyle w:val="PlaceholderText"/>
            </w:rPr>
            <w:t>r</w:t>
          </w:r>
          <w:r>
            <w:rPr>
              <w:rStyle w:val="PlaceholderText"/>
            </w:rPr>
            <w:t>t</w:t>
          </w:r>
        </w:p>
      </w:docPartBody>
    </w:docPart>
    <w:docPart>
      <w:docPartPr>
        <w:name w:val="763122592DE84B1C9D8E1B2726A1A770"/>
        <w:category>
          <w:name w:val="General"/>
          <w:gallery w:val="placeholder"/>
        </w:category>
        <w:types>
          <w:type w:val="bbPlcHdr"/>
        </w:types>
        <w:behaviors>
          <w:behavior w:val="content"/>
        </w:behaviors>
        <w:guid w:val="{93875FC5-613C-4B90-8496-6A797401FA17}"/>
      </w:docPartPr>
      <w:docPartBody>
        <w:p w:rsidR="00D24D1F" w:rsidRDefault="00D24D1F">
          <w:pPr>
            <w:pStyle w:val="763122592DE84B1C9D8E1B2726A1A770"/>
          </w:pPr>
          <w:r w:rsidRPr="00C62A9A">
            <w:rPr>
              <w:rStyle w:val="PlaceholderText"/>
            </w:rPr>
            <w:t>Optional</w:t>
          </w:r>
        </w:p>
      </w:docPartBody>
    </w:docPart>
    <w:docPart>
      <w:docPartPr>
        <w:name w:val="A01AD2298B30492892C35CBEE78BABA9"/>
        <w:category>
          <w:name w:val="General"/>
          <w:gallery w:val="placeholder"/>
        </w:category>
        <w:types>
          <w:type w:val="bbPlcHdr"/>
        </w:types>
        <w:behaviors>
          <w:behavior w:val="content"/>
        </w:behaviors>
        <w:guid w:val="{E7B66A7D-C002-421E-A53B-3DA9B0766ECD}"/>
      </w:docPartPr>
      <w:docPartBody>
        <w:p w:rsidR="00D24D1F" w:rsidRDefault="00D24D1F">
          <w:pPr>
            <w:pStyle w:val="A01AD2298B30492892C35CBEE78BABA9"/>
          </w:pPr>
          <w:r w:rsidRPr="00C62A9A">
            <w:rPr>
              <w:rStyle w:val="PlaceholderText"/>
            </w:rPr>
            <w:t>Optional</w:t>
          </w:r>
        </w:p>
      </w:docPartBody>
    </w:docPart>
    <w:docPart>
      <w:docPartPr>
        <w:name w:val="837CBDFE84CB4988804666E24A2C133A"/>
        <w:category>
          <w:name w:val="General"/>
          <w:gallery w:val="placeholder"/>
        </w:category>
        <w:types>
          <w:type w:val="bbPlcHdr"/>
        </w:types>
        <w:behaviors>
          <w:behavior w:val="content"/>
        </w:behaviors>
        <w:guid w:val="{929E3C75-19FE-428D-87F1-638F336ED4A7}"/>
      </w:docPartPr>
      <w:docPartBody>
        <w:p w:rsidR="00D24D1F" w:rsidRDefault="00D24D1F">
          <w:pPr>
            <w:pStyle w:val="837CBDFE84CB4988804666E24A2C133A"/>
          </w:pPr>
          <w:r w:rsidRPr="00C62A9A">
            <w:rPr>
              <w:rStyle w:val="PlaceholderText"/>
            </w:rPr>
            <w:t>Optional</w:t>
          </w:r>
        </w:p>
      </w:docPartBody>
    </w:docPart>
    <w:docPart>
      <w:docPartPr>
        <w:name w:val="E6DCD352E4194CD591BF2ABFAA421D5D"/>
        <w:category>
          <w:name w:val="General"/>
          <w:gallery w:val="placeholder"/>
        </w:category>
        <w:types>
          <w:type w:val="bbPlcHdr"/>
        </w:types>
        <w:behaviors>
          <w:behavior w:val="content"/>
        </w:behaviors>
        <w:guid w:val="{327D9668-9E23-4F61-B4D3-ADB9D79A07F1}"/>
      </w:docPartPr>
      <w:docPartBody>
        <w:p w:rsidR="00D24D1F" w:rsidRDefault="00D24D1F">
          <w:pPr>
            <w:pStyle w:val="E6DCD352E4194CD591BF2ABFAA421D5D"/>
          </w:pPr>
          <w:r>
            <w:rPr>
              <w:rStyle w:val="PlaceholderText"/>
            </w:rPr>
            <w:t>Optional</w:t>
          </w:r>
        </w:p>
      </w:docPartBody>
    </w:docPart>
    <w:docPart>
      <w:docPartPr>
        <w:name w:val="CAF8EE0CADAF4BC7AD35AF05722F472E"/>
        <w:category>
          <w:name w:val="General"/>
          <w:gallery w:val="placeholder"/>
        </w:category>
        <w:types>
          <w:type w:val="bbPlcHdr"/>
        </w:types>
        <w:behaviors>
          <w:behavior w:val="content"/>
        </w:behaviors>
        <w:guid w:val="{1F339FD6-24FA-4A6D-B6FA-89E9F4FFE64A}"/>
      </w:docPartPr>
      <w:docPartBody>
        <w:p w:rsidR="00D24D1F" w:rsidRDefault="00D24D1F">
          <w:pPr>
            <w:pStyle w:val="CAF8EE0CADAF4BC7AD35AF05722F472E"/>
          </w:pPr>
          <w:r>
            <w:rPr>
              <w:rStyle w:val="PlaceholderText"/>
            </w:rPr>
            <w:t>Optional</w:t>
          </w:r>
        </w:p>
      </w:docPartBody>
    </w:docPart>
    <w:docPart>
      <w:docPartPr>
        <w:name w:val="4FE68B5B167A44DBA7BE25B0DECEEAC4"/>
        <w:category>
          <w:name w:val="General"/>
          <w:gallery w:val="placeholder"/>
        </w:category>
        <w:types>
          <w:type w:val="bbPlcHdr"/>
        </w:types>
        <w:behaviors>
          <w:behavior w:val="content"/>
        </w:behaviors>
        <w:guid w:val="{8B7A0D9A-52C6-4FE8-AFFC-C1725E6C6F6B}"/>
      </w:docPartPr>
      <w:docPartBody>
        <w:p w:rsidR="00D24D1F" w:rsidRDefault="00D24D1F">
          <w:pPr>
            <w:pStyle w:val="4FE68B5B167A44DBA7BE25B0DECEEAC4"/>
          </w:pPr>
          <w:r>
            <w:rPr>
              <w:rStyle w:val="PlaceholderText"/>
            </w:rPr>
            <w:t>Optional</w:t>
          </w:r>
        </w:p>
      </w:docPartBody>
    </w:docPart>
    <w:docPart>
      <w:docPartPr>
        <w:name w:val="FAEA4048BF0C4905B6557C2D3A0DACA9"/>
        <w:category>
          <w:name w:val="General"/>
          <w:gallery w:val="placeholder"/>
        </w:category>
        <w:types>
          <w:type w:val="bbPlcHdr"/>
        </w:types>
        <w:behaviors>
          <w:behavior w:val="content"/>
        </w:behaviors>
        <w:guid w:val="{6897D764-326E-4025-A5F5-0FF0E5ACAC45}"/>
      </w:docPartPr>
      <w:docPartBody>
        <w:p w:rsidR="00D24D1F" w:rsidRDefault="00D24D1F">
          <w:pPr>
            <w:pStyle w:val="FAEA4048BF0C4905B6557C2D3A0DACA9"/>
          </w:pPr>
          <w:r>
            <w:rPr>
              <w:rStyle w:val="PlaceholderText"/>
            </w:rPr>
            <w:t>Optional</w:t>
          </w:r>
        </w:p>
      </w:docPartBody>
    </w:docPart>
    <w:docPart>
      <w:docPartPr>
        <w:name w:val="0C619A7CB4F246368364B4E0022D126C"/>
        <w:category>
          <w:name w:val="General"/>
          <w:gallery w:val="placeholder"/>
        </w:category>
        <w:types>
          <w:type w:val="bbPlcHdr"/>
        </w:types>
        <w:behaviors>
          <w:behavior w:val="content"/>
        </w:behaviors>
        <w:guid w:val="{0AB2EADF-FF7C-4F42-B092-3EC5F57A1A56}"/>
      </w:docPartPr>
      <w:docPartBody>
        <w:p w:rsidR="00D24D1F" w:rsidRDefault="00D24D1F">
          <w:pPr>
            <w:pStyle w:val="0C619A7CB4F246368364B4E0022D126C"/>
          </w:pPr>
          <w:r>
            <w:rPr>
              <w:rStyle w:val="PlaceholderText"/>
            </w:rPr>
            <w:t>Optional</w:t>
          </w:r>
        </w:p>
      </w:docPartBody>
    </w:docPart>
    <w:docPart>
      <w:docPartPr>
        <w:name w:val="8F9D84AB80074998A5E363FCB3155580"/>
        <w:category>
          <w:name w:val="General"/>
          <w:gallery w:val="placeholder"/>
        </w:category>
        <w:types>
          <w:type w:val="bbPlcHdr"/>
        </w:types>
        <w:behaviors>
          <w:behavior w:val="content"/>
        </w:behaviors>
        <w:guid w:val="{32D94307-77BE-4DDF-AC78-C721DCAAA7D7}"/>
      </w:docPartPr>
      <w:docPartBody>
        <w:p w:rsidR="00D24D1F" w:rsidRDefault="00D24D1F">
          <w:pPr>
            <w:pStyle w:val="8F9D84AB80074998A5E363FCB3155580"/>
          </w:pPr>
          <w:r>
            <w:rPr>
              <w:rStyle w:val="PlaceholderText"/>
            </w:rPr>
            <w:t>Optional</w:t>
          </w:r>
        </w:p>
      </w:docPartBody>
    </w:docPart>
    <w:docPart>
      <w:docPartPr>
        <w:name w:val="6B54342D5ECC440EA3BC7D663C7E7C5C"/>
        <w:category>
          <w:name w:val="General"/>
          <w:gallery w:val="placeholder"/>
        </w:category>
        <w:types>
          <w:type w:val="bbPlcHdr"/>
        </w:types>
        <w:behaviors>
          <w:behavior w:val="content"/>
        </w:behaviors>
        <w:guid w:val="{E822B413-540C-4394-88F4-0378B8AB3FC4}"/>
      </w:docPartPr>
      <w:docPartBody>
        <w:p w:rsidR="00D24D1F" w:rsidRDefault="00D24D1F">
          <w:pPr>
            <w:pStyle w:val="6B54342D5ECC440EA3BC7D663C7E7C5C"/>
          </w:pPr>
          <w:r>
            <w:rPr>
              <w:rStyle w:val="PlaceholderText"/>
            </w:rPr>
            <w:t>Optional</w:t>
          </w:r>
        </w:p>
      </w:docPartBody>
    </w:docPart>
    <w:docPart>
      <w:docPartPr>
        <w:name w:val="47C37EB670CE4B2EBE4170A913083196"/>
        <w:category>
          <w:name w:val="General"/>
          <w:gallery w:val="placeholder"/>
        </w:category>
        <w:types>
          <w:type w:val="bbPlcHdr"/>
        </w:types>
        <w:behaviors>
          <w:behavior w:val="content"/>
        </w:behaviors>
        <w:guid w:val="{B9DD3EB5-A49E-4981-AEC6-1D70F2103A84}"/>
      </w:docPartPr>
      <w:docPartBody>
        <w:p w:rsidR="00D24D1F" w:rsidRDefault="00D24D1F">
          <w:pPr>
            <w:pStyle w:val="47C37EB670CE4B2EBE4170A913083196"/>
          </w:pPr>
          <w:r>
            <w:rPr>
              <w:rStyle w:val="PlaceholderText"/>
            </w:rPr>
            <w:t>Optional</w:t>
          </w:r>
        </w:p>
      </w:docPartBody>
    </w:docPart>
    <w:docPart>
      <w:docPartPr>
        <w:name w:val="131A9644B08B4503BCA19B69F5ACCEB1"/>
        <w:category>
          <w:name w:val="General"/>
          <w:gallery w:val="placeholder"/>
        </w:category>
        <w:types>
          <w:type w:val="bbPlcHdr"/>
        </w:types>
        <w:behaviors>
          <w:behavior w:val="content"/>
        </w:behaviors>
        <w:guid w:val="{BB7F1D5B-3322-4C18-8FF6-D8A1CC8B4F8A}"/>
      </w:docPartPr>
      <w:docPartBody>
        <w:p w:rsidR="00D24D1F" w:rsidRDefault="00D24D1F">
          <w:pPr>
            <w:pStyle w:val="131A9644B08B4503BCA19B69F5ACCEB1"/>
          </w:pPr>
          <w:r>
            <w:rPr>
              <w:rStyle w:val="PlaceholderText"/>
            </w:rPr>
            <w:t>Optional</w:t>
          </w:r>
        </w:p>
      </w:docPartBody>
    </w:docPart>
    <w:docPart>
      <w:docPartPr>
        <w:name w:val="75356EF355F945FC9747FF6BAB073F7C"/>
        <w:category>
          <w:name w:val="General"/>
          <w:gallery w:val="placeholder"/>
        </w:category>
        <w:types>
          <w:type w:val="bbPlcHdr"/>
        </w:types>
        <w:behaviors>
          <w:behavior w:val="content"/>
        </w:behaviors>
        <w:guid w:val="{8CC78BB9-856F-4EA6-A1C0-0562182551DC}"/>
      </w:docPartPr>
      <w:docPartBody>
        <w:p w:rsidR="00D24D1F" w:rsidRDefault="00D24D1F">
          <w:pPr>
            <w:pStyle w:val="75356EF355F945FC9747FF6BAB073F7C"/>
          </w:pPr>
          <w:r>
            <w:rPr>
              <w:rStyle w:val="PlaceholderText"/>
            </w:rPr>
            <w:t>Optional</w:t>
          </w:r>
        </w:p>
      </w:docPartBody>
    </w:docPart>
    <w:docPart>
      <w:docPartPr>
        <w:name w:val="FEA48C737C0D4683BAFFAC5251D07A8F"/>
        <w:category>
          <w:name w:val="General"/>
          <w:gallery w:val="placeholder"/>
        </w:category>
        <w:types>
          <w:type w:val="bbPlcHdr"/>
        </w:types>
        <w:behaviors>
          <w:behavior w:val="content"/>
        </w:behaviors>
        <w:guid w:val="{6B992961-2101-4208-80C9-88A1C26E2296}"/>
      </w:docPartPr>
      <w:docPartBody>
        <w:p w:rsidR="00D24D1F" w:rsidRDefault="00D24D1F">
          <w:pPr>
            <w:pStyle w:val="FEA48C737C0D4683BAFFAC5251D07A8F"/>
          </w:pPr>
          <w:r>
            <w:rPr>
              <w:rStyle w:val="PlaceholderText"/>
            </w:rPr>
            <w:t>Maximum of 5 lines</w:t>
          </w:r>
          <w:r>
            <w:rPr>
              <w:rStyle w:val="PlaceholderText"/>
            </w:rPr>
            <w:br/>
          </w:r>
          <w:r>
            <w:br/>
          </w:r>
          <w:r>
            <w:br/>
          </w:r>
          <w:r>
            <w:br/>
          </w:r>
          <w:r>
            <w:br/>
          </w:r>
        </w:p>
      </w:docPartBody>
    </w:docPart>
    <w:docPart>
      <w:docPartPr>
        <w:name w:val="F05A045BA5C547FFA819812082F99F64"/>
        <w:category>
          <w:name w:val="General"/>
          <w:gallery w:val="placeholder"/>
        </w:category>
        <w:types>
          <w:type w:val="bbPlcHdr"/>
        </w:types>
        <w:behaviors>
          <w:behavior w:val="content"/>
        </w:behaviors>
        <w:guid w:val="{BE16B5A2-1E19-4F4B-BC16-3A0A683BB7FA}"/>
      </w:docPartPr>
      <w:docPartBody>
        <w:p w:rsidR="00D24D1F" w:rsidRDefault="00D24D1F">
          <w:pPr>
            <w:pStyle w:val="F05A045BA5C547FFA819812082F99F64"/>
          </w:pPr>
          <w:r>
            <w:rPr>
              <w:rStyle w:val="PlaceholderText"/>
            </w:rPr>
            <w:t>Maximum of 5 lines</w:t>
          </w:r>
          <w:r>
            <w:rPr>
              <w:rStyle w:val="PlaceholderText"/>
            </w:rPr>
            <w:br/>
          </w:r>
          <w:r>
            <w:br/>
          </w:r>
          <w:r>
            <w:br/>
          </w:r>
          <w:r>
            <w:br/>
          </w:r>
          <w:r>
            <w:br/>
          </w:r>
        </w:p>
      </w:docPartBody>
    </w:docPart>
    <w:docPart>
      <w:docPartPr>
        <w:name w:val="8E46857312E447CC8A3CF42E83547C4B"/>
        <w:category>
          <w:name w:val="General"/>
          <w:gallery w:val="placeholder"/>
        </w:category>
        <w:types>
          <w:type w:val="bbPlcHdr"/>
        </w:types>
        <w:behaviors>
          <w:behavior w:val="content"/>
        </w:behaviors>
        <w:guid w:val="{4712ED00-2C43-4C0D-9363-1237EB251C5A}"/>
      </w:docPartPr>
      <w:docPartBody>
        <w:p w:rsidR="00D24D1F" w:rsidRDefault="00D24D1F">
          <w:pPr>
            <w:pStyle w:val="8E46857312E447CC8A3CF42E83547C4B"/>
          </w:pPr>
          <w:r>
            <w:rPr>
              <w:rStyle w:val="PlaceholderText"/>
            </w:rPr>
            <w:t>Optional</w:t>
          </w:r>
        </w:p>
      </w:docPartBody>
    </w:docPart>
    <w:docPart>
      <w:docPartPr>
        <w:name w:val="E51083BB2B31496FB07D304BD929D3A8"/>
        <w:category>
          <w:name w:val="General"/>
          <w:gallery w:val="placeholder"/>
        </w:category>
        <w:types>
          <w:type w:val="bbPlcHdr"/>
        </w:types>
        <w:behaviors>
          <w:behavior w:val="content"/>
        </w:behaviors>
        <w:guid w:val="{2DB0E62F-E2FF-4992-A6F8-DAF6FCF3F1F7}"/>
      </w:docPartPr>
      <w:docPartBody>
        <w:p w:rsidR="00D24D1F" w:rsidRDefault="00D24D1F">
          <w:pPr>
            <w:pStyle w:val="E51083BB2B31496FB07D304BD929D3A8"/>
          </w:pPr>
          <w:r>
            <w:rPr>
              <w:rStyle w:val="PlaceholderText"/>
            </w:rPr>
            <w:t>Optional</w:t>
          </w:r>
        </w:p>
      </w:docPartBody>
    </w:docPart>
    <w:docPart>
      <w:docPartPr>
        <w:name w:val="681DCCE261914F3DA519378E18066E44"/>
        <w:category>
          <w:name w:val="General"/>
          <w:gallery w:val="placeholder"/>
        </w:category>
        <w:types>
          <w:type w:val="bbPlcHdr"/>
        </w:types>
        <w:behaviors>
          <w:behavior w:val="content"/>
        </w:behaviors>
        <w:guid w:val="{7909BCC1-3DA4-4513-96F9-F830E14B9561}"/>
      </w:docPartPr>
      <w:docPartBody>
        <w:p w:rsidR="00D24D1F" w:rsidRDefault="00D24D1F">
          <w:pPr>
            <w:pStyle w:val="681DCCE261914F3DA519378E18066E44"/>
          </w:pPr>
          <w:r>
            <w:rPr>
              <w:rStyle w:val="PlaceholderText"/>
            </w:rPr>
            <w:t>Optional</w:t>
          </w:r>
        </w:p>
      </w:docPartBody>
    </w:docPart>
    <w:docPart>
      <w:docPartPr>
        <w:name w:val="26E1C348EEC5448392CE4FE96E277DB2"/>
        <w:category>
          <w:name w:val="General"/>
          <w:gallery w:val="placeholder"/>
        </w:category>
        <w:types>
          <w:type w:val="bbPlcHdr"/>
        </w:types>
        <w:behaviors>
          <w:behavior w:val="content"/>
        </w:behaviors>
        <w:guid w:val="{0D9D7FA5-1FC7-460F-934D-9FFAA40EAF59}"/>
      </w:docPartPr>
      <w:docPartBody>
        <w:p w:rsidR="00D24D1F" w:rsidRDefault="00D24D1F">
          <w:pPr>
            <w:pStyle w:val="26E1C348EEC5448392CE4FE96E277DB2"/>
          </w:pPr>
          <w:r>
            <w:rPr>
              <w:rStyle w:val="PlaceholderText"/>
            </w:rPr>
            <w:t>Optional</w:t>
          </w:r>
        </w:p>
      </w:docPartBody>
    </w:docPart>
    <w:docPart>
      <w:docPartPr>
        <w:name w:val="65D423DF745F485CAD6119301E6D20D8"/>
        <w:category>
          <w:name w:val="General"/>
          <w:gallery w:val="placeholder"/>
        </w:category>
        <w:types>
          <w:type w:val="bbPlcHdr"/>
        </w:types>
        <w:behaviors>
          <w:behavior w:val="content"/>
        </w:behaviors>
        <w:guid w:val="{9D73A104-2C9B-4B77-A1BC-470441ED557E}"/>
      </w:docPartPr>
      <w:docPartBody>
        <w:p w:rsidR="00D24D1F" w:rsidRDefault="00D24D1F">
          <w:pPr>
            <w:pStyle w:val="65D423DF745F485CAD6119301E6D20D8"/>
          </w:pPr>
          <w:r>
            <w:rPr>
              <w:rStyle w:val="PlaceholderText"/>
            </w:rPr>
            <w:t>Optional</w:t>
          </w:r>
        </w:p>
      </w:docPartBody>
    </w:docPart>
    <w:docPart>
      <w:docPartPr>
        <w:name w:val="9D39371601174F7C909FA176CDB531F7"/>
        <w:category>
          <w:name w:val="General"/>
          <w:gallery w:val="placeholder"/>
        </w:category>
        <w:types>
          <w:type w:val="bbPlcHdr"/>
        </w:types>
        <w:behaviors>
          <w:behavior w:val="content"/>
        </w:behaviors>
        <w:guid w:val="{292EFAB4-A714-4B06-8292-4B33D9DEE309}"/>
      </w:docPartPr>
      <w:docPartBody>
        <w:p w:rsidR="00D24D1F" w:rsidRDefault="00D24D1F">
          <w:pPr>
            <w:pStyle w:val="9D39371601174F7C909FA176CDB531F7"/>
          </w:pPr>
          <w:r>
            <w:rPr>
              <w:rStyle w:val="PlaceholderText"/>
            </w:rPr>
            <w:t>Optional</w:t>
          </w:r>
        </w:p>
      </w:docPartBody>
    </w:docPart>
    <w:docPart>
      <w:docPartPr>
        <w:name w:val="F1532AF15F6745E7885457F94308BB4E"/>
        <w:category>
          <w:name w:val="General"/>
          <w:gallery w:val="placeholder"/>
        </w:category>
        <w:types>
          <w:type w:val="bbPlcHdr"/>
        </w:types>
        <w:behaviors>
          <w:behavior w:val="content"/>
        </w:behaviors>
        <w:guid w:val="{9407D19A-DF6D-4F12-B5CB-BFDDFA45C033}"/>
      </w:docPartPr>
      <w:docPartBody>
        <w:p w:rsidR="00D24D1F" w:rsidRDefault="00D24D1F">
          <w:pPr>
            <w:pStyle w:val="F1532AF15F6745E7885457F94308BB4E"/>
          </w:pPr>
          <w:r>
            <w:rPr>
              <w:rStyle w:val="PlaceholderText"/>
            </w:rPr>
            <w:t>Optional</w:t>
          </w:r>
        </w:p>
      </w:docPartBody>
    </w:docPart>
    <w:docPart>
      <w:docPartPr>
        <w:name w:val="23A454A7F252442BA1ECD2FF4D0C9C7E"/>
        <w:category>
          <w:name w:val="General"/>
          <w:gallery w:val="placeholder"/>
        </w:category>
        <w:types>
          <w:type w:val="bbPlcHdr"/>
        </w:types>
        <w:behaviors>
          <w:behavior w:val="content"/>
        </w:behaviors>
        <w:guid w:val="{48D43A74-68E4-4F7E-A6AB-7DB9C0F46B10}"/>
      </w:docPartPr>
      <w:docPartBody>
        <w:p w:rsidR="00D24D1F" w:rsidRDefault="00D24D1F">
          <w:pPr>
            <w:pStyle w:val="23A454A7F252442BA1ECD2FF4D0C9C7E"/>
          </w:pPr>
          <w:r>
            <w:rPr>
              <w:rStyle w:val="PlaceholderText"/>
            </w:rPr>
            <w:t>Optional</w:t>
          </w:r>
        </w:p>
      </w:docPartBody>
    </w:docPart>
    <w:docPart>
      <w:docPartPr>
        <w:name w:val="0FB98A823ECF4F06B3679601F8A69BE2"/>
        <w:category>
          <w:name w:val="General"/>
          <w:gallery w:val="placeholder"/>
        </w:category>
        <w:types>
          <w:type w:val="bbPlcHdr"/>
        </w:types>
        <w:behaviors>
          <w:behavior w:val="content"/>
        </w:behaviors>
        <w:guid w:val="{7FF5909A-818A-4771-A51A-0410D73B28B4}"/>
      </w:docPartPr>
      <w:docPartBody>
        <w:p w:rsidR="00D24D1F" w:rsidRDefault="00D24D1F">
          <w:pPr>
            <w:pStyle w:val="0FB98A823ECF4F06B3679601F8A69BE2"/>
          </w:pPr>
          <w:r>
            <w:rPr>
              <w:rStyle w:val="PlaceholderText"/>
            </w:rPr>
            <w:t>Optional</w:t>
          </w:r>
        </w:p>
      </w:docPartBody>
    </w:docPart>
    <w:docPart>
      <w:docPartPr>
        <w:name w:val="38E2DCA3406344AAB3A84215F611428F"/>
        <w:category>
          <w:name w:val="General"/>
          <w:gallery w:val="placeholder"/>
        </w:category>
        <w:types>
          <w:type w:val="bbPlcHdr"/>
        </w:types>
        <w:behaviors>
          <w:behavior w:val="content"/>
        </w:behaviors>
        <w:guid w:val="{4B453DDA-0E69-463E-BDC6-249A850367B6}"/>
      </w:docPartPr>
      <w:docPartBody>
        <w:p w:rsidR="00D24D1F" w:rsidRDefault="00D24D1F">
          <w:pPr>
            <w:pStyle w:val="38E2DCA3406344AAB3A84215F611428F"/>
          </w:pPr>
          <w:r>
            <w:rPr>
              <w:rStyle w:val="PlaceholderText"/>
            </w:rPr>
            <w:t>Optional</w:t>
          </w:r>
        </w:p>
      </w:docPartBody>
    </w:docPart>
    <w:docPart>
      <w:docPartPr>
        <w:name w:val="4AF7EC815A2B4D65B46DDBE4B8975316"/>
        <w:category>
          <w:name w:val="General"/>
          <w:gallery w:val="placeholder"/>
        </w:category>
        <w:types>
          <w:type w:val="bbPlcHdr"/>
        </w:types>
        <w:behaviors>
          <w:behavior w:val="content"/>
        </w:behaviors>
        <w:guid w:val="{C918651A-B6AF-47A8-8B62-247B13D08F37}"/>
      </w:docPartPr>
      <w:docPartBody>
        <w:p w:rsidR="00D24D1F" w:rsidRDefault="00D24D1F">
          <w:pPr>
            <w:pStyle w:val="4AF7EC815A2B4D65B46DDBE4B8975316"/>
          </w:pPr>
          <w:r>
            <w:rPr>
              <w:rStyle w:val="PlaceholderText"/>
            </w:rPr>
            <w:t>Maximum of 5 lines</w:t>
          </w:r>
          <w:r>
            <w:rPr>
              <w:rStyle w:val="PlaceholderText"/>
            </w:rPr>
            <w:br/>
          </w:r>
          <w:r>
            <w:br/>
          </w:r>
          <w:r>
            <w:br/>
          </w:r>
          <w:r>
            <w:br/>
          </w:r>
          <w:r>
            <w:br/>
          </w:r>
        </w:p>
      </w:docPartBody>
    </w:docPart>
    <w:docPart>
      <w:docPartPr>
        <w:name w:val="821426ED917D4D88AD24B7669D82DB89"/>
        <w:category>
          <w:name w:val="General"/>
          <w:gallery w:val="placeholder"/>
        </w:category>
        <w:types>
          <w:type w:val="bbPlcHdr"/>
        </w:types>
        <w:behaviors>
          <w:behavior w:val="content"/>
        </w:behaviors>
        <w:guid w:val="{90F1AAEE-96D8-421A-AE3B-755109D877A5}"/>
      </w:docPartPr>
      <w:docPartBody>
        <w:p w:rsidR="00D24D1F" w:rsidRDefault="00D24D1F">
          <w:pPr>
            <w:pStyle w:val="821426ED917D4D88AD24B7669D82DB89"/>
          </w:pPr>
          <w:r>
            <w:rPr>
              <w:rStyle w:val="PlaceholderText"/>
            </w:rPr>
            <w:t>Maximum of 5 lines</w:t>
          </w:r>
          <w:r>
            <w:rPr>
              <w:rStyle w:val="PlaceholderText"/>
            </w:rPr>
            <w:br/>
          </w:r>
          <w:r>
            <w:br/>
          </w:r>
          <w:r>
            <w:br/>
          </w:r>
          <w:r>
            <w:br/>
          </w:r>
          <w:r>
            <w:br/>
          </w:r>
        </w:p>
      </w:docPartBody>
    </w:docPart>
    <w:docPart>
      <w:docPartPr>
        <w:name w:val="9B6CEF8FA4D04943A1D1E1AE2493D999"/>
        <w:category>
          <w:name w:val="General"/>
          <w:gallery w:val="placeholder"/>
        </w:category>
        <w:types>
          <w:type w:val="bbPlcHdr"/>
        </w:types>
        <w:behaviors>
          <w:behavior w:val="content"/>
        </w:behaviors>
        <w:guid w:val="{1523E088-C6AE-4CEC-B1F2-A22BA6381B9A}"/>
      </w:docPartPr>
      <w:docPartBody>
        <w:p w:rsidR="00D24D1F" w:rsidRDefault="00D24D1F">
          <w:pPr>
            <w:pStyle w:val="9B6CEF8FA4D04943A1D1E1AE2493D999"/>
          </w:pPr>
          <w:r>
            <w:rPr>
              <w:rStyle w:val="PlaceholderText"/>
            </w:rPr>
            <w:t>Optional</w:t>
          </w:r>
        </w:p>
      </w:docPartBody>
    </w:docPart>
    <w:docPart>
      <w:docPartPr>
        <w:name w:val="4030B8300ADE4D55902A6F3E5266D5A4"/>
        <w:category>
          <w:name w:val="General"/>
          <w:gallery w:val="placeholder"/>
        </w:category>
        <w:types>
          <w:type w:val="bbPlcHdr"/>
        </w:types>
        <w:behaviors>
          <w:behavior w:val="content"/>
        </w:behaviors>
        <w:guid w:val="{8666E799-2FAA-40B5-9EDA-C320C1C8C15B}"/>
      </w:docPartPr>
      <w:docPartBody>
        <w:p w:rsidR="00D24D1F" w:rsidRDefault="00D24D1F">
          <w:pPr>
            <w:pStyle w:val="4030B8300ADE4D55902A6F3E5266D5A4"/>
          </w:pPr>
          <w:r>
            <w:rPr>
              <w:rStyle w:val="PlaceholderText"/>
            </w:rPr>
            <w:t>Maximum of 5 lines</w:t>
          </w:r>
          <w:r>
            <w:rPr>
              <w:rStyle w:val="PlaceholderText"/>
            </w:rPr>
            <w:br/>
          </w:r>
          <w:r>
            <w:br/>
          </w:r>
          <w:r>
            <w:br/>
          </w:r>
          <w:r>
            <w:br/>
          </w:r>
          <w:r>
            <w:br/>
          </w:r>
        </w:p>
      </w:docPartBody>
    </w:docPart>
    <w:docPart>
      <w:docPartPr>
        <w:name w:val="C9B1CEC76180479984AFBBD6B4885295"/>
        <w:category>
          <w:name w:val="General"/>
          <w:gallery w:val="placeholder"/>
        </w:category>
        <w:types>
          <w:type w:val="bbPlcHdr"/>
        </w:types>
        <w:behaviors>
          <w:behavior w:val="content"/>
        </w:behaviors>
        <w:guid w:val="{539009A8-00DE-413A-B8FD-B87B71EE9DDA}"/>
      </w:docPartPr>
      <w:docPartBody>
        <w:p w:rsidR="00D24D1F" w:rsidRDefault="00D24D1F">
          <w:pPr>
            <w:pStyle w:val="C9B1CEC76180479984AFBBD6B4885295"/>
          </w:pPr>
          <w:r>
            <w:rPr>
              <w:rStyle w:val="PlaceholderText"/>
            </w:rPr>
            <w:t>Maximum of 5 lines</w:t>
          </w:r>
          <w:r>
            <w:rPr>
              <w:rStyle w:val="PlaceholderText"/>
            </w:rPr>
            <w:br/>
          </w:r>
          <w:r>
            <w:br/>
          </w:r>
          <w:r>
            <w:br/>
          </w:r>
          <w:r>
            <w:br/>
          </w:r>
          <w:r>
            <w:br/>
          </w:r>
        </w:p>
      </w:docPartBody>
    </w:docPart>
    <w:docPart>
      <w:docPartPr>
        <w:name w:val="D1C58E279DAE4F1B8A0C88EF965E5CA5"/>
        <w:category>
          <w:name w:val="General"/>
          <w:gallery w:val="placeholder"/>
        </w:category>
        <w:types>
          <w:type w:val="bbPlcHdr"/>
        </w:types>
        <w:behaviors>
          <w:behavior w:val="content"/>
        </w:behaviors>
        <w:guid w:val="{A7ED1DAB-3863-4138-85E4-1786C2B90C9C}"/>
      </w:docPartPr>
      <w:docPartBody>
        <w:p w:rsidR="00D24D1F" w:rsidRDefault="00D24D1F">
          <w:pPr>
            <w:pStyle w:val="D1C58E279DAE4F1B8A0C88EF965E5CA5"/>
          </w:pPr>
          <w:r>
            <w:rPr>
              <w:rStyle w:val="PlaceholderText"/>
            </w:rPr>
            <w:t>Insert</w:t>
          </w:r>
        </w:p>
      </w:docPartBody>
    </w:docPart>
    <w:docPart>
      <w:docPartPr>
        <w:name w:val="384F7D9832E2470490E9FCBF34F42E1B"/>
        <w:category>
          <w:name w:val="General"/>
          <w:gallery w:val="placeholder"/>
        </w:category>
        <w:types>
          <w:type w:val="bbPlcHdr"/>
        </w:types>
        <w:behaviors>
          <w:behavior w:val="content"/>
        </w:behaviors>
        <w:guid w:val="{675D0D11-B7D1-4412-AFDD-ED3E13AEDCF8}"/>
      </w:docPartPr>
      <w:docPartBody>
        <w:p w:rsidR="00D24D1F" w:rsidRDefault="00D24D1F">
          <w:pPr>
            <w:pStyle w:val="384F7D9832E2470490E9FCBF34F42E1B"/>
          </w:pPr>
          <w:r w:rsidRPr="00B10FBA">
            <w:rPr>
              <w:rStyle w:val="PlaceholderText"/>
            </w:rPr>
            <w:t>Insert</w:t>
          </w:r>
        </w:p>
      </w:docPartBody>
    </w:docPart>
    <w:docPart>
      <w:docPartPr>
        <w:name w:val="E9309126830C4F73ACB47C3DAA5D28E5"/>
        <w:category>
          <w:name w:val="General"/>
          <w:gallery w:val="placeholder"/>
        </w:category>
        <w:types>
          <w:type w:val="bbPlcHdr"/>
        </w:types>
        <w:behaviors>
          <w:behavior w:val="content"/>
        </w:behaviors>
        <w:guid w:val="{0FE7916A-EBAB-49FB-ADC0-0BC7C0D5D3F5}"/>
      </w:docPartPr>
      <w:docPartBody>
        <w:p w:rsidR="00D24D1F" w:rsidRDefault="00D24D1F">
          <w:pPr>
            <w:pStyle w:val="E9309126830C4F73ACB47C3DAA5D28E5"/>
          </w:pPr>
          <w:r w:rsidRPr="00B10FBA">
            <w:rPr>
              <w:rStyle w:val="PlaceholderText"/>
            </w:rPr>
            <w:t>Insert</w:t>
          </w:r>
        </w:p>
      </w:docPartBody>
    </w:docPart>
    <w:docPart>
      <w:docPartPr>
        <w:name w:val="D96EE0F039AB4909B542B3B0A4D61500"/>
        <w:category>
          <w:name w:val="General"/>
          <w:gallery w:val="placeholder"/>
        </w:category>
        <w:types>
          <w:type w:val="bbPlcHdr"/>
        </w:types>
        <w:behaviors>
          <w:behavior w:val="content"/>
        </w:behaviors>
        <w:guid w:val="{24D71DF7-500B-4AA9-99F9-C70CD7E06CE5}"/>
      </w:docPartPr>
      <w:docPartBody>
        <w:p w:rsidR="00D24D1F" w:rsidRDefault="00D24D1F">
          <w:pPr>
            <w:pStyle w:val="D96EE0F039AB4909B542B3B0A4D61500"/>
          </w:pPr>
          <w:r w:rsidRPr="00B10FBA">
            <w:rPr>
              <w:rStyle w:val="PlaceholderText"/>
            </w:rPr>
            <w:t>Insert</w:t>
          </w:r>
        </w:p>
      </w:docPartBody>
    </w:docPart>
    <w:docPart>
      <w:docPartPr>
        <w:name w:val="B8A7116AD599452F98E65A2F55D661DA"/>
        <w:category>
          <w:name w:val="General"/>
          <w:gallery w:val="placeholder"/>
        </w:category>
        <w:types>
          <w:type w:val="bbPlcHdr"/>
        </w:types>
        <w:behaviors>
          <w:behavior w:val="content"/>
        </w:behaviors>
        <w:guid w:val="{EA5CCEFD-669D-4AFE-8D89-2BE16140EAE2}"/>
      </w:docPartPr>
      <w:docPartBody>
        <w:p w:rsidR="005B40B3" w:rsidRDefault="00940D67" w:rsidP="00940D67">
          <w:pPr>
            <w:pStyle w:val="B8A7116AD599452F98E65A2F55D661DA"/>
          </w:pPr>
          <w:r>
            <w:rPr>
              <w:rStyle w:val="PlaceholderText"/>
            </w:rPr>
            <w:t>£m</w:t>
          </w:r>
        </w:p>
      </w:docPartBody>
    </w:docPart>
    <w:docPart>
      <w:docPartPr>
        <w:name w:val="CE67B93E03DF4FD498E96CB28A01EB45"/>
        <w:category>
          <w:name w:val="General"/>
          <w:gallery w:val="placeholder"/>
        </w:category>
        <w:types>
          <w:type w:val="bbPlcHdr"/>
        </w:types>
        <w:behaviors>
          <w:behavior w:val="content"/>
        </w:behaviors>
        <w:guid w:val="{D8BA577A-B505-4EC0-941C-D23D755F2F44}"/>
      </w:docPartPr>
      <w:docPartBody>
        <w:p w:rsidR="00013A4E" w:rsidRDefault="00013A4E" w:rsidP="00013A4E">
          <w:pPr>
            <w:pStyle w:val="CE67B93E03DF4FD498E96CB28A01EB45"/>
          </w:pPr>
          <w:r w:rsidRPr="007A73C6">
            <w:rPr>
              <w:rStyle w:val="PlaceholderText"/>
            </w:rPr>
            <w:t>Click here to enter text.</w:t>
          </w:r>
        </w:p>
      </w:docPartBody>
    </w:docPart>
    <w:docPart>
      <w:docPartPr>
        <w:name w:val="8556925AFBA4407DABCE340AFAAC9545"/>
        <w:category>
          <w:name w:val="General"/>
          <w:gallery w:val="placeholder"/>
        </w:category>
        <w:types>
          <w:type w:val="bbPlcHdr"/>
        </w:types>
        <w:behaviors>
          <w:behavior w:val="content"/>
        </w:behaviors>
        <w:guid w:val="{51BC144E-F54B-4A4A-92FF-9C40E09C0C8B}"/>
      </w:docPartPr>
      <w:docPartBody>
        <w:p w:rsidR="00013A4E" w:rsidRDefault="00013A4E" w:rsidP="00013A4E">
          <w:pPr>
            <w:pStyle w:val="8556925AFBA4407DABCE340AFAAC9545"/>
          </w:pPr>
          <w:r w:rsidRPr="007A73C6">
            <w:rPr>
              <w:rStyle w:val="PlaceholderText"/>
            </w:rPr>
            <w:t>Year</w:t>
          </w:r>
        </w:p>
      </w:docPartBody>
    </w:docPart>
    <w:docPart>
      <w:docPartPr>
        <w:name w:val="9A714F0824624F6E83FEEAD44C856696"/>
        <w:category>
          <w:name w:val="General"/>
          <w:gallery w:val="placeholder"/>
        </w:category>
        <w:types>
          <w:type w:val="bbPlcHdr"/>
        </w:types>
        <w:behaviors>
          <w:behavior w:val="content"/>
        </w:behaviors>
        <w:guid w:val="{01A2EE8E-FEBE-4170-BA38-27AEDDAFC326}"/>
      </w:docPartPr>
      <w:docPartBody>
        <w:p w:rsidR="00013A4E" w:rsidRDefault="00013A4E" w:rsidP="00013A4E">
          <w:pPr>
            <w:pStyle w:val="9A714F0824624F6E83FEEAD44C856696"/>
          </w:pPr>
          <w:r w:rsidRPr="007A73C6">
            <w:rPr>
              <w:rStyle w:val="PlaceholderText"/>
            </w:rPr>
            <w:t>Year</w:t>
          </w:r>
        </w:p>
      </w:docPartBody>
    </w:docPart>
    <w:docPart>
      <w:docPartPr>
        <w:name w:val="05471B99BD944D38AA2517BDDF28A797"/>
        <w:category>
          <w:name w:val="General"/>
          <w:gallery w:val="placeholder"/>
        </w:category>
        <w:types>
          <w:type w:val="bbPlcHdr"/>
        </w:types>
        <w:behaviors>
          <w:behavior w:val="content"/>
        </w:behaviors>
        <w:guid w:val="{329CF907-00B8-4E30-BFB4-209774B47487}"/>
      </w:docPartPr>
      <w:docPartBody>
        <w:p w:rsidR="00013A4E" w:rsidRDefault="00013A4E" w:rsidP="00013A4E">
          <w:pPr>
            <w:pStyle w:val="05471B99BD944D38AA2517BDDF28A797"/>
          </w:pPr>
          <w:r>
            <w:rPr>
              <w:rStyle w:val="PlaceholderText"/>
            </w:rPr>
            <w:t>Inse</w:t>
          </w:r>
          <w:r w:rsidRPr="007A73C6">
            <w:rPr>
              <w:rStyle w:val="PlaceholderText"/>
            </w:rPr>
            <w:t>r</w:t>
          </w:r>
          <w:r>
            <w:rPr>
              <w:rStyle w:val="PlaceholderText"/>
            </w:rPr>
            <w:t>t</w:t>
          </w:r>
        </w:p>
      </w:docPartBody>
    </w:docPart>
    <w:docPart>
      <w:docPartPr>
        <w:name w:val="C4173C8D14754594BDB6A6FBD90016CB"/>
        <w:category>
          <w:name w:val="General"/>
          <w:gallery w:val="placeholder"/>
        </w:category>
        <w:types>
          <w:type w:val="bbPlcHdr"/>
        </w:types>
        <w:behaviors>
          <w:behavior w:val="content"/>
        </w:behaviors>
        <w:guid w:val="{582715EF-0514-4C84-BACF-34F7070DAAFA}"/>
      </w:docPartPr>
      <w:docPartBody>
        <w:p w:rsidR="00013A4E" w:rsidRDefault="00013A4E" w:rsidP="00013A4E">
          <w:pPr>
            <w:pStyle w:val="C4173C8D14754594BDB6A6FBD90016CB"/>
          </w:pPr>
          <w:r w:rsidRPr="00C62A9A">
            <w:rPr>
              <w:rStyle w:val="PlaceholderText"/>
            </w:rPr>
            <w:t>Optional</w:t>
          </w:r>
        </w:p>
      </w:docPartBody>
    </w:docPart>
    <w:docPart>
      <w:docPartPr>
        <w:name w:val="1EBD52B3137847C68B77864A4C51E2C9"/>
        <w:category>
          <w:name w:val="General"/>
          <w:gallery w:val="placeholder"/>
        </w:category>
        <w:types>
          <w:type w:val="bbPlcHdr"/>
        </w:types>
        <w:behaviors>
          <w:behavior w:val="content"/>
        </w:behaviors>
        <w:guid w:val="{B919CAE9-6AF5-4786-9AFE-7961C8E81E0E}"/>
      </w:docPartPr>
      <w:docPartBody>
        <w:p w:rsidR="00013A4E" w:rsidRDefault="00013A4E" w:rsidP="00013A4E">
          <w:pPr>
            <w:pStyle w:val="1EBD52B3137847C68B77864A4C51E2C9"/>
          </w:pPr>
          <w:r w:rsidRPr="00C62A9A">
            <w:rPr>
              <w:rStyle w:val="PlaceholderText"/>
            </w:rPr>
            <w:t>Optional</w:t>
          </w:r>
        </w:p>
      </w:docPartBody>
    </w:docPart>
    <w:docPart>
      <w:docPartPr>
        <w:name w:val="47EEC50BBC3E4DA1A1B1E2EE67CBDE38"/>
        <w:category>
          <w:name w:val="General"/>
          <w:gallery w:val="placeholder"/>
        </w:category>
        <w:types>
          <w:type w:val="bbPlcHdr"/>
        </w:types>
        <w:behaviors>
          <w:behavior w:val="content"/>
        </w:behaviors>
        <w:guid w:val="{4CA1E707-7F63-484F-9D03-1DD671C50450}"/>
      </w:docPartPr>
      <w:docPartBody>
        <w:p w:rsidR="00013A4E" w:rsidRDefault="00013A4E" w:rsidP="00013A4E">
          <w:pPr>
            <w:pStyle w:val="47EEC50BBC3E4DA1A1B1E2EE67CBDE38"/>
          </w:pPr>
          <w:r w:rsidRPr="00C62A9A">
            <w:rPr>
              <w:rStyle w:val="PlaceholderText"/>
            </w:rPr>
            <w:t>Optional</w:t>
          </w:r>
        </w:p>
      </w:docPartBody>
    </w:docPart>
    <w:docPart>
      <w:docPartPr>
        <w:name w:val="6DC48419597F483197639975441DD5FE"/>
        <w:category>
          <w:name w:val="General"/>
          <w:gallery w:val="placeholder"/>
        </w:category>
        <w:types>
          <w:type w:val="bbPlcHdr"/>
        </w:types>
        <w:behaviors>
          <w:behavior w:val="content"/>
        </w:behaviors>
        <w:guid w:val="{FA08DFFE-E6A1-4AA0-9C78-FB247DE7FB51}"/>
      </w:docPartPr>
      <w:docPartBody>
        <w:p w:rsidR="00013A4E" w:rsidRDefault="00013A4E" w:rsidP="00013A4E">
          <w:pPr>
            <w:pStyle w:val="6DC48419597F483197639975441DD5FE"/>
          </w:pPr>
          <w:r>
            <w:rPr>
              <w:rStyle w:val="PlaceholderText"/>
            </w:rPr>
            <w:t>Optional</w:t>
          </w:r>
        </w:p>
      </w:docPartBody>
    </w:docPart>
    <w:docPart>
      <w:docPartPr>
        <w:name w:val="D6374E7CB2F64A93B35B3A361CF1F2D9"/>
        <w:category>
          <w:name w:val="General"/>
          <w:gallery w:val="placeholder"/>
        </w:category>
        <w:types>
          <w:type w:val="bbPlcHdr"/>
        </w:types>
        <w:behaviors>
          <w:behavior w:val="content"/>
        </w:behaviors>
        <w:guid w:val="{EAB6CF8C-0F51-4521-BCE4-EFAC3415F14F}"/>
      </w:docPartPr>
      <w:docPartBody>
        <w:p w:rsidR="00013A4E" w:rsidRDefault="00013A4E" w:rsidP="00013A4E">
          <w:pPr>
            <w:pStyle w:val="D6374E7CB2F64A93B35B3A361CF1F2D9"/>
          </w:pPr>
          <w:r>
            <w:rPr>
              <w:rStyle w:val="PlaceholderText"/>
            </w:rPr>
            <w:t>Optional</w:t>
          </w:r>
        </w:p>
      </w:docPartBody>
    </w:docPart>
    <w:docPart>
      <w:docPartPr>
        <w:name w:val="3EC4CA34333A48DF8C0AB0673643DA55"/>
        <w:category>
          <w:name w:val="General"/>
          <w:gallery w:val="placeholder"/>
        </w:category>
        <w:types>
          <w:type w:val="bbPlcHdr"/>
        </w:types>
        <w:behaviors>
          <w:behavior w:val="content"/>
        </w:behaviors>
        <w:guid w:val="{F868EC60-04A4-4023-AFD1-B25D42206A2E}"/>
      </w:docPartPr>
      <w:docPartBody>
        <w:p w:rsidR="00013A4E" w:rsidRDefault="00013A4E" w:rsidP="00013A4E">
          <w:pPr>
            <w:pStyle w:val="3EC4CA34333A48DF8C0AB0673643DA55"/>
          </w:pPr>
          <w:r>
            <w:rPr>
              <w:rStyle w:val="PlaceholderText"/>
            </w:rPr>
            <w:t>Optional</w:t>
          </w:r>
        </w:p>
      </w:docPartBody>
    </w:docPart>
    <w:docPart>
      <w:docPartPr>
        <w:name w:val="999A1B57BB3F4F31AE8A170B24458535"/>
        <w:category>
          <w:name w:val="General"/>
          <w:gallery w:val="placeholder"/>
        </w:category>
        <w:types>
          <w:type w:val="bbPlcHdr"/>
        </w:types>
        <w:behaviors>
          <w:behavior w:val="content"/>
        </w:behaviors>
        <w:guid w:val="{B3DA3FB3-84E7-4A5D-B1C7-011AEEA26B4D}"/>
      </w:docPartPr>
      <w:docPartBody>
        <w:p w:rsidR="00013A4E" w:rsidRDefault="00013A4E" w:rsidP="00013A4E">
          <w:pPr>
            <w:pStyle w:val="999A1B57BB3F4F31AE8A170B24458535"/>
          </w:pPr>
          <w:r>
            <w:rPr>
              <w:rStyle w:val="PlaceholderText"/>
            </w:rPr>
            <w:t>Optional</w:t>
          </w:r>
        </w:p>
      </w:docPartBody>
    </w:docPart>
    <w:docPart>
      <w:docPartPr>
        <w:name w:val="EE7924BCCC18412B8A211623AFB534BC"/>
        <w:category>
          <w:name w:val="General"/>
          <w:gallery w:val="placeholder"/>
        </w:category>
        <w:types>
          <w:type w:val="bbPlcHdr"/>
        </w:types>
        <w:behaviors>
          <w:behavior w:val="content"/>
        </w:behaviors>
        <w:guid w:val="{E89E5E68-8734-4A78-95BA-70D080C93E1A}"/>
      </w:docPartPr>
      <w:docPartBody>
        <w:p w:rsidR="00013A4E" w:rsidRDefault="00013A4E" w:rsidP="00013A4E">
          <w:pPr>
            <w:pStyle w:val="EE7924BCCC18412B8A211623AFB534BC"/>
          </w:pPr>
          <w:r>
            <w:rPr>
              <w:rStyle w:val="PlaceholderText"/>
            </w:rPr>
            <w:t>Optional</w:t>
          </w:r>
        </w:p>
      </w:docPartBody>
    </w:docPart>
    <w:docPart>
      <w:docPartPr>
        <w:name w:val="0EB1E64CCC924199A97F0ACEBD86344E"/>
        <w:category>
          <w:name w:val="General"/>
          <w:gallery w:val="placeholder"/>
        </w:category>
        <w:types>
          <w:type w:val="bbPlcHdr"/>
        </w:types>
        <w:behaviors>
          <w:behavior w:val="content"/>
        </w:behaviors>
        <w:guid w:val="{0C5ABB77-9008-4E9A-B312-0D61F359D0D6}"/>
      </w:docPartPr>
      <w:docPartBody>
        <w:p w:rsidR="00013A4E" w:rsidRDefault="00013A4E" w:rsidP="00013A4E">
          <w:pPr>
            <w:pStyle w:val="0EB1E64CCC924199A97F0ACEBD86344E"/>
          </w:pPr>
          <w:r>
            <w:rPr>
              <w:rStyle w:val="PlaceholderText"/>
            </w:rPr>
            <w:t>Optional</w:t>
          </w:r>
        </w:p>
      </w:docPartBody>
    </w:docPart>
    <w:docPart>
      <w:docPartPr>
        <w:name w:val="31F9B25F6F574D2790D36B3918352365"/>
        <w:category>
          <w:name w:val="General"/>
          <w:gallery w:val="placeholder"/>
        </w:category>
        <w:types>
          <w:type w:val="bbPlcHdr"/>
        </w:types>
        <w:behaviors>
          <w:behavior w:val="content"/>
        </w:behaviors>
        <w:guid w:val="{A4EE2F56-F449-4594-AA7E-7F57E128A5F0}"/>
      </w:docPartPr>
      <w:docPartBody>
        <w:p w:rsidR="00013A4E" w:rsidRDefault="00013A4E" w:rsidP="00013A4E">
          <w:pPr>
            <w:pStyle w:val="31F9B25F6F574D2790D36B3918352365"/>
          </w:pPr>
          <w:r>
            <w:rPr>
              <w:rStyle w:val="PlaceholderText"/>
            </w:rPr>
            <w:t>Optional</w:t>
          </w:r>
        </w:p>
      </w:docPartBody>
    </w:docPart>
    <w:docPart>
      <w:docPartPr>
        <w:name w:val="989DBCAA10424EFC82E4A8EACD40BAAC"/>
        <w:category>
          <w:name w:val="General"/>
          <w:gallery w:val="placeholder"/>
        </w:category>
        <w:types>
          <w:type w:val="bbPlcHdr"/>
        </w:types>
        <w:behaviors>
          <w:behavior w:val="content"/>
        </w:behaviors>
        <w:guid w:val="{D66547D1-BD5B-4F45-84B0-DAD5EE3ED1A0}"/>
      </w:docPartPr>
      <w:docPartBody>
        <w:p w:rsidR="00013A4E" w:rsidRDefault="00013A4E" w:rsidP="00013A4E">
          <w:pPr>
            <w:pStyle w:val="989DBCAA10424EFC82E4A8EACD40BAAC"/>
          </w:pPr>
          <w:r>
            <w:rPr>
              <w:rStyle w:val="PlaceholderText"/>
            </w:rPr>
            <w:t>Optional</w:t>
          </w:r>
        </w:p>
      </w:docPartBody>
    </w:docPart>
    <w:docPart>
      <w:docPartPr>
        <w:name w:val="70E1CB47EFB04E76943AA74960E2AA0F"/>
        <w:category>
          <w:name w:val="General"/>
          <w:gallery w:val="placeholder"/>
        </w:category>
        <w:types>
          <w:type w:val="bbPlcHdr"/>
        </w:types>
        <w:behaviors>
          <w:behavior w:val="content"/>
        </w:behaviors>
        <w:guid w:val="{A56D790E-42F7-4FCF-94EA-D8CB51E47F42}"/>
      </w:docPartPr>
      <w:docPartBody>
        <w:p w:rsidR="00013A4E" w:rsidRDefault="00013A4E" w:rsidP="00013A4E">
          <w:pPr>
            <w:pStyle w:val="70E1CB47EFB04E76943AA74960E2AA0F"/>
          </w:pPr>
          <w:r>
            <w:rPr>
              <w:rStyle w:val="PlaceholderText"/>
            </w:rPr>
            <w:t>Optional</w:t>
          </w:r>
        </w:p>
      </w:docPartBody>
    </w:docPart>
    <w:docPart>
      <w:docPartPr>
        <w:name w:val="E076279F85894353A77FB81D3526BEEA"/>
        <w:category>
          <w:name w:val="General"/>
          <w:gallery w:val="placeholder"/>
        </w:category>
        <w:types>
          <w:type w:val="bbPlcHdr"/>
        </w:types>
        <w:behaviors>
          <w:behavior w:val="content"/>
        </w:behaviors>
        <w:guid w:val="{AD53914D-A772-4DD9-8A2A-EB9AB86DF17E}"/>
      </w:docPartPr>
      <w:docPartBody>
        <w:p w:rsidR="00013A4E" w:rsidRDefault="00013A4E" w:rsidP="00013A4E">
          <w:pPr>
            <w:pStyle w:val="E076279F85894353A77FB81D3526BEEA"/>
          </w:pPr>
          <w:r>
            <w:rPr>
              <w:rStyle w:val="PlaceholderText"/>
            </w:rPr>
            <w:t>Optional</w:t>
          </w:r>
        </w:p>
      </w:docPartBody>
    </w:docPart>
    <w:docPart>
      <w:docPartPr>
        <w:name w:val="55C3761E6ABE4DBE952657E177C92025"/>
        <w:category>
          <w:name w:val="General"/>
          <w:gallery w:val="placeholder"/>
        </w:category>
        <w:types>
          <w:type w:val="bbPlcHdr"/>
        </w:types>
        <w:behaviors>
          <w:behavior w:val="content"/>
        </w:behaviors>
        <w:guid w:val="{047C4341-26B7-485B-A1B4-211D91191B45}"/>
      </w:docPartPr>
      <w:docPartBody>
        <w:p w:rsidR="00013A4E" w:rsidRDefault="00013A4E" w:rsidP="00013A4E">
          <w:pPr>
            <w:pStyle w:val="55C3761E6ABE4DBE952657E177C92025"/>
          </w:pPr>
          <w:r>
            <w:rPr>
              <w:rStyle w:val="PlaceholderText"/>
            </w:rPr>
            <w:t>Maximum of 5 lines</w:t>
          </w:r>
          <w:r>
            <w:rPr>
              <w:rStyle w:val="PlaceholderText"/>
            </w:rPr>
            <w:br/>
          </w:r>
          <w:r>
            <w:br/>
          </w:r>
          <w:r>
            <w:br/>
          </w:r>
          <w:r>
            <w:br/>
          </w:r>
          <w:r>
            <w:br/>
          </w:r>
        </w:p>
      </w:docPartBody>
    </w:docPart>
    <w:docPart>
      <w:docPartPr>
        <w:name w:val="D2DE24E6E0344C18AD1471893580767E"/>
        <w:category>
          <w:name w:val="General"/>
          <w:gallery w:val="placeholder"/>
        </w:category>
        <w:types>
          <w:type w:val="bbPlcHdr"/>
        </w:types>
        <w:behaviors>
          <w:behavior w:val="content"/>
        </w:behaviors>
        <w:guid w:val="{1DCFDE7D-A9A6-4DD9-815C-1A951C548193}"/>
      </w:docPartPr>
      <w:docPartBody>
        <w:p w:rsidR="00013A4E" w:rsidRDefault="00013A4E" w:rsidP="00013A4E">
          <w:pPr>
            <w:pStyle w:val="D2DE24E6E0344C18AD1471893580767E"/>
          </w:pPr>
          <w:r>
            <w:rPr>
              <w:rStyle w:val="PlaceholderText"/>
            </w:rPr>
            <w:t>Maximum of 5 lines</w:t>
          </w:r>
          <w:r>
            <w:rPr>
              <w:rStyle w:val="PlaceholderText"/>
            </w:rPr>
            <w:br/>
          </w:r>
          <w:r>
            <w:br/>
          </w:r>
          <w:r>
            <w:br/>
          </w:r>
          <w:r>
            <w:br/>
          </w:r>
          <w:r>
            <w:br/>
          </w:r>
        </w:p>
      </w:docPartBody>
    </w:docPart>
    <w:docPart>
      <w:docPartPr>
        <w:name w:val="AC7C237F0E304A548887D769995D8259"/>
        <w:category>
          <w:name w:val="General"/>
          <w:gallery w:val="placeholder"/>
        </w:category>
        <w:types>
          <w:type w:val="bbPlcHdr"/>
        </w:types>
        <w:behaviors>
          <w:behavior w:val="content"/>
        </w:behaviors>
        <w:guid w:val="{8B9CCF8A-0C58-4CC1-BBDE-C352A70D2821}"/>
      </w:docPartPr>
      <w:docPartBody>
        <w:p w:rsidR="00013A4E" w:rsidRDefault="00013A4E" w:rsidP="00013A4E">
          <w:pPr>
            <w:pStyle w:val="AC7C237F0E304A548887D769995D8259"/>
          </w:pPr>
          <w:r>
            <w:rPr>
              <w:rStyle w:val="PlaceholderText"/>
            </w:rPr>
            <w:t>Optional</w:t>
          </w:r>
        </w:p>
      </w:docPartBody>
    </w:docPart>
    <w:docPart>
      <w:docPartPr>
        <w:name w:val="7C62CC19EB3C4EACB0E149BBADA578F3"/>
        <w:category>
          <w:name w:val="General"/>
          <w:gallery w:val="placeholder"/>
        </w:category>
        <w:types>
          <w:type w:val="bbPlcHdr"/>
        </w:types>
        <w:behaviors>
          <w:behavior w:val="content"/>
        </w:behaviors>
        <w:guid w:val="{86AF8E6F-1DC3-46FE-AD91-F1EC16095FA6}"/>
      </w:docPartPr>
      <w:docPartBody>
        <w:p w:rsidR="00013A4E" w:rsidRDefault="00013A4E" w:rsidP="00013A4E">
          <w:pPr>
            <w:pStyle w:val="7C62CC19EB3C4EACB0E149BBADA578F3"/>
          </w:pPr>
          <w:r>
            <w:rPr>
              <w:rStyle w:val="PlaceholderText"/>
            </w:rPr>
            <w:t>Optional</w:t>
          </w:r>
        </w:p>
      </w:docPartBody>
    </w:docPart>
    <w:docPart>
      <w:docPartPr>
        <w:name w:val="F72EC1D3A3804BE0AEA8849064496DB2"/>
        <w:category>
          <w:name w:val="General"/>
          <w:gallery w:val="placeholder"/>
        </w:category>
        <w:types>
          <w:type w:val="bbPlcHdr"/>
        </w:types>
        <w:behaviors>
          <w:behavior w:val="content"/>
        </w:behaviors>
        <w:guid w:val="{1EED57B6-9B39-477F-ABE7-92031A7BDCBB}"/>
      </w:docPartPr>
      <w:docPartBody>
        <w:p w:rsidR="00013A4E" w:rsidRDefault="00013A4E" w:rsidP="00013A4E">
          <w:pPr>
            <w:pStyle w:val="F72EC1D3A3804BE0AEA8849064496DB2"/>
          </w:pPr>
          <w:r>
            <w:rPr>
              <w:rStyle w:val="PlaceholderText"/>
            </w:rPr>
            <w:t>Optional</w:t>
          </w:r>
        </w:p>
      </w:docPartBody>
    </w:docPart>
    <w:docPart>
      <w:docPartPr>
        <w:name w:val="55EB3925C0BD4816B7814E73C4C34028"/>
        <w:category>
          <w:name w:val="General"/>
          <w:gallery w:val="placeholder"/>
        </w:category>
        <w:types>
          <w:type w:val="bbPlcHdr"/>
        </w:types>
        <w:behaviors>
          <w:behavior w:val="content"/>
        </w:behaviors>
        <w:guid w:val="{69C38301-2C75-4720-91C6-5F21E7831D8B}"/>
      </w:docPartPr>
      <w:docPartBody>
        <w:p w:rsidR="00013A4E" w:rsidRDefault="00013A4E" w:rsidP="00013A4E">
          <w:pPr>
            <w:pStyle w:val="55EB3925C0BD4816B7814E73C4C34028"/>
          </w:pPr>
          <w:r>
            <w:rPr>
              <w:rStyle w:val="PlaceholderText"/>
            </w:rPr>
            <w:t>Optional</w:t>
          </w:r>
        </w:p>
      </w:docPartBody>
    </w:docPart>
    <w:docPart>
      <w:docPartPr>
        <w:name w:val="7FF2CF27EEC540F598409F2C1FFE5BD2"/>
        <w:category>
          <w:name w:val="General"/>
          <w:gallery w:val="placeholder"/>
        </w:category>
        <w:types>
          <w:type w:val="bbPlcHdr"/>
        </w:types>
        <w:behaviors>
          <w:behavior w:val="content"/>
        </w:behaviors>
        <w:guid w:val="{F93E468F-5A5F-4200-877D-2C4894C6F504}"/>
      </w:docPartPr>
      <w:docPartBody>
        <w:p w:rsidR="00013A4E" w:rsidRDefault="00013A4E" w:rsidP="00013A4E">
          <w:pPr>
            <w:pStyle w:val="7FF2CF27EEC540F598409F2C1FFE5BD2"/>
          </w:pPr>
          <w:r>
            <w:rPr>
              <w:rStyle w:val="PlaceholderText"/>
            </w:rPr>
            <w:t>Optional</w:t>
          </w:r>
        </w:p>
      </w:docPartBody>
    </w:docPart>
    <w:docPart>
      <w:docPartPr>
        <w:name w:val="47162943909A4AE88EBAAECA5904A384"/>
        <w:category>
          <w:name w:val="General"/>
          <w:gallery w:val="placeholder"/>
        </w:category>
        <w:types>
          <w:type w:val="bbPlcHdr"/>
        </w:types>
        <w:behaviors>
          <w:behavior w:val="content"/>
        </w:behaviors>
        <w:guid w:val="{2DE389DB-2D5E-43B1-91FA-584F8173A696}"/>
      </w:docPartPr>
      <w:docPartBody>
        <w:p w:rsidR="00013A4E" w:rsidRDefault="00013A4E" w:rsidP="00013A4E">
          <w:pPr>
            <w:pStyle w:val="47162943909A4AE88EBAAECA5904A384"/>
          </w:pPr>
          <w:r>
            <w:rPr>
              <w:rStyle w:val="PlaceholderText"/>
            </w:rPr>
            <w:t>Optional</w:t>
          </w:r>
        </w:p>
      </w:docPartBody>
    </w:docPart>
    <w:docPart>
      <w:docPartPr>
        <w:name w:val="308699B2465244F09FA3FB238056D00A"/>
        <w:category>
          <w:name w:val="General"/>
          <w:gallery w:val="placeholder"/>
        </w:category>
        <w:types>
          <w:type w:val="bbPlcHdr"/>
        </w:types>
        <w:behaviors>
          <w:behavior w:val="content"/>
        </w:behaviors>
        <w:guid w:val="{4814AB94-C54C-4BD6-838B-4E3AB15EC6D7}"/>
      </w:docPartPr>
      <w:docPartBody>
        <w:p w:rsidR="00013A4E" w:rsidRDefault="00013A4E" w:rsidP="00013A4E">
          <w:pPr>
            <w:pStyle w:val="308699B2465244F09FA3FB238056D00A"/>
          </w:pPr>
          <w:r>
            <w:rPr>
              <w:rStyle w:val="PlaceholderText"/>
            </w:rPr>
            <w:t>Optional</w:t>
          </w:r>
        </w:p>
      </w:docPartBody>
    </w:docPart>
    <w:docPart>
      <w:docPartPr>
        <w:name w:val="99A1ED0153554FCEA7D9EC8C76ADDE7F"/>
        <w:category>
          <w:name w:val="General"/>
          <w:gallery w:val="placeholder"/>
        </w:category>
        <w:types>
          <w:type w:val="bbPlcHdr"/>
        </w:types>
        <w:behaviors>
          <w:behavior w:val="content"/>
        </w:behaviors>
        <w:guid w:val="{688BD291-B16A-46AB-9768-BA8892C50034}"/>
      </w:docPartPr>
      <w:docPartBody>
        <w:p w:rsidR="00013A4E" w:rsidRDefault="00013A4E" w:rsidP="00013A4E">
          <w:pPr>
            <w:pStyle w:val="99A1ED0153554FCEA7D9EC8C76ADDE7F"/>
          </w:pPr>
          <w:r>
            <w:rPr>
              <w:rStyle w:val="PlaceholderText"/>
            </w:rPr>
            <w:t>Optional</w:t>
          </w:r>
        </w:p>
      </w:docPartBody>
    </w:docPart>
    <w:docPart>
      <w:docPartPr>
        <w:name w:val="D490FE8E49214273AAC1F849B266A84C"/>
        <w:category>
          <w:name w:val="General"/>
          <w:gallery w:val="placeholder"/>
        </w:category>
        <w:types>
          <w:type w:val="bbPlcHdr"/>
        </w:types>
        <w:behaviors>
          <w:behavior w:val="content"/>
        </w:behaviors>
        <w:guid w:val="{B7647154-9E85-46FF-B91D-8A172418D0DA}"/>
      </w:docPartPr>
      <w:docPartBody>
        <w:p w:rsidR="00013A4E" w:rsidRDefault="00013A4E" w:rsidP="00013A4E">
          <w:pPr>
            <w:pStyle w:val="D490FE8E49214273AAC1F849B266A84C"/>
          </w:pPr>
          <w:r>
            <w:rPr>
              <w:rStyle w:val="PlaceholderText"/>
            </w:rPr>
            <w:t>Optional</w:t>
          </w:r>
        </w:p>
      </w:docPartBody>
    </w:docPart>
    <w:docPart>
      <w:docPartPr>
        <w:name w:val="29106CC3792F4A4C99A15EDFC7F509C2"/>
        <w:category>
          <w:name w:val="General"/>
          <w:gallery w:val="placeholder"/>
        </w:category>
        <w:types>
          <w:type w:val="bbPlcHdr"/>
        </w:types>
        <w:behaviors>
          <w:behavior w:val="content"/>
        </w:behaviors>
        <w:guid w:val="{7676B26A-664D-457F-8F7A-0528C4ACE6E0}"/>
      </w:docPartPr>
      <w:docPartBody>
        <w:p w:rsidR="00013A4E" w:rsidRDefault="00013A4E" w:rsidP="00013A4E">
          <w:pPr>
            <w:pStyle w:val="29106CC3792F4A4C99A15EDFC7F509C2"/>
          </w:pPr>
          <w:r>
            <w:rPr>
              <w:rStyle w:val="PlaceholderText"/>
            </w:rPr>
            <w:t>Optional</w:t>
          </w:r>
        </w:p>
      </w:docPartBody>
    </w:docPart>
    <w:docPart>
      <w:docPartPr>
        <w:name w:val="64257912A8E24FCDA67E413F65FAA9C2"/>
        <w:category>
          <w:name w:val="General"/>
          <w:gallery w:val="placeholder"/>
        </w:category>
        <w:types>
          <w:type w:val="bbPlcHdr"/>
        </w:types>
        <w:behaviors>
          <w:behavior w:val="content"/>
        </w:behaviors>
        <w:guid w:val="{4DA35115-BA0A-444B-8BFB-07B2A5041E4A}"/>
      </w:docPartPr>
      <w:docPartBody>
        <w:p w:rsidR="00013A4E" w:rsidRDefault="00013A4E" w:rsidP="00013A4E">
          <w:pPr>
            <w:pStyle w:val="64257912A8E24FCDA67E413F65FAA9C2"/>
          </w:pPr>
          <w:r>
            <w:rPr>
              <w:rStyle w:val="PlaceholderText"/>
            </w:rPr>
            <w:t>Maximum of 5 lines</w:t>
          </w:r>
          <w:r>
            <w:rPr>
              <w:rStyle w:val="PlaceholderText"/>
            </w:rPr>
            <w:br/>
          </w:r>
          <w:r>
            <w:br/>
          </w:r>
          <w:r>
            <w:br/>
          </w:r>
          <w:r>
            <w:br/>
          </w:r>
          <w:r>
            <w:br/>
          </w:r>
        </w:p>
      </w:docPartBody>
    </w:docPart>
    <w:docPart>
      <w:docPartPr>
        <w:name w:val="0DF415D764BA470F8D8A06D239A30A05"/>
        <w:category>
          <w:name w:val="General"/>
          <w:gallery w:val="placeholder"/>
        </w:category>
        <w:types>
          <w:type w:val="bbPlcHdr"/>
        </w:types>
        <w:behaviors>
          <w:behavior w:val="content"/>
        </w:behaviors>
        <w:guid w:val="{A36134B6-FC99-4686-880A-B8B7369CD5B8}"/>
      </w:docPartPr>
      <w:docPartBody>
        <w:p w:rsidR="00013A4E" w:rsidRDefault="00013A4E" w:rsidP="00013A4E">
          <w:pPr>
            <w:pStyle w:val="0DF415D764BA470F8D8A06D239A30A05"/>
          </w:pPr>
          <w:r>
            <w:rPr>
              <w:rStyle w:val="PlaceholderText"/>
            </w:rPr>
            <w:t>Maximum of 5 lines</w:t>
          </w:r>
          <w:r>
            <w:rPr>
              <w:rStyle w:val="PlaceholderText"/>
            </w:rPr>
            <w:br/>
          </w:r>
          <w:r>
            <w:br/>
          </w:r>
          <w:r>
            <w:br/>
          </w:r>
          <w:r>
            <w:br/>
          </w:r>
          <w:r>
            <w:br/>
          </w:r>
        </w:p>
      </w:docPartBody>
    </w:docPart>
    <w:docPart>
      <w:docPartPr>
        <w:name w:val="8D3246E8FF994BEB9DE43B4838528732"/>
        <w:category>
          <w:name w:val="General"/>
          <w:gallery w:val="placeholder"/>
        </w:category>
        <w:types>
          <w:type w:val="bbPlcHdr"/>
        </w:types>
        <w:behaviors>
          <w:behavior w:val="content"/>
        </w:behaviors>
        <w:guid w:val="{2F28907E-82F2-49D3-A8A8-4A441233905C}"/>
      </w:docPartPr>
      <w:docPartBody>
        <w:p w:rsidR="00013A4E" w:rsidRDefault="00013A4E" w:rsidP="00013A4E">
          <w:pPr>
            <w:pStyle w:val="8D3246E8FF994BEB9DE43B4838528732"/>
          </w:pPr>
          <w:r>
            <w:rPr>
              <w:rStyle w:val="PlaceholderText"/>
            </w:rPr>
            <w:t>Optional</w:t>
          </w:r>
        </w:p>
      </w:docPartBody>
    </w:docPart>
    <w:docPart>
      <w:docPartPr>
        <w:name w:val="4C08F025BF8B4573B64DED27007C48B9"/>
        <w:category>
          <w:name w:val="General"/>
          <w:gallery w:val="placeholder"/>
        </w:category>
        <w:types>
          <w:type w:val="bbPlcHdr"/>
        </w:types>
        <w:behaviors>
          <w:behavior w:val="content"/>
        </w:behaviors>
        <w:guid w:val="{3F44E89B-F8A2-4EBC-A2B5-71B1D00E3736}"/>
      </w:docPartPr>
      <w:docPartBody>
        <w:p w:rsidR="00013A4E" w:rsidRDefault="00013A4E" w:rsidP="00013A4E">
          <w:pPr>
            <w:pStyle w:val="4C08F025BF8B4573B64DED27007C48B9"/>
          </w:pPr>
          <w:r>
            <w:rPr>
              <w:rStyle w:val="PlaceholderText"/>
            </w:rPr>
            <w:t>Maximum of 5 lines</w:t>
          </w:r>
          <w:r>
            <w:rPr>
              <w:rStyle w:val="PlaceholderText"/>
            </w:rPr>
            <w:br/>
          </w:r>
          <w:r>
            <w:br/>
          </w:r>
          <w:r>
            <w:br/>
          </w:r>
          <w:r>
            <w:br/>
          </w:r>
          <w:r>
            <w:br/>
          </w:r>
        </w:p>
      </w:docPartBody>
    </w:docPart>
    <w:docPart>
      <w:docPartPr>
        <w:name w:val="DB7946F5EC764278A06D87FEF71A24B1"/>
        <w:category>
          <w:name w:val="General"/>
          <w:gallery w:val="placeholder"/>
        </w:category>
        <w:types>
          <w:type w:val="bbPlcHdr"/>
        </w:types>
        <w:behaviors>
          <w:behavior w:val="content"/>
        </w:behaviors>
        <w:guid w:val="{DB4184EE-8B1E-4689-86B8-EEA62FABD7DF}"/>
      </w:docPartPr>
      <w:docPartBody>
        <w:p w:rsidR="00013A4E" w:rsidRDefault="00013A4E" w:rsidP="00013A4E">
          <w:pPr>
            <w:pStyle w:val="DB7946F5EC764278A06D87FEF71A24B1"/>
          </w:pPr>
          <w:r>
            <w:rPr>
              <w:rStyle w:val="PlaceholderText"/>
            </w:rPr>
            <w:t>Maximum of 5 lines</w:t>
          </w:r>
          <w:r>
            <w:rPr>
              <w:rStyle w:val="PlaceholderText"/>
            </w:rPr>
            <w:br/>
          </w:r>
          <w:r>
            <w:br/>
          </w:r>
          <w:r>
            <w:br/>
          </w:r>
          <w:r>
            <w:br/>
          </w:r>
          <w:r>
            <w:br/>
          </w:r>
        </w:p>
      </w:docPartBody>
    </w:docPart>
    <w:docPart>
      <w:docPartPr>
        <w:name w:val="0E5BF001C05C48CF855930200DC8B6AD"/>
        <w:category>
          <w:name w:val="General"/>
          <w:gallery w:val="placeholder"/>
        </w:category>
        <w:types>
          <w:type w:val="bbPlcHdr"/>
        </w:types>
        <w:behaviors>
          <w:behavior w:val="content"/>
        </w:behaviors>
        <w:guid w:val="{52840339-FCE5-404A-A354-92F2111D43AC}"/>
      </w:docPartPr>
      <w:docPartBody>
        <w:p w:rsidR="00013A4E" w:rsidRDefault="00013A4E" w:rsidP="00013A4E">
          <w:pPr>
            <w:pStyle w:val="0E5BF001C05C48CF855930200DC8B6AD"/>
          </w:pPr>
          <w:r>
            <w:rPr>
              <w:rStyle w:val="PlaceholderText"/>
            </w:rPr>
            <w:t>Insert</w:t>
          </w:r>
        </w:p>
      </w:docPartBody>
    </w:docPart>
    <w:docPart>
      <w:docPartPr>
        <w:name w:val="228A156883A1460CBF6E327E49B2A0F2"/>
        <w:category>
          <w:name w:val="General"/>
          <w:gallery w:val="placeholder"/>
        </w:category>
        <w:types>
          <w:type w:val="bbPlcHdr"/>
        </w:types>
        <w:behaviors>
          <w:behavior w:val="content"/>
        </w:behaviors>
        <w:guid w:val="{352EC56E-C73D-414B-ABDF-D47683A30E37}"/>
      </w:docPartPr>
      <w:docPartBody>
        <w:p w:rsidR="00013A4E" w:rsidRDefault="00013A4E" w:rsidP="00013A4E">
          <w:pPr>
            <w:pStyle w:val="228A156883A1460CBF6E327E49B2A0F2"/>
          </w:pPr>
          <w:r w:rsidRPr="00B10FBA">
            <w:rPr>
              <w:rStyle w:val="PlaceholderText"/>
            </w:rPr>
            <w:t>Insert</w:t>
          </w:r>
        </w:p>
      </w:docPartBody>
    </w:docPart>
    <w:docPart>
      <w:docPartPr>
        <w:name w:val="72BE811C85AA488889D9A9904AEAB55D"/>
        <w:category>
          <w:name w:val="General"/>
          <w:gallery w:val="placeholder"/>
        </w:category>
        <w:types>
          <w:type w:val="bbPlcHdr"/>
        </w:types>
        <w:behaviors>
          <w:behavior w:val="content"/>
        </w:behaviors>
        <w:guid w:val="{F2900D9A-3A85-47EC-ACE1-87447F187DD8}"/>
      </w:docPartPr>
      <w:docPartBody>
        <w:p w:rsidR="00013A4E" w:rsidRDefault="00013A4E" w:rsidP="00013A4E">
          <w:pPr>
            <w:pStyle w:val="72BE811C85AA488889D9A9904AEAB55D"/>
          </w:pPr>
          <w:r w:rsidRPr="00B10FBA">
            <w:rPr>
              <w:rStyle w:val="PlaceholderText"/>
            </w:rPr>
            <w:t>Insert</w:t>
          </w:r>
        </w:p>
      </w:docPartBody>
    </w:docPart>
    <w:docPart>
      <w:docPartPr>
        <w:name w:val="F4010F7202E3439196B1041EEADFB2A7"/>
        <w:category>
          <w:name w:val="General"/>
          <w:gallery w:val="placeholder"/>
        </w:category>
        <w:types>
          <w:type w:val="bbPlcHdr"/>
        </w:types>
        <w:behaviors>
          <w:behavior w:val="content"/>
        </w:behaviors>
        <w:guid w:val="{2E424D2D-4F51-4230-979C-DD32B61C9349}"/>
      </w:docPartPr>
      <w:docPartBody>
        <w:p w:rsidR="00013A4E" w:rsidRDefault="00013A4E" w:rsidP="00013A4E">
          <w:pPr>
            <w:pStyle w:val="F4010F7202E3439196B1041EEADFB2A7"/>
          </w:pPr>
          <w:r w:rsidRPr="00B10FBA">
            <w:rPr>
              <w:rStyle w:val="PlaceholderText"/>
            </w:rPr>
            <w:t>Insert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D1F"/>
    <w:rsid w:val="000047BF"/>
    <w:rsid w:val="00013A4E"/>
    <w:rsid w:val="0002187E"/>
    <w:rsid w:val="00165C52"/>
    <w:rsid w:val="001C05E4"/>
    <w:rsid w:val="001D402D"/>
    <w:rsid w:val="002673E4"/>
    <w:rsid w:val="00311140"/>
    <w:rsid w:val="00375680"/>
    <w:rsid w:val="005B40B3"/>
    <w:rsid w:val="006C7D0B"/>
    <w:rsid w:val="00747BC4"/>
    <w:rsid w:val="00827565"/>
    <w:rsid w:val="00847AA1"/>
    <w:rsid w:val="008F2161"/>
    <w:rsid w:val="009034BA"/>
    <w:rsid w:val="00940D67"/>
    <w:rsid w:val="00993DEF"/>
    <w:rsid w:val="009D5144"/>
    <w:rsid w:val="00A7189A"/>
    <w:rsid w:val="00B163FA"/>
    <w:rsid w:val="00B44F85"/>
    <w:rsid w:val="00C24E13"/>
    <w:rsid w:val="00CE691C"/>
    <w:rsid w:val="00CF5BC8"/>
    <w:rsid w:val="00D24D1F"/>
    <w:rsid w:val="00E02009"/>
    <w:rsid w:val="00ED0D36"/>
    <w:rsid w:val="00F93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5BC8"/>
    <w:rPr>
      <w:color w:val="808080"/>
    </w:rPr>
  </w:style>
  <w:style w:type="paragraph" w:customStyle="1" w:styleId="0E7961A552E34DF69B8E660E6BB48B12">
    <w:name w:val="0E7961A552E34DF69B8E660E6BB48B12"/>
  </w:style>
  <w:style w:type="paragraph" w:customStyle="1" w:styleId="AA3CDD6558564C5A9DB2921FC1393E48">
    <w:name w:val="AA3CDD6558564C5A9DB2921FC1393E48"/>
  </w:style>
  <w:style w:type="paragraph" w:customStyle="1" w:styleId="FC153E3017AF402595D1D2851EF4D404">
    <w:name w:val="FC153E3017AF402595D1D2851EF4D404"/>
  </w:style>
  <w:style w:type="paragraph" w:customStyle="1" w:styleId="0CD7674B6DF04AE48AD691CAD417BAD7">
    <w:name w:val="0CD7674B6DF04AE48AD691CAD417BAD7"/>
  </w:style>
  <w:style w:type="paragraph" w:customStyle="1" w:styleId="DA8AABE41F114F78AE4B1D6EA9894F33">
    <w:name w:val="DA8AABE41F114F78AE4B1D6EA9894F33"/>
  </w:style>
  <w:style w:type="paragraph" w:customStyle="1" w:styleId="E554668D3B7941B59E2EFC1220F97B63">
    <w:name w:val="E554668D3B7941B59E2EFC1220F97B63"/>
  </w:style>
  <w:style w:type="paragraph" w:customStyle="1" w:styleId="D255E5E4375A4931A00B06094923911F">
    <w:name w:val="D255E5E4375A4931A00B06094923911F"/>
  </w:style>
  <w:style w:type="paragraph" w:customStyle="1" w:styleId="406844780E5E45CBB8F739B688BAFC4B">
    <w:name w:val="406844780E5E45CBB8F739B688BAFC4B"/>
  </w:style>
  <w:style w:type="paragraph" w:customStyle="1" w:styleId="62323E80704A4EC79AD2D95FBF205596">
    <w:name w:val="62323E80704A4EC79AD2D95FBF205596"/>
  </w:style>
  <w:style w:type="paragraph" w:customStyle="1" w:styleId="59054587C6C94CD5BA573F0B6159E318">
    <w:name w:val="59054587C6C94CD5BA573F0B6159E318"/>
  </w:style>
  <w:style w:type="paragraph" w:customStyle="1" w:styleId="C50A0D257A7540838645B68A9CAC0785">
    <w:name w:val="C50A0D257A7540838645B68A9CAC0785"/>
  </w:style>
  <w:style w:type="paragraph" w:customStyle="1" w:styleId="E8A2FB08AA304FD497B6051BC638E5F0">
    <w:name w:val="E8A2FB08AA304FD497B6051BC638E5F0"/>
  </w:style>
  <w:style w:type="paragraph" w:customStyle="1" w:styleId="7CB905A5F6564121BC7B54A797138041">
    <w:name w:val="7CB905A5F6564121BC7B54A797138041"/>
  </w:style>
  <w:style w:type="paragraph" w:customStyle="1" w:styleId="4107BE3E758A4FD6B0BB146DFA867A50">
    <w:name w:val="4107BE3E758A4FD6B0BB146DFA867A50"/>
  </w:style>
  <w:style w:type="paragraph" w:customStyle="1" w:styleId="25F776313A9E419CAA5E224541841132">
    <w:name w:val="25F776313A9E419CAA5E224541841132"/>
  </w:style>
  <w:style w:type="paragraph" w:customStyle="1" w:styleId="2F4148F8EE3748B8BBDA7353BE05318C">
    <w:name w:val="2F4148F8EE3748B8BBDA7353BE05318C"/>
  </w:style>
  <w:style w:type="paragraph" w:customStyle="1" w:styleId="B4B4523A921841C6B1B6318FF5037FCE">
    <w:name w:val="B4B4523A921841C6B1B6318FF5037FCE"/>
  </w:style>
  <w:style w:type="paragraph" w:customStyle="1" w:styleId="AB2915F7BF78424EB677FE948C532135">
    <w:name w:val="AB2915F7BF78424EB677FE948C532135"/>
  </w:style>
  <w:style w:type="paragraph" w:customStyle="1" w:styleId="C7006060178D40E48E8D9D187A0E9829">
    <w:name w:val="C7006060178D40E48E8D9D187A0E9829"/>
  </w:style>
  <w:style w:type="paragraph" w:customStyle="1" w:styleId="IATableText">
    <w:name w:val="IATableText"/>
    <w:basedOn w:val="Normal"/>
    <w:link w:val="IATableTextChar"/>
    <w:pPr>
      <w:spacing w:after="60" w:line="240" w:lineRule="auto"/>
    </w:pPr>
    <w:rPr>
      <w:rFonts w:ascii="Arial" w:eastAsia="SimSun" w:hAnsi="Arial" w:cs="Times New Roman"/>
      <w:sz w:val="20"/>
      <w:szCs w:val="20"/>
      <w:lang w:eastAsia="zh-CN"/>
    </w:rPr>
  </w:style>
  <w:style w:type="character" w:customStyle="1" w:styleId="IATableTextChar">
    <w:name w:val="IATableText Char"/>
    <w:link w:val="IATableText"/>
    <w:rPr>
      <w:rFonts w:ascii="Arial" w:eastAsia="SimSun" w:hAnsi="Arial" w:cs="Times New Roman"/>
      <w:sz w:val="20"/>
      <w:szCs w:val="20"/>
      <w:lang w:eastAsia="zh-CN"/>
    </w:rPr>
  </w:style>
  <w:style w:type="paragraph" w:customStyle="1" w:styleId="B721DFCA5AF245A09DDF803AE3DD5EE4">
    <w:name w:val="B721DFCA5AF245A09DDF803AE3DD5EE4"/>
  </w:style>
  <w:style w:type="paragraph" w:customStyle="1" w:styleId="89980FB56BF04AF4AC36EC0ED8107EE9">
    <w:name w:val="89980FB56BF04AF4AC36EC0ED8107EE9"/>
  </w:style>
  <w:style w:type="paragraph" w:customStyle="1" w:styleId="B112D56BC9E94683A550BF8ED8C6FD19">
    <w:name w:val="B112D56BC9E94683A550BF8ED8C6FD19"/>
  </w:style>
  <w:style w:type="paragraph" w:customStyle="1" w:styleId="5B49015169354F7A84B094834D18AEA7">
    <w:name w:val="5B49015169354F7A84B094834D18AEA7"/>
  </w:style>
  <w:style w:type="paragraph" w:customStyle="1" w:styleId="E26674A8DFE54735985FD1D37CD424BE">
    <w:name w:val="E26674A8DFE54735985FD1D37CD424BE"/>
  </w:style>
  <w:style w:type="paragraph" w:customStyle="1" w:styleId="1B5091D4294D4EAAB7075D6D16653E88">
    <w:name w:val="1B5091D4294D4EAAB7075D6D16653E88"/>
  </w:style>
  <w:style w:type="paragraph" w:customStyle="1" w:styleId="F67AB867315340718402EA2D85327772">
    <w:name w:val="F67AB867315340718402EA2D85327772"/>
  </w:style>
  <w:style w:type="paragraph" w:customStyle="1" w:styleId="0CD58350DA6B44C2AA78EBA4815852B2">
    <w:name w:val="0CD58350DA6B44C2AA78EBA4815852B2"/>
  </w:style>
  <w:style w:type="paragraph" w:customStyle="1" w:styleId="0C19463BE91F47F1B301CA1622629C68">
    <w:name w:val="0C19463BE91F47F1B301CA1622629C68"/>
  </w:style>
  <w:style w:type="paragraph" w:customStyle="1" w:styleId="A23D6182A8EE4A6F8BA8193EAB255579">
    <w:name w:val="A23D6182A8EE4A6F8BA8193EAB255579"/>
  </w:style>
  <w:style w:type="paragraph" w:customStyle="1" w:styleId="CA65C05F8DA9401ABC63FFB3EFC7C763">
    <w:name w:val="CA65C05F8DA9401ABC63FFB3EFC7C763"/>
  </w:style>
  <w:style w:type="paragraph" w:customStyle="1" w:styleId="1A9BEBB4FB1645AEB3D4412858E96F3E">
    <w:name w:val="1A9BEBB4FB1645AEB3D4412858E96F3E"/>
  </w:style>
  <w:style w:type="paragraph" w:customStyle="1" w:styleId="A95BE3BC291848E88C3E41FB52861B1D">
    <w:name w:val="A95BE3BC291848E88C3E41FB52861B1D"/>
  </w:style>
  <w:style w:type="paragraph" w:customStyle="1" w:styleId="59CD9054018E4909B6DEFDF704221B41">
    <w:name w:val="59CD9054018E4909B6DEFDF704221B41"/>
  </w:style>
  <w:style w:type="paragraph" w:customStyle="1" w:styleId="BC3FC203C5294AFE933B49F4B24D436A">
    <w:name w:val="BC3FC203C5294AFE933B49F4B24D436A"/>
  </w:style>
  <w:style w:type="paragraph" w:customStyle="1" w:styleId="B3E91D0E9E1D45FDAD9704B463727AE0">
    <w:name w:val="B3E91D0E9E1D45FDAD9704B463727AE0"/>
  </w:style>
  <w:style w:type="paragraph" w:customStyle="1" w:styleId="3F8BD1DBBE084CCFA3AC107E95D3A273">
    <w:name w:val="3F8BD1DBBE084CCFA3AC107E95D3A273"/>
  </w:style>
  <w:style w:type="paragraph" w:customStyle="1" w:styleId="763122592DE84B1C9D8E1B2726A1A770">
    <w:name w:val="763122592DE84B1C9D8E1B2726A1A770"/>
  </w:style>
  <w:style w:type="paragraph" w:customStyle="1" w:styleId="A01AD2298B30492892C35CBEE78BABA9">
    <w:name w:val="A01AD2298B30492892C35CBEE78BABA9"/>
  </w:style>
  <w:style w:type="paragraph" w:customStyle="1" w:styleId="837CBDFE84CB4988804666E24A2C133A">
    <w:name w:val="837CBDFE84CB4988804666E24A2C133A"/>
  </w:style>
  <w:style w:type="paragraph" w:customStyle="1" w:styleId="E6DCD352E4194CD591BF2ABFAA421D5D">
    <w:name w:val="E6DCD352E4194CD591BF2ABFAA421D5D"/>
  </w:style>
  <w:style w:type="paragraph" w:customStyle="1" w:styleId="CAF8EE0CADAF4BC7AD35AF05722F472E">
    <w:name w:val="CAF8EE0CADAF4BC7AD35AF05722F472E"/>
  </w:style>
  <w:style w:type="paragraph" w:customStyle="1" w:styleId="4FE68B5B167A44DBA7BE25B0DECEEAC4">
    <w:name w:val="4FE68B5B167A44DBA7BE25B0DECEEAC4"/>
  </w:style>
  <w:style w:type="paragraph" w:customStyle="1" w:styleId="FAEA4048BF0C4905B6557C2D3A0DACA9">
    <w:name w:val="FAEA4048BF0C4905B6557C2D3A0DACA9"/>
  </w:style>
  <w:style w:type="paragraph" w:customStyle="1" w:styleId="0C619A7CB4F246368364B4E0022D126C">
    <w:name w:val="0C619A7CB4F246368364B4E0022D126C"/>
  </w:style>
  <w:style w:type="paragraph" w:customStyle="1" w:styleId="8F9D84AB80074998A5E363FCB3155580">
    <w:name w:val="8F9D84AB80074998A5E363FCB3155580"/>
  </w:style>
  <w:style w:type="paragraph" w:customStyle="1" w:styleId="6B54342D5ECC440EA3BC7D663C7E7C5C">
    <w:name w:val="6B54342D5ECC440EA3BC7D663C7E7C5C"/>
  </w:style>
  <w:style w:type="paragraph" w:customStyle="1" w:styleId="47C37EB670CE4B2EBE4170A913083196">
    <w:name w:val="47C37EB670CE4B2EBE4170A913083196"/>
  </w:style>
  <w:style w:type="paragraph" w:customStyle="1" w:styleId="131A9644B08B4503BCA19B69F5ACCEB1">
    <w:name w:val="131A9644B08B4503BCA19B69F5ACCEB1"/>
  </w:style>
  <w:style w:type="paragraph" w:customStyle="1" w:styleId="75356EF355F945FC9747FF6BAB073F7C">
    <w:name w:val="75356EF355F945FC9747FF6BAB073F7C"/>
  </w:style>
  <w:style w:type="paragraph" w:customStyle="1" w:styleId="FEA48C737C0D4683BAFFAC5251D07A8F">
    <w:name w:val="FEA48C737C0D4683BAFFAC5251D07A8F"/>
  </w:style>
  <w:style w:type="paragraph" w:customStyle="1" w:styleId="F05A045BA5C547FFA819812082F99F64">
    <w:name w:val="F05A045BA5C547FFA819812082F99F64"/>
  </w:style>
  <w:style w:type="paragraph" w:customStyle="1" w:styleId="8E46857312E447CC8A3CF42E83547C4B">
    <w:name w:val="8E46857312E447CC8A3CF42E83547C4B"/>
  </w:style>
  <w:style w:type="paragraph" w:customStyle="1" w:styleId="E51083BB2B31496FB07D304BD929D3A8">
    <w:name w:val="E51083BB2B31496FB07D304BD929D3A8"/>
  </w:style>
  <w:style w:type="paragraph" w:customStyle="1" w:styleId="681DCCE261914F3DA519378E18066E44">
    <w:name w:val="681DCCE261914F3DA519378E18066E44"/>
  </w:style>
  <w:style w:type="paragraph" w:customStyle="1" w:styleId="26E1C348EEC5448392CE4FE96E277DB2">
    <w:name w:val="26E1C348EEC5448392CE4FE96E277DB2"/>
  </w:style>
  <w:style w:type="paragraph" w:customStyle="1" w:styleId="65D423DF745F485CAD6119301E6D20D8">
    <w:name w:val="65D423DF745F485CAD6119301E6D20D8"/>
  </w:style>
  <w:style w:type="paragraph" w:customStyle="1" w:styleId="9D39371601174F7C909FA176CDB531F7">
    <w:name w:val="9D39371601174F7C909FA176CDB531F7"/>
  </w:style>
  <w:style w:type="paragraph" w:customStyle="1" w:styleId="F1532AF15F6745E7885457F94308BB4E">
    <w:name w:val="F1532AF15F6745E7885457F94308BB4E"/>
  </w:style>
  <w:style w:type="paragraph" w:customStyle="1" w:styleId="23A454A7F252442BA1ECD2FF4D0C9C7E">
    <w:name w:val="23A454A7F252442BA1ECD2FF4D0C9C7E"/>
  </w:style>
  <w:style w:type="paragraph" w:customStyle="1" w:styleId="0FB98A823ECF4F06B3679601F8A69BE2">
    <w:name w:val="0FB98A823ECF4F06B3679601F8A69BE2"/>
  </w:style>
  <w:style w:type="paragraph" w:customStyle="1" w:styleId="38E2DCA3406344AAB3A84215F611428F">
    <w:name w:val="38E2DCA3406344AAB3A84215F611428F"/>
  </w:style>
  <w:style w:type="paragraph" w:customStyle="1" w:styleId="4AF7EC815A2B4D65B46DDBE4B8975316">
    <w:name w:val="4AF7EC815A2B4D65B46DDBE4B8975316"/>
  </w:style>
  <w:style w:type="paragraph" w:customStyle="1" w:styleId="821426ED917D4D88AD24B7669D82DB89">
    <w:name w:val="821426ED917D4D88AD24B7669D82DB89"/>
  </w:style>
  <w:style w:type="paragraph" w:customStyle="1" w:styleId="9B6CEF8FA4D04943A1D1E1AE2493D999">
    <w:name w:val="9B6CEF8FA4D04943A1D1E1AE2493D999"/>
  </w:style>
  <w:style w:type="paragraph" w:customStyle="1" w:styleId="4030B8300ADE4D55902A6F3E5266D5A4">
    <w:name w:val="4030B8300ADE4D55902A6F3E5266D5A4"/>
  </w:style>
  <w:style w:type="paragraph" w:customStyle="1" w:styleId="C9B1CEC76180479984AFBBD6B4885295">
    <w:name w:val="C9B1CEC76180479984AFBBD6B4885295"/>
  </w:style>
  <w:style w:type="paragraph" w:customStyle="1" w:styleId="D1C58E279DAE4F1B8A0C88EF965E5CA5">
    <w:name w:val="D1C58E279DAE4F1B8A0C88EF965E5CA5"/>
  </w:style>
  <w:style w:type="paragraph" w:customStyle="1" w:styleId="384F7D9832E2470490E9FCBF34F42E1B">
    <w:name w:val="384F7D9832E2470490E9FCBF34F42E1B"/>
  </w:style>
  <w:style w:type="paragraph" w:customStyle="1" w:styleId="E9309126830C4F73ACB47C3DAA5D28E5">
    <w:name w:val="E9309126830C4F73ACB47C3DAA5D28E5"/>
  </w:style>
  <w:style w:type="paragraph" w:customStyle="1" w:styleId="D96EE0F039AB4909B542B3B0A4D61500">
    <w:name w:val="D96EE0F039AB4909B542B3B0A4D61500"/>
  </w:style>
  <w:style w:type="paragraph" w:customStyle="1" w:styleId="B8A7116AD599452F98E65A2F55D661DA">
    <w:name w:val="B8A7116AD599452F98E65A2F55D661DA"/>
    <w:rsid w:val="00940D67"/>
  </w:style>
  <w:style w:type="paragraph" w:customStyle="1" w:styleId="CE67B93E03DF4FD498E96CB28A01EB45">
    <w:name w:val="CE67B93E03DF4FD498E96CB28A01EB45"/>
    <w:rsid w:val="00013A4E"/>
  </w:style>
  <w:style w:type="paragraph" w:customStyle="1" w:styleId="8556925AFBA4407DABCE340AFAAC9545">
    <w:name w:val="8556925AFBA4407DABCE340AFAAC9545"/>
    <w:rsid w:val="00013A4E"/>
  </w:style>
  <w:style w:type="paragraph" w:customStyle="1" w:styleId="9A714F0824624F6E83FEEAD44C856696">
    <w:name w:val="9A714F0824624F6E83FEEAD44C856696"/>
    <w:rsid w:val="00013A4E"/>
  </w:style>
  <w:style w:type="paragraph" w:customStyle="1" w:styleId="05471B99BD944D38AA2517BDDF28A797">
    <w:name w:val="05471B99BD944D38AA2517BDDF28A797"/>
    <w:rsid w:val="00013A4E"/>
  </w:style>
  <w:style w:type="paragraph" w:customStyle="1" w:styleId="C4173C8D14754594BDB6A6FBD90016CB">
    <w:name w:val="C4173C8D14754594BDB6A6FBD90016CB"/>
    <w:rsid w:val="00013A4E"/>
  </w:style>
  <w:style w:type="paragraph" w:customStyle="1" w:styleId="1EBD52B3137847C68B77864A4C51E2C9">
    <w:name w:val="1EBD52B3137847C68B77864A4C51E2C9"/>
    <w:rsid w:val="00013A4E"/>
  </w:style>
  <w:style w:type="paragraph" w:customStyle="1" w:styleId="47EEC50BBC3E4DA1A1B1E2EE67CBDE38">
    <w:name w:val="47EEC50BBC3E4DA1A1B1E2EE67CBDE38"/>
    <w:rsid w:val="00013A4E"/>
  </w:style>
  <w:style w:type="paragraph" w:customStyle="1" w:styleId="6DC48419597F483197639975441DD5FE">
    <w:name w:val="6DC48419597F483197639975441DD5FE"/>
    <w:rsid w:val="00013A4E"/>
  </w:style>
  <w:style w:type="paragraph" w:customStyle="1" w:styleId="D6374E7CB2F64A93B35B3A361CF1F2D9">
    <w:name w:val="D6374E7CB2F64A93B35B3A361CF1F2D9"/>
    <w:rsid w:val="00013A4E"/>
  </w:style>
  <w:style w:type="paragraph" w:customStyle="1" w:styleId="3EC4CA34333A48DF8C0AB0673643DA55">
    <w:name w:val="3EC4CA34333A48DF8C0AB0673643DA55"/>
    <w:rsid w:val="00013A4E"/>
  </w:style>
  <w:style w:type="paragraph" w:customStyle="1" w:styleId="999A1B57BB3F4F31AE8A170B24458535">
    <w:name w:val="999A1B57BB3F4F31AE8A170B24458535"/>
    <w:rsid w:val="00013A4E"/>
  </w:style>
  <w:style w:type="paragraph" w:customStyle="1" w:styleId="EE7924BCCC18412B8A211623AFB534BC">
    <w:name w:val="EE7924BCCC18412B8A211623AFB534BC"/>
    <w:rsid w:val="00013A4E"/>
  </w:style>
  <w:style w:type="paragraph" w:customStyle="1" w:styleId="0EB1E64CCC924199A97F0ACEBD86344E">
    <w:name w:val="0EB1E64CCC924199A97F0ACEBD86344E"/>
    <w:rsid w:val="00013A4E"/>
  </w:style>
  <w:style w:type="paragraph" w:customStyle="1" w:styleId="31F9B25F6F574D2790D36B3918352365">
    <w:name w:val="31F9B25F6F574D2790D36B3918352365"/>
    <w:rsid w:val="00013A4E"/>
  </w:style>
  <w:style w:type="paragraph" w:customStyle="1" w:styleId="989DBCAA10424EFC82E4A8EACD40BAAC">
    <w:name w:val="989DBCAA10424EFC82E4A8EACD40BAAC"/>
    <w:rsid w:val="00013A4E"/>
  </w:style>
  <w:style w:type="paragraph" w:customStyle="1" w:styleId="70E1CB47EFB04E76943AA74960E2AA0F">
    <w:name w:val="70E1CB47EFB04E76943AA74960E2AA0F"/>
    <w:rsid w:val="00013A4E"/>
  </w:style>
  <w:style w:type="paragraph" w:customStyle="1" w:styleId="E076279F85894353A77FB81D3526BEEA">
    <w:name w:val="E076279F85894353A77FB81D3526BEEA"/>
    <w:rsid w:val="00013A4E"/>
  </w:style>
  <w:style w:type="paragraph" w:customStyle="1" w:styleId="55C3761E6ABE4DBE952657E177C92025">
    <w:name w:val="55C3761E6ABE4DBE952657E177C92025"/>
    <w:rsid w:val="00013A4E"/>
  </w:style>
  <w:style w:type="paragraph" w:customStyle="1" w:styleId="D2DE24E6E0344C18AD1471893580767E">
    <w:name w:val="D2DE24E6E0344C18AD1471893580767E"/>
    <w:rsid w:val="00013A4E"/>
  </w:style>
  <w:style w:type="paragraph" w:customStyle="1" w:styleId="AC7C237F0E304A548887D769995D8259">
    <w:name w:val="AC7C237F0E304A548887D769995D8259"/>
    <w:rsid w:val="00013A4E"/>
  </w:style>
  <w:style w:type="paragraph" w:customStyle="1" w:styleId="7C62CC19EB3C4EACB0E149BBADA578F3">
    <w:name w:val="7C62CC19EB3C4EACB0E149BBADA578F3"/>
    <w:rsid w:val="00013A4E"/>
  </w:style>
  <w:style w:type="paragraph" w:customStyle="1" w:styleId="F72EC1D3A3804BE0AEA8849064496DB2">
    <w:name w:val="F72EC1D3A3804BE0AEA8849064496DB2"/>
    <w:rsid w:val="00013A4E"/>
  </w:style>
  <w:style w:type="paragraph" w:customStyle="1" w:styleId="55EB3925C0BD4816B7814E73C4C34028">
    <w:name w:val="55EB3925C0BD4816B7814E73C4C34028"/>
    <w:rsid w:val="00013A4E"/>
  </w:style>
  <w:style w:type="paragraph" w:customStyle="1" w:styleId="7FF2CF27EEC540F598409F2C1FFE5BD2">
    <w:name w:val="7FF2CF27EEC540F598409F2C1FFE5BD2"/>
    <w:rsid w:val="00013A4E"/>
  </w:style>
  <w:style w:type="paragraph" w:customStyle="1" w:styleId="47162943909A4AE88EBAAECA5904A384">
    <w:name w:val="47162943909A4AE88EBAAECA5904A384"/>
    <w:rsid w:val="00013A4E"/>
  </w:style>
  <w:style w:type="paragraph" w:customStyle="1" w:styleId="308699B2465244F09FA3FB238056D00A">
    <w:name w:val="308699B2465244F09FA3FB238056D00A"/>
    <w:rsid w:val="00013A4E"/>
  </w:style>
  <w:style w:type="paragraph" w:customStyle="1" w:styleId="99A1ED0153554FCEA7D9EC8C76ADDE7F">
    <w:name w:val="99A1ED0153554FCEA7D9EC8C76ADDE7F"/>
    <w:rsid w:val="00013A4E"/>
  </w:style>
  <w:style w:type="paragraph" w:customStyle="1" w:styleId="D490FE8E49214273AAC1F849B266A84C">
    <w:name w:val="D490FE8E49214273AAC1F849B266A84C"/>
    <w:rsid w:val="00013A4E"/>
  </w:style>
  <w:style w:type="paragraph" w:customStyle="1" w:styleId="29106CC3792F4A4C99A15EDFC7F509C2">
    <w:name w:val="29106CC3792F4A4C99A15EDFC7F509C2"/>
    <w:rsid w:val="00013A4E"/>
  </w:style>
  <w:style w:type="paragraph" w:customStyle="1" w:styleId="64257912A8E24FCDA67E413F65FAA9C2">
    <w:name w:val="64257912A8E24FCDA67E413F65FAA9C2"/>
    <w:rsid w:val="00013A4E"/>
  </w:style>
  <w:style w:type="paragraph" w:customStyle="1" w:styleId="0DF415D764BA470F8D8A06D239A30A05">
    <w:name w:val="0DF415D764BA470F8D8A06D239A30A05"/>
    <w:rsid w:val="00013A4E"/>
  </w:style>
  <w:style w:type="paragraph" w:customStyle="1" w:styleId="8D3246E8FF994BEB9DE43B4838528732">
    <w:name w:val="8D3246E8FF994BEB9DE43B4838528732"/>
    <w:rsid w:val="00013A4E"/>
  </w:style>
  <w:style w:type="paragraph" w:customStyle="1" w:styleId="4C08F025BF8B4573B64DED27007C48B9">
    <w:name w:val="4C08F025BF8B4573B64DED27007C48B9"/>
    <w:rsid w:val="00013A4E"/>
  </w:style>
  <w:style w:type="paragraph" w:customStyle="1" w:styleId="DB7946F5EC764278A06D87FEF71A24B1">
    <w:name w:val="DB7946F5EC764278A06D87FEF71A24B1"/>
    <w:rsid w:val="00013A4E"/>
  </w:style>
  <w:style w:type="paragraph" w:customStyle="1" w:styleId="0E5BF001C05C48CF855930200DC8B6AD">
    <w:name w:val="0E5BF001C05C48CF855930200DC8B6AD"/>
    <w:rsid w:val="00013A4E"/>
  </w:style>
  <w:style w:type="paragraph" w:customStyle="1" w:styleId="228A156883A1460CBF6E327E49B2A0F2">
    <w:name w:val="228A156883A1460CBF6E327E49B2A0F2"/>
    <w:rsid w:val="00013A4E"/>
  </w:style>
  <w:style w:type="paragraph" w:customStyle="1" w:styleId="72BE811C85AA488889D9A9904AEAB55D">
    <w:name w:val="72BE811C85AA488889D9A9904AEAB55D"/>
    <w:rsid w:val="00013A4E"/>
  </w:style>
  <w:style w:type="paragraph" w:customStyle="1" w:styleId="F4010F7202E3439196B1041EEADFB2A7">
    <w:name w:val="F4010F7202E3439196B1041EEADFB2A7"/>
    <w:rsid w:val="00013A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5EA655-7A0A-4947-93C7-9F4D136E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17318</Words>
  <Characters>93969</Characters>
  <Application>Microsoft Office Word</Application>
  <DocSecurity>4</DocSecurity>
  <Lines>783</Lines>
  <Paragraphs>222</Paragraphs>
  <ScaleCrop>false</ScaleCrop>
  <HeadingPairs>
    <vt:vector size="2" baseType="variant">
      <vt:variant>
        <vt:lpstr>Title</vt:lpstr>
      </vt:variant>
      <vt:variant>
        <vt:i4>1</vt:i4>
      </vt:variant>
    </vt:vector>
  </HeadingPairs>
  <TitlesOfParts>
    <vt:vector size="1" baseType="lpstr">
      <vt:lpstr>Impact Assessment</vt:lpstr>
    </vt:vector>
  </TitlesOfParts>
  <Company/>
  <LinksUpToDate>false</LinksUpToDate>
  <CharactersWithSpaces>111065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dc:title>
  <dc:subject/>
  <dc:creator>Joanna Dormon</dc:creator>
  <cp:keywords/>
  <dc:description/>
  <cp:lastModifiedBy>Paul Ireland</cp:lastModifiedBy>
  <cp:revision>2</cp:revision>
  <cp:lastPrinted>2010-01-04T16:20:00Z</cp:lastPrinted>
  <dcterms:created xsi:type="dcterms:W3CDTF">2018-09-03T13:29:00Z</dcterms:created>
  <dcterms:modified xsi:type="dcterms:W3CDTF">2018-09-03T13:29:00Z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
  </property>
  <property fmtid="{D5CDD505-2E9C-101B-9397-08002B2CF9AE}" pid="3" name="Stage">
    <vt:lpwstr>Development/Options</vt:lpwstr>
  </property>
</Properties>
</file>