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F5" w:rsidRDefault="008037F5" w:rsidP="008037F5">
      <w:pPr>
        <w:ind w:left="-540"/>
        <w:jc w:val="center"/>
        <w:rPr>
          <w:rFonts w:ascii="Arial" w:eastAsia="Arial" w:hAnsi="Arial" w:cs="Arial"/>
          <w:b/>
        </w:rPr>
      </w:pPr>
      <w:r>
        <w:rPr>
          <w:rFonts w:ascii="Arial" w:eastAsia="Arial" w:hAnsi="Arial" w:cs="Arial"/>
          <w:b/>
        </w:rPr>
        <w:t>PRO FORMA FOR TRANSPARENCY INFORMATION ABOUT OUTSIDE APPOINTMENTS OR EMPLOYMENT TAKEN UP BY FORMER MEMBERS OF THE DEPARTMENT AT SCS1 AND SCS2 LEVEL AND EQUIVALENTS INCLUDING SPECIAL ADVISERS OF EQUIVALENT STANDING</w:t>
      </w:r>
    </w:p>
    <w:p w:rsidR="008037F5" w:rsidRDefault="008037F5" w:rsidP="008037F5">
      <w:pPr>
        <w:ind w:left="-540"/>
        <w:jc w:val="center"/>
        <w:rPr>
          <w:rFonts w:ascii="Arial" w:eastAsia="Arial" w:hAnsi="Arial" w:cs="Arial"/>
          <w:b/>
        </w:rPr>
      </w:pPr>
    </w:p>
    <w:p w:rsidR="008037F5" w:rsidRDefault="008037F5" w:rsidP="008037F5">
      <w:pPr>
        <w:ind w:left="-540"/>
        <w:jc w:val="center"/>
        <w:rPr>
          <w:rFonts w:ascii="Arial" w:eastAsia="Arial" w:hAnsi="Arial" w:cs="Arial"/>
        </w:rPr>
      </w:pPr>
    </w:p>
    <w:p w:rsidR="008037F5" w:rsidRPr="008037F5" w:rsidRDefault="008037F5" w:rsidP="008037F5">
      <w:pPr>
        <w:numPr>
          <w:ilvl w:val="0"/>
          <w:numId w:val="1"/>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Transparency about the advice given on individual applications under the Business Appointment Rules helps to ensure the maintenance of a high level of compliance.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2"/>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The Rules require departments to publish on their websites summary information about the advice they give to applicants at SCS2 and SCS1 level and equivalents, including special advisers of equivalent standing.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3"/>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This follows the approach adopted by the Advisory Committee on Business Appointments which publishes information on the advice it gives on applications from SCS3 level and above and equivalents, including special advisers of equivalent standing – see  </w:t>
      </w:r>
      <w:hyperlink r:id="rId5" w:history="1">
        <w:r w:rsidRPr="008037F5">
          <w:rPr>
            <w:rFonts w:ascii="Arial" w:hAnsi="Arial" w:cs="Arial"/>
            <w:color w:val="0000FF"/>
            <w:u w:val="single"/>
          </w:rPr>
          <w:t>http://acoba.independent.gov.uk/</w:t>
        </w:r>
      </w:hyperlink>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4"/>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Published information should include the following details:</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1"/>
          <w:numId w:val="5"/>
        </w:numPr>
        <w:pBdr>
          <w:top w:val="none" w:sz="0" w:space="0" w:color="auto"/>
          <w:left w:val="none" w:sz="0" w:space="0" w:color="auto"/>
          <w:bottom w:val="none" w:sz="0" w:space="0" w:color="auto"/>
          <w:right w:val="none" w:sz="0" w:space="0" w:color="auto"/>
          <w:between w:val="none" w:sz="0" w:space="0" w:color="auto"/>
        </w:pBdr>
        <w:ind w:left="1080"/>
        <w:jc w:val="both"/>
        <w:textAlignment w:val="baseline"/>
        <w:rPr>
          <w:rFonts w:ascii="Courier New" w:hAnsi="Courier New" w:cs="Courier New"/>
        </w:rPr>
      </w:pPr>
      <w:r w:rsidRPr="008037F5">
        <w:rPr>
          <w:rFonts w:ascii="Arial" w:hAnsi="Arial" w:cs="Arial"/>
        </w:rPr>
        <w:t>Full name of the applicant, and title of their former Civil Service role;</w:t>
      </w:r>
    </w:p>
    <w:p w:rsidR="008037F5" w:rsidRPr="008037F5" w:rsidRDefault="008037F5" w:rsidP="008037F5">
      <w:pPr>
        <w:numPr>
          <w:ilvl w:val="1"/>
          <w:numId w:val="5"/>
        </w:numPr>
        <w:pBdr>
          <w:top w:val="none" w:sz="0" w:space="0" w:color="auto"/>
          <w:left w:val="none" w:sz="0" w:space="0" w:color="auto"/>
          <w:bottom w:val="none" w:sz="0" w:space="0" w:color="auto"/>
          <w:right w:val="none" w:sz="0" w:space="0" w:color="auto"/>
          <w:between w:val="none" w:sz="0" w:space="0" w:color="auto"/>
        </w:pBdr>
        <w:ind w:left="1080"/>
        <w:jc w:val="both"/>
        <w:textAlignment w:val="baseline"/>
        <w:rPr>
          <w:rFonts w:ascii="Courier New" w:hAnsi="Courier New" w:cs="Courier New"/>
        </w:rPr>
      </w:pPr>
      <w:r w:rsidRPr="008037F5">
        <w:rPr>
          <w:rFonts w:ascii="Arial" w:hAnsi="Arial" w:cs="Arial"/>
        </w:rPr>
        <w:t>Date applicant left/retired from the Civil Service;</w:t>
      </w:r>
    </w:p>
    <w:p w:rsidR="008037F5" w:rsidRPr="008037F5" w:rsidRDefault="008037F5" w:rsidP="008037F5">
      <w:pPr>
        <w:numPr>
          <w:ilvl w:val="1"/>
          <w:numId w:val="5"/>
        </w:numPr>
        <w:pBdr>
          <w:top w:val="none" w:sz="0" w:space="0" w:color="auto"/>
          <w:left w:val="none" w:sz="0" w:space="0" w:color="auto"/>
          <w:bottom w:val="none" w:sz="0" w:space="0" w:color="auto"/>
          <w:right w:val="none" w:sz="0" w:space="0" w:color="auto"/>
          <w:between w:val="none" w:sz="0" w:space="0" w:color="auto"/>
        </w:pBdr>
        <w:ind w:left="1080"/>
        <w:jc w:val="both"/>
        <w:textAlignment w:val="baseline"/>
        <w:rPr>
          <w:rFonts w:ascii="Courier New" w:hAnsi="Courier New" w:cs="Courier New"/>
        </w:rPr>
      </w:pPr>
      <w:r w:rsidRPr="008037F5">
        <w:rPr>
          <w:rFonts w:ascii="Arial" w:hAnsi="Arial" w:cs="Arial"/>
        </w:rPr>
        <w:t>The applicant’s new employment or appointment, including when taken up;</w:t>
      </w:r>
    </w:p>
    <w:p w:rsidR="008037F5" w:rsidRPr="008037F5" w:rsidRDefault="008037F5" w:rsidP="008037F5">
      <w:pPr>
        <w:numPr>
          <w:ilvl w:val="1"/>
          <w:numId w:val="5"/>
        </w:numPr>
        <w:pBdr>
          <w:top w:val="none" w:sz="0" w:space="0" w:color="auto"/>
          <w:left w:val="none" w:sz="0" w:space="0" w:color="auto"/>
          <w:bottom w:val="none" w:sz="0" w:space="0" w:color="auto"/>
          <w:right w:val="none" w:sz="0" w:space="0" w:color="auto"/>
          <w:between w:val="none" w:sz="0" w:space="0" w:color="auto"/>
        </w:pBdr>
        <w:ind w:left="1080"/>
        <w:jc w:val="both"/>
        <w:textAlignment w:val="baseline"/>
        <w:rPr>
          <w:rFonts w:ascii="Courier New" w:hAnsi="Courier New" w:cs="Courier New"/>
        </w:rPr>
      </w:pPr>
      <w:r w:rsidRPr="008037F5">
        <w:rPr>
          <w:rFonts w:ascii="Arial" w:hAnsi="Arial" w:cs="Arial"/>
        </w:rPr>
        <w:t>Summary of the department’s decision on the applicant’s application, including details of any waiting period or other conditions or restrictions applied.</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6"/>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Departments may wish to use the pro forma overleaf for this purpose.</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7"/>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 xml:space="preserve">It is important that departments do </w:t>
      </w:r>
      <w:r w:rsidRPr="008037F5">
        <w:rPr>
          <w:rFonts w:ascii="Arial" w:hAnsi="Arial" w:cs="Arial"/>
          <w:u w:val="single"/>
        </w:rPr>
        <w:t>not</w:t>
      </w:r>
      <w:r w:rsidRPr="008037F5">
        <w:rPr>
          <w:rFonts w:ascii="Arial" w:hAnsi="Arial" w:cs="Arial"/>
        </w:rPr>
        <w:t xml:space="preserve"> publish any information until the applicant has taken up the appointment or employment, or it has been publicly announced.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8"/>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 xml:space="preserve">No information should be published where the applicant does not take up a proposed appointment or employment.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numPr>
          <w:ilvl w:val="0"/>
          <w:numId w:val="9"/>
        </w:numPr>
        <w:pBdr>
          <w:top w:val="none" w:sz="0" w:space="0" w:color="auto"/>
          <w:left w:val="none" w:sz="0" w:space="0" w:color="auto"/>
          <w:bottom w:val="none" w:sz="0" w:space="0" w:color="auto"/>
          <w:right w:val="none" w:sz="0" w:space="0" w:color="auto"/>
          <w:between w:val="none" w:sz="0" w:space="0" w:color="auto"/>
        </w:pBdr>
        <w:ind w:left="360"/>
        <w:jc w:val="both"/>
        <w:textAlignment w:val="baseline"/>
        <w:rPr>
          <w:rFonts w:ascii="Noto Sans Symbols" w:hAnsi="Noto Sans Symbols"/>
        </w:rPr>
      </w:pPr>
      <w:r w:rsidRPr="008037F5">
        <w:rPr>
          <w:rFonts w:ascii="Arial" w:hAnsi="Arial" w:cs="Arial"/>
        </w:rPr>
        <w:t xml:space="preserve">Applicants should be informed about publication and be given the opportunity to check the text before it goes live on the website. </w:t>
      </w:r>
    </w:p>
    <w:p w:rsidR="008037F5" w:rsidRDefault="008037F5" w:rsidP="008037F5">
      <w:pPr>
        <w:pBdr>
          <w:top w:val="none" w:sz="0" w:space="0" w:color="auto"/>
          <w:left w:val="none" w:sz="0" w:space="0" w:color="auto"/>
          <w:bottom w:val="none" w:sz="0" w:space="0" w:color="auto"/>
          <w:right w:val="none" w:sz="0" w:space="0" w:color="auto"/>
          <w:between w:val="none" w:sz="0" w:space="0" w:color="auto"/>
        </w:pBdr>
        <w:spacing w:after="240"/>
        <w:rPr>
          <w:color w:val="auto"/>
        </w:rPr>
      </w:pPr>
      <w:r w:rsidRPr="008037F5">
        <w:rPr>
          <w:color w:val="auto"/>
        </w:rPr>
        <w:br/>
      </w:r>
      <w:r w:rsidRPr="008037F5">
        <w:rPr>
          <w:color w:val="auto"/>
        </w:rPr>
        <w:br/>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after="240"/>
        <w:rPr>
          <w:color w:val="auto"/>
        </w:rPr>
      </w:pPr>
      <w:r w:rsidRPr="008037F5">
        <w:rPr>
          <w:color w:val="auto"/>
        </w:rPr>
        <w:br/>
      </w:r>
      <w:r w:rsidRPr="008037F5">
        <w:rPr>
          <w:color w:val="auto"/>
        </w:rPr>
        <w:br/>
      </w:r>
      <w:r w:rsidRPr="008037F5">
        <w:rPr>
          <w:color w:val="auto"/>
        </w:rPr>
        <w:br/>
      </w:r>
      <w:r w:rsidRPr="008037F5">
        <w:rPr>
          <w:color w:val="auto"/>
        </w:rPr>
        <w:br/>
      </w:r>
      <w:r w:rsidRPr="008037F5">
        <w:rPr>
          <w:color w:val="auto"/>
        </w:rPr>
        <w:br/>
      </w:r>
      <w:r w:rsidRPr="008037F5">
        <w:rPr>
          <w:color w:val="auto"/>
        </w:rPr>
        <w:br/>
      </w:r>
      <w:r w:rsidRPr="008037F5">
        <w:rPr>
          <w:color w:val="auto"/>
        </w:rPr>
        <w:br/>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ind w:left="-540" w:firstLine="540"/>
        <w:jc w:val="center"/>
        <w:rPr>
          <w:color w:val="auto"/>
        </w:rPr>
      </w:pPr>
      <w:r w:rsidRPr="008037F5">
        <w:rPr>
          <w:rFonts w:ascii="Arial" w:hAnsi="Arial" w:cs="Arial"/>
          <w:b/>
          <w:bCs/>
        </w:rPr>
        <w:lastRenderedPageBreak/>
        <w:t>PRO FORMA FOR TRANSPARENCY INFORMATION ABOUT OUTSIDE APPOINTMENTS OR EMPLOYMENT TAKEN UP BY FORMER MEMBERS OF THE DEPARTMENT AT SCS1 AND SCS2 LEVEL AND EQUIVALENTS (INCLUDING SPECIAL ADVISERS OF EQUIVALENT STANDING)</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after="240"/>
        <w:rPr>
          <w:color w:val="auto"/>
        </w:rPr>
      </w:pPr>
      <w:r w:rsidRPr="008037F5">
        <w:rPr>
          <w:color w:val="auto"/>
        </w:rPr>
        <w:br/>
      </w:r>
      <w:r w:rsidRPr="008037F5">
        <w:rPr>
          <w:color w:val="auto"/>
        </w:rPr>
        <w:br/>
      </w:r>
    </w:p>
    <w:tbl>
      <w:tblPr>
        <w:tblW w:w="0" w:type="auto"/>
        <w:tblCellMar>
          <w:top w:w="15" w:type="dxa"/>
          <w:left w:w="15" w:type="dxa"/>
          <w:bottom w:w="15" w:type="dxa"/>
          <w:right w:w="15" w:type="dxa"/>
        </w:tblCellMar>
        <w:tblLook w:val="04A0" w:firstRow="1" w:lastRow="0" w:firstColumn="1" w:lastColumn="0" w:noHBand="0" w:noVBand="1"/>
      </w:tblPr>
      <w:tblGrid>
        <w:gridCol w:w="3994"/>
        <w:gridCol w:w="5022"/>
      </w:tblGrid>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 xml:space="preserve">Full Name of Applicant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rPr>
              <w:t>James Snook</w:t>
            </w:r>
          </w:p>
        </w:tc>
      </w:tr>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 xml:space="preserve">Title of Former Civil Service Role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i/>
                <w:iCs/>
              </w:rPr>
              <w:t>DCMS - May 2017 - July 2018</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rPr>
              <w:t>Head of Data Protection and Telecoms Markets Teams</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i/>
                <w:iCs/>
              </w:rPr>
              <w:t>Cabinet Office - Nov 2015 - May 2017</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rPr>
              <w:t>Head of Cyber Security Strategy and Performance, Head of Cyber Security Policy Teams</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r>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 xml:space="preserve">Date Left/Retired from the Civil Service </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ind w:hanging="344"/>
              <w:rPr>
                <w:color w:val="auto"/>
              </w:rPr>
            </w:pPr>
            <w:r>
              <w:rPr>
                <w:rFonts w:ascii="Arial" w:hAnsi="Arial" w:cs="Arial"/>
              </w:rPr>
              <w:t xml:space="preserve">    </w:t>
            </w:r>
            <w:r w:rsidR="00A528F2">
              <w:rPr>
                <w:rFonts w:ascii="Arial" w:hAnsi="Arial" w:cs="Arial"/>
              </w:rPr>
              <w:t xml:space="preserve"> </w:t>
            </w:r>
            <w:r w:rsidRPr="008037F5">
              <w:rPr>
                <w:rFonts w:ascii="Arial" w:hAnsi="Arial" w:cs="Arial"/>
              </w:rPr>
              <w:t>July 2018</w:t>
            </w:r>
          </w:p>
        </w:tc>
      </w:tr>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New Employer</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rPr>
              <w:t>Brunswick Group</w:t>
            </w:r>
          </w:p>
        </w:tc>
      </w:tr>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New Appointment/Employment (including when taken up)</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80" w:after="80"/>
              <w:rPr>
                <w:color w:val="auto"/>
              </w:rPr>
            </w:pPr>
            <w:r w:rsidRPr="008037F5">
              <w:rPr>
                <w:rFonts w:ascii="Arial" w:hAnsi="Arial" w:cs="Arial"/>
              </w:rPr>
              <w:t>Associate Position.  Started 9th July 2018</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tc>
      </w:tr>
      <w:tr w:rsidR="008037F5" w:rsidRPr="008037F5" w:rsidTr="008037F5">
        <w:tc>
          <w:tcPr>
            <w:tcW w:w="3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spacing w:before="240" w:after="240"/>
              <w:rPr>
                <w:color w:val="auto"/>
              </w:rPr>
            </w:pPr>
            <w:r w:rsidRPr="008037F5">
              <w:rPr>
                <w:rFonts w:ascii="Arial" w:hAnsi="Arial" w:cs="Arial"/>
              </w:rPr>
              <w:t>Department’s Decision on Application (including details of any waiting period or other conditions or restrictions applied)</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ind w:hanging="175"/>
              <w:rPr>
                <w:color w:val="auto"/>
              </w:rPr>
            </w:pPr>
            <w:r>
              <w:rPr>
                <w:rFonts w:ascii="Arial" w:hAnsi="Arial" w:cs="Arial"/>
                <w:shd w:val="clear" w:color="auto" w:fill="FFFFFF"/>
              </w:rPr>
              <w:t xml:space="preserve">  </w:t>
            </w:r>
            <w:r w:rsidR="00A528F2">
              <w:rPr>
                <w:rFonts w:ascii="Arial" w:hAnsi="Arial" w:cs="Arial"/>
                <w:shd w:val="clear" w:color="auto" w:fill="FFFFFF"/>
              </w:rPr>
              <w:t xml:space="preserve"> </w:t>
            </w:r>
            <w:r w:rsidRPr="008037F5">
              <w:rPr>
                <w:rFonts w:ascii="Arial" w:hAnsi="Arial" w:cs="Arial"/>
                <w:shd w:val="clear" w:color="auto" w:fill="FFFFFF"/>
              </w:rPr>
              <w:t xml:space="preserve">Approved </w:t>
            </w:r>
            <w:r w:rsidRPr="008037F5">
              <w:rPr>
                <w:rFonts w:ascii="Arial" w:hAnsi="Arial" w:cs="Arial"/>
              </w:rPr>
              <w:t>subject to the following conditions:</w:t>
            </w: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rPr>
                <w:color w:val="auto"/>
              </w:rPr>
            </w:pPr>
          </w:p>
          <w:p w:rsidR="008037F5" w:rsidRPr="008037F5" w:rsidRDefault="008037F5" w:rsidP="008037F5">
            <w:pPr>
              <w:pBdr>
                <w:top w:val="none" w:sz="0" w:space="0" w:color="auto"/>
                <w:left w:val="none" w:sz="0" w:space="0" w:color="auto"/>
                <w:bottom w:val="none" w:sz="0" w:space="0" w:color="auto"/>
                <w:right w:val="none" w:sz="0" w:space="0" w:color="auto"/>
                <w:between w:val="none" w:sz="0" w:space="0" w:color="auto"/>
              </w:pBdr>
              <w:ind w:hanging="175"/>
              <w:rPr>
                <w:color w:val="auto"/>
              </w:rPr>
            </w:pPr>
            <w:r>
              <w:rPr>
                <w:rFonts w:ascii="Arial" w:hAnsi="Arial" w:cs="Arial"/>
              </w:rPr>
              <w:t xml:space="preserve">  </w:t>
            </w:r>
            <w:r w:rsidR="00A528F2">
              <w:rPr>
                <w:rFonts w:ascii="Arial" w:hAnsi="Arial" w:cs="Arial"/>
              </w:rPr>
              <w:t xml:space="preserve"> </w:t>
            </w:r>
            <w:r w:rsidRPr="008037F5">
              <w:rPr>
                <w:rFonts w:ascii="Arial" w:hAnsi="Arial" w:cs="Arial"/>
              </w:rPr>
              <w:t>It is reco</w:t>
            </w:r>
            <w:bookmarkStart w:id="0" w:name="_GoBack"/>
            <w:bookmarkEnd w:id="0"/>
            <w:r w:rsidRPr="008037F5">
              <w:rPr>
                <w:rFonts w:ascii="Arial" w:hAnsi="Arial" w:cs="Arial"/>
              </w:rPr>
              <w:t>mmended that the individual would not be prevented from taking up a position based on the current information, however if anything further emerges in relation to the post which could be viewed as out of line with the Business Appointment rules, the situation should be revisited</w:t>
            </w:r>
            <w:r w:rsidRPr="008037F5">
              <w:rPr>
                <w:rFonts w:ascii="Arial" w:hAnsi="Arial" w:cs="Arial"/>
                <w:sz w:val="22"/>
                <w:szCs w:val="22"/>
              </w:rPr>
              <w:br/>
            </w:r>
            <w:r w:rsidRPr="008037F5">
              <w:rPr>
                <w:rFonts w:ascii="Arial" w:hAnsi="Arial" w:cs="Arial"/>
                <w:sz w:val="22"/>
                <w:szCs w:val="22"/>
              </w:rPr>
              <w:br/>
            </w:r>
          </w:p>
        </w:tc>
      </w:tr>
    </w:tbl>
    <w:p w:rsidR="005864AD" w:rsidRDefault="005864AD"/>
    <w:sectPr w:rsidR="00586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1BC"/>
    <w:multiLevelType w:val="multilevel"/>
    <w:tmpl w:val="F1C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82FB7"/>
    <w:multiLevelType w:val="multilevel"/>
    <w:tmpl w:val="853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C2033"/>
    <w:multiLevelType w:val="multilevel"/>
    <w:tmpl w:val="1AE0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5131D"/>
    <w:multiLevelType w:val="multilevel"/>
    <w:tmpl w:val="F9F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C447F"/>
    <w:multiLevelType w:val="multilevel"/>
    <w:tmpl w:val="EED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B6CAF"/>
    <w:multiLevelType w:val="multilevel"/>
    <w:tmpl w:val="73A6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150CB"/>
    <w:multiLevelType w:val="multilevel"/>
    <w:tmpl w:val="9B8A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960BB"/>
    <w:multiLevelType w:val="multilevel"/>
    <w:tmpl w:val="47A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C2C28"/>
    <w:multiLevelType w:val="multilevel"/>
    <w:tmpl w:val="4D1C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F5"/>
    <w:rsid w:val="005864AD"/>
    <w:rsid w:val="00627522"/>
    <w:rsid w:val="008037F5"/>
    <w:rsid w:val="00A5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612"/>
  <w15:chartTrackingRefBased/>
  <w15:docId w15:val="{D501270D-466D-459F-A49B-2E14C54A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37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22683">
      <w:bodyDiv w:val="1"/>
      <w:marLeft w:val="0"/>
      <w:marRight w:val="0"/>
      <w:marTop w:val="0"/>
      <w:marBottom w:val="0"/>
      <w:divBdr>
        <w:top w:val="none" w:sz="0" w:space="0" w:color="auto"/>
        <w:left w:val="none" w:sz="0" w:space="0" w:color="auto"/>
        <w:bottom w:val="none" w:sz="0" w:space="0" w:color="auto"/>
        <w:right w:val="none" w:sz="0" w:space="0" w:color="auto"/>
      </w:divBdr>
      <w:divsChild>
        <w:div w:id="12101472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oba.independ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Brosnan</dc:creator>
  <cp:keywords/>
  <dc:description/>
  <cp:lastModifiedBy>Kate Brosnan</cp:lastModifiedBy>
  <cp:revision>2</cp:revision>
  <dcterms:created xsi:type="dcterms:W3CDTF">2018-10-12T15:25:00Z</dcterms:created>
  <dcterms:modified xsi:type="dcterms:W3CDTF">2018-10-12T15:25:00Z</dcterms:modified>
</cp:coreProperties>
</file>