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5127869F" w:rsidR="002C34D4" w:rsidRDefault="00D1765D" w:rsidP="002C34D4">
      <w:pPr>
        <w:pStyle w:val="Logos"/>
        <w:tabs>
          <w:tab w:val="right" w:pos="9498"/>
        </w:tabs>
      </w:pPr>
      <w:r>
        <mc:AlternateContent>
          <mc:Choice Requires="wps">
            <w:drawing>
              <wp:anchor distT="45720" distB="45720" distL="114300" distR="114300" simplePos="0" relativeHeight="251659264" behindDoc="0" locked="0" layoutInCell="1" allowOverlap="1" wp14:anchorId="7464559B" wp14:editId="5F723F5A">
                <wp:simplePos x="0" y="0"/>
                <wp:positionH relativeFrom="column">
                  <wp:posOffset>2973705</wp:posOffset>
                </wp:positionH>
                <wp:positionV relativeFrom="paragraph">
                  <wp:posOffset>12065</wp:posOffset>
                </wp:positionV>
                <wp:extent cx="2873375" cy="1404620"/>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4620"/>
                        </a:xfrm>
                        <a:prstGeom prst="rect">
                          <a:avLst/>
                        </a:prstGeom>
                        <a:solidFill>
                          <a:srgbClr val="FFFFFF"/>
                        </a:solidFill>
                        <a:ln w="9525">
                          <a:solidFill>
                            <a:srgbClr val="000000"/>
                          </a:solidFill>
                          <a:miter lim="800000"/>
                          <a:headEnd/>
                          <a:tailEnd/>
                        </a:ln>
                      </wps:spPr>
                      <wps:txbx>
                        <w:txbxContent>
                          <w:p w14:paraId="440490EB" w14:textId="3D8BC007" w:rsidR="00D1765D" w:rsidRPr="00D1765D" w:rsidRDefault="00D1765D">
                            <w:pPr>
                              <w:rPr>
                                <w:b/>
                                <w:bCs/>
                                <w:sz w:val="36"/>
                                <w:szCs w:val="40"/>
                              </w:rPr>
                            </w:pPr>
                            <w:r w:rsidRPr="00D1765D">
                              <w:rPr>
                                <w:b/>
                                <w:bCs/>
                                <w:sz w:val="36"/>
                                <w:szCs w:val="40"/>
                              </w:rPr>
                              <w:t>This document has been withdrawn as it is out of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4559B" id="_x0000_t202" coordsize="21600,21600" o:spt="202" path="m,l,21600r21600,l21600,xe">
                <v:stroke joinstyle="miter"/>
                <v:path gradientshapeok="t" o:connecttype="rect"/>
              </v:shapetype>
              <v:shape id="Text Box 2" o:spid="_x0000_s1026" type="#_x0000_t202" style="position:absolute;margin-left:234.15pt;margin-top:.95pt;width:22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">
                <v:textbox style="mso-fit-shape-to-text:t">
                  <w:txbxContent>
                    <w:p w14:paraId="440490EB" w14:textId="3D8BC007" w:rsidR="00D1765D" w:rsidRPr="00D1765D" w:rsidRDefault="00D1765D">
                      <w:pPr>
                        <w:rPr>
                          <w:b/>
                          <w:bCs/>
                          <w:sz w:val="36"/>
                          <w:szCs w:val="40"/>
                        </w:rPr>
                      </w:pPr>
                      <w:r w:rsidRPr="00D1765D">
                        <w:rPr>
                          <w:b/>
                          <w:bCs/>
                          <w:sz w:val="36"/>
                          <w:szCs w:val="40"/>
                        </w:rPr>
                        <w:t>This document has been withdrawn as it is out of date.</w:t>
                      </w:r>
                    </w:p>
                  </w:txbxContent>
                </v:textbox>
                <w10:wrap type="square"/>
              </v:shape>
            </w:pict>
          </mc:Fallback>
        </mc:AlternateContent>
      </w:r>
      <w:r w:rsidR="00E80915">
        <w:drawing>
          <wp:inline distT="0" distB="0" distL="0" distR="0" wp14:anchorId="1076D1B9" wp14:editId="591AC8A3">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3"/>
                    <a:srcRect/>
                    <a:stretch>
                      <a:fillRect/>
                    </a:stretch>
                  </pic:blipFill>
                  <pic:spPr>
                    <a:xfrm>
                      <a:off x="0" y="0"/>
                      <a:ext cx="1778000" cy="1079500"/>
                    </a:xfrm>
                    <a:prstGeom prst="rect">
                      <a:avLst/>
                    </a:prstGeom>
                    <a:noFill/>
                    <a:ln>
                      <a:noFill/>
                      <a:prstDash/>
                    </a:ln>
                  </pic:spPr>
                </pic:pic>
              </a:graphicData>
            </a:graphic>
          </wp:inline>
        </w:drawing>
      </w:r>
      <w:r w:rsidR="002C34D4">
        <w:tab/>
      </w:r>
    </w:p>
    <w:p w14:paraId="73CE1C0E" w14:textId="4D595204" w:rsidR="00B066FA" w:rsidRPr="00B066FA" w:rsidRDefault="00B066FA" w:rsidP="00B066FA">
      <w:pPr>
        <w:pStyle w:val="Heading1"/>
      </w:pPr>
      <w:r w:rsidRPr="00B066FA">
        <w:t xml:space="preserve">Hospital education funding: </w:t>
      </w:r>
      <w:r>
        <w:t>g</w:t>
      </w:r>
      <w:r w:rsidRPr="00B066FA">
        <w:t>uidance on local authority applications for changes in 2019 to 2020</w:t>
      </w:r>
    </w:p>
    <w:p w14:paraId="54DAFC5E" w14:textId="77777777" w:rsidR="00B066FA" w:rsidRPr="0072744F" w:rsidRDefault="00B066FA" w:rsidP="002F196E">
      <w:pPr>
        <w:pStyle w:val="Heading2"/>
      </w:pPr>
      <w:r w:rsidRPr="002F196E">
        <w:t>Introduction</w:t>
      </w:r>
    </w:p>
    <w:p w14:paraId="4266169C" w14:textId="1A25B063" w:rsidR="00B066FA" w:rsidRPr="00A70B79" w:rsidRDefault="00B066FA" w:rsidP="00A70B79">
      <w:pPr>
        <w:pStyle w:val="DfESOutNumbered1"/>
      </w:pPr>
      <w:r w:rsidRPr="00A70B79">
        <w:t>Local authorities can apply for changes to their hospital education funding for 2019 to 2020. This may be a change in funding due to a change in the health care or medical provision in the local authority area.</w:t>
      </w:r>
    </w:p>
    <w:p w14:paraId="617E37C3" w14:textId="67639092" w:rsidR="00B066FA" w:rsidRPr="00A70B79" w:rsidRDefault="00B066FA" w:rsidP="00A70B79">
      <w:pPr>
        <w:pStyle w:val="DfESOutNumbered1"/>
      </w:pPr>
      <w:r w:rsidRPr="00A70B79">
        <w:t>Local authorities should submit applications in-line with the principles set out in this guidance. A template has been published alongside this guidance and</w:t>
      </w:r>
      <w:r w:rsidR="008E045E" w:rsidRPr="00A70B79">
        <w:t xml:space="preserve"> the Education and Skills Funding Agency</w:t>
      </w:r>
      <w:r w:rsidRPr="00A70B79">
        <w:t xml:space="preserve"> </w:t>
      </w:r>
      <w:r w:rsidR="008E045E" w:rsidRPr="00A70B79">
        <w:t>(</w:t>
      </w:r>
      <w:r w:rsidRPr="00A70B79">
        <w:t>ESFA</w:t>
      </w:r>
      <w:r w:rsidR="008E045E" w:rsidRPr="00A70B79">
        <w:t>)</w:t>
      </w:r>
      <w:r w:rsidRPr="00A70B79">
        <w:t xml:space="preserve"> will consider applications returned with the appropriate supporting evidence. The deadline for applications is 16 November 2018.</w:t>
      </w:r>
    </w:p>
    <w:p w14:paraId="36503DFD" w14:textId="77777777" w:rsidR="003E66E0" w:rsidRPr="00A70B79" w:rsidRDefault="00812BA0" w:rsidP="00A70B79">
      <w:pPr>
        <w:pStyle w:val="DfESOutNumbered1"/>
      </w:pPr>
      <w:r w:rsidRPr="00A70B79">
        <w:t>This process should not be confused with the separate work looking at NHS data to explore and consult with local authorities and others on how this might be used in a hospital education funding formula factor.</w:t>
      </w:r>
      <w:r w:rsidR="003E66E0" w:rsidRPr="00A70B79">
        <w:t xml:space="preserve"> </w:t>
      </w:r>
    </w:p>
    <w:p w14:paraId="24ADBFE0" w14:textId="4730EFE7" w:rsidR="003E66E0" w:rsidRPr="00A21527" w:rsidRDefault="003E66E0" w:rsidP="00A70B79">
      <w:pPr>
        <w:pStyle w:val="DfESOutNumbered1"/>
      </w:pPr>
      <w:r w:rsidRPr="00A70B79">
        <w:t>This process only relates to local authori</w:t>
      </w:r>
      <w:r w:rsidR="00EB645D" w:rsidRPr="00A70B79">
        <w:t>ty level funding through the dedicated schools grant</w:t>
      </w:r>
      <w:r w:rsidRPr="00A70B79">
        <w:t xml:space="preserve"> high needs funding block. If, as a result of this change, there is also an impact on the number of hospital education places to be funded at an academy, changes to the institution level allocations must also be notified to ESFA through the </w:t>
      </w:r>
      <w:hyperlink r:id="rId14" w:history="1">
        <w:r w:rsidRPr="00A70B79">
          <w:rPr>
            <w:rStyle w:val="Hyperlink"/>
            <w:color w:val="0D0D0D" w:themeColor="text1" w:themeTint="F2"/>
            <w:u w:val="none"/>
          </w:rPr>
          <w:t>2019 to 2020 place change notification</w:t>
        </w:r>
      </w:hyperlink>
      <w:r w:rsidRPr="00A70B79">
        <w:t xml:space="preserve"> process</w:t>
      </w:r>
      <w:r w:rsidRPr="005818DE">
        <w:t>.</w:t>
      </w:r>
      <w:r w:rsidRPr="00A21527">
        <w:t xml:space="preserve">  </w:t>
      </w:r>
    </w:p>
    <w:p w14:paraId="58B4BD1B" w14:textId="3DB0DC20" w:rsidR="00B066FA" w:rsidRPr="00A21527" w:rsidRDefault="00B066FA" w:rsidP="002F196E">
      <w:pPr>
        <w:pStyle w:val="Heading2"/>
      </w:pPr>
      <w:r w:rsidRPr="002F196E">
        <w:t>Background</w:t>
      </w:r>
      <w:r w:rsidRPr="00A21527">
        <w:t xml:space="preserve"> </w:t>
      </w:r>
    </w:p>
    <w:p w14:paraId="28C79D09" w14:textId="6297D5D8" w:rsidR="00B066FA" w:rsidRPr="00A21527" w:rsidRDefault="00B066FA" w:rsidP="00A70B79">
      <w:pPr>
        <w:pStyle w:val="DfESOutNumbered1"/>
      </w:pPr>
      <w:r w:rsidRPr="00A21527">
        <w:t xml:space="preserve">Hospital education can be funded by local authorities either </w:t>
      </w:r>
      <w:proofErr w:type="gramStart"/>
      <w:r w:rsidRPr="00A21527">
        <w:t>on the basis of</w:t>
      </w:r>
      <w:proofErr w:type="gramEnd"/>
      <w:r w:rsidRPr="00A21527">
        <w:t xml:space="preserve"> an amount per place, or as a centrally funded service. Hospital education places </w:t>
      </w:r>
      <w:r w:rsidR="00D4374B">
        <w:t xml:space="preserve">covered by this data collection </w:t>
      </w:r>
      <w:r w:rsidRPr="00A21527">
        <w:t xml:space="preserve">may be in </w:t>
      </w:r>
      <w:r w:rsidR="00D4374B">
        <w:t xml:space="preserve">maintained </w:t>
      </w:r>
      <w:r w:rsidRPr="00A21527">
        <w:t xml:space="preserve">hospital schools, </w:t>
      </w:r>
      <w:r w:rsidR="008E045E" w:rsidRPr="00A21527">
        <w:t>pupil referral units (</w:t>
      </w:r>
      <w:r w:rsidRPr="00A21527">
        <w:t>PRUs</w:t>
      </w:r>
      <w:r w:rsidR="008E045E" w:rsidRPr="00A21527">
        <w:t>)</w:t>
      </w:r>
      <w:r w:rsidRPr="00A21527">
        <w:t xml:space="preserve"> and </w:t>
      </w:r>
      <w:r w:rsidR="00D4374B">
        <w:t xml:space="preserve">the equivalent </w:t>
      </w:r>
      <w:r w:rsidRPr="00A21527">
        <w:t>academies.</w:t>
      </w:r>
      <w:r w:rsidR="00D4374B">
        <w:t xml:space="preserve"> Independent hospital provision is only covered if a single local authority funds the provision,</w:t>
      </w:r>
      <w:r w:rsidR="002F196E">
        <w:t xml:space="preserve"> regardless</w:t>
      </w:r>
      <w:r w:rsidR="00D4374B">
        <w:t xml:space="preserve"> of where the patients come from.</w:t>
      </w:r>
    </w:p>
    <w:p w14:paraId="0CE02F26" w14:textId="77777777" w:rsidR="00B066FA" w:rsidRPr="00A21527" w:rsidRDefault="00B066FA" w:rsidP="00A70B79">
      <w:pPr>
        <w:pStyle w:val="DfESOutNumbered1"/>
      </w:pPr>
      <w:r w:rsidRPr="00A21527">
        <w:t>This process is to recognise that a change in medical provision, such as a new hospital ward or mental health unit, can have an impact on the level of hospital education the local authority is required to provide. When new medical provision is proposed, local authorities should work closely with the NHS and education providers at an early stage to agree arrangements for the provision.</w:t>
      </w:r>
    </w:p>
    <w:p w14:paraId="0F7D8638" w14:textId="77777777" w:rsidR="00B066FA" w:rsidRPr="00A21527" w:rsidRDefault="00B066FA" w:rsidP="00A70B79">
      <w:pPr>
        <w:pStyle w:val="DfESOutNumbered1"/>
      </w:pPr>
      <w:r w:rsidRPr="00A21527">
        <w:lastRenderedPageBreak/>
        <w:t xml:space="preserve">Local authorities can apply for additional funding in cases where an increase in provision that has occurred in 2018 to 2019 will continue into 2019 to 2020, or where an increase in provision in 2019 to 2020 has been confirmed.  </w:t>
      </w:r>
    </w:p>
    <w:p w14:paraId="66061511" w14:textId="5D48FCD0" w:rsidR="00B066FA" w:rsidRPr="00A21527" w:rsidRDefault="00B066FA" w:rsidP="00A70B79">
      <w:pPr>
        <w:pStyle w:val="DfESOutNumbered1"/>
      </w:pPr>
      <w:r w:rsidRPr="00A21527">
        <w:t>There may also be cases where medical provision has closed, or transferred between local authorities, and authorities can use this process to apply for a reduction or transfer of funding.</w:t>
      </w:r>
    </w:p>
    <w:p w14:paraId="7F04F41C" w14:textId="737C4F5A" w:rsidR="00B066FA" w:rsidRDefault="00B066FA" w:rsidP="00B066FA">
      <w:pPr>
        <w:pStyle w:val="Heading2"/>
      </w:pPr>
      <w:r w:rsidRPr="0072744F">
        <w:t>Applications</w:t>
      </w:r>
      <w:r w:rsidR="008E045E">
        <w:t>:</w:t>
      </w:r>
      <w:r w:rsidR="00D64EA3">
        <w:t xml:space="preserve"> </w:t>
      </w:r>
      <w:r>
        <w:t>principles</w:t>
      </w:r>
    </w:p>
    <w:p w14:paraId="7C15CC41" w14:textId="78006380" w:rsidR="00B066FA" w:rsidRPr="00A21527" w:rsidRDefault="00B066FA" w:rsidP="00A70B79">
      <w:pPr>
        <w:pStyle w:val="DfESOutNumbered1"/>
      </w:pPr>
      <w:r w:rsidRPr="00A21527">
        <w:t>ESFA will only consider requests relating to a change in medical provision, where the local authority will incur additional and recurring costs for providing education. This includes hospital education provided directly by the local authority, or by maintained hospital schools, PRUs</w:t>
      </w:r>
      <w:r w:rsidR="00ED7566">
        <w:t>,</w:t>
      </w:r>
      <w:r w:rsidRPr="00A21527">
        <w:t xml:space="preserve"> </w:t>
      </w:r>
      <w:r w:rsidR="00ED7566">
        <w:t>the equivalent</w:t>
      </w:r>
      <w:r w:rsidRPr="00A21527">
        <w:t xml:space="preserve"> academies </w:t>
      </w:r>
      <w:r w:rsidR="00ED7566">
        <w:t xml:space="preserve">or independent hospital education provision fully </w:t>
      </w:r>
      <w:r w:rsidRPr="00A21527">
        <w:t xml:space="preserve">funded through the local authority’s high need budget.  </w:t>
      </w:r>
    </w:p>
    <w:p w14:paraId="6B49E401" w14:textId="77777777" w:rsidR="00B066FA" w:rsidRPr="00A21527" w:rsidRDefault="00B066FA" w:rsidP="00A70B79">
      <w:pPr>
        <w:pStyle w:val="DfESOutNumbered1"/>
      </w:pPr>
      <w:r w:rsidRPr="00A21527">
        <w:t xml:space="preserve">Requests for the following are </w:t>
      </w:r>
      <w:r w:rsidRPr="002F196E">
        <w:t>out of scope</w:t>
      </w:r>
      <w:r w:rsidRPr="00A21527">
        <w:t xml:space="preserve"> and so will not be considered:</w:t>
      </w:r>
    </w:p>
    <w:p w14:paraId="0CBCE716" w14:textId="54DF14FB" w:rsidR="00B066FA" w:rsidRPr="00A21527" w:rsidRDefault="008E045E" w:rsidP="00B066FA">
      <w:pPr>
        <w:pStyle w:val="ListParagraph"/>
        <w:numPr>
          <w:ilvl w:val="0"/>
          <w:numId w:val="17"/>
        </w:numPr>
        <w:suppressAutoHyphens/>
        <w:autoSpaceDN w:val="0"/>
        <w:contextualSpacing w:val="0"/>
        <w:textAlignment w:val="baseline"/>
        <w:rPr>
          <w:sz w:val="24"/>
        </w:rPr>
      </w:pPr>
      <w:r w:rsidRPr="00A21527">
        <w:rPr>
          <w:sz w:val="24"/>
        </w:rPr>
        <w:t>f</w:t>
      </w:r>
      <w:r w:rsidR="00B066FA" w:rsidRPr="00A21527">
        <w:rPr>
          <w:sz w:val="24"/>
        </w:rPr>
        <w:t>unding for start-up or one-off costs</w:t>
      </w:r>
      <w:r>
        <w:rPr>
          <w:sz w:val="24"/>
        </w:rPr>
        <w:t>, such as</w:t>
      </w:r>
      <w:r w:rsidR="00B066FA" w:rsidRPr="00A21527">
        <w:rPr>
          <w:sz w:val="24"/>
        </w:rPr>
        <w:t xml:space="preserve"> IT equipment</w:t>
      </w:r>
    </w:p>
    <w:p w14:paraId="45FA000C" w14:textId="19DEC5FC" w:rsidR="00B066FA" w:rsidRPr="00A21527" w:rsidRDefault="008E045E" w:rsidP="00B066FA">
      <w:pPr>
        <w:pStyle w:val="ListParagraph"/>
        <w:numPr>
          <w:ilvl w:val="0"/>
          <w:numId w:val="17"/>
        </w:numPr>
        <w:suppressAutoHyphens/>
        <w:autoSpaceDN w:val="0"/>
        <w:contextualSpacing w:val="0"/>
        <w:textAlignment w:val="baseline"/>
        <w:rPr>
          <w:sz w:val="24"/>
        </w:rPr>
      </w:pPr>
      <w:r w:rsidRPr="00A21527">
        <w:rPr>
          <w:sz w:val="24"/>
        </w:rPr>
        <w:t>f</w:t>
      </w:r>
      <w:r w:rsidR="00B066FA" w:rsidRPr="00A21527">
        <w:rPr>
          <w:sz w:val="24"/>
        </w:rPr>
        <w:t>unding for discrete services for pupils only from the local authority and not accessible for pupils from elsewhere</w:t>
      </w:r>
      <w:r>
        <w:rPr>
          <w:sz w:val="24"/>
        </w:rPr>
        <w:t>, such as</w:t>
      </w:r>
      <w:r w:rsidR="00B066FA" w:rsidRPr="00A21527">
        <w:rPr>
          <w:sz w:val="24"/>
        </w:rPr>
        <w:t xml:space="preserve"> home tuition</w:t>
      </w:r>
    </w:p>
    <w:p w14:paraId="1714CC91" w14:textId="77777777" w:rsidR="002F196E" w:rsidRDefault="008E045E" w:rsidP="00B066FA">
      <w:pPr>
        <w:pStyle w:val="ListParagraph"/>
        <w:numPr>
          <w:ilvl w:val="0"/>
          <w:numId w:val="17"/>
        </w:numPr>
        <w:suppressAutoHyphens/>
        <w:autoSpaceDN w:val="0"/>
        <w:contextualSpacing w:val="0"/>
        <w:textAlignment w:val="baseline"/>
        <w:rPr>
          <w:sz w:val="24"/>
        </w:rPr>
      </w:pPr>
      <w:r w:rsidRPr="00A21527">
        <w:rPr>
          <w:sz w:val="24"/>
        </w:rPr>
        <w:t>c</w:t>
      </w:r>
      <w:r w:rsidR="00B066FA" w:rsidRPr="00A21527">
        <w:rPr>
          <w:sz w:val="24"/>
        </w:rPr>
        <w:t>hanges to hospital education provision unrelated to</w:t>
      </w:r>
      <w:r w:rsidR="002F196E">
        <w:rPr>
          <w:sz w:val="24"/>
        </w:rPr>
        <w:t xml:space="preserve"> a change in medical provision</w:t>
      </w:r>
    </w:p>
    <w:p w14:paraId="22E0AA06" w14:textId="391D54AA" w:rsidR="00B066FA" w:rsidRPr="00A21527" w:rsidRDefault="002F196E" w:rsidP="002F196E">
      <w:pPr>
        <w:pStyle w:val="ListParagraph"/>
        <w:numPr>
          <w:ilvl w:val="1"/>
          <w:numId w:val="17"/>
        </w:numPr>
        <w:suppressAutoHyphens/>
        <w:autoSpaceDN w:val="0"/>
        <w:contextualSpacing w:val="0"/>
        <w:textAlignment w:val="baseline"/>
        <w:rPr>
          <w:sz w:val="24"/>
        </w:rPr>
      </w:pPr>
      <w:r>
        <w:rPr>
          <w:sz w:val="24"/>
        </w:rPr>
        <w:t>f</w:t>
      </w:r>
      <w:r w:rsidR="00B066FA" w:rsidRPr="00A21527">
        <w:rPr>
          <w:sz w:val="24"/>
        </w:rPr>
        <w:t>or example</w:t>
      </w:r>
      <w:r>
        <w:rPr>
          <w:sz w:val="24"/>
        </w:rPr>
        <w:t>,</w:t>
      </w:r>
      <w:r w:rsidR="00B066FA" w:rsidRPr="00A21527">
        <w:rPr>
          <w:sz w:val="24"/>
        </w:rPr>
        <w:t xml:space="preserve"> if a decision is taken to extend the education provision to cover an increase in teacher contact time for a similar number of pupils with similar </w:t>
      </w:r>
      <w:proofErr w:type="gramStart"/>
      <w:r w:rsidR="00B066FA" w:rsidRPr="00A21527">
        <w:rPr>
          <w:sz w:val="24"/>
        </w:rPr>
        <w:t>needs</w:t>
      </w:r>
      <w:proofErr w:type="gramEnd"/>
    </w:p>
    <w:p w14:paraId="26D1FD8F" w14:textId="77777777" w:rsidR="002F196E" w:rsidRDefault="008E045E" w:rsidP="00B066FA">
      <w:pPr>
        <w:pStyle w:val="ListParagraph"/>
        <w:numPr>
          <w:ilvl w:val="0"/>
          <w:numId w:val="17"/>
        </w:numPr>
        <w:suppressAutoHyphens/>
        <w:autoSpaceDN w:val="0"/>
        <w:contextualSpacing w:val="0"/>
        <w:textAlignment w:val="baseline"/>
        <w:rPr>
          <w:sz w:val="24"/>
        </w:rPr>
      </w:pPr>
      <w:r w:rsidRPr="00A21527">
        <w:rPr>
          <w:sz w:val="24"/>
        </w:rPr>
        <w:t>f</w:t>
      </w:r>
      <w:r w:rsidR="00B066FA" w:rsidRPr="00A21527">
        <w:rPr>
          <w:sz w:val="24"/>
        </w:rPr>
        <w:t xml:space="preserve">unding for cost increases such as: </w:t>
      </w:r>
    </w:p>
    <w:p w14:paraId="32B5505E" w14:textId="77777777" w:rsidR="002F196E" w:rsidRDefault="002F196E" w:rsidP="002F196E">
      <w:pPr>
        <w:pStyle w:val="ListParagraph"/>
        <w:numPr>
          <w:ilvl w:val="1"/>
          <w:numId w:val="17"/>
        </w:numPr>
        <w:suppressAutoHyphens/>
        <w:autoSpaceDN w:val="0"/>
        <w:contextualSpacing w:val="0"/>
        <w:textAlignment w:val="baseline"/>
        <w:rPr>
          <w:sz w:val="24"/>
        </w:rPr>
      </w:pPr>
      <w:r>
        <w:rPr>
          <w:sz w:val="24"/>
        </w:rPr>
        <w:t xml:space="preserve">pay for </w:t>
      </w:r>
      <w:proofErr w:type="gramStart"/>
      <w:r>
        <w:rPr>
          <w:sz w:val="24"/>
        </w:rPr>
        <w:t>salary</w:t>
      </w:r>
      <w:proofErr w:type="gramEnd"/>
    </w:p>
    <w:p w14:paraId="16B69270" w14:textId="44BD716E" w:rsidR="00D4374B" w:rsidRDefault="00B066FA" w:rsidP="002F196E">
      <w:pPr>
        <w:pStyle w:val="ListParagraph"/>
        <w:numPr>
          <w:ilvl w:val="1"/>
          <w:numId w:val="17"/>
        </w:numPr>
        <w:suppressAutoHyphens/>
        <w:autoSpaceDN w:val="0"/>
        <w:contextualSpacing w:val="0"/>
        <w:textAlignment w:val="baseline"/>
        <w:rPr>
          <w:sz w:val="24"/>
        </w:rPr>
      </w:pPr>
      <w:r w:rsidRPr="00A21527">
        <w:rPr>
          <w:sz w:val="24"/>
        </w:rPr>
        <w:t>pension or national insurance increases for the same number of teachers</w:t>
      </w:r>
    </w:p>
    <w:p w14:paraId="1FE75D9B" w14:textId="50FD6580" w:rsidR="00B066FA" w:rsidRPr="00A21527" w:rsidRDefault="00B066FA" w:rsidP="00B066FA">
      <w:pPr>
        <w:pStyle w:val="ListParagraph"/>
        <w:numPr>
          <w:ilvl w:val="0"/>
          <w:numId w:val="17"/>
        </w:numPr>
        <w:suppressAutoHyphens/>
        <w:autoSpaceDN w:val="0"/>
        <w:contextualSpacing w:val="0"/>
        <w:textAlignment w:val="baseline"/>
        <w:rPr>
          <w:sz w:val="24"/>
        </w:rPr>
      </w:pPr>
      <w:r w:rsidRPr="00A21527">
        <w:rPr>
          <w:sz w:val="24"/>
        </w:rPr>
        <w:t>increases in the cost of independent hospital education provision</w:t>
      </w:r>
      <w:r w:rsidR="00D4374B">
        <w:rPr>
          <w:sz w:val="24"/>
        </w:rPr>
        <w:t xml:space="preserve"> for individual </w:t>
      </w:r>
      <w:proofErr w:type="gramStart"/>
      <w:r w:rsidR="00D4374B">
        <w:rPr>
          <w:sz w:val="24"/>
        </w:rPr>
        <w:t>patients</w:t>
      </w:r>
      <w:proofErr w:type="gramEnd"/>
    </w:p>
    <w:p w14:paraId="6E9FE5B3" w14:textId="3695AB04" w:rsidR="00812BA0" w:rsidRDefault="008E045E" w:rsidP="00B066FA">
      <w:pPr>
        <w:pStyle w:val="ListParagraph"/>
        <w:numPr>
          <w:ilvl w:val="0"/>
          <w:numId w:val="17"/>
        </w:numPr>
        <w:suppressAutoHyphens/>
        <w:autoSpaceDN w:val="0"/>
        <w:contextualSpacing w:val="0"/>
        <w:textAlignment w:val="baseline"/>
        <w:rPr>
          <w:sz w:val="24"/>
        </w:rPr>
      </w:pPr>
      <w:r>
        <w:rPr>
          <w:sz w:val="24"/>
        </w:rPr>
        <w:t>c</w:t>
      </w:r>
      <w:r w:rsidR="00B066FA" w:rsidRPr="00A21527">
        <w:rPr>
          <w:sz w:val="24"/>
        </w:rPr>
        <w:t xml:space="preserve">hanges to the 2018 to 2019 planned spend on hospital education information provided by local authorities in April through the </w:t>
      </w:r>
      <w:hyperlink r:id="rId15" w:history="1">
        <w:r w:rsidR="00B066FA" w:rsidRPr="008E045E">
          <w:rPr>
            <w:rStyle w:val="Hyperlink"/>
          </w:rPr>
          <w:t>local authority baseline collection</w:t>
        </w:r>
      </w:hyperlink>
      <w:r w:rsidR="00B066FA" w:rsidRPr="00A21527">
        <w:rPr>
          <w:sz w:val="24"/>
        </w:rPr>
        <w:t>, unrelated to a change in medical provision</w:t>
      </w:r>
    </w:p>
    <w:p w14:paraId="776C9A72" w14:textId="796C789E" w:rsidR="00B066FA" w:rsidRDefault="00B066FA" w:rsidP="00B066FA">
      <w:pPr>
        <w:pStyle w:val="Heading2"/>
      </w:pPr>
      <w:r w:rsidRPr="0072744F">
        <w:t>How to apply</w:t>
      </w:r>
    </w:p>
    <w:p w14:paraId="1C6DFB2E" w14:textId="77777777" w:rsidR="00B066FA" w:rsidRPr="00A21527" w:rsidRDefault="00B066FA" w:rsidP="00A70B79">
      <w:pPr>
        <w:pStyle w:val="DfESOutNumbered1"/>
      </w:pPr>
      <w:r w:rsidRPr="00A21527">
        <w:t>Local authorities must first ensure the request meets the above principles for eligibility and is within scope.</w:t>
      </w:r>
    </w:p>
    <w:p w14:paraId="4249DF9D" w14:textId="117065A5" w:rsidR="00B066FA" w:rsidRPr="00A21527" w:rsidRDefault="00385717" w:rsidP="00A70B79">
      <w:pPr>
        <w:pStyle w:val="DfESOutNumbered1"/>
      </w:pPr>
      <w:r>
        <w:lastRenderedPageBreak/>
        <w:t>Please complete t</w:t>
      </w:r>
      <w:r w:rsidR="00B066FA" w:rsidRPr="00A21527">
        <w:t xml:space="preserve">he template </w:t>
      </w:r>
      <w:r w:rsidR="008E045E" w:rsidRPr="00A21527">
        <w:t>published alongside this guidance</w:t>
      </w:r>
      <w:r>
        <w:t xml:space="preserve">. This will need to be </w:t>
      </w:r>
      <w:r w:rsidR="00B066FA" w:rsidRPr="00A21527">
        <w:t xml:space="preserve">signed-off by the </w:t>
      </w:r>
      <w:r w:rsidR="008E045E" w:rsidRPr="00A21527">
        <w:t>director of children’s services.</w:t>
      </w:r>
    </w:p>
    <w:p w14:paraId="271463F3" w14:textId="4703E92D" w:rsidR="00B066FA" w:rsidRPr="00A21527" w:rsidRDefault="00B066FA" w:rsidP="00A70B79">
      <w:pPr>
        <w:pStyle w:val="DfESOutNumbered1"/>
      </w:pPr>
      <w:r w:rsidRPr="00A21527">
        <w:t>Evidence supporting the change in medical provision, from the relevant health care provider (</w:t>
      </w:r>
      <w:r w:rsidR="008E045E" w:rsidRPr="00A21527">
        <w:t>such as an</w:t>
      </w:r>
      <w:r w:rsidR="00943B9D">
        <w:t xml:space="preserve"> </w:t>
      </w:r>
      <w:r w:rsidRPr="00A21527">
        <w:t>NHS hospital trust), must accompany the local authority’s request. This should be brief and a checklist setting out the information required</w:t>
      </w:r>
      <w:r w:rsidR="00BF6FAF">
        <w:t xml:space="preserve"> </w:t>
      </w:r>
      <w:r w:rsidR="008E045E" w:rsidRPr="00A21527">
        <w:t>is provide</w:t>
      </w:r>
      <w:r w:rsidR="00943B9D">
        <w:t xml:space="preserve">d </w:t>
      </w:r>
      <w:r w:rsidR="00385717">
        <w:t>below</w:t>
      </w:r>
      <w:r w:rsidR="00943B9D">
        <w:t>.</w:t>
      </w:r>
    </w:p>
    <w:p w14:paraId="544B39EB" w14:textId="1D2A15A8" w:rsidR="00B066FA" w:rsidRPr="00A21527" w:rsidRDefault="00B066FA" w:rsidP="00A70B79">
      <w:pPr>
        <w:pStyle w:val="DfESOutNumbered1"/>
      </w:pPr>
      <w:r w:rsidRPr="00A21527">
        <w:t xml:space="preserve">The completed template and NHS evidence must be submitted through the </w:t>
      </w:r>
      <w:r w:rsidR="00E56B09">
        <w:t xml:space="preserve">ESFA </w:t>
      </w:r>
      <w:hyperlink r:id="rId16" w:history="1">
        <w:r w:rsidR="00E56B09">
          <w:rPr>
            <w:rStyle w:val="Hyperlink"/>
          </w:rPr>
          <w:t>e</w:t>
        </w:r>
        <w:r w:rsidRPr="008E045E">
          <w:rPr>
            <w:rStyle w:val="Hyperlink"/>
          </w:rPr>
          <w:t xml:space="preserve">nquiry </w:t>
        </w:r>
        <w:r w:rsidR="00E56B09">
          <w:rPr>
            <w:rStyle w:val="Hyperlink"/>
          </w:rPr>
          <w:t>f</w:t>
        </w:r>
        <w:r w:rsidRPr="008E045E">
          <w:rPr>
            <w:rStyle w:val="Hyperlink"/>
          </w:rPr>
          <w:t>orm</w:t>
        </w:r>
      </w:hyperlink>
      <w:r w:rsidRPr="00A21527">
        <w:t xml:space="preserve"> with the</w:t>
      </w:r>
      <w:r w:rsidR="002F196E">
        <w:t xml:space="preserve"> title ‘Hospital education 2019 to 2020: funding application (</w:t>
      </w:r>
      <w:r w:rsidR="002F196E" w:rsidRPr="002F196E">
        <w:t>insert your local authority</w:t>
      </w:r>
      <w:r w:rsidRPr="002F196E">
        <w:t xml:space="preserve"> name</w:t>
      </w:r>
      <w:r w:rsidRPr="00A21527">
        <w:t>)’</w:t>
      </w:r>
      <w:r w:rsidR="00943B9D">
        <w:t>.</w:t>
      </w:r>
    </w:p>
    <w:p w14:paraId="64F9C1A3" w14:textId="55E40DA1" w:rsidR="00B066FA" w:rsidRPr="00A21527" w:rsidRDefault="00B066FA" w:rsidP="00A70B79">
      <w:pPr>
        <w:pStyle w:val="DfESOutNumbered1"/>
      </w:pPr>
      <w:r w:rsidRPr="00A21527">
        <w:t>The dead</w:t>
      </w:r>
      <w:r w:rsidR="00943B9D">
        <w:t xml:space="preserve">line for applications is Friday </w:t>
      </w:r>
      <w:r w:rsidRPr="00A21527">
        <w:t>16 November 2018.</w:t>
      </w:r>
    </w:p>
    <w:p w14:paraId="2EC9CFF1" w14:textId="1DC5AFC7" w:rsidR="00B066FA" w:rsidRPr="00A21527" w:rsidRDefault="00B066FA" w:rsidP="00A70B79">
      <w:pPr>
        <w:pStyle w:val="DfESOutNumbered1"/>
      </w:pPr>
      <w:r w:rsidRPr="00A21527">
        <w:t>ESFA will respond directly to all applications in January 2019, confirming the outcome.</w:t>
      </w:r>
    </w:p>
    <w:p w14:paraId="2C99F34A" w14:textId="5C9C7860" w:rsidR="00B066FA" w:rsidRPr="009F6F42" w:rsidRDefault="00B066FA" w:rsidP="00B066FA">
      <w:pPr>
        <w:pStyle w:val="Heading2"/>
      </w:pPr>
      <w:r>
        <w:t xml:space="preserve">NHS supporting </w:t>
      </w:r>
      <w:proofErr w:type="gramStart"/>
      <w:r>
        <w:t>evidence</w:t>
      </w:r>
      <w:proofErr w:type="gramEnd"/>
    </w:p>
    <w:p w14:paraId="29171B40" w14:textId="5414FB7B" w:rsidR="00B066FA" w:rsidRPr="00A21527" w:rsidRDefault="00B066FA" w:rsidP="00A70B79">
      <w:pPr>
        <w:pStyle w:val="DfESOutNumbered1"/>
      </w:pPr>
      <w:r w:rsidRPr="00A21527">
        <w:t>To support the local authority’s application, an NHS letter or document must also be provided as</w:t>
      </w:r>
      <w:r w:rsidR="00B81631">
        <w:t xml:space="preserve"> evidence. This should be brief (</w:t>
      </w:r>
      <w:r w:rsidRPr="00A21527">
        <w:t>no longer than two pages</w:t>
      </w:r>
      <w:r w:rsidR="00B81631">
        <w:t>)</w:t>
      </w:r>
      <w:r w:rsidRPr="00A21527">
        <w:t xml:space="preserve"> and must include the f</w:t>
      </w:r>
      <w:r w:rsidR="00B81631">
        <w:t>ollowing information</w:t>
      </w:r>
      <w:r w:rsidRPr="00A21527">
        <w:t>:</w:t>
      </w:r>
    </w:p>
    <w:p w14:paraId="767D3705" w14:textId="7AB1EE1B" w:rsidR="00B066FA" w:rsidRPr="00A21527" w:rsidRDefault="00E56B09" w:rsidP="00B066FA">
      <w:pPr>
        <w:pStyle w:val="ListParagraph"/>
        <w:numPr>
          <w:ilvl w:val="0"/>
          <w:numId w:val="17"/>
        </w:numPr>
        <w:suppressAutoHyphens/>
        <w:autoSpaceDN w:val="0"/>
        <w:contextualSpacing w:val="0"/>
        <w:textAlignment w:val="baseline"/>
        <w:rPr>
          <w:sz w:val="24"/>
        </w:rPr>
      </w:pPr>
      <w:r>
        <w:rPr>
          <w:sz w:val="24"/>
        </w:rPr>
        <w:t>n</w:t>
      </w:r>
      <w:r w:rsidR="00B81631">
        <w:rPr>
          <w:sz w:val="24"/>
        </w:rPr>
        <w:t xml:space="preserve">ame of hospital or </w:t>
      </w:r>
      <w:r w:rsidR="00B066FA" w:rsidRPr="00A21527">
        <w:rPr>
          <w:sz w:val="24"/>
        </w:rPr>
        <w:t>health care provider</w:t>
      </w:r>
    </w:p>
    <w:p w14:paraId="3CB4B3AD" w14:textId="0BA27AC6" w:rsidR="00B066FA" w:rsidRPr="00A21527" w:rsidRDefault="00E56B09" w:rsidP="00B066FA">
      <w:pPr>
        <w:pStyle w:val="ListParagraph"/>
        <w:numPr>
          <w:ilvl w:val="0"/>
          <w:numId w:val="17"/>
        </w:numPr>
        <w:suppressAutoHyphens/>
        <w:autoSpaceDN w:val="0"/>
        <w:contextualSpacing w:val="0"/>
        <w:textAlignment w:val="baseline"/>
        <w:rPr>
          <w:sz w:val="24"/>
        </w:rPr>
      </w:pPr>
      <w:r>
        <w:rPr>
          <w:sz w:val="24"/>
        </w:rPr>
        <w:t>n</w:t>
      </w:r>
      <w:r w:rsidR="00B066FA" w:rsidRPr="00A21527">
        <w:rPr>
          <w:sz w:val="24"/>
        </w:rPr>
        <w:t>ame and type of new provision</w:t>
      </w:r>
      <w:r>
        <w:rPr>
          <w:sz w:val="24"/>
        </w:rPr>
        <w:t>, for example</w:t>
      </w:r>
      <w:r w:rsidR="00B066FA" w:rsidRPr="00A21527">
        <w:rPr>
          <w:sz w:val="24"/>
        </w:rPr>
        <w:t xml:space="preserve"> ward name and type</w:t>
      </w:r>
    </w:p>
    <w:p w14:paraId="7B5DCD3C" w14:textId="15326619" w:rsidR="00B066FA" w:rsidRPr="00A21527" w:rsidRDefault="00E56B09" w:rsidP="00B066FA">
      <w:pPr>
        <w:pStyle w:val="ListParagraph"/>
        <w:numPr>
          <w:ilvl w:val="0"/>
          <w:numId w:val="17"/>
        </w:numPr>
        <w:suppressAutoHyphens/>
        <w:autoSpaceDN w:val="0"/>
        <w:contextualSpacing w:val="0"/>
        <w:textAlignment w:val="baseline"/>
        <w:rPr>
          <w:sz w:val="24"/>
        </w:rPr>
      </w:pPr>
      <w:r>
        <w:rPr>
          <w:sz w:val="24"/>
        </w:rPr>
        <w:t>t</w:t>
      </w:r>
      <w:r w:rsidR="00B066FA" w:rsidRPr="00A21527">
        <w:rPr>
          <w:sz w:val="24"/>
        </w:rPr>
        <w:t>he net increase in inpatient beds fo</w:t>
      </w:r>
      <w:r w:rsidR="00B81631">
        <w:rPr>
          <w:sz w:val="24"/>
        </w:rPr>
        <w:t>r children and young people or</w:t>
      </w:r>
      <w:r w:rsidR="00B066FA" w:rsidRPr="00A21527">
        <w:rPr>
          <w:sz w:val="24"/>
        </w:rPr>
        <w:t xml:space="preserve"> the change in the average number of children or young peo</w:t>
      </w:r>
      <w:r w:rsidR="00B81631">
        <w:rPr>
          <w:sz w:val="24"/>
        </w:rPr>
        <w:t xml:space="preserve">ple receiving day or </w:t>
      </w:r>
      <w:r w:rsidR="00B066FA" w:rsidRPr="00A21527">
        <w:rPr>
          <w:sz w:val="24"/>
        </w:rPr>
        <w:t xml:space="preserve">ambulatory </w:t>
      </w:r>
      <w:proofErr w:type="gramStart"/>
      <w:r w:rsidR="00B066FA" w:rsidRPr="00A21527">
        <w:rPr>
          <w:sz w:val="24"/>
        </w:rPr>
        <w:t>care</w:t>
      </w:r>
      <w:proofErr w:type="gramEnd"/>
    </w:p>
    <w:p w14:paraId="58976B62" w14:textId="619D64AC" w:rsidR="00B066FA" w:rsidRPr="00A21527" w:rsidRDefault="00E56B09" w:rsidP="00B066FA">
      <w:pPr>
        <w:pStyle w:val="ListParagraph"/>
        <w:numPr>
          <w:ilvl w:val="0"/>
          <w:numId w:val="17"/>
        </w:numPr>
        <w:suppressAutoHyphens/>
        <w:autoSpaceDN w:val="0"/>
        <w:contextualSpacing w:val="0"/>
        <w:textAlignment w:val="baseline"/>
        <w:rPr>
          <w:sz w:val="24"/>
        </w:rPr>
      </w:pPr>
      <w:r>
        <w:rPr>
          <w:sz w:val="24"/>
        </w:rPr>
        <w:t>d</w:t>
      </w:r>
      <w:r w:rsidR="00B066FA" w:rsidRPr="00A21527">
        <w:rPr>
          <w:sz w:val="24"/>
        </w:rPr>
        <w:t xml:space="preserve">ates (month and year) at which new beds became or will become available for </w:t>
      </w:r>
      <w:proofErr w:type="gramStart"/>
      <w:r w:rsidR="00B066FA" w:rsidRPr="00A21527">
        <w:rPr>
          <w:sz w:val="24"/>
        </w:rPr>
        <w:t>occupation</w:t>
      </w:r>
      <w:proofErr w:type="gramEnd"/>
    </w:p>
    <w:p w14:paraId="43FF80B8" w14:textId="149A8D77" w:rsidR="00B066FA" w:rsidRDefault="00E56B09" w:rsidP="00B066FA">
      <w:pPr>
        <w:pStyle w:val="ListParagraph"/>
        <w:numPr>
          <w:ilvl w:val="0"/>
          <w:numId w:val="17"/>
        </w:numPr>
        <w:suppressAutoHyphens/>
        <w:autoSpaceDN w:val="0"/>
        <w:contextualSpacing w:val="0"/>
        <w:textAlignment w:val="baseline"/>
        <w:rPr>
          <w:sz w:val="24"/>
        </w:rPr>
      </w:pPr>
      <w:r>
        <w:rPr>
          <w:sz w:val="24"/>
        </w:rPr>
        <w:t>c</w:t>
      </w:r>
      <w:r w:rsidR="00B066FA" w:rsidRPr="00A21527">
        <w:rPr>
          <w:sz w:val="24"/>
        </w:rPr>
        <w:t xml:space="preserve">onfirmation that the increase in medical provision takes into account the net change, and is not being offset by a reduction in other </w:t>
      </w:r>
      <w:proofErr w:type="gramStart"/>
      <w:r w:rsidR="00B066FA" w:rsidRPr="00A21527">
        <w:rPr>
          <w:sz w:val="24"/>
        </w:rPr>
        <w:t>provision</w:t>
      </w:r>
      <w:proofErr w:type="gramEnd"/>
    </w:p>
    <w:p w14:paraId="0831D2A5" w14:textId="5D7D7E76" w:rsidR="00B81631" w:rsidRPr="00A70B79" w:rsidRDefault="00B81631" w:rsidP="00A70B79">
      <w:pPr>
        <w:pStyle w:val="DfESOutNumbered1"/>
        <w:rPr>
          <w:sz w:val="28"/>
        </w:rPr>
      </w:pPr>
      <w:r w:rsidRPr="00A70B79">
        <w:t xml:space="preserve">Please note that any additional information provided by the NHS will not be </w:t>
      </w:r>
      <w:proofErr w:type="gramStart"/>
      <w:r w:rsidRPr="00A70B79">
        <w:t>taken into account</w:t>
      </w:r>
      <w:proofErr w:type="gramEnd"/>
      <w:r w:rsidRPr="00A70B79">
        <w:t>.</w:t>
      </w:r>
    </w:p>
    <w:p w14:paraId="7BE5FF2B" w14:textId="6EE4DFD4" w:rsidR="00B066FA" w:rsidRPr="009E05A3" w:rsidRDefault="00B066FA" w:rsidP="00B066FA">
      <w:pPr>
        <w:pStyle w:val="Heading2"/>
      </w:pPr>
      <w:r w:rsidRPr="0072744F">
        <w:t xml:space="preserve">Outcomes </w:t>
      </w:r>
    </w:p>
    <w:p w14:paraId="417B0F81" w14:textId="656FEF78" w:rsidR="00B066FA" w:rsidRPr="00A21527" w:rsidRDefault="00B066FA" w:rsidP="00A70B79">
      <w:pPr>
        <w:pStyle w:val="DfESOutNumbered1"/>
      </w:pPr>
      <w:r w:rsidRPr="00A21527">
        <w:t xml:space="preserve">ESFA will write to local authorities that </w:t>
      </w:r>
      <w:proofErr w:type="gramStart"/>
      <w:r w:rsidRPr="00A21527">
        <w:t>submitted an application</w:t>
      </w:r>
      <w:proofErr w:type="gramEnd"/>
      <w:r w:rsidRPr="00A21527">
        <w:t>, confirming the outcome</w:t>
      </w:r>
      <w:r w:rsidR="00A21527">
        <w:t xml:space="preserve"> i</w:t>
      </w:r>
      <w:r w:rsidR="00A21527" w:rsidRPr="00A21527">
        <w:t>n January</w:t>
      </w:r>
      <w:r w:rsidR="00A21527">
        <w:t xml:space="preserve"> 2019</w:t>
      </w:r>
      <w:r w:rsidRPr="00A21527">
        <w:t xml:space="preserve">.  </w:t>
      </w:r>
    </w:p>
    <w:p w14:paraId="17FE5C3F" w14:textId="30D52594" w:rsidR="00E56B09" w:rsidRDefault="00B066FA" w:rsidP="00A70B79">
      <w:pPr>
        <w:pStyle w:val="DfESOutNumbered1"/>
      </w:pPr>
      <w:r w:rsidRPr="00A21527">
        <w:t xml:space="preserve">Subject to the above criteria being met, an adjustment will be made to the 2019 to 2020 local authority’s </w:t>
      </w:r>
      <w:r w:rsidR="00B81631">
        <w:t>DSG</w:t>
      </w:r>
      <w:r w:rsidR="00E56B09">
        <w:t xml:space="preserve"> </w:t>
      </w:r>
      <w:r w:rsidRPr="00A21527">
        <w:t xml:space="preserve">high needs block. If the change occurred during 2018 to </w:t>
      </w:r>
      <w:proofErr w:type="gramStart"/>
      <w:r w:rsidRPr="00A21527">
        <w:t>2019, and</w:t>
      </w:r>
      <w:proofErr w:type="gramEnd"/>
      <w:r w:rsidRPr="00A21527">
        <w:t xml:space="preserve"> was not included or considered in last year’s process, this adjustment will include </w:t>
      </w:r>
      <w:r w:rsidR="00DA32C2" w:rsidRPr="00A21527">
        <w:t>retrospective</w:t>
      </w:r>
      <w:r w:rsidRPr="00A21527">
        <w:t xml:space="preserve"> funding. Adjustments will be pro-rated if the change in medical provision occurs part way through the 2018 to 2019 or 2019 to 2010 financial year.  </w:t>
      </w:r>
    </w:p>
    <w:p w14:paraId="290E9D82" w14:textId="5386C892" w:rsidR="00B066FA" w:rsidRPr="00A21527" w:rsidRDefault="00B066FA" w:rsidP="00B066FA">
      <w:pPr>
        <w:rPr>
          <w:sz w:val="24"/>
        </w:rPr>
      </w:pPr>
      <w:r w:rsidRPr="00A21527">
        <w:rPr>
          <w:sz w:val="24"/>
        </w:rPr>
        <w:lastRenderedPageBreak/>
        <w:t xml:space="preserve">An illustration of how this may be calculated is shown </w:t>
      </w:r>
      <w:r w:rsidR="00E56B09">
        <w:rPr>
          <w:sz w:val="24"/>
        </w:rPr>
        <w:t xml:space="preserve">in the table </w:t>
      </w:r>
      <w:r w:rsidRPr="00A21527">
        <w:rPr>
          <w:sz w:val="24"/>
        </w:rPr>
        <w:t>below:</w:t>
      </w:r>
    </w:p>
    <w:tbl>
      <w:tblPr>
        <w:tblStyle w:val="TableGrid"/>
        <w:tblW w:w="9215" w:type="dxa"/>
        <w:jc w:val="center"/>
        <w:tblLook w:val="04A0" w:firstRow="1" w:lastRow="0" w:firstColumn="1" w:lastColumn="0" w:noHBand="0" w:noVBand="1"/>
      </w:tblPr>
      <w:tblGrid>
        <w:gridCol w:w="2263"/>
        <w:gridCol w:w="2268"/>
        <w:gridCol w:w="2268"/>
        <w:gridCol w:w="2416"/>
      </w:tblGrid>
      <w:tr w:rsidR="00E56B09" w14:paraId="64A135E2" w14:textId="77777777" w:rsidTr="00A21527">
        <w:trPr>
          <w:jc w:val="center"/>
        </w:trPr>
        <w:tc>
          <w:tcPr>
            <w:tcW w:w="2263" w:type="dxa"/>
            <w:shd w:val="clear" w:color="auto" w:fill="DBE5F1" w:themeFill="accent1" w:themeFillTint="33"/>
          </w:tcPr>
          <w:p w14:paraId="30BD4F4E" w14:textId="77777777" w:rsidR="00B066FA" w:rsidRPr="00A21527" w:rsidRDefault="00B066FA" w:rsidP="00E56B09">
            <w:pPr>
              <w:rPr>
                <w:b/>
                <w:sz w:val="24"/>
              </w:rPr>
            </w:pPr>
            <w:r w:rsidRPr="00A21527">
              <w:rPr>
                <w:b/>
                <w:sz w:val="24"/>
              </w:rPr>
              <w:t>Full financial year recurrent costs</w:t>
            </w:r>
          </w:p>
        </w:tc>
        <w:tc>
          <w:tcPr>
            <w:tcW w:w="2268" w:type="dxa"/>
            <w:shd w:val="clear" w:color="auto" w:fill="DBE5F1" w:themeFill="accent1" w:themeFillTint="33"/>
          </w:tcPr>
          <w:p w14:paraId="69983D53" w14:textId="77777777" w:rsidR="00B066FA" w:rsidRPr="00A21527" w:rsidRDefault="00B066FA" w:rsidP="00E56B09">
            <w:pPr>
              <w:rPr>
                <w:b/>
                <w:sz w:val="24"/>
              </w:rPr>
            </w:pPr>
            <w:r w:rsidRPr="00A21527">
              <w:rPr>
                <w:b/>
                <w:sz w:val="24"/>
              </w:rPr>
              <w:t>Date of change in provision</w:t>
            </w:r>
          </w:p>
        </w:tc>
        <w:tc>
          <w:tcPr>
            <w:tcW w:w="2268" w:type="dxa"/>
            <w:shd w:val="clear" w:color="auto" w:fill="DBE5F1" w:themeFill="accent1" w:themeFillTint="33"/>
          </w:tcPr>
          <w:p w14:paraId="107578C4" w14:textId="246A04F8" w:rsidR="00B066FA" w:rsidRPr="00A21527" w:rsidRDefault="00E56B09" w:rsidP="00E56B09">
            <w:pPr>
              <w:rPr>
                <w:b/>
                <w:sz w:val="24"/>
              </w:rPr>
            </w:pPr>
            <w:r w:rsidRPr="00A21527">
              <w:rPr>
                <w:b/>
                <w:sz w:val="24"/>
              </w:rPr>
              <w:t>P</w:t>
            </w:r>
            <w:r w:rsidR="00B066FA" w:rsidRPr="00A21527">
              <w:rPr>
                <w:b/>
                <w:sz w:val="24"/>
              </w:rPr>
              <w:t>ro-rat</w:t>
            </w:r>
            <w:r w:rsidRPr="00A21527">
              <w:rPr>
                <w:b/>
                <w:sz w:val="24"/>
              </w:rPr>
              <w:t>ed</w:t>
            </w:r>
            <w:r w:rsidR="00B066FA" w:rsidRPr="00A21527">
              <w:rPr>
                <w:b/>
                <w:sz w:val="24"/>
              </w:rPr>
              <w:t xml:space="preserve"> adjustment by month</w:t>
            </w:r>
          </w:p>
        </w:tc>
        <w:tc>
          <w:tcPr>
            <w:tcW w:w="2416" w:type="dxa"/>
            <w:shd w:val="clear" w:color="auto" w:fill="DBE5F1" w:themeFill="accent1" w:themeFillTint="33"/>
          </w:tcPr>
          <w:p w14:paraId="05A6A1FE" w14:textId="77777777" w:rsidR="00B066FA" w:rsidRPr="00A21527" w:rsidRDefault="00B066FA" w:rsidP="00E56B09">
            <w:pPr>
              <w:rPr>
                <w:b/>
                <w:sz w:val="24"/>
              </w:rPr>
            </w:pPr>
            <w:r w:rsidRPr="00A21527">
              <w:rPr>
                <w:b/>
                <w:sz w:val="24"/>
              </w:rPr>
              <w:t>2019 to 2020 DSG funding adjustment</w:t>
            </w:r>
          </w:p>
        </w:tc>
      </w:tr>
      <w:tr w:rsidR="00B066FA" w14:paraId="32C8E131" w14:textId="77777777" w:rsidTr="00A21527">
        <w:trPr>
          <w:jc w:val="center"/>
        </w:trPr>
        <w:tc>
          <w:tcPr>
            <w:tcW w:w="2263" w:type="dxa"/>
          </w:tcPr>
          <w:p w14:paraId="179D0A2D" w14:textId="77777777" w:rsidR="00B066FA" w:rsidRPr="00A21527" w:rsidRDefault="00B066FA" w:rsidP="00F13556">
            <w:pPr>
              <w:rPr>
                <w:sz w:val="24"/>
              </w:rPr>
            </w:pPr>
            <w:r w:rsidRPr="00A21527">
              <w:rPr>
                <w:sz w:val="24"/>
              </w:rPr>
              <w:t>£100,000</w:t>
            </w:r>
          </w:p>
        </w:tc>
        <w:tc>
          <w:tcPr>
            <w:tcW w:w="2268" w:type="dxa"/>
          </w:tcPr>
          <w:p w14:paraId="7E9C2979" w14:textId="77777777" w:rsidR="00B066FA" w:rsidRPr="00A21527" w:rsidRDefault="00B066FA" w:rsidP="00F13556">
            <w:pPr>
              <w:rPr>
                <w:sz w:val="24"/>
              </w:rPr>
            </w:pPr>
            <w:r w:rsidRPr="00A21527">
              <w:rPr>
                <w:sz w:val="24"/>
              </w:rPr>
              <w:t>April 2019</w:t>
            </w:r>
          </w:p>
        </w:tc>
        <w:tc>
          <w:tcPr>
            <w:tcW w:w="2268" w:type="dxa"/>
          </w:tcPr>
          <w:p w14:paraId="47F011F3" w14:textId="77777777" w:rsidR="00B066FA" w:rsidRPr="00A21527" w:rsidRDefault="00B066FA" w:rsidP="00F13556">
            <w:pPr>
              <w:rPr>
                <w:sz w:val="24"/>
              </w:rPr>
            </w:pPr>
            <w:r w:rsidRPr="00A21527">
              <w:rPr>
                <w:sz w:val="24"/>
              </w:rPr>
              <w:t>*12/12</w:t>
            </w:r>
          </w:p>
        </w:tc>
        <w:tc>
          <w:tcPr>
            <w:tcW w:w="2416" w:type="dxa"/>
          </w:tcPr>
          <w:p w14:paraId="5FED6F04" w14:textId="77777777" w:rsidR="00B066FA" w:rsidRPr="00A21527" w:rsidRDefault="00B066FA" w:rsidP="00F13556">
            <w:pPr>
              <w:rPr>
                <w:sz w:val="24"/>
              </w:rPr>
            </w:pPr>
            <w:r w:rsidRPr="00A21527">
              <w:rPr>
                <w:sz w:val="24"/>
              </w:rPr>
              <w:t>£100,000</w:t>
            </w:r>
          </w:p>
        </w:tc>
      </w:tr>
      <w:tr w:rsidR="00B066FA" w14:paraId="2C3F4FB9" w14:textId="77777777" w:rsidTr="00A21527">
        <w:trPr>
          <w:jc w:val="center"/>
        </w:trPr>
        <w:tc>
          <w:tcPr>
            <w:tcW w:w="2263" w:type="dxa"/>
          </w:tcPr>
          <w:p w14:paraId="5F73EE7D" w14:textId="77777777" w:rsidR="00B066FA" w:rsidRPr="00A21527" w:rsidRDefault="00B066FA" w:rsidP="00F13556">
            <w:pPr>
              <w:rPr>
                <w:sz w:val="24"/>
              </w:rPr>
            </w:pPr>
            <w:r w:rsidRPr="00A21527">
              <w:rPr>
                <w:sz w:val="24"/>
              </w:rPr>
              <w:t>£100,000</w:t>
            </w:r>
          </w:p>
        </w:tc>
        <w:tc>
          <w:tcPr>
            <w:tcW w:w="2268" w:type="dxa"/>
          </w:tcPr>
          <w:p w14:paraId="7D911B81" w14:textId="77777777" w:rsidR="00B066FA" w:rsidRPr="00A21527" w:rsidRDefault="00B066FA" w:rsidP="00F13556">
            <w:pPr>
              <w:rPr>
                <w:sz w:val="24"/>
              </w:rPr>
            </w:pPr>
            <w:r w:rsidRPr="00A21527">
              <w:rPr>
                <w:sz w:val="24"/>
              </w:rPr>
              <w:t>June 2019</w:t>
            </w:r>
          </w:p>
        </w:tc>
        <w:tc>
          <w:tcPr>
            <w:tcW w:w="2268" w:type="dxa"/>
          </w:tcPr>
          <w:p w14:paraId="42D92BDC" w14:textId="77777777" w:rsidR="00B066FA" w:rsidRPr="00A21527" w:rsidRDefault="00B066FA" w:rsidP="00F13556">
            <w:pPr>
              <w:rPr>
                <w:sz w:val="24"/>
              </w:rPr>
            </w:pPr>
            <w:r w:rsidRPr="00A21527">
              <w:rPr>
                <w:sz w:val="24"/>
              </w:rPr>
              <w:t>*10/12</w:t>
            </w:r>
          </w:p>
        </w:tc>
        <w:tc>
          <w:tcPr>
            <w:tcW w:w="2416" w:type="dxa"/>
          </w:tcPr>
          <w:p w14:paraId="2074647A" w14:textId="77777777" w:rsidR="00B066FA" w:rsidRPr="00A21527" w:rsidRDefault="00B066FA" w:rsidP="00F13556">
            <w:pPr>
              <w:rPr>
                <w:sz w:val="24"/>
              </w:rPr>
            </w:pPr>
            <w:r w:rsidRPr="00A21527">
              <w:rPr>
                <w:sz w:val="24"/>
              </w:rPr>
              <w:t>£83,333</w:t>
            </w:r>
          </w:p>
        </w:tc>
      </w:tr>
      <w:tr w:rsidR="00B066FA" w14:paraId="12D4621C" w14:textId="77777777" w:rsidTr="00A21527">
        <w:trPr>
          <w:jc w:val="center"/>
        </w:trPr>
        <w:tc>
          <w:tcPr>
            <w:tcW w:w="2263" w:type="dxa"/>
          </w:tcPr>
          <w:p w14:paraId="13E236EA" w14:textId="77777777" w:rsidR="00B066FA" w:rsidRPr="00A21527" w:rsidRDefault="00B066FA" w:rsidP="00F13556">
            <w:pPr>
              <w:rPr>
                <w:sz w:val="24"/>
              </w:rPr>
            </w:pPr>
            <w:r w:rsidRPr="00A21527">
              <w:rPr>
                <w:sz w:val="24"/>
              </w:rPr>
              <w:t>£100,000</w:t>
            </w:r>
          </w:p>
        </w:tc>
        <w:tc>
          <w:tcPr>
            <w:tcW w:w="2268" w:type="dxa"/>
          </w:tcPr>
          <w:p w14:paraId="68616627" w14:textId="77777777" w:rsidR="00B066FA" w:rsidRPr="00A21527" w:rsidRDefault="00B066FA" w:rsidP="00F13556">
            <w:pPr>
              <w:rPr>
                <w:sz w:val="24"/>
              </w:rPr>
            </w:pPr>
            <w:r w:rsidRPr="00A21527">
              <w:rPr>
                <w:sz w:val="24"/>
              </w:rPr>
              <w:t>November 2018</w:t>
            </w:r>
          </w:p>
        </w:tc>
        <w:tc>
          <w:tcPr>
            <w:tcW w:w="2268" w:type="dxa"/>
          </w:tcPr>
          <w:p w14:paraId="7B98DA61" w14:textId="77777777" w:rsidR="00B066FA" w:rsidRPr="00A21527" w:rsidRDefault="00B066FA" w:rsidP="00F13556">
            <w:pPr>
              <w:rPr>
                <w:sz w:val="24"/>
              </w:rPr>
            </w:pPr>
            <w:r w:rsidRPr="00A21527">
              <w:rPr>
                <w:sz w:val="24"/>
              </w:rPr>
              <w:t>*17/12</w:t>
            </w:r>
          </w:p>
        </w:tc>
        <w:tc>
          <w:tcPr>
            <w:tcW w:w="2416" w:type="dxa"/>
          </w:tcPr>
          <w:p w14:paraId="31FEB0E0" w14:textId="77777777" w:rsidR="00B066FA" w:rsidRPr="00A21527" w:rsidRDefault="00B066FA" w:rsidP="00F13556">
            <w:pPr>
              <w:rPr>
                <w:sz w:val="24"/>
              </w:rPr>
            </w:pPr>
            <w:r w:rsidRPr="00A21527">
              <w:rPr>
                <w:sz w:val="24"/>
              </w:rPr>
              <w:t>£141,667</w:t>
            </w:r>
          </w:p>
        </w:tc>
      </w:tr>
    </w:tbl>
    <w:p w14:paraId="78C492C0" w14:textId="77777777" w:rsidR="00B066FA" w:rsidRPr="00A21527" w:rsidRDefault="00B066FA" w:rsidP="00B066FA">
      <w:pPr>
        <w:rPr>
          <w:sz w:val="24"/>
        </w:rPr>
      </w:pPr>
    </w:p>
    <w:p w14:paraId="2CAC40BA" w14:textId="74C5940F" w:rsidR="00FC2B3C" w:rsidRDefault="00FC2B3C" w:rsidP="00FC2B3C"/>
    <w:p w14:paraId="5CE1D345" w14:textId="77777777" w:rsidR="00FC2B3C" w:rsidRDefault="00FC2B3C" w:rsidP="00995398">
      <w:pPr>
        <w:pStyle w:val="EndBox"/>
      </w:pPr>
    </w:p>
    <w:p w14:paraId="5944612C" w14:textId="2BAD49BA" w:rsidR="005D3B59" w:rsidRPr="00531385" w:rsidRDefault="00C2496D" w:rsidP="005D3B59">
      <w:r w:rsidRPr="00995398">
        <w:t>©</w:t>
      </w:r>
      <w:r w:rsidR="005D3B59" w:rsidRPr="005D3B59">
        <w:t xml:space="preserve"> </w:t>
      </w:r>
      <w:r w:rsidR="005D3B59">
        <w:t>Crown copyright</w:t>
      </w:r>
      <w:r w:rsidR="00B066FA">
        <w:t xml:space="preserve"> 2018</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A5" w14:textId="77777777" w:rsidR="009F1E97" w:rsidRDefault="009F1E97" w:rsidP="002B6D93">
      <w:r>
        <w:separator/>
      </w:r>
    </w:p>
    <w:p w14:paraId="2A49FB50" w14:textId="77777777" w:rsidR="009F1E97" w:rsidRDefault="009F1E97"/>
  </w:endnote>
  <w:endnote w:type="continuationSeparator" w:id="0">
    <w:p w14:paraId="377B81D4" w14:textId="77777777" w:rsidR="009F1E97" w:rsidRDefault="009F1E97" w:rsidP="002B6D93">
      <w:r>
        <w:continuationSeparator/>
      </w:r>
    </w:p>
    <w:p w14:paraId="18306C6C" w14:textId="77777777" w:rsidR="009F1E97" w:rsidRDefault="009F1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7EC95FC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744EB">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2BC55936" w:rsidR="00DA0AD5" w:rsidRPr="006E6ADB" w:rsidRDefault="00DA0AD5" w:rsidP="004A3626">
    <w:pPr>
      <w:tabs>
        <w:tab w:val="left" w:pos="7088"/>
      </w:tabs>
      <w:spacing w:before="240"/>
      <w:rPr>
        <w:szCs w:val="20"/>
      </w:rPr>
    </w:pPr>
    <w:r w:rsidRPr="006E6ADB">
      <w:rPr>
        <w:szCs w:val="20"/>
      </w:rPr>
      <w:tab/>
      <w:t xml:space="preserve">Published: </w:t>
    </w:r>
    <w:r w:rsidR="008E045E">
      <w:rPr>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4D40" w14:textId="77777777" w:rsidR="009F1E97" w:rsidRDefault="009F1E97" w:rsidP="002B6D93">
      <w:r>
        <w:separator/>
      </w:r>
    </w:p>
    <w:p w14:paraId="56625DCD" w14:textId="77777777" w:rsidR="009F1E97" w:rsidRDefault="009F1E97"/>
  </w:footnote>
  <w:footnote w:type="continuationSeparator" w:id="0">
    <w:p w14:paraId="4679FDDD" w14:textId="77777777" w:rsidR="009F1E97" w:rsidRDefault="009F1E97" w:rsidP="002B6D93">
      <w:r>
        <w:continuationSeparator/>
      </w:r>
    </w:p>
    <w:p w14:paraId="510CE4CC" w14:textId="77777777" w:rsidR="009F1E97" w:rsidRDefault="009F1E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226C15"/>
    <w:multiLevelType w:val="hybridMultilevel"/>
    <w:tmpl w:val="6F22E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6449AD"/>
    <w:multiLevelType w:val="multilevel"/>
    <w:tmpl w:val="4CF258A4"/>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2B28FE"/>
    <w:multiLevelType w:val="hybridMultilevel"/>
    <w:tmpl w:val="776E1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7032FED"/>
    <w:multiLevelType w:val="hybridMultilevel"/>
    <w:tmpl w:val="CAD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98714">
    <w:abstractNumId w:val="4"/>
  </w:num>
  <w:num w:numId="2" w16cid:durableId="1648321875">
    <w:abstractNumId w:val="14"/>
  </w:num>
  <w:num w:numId="3" w16cid:durableId="1887914385">
    <w:abstractNumId w:val="13"/>
  </w:num>
  <w:num w:numId="4" w16cid:durableId="23289317">
    <w:abstractNumId w:val="8"/>
  </w:num>
  <w:num w:numId="5" w16cid:durableId="1412848250">
    <w:abstractNumId w:val="6"/>
  </w:num>
  <w:num w:numId="6" w16cid:durableId="981882254">
    <w:abstractNumId w:val="9"/>
  </w:num>
  <w:num w:numId="7" w16cid:durableId="1127316053">
    <w:abstractNumId w:val="3"/>
  </w:num>
  <w:num w:numId="8" w16cid:durableId="1581213458">
    <w:abstractNumId w:val="1"/>
  </w:num>
  <w:num w:numId="9" w16cid:durableId="665280294">
    <w:abstractNumId w:val="0"/>
  </w:num>
  <w:num w:numId="10" w16cid:durableId="148331488">
    <w:abstractNumId w:val="10"/>
  </w:num>
  <w:num w:numId="11" w16cid:durableId="1358853887">
    <w:abstractNumId w:val="9"/>
  </w:num>
  <w:num w:numId="12" w16cid:durableId="1796752183">
    <w:abstractNumId w:val="16"/>
  </w:num>
  <w:num w:numId="13" w16cid:durableId="2102218333">
    <w:abstractNumId w:val="5"/>
  </w:num>
  <w:num w:numId="14" w16cid:durableId="485709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36449">
    <w:abstractNumId w:val="2"/>
  </w:num>
  <w:num w:numId="16" w16cid:durableId="793139688">
    <w:abstractNumId w:val="11"/>
  </w:num>
  <w:num w:numId="17" w16cid:durableId="1404139175">
    <w:abstractNumId w:val="12"/>
  </w:num>
  <w:num w:numId="18" w16cid:durableId="1658337308">
    <w:abstractNumId w:val="7"/>
  </w:num>
  <w:num w:numId="19" w16cid:durableId="83391190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5B11"/>
    <w:rsid w:val="0002203B"/>
    <w:rsid w:val="00031F36"/>
    <w:rsid w:val="000442BD"/>
    <w:rsid w:val="00057100"/>
    <w:rsid w:val="00065E86"/>
    <w:rsid w:val="00066B1C"/>
    <w:rsid w:val="000744EB"/>
    <w:rsid w:val="00083A73"/>
    <w:rsid w:val="000A10F4"/>
    <w:rsid w:val="000B3DE0"/>
    <w:rsid w:val="000D1D30"/>
    <w:rsid w:val="000D4433"/>
    <w:rsid w:val="000E3350"/>
    <w:rsid w:val="000E4B80"/>
    <w:rsid w:val="000F73F3"/>
    <w:rsid w:val="00103E77"/>
    <w:rsid w:val="0011494F"/>
    <w:rsid w:val="00121C6C"/>
    <w:rsid w:val="001264D9"/>
    <w:rsid w:val="001272A9"/>
    <w:rsid w:val="00133075"/>
    <w:rsid w:val="00147214"/>
    <w:rsid w:val="00147697"/>
    <w:rsid w:val="001534B2"/>
    <w:rsid w:val="001540AB"/>
    <w:rsid w:val="001612C8"/>
    <w:rsid w:val="00162584"/>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196E"/>
    <w:rsid w:val="002F7128"/>
    <w:rsid w:val="00300F99"/>
    <w:rsid w:val="0031748D"/>
    <w:rsid w:val="00342F8B"/>
    <w:rsid w:val="00361752"/>
    <w:rsid w:val="00374981"/>
    <w:rsid w:val="003810D8"/>
    <w:rsid w:val="003853A4"/>
    <w:rsid w:val="00385717"/>
    <w:rsid w:val="0039725F"/>
    <w:rsid w:val="003A1CC2"/>
    <w:rsid w:val="003C60B5"/>
    <w:rsid w:val="003D1EFE"/>
    <w:rsid w:val="003E1329"/>
    <w:rsid w:val="003E66E0"/>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8DE"/>
    <w:rsid w:val="00581D79"/>
    <w:rsid w:val="005905B1"/>
    <w:rsid w:val="005914F1"/>
    <w:rsid w:val="005946C7"/>
    <w:rsid w:val="005A016F"/>
    <w:rsid w:val="005A07FF"/>
    <w:rsid w:val="005A1B9C"/>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590"/>
    <w:rsid w:val="007B3CFE"/>
    <w:rsid w:val="007C19E4"/>
    <w:rsid w:val="007C41A5"/>
    <w:rsid w:val="007C58BE"/>
    <w:rsid w:val="007D080B"/>
    <w:rsid w:val="00812BA0"/>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045E"/>
    <w:rsid w:val="008E3F07"/>
    <w:rsid w:val="008E5F36"/>
    <w:rsid w:val="008F2757"/>
    <w:rsid w:val="008F2E4F"/>
    <w:rsid w:val="008F7436"/>
    <w:rsid w:val="009055E4"/>
    <w:rsid w:val="00917E9C"/>
    <w:rsid w:val="00926A3C"/>
    <w:rsid w:val="0093027C"/>
    <w:rsid w:val="0094189B"/>
    <w:rsid w:val="00943B9D"/>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9F1E97"/>
    <w:rsid w:val="00A21527"/>
    <w:rsid w:val="00A30BA1"/>
    <w:rsid w:val="00A37DEE"/>
    <w:rsid w:val="00A433C3"/>
    <w:rsid w:val="00A54BB7"/>
    <w:rsid w:val="00A5643A"/>
    <w:rsid w:val="00A5723C"/>
    <w:rsid w:val="00A707A4"/>
    <w:rsid w:val="00A70B79"/>
    <w:rsid w:val="00A7274B"/>
    <w:rsid w:val="00A73FB8"/>
    <w:rsid w:val="00A75086"/>
    <w:rsid w:val="00A763CB"/>
    <w:rsid w:val="00A801D1"/>
    <w:rsid w:val="00A81F69"/>
    <w:rsid w:val="00A85EBD"/>
    <w:rsid w:val="00AA3484"/>
    <w:rsid w:val="00AA7E7B"/>
    <w:rsid w:val="00AB6D0F"/>
    <w:rsid w:val="00AB7858"/>
    <w:rsid w:val="00AC3734"/>
    <w:rsid w:val="00AC61A6"/>
    <w:rsid w:val="00AD1BE5"/>
    <w:rsid w:val="00AD1DD2"/>
    <w:rsid w:val="00AD2062"/>
    <w:rsid w:val="00AD2F1D"/>
    <w:rsid w:val="00AE1E46"/>
    <w:rsid w:val="00AE4296"/>
    <w:rsid w:val="00AF0989"/>
    <w:rsid w:val="00AF2191"/>
    <w:rsid w:val="00AF785C"/>
    <w:rsid w:val="00B066FA"/>
    <w:rsid w:val="00B336AF"/>
    <w:rsid w:val="00B3498C"/>
    <w:rsid w:val="00B43CAD"/>
    <w:rsid w:val="00B55A49"/>
    <w:rsid w:val="00B64265"/>
    <w:rsid w:val="00B67F76"/>
    <w:rsid w:val="00B70EFF"/>
    <w:rsid w:val="00B7558C"/>
    <w:rsid w:val="00B81631"/>
    <w:rsid w:val="00B9194F"/>
    <w:rsid w:val="00B94A0A"/>
    <w:rsid w:val="00BA003B"/>
    <w:rsid w:val="00BB05E2"/>
    <w:rsid w:val="00BD1111"/>
    <w:rsid w:val="00BD26B6"/>
    <w:rsid w:val="00BE01C6"/>
    <w:rsid w:val="00BE4DAC"/>
    <w:rsid w:val="00BF13F8"/>
    <w:rsid w:val="00BF1A93"/>
    <w:rsid w:val="00BF6FAF"/>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765D"/>
    <w:rsid w:val="00D26CDE"/>
    <w:rsid w:val="00D27D9B"/>
    <w:rsid w:val="00D376DB"/>
    <w:rsid w:val="00D408A5"/>
    <w:rsid w:val="00D40DE9"/>
    <w:rsid w:val="00D41212"/>
    <w:rsid w:val="00D42B45"/>
    <w:rsid w:val="00D4374B"/>
    <w:rsid w:val="00D64EA3"/>
    <w:rsid w:val="00D660A1"/>
    <w:rsid w:val="00D75416"/>
    <w:rsid w:val="00D92274"/>
    <w:rsid w:val="00D94339"/>
    <w:rsid w:val="00D9707F"/>
    <w:rsid w:val="00D97DD2"/>
    <w:rsid w:val="00DA0AD5"/>
    <w:rsid w:val="00DA1B01"/>
    <w:rsid w:val="00DA1F8E"/>
    <w:rsid w:val="00DA32C2"/>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6B09"/>
    <w:rsid w:val="00E66B4F"/>
    <w:rsid w:val="00E741D5"/>
    <w:rsid w:val="00E74474"/>
    <w:rsid w:val="00E80915"/>
    <w:rsid w:val="00E87A6A"/>
    <w:rsid w:val="00E9191F"/>
    <w:rsid w:val="00E9232A"/>
    <w:rsid w:val="00EA4D1B"/>
    <w:rsid w:val="00EB1D11"/>
    <w:rsid w:val="00EB645D"/>
    <w:rsid w:val="00EC3DC1"/>
    <w:rsid w:val="00ED2F1C"/>
    <w:rsid w:val="00ED3D05"/>
    <w:rsid w:val="00ED7566"/>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F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numbering" w:customStyle="1" w:styleId="LFO25">
    <w:name w:val="LFO25"/>
    <w:basedOn w:val="NoList"/>
    <w:rsid w:val="00B066F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education.gov.uk/en/AchieveForms/?form_uri=sandbox-publish://AF-Process-f9f4f5a1-936f-448b-bbeb-9dcdd595f468/AF-Stage-8aa41278-3cdd-45a3-ad87-80cbffb8b992/definition.json&amp;redirectlink=%2Fen&amp;cancelRedirectLink=%2F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hospital-education-local-authority-baseline-collect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high-needs-funding-arrangements-2019-to-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6e3edf1fa49481ba268d185cd027270 xmlns="30736584-ed75-4244-b8d0-4e74112990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a6e3edf1fa49481ba268d185cd027270>
    <TaxCatchAll xmlns="30736584-ed75-4244-b8d0-4e74112990e4">
      <Value>3</Value>
      <Value>2</Value>
      <Value>1</Value>
    </TaxCatchAll>
    <h44e24723ea64655b0d14420d374ca58 xmlns="30736584-ed75-4244-b8d0-4e74112990e4">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44e24723ea64655b0d14420d374ca58>
    <ed94ac249cb840f19bbd4406a4f55e32 xmlns="30736584-ed75-4244-b8d0-4e74112990e4">
      <Terms xmlns="http://schemas.microsoft.com/office/infopath/2007/PartnerControls"/>
    </ed94ac249cb840f19bbd4406a4f55e32>
    <ia4a91b1d01d4be887f36d2f14e1f66e xmlns="30736584-ed75-4244-b8d0-4e74112990e4">
      <Terms xmlns="http://schemas.microsoft.com/office/infopath/2007/PartnerControls"/>
    </ia4a91b1d01d4be887f36d2f14e1f66e>
    <h5181134883947a99a38d116ffff0006 xmlns="dc4d73b2-4efe-4ff0-92c8-23409c58653b">
      <Terms xmlns="http://schemas.microsoft.com/office/infopath/2007/PartnerControls"/>
    </h5181134883947a99a38d116ffff0006>
    <_dlc_DocIdUrl xmlns="30736584-ed75-4244-b8d0-4e74112990e4">
      <Url>https://educationgovuk.sharepoint.com/sites/amsgf/_layouts/15/DocIdRedir.aspx?ID=M4HJC27EKFKM-4-38323</Url>
      <Description>M4HJC27EKFKM-4-38323</Description>
    </_dlc_DocIdUrl>
    <fcb6584d4a38422ca26ee68434c56da0 xmlns="30736584-ed75-4244-b8d0-4e74112990e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fcb6584d4a38422ca26ee68434c56da0>
    <_dlc_DocId xmlns="30736584-ed75-4244-b8d0-4e74112990e4">M4HJC27EKFKM-4-38323</_dlc_DocId>
    <Comments xmlns="http://schemas.microsoft.com/sharepoint/v3" xsi:nil="true"/>
    <IWPContributor xmlns="83fda704-c237-4500-b251-16056c5ca5ab">
      <UserInfo>
        <DisplayName/>
        <AccountId xsi:nil="true"/>
        <AccountType/>
      </UserInfo>
    </IWP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7D57433EB72284092117883D60835DA0A005E824A61DA5105458F1F9907DC9A76B2" ma:contentTypeVersion="43" ma:contentTypeDescription="For programme or project documents. Records retained for 10 years." ma:contentTypeScope="" ma:versionID="e7828ba0e9af6ceff98b329282ae3d74">
  <xsd:schema xmlns:xsd="http://www.w3.org/2001/XMLSchema" xmlns:xs="http://www.w3.org/2001/XMLSchema" xmlns:p="http://schemas.microsoft.com/office/2006/metadata/properties" xmlns:ns1="http://schemas.microsoft.com/sharepoint/v3" xmlns:ns2="30736584-ed75-4244-b8d0-4e74112990e4" xmlns:ns3="83fda704-c237-4500-b251-16056c5ca5ab" xmlns:ns4="dc4d73b2-4efe-4ff0-92c8-23409c58653b" targetNamespace="http://schemas.microsoft.com/office/2006/metadata/properties" ma:root="true" ma:fieldsID="82757a3d4f91a040d2fac9caa70cdc59" ns1:_="" ns2:_="" ns3:_="" ns4:_="">
    <xsd:import namespace="http://schemas.microsoft.com/sharepoint/v3"/>
    <xsd:import namespace="30736584-ed75-4244-b8d0-4e74112990e4"/>
    <xsd:import namespace="83fda704-c237-4500-b251-16056c5ca5ab"/>
    <xsd:import namespace="dc4d73b2-4efe-4ff0-92c8-23409c5865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94ac249cb840f19bbd4406a4f55e32" minOccurs="0"/>
                <xsd:element ref="ns2:h44e24723ea64655b0d14420d374ca58" minOccurs="0"/>
                <xsd:element ref="ns2:a6e3edf1fa49481ba268d185cd027270" minOccurs="0"/>
                <xsd:element ref="ns2:ia4a91b1d01d4be887f36d2f14e1f66e" minOccurs="0"/>
                <xsd:element ref="ns2:fcb6584d4a38422ca26ee68434c56da0"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36584-ed75-4244-b8d0-4e74112990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113c29f-d5c3-4df3-84fa-5bdcf0e68694}" ma:internalName="TaxCatchAll" ma:readOnly="false" ma:showField="CatchAllData"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9113c29f-d5c3-4df3-84fa-5bdcf0e68694}" ma:internalName="TaxCatchAllLabel" ma:readOnly="true" ma:showField="CatchAllDataLabel"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ed94ac249cb840f19bbd4406a4f55e32" ma:index="23" nillable="true" ma:taxonomy="true" ma:internalName="ed94ac249cb840f19bbd4406a4f55e32" ma:taxonomyFieldName="IWPFunction" ma:displayName="Function" ma:readOnly="false" ma:fieldId="{ed94ac24-9cb8-40f1-9bbd-4406a4f55e3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44e24723ea64655b0d14420d374ca58" ma:index="24" ma:taxonomy="true" ma:internalName="h44e24723ea64655b0d14420d374ca58" ma:taxonomyFieldName="IWPOwner" ma:displayName="Owner" ma:readOnly="false" ma:default="3;#EFA|4a323c2c-9aef-47e8-b09b-131faf9bac1c" ma:fieldId="{144e2472-3ea6-4655-b0d1-4420d374ca5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a6e3edf1fa49481ba268d185cd027270" ma:index="25" ma:taxonomy="true" ma:internalName="a6e3edf1fa49481ba268d185cd027270" ma:taxonomyFieldName="IWPRightsProtectiveMarking" ma:displayName="Rights: Protective Marking" ma:readOnly="false" ma:default="1;#Official|0884c477-2e62-47ea-b19c-5af6e91124c5" ma:fieldId="{a6e3edf1-fa49-481b-a268-d185cd02727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a4a91b1d01d4be887f36d2f14e1f66e" ma:index="26" nillable="true" ma:taxonomy="true" ma:internalName="ia4a91b1d01d4be887f36d2f14e1f66e" ma:taxonomyFieldName="IWPSiteType" ma:displayName="Site Type" ma:readOnly="false" ma:fieldId="{2a4a91b1-d01d-4be8-87f3-6d2f14e1f66e}"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cb6584d4a38422ca26ee68434c56da0" ma:index="27" ma:taxonomy="true" ma:internalName="fcb6584d4a38422ca26ee68434c56da0" ma:taxonomyFieldName="IWPOrganisationalUnit" ma:displayName="Organisational Unit" ma:readOnly="false" ma:default="2;#EFA|f55057f6-e680-4dd8-a168-9494a8b9b0ae" ma:fieldId="{fcb6584d-4a38-422c-a26e-e68434c56da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d73b2-4efe-4ff0-92c8-23409c5865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30736584-ed75-4244-b8d0-4e74112990e4"/>
    <ds:schemaRef ds:uri="dc4d73b2-4efe-4ff0-92c8-23409c58653b"/>
    <ds:schemaRef ds:uri="http://schemas.microsoft.com/sharepoint/v3"/>
    <ds:schemaRef ds:uri="83fda704-c237-4500-b251-16056c5ca5ab"/>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33F5B16-BFC0-4AB7-AAF4-D52219AA6C50}">
  <ds:schemaRefs>
    <ds:schemaRef ds:uri="http://schemas.microsoft.com/sharepoint/events"/>
  </ds:schemaRefs>
</ds:datastoreItem>
</file>

<file path=customXml/itemProps5.xml><?xml version="1.0" encoding="utf-8"?>
<ds:datastoreItem xmlns:ds="http://schemas.openxmlformats.org/officeDocument/2006/customXml" ds:itemID="{45610FD7-000B-4B31-AD08-10D7C702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36584-ed75-4244-b8d0-4e74112990e4"/>
    <ds:schemaRef ds:uri="83fda704-c237-4500-b251-16056c5ca5ab"/>
    <ds:schemaRef ds:uri="dc4d73b2-4efe-4ff0-92c8-23409c58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95E5F8-1A38-441E-93B2-79D04B46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6899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HAFFENDEN, George</cp:lastModifiedBy>
  <cp:revision>3</cp:revision>
  <cp:lastPrinted>2013-07-11T10:35:00Z</cp:lastPrinted>
  <dcterms:created xsi:type="dcterms:W3CDTF">2018-10-02T07:59:00Z</dcterms:created>
  <dcterms:modified xsi:type="dcterms:W3CDTF">2023-12-28T13:55:00Z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0x01010077D57433EB72284092117883D60835DA0A005E824A61DA5105458F1F9907DC9A76B2</vt:lpwstr>
  </property>
  <property fmtid="{D5CDD505-2E9C-101B-9397-08002B2CF9AE}" pid="4" name="_dlc_DocIdItemGuid">
    <vt:lpwstr>2829764b-8f0a-487a-9470-1fe6dcd35d99</vt:lpwstr>
  </property>
  <property fmtid="{D5CDD505-2E9C-101B-9397-08002B2CF9AE}" pid="5" name="IWPOrganisationalUnit">
    <vt:lpwstr>2;#EFA|f55057f6-e680-4dd8-a168-9494a8b9b0ae</vt:lpwstr>
  </property>
  <property fmtid="{D5CDD505-2E9C-101B-9397-08002B2CF9AE}" pid="6" name="IWPOwner">
    <vt:lpwstr>3;#ESFA|4a323c2c-9aef-47e8-b09b-131faf9bac1c</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