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58" w:type="dxa"/>
        <w:tblLook w:val="04A0" w:firstRow="1" w:lastRow="0" w:firstColumn="1" w:lastColumn="0" w:noHBand="0" w:noVBand="1"/>
      </w:tblPr>
      <w:tblGrid>
        <w:gridCol w:w="2654"/>
        <w:gridCol w:w="1423"/>
        <w:gridCol w:w="1701"/>
        <w:gridCol w:w="8080"/>
      </w:tblGrid>
      <w:tr w:rsidR="004C3A62" w14:paraId="15B5922E" w14:textId="77777777" w:rsidTr="7703B288">
        <w:tc>
          <w:tcPr>
            <w:tcW w:w="2654" w:type="dxa"/>
          </w:tcPr>
          <w:p w14:paraId="63782C29" w14:textId="77777777" w:rsidR="004C3A62" w:rsidRDefault="004C3A62" w:rsidP="00624255">
            <w:bookmarkStart w:id="0" w:name="_GoBack"/>
            <w:bookmarkEnd w:id="0"/>
            <w:r>
              <w:t>Topic</w:t>
            </w:r>
          </w:p>
        </w:tc>
        <w:tc>
          <w:tcPr>
            <w:tcW w:w="1423" w:type="dxa"/>
          </w:tcPr>
          <w:p w14:paraId="1738B55F" w14:textId="77777777" w:rsidR="004C3A62" w:rsidRDefault="004C3A62" w:rsidP="00624255">
            <w:r>
              <w:t xml:space="preserve">Old Reference </w:t>
            </w:r>
          </w:p>
        </w:tc>
        <w:tc>
          <w:tcPr>
            <w:tcW w:w="1701" w:type="dxa"/>
          </w:tcPr>
          <w:p w14:paraId="7521047C" w14:textId="77777777" w:rsidR="004C3A62" w:rsidRDefault="004C3A62" w:rsidP="00624255">
            <w:r>
              <w:t>New Reference</w:t>
            </w:r>
          </w:p>
        </w:tc>
        <w:tc>
          <w:tcPr>
            <w:tcW w:w="8080" w:type="dxa"/>
          </w:tcPr>
          <w:p w14:paraId="6778EC64" w14:textId="77777777" w:rsidR="004C3A62" w:rsidRDefault="004C3A62" w:rsidP="00624255">
            <w:r>
              <w:t>Summary of change</w:t>
            </w:r>
          </w:p>
        </w:tc>
      </w:tr>
      <w:tr w:rsidR="004C3A62" w14:paraId="079FD082" w14:textId="77777777" w:rsidTr="7703B288">
        <w:tc>
          <w:tcPr>
            <w:tcW w:w="2654" w:type="dxa"/>
          </w:tcPr>
          <w:p w14:paraId="672A6659" w14:textId="77777777" w:rsidR="004C3A62" w:rsidRDefault="004C3A62" w:rsidP="00624255">
            <w:pPr>
              <w:rPr>
                <w:b/>
              </w:rPr>
            </w:pPr>
          </w:p>
          <w:p w14:paraId="67617E03" w14:textId="77777777" w:rsidR="004C3A62" w:rsidRPr="009B7A92" w:rsidRDefault="004C3A62" w:rsidP="00624255">
            <w:pPr>
              <w:rPr>
                <w:b/>
              </w:rPr>
            </w:pPr>
            <w:r w:rsidRPr="009B7A92">
              <w:rPr>
                <w:b/>
              </w:rPr>
              <w:t>Administrative Changes</w:t>
            </w:r>
          </w:p>
        </w:tc>
        <w:tc>
          <w:tcPr>
            <w:tcW w:w="1423" w:type="dxa"/>
          </w:tcPr>
          <w:p w14:paraId="0A37501D" w14:textId="77777777" w:rsidR="004C3A62" w:rsidRDefault="004C3A62" w:rsidP="00624255"/>
          <w:p w14:paraId="7AC43853" w14:textId="77777777" w:rsidR="004C3A62" w:rsidRDefault="004C3A62" w:rsidP="00624255">
            <w:r>
              <w:t>Various</w:t>
            </w:r>
          </w:p>
        </w:tc>
        <w:tc>
          <w:tcPr>
            <w:tcW w:w="1701" w:type="dxa"/>
          </w:tcPr>
          <w:p w14:paraId="5DAB6C7B" w14:textId="77777777" w:rsidR="004C3A62" w:rsidRDefault="004C3A62" w:rsidP="00624255"/>
          <w:p w14:paraId="5715A8D9" w14:textId="77777777" w:rsidR="004C3A62" w:rsidRDefault="004C3A62" w:rsidP="00624255">
            <w:r>
              <w:t>Various</w:t>
            </w:r>
          </w:p>
        </w:tc>
        <w:tc>
          <w:tcPr>
            <w:tcW w:w="8080" w:type="dxa"/>
          </w:tcPr>
          <w:p w14:paraId="02EB378F" w14:textId="77777777" w:rsidR="004C3A62" w:rsidRDefault="004C3A62" w:rsidP="00624255"/>
          <w:p w14:paraId="123140D7" w14:textId="77777777" w:rsidR="004C3A62" w:rsidRDefault="004C3A62" w:rsidP="00624255">
            <w:r>
              <w:t>Document structure changed to aligned with other BEIS guidance documents.</w:t>
            </w:r>
          </w:p>
          <w:p w14:paraId="6A05A809" w14:textId="77777777" w:rsidR="004C3A62" w:rsidRDefault="004C3A62" w:rsidP="00624255">
            <w:pPr>
              <w:pStyle w:val="ListParagraph"/>
            </w:pPr>
          </w:p>
          <w:p w14:paraId="24D68337" w14:textId="77777777" w:rsidR="004C3A62" w:rsidRDefault="004C3A62" w:rsidP="00624255">
            <w:r>
              <w:t>References to DECC removed and replaced with BEIS/OPRED as appropriate.</w:t>
            </w:r>
          </w:p>
          <w:p w14:paraId="5A39BBE3" w14:textId="77777777" w:rsidR="004C3A62" w:rsidRDefault="004C3A62" w:rsidP="00624255"/>
          <w:p w14:paraId="1E1118BC" w14:textId="77777777" w:rsidR="004C3A62" w:rsidRDefault="004C3A62" w:rsidP="00624255">
            <w:r w:rsidRPr="00877574">
              <w:t>PON15 D references changed to chemical permit</w:t>
            </w:r>
            <w:r>
              <w:t>.</w:t>
            </w:r>
          </w:p>
          <w:p w14:paraId="41C8F396" w14:textId="77777777" w:rsidR="004C3A62" w:rsidRDefault="004C3A62" w:rsidP="00624255">
            <w:pPr>
              <w:pStyle w:val="ListParagraph"/>
            </w:pPr>
          </w:p>
          <w:p w14:paraId="0B2E01EB" w14:textId="77777777" w:rsidR="004C3A62" w:rsidRDefault="004C3A62" w:rsidP="00624255">
            <w:r>
              <w:t xml:space="preserve">DECC website changed </w:t>
            </w:r>
            <w:proofErr w:type="gramStart"/>
            <w:r>
              <w:t>to .</w:t>
            </w:r>
            <w:proofErr w:type="gramEnd"/>
            <w:r>
              <w:t>gov.uk equivalent.</w:t>
            </w:r>
          </w:p>
          <w:p w14:paraId="72A3D3EC" w14:textId="77777777" w:rsidR="004C3A62" w:rsidRDefault="004C3A62" w:rsidP="00624255">
            <w:pPr>
              <w:pStyle w:val="ListParagraph"/>
            </w:pPr>
          </w:p>
          <w:p w14:paraId="2221EB7F" w14:textId="77777777" w:rsidR="004C3A62" w:rsidRDefault="004C3A62" w:rsidP="00624255">
            <w:r>
              <w:t xml:space="preserve">DECC email addresses changed </w:t>
            </w:r>
            <w:proofErr w:type="gramStart"/>
            <w:r>
              <w:t>to .</w:t>
            </w:r>
            <w:proofErr w:type="gramEnd"/>
            <w:r>
              <w:t>beis.gov.uk equivalent.</w:t>
            </w:r>
          </w:p>
          <w:p w14:paraId="0D0B940D" w14:textId="77777777" w:rsidR="004C3A62" w:rsidRDefault="004C3A62" w:rsidP="00624255"/>
          <w:p w14:paraId="1E9F1003" w14:textId="77777777" w:rsidR="004C3A62" w:rsidRDefault="004C3A62" w:rsidP="00624255">
            <w:r>
              <w:t>Reference to Department’s previous address at Atholl House removed.</w:t>
            </w:r>
          </w:p>
          <w:p w14:paraId="0E27B00A" w14:textId="77777777" w:rsidR="004C3A62" w:rsidRDefault="004C3A62" w:rsidP="00624255"/>
        </w:tc>
      </w:tr>
      <w:tr w:rsidR="004C3A62" w14:paraId="1C0DC45B" w14:textId="77777777" w:rsidTr="7703B288">
        <w:tc>
          <w:tcPr>
            <w:tcW w:w="2654" w:type="dxa"/>
          </w:tcPr>
          <w:p w14:paraId="60061E4C" w14:textId="77777777" w:rsidR="004C3A62" w:rsidRDefault="004C3A62" w:rsidP="00624255">
            <w:pPr>
              <w:rPr>
                <w:b/>
              </w:rPr>
            </w:pPr>
          </w:p>
          <w:p w14:paraId="22E0FC93" w14:textId="77777777" w:rsidR="004C3A62" w:rsidRPr="005556A9" w:rsidRDefault="004C3A62" w:rsidP="00624255">
            <w:pPr>
              <w:rPr>
                <w:b/>
              </w:rPr>
            </w:pPr>
            <w:r w:rsidRPr="005556A9">
              <w:rPr>
                <w:b/>
              </w:rPr>
              <w:t>Table of Contents</w:t>
            </w:r>
          </w:p>
        </w:tc>
        <w:tc>
          <w:tcPr>
            <w:tcW w:w="1423" w:type="dxa"/>
          </w:tcPr>
          <w:p w14:paraId="44EAFD9C" w14:textId="77777777" w:rsidR="004C3A62" w:rsidRDefault="004C3A62" w:rsidP="00624255"/>
          <w:p w14:paraId="595A43A4" w14:textId="77777777" w:rsidR="004C3A62" w:rsidRDefault="004C3A62" w:rsidP="00624255">
            <w:r>
              <w:t>Page 3-4</w:t>
            </w:r>
          </w:p>
        </w:tc>
        <w:tc>
          <w:tcPr>
            <w:tcW w:w="1701" w:type="dxa"/>
          </w:tcPr>
          <w:p w14:paraId="4B94D5A5" w14:textId="77777777" w:rsidR="004C3A62" w:rsidRDefault="004C3A62" w:rsidP="00624255"/>
          <w:p w14:paraId="146E8121" w14:textId="77777777" w:rsidR="004C3A62" w:rsidRDefault="004C3A62" w:rsidP="00624255">
            <w:r>
              <w:t>NA</w:t>
            </w:r>
          </w:p>
        </w:tc>
        <w:tc>
          <w:tcPr>
            <w:tcW w:w="8080" w:type="dxa"/>
          </w:tcPr>
          <w:p w14:paraId="3DEEC669" w14:textId="77777777" w:rsidR="004C3A62" w:rsidRDefault="004C3A62" w:rsidP="00624255"/>
          <w:p w14:paraId="7B015F3D" w14:textId="77777777" w:rsidR="004C3A62" w:rsidRDefault="004C3A62" w:rsidP="00624255">
            <w:r>
              <w:t>Table of contents updated to account</w:t>
            </w:r>
            <w:r w:rsidRPr="00427676">
              <w:t xml:space="preserve"> </w:t>
            </w:r>
            <w:r>
              <w:t>for</w:t>
            </w:r>
            <w:r w:rsidRPr="00427676">
              <w:t xml:space="preserve"> </w:t>
            </w:r>
            <w:r>
              <w:t>restructuring of document.</w:t>
            </w:r>
          </w:p>
          <w:p w14:paraId="3656B9AB" w14:textId="77777777" w:rsidR="004C3A62" w:rsidRDefault="004C3A62" w:rsidP="00624255"/>
          <w:p w14:paraId="45FB0818" w14:textId="77777777" w:rsidR="004C3A62" w:rsidRDefault="004C3A62" w:rsidP="00624255"/>
        </w:tc>
      </w:tr>
      <w:tr w:rsidR="004C3A62" w14:paraId="10DA6BF8" w14:textId="77777777" w:rsidTr="7703B288">
        <w:tc>
          <w:tcPr>
            <w:tcW w:w="2654" w:type="dxa"/>
          </w:tcPr>
          <w:p w14:paraId="049F31CB" w14:textId="77777777" w:rsidR="004C3A62" w:rsidRDefault="004C3A62" w:rsidP="00624255">
            <w:pPr>
              <w:rPr>
                <w:b/>
              </w:rPr>
            </w:pPr>
          </w:p>
          <w:p w14:paraId="157E6F5D" w14:textId="77777777" w:rsidR="004C3A62" w:rsidRPr="009B7A92" w:rsidRDefault="004C3A62" w:rsidP="00624255">
            <w:pPr>
              <w:rPr>
                <w:b/>
              </w:rPr>
            </w:pPr>
            <w:r w:rsidRPr="009B7A92">
              <w:rPr>
                <w:b/>
              </w:rPr>
              <w:t xml:space="preserve">Definitions, Abbreviations </w:t>
            </w:r>
            <w:proofErr w:type="gramStart"/>
            <w:r w:rsidRPr="009B7A92">
              <w:rPr>
                <w:b/>
              </w:rPr>
              <w:t>and  Normative</w:t>
            </w:r>
            <w:proofErr w:type="gramEnd"/>
            <w:r w:rsidRPr="009B7A92">
              <w:rPr>
                <w:b/>
              </w:rPr>
              <w:t xml:space="preserve"> References</w:t>
            </w:r>
          </w:p>
        </w:tc>
        <w:tc>
          <w:tcPr>
            <w:tcW w:w="1423" w:type="dxa"/>
          </w:tcPr>
          <w:p w14:paraId="53128261" w14:textId="77777777" w:rsidR="004C3A62" w:rsidRDefault="004C3A62" w:rsidP="00624255"/>
          <w:p w14:paraId="649841BE" w14:textId="77777777" w:rsidR="004C3A62" w:rsidRDefault="004C3A62" w:rsidP="00624255">
            <w:r>
              <w:t>1</w:t>
            </w:r>
          </w:p>
        </w:tc>
        <w:tc>
          <w:tcPr>
            <w:tcW w:w="1701" w:type="dxa"/>
          </w:tcPr>
          <w:p w14:paraId="62486C05" w14:textId="77777777" w:rsidR="004C3A62" w:rsidRDefault="004C3A62" w:rsidP="00624255"/>
          <w:p w14:paraId="56E93C3A" w14:textId="77777777" w:rsidR="004C3A62" w:rsidRDefault="004C3A62" w:rsidP="00624255">
            <w:r>
              <w:t>Appendix A, B and C</w:t>
            </w:r>
          </w:p>
        </w:tc>
        <w:tc>
          <w:tcPr>
            <w:tcW w:w="8080" w:type="dxa"/>
          </w:tcPr>
          <w:p w14:paraId="4101652C" w14:textId="77777777" w:rsidR="004C3A62" w:rsidRDefault="004C3A62" w:rsidP="00624255"/>
          <w:p w14:paraId="701F55CB" w14:textId="77777777" w:rsidR="004C3A62" w:rsidRDefault="004C3A62" w:rsidP="00624255">
            <w:r>
              <w:t xml:space="preserve">Definitions &amp; Abbreviations have been separated to create appendix B and C. </w:t>
            </w:r>
          </w:p>
          <w:p w14:paraId="4B99056E" w14:textId="77777777" w:rsidR="004C3A62" w:rsidRDefault="004C3A62" w:rsidP="00624255"/>
          <w:p w14:paraId="6AFB0251" w14:textId="77777777" w:rsidR="004C3A62" w:rsidRDefault="004C3A62" w:rsidP="00624255">
            <w:r>
              <w:t>Normative References moved to appendix A.</w:t>
            </w:r>
          </w:p>
          <w:p w14:paraId="1299C43A" w14:textId="77777777" w:rsidR="004C3A62" w:rsidRDefault="004C3A62" w:rsidP="00624255"/>
          <w:p w14:paraId="47F959AE" w14:textId="77777777" w:rsidR="004C3A62" w:rsidRDefault="004C3A62" w:rsidP="00624255">
            <w:r>
              <w:t>All three appendixes can be found at end of the document.</w:t>
            </w:r>
          </w:p>
          <w:p w14:paraId="4DDBEF00" w14:textId="77777777" w:rsidR="004C3A62" w:rsidRDefault="004C3A62" w:rsidP="00624255"/>
        </w:tc>
      </w:tr>
      <w:tr w:rsidR="004C3A62" w14:paraId="01EA1AE6" w14:textId="77777777" w:rsidTr="7703B288">
        <w:tc>
          <w:tcPr>
            <w:tcW w:w="2654" w:type="dxa"/>
          </w:tcPr>
          <w:p w14:paraId="3461D779" w14:textId="77777777" w:rsidR="004C3A62" w:rsidRDefault="004C3A62" w:rsidP="00624255">
            <w:pPr>
              <w:rPr>
                <w:b/>
              </w:rPr>
            </w:pPr>
          </w:p>
          <w:p w14:paraId="3CF2D8B6" w14:textId="77777777" w:rsidR="004C3A62" w:rsidRDefault="004C3A62" w:rsidP="00624255">
            <w:pPr>
              <w:rPr>
                <w:b/>
              </w:rPr>
            </w:pPr>
          </w:p>
          <w:p w14:paraId="29503B4C" w14:textId="77777777" w:rsidR="004C3A62" w:rsidRDefault="004C3A62" w:rsidP="00624255">
            <w:pPr>
              <w:rPr>
                <w:b/>
              </w:rPr>
            </w:pPr>
            <w:r w:rsidRPr="009B7A92">
              <w:rPr>
                <w:b/>
              </w:rPr>
              <w:t xml:space="preserve">Normative </w:t>
            </w:r>
            <w:r w:rsidRPr="009B7A92">
              <w:rPr>
                <w:b/>
              </w:rPr>
              <w:lastRenderedPageBreak/>
              <w:t>References</w:t>
            </w:r>
          </w:p>
          <w:p w14:paraId="0FB78278" w14:textId="77777777" w:rsidR="004C3A62" w:rsidRPr="009B7A92" w:rsidRDefault="004C3A62" w:rsidP="00624255">
            <w:pPr>
              <w:rPr>
                <w:b/>
              </w:rPr>
            </w:pPr>
          </w:p>
        </w:tc>
        <w:tc>
          <w:tcPr>
            <w:tcW w:w="1423" w:type="dxa"/>
          </w:tcPr>
          <w:p w14:paraId="1FC39945" w14:textId="77777777" w:rsidR="004C3A62" w:rsidRDefault="004C3A62" w:rsidP="00624255"/>
          <w:p w14:paraId="0562CB0E" w14:textId="77777777" w:rsidR="004C3A62" w:rsidRDefault="004C3A62" w:rsidP="00624255"/>
          <w:p w14:paraId="39D7D509" w14:textId="77777777" w:rsidR="004C3A62" w:rsidRDefault="004C3A62" w:rsidP="00624255">
            <w:r>
              <w:t>1.2</w:t>
            </w:r>
          </w:p>
        </w:tc>
        <w:tc>
          <w:tcPr>
            <w:tcW w:w="1701" w:type="dxa"/>
          </w:tcPr>
          <w:p w14:paraId="34CE0A41" w14:textId="77777777" w:rsidR="004C3A62" w:rsidRDefault="004C3A62" w:rsidP="00624255"/>
          <w:p w14:paraId="62EBF3C5" w14:textId="77777777" w:rsidR="004C3A62" w:rsidRDefault="004C3A62" w:rsidP="00624255"/>
          <w:p w14:paraId="65C3CA8D" w14:textId="77777777" w:rsidR="004C3A62" w:rsidRDefault="004C3A62" w:rsidP="00624255">
            <w:r>
              <w:t>Appendix A</w:t>
            </w:r>
          </w:p>
        </w:tc>
        <w:tc>
          <w:tcPr>
            <w:tcW w:w="8080" w:type="dxa"/>
          </w:tcPr>
          <w:p w14:paraId="6D98A12B" w14:textId="77777777" w:rsidR="004C3A62" w:rsidRDefault="004C3A62" w:rsidP="00624255"/>
          <w:p w14:paraId="2946DB82" w14:textId="77777777" w:rsidR="004C3A62" w:rsidRDefault="004C3A62" w:rsidP="00624255"/>
          <w:p w14:paraId="6C6311B4" w14:textId="77777777" w:rsidR="004C3A62" w:rsidRDefault="004C3A62" w:rsidP="00624255">
            <w:r w:rsidRPr="00F162E2">
              <w:t xml:space="preserve">ISO 3696:1987 </w:t>
            </w:r>
            <w:r>
              <w:t>updated</w:t>
            </w:r>
            <w:r w:rsidRPr="00F162E2">
              <w:t xml:space="preserve"> to ISO 3696:1995</w:t>
            </w:r>
          </w:p>
        </w:tc>
      </w:tr>
      <w:tr w:rsidR="004C3A62" w14:paraId="7DFF713A" w14:textId="77777777" w:rsidTr="7703B288">
        <w:tc>
          <w:tcPr>
            <w:tcW w:w="2654" w:type="dxa"/>
          </w:tcPr>
          <w:p w14:paraId="5997CC1D" w14:textId="77777777" w:rsidR="004C3A62" w:rsidRDefault="004C3A62" w:rsidP="00624255">
            <w:pPr>
              <w:rPr>
                <w:b/>
              </w:rPr>
            </w:pPr>
          </w:p>
          <w:p w14:paraId="09D94A9D" w14:textId="77777777" w:rsidR="004C3A62" w:rsidRDefault="004C3A62" w:rsidP="00624255">
            <w:pPr>
              <w:rPr>
                <w:b/>
              </w:rPr>
            </w:pPr>
            <w:r w:rsidRPr="009B7A92">
              <w:rPr>
                <w:b/>
              </w:rPr>
              <w:t>Abbreviations</w:t>
            </w:r>
          </w:p>
          <w:p w14:paraId="110FFD37" w14:textId="77777777" w:rsidR="004C3A62" w:rsidRPr="009B7A92" w:rsidRDefault="004C3A62" w:rsidP="00624255">
            <w:pPr>
              <w:rPr>
                <w:b/>
              </w:rPr>
            </w:pPr>
          </w:p>
        </w:tc>
        <w:tc>
          <w:tcPr>
            <w:tcW w:w="1423" w:type="dxa"/>
          </w:tcPr>
          <w:p w14:paraId="6B699379" w14:textId="77777777" w:rsidR="004C3A62" w:rsidRDefault="004C3A62" w:rsidP="00624255"/>
          <w:p w14:paraId="52860A0C" w14:textId="77777777" w:rsidR="004C3A62" w:rsidRDefault="004C3A62" w:rsidP="00624255">
            <w:r>
              <w:t>1.3</w:t>
            </w:r>
          </w:p>
        </w:tc>
        <w:tc>
          <w:tcPr>
            <w:tcW w:w="1701" w:type="dxa"/>
          </w:tcPr>
          <w:p w14:paraId="3FE9F23F" w14:textId="77777777" w:rsidR="004C3A62" w:rsidRDefault="004C3A62" w:rsidP="00624255"/>
          <w:p w14:paraId="747A146A" w14:textId="77777777" w:rsidR="004C3A62" w:rsidRDefault="004C3A62" w:rsidP="00624255">
            <w:r>
              <w:t>Appendix C</w:t>
            </w:r>
          </w:p>
        </w:tc>
        <w:tc>
          <w:tcPr>
            <w:tcW w:w="8080" w:type="dxa"/>
          </w:tcPr>
          <w:p w14:paraId="1F72F646" w14:textId="77777777" w:rsidR="004C3A62" w:rsidRDefault="004C3A62" w:rsidP="00624255"/>
          <w:p w14:paraId="5B700963" w14:textId="77777777" w:rsidR="004C3A62" w:rsidRDefault="004C3A62" w:rsidP="00624255">
            <w:r w:rsidRPr="00615E76">
              <w:t>PAH</w:t>
            </w:r>
            <w:r>
              <w:t xml:space="preserve"> abbreviation amended</w:t>
            </w:r>
            <w:r w:rsidRPr="00615E76">
              <w:t xml:space="preserve"> </w:t>
            </w:r>
          </w:p>
        </w:tc>
      </w:tr>
      <w:tr w:rsidR="004C3A62" w14:paraId="752F3C33" w14:textId="77777777" w:rsidTr="7703B288">
        <w:tc>
          <w:tcPr>
            <w:tcW w:w="2654" w:type="dxa"/>
          </w:tcPr>
          <w:p w14:paraId="08CE6F91" w14:textId="77777777" w:rsidR="004C3A62" w:rsidRDefault="004C3A62" w:rsidP="00624255">
            <w:pPr>
              <w:rPr>
                <w:b/>
              </w:rPr>
            </w:pPr>
          </w:p>
          <w:p w14:paraId="3E7A9F1C" w14:textId="77777777" w:rsidR="004C3A62" w:rsidRPr="009B7A92" w:rsidRDefault="004C3A62" w:rsidP="00624255">
            <w:pPr>
              <w:rPr>
                <w:b/>
              </w:rPr>
            </w:pPr>
            <w:r w:rsidRPr="009B7A92">
              <w:rPr>
                <w:b/>
              </w:rPr>
              <w:t>Introduction</w:t>
            </w:r>
          </w:p>
        </w:tc>
        <w:tc>
          <w:tcPr>
            <w:tcW w:w="1423" w:type="dxa"/>
          </w:tcPr>
          <w:p w14:paraId="61CDCEAD" w14:textId="77777777" w:rsidR="004C3A62" w:rsidRDefault="004C3A62" w:rsidP="00624255"/>
          <w:p w14:paraId="5FCD5EC4" w14:textId="77777777" w:rsidR="004C3A62" w:rsidRDefault="004C3A62" w:rsidP="00624255">
            <w:r>
              <w:t>3</w:t>
            </w:r>
          </w:p>
        </w:tc>
        <w:tc>
          <w:tcPr>
            <w:tcW w:w="1701" w:type="dxa"/>
          </w:tcPr>
          <w:p w14:paraId="6BB9E253" w14:textId="77777777" w:rsidR="004C3A62" w:rsidRDefault="004C3A62" w:rsidP="00624255"/>
          <w:p w14:paraId="56B20A0C" w14:textId="77777777" w:rsidR="004C3A62" w:rsidRDefault="004C3A62" w:rsidP="00624255">
            <w:r>
              <w:t>1</w:t>
            </w:r>
          </w:p>
        </w:tc>
        <w:tc>
          <w:tcPr>
            <w:tcW w:w="8080" w:type="dxa"/>
          </w:tcPr>
          <w:p w14:paraId="23DE523C" w14:textId="77777777" w:rsidR="004C3A62" w:rsidRDefault="004C3A62" w:rsidP="00624255"/>
          <w:p w14:paraId="6D08D808" w14:textId="77777777" w:rsidR="004C3A62" w:rsidRDefault="004C3A62" w:rsidP="00624255">
            <w:r>
              <w:t xml:space="preserve">New reference number to accommodate layout change. </w:t>
            </w:r>
          </w:p>
          <w:p w14:paraId="52E56223" w14:textId="77777777" w:rsidR="004C3A62" w:rsidRDefault="004C3A62" w:rsidP="00624255"/>
          <w:p w14:paraId="6DFED6B7" w14:textId="77777777" w:rsidR="004C3A62" w:rsidRDefault="004C3A62" w:rsidP="00624255">
            <w:r>
              <w:t>No changes to any text in this section.</w:t>
            </w:r>
          </w:p>
          <w:p w14:paraId="07547A01" w14:textId="77777777" w:rsidR="004C3A62" w:rsidRDefault="004C3A62" w:rsidP="00624255"/>
        </w:tc>
      </w:tr>
      <w:tr w:rsidR="004C3A62" w14:paraId="6F0B7533" w14:textId="77777777" w:rsidTr="7703B288">
        <w:tc>
          <w:tcPr>
            <w:tcW w:w="2654" w:type="dxa"/>
          </w:tcPr>
          <w:p w14:paraId="5043CB0F" w14:textId="77777777" w:rsidR="004C3A62" w:rsidRDefault="004C3A62" w:rsidP="00624255">
            <w:pPr>
              <w:rPr>
                <w:b/>
              </w:rPr>
            </w:pPr>
          </w:p>
          <w:p w14:paraId="240F870F" w14:textId="77777777" w:rsidR="004C3A62" w:rsidRPr="009B7A92" w:rsidRDefault="004C3A62" w:rsidP="00624255">
            <w:pPr>
              <w:rPr>
                <w:b/>
              </w:rPr>
            </w:pPr>
            <w:r w:rsidRPr="009B7A92">
              <w:rPr>
                <w:b/>
              </w:rPr>
              <w:t>Point of Contact</w:t>
            </w:r>
          </w:p>
        </w:tc>
        <w:tc>
          <w:tcPr>
            <w:tcW w:w="1423" w:type="dxa"/>
          </w:tcPr>
          <w:p w14:paraId="07459315" w14:textId="77777777" w:rsidR="004C3A62" w:rsidRDefault="004C3A62" w:rsidP="00624255"/>
          <w:p w14:paraId="18F999B5" w14:textId="77777777" w:rsidR="004C3A62" w:rsidRDefault="004C3A62" w:rsidP="00624255">
            <w:r>
              <w:t>2</w:t>
            </w:r>
          </w:p>
        </w:tc>
        <w:tc>
          <w:tcPr>
            <w:tcW w:w="1701" w:type="dxa"/>
          </w:tcPr>
          <w:p w14:paraId="6537F28F" w14:textId="77777777" w:rsidR="004C3A62" w:rsidRDefault="004C3A62" w:rsidP="00624255"/>
          <w:p w14:paraId="0E95CDC1" w14:textId="77777777" w:rsidR="004C3A62" w:rsidRDefault="004C3A62" w:rsidP="00624255">
            <w:r>
              <w:t>NA</w:t>
            </w:r>
          </w:p>
        </w:tc>
        <w:tc>
          <w:tcPr>
            <w:tcW w:w="8080" w:type="dxa"/>
          </w:tcPr>
          <w:p w14:paraId="6DFB9E20" w14:textId="77777777" w:rsidR="004C3A62" w:rsidRDefault="004C3A62" w:rsidP="00624255"/>
          <w:p w14:paraId="650D87D7" w14:textId="77777777" w:rsidR="004C3A62" w:rsidRDefault="004C3A62" w:rsidP="00624255">
            <w:r>
              <w:t>Section removed</w:t>
            </w:r>
            <w:r w:rsidRPr="00746897">
              <w:t xml:space="preserve"> to accommodate restructuring of document.</w:t>
            </w:r>
          </w:p>
          <w:p w14:paraId="70DF9E56" w14:textId="77777777" w:rsidR="004C3A62" w:rsidRDefault="004C3A62" w:rsidP="00624255"/>
          <w:p w14:paraId="525067D7" w14:textId="77777777" w:rsidR="004C3A62" w:rsidRDefault="004C3A62" w:rsidP="00624255">
            <w:r>
              <w:t xml:space="preserve">No named point of contact. </w:t>
            </w:r>
          </w:p>
          <w:p w14:paraId="44E871BC" w14:textId="77777777" w:rsidR="004C3A62" w:rsidRDefault="004C3A62" w:rsidP="00624255"/>
          <w:p w14:paraId="3C190F1D" w14:textId="77777777" w:rsidR="004C3A62" w:rsidRDefault="004C3A62" w:rsidP="00624255">
            <w:r>
              <w:t xml:space="preserve">All comments to be addressed via </w:t>
            </w:r>
            <w:hyperlink r:id="rId8" w:history="1">
              <w:r w:rsidRPr="00AA4C34">
                <w:rPr>
                  <w:rStyle w:val="Hyperlink"/>
                </w:rPr>
                <w:t>offshore.inspectorate@beis.gov.uk</w:t>
              </w:r>
            </w:hyperlink>
          </w:p>
          <w:p w14:paraId="29D6B04F" w14:textId="77777777" w:rsidR="004C3A62" w:rsidRDefault="004C3A62" w:rsidP="00624255">
            <w:r>
              <w:t xml:space="preserve"> </w:t>
            </w:r>
          </w:p>
        </w:tc>
      </w:tr>
      <w:tr w:rsidR="004C3A62" w14:paraId="55D5B4E2" w14:textId="77777777" w:rsidTr="7703B288">
        <w:tc>
          <w:tcPr>
            <w:tcW w:w="2654" w:type="dxa"/>
          </w:tcPr>
          <w:p w14:paraId="144A5D23" w14:textId="77777777" w:rsidR="004C3A62" w:rsidRDefault="004C3A62" w:rsidP="00624255">
            <w:pPr>
              <w:rPr>
                <w:b/>
              </w:rPr>
            </w:pPr>
          </w:p>
          <w:p w14:paraId="190942FF" w14:textId="77777777" w:rsidR="004C3A62" w:rsidRDefault="004C3A62" w:rsidP="00624255">
            <w:pPr>
              <w:rPr>
                <w:b/>
              </w:rPr>
            </w:pPr>
            <w:r w:rsidRPr="005556A9">
              <w:rPr>
                <w:b/>
              </w:rPr>
              <w:t>Produced Water Sampling and Analysis Requirements</w:t>
            </w:r>
          </w:p>
          <w:p w14:paraId="738610EB" w14:textId="77777777" w:rsidR="003E2B12" w:rsidRPr="005556A9" w:rsidRDefault="003E2B12" w:rsidP="00624255">
            <w:pPr>
              <w:rPr>
                <w:b/>
              </w:rPr>
            </w:pPr>
          </w:p>
        </w:tc>
        <w:tc>
          <w:tcPr>
            <w:tcW w:w="1423" w:type="dxa"/>
          </w:tcPr>
          <w:p w14:paraId="637805D2" w14:textId="77777777" w:rsidR="004C3A62" w:rsidRDefault="004C3A62" w:rsidP="00624255"/>
          <w:p w14:paraId="2598DEE6" w14:textId="77777777" w:rsidR="004C3A62" w:rsidRDefault="004C3A62" w:rsidP="00624255">
            <w:r>
              <w:t>4</w:t>
            </w:r>
          </w:p>
        </w:tc>
        <w:tc>
          <w:tcPr>
            <w:tcW w:w="1701" w:type="dxa"/>
          </w:tcPr>
          <w:p w14:paraId="463F29E8" w14:textId="77777777" w:rsidR="004C3A62" w:rsidRDefault="004C3A62" w:rsidP="00624255"/>
          <w:p w14:paraId="7144751B" w14:textId="77777777" w:rsidR="004C3A62" w:rsidRDefault="004C3A62" w:rsidP="00624255">
            <w:r>
              <w:t>2</w:t>
            </w:r>
          </w:p>
        </w:tc>
        <w:tc>
          <w:tcPr>
            <w:tcW w:w="8080" w:type="dxa"/>
          </w:tcPr>
          <w:p w14:paraId="3B7B4B86" w14:textId="77777777" w:rsidR="004C3A62" w:rsidRDefault="004C3A62" w:rsidP="00624255"/>
          <w:p w14:paraId="10012395" w14:textId="77777777" w:rsidR="004C3A62" w:rsidRDefault="004C3A62" w:rsidP="004C3A62">
            <w:r>
              <w:t xml:space="preserve">New reference number to accommodate layout change. </w:t>
            </w:r>
          </w:p>
          <w:p w14:paraId="3A0FF5F2" w14:textId="77777777" w:rsidR="004C3A62" w:rsidRDefault="004C3A62" w:rsidP="00624255"/>
          <w:p w14:paraId="5630AD66" w14:textId="77777777" w:rsidR="004C3A62" w:rsidRDefault="004C3A62" w:rsidP="003E2B12"/>
        </w:tc>
      </w:tr>
      <w:tr w:rsidR="003E2B12" w14:paraId="4398C92B" w14:textId="77777777" w:rsidTr="7703B288">
        <w:tc>
          <w:tcPr>
            <w:tcW w:w="2654" w:type="dxa"/>
          </w:tcPr>
          <w:p w14:paraId="61829076" w14:textId="77777777" w:rsidR="003E2B12" w:rsidRDefault="003E2B12" w:rsidP="00624255">
            <w:pPr>
              <w:rPr>
                <w:b/>
              </w:rPr>
            </w:pPr>
          </w:p>
          <w:p w14:paraId="257CAC6A" w14:textId="77777777" w:rsidR="00752983" w:rsidRDefault="00752983" w:rsidP="00624255">
            <w:r w:rsidRPr="00752983">
              <w:t>Additional Sampling Requirements</w:t>
            </w:r>
          </w:p>
          <w:p w14:paraId="2BA226A1" w14:textId="77777777" w:rsidR="00752983" w:rsidRDefault="00752983" w:rsidP="00624255"/>
          <w:p w14:paraId="17AD93B2" w14:textId="77777777" w:rsidR="00752983" w:rsidRDefault="00752983" w:rsidP="00624255"/>
          <w:p w14:paraId="0DE4B5B7" w14:textId="77777777" w:rsidR="003E2B12" w:rsidRDefault="003E2B12" w:rsidP="00752983">
            <w:pPr>
              <w:rPr>
                <w:b/>
              </w:rPr>
            </w:pPr>
          </w:p>
        </w:tc>
        <w:tc>
          <w:tcPr>
            <w:tcW w:w="1423" w:type="dxa"/>
          </w:tcPr>
          <w:p w14:paraId="66204FF1" w14:textId="77777777" w:rsidR="003E2B12" w:rsidRDefault="003E2B12" w:rsidP="00624255"/>
          <w:p w14:paraId="19BDB427" w14:textId="77777777" w:rsidR="003E2B12" w:rsidRDefault="003E2B12" w:rsidP="00624255">
            <w:r>
              <w:t>4.7</w:t>
            </w:r>
          </w:p>
          <w:p w14:paraId="2DBF0D7D" w14:textId="77777777" w:rsidR="003E2B12" w:rsidRDefault="003E2B12" w:rsidP="00624255"/>
        </w:tc>
        <w:tc>
          <w:tcPr>
            <w:tcW w:w="1701" w:type="dxa"/>
          </w:tcPr>
          <w:p w14:paraId="6B62F1B3" w14:textId="77777777" w:rsidR="003E2B12" w:rsidRDefault="003E2B12" w:rsidP="00624255"/>
          <w:p w14:paraId="69F27350" w14:textId="77777777" w:rsidR="003E2B12" w:rsidRDefault="003E2B12" w:rsidP="00624255">
            <w:r>
              <w:t>2.7</w:t>
            </w:r>
          </w:p>
        </w:tc>
        <w:tc>
          <w:tcPr>
            <w:tcW w:w="8080" w:type="dxa"/>
          </w:tcPr>
          <w:p w14:paraId="02F2C34E" w14:textId="77777777" w:rsidR="003E2B12" w:rsidRDefault="003E2B12" w:rsidP="00624255"/>
          <w:p w14:paraId="5E50E1A3" w14:textId="77777777" w:rsidR="00752983" w:rsidRDefault="000514C5" w:rsidP="00752983">
            <w:r>
              <w:t>Title</w:t>
            </w:r>
            <w:r w:rsidR="00752983">
              <w:t xml:space="preserve"> changed from ‘</w:t>
            </w:r>
            <w:r w:rsidR="00752983" w:rsidRPr="00752983">
              <w:t>Additional PON1 / Permitted Discharge Notification Reporting Sampling Requirements</w:t>
            </w:r>
            <w:r w:rsidR="00752983">
              <w:t>’ to ‘</w:t>
            </w:r>
            <w:r w:rsidR="00752983" w:rsidRPr="00752983">
              <w:t>Additional Sampling Requirements</w:t>
            </w:r>
            <w:r w:rsidR="00752983">
              <w:t>’</w:t>
            </w:r>
          </w:p>
          <w:p w14:paraId="680A4E5D" w14:textId="77777777" w:rsidR="00752983" w:rsidRDefault="00752983" w:rsidP="00624255"/>
          <w:p w14:paraId="4EF15557" w14:textId="77777777" w:rsidR="00752983" w:rsidRDefault="00752983" w:rsidP="00752983">
            <w:r>
              <w:t>Additional text added at end of paragraph:</w:t>
            </w:r>
          </w:p>
          <w:p w14:paraId="19219836" w14:textId="77777777" w:rsidR="00752983" w:rsidRDefault="00752983" w:rsidP="00752983"/>
          <w:p w14:paraId="25C6D09D" w14:textId="77777777" w:rsidR="003E2B12" w:rsidRDefault="00752983" w:rsidP="000514C5">
            <w:r>
              <w:t>‘</w:t>
            </w:r>
            <w:r w:rsidRPr="00752983">
              <w:t xml:space="preserve">While recognising that platform personnel may be busy responding to process upsets samples can be collected and then analysed </w:t>
            </w:r>
            <w:proofErr w:type="gramStart"/>
            <w:r w:rsidRPr="00752983">
              <w:t>at a later time</w:t>
            </w:r>
            <w:proofErr w:type="gramEnd"/>
            <w:r>
              <w:t>’</w:t>
            </w:r>
            <w:r w:rsidRPr="00752983">
              <w:t>.</w:t>
            </w:r>
          </w:p>
        </w:tc>
      </w:tr>
      <w:tr w:rsidR="004C3A62" w14:paraId="215164FE" w14:textId="77777777" w:rsidTr="7703B288">
        <w:tc>
          <w:tcPr>
            <w:tcW w:w="2654" w:type="dxa"/>
          </w:tcPr>
          <w:p w14:paraId="296FEF7D" w14:textId="77777777" w:rsidR="004C3A62" w:rsidRDefault="004C3A62" w:rsidP="00624255">
            <w:pPr>
              <w:rPr>
                <w:b/>
              </w:rPr>
            </w:pPr>
          </w:p>
          <w:p w14:paraId="39FFDC38" w14:textId="77777777" w:rsidR="004C3A62" w:rsidRDefault="004C3A62" w:rsidP="00624255">
            <w:pPr>
              <w:rPr>
                <w:b/>
              </w:rPr>
            </w:pPr>
            <w:r w:rsidRPr="005556A9">
              <w:rPr>
                <w:b/>
              </w:rPr>
              <w:t>Produced Water Sampling Points and Sampling</w:t>
            </w:r>
          </w:p>
          <w:p w14:paraId="7194DBDC" w14:textId="77777777" w:rsidR="004C3A62" w:rsidRPr="005556A9" w:rsidRDefault="004C3A62" w:rsidP="00624255">
            <w:pPr>
              <w:rPr>
                <w:b/>
              </w:rPr>
            </w:pPr>
          </w:p>
        </w:tc>
        <w:tc>
          <w:tcPr>
            <w:tcW w:w="1423" w:type="dxa"/>
          </w:tcPr>
          <w:p w14:paraId="769D0D3C" w14:textId="77777777" w:rsidR="004C3A62" w:rsidRDefault="004C3A62" w:rsidP="00624255"/>
          <w:p w14:paraId="78941E47" w14:textId="77777777" w:rsidR="004C3A62" w:rsidRDefault="004C3A62" w:rsidP="00624255">
            <w:r>
              <w:t>5</w:t>
            </w:r>
          </w:p>
        </w:tc>
        <w:tc>
          <w:tcPr>
            <w:tcW w:w="1701" w:type="dxa"/>
          </w:tcPr>
          <w:p w14:paraId="54CD245A" w14:textId="77777777" w:rsidR="004C3A62" w:rsidRDefault="004C3A62" w:rsidP="00624255"/>
          <w:p w14:paraId="0B778152" w14:textId="77777777" w:rsidR="004C3A62" w:rsidRDefault="004C3A62" w:rsidP="00624255">
            <w:r>
              <w:t>3</w:t>
            </w:r>
          </w:p>
        </w:tc>
        <w:tc>
          <w:tcPr>
            <w:tcW w:w="8080" w:type="dxa"/>
          </w:tcPr>
          <w:p w14:paraId="1231BE67" w14:textId="77777777" w:rsidR="004C3A62" w:rsidRDefault="004C3A62" w:rsidP="00624255"/>
          <w:p w14:paraId="4E125100" w14:textId="77777777" w:rsidR="004C3A62" w:rsidRDefault="004C3A62" w:rsidP="004C3A62">
            <w:r>
              <w:t xml:space="preserve">New reference number to accommodate layout change. </w:t>
            </w:r>
          </w:p>
          <w:p w14:paraId="36FEB5B0" w14:textId="77777777" w:rsidR="004C3A62" w:rsidRDefault="004C3A62" w:rsidP="00624255"/>
        </w:tc>
      </w:tr>
      <w:tr w:rsidR="004C3A62" w14:paraId="7A436234" w14:textId="77777777" w:rsidTr="7703B288">
        <w:tc>
          <w:tcPr>
            <w:tcW w:w="2654" w:type="dxa"/>
          </w:tcPr>
          <w:p w14:paraId="30D7AA69" w14:textId="77777777" w:rsidR="004C3A62" w:rsidRDefault="004C3A62" w:rsidP="00624255"/>
          <w:p w14:paraId="401B8A17" w14:textId="77777777" w:rsidR="004C3A62" w:rsidRDefault="004C3A62" w:rsidP="00624255">
            <w:r w:rsidRPr="00427676">
              <w:t xml:space="preserve">Requirements for Sending Samples for </w:t>
            </w:r>
          </w:p>
          <w:p w14:paraId="7196D064" w14:textId="77777777" w:rsidR="004C3A62" w:rsidRDefault="004C3A62" w:rsidP="00624255"/>
          <w:p w14:paraId="6BBE8439" w14:textId="77777777" w:rsidR="004C3A62" w:rsidRPr="00F93CEA" w:rsidRDefault="004C3A62" w:rsidP="00624255">
            <w:r w:rsidRPr="00427676">
              <w:t>Onshore Analysis</w:t>
            </w:r>
          </w:p>
        </w:tc>
        <w:tc>
          <w:tcPr>
            <w:tcW w:w="1423" w:type="dxa"/>
          </w:tcPr>
          <w:p w14:paraId="34FF1C98" w14:textId="77777777" w:rsidR="004C3A62" w:rsidRDefault="004C3A62" w:rsidP="00624255"/>
          <w:p w14:paraId="5279017E" w14:textId="77777777" w:rsidR="004C3A62" w:rsidRDefault="004C3A62" w:rsidP="00624255">
            <w:r>
              <w:t>5.6</w:t>
            </w:r>
          </w:p>
        </w:tc>
        <w:tc>
          <w:tcPr>
            <w:tcW w:w="1701" w:type="dxa"/>
          </w:tcPr>
          <w:p w14:paraId="6D072C0D" w14:textId="77777777" w:rsidR="004C3A62" w:rsidRDefault="004C3A62" w:rsidP="00624255"/>
          <w:p w14:paraId="50AE3E11" w14:textId="77777777" w:rsidR="004C3A62" w:rsidRDefault="004C3A62" w:rsidP="00624255">
            <w:r>
              <w:t>3.6</w:t>
            </w:r>
          </w:p>
        </w:tc>
        <w:tc>
          <w:tcPr>
            <w:tcW w:w="8080" w:type="dxa"/>
          </w:tcPr>
          <w:p w14:paraId="48A21919" w14:textId="77777777" w:rsidR="004C3A62" w:rsidRDefault="004C3A62" w:rsidP="00624255"/>
          <w:p w14:paraId="7CA43702" w14:textId="77777777" w:rsidR="004C3A62" w:rsidRDefault="004C3A62" w:rsidP="00624255">
            <w:r>
              <w:t>Text added to advise that:</w:t>
            </w:r>
          </w:p>
          <w:p w14:paraId="6BD18F9B" w14:textId="77777777" w:rsidR="004C3A62" w:rsidRDefault="004C3A62" w:rsidP="00624255"/>
          <w:p w14:paraId="238601FE" w14:textId="77777777" w:rsidR="004C3A62" w:rsidRDefault="004C3A62" w:rsidP="00624255"/>
          <w:p w14:paraId="5F6ED8EF" w14:textId="77777777" w:rsidR="004C3A62" w:rsidRDefault="004C3A62" w:rsidP="00624255">
            <w:r>
              <w:t>‘</w:t>
            </w:r>
            <w:r w:rsidRPr="009B7A92">
              <w:t>When produced water samples are being sent onshore for direct analysis by GC-FID the sample bottles should be free of residual TTCE prior to being used.  TTCE elutes around C8-C9 which in turn may give rise to an artificially high oil content</w:t>
            </w:r>
            <w:r>
              <w:t>’</w:t>
            </w:r>
            <w:r w:rsidRPr="009B7A92">
              <w:t>.</w:t>
            </w:r>
          </w:p>
          <w:p w14:paraId="0F3CABC7" w14:textId="77777777" w:rsidR="004C3A62" w:rsidRDefault="004C3A62" w:rsidP="00624255"/>
        </w:tc>
      </w:tr>
      <w:tr w:rsidR="004C3A62" w14:paraId="2EF71577" w14:textId="77777777" w:rsidTr="7703B288">
        <w:tc>
          <w:tcPr>
            <w:tcW w:w="2654" w:type="dxa"/>
          </w:tcPr>
          <w:p w14:paraId="5B08B5D1" w14:textId="77777777" w:rsidR="004C3A62" w:rsidRDefault="004C3A62" w:rsidP="00624255"/>
          <w:p w14:paraId="18898142" w14:textId="77777777" w:rsidR="004C3A62" w:rsidRDefault="004C3A62" w:rsidP="00624255">
            <w:r w:rsidRPr="00B44983">
              <w:t>Sample Collection and Treatment Following Sampling</w:t>
            </w:r>
          </w:p>
        </w:tc>
        <w:tc>
          <w:tcPr>
            <w:tcW w:w="1423" w:type="dxa"/>
          </w:tcPr>
          <w:p w14:paraId="16DEB4AB" w14:textId="77777777" w:rsidR="004C3A62" w:rsidRDefault="004C3A62" w:rsidP="00624255"/>
          <w:p w14:paraId="1A3917EF" w14:textId="77777777" w:rsidR="004C3A62" w:rsidRDefault="004C3A62" w:rsidP="00624255">
            <w:r>
              <w:t>5.7</w:t>
            </w:r>
          </w:p>
        </w:tc>
        <w:tc>
          <w:tcPr>
            <w:tcW w:w="1701" w:type="dxa"/>
          </w:tcPr>
          <w:p w14:paraId="0AD9C6F4" w14:textId="77777777" w:rsidR="004C3A62" w:rsidRDefault="004C3A62" w:rsidP="00624255"/>
          <w:p w14:paraId="10238FD9" w14:textId="77777777" w:rsidR="004C3A62" w:rsidRDefault="004C3A62" w:rsidP="00624255">
            <w:r>
              <w:t>3.7</w:t>
            </w:r>
          </w:p>
        </w:tc>
        <w:tc>
          <w:tcPr>
            <w:tcW w:w="8080" w:type="dxa"/>
          </w:tcPr>
          <w:p w14:paraId="4B1F511A" w14:textId="77777777" w:rsidR="004C3A62" w:rsidRDefault="004C3A62" w:rsidP="00624255"/>
          <w:p w14:paraId="1C7388E9" w14:textId="77777777" w:rsidR="004C3A62" w:rsidRDefault="004C3A62" w:rsidP="00624255">
            <w:r>
              <w:t xml:space="preserve">Text added to state that temperature of produced water samples </w:t>
            </w:r>
            <w:proofErr w:type="gramStart"/>
            <w:r>
              <w:t>are</w:t>
            </w:r>
            <w:proofErr w:type="gramEnd"/>
            <w:r>
              <w:t xml:space="preserve"> to be less than 20°C prior to analysis being carried out and that in instances where lab temperature is greater than 20°C the sample may be cooled by running under cold water or placing in a fridge.</w:t>
            </w:r>
          </w:p>
          <w:p w14:paraId="65F9C3DC" w14:textId="77777777" w:rsidR="004C3A62" w:rsidRDefault="004C3A62" w:rsidP="00624255"/>
          <w:p w14:paraId="2F2DB159" w14:textId="77777777" w:rsidR="004C3A62" w:rsidRDefault="004C3A62" w:rsidP="00624255">
            <w:r>
              <w:t xml:space="preserve">Note there are various references to this throughout version 3.0 such </w:t>
            </w:r>
            <w:proofErr w:type="gramStart"/>
            <w:r>
              <w:t>as  4.7.1</w:t>
            </w:r>
            <w:proofErr w:type="gramEnd"/>
            <w:r>
              <w:t xml:space="preserve"> (ex 6.7.1)</w:t>
            </w:r>
          </w:p>
          <w:p w14:paraId="5023141B" w14:textId="77777777" w:rsidR="004C3A62" w:rsidRDefault="004C3A62" w:rsidP="00624255"/>
        </w:tc>
      </w:tr>
      <w:tr w:rsidR="004C3A62" w14:paraId="50785DFB" w14:textId="77777777" w:rsidTr="7703B288">
        <w:tc>
          <w:tcPr>
            <w:tcW w:w="2654" w:type="dxa"/>
          </w:tcPr>
          <w:p w14:paraId="1F3B1409" w14:textId="77777777" w:rsidR="004C3A62" w:rsidRDefault="004C3A62" w:rsidP="00624255"/>
          <w:p w14:paraId="046FF502" w14:textId="77777777" w:rsidR="004C3A62" w:rsidRDefault="004C3A62" w:rsidP="00624255">
            <w:r w:rsidRPr="00556781">
              <w:t>Florisil</w:t>
            </w:r>
          </w:p>
        </w:tc>
        <w:tc>
          <w:tcPr>
            <w:tcW w:w="1423" w:type="dxa"/>
          </w:tcPr>
          <w:p w14:paraId="562C75D1" w14:textId="77777777" w:rsidR="004C3A62" w:rsidRDefault="004C3A62" w:rsidP="00624255"/>
          <w:p w14:paraId="79C0B07A" w14:textId="77777777" w:rsidR="004C3A62" w:rsidRDefault="004C3A62" w:rsidP="00624255">
            <w:r>
              <w:t>5.10</w:t>
            </w:r>
          </w:p>
        </w:tc>
        <w:tc>
          <w:tcPr>
            <w:tcW w:w="1701" w:type="dxa"/>
          </w:tcPr>
          <w:p w14:paraId="664355AD" w14:textId="77777777" w:rsidR="004C3A62" w:rsidRDefault="004C3A62" w:rsidP="00624255"/>
          <w:p w14:paraId="222E1BBF" w14:textId="77777777" w:rsidR="004C3A62" w:rsidRDefault="004C3A62" w:rsidP="00624255">
            <w:r>
              <w:t>3.10</w:t>
            </w:r>
          </w:p>
        </w:tc>
        <w:tc>
          <w:tcPr>
            <w:tcW w:w="8080" w:type="dxa"/>
          </w:tcPr>
          <w:p w14:paraId="1A965116" w14:textId="77777777" w:rsidR="004C3A62" w:rsidRDefault="004C3A62" w:rsidP="00624255"/>
          <w:p w14:paraId="1EB48A75" w14:textId="77777777" w:rsidR="004C3A62" w:rsidRDefault="004C3A62" w:rsidP="00624255">
            <w:r>
              <w:t xml:space="preserve">Text added </w:t>
            </w:r>
          </w:p>
          <w:p w14:paraId="7DF4E37C" w14:textId="77777777" w:rsidR="004C3A62" w:rsidRDefault="004C3A62" w:rsidP="00624255"/>
          <w:p w14:paraId="36465EB1" w14:textId="77777777" w:rsidR="004C3A62" w:rsidRDefault="004C3A62" w:rsidP="00624255">
            <w:r>
              <w:t>‘</w:t>
            </w:r>
            <w:r w:rsidRPr="00857CC2">
              <w:t>Reactivated Florisil, if stored correctly in a desiccator, will also remain activated for 30 days</w:t>
            </w:r>
            <w:r>
              <w:t>’</w:t>
            </w:r>
          </w:p>
          <w:p w14:paraId="44FB30F8" w14:textId="77777777" w:rsidR="004C3A62" w:rsidRDefault="004C3A62" w:rsidP="00624255"/>
        </w:tc>
      </w:tr>
      <w:tr w:rsidR="00723A84" w14:paraId="314A63BF" w14:textId="77777777" w:rsidTr="7703B288">
        <w:tc>
          <w:tcPr>
            <w:tcW w:w="2654" w:type="dxa"/>
          </w:tcPr>
          <w:p w14:paraId="1DA6542E" w14:textId="77777777" w:rsidR="00723A84" w:rsidRDefault="00723A84" w:rsidP="0048593B"/>
          <w:p w14:paraId="76781B89" w14:textId="77777777" w:rsidR="00723A84" w:rsidRPr="00F93CEA" w:rsidRDefault="00723A84" w:rsidP="0048593B">
            <w:r>
              <w:t>Calculation and Results</w:t>
            </w:r>
          </w:p>
        </w:tc>
        <w:tc>
          <w:tcPr>
            <w:tcW w:w="1423" w:type="dxa"/>
          </w:tcPr>
          <w:p w14:paraId="3041E394" w14:textId="77777777" w:rsidR="00723A84" w:rsidRDefault="00723A84" w:rsidP="0048593B"/>
          <w:p w14:paraId="63D3F239" w14:textId="72F17AB6" w:rsidR="00723A84" w:rsidRDefault="7703B288" w:rsidP="0048593B">
            <w:r>
              <w:t>5.12.2</w:t>
            </w:r>
          </w:p>
        </w:tc>
        <w:tc>
          <w:tcPr>
            <w:tcW w:w="1701" w:type="dxa"/>
          </w:tcPr>
          <w:p w14:paraId="722B00AE" w14:textId="77777777" w:rsidR="00723A84" w:rsidRDefault="00723A84" w:rsidP="0048593B"/>
          <w:p w14:paraId="28FAC04F" w14:textId="77777777" w:rsidR="00723A84" w:rsidRDefault="00723A84" w:rsidP="0048593B">
            <w:r>
              <w:t>A.10.2</w:t>
            </w:r>
          </w:p>
        </w:tc>
        <w:tc>
          <w:tcPr>
            <w:tcW w:w="8080" w:type="dxa"/>
          </w:tcPr>
          <w:p w14:paraId="42C6D796" w14:textId="77777777" w:rsidR="00723A84" w:rsidRDefault="00723A84" w:rsidP="0048593B"/>
          <w:p w14:paraId="7FC888EB" w14:textId="77777777" w:rsidR="00723A84" w:rsidRDefault="00723A84" w:rsidP="0048593B">
            <w:r>
              <w:t>Text added due to the observation of incorrect value given to ‘Y</w:t>
            </w:r>
            <w:proofErr w:type="gramStart"/>
            <w:r>
              <w:t>’  used</w:t>
            </w:r>
            <w:proofErr w:type="gramEnd"/>
            <w:r>
              <w:t xml:space="preserve"> in calculation</w:t>
            </w:r>
          </w:p>
          <w:p w14:paraId="0A6959E7" w14:textId="77777777" w:rsidR="00723A84" w:rsidRDefault="00723A84" w:rsidP="0048593B">
            <w:r>
              <w:lastRenderedPageBreak/>
              <w:t xml:space="preserve"> </w:t>
            </w:r>
          </w:p>
          <w:p w14:paraId="64006D57" w14:textId="77777777" w:rsidR="00723A84" w:rsidRDefault="00723A84" w:rsidP="0048593B">
            <w:r>
              <w:t>‘During inspections it has been noted that the value of Y has been incorrectly used in a number of cases.</w:t>
            </w:r>
          </w:p>
          <w:p w14:paraId="6E1831B3" w14:textId="77777777" w:rsidR="00723A84" w:rsidRDefault="00723A84" w:rsidP="0048593B"/>
          <w:p w14:paraId="55A60871" w14:textId="77777777" w:rsidR="00723A84" w:rsidRDefault="00723A84" w:rsidP="0048593B">
            <w:r>
              <w:t>Due to the requirement to perform monthly validations of the IR graph by offshore personnel, it has become standard practise to ship offshore standards of a larger volume (typically 200ml) to prepare the graph and allow enough solution remaining to perform the monthly validations. These solutions are, however, based on an initial standard solution volume of 100ml.</w:t>
            </w:r>
          </w:p>
          <w:p w14:paraId="54E11D2A" w14:textId="77777777" w:rsidR="00723A84" w:rsidRDefault="00723A84" w:rsidP="0048593B"/>
          <w:p w14:paraId="329B56E1" w14:textId="77777777" w:rsidR="00723A84" w:rsidRDefault="00723A84" w:rsidP="0048593B">
            <w:r>
              <w:t xml:space="preserve">In </w:t>
            </w:r>
            <w:proofErr w:type="gramStart"/>
            <w:r>
              <w:t>a number of</w:t>
            </w:r>
            <w:proofErr w:type="gramEnd"/>
            <w:r>
              <w:t xml:space="preserve"> cases Y has been taken to be 200ml, rather than 100ml, which has resulted in an analysis result half of what the calculated value, should be.</w:t>
            </w:r>
          </w:p>
          <w:p w14:paraId="31126E5D" w14:textId="77777777" w:rsidR="00723A84" w:rsidRDefault="00723A84" w:rsidP="0048593B"/>
          <w:p w14:paraId="0B9FD8EE" w14:textId="77777777" w:rsidR="00723A84" w:rsidRDefault="00723A84" w:rsidP="0048593B">
            <w:r>
              <w:t xml:space="preserve">For a calibration graph that normally gives the results in mg/l for a 10:1 </w:t>
            </w:r>
            <w:proofErr w:type="spellStart"/>
            <w:r>
              <w:t>water:solvent</w:t>
            </w:r>
            <w:proofErr w:type="spellEnd"/>
            <w:r>
              <w:t xml:space="preserve"> ratio (i.e. normal produced water analysis is 500ml water: 50ml TTCE), the value of Y will always be 100’.</w:t>
            </w:r>
          </w:p>
          <w:p w14:paraId="2DE403A5" w14:textId="77777777" w:rsidR="00723A84" w:rsidRDefault="00723A84" w:rsidP="0048593B"/>
        </w:tc>
      </w:tr>
      <w:tr w:rsidR="00723A84" w14:paraId="64DE2791" w14:textId="77777777" w:rsidTr="7703B288">
        <w:tc>
          <w:tcPr>
            <w:tcW w:w="2654" w:type="dxa"/>
          </w:tcPr>
          <w:p w14:paraId="62431CDC" w14:textId="77777777" w:rsidR="00723A84" w:rsidRDefault="00723A84" w:rsidP="00624255"/>
          <w:p w14:paraId="68CEA463" w14:textId="77777777" w:rsidR="00723A84" w:rsidRDefault="00723A84" w:rsidP="00624255">
            <w:r w:rsidRPr="009B7A92">
              <w:t>Analysis of Produced Water Samples with High Oil Concentration</w:t>
            </w:r>
          </w:p>
          <w:p w14:paraId="49E398E2" w14:textId="77777777" w:rsidR="00723A84" w:rsidRPr="00F93CEA" w:rsidRDefault="00723A84" w:rsidP="00624255"/>
        </w:tc>
        <w:tc>
          <w:tcPr>
            <w:tcW w:w="1423" w:type="dxa"/>
          </w:tcPr>
          <w:p w14:paraId="16287F21" w14:textId="77777777" w:rsidR="00723A84" w:rsidRDefault="00723A84" w:rsidP="00624255"/>
          <w:p w14:paraId="12995319" w14:textId="77777777" w:rsidR="00723A84" w:rsidRDefault="00723A84" w:rsidP="00624255">
            <w:r>
              <w:t>NA</w:t>
            </w:r>
          </w:p>
        </w:tc>
        <w:tc>
          <w:tcPr>
            <w:tcW w:w="1701" w:type="dxa"/>
          </w:tcPr>
          <w:p w14:paraId="5BE93A62" w14:textId="77777777" w:rsidR="00723A84" w:rsidRDefault="00723A84" w:rsidP="00624255"/>
          <w:p w14:paraId="5AE243D9" w14:textId="77777777" w:rsidR="00723A84" w:rsidRDefault="00723A84" w:rsidP="00624255">
            <w:r>
              <w:t>3.11</w:t>
            </w:r>
          </w:p>
        </w:tc>
        <w:tc>
          <w:tcPr>
            <w:tcW w:w="8080" w:type="dxa"/>
          </w:tcPr>
          <w:p w14:paraId="384BA73E" w14:textId="77777777" w:rsidR="00723A84" w:rsidRDefault="00723A84" w:rsidP="00624255"/>
          <w:p w14:paraId="79BA6F68" w14:textId="77777777" w:rsidR="00723A84" w:rsidRDefault="00723A84" w:rsidP="00624255">
            <w:r>
              <w:t xml:space="preserve">New text that provides a range of options in circumstances where there is a high concentration of oil in produced water samples. </w:t>
            </w:r>
          </w:p>
          <w:p w14:paraId="34B3F2EB" w14:textId="77777777" w:rsidR="00723A84" w:rsidRDefault="00723A84" w:rsidP="00624255"/>
        </w:tc>
      </w:tr>
      <w:tr w:rsidR="00723A84" w14:paraId="7ED3A8B7" w14:textId="77777777" w:rsidTr="7703B288">
        <w:tc>
          <w:tcPr>
            <w:tcW w:w="2654" w:type="dxa"/>
          </w:tcPr>
          <w:p w14:paraId="7D34F5C7" w14:textId="77777777" w:rsidR="00723A84" w:rsidRDefault="00723A84" w:rsidP="00624255">
            <w:pPr>
              <w:rPr>
                <w:b/>
              </w:rPr>
            </w:pPr>
          </w:p>
          <w:p w14:paraId="3E00E7FD" w14:textId="77777777" w:rsidR="00723A84" w:rsidRDefault="00723A84" w:rsidP="00624255">
            <w:pPr>
              <w:rPr>
                <w:b/>
              </w:rPr>
            </w:pPr>
            <w:r w:rsidRPr="009B7A92">
              <w:rPr>
                <w:b/>
              </w:rPr>
              <w:t>Measurement of Dispersed Oil in Produced Water Using Infrared Analysis Method – BEIS IR Method</w:t>
            </w:r>
          </w:p>
          <w:p w14:paraId="0B4020A7" w14:textId="77777777" w:rsidR="00723A84" w:rsidRPr="009B7A92" w:rsidRDefault="00723A84" w:rsidP="00624255">
            <w:pPr>
              <w:rPr>
                <w:b/>
              </w:rPr>
            </w:pPr>
          </w:p>
        </w:tc>
        <w:tc>
          <w:tcPr>
            <w:tcW w:w="1423" w:type="dxa"/>
          </w:tcPr>
          <w:p w14:paraId="1D7B270A" w14:textId="77777777" w:rsidR="00723A84" w:rsidRDefault="00723A84" w:rsidP="00624255"/>
          <w:p w14:paraId="29B4EA11" w14:textId="77777777" w:rsidR="00723A84" w:rsidRDefault="00723A84" w:rsidP="00624255">
            <w:r>
              <w:t>6</w:t>
            </w:r>
          </w:p>
        </w:tc>
        <w:tc>
          <w:tcPr>
            <w:tcW w:w="1701" w:type="dxa"/>
          </w:tcPr>
          <w:p w14:paraId="4F904CB7" w14:textId="77777777" w:rsidR="00723A84" w:rsidRDefault="00723A84" w:rsidP="00624255"/>
          <w:p w14:paraId="279935FF" w14:textId="77777777" w:rsidR="00723A84" w:rsidRDefault="00723A84" w:rsidP="00624255">
            <w:r>
              <w:t>4</w:t>
            </w:r>
          </w:p>
        </w:tc>
        <w:tc>
          <w:tcPr>
            <w:tcW w:w="8080" w:type="dxa"/>
          </w:tcPr>
          <w:p w14:paraId="06971CD3" w14:textId="77777777" w:rsidR="00723A84" w:rsidRDefault="00723A84" w:rsidP="00624255"/>
          <w:p w14:paraId="2E97488D" w14:textId="77777777" w:rsidR="00723A84" w:rsidRDefault="00723A84" w:rsidP="004C3A62">
            <w:r>
              <w:t xml:space="preserve">New reference number to accommodate layout change. </w:t>
            </w:r>
          </w:p>
          <w:p w14:paraId="2A1F701D" w14:textId="77777777" w:rsidR="00723A84" w:rsidRDefault="00723A84" w:rsidP="00624255"/>
        </w:tc>
      </w:tr>
      <w:tr w:rsidR="00723A84" w14:paraId="0F3888E7" w14:textId="77777777" w:rsidTr="7703B288">
        <w:tc>
          <w:tcPr>
            <w:tcW w:w="2654" w:type="dxa"/>
          </w:tcPr>
          <w:p w14:paraId="03EFCA41" w14:textId="77777777" w:rsidR="00723A84" w:rsidRDefault="00723A84" w:rsidP="00624255"/>
          <w:p w14:paraId="1F02FA0E" w14:textId="77777777" w:rsidR="00723A84" w:rsidRPr="00F93CEA" w:rsidRDefault="00723A84" w:rsidP="00624255">
            <w:r>
              <w:t>Method of Calibration</w:t>
            </w:r>
          </w:p>
        </w:tc>
        <w:tc>
          <w:tcPr>
            <w:tcW w:w="1423" w:type="dxa"/>
          </w:tcPr>
          <w:p w14:paraId="5F96A722" w14:textId="77777777" w:rsidR="00723A84" w:rsidRDefault="00723A84" w:rsidP="00624255"/>
          <w:p w14:paraId="54C475CF" w14:textId="77777777" w:rsidR="00723A84" w:rsidRDefault="00723A84" w:rsidP="00624255">
            <w:r>
              <w:t>6.5</w:t>
            </w:r>
          </w:p>
        </w:tc>
        <w:tc>
          <w:tcPr>
            <w:tcW w:w="1701" w:type="dxa"/>
          </w:tcPr>
          <w:p w14:paraId="5B95CD12" w14:textId="77777777" w:rsidR="00723A84" w:rsidRDefault="00723A84" w:rsidP="00624255"/>
          <w:p w14:paraId="25B0E7C1" w14:textId="77777777" w:rsidR="00723A84" w:rsidRDefault="00723A84" w:rsidP="00624255">
            <w:r>
              <w:t>4.5</w:t>
            </w:r>
          </w:p>
        </w:tc>
        <w:tc>
          <w:tcPr>
            <w:tcW w:w="8080" w:type="dxa"/>
          </w:tcPr>
          <w:p w14:paraId="5220BBB2" w14:textId="77777777" w:rsidR="00723A84" w:rsidRDefault="00723A84" w:rsidP="00624255"/>
          <w:p w14:paraId="14C85C70" w14:textId="77777777" w:rsidR="00723A84" w:rsidRDefault="00723A84" w:rsidP="00624255">
            <w:r>
              <w:t>Text added to make it clear that when preparing calibration standards;</w:t>
            </w:r>
          </w:p>
          <w:p w14:paraId="13CB595B" w14:textId="77777777" w:rsidR="00723A84" w:rsidRDefault="00723A84" w:rsidP="00624255"/>
          <w:p w14:paraId="4EDADC4E" w14:textId="77777777" w:rsidR="00723A84" w:rsidRDefault="00723A84" w:rsidP="00624255">
            <w:r>
              <w:t>‘</w:t>
            </w:r>
            <w:r w:rsidRPr="005B2AE2">
              <w:t>Oil samples should be as fresh as possible when preparing standard solutions, but no more than 6 months old</w:t>
            </w:r>
            <w:r>
              <w:t>’</w:t>
            </w:r>
          </w:p>
          <w:p w14:paraId="6D9C8D39" w14:textId="77777777" w:rsidR="00723A84" w:rsidRDefault="00723A84" w:rsidP="00624255"/>
        </w:tc>
      </w:tr>
      <w:tr w:rsidR="00723A84" w14:paraId="29439849" w14:textId="77777777" w:rsidTr="7703B288">
        <w:tc>
          <w:tcPr>
            <w:tcW w:w="2654" w:type="dxa"/>
          </w:tcPr>
          <w:p w14:paraId="675E05EE" w14:textId="77777777" w:rsidR="00723A84" w:rsidRDefault="00723A84" w:rsidP="00624255"/>
          <w:p w14:paraId="13E1FC36" w14:textId="77777777" w:rsidR="00723A84" w:rsidRPr="00F93CEA" w:rsidRDefault="00723A84" w:rsidP="00624255">
            <w:r>
              <w:t>Method of Calibration</w:t>
            </w:r>
          </w:p>
        </w:tc>
        <w:tc>
          <w:tcPr>
            <w:tcW w:w="1423" w:type="dxa"/>
          </w:tcPr>
          <w:p w14:paraId="2FC17F8B" w14:textId="77777777" w:rsidR="00723A84" w:rsidRDefault="00723A84" w:rsidP="00624255"/>
          <w:p w14:paraId="7DB9A91C" w14:textId="77777777" w:rsidR="00723A84" w:rsidRDefault="00723A84" w:rsidP="00624255">
            <w:r>
              <w:t>6.5.9</w:t>
            </w:r>
          </w:p>
        </w:tc>
        <w:tc>
          <w:tcPr>
            <w:tcW w:w="1701" w:type="dxa"/>
          </w:tcPr>
          <w:p w14:paraId="0A4F7224" w14:textId="77777777" w:rsidR="00723A84" w:rsidRDefault="00723A84" w:rsidP="00624255"/>
          <w:p w14:paraId="08B724E6" w14:textId="77777777" w:rsidR="00723A84" w:rsidRDefault="00723A84" w:rsidP="00624255">
            <w:r>
              <w:t>4.5.9</w:t>
            </w:r>
          </w:p>
        </w:tc>
        <w:tc>
          <w:tcPr>
            <w:tcW w:w="8080" w:type="dxa"/>
          </w:tcPr>
          <w:p w14:paraId="5AE48A43" w14:textId="77777777" w:rsidR="00723A84" w:rsidRDefault="00723A84" w:rsidP="00624255"/>
          <w:p w14:paraId="6E2B3223" w14:textId="77777777" w:rsidR="00723A84" w:rsidRDefault="00723A84" w:rsidP="00624255">
            <w:r>
              <w:t>Text added to make clear that;</w:t>
            </w:r>
          </w:p>
          <w:p w14:paraId="50F40DEB" w14:textId="77777777" w:rsidR="00723A84" w:rsidRDefault="00723A84" w:rsidP="00624255"/>
          <w:p w14:paraId="12E320E1" w14:textId="77777777" w:rsidR="00723A84" w:rsidRDefault="00723A84" w:rsidP="00624255">
            <w:r>
              <w:t>‘</w:t>
            </w:r>
            <w:r w:rsidRPr="00DE033F">
              <w:t>Standard solutions are valid for, and should not be kept for, longer than six months from date of preparation. Expired standards (i.e. those older than 6 months from date of preparation) must not be used to validate the calibration graph</w:t>
            </w:r>
            <w:r>
              <w:t>’</w:t>
            </w:r>
          </w:p>
          <w:p w14:paraId="77A52294" w14:textId="77777777" w:rsidR="00723A84" w:rsidRDefault="00723A84" w:rsidP="00624255"/>
        </w:tc>
      </w:tr>
      <w:tr w:rsidR="00723A84" w14:paraId="2B31E028" w14:textId="77777777" w:rsidTr="7703B288">
        <w:tc>
          <w:tcPr>
            <w:tcW w:w="2654" w:type="dxa"/>
          </w:tcPr>
          <w:p w14:paraId="007DCDA8" w14:textId="77777777" w:rsidR="00723A84" w:rsidRDefault="00723A84" w:rsidP="00624255"/>
          <w:p w14:paraId="444368DF" w14:textId="77777777" w:rsidR="00723A84" w:rsidRPr="00F93CEA" w:rsidRDefault="00723A84" w:rsidP="00624255">
            <w:r>
              <w:t>Extraction</w:t>
            </w:r>
          </w:p>
        </w:tc>
        <w:tc>
          <w:tcPr>
            <w:tcW w:w="1423" w:type="dxa"/>
          </w:tcPr>
          <w:p w14:paraId="450EA2D7" w14:textId="77777777" w:rsidR="00723A84" w:rsidRDefault="00723A84" w:rsidP="00624255"/>
          <w:p w14:paraId="7E33EE2E" w14:textId="77777777" w:rsidR="00723A84" w:rsidRDefault="00723A84" w:rsidP="00624255">
            <w:r>
              <w:t>6.7.1</w:t>
            </w:r>
          </w:p>
        </w:tc>
        <w:tc>
          <w:tcPr>
            <w:tcW w:w="1701" w:type="dxa"/>
          </w:tcPr>
          <w:p w14:paraId="3DD355C9" w14:textId="77777777" w:rsidR="00723A84" w:rsidRDefault="00723A84" w:rsidP="00624255"/>
          <w:p w14:paraId="1E8DD7EA" w14:textId="77777777" w:rsidR="00723A84" w:rsidRDefault="00723A84" w:rsidP="00624255">
            <w:r>
              <w:t>4.7.1</w:t>
            </w:r>
          </w:p>
        </w:tc>
        <w:tc>
          <w:tcPr>
            <w:tcW w:w="8080" w:type="dxa"/>
          </w:tcPr>
          <w:p w14:paraId="1A81F0B1" w14:textId="77777777" w:rsidR="00723A84" w:rsidRDefault="00723A84" w:rsidP="00624255"/>
          <w:p w14:paraId="267225E5" w14:textId="77777777" w:rsidR="00723A84" w:rsidRDefault="00723A84" w:rsidP="00624255">
            <w:r w:rsidRPr="00932DCA">
              <w:t xml:space="preserve">Text added to state that temperature of produced water samples </w:t>
            </w:r>
            <w:proofErr w:type="gramStart"/>
            <w:r w:rsidRPr="00932DCA">
              <w:t>are</w:t>
            </w:r>
            <w:proofErr w:type="gramEnd"/>
            <w:r w:rsidRPr="00932DCA">
              <w:t xml:space="preserve"> to be less than 20°C prior to analysis being carried out and that in instances where lab temperature is greater than 20°C the sample may be cooled by running under cold water or placing in a fridge.</w:t>
            </w:r>
          </w:p>
          <w:p w14:paraId="717AAFBA" w14:textId="77777777" w:rsidR="00723A84" w:rsidRDefault="00723A84" w:rsidP="00624255"/>
        </w:tc>
      </w:tr>
      <w:tr w:rsidR="00723A84" w14:paraId="3E46E9B2" w14:textId="77777777" w:rsidTr="7703B288">
        <w:tc>
          <w:tcPr>
            <w:tcW w:w="2654" w:type="dxa"/>
          </w:tcPr>
          <w:p w14:paraId="56EE48EE" w14:textId="77777777" w:rsidR="00723A84" w:rsidRDefault="00723A84" w:rsidP="00624255"/>
          <w:p w14:paraId="454FCEF1" w14:textId="77777777" w:rsidR="00723A84" w:rsidRDefault="00723A84" w:rsidP="00624255">
            <w:r>
              <w:t>Extraction</w:t>
            </w:r>
          </w:p>
        </w:tc>
        <w:tc>
          <w:tcPr>
            <w:tcW w:w="1423" w:type="dxa"/>
          </w:tcPr>
          <w:p w14:paraId="2908EB2C" w14:textId="77777777" w:rsidR="00723A84" w:rsidRDefault="00723A84" w:rsidP="00624255"/>
          <w:p w14:paraId="262F873D" w14:textId="77777777" w:rsidR="00723A84" w:rsidRDefault="00723A84" w:rsidP="00624255">
            <w:r>
              <w:t>6.7.11</w:t>
            </w:r>
          </w:p>
        </w:tc>
        <w:tc>
          <w:tcPr>
            <w:tcW w:w="1701" w:type="dxa"/>
          </w:tcPr>
          <w:p w14:paraId="121FD38A" w14:textId="77777777" w:rsidR="00723A84" w:rsidRDefault="00723A84" w:rsidP="00624255"/>
          <w:p w14:paraId="4036440B" w14:textId="77777777" w:rsidR="00723A84" w:rsidRDefault="00723A84" w:rsidP="00624255">
            <w:r>
              <w:t>4.7.11</w:t>
            </w:r>
          </w:p>
        </w:tc>
        <w:tc>
          <w:tcPr>
            <w:tcW w:w="8080" w:type="dxa"/>
          </w:tcPr>
          <w:p w14:paraId="1FE2DD96" w14:textId="77777777" w:rsidR="00723A84" w:rsidRDefault="00723A84" w:rsidP="00624255"/>
          <w:p w14:paraId="42A35CAE" w14:textId="77777777" w:rsidR="00723A84" w:rsidRDefault="00723A84" w:rsidP="00624255">
            <w:r>
              <w:t>Text added to confirm;</w:t>
            </w:r>
          </w:p>
          <w:p w14:paraId="27357532" w14:textId="77777777" w:rsidR="00723A84" w:rsidRDefault="00723A84" w:rsidP="00624255"/>
          <w:p w14:paraId="71021FB0" w14:textId="77777777" w:rsidR="00723A84" w:rsidRDefault="00723A84" w:rsidP="00624255">
            <w:r>
              <w:t>‘</w:t>
            </w:r>
            <w:r w:rsidRPr="00697A92">
              <w:t xml:space="preserve">It is acceptable to measure the sample volume in the separating funnel </w:t>
            </w:r>
            <w:proofErr w:type="gramStart"/>
            <w:r w:rsidRPr="00697A92">
              <w:t>as long as</w:t>
            </w:r>
            <w:proofErr w:type="gramEnd"/>
            <w:r w:rsidRPr="00697A92">
              <w:t xml:space="preserve"> it is class A graduated in 5ml marks</w:t>
            </w:r>
            <w:r>
              <w:t>’</w:t>
            </w:r>
            <w:r w:rsidRPr="00697A92">
              <w:t>.</w:t>
            </w:r>
          </w:p>
          <w:p w14:paraId="07F023C8" w14:textId="77777777" w:rsidR="00723A84" w:rsidRDefault="00723A84" w:rsidP="00624255"/>
        </w:tc>
      </w:tr>
      <w:tr w:rsidR="00723A84" w14:paraId="595958A1" w14:textId="77777777" w:rsidTr="7703B288">
        <w:tc>
          <w:tcPr>
            <w:tcW w:w="2654" w:type="dxa"/>
          </w:tcPr>
          <w:p w14:paraId="4BDB5498" w14:textId="77777777" w:rsidR="00723A84" w:rsidRDefault="00723A84" w:rsidP="00624255"/>
          <w:p w14:paraId="5027FF8A" w14:textId="77777777" w:rsidR="00723A84" w:rsidRDefault="00723A84" w:rsidP="00624255">
            <w:r w:rsidRPr="001F626D">
              <w:t>Measurement of Oil on Sand, Scale and Solids Using Infrared Analysis Method –</w:t>
            </w:r>
            <w:r>
              <w:t xml:space="preserve"> BEIS IR Method</w:t>
            </w:r>
          </w:p>
          <w:p w14:paraId="2916C19D" w14:textId="77777777" w:rsidR="00723A84" w:rsidRPr="00F93CEA" w:rsidRDefault="00723A84" w:rsidP="00624255"/>
        </w:tc>
        <w:tc>
          <w:tcPr>
            <w:tcW w:w="1423" w:type="dxa"/>
          </w:tcPr>
          <w:p w14:paraId="74869460" w14:textId="77777777" w:rsidR="00723A84" w:rsidRDefault="00723A84" w:rsidP="00624255"/>
          <w:p w14:paraId="6F456D85" w14:textId="77777777" w:rsidR="00723A84" w:rsidRDefault="00723A84" w:rsidP="00624255">
            <w:r>
              <w:t>6.10</w:t>
            </w:r>
          </w:p>
        </w:tc>
        <w:tc>
          <w:tcPr>
            <w:tcW w:w="1701" w:type="dxa"/>
          </w:tcPr>
          <w:p w14:paraId="187F57B8" w14:textId="77777777" w:rsidR="00723A84" w:rsidRDefault="00723A84" w:rsidP="00624255"/>
          <w:p w14:paraId="44240AAE" w14:textId="77777777" w:rsidR="00723A84" w:rsidRDefault="00723A84" w:rsidP="00624255">
            <w:r>
              <w:t>5</w:t>
            </w:r>
          </w:p>
        </w:tc>
        <w:tc>
          <w:tcPr>
            <w:tcW w:w="8080" w:type="dxa"/>
          </w:tcPr>
          <w:p w14:paraId="54738AF4" w14:textId="77777777" w:rsidR="00723A84" w:rsidRDefault="00723A84" w:rsidP="00624255"/>
          <w:p w14:paraId="631594E4" w14:textId="77777777" w:rsidR="00723A84" w:rsidRDefault="00723A84" w:rsidP="00624255">
            <w:r>
              <w:t xml:space="preserve">This section was previously an annex to </w:t>
            </w:r>
            <w:r w:rsidRPr="001F626D">
              <w:t>Measurement of Dispersed Oil in Produced Water Using Infrared Analysis Method – BEIS IR Method</w:t>
            </w:r>
            <w:r>
              <w:t>.</w:t>
            </w:r>
          </w:p>
          <w:p w14:paraId="46ABBD8F" w14:textId="77777777" w:rsidR="00723A84" w:rsidRDefault="00723A84" w:rsidP="00624255"/>
          <w:p w14:paraId="71A465AD" w14:textId="77777777" w:rsidR="00723A84" w:rsidRDefault="00723A84" w:rsidP="00624255">
            <w:r>
              <w:t>It has now been given its own section.</w:t>
            </w:r>
          </w:p>
          <w:p w14:paraId="06BBA33E" w14:textId="77777777" w:rsidR="00723A84" w:rsidRDefault="00723A84" w:rsidP="00624255"/>
        </w:tc>
      </w:tr>
      <w:tr w:rsidR="00723A84" w14:paraId="7492A6FB" w14:textId="77777777" w:rsidTr="7703B288">
        <w:tc>
          <w:tcPr>
            <w:tcW w:w="2654" w:type="dxa"/>
          </w:tcPr>
          <w:p w14:paraId="5669D47D" w14:textId="77777777" w:rsidR="00723A84" w:rsidRDefault="00723A84" w:rsidP="00957E7F">
            <w:r w:rsidRPr="00957E7F">
              <w:t xml:space="preserve">Measurement </w:t>
            </w:r>
            <w:r>
              <w:t>o</w:t>
            </w:r>
            <w:r w:rsidRPr="00957E7F">
              <w:t xml:space="preserve">f Dispersed Oil </w:t>
            </w:r>
            <w:r>
              <w:t>i</w:t>
            </w:r>
            <w:r w:rsidRPr="00957E7F">
              <w:t>n Produced Water Using Infrared Analysis Method - D</w:t>
            </w:r>
            <w:r>
              <w:t>ECC</w:t>
            </w:r>
            <w:r w:rsidRPr="00957E7F">
              <w:t xml:space="preserve"> Triple Peak Method</w:t>
            </w:r>
          </w:p>
        </w:tc>
        <w:tc>
          <w:tcPr>
            <w:tcW w:w="1423" w:type="dxa"/>
          </w:tcPr>
          <w:p w14:paraId="75697EEC" w14:textId="77777777" w:rsidR="00723A84" w:rsidRDefault="00723A84" w:rsidP="00624255">
            <w:r>
              <w:t>7</w:t>
            </w:r>
          </w:p>
        </w:tc>
        <w:tc>
          <w:tcPr>
            <w:tcW w:w="1701" w:type="dxa"/>
          </w:tcPr>
          <w:p w14:paraId="1B87E3DE" w14:textId="77777777" w:rsidR="00723A84" w:rsidRDefault="00723A84" w:rsidP="00624255">
            <w:r>
              <w:t>6</w:t>
            </w:r>
          </w:p>
        </w:tc>
        <w:tc>
          <w:tcPr>
            <w:tcW w:w="8080" w:type="dxa"/>
          </w:tcPr>
          <w:p w14:paraId="50850813" w14:textId="77777777" w:rsidR="00723A84" w:rsidRDefault="00723A84" w:rsidP="00957E7F">
            <w:r>
              <w:t xml:space="preserve">New reference number to accommodate layout change. </w:t>
            </w:r>
          </w:p>
          <w:p w14:paraId="464FCBC1" w14:textId="77777777" w:rsidR="00723A84" w:rsidRDefault="00723A84" w:rsidP="00624255"/>
        </w:tc>
      </w:tr>
      <w:tr w:rsidR="00723A84" w14:paraId="1FF49429" w14:textId="77777777" w:rsidTr="7703B288">
        <w:tc>
          <w:tcPr>
            <w:tcW w:w="2654" w:type="dxa"/>
          </w:tcPr>
          <w:p w14:paraId="5C8C6B09" w14:textId="77777777" w:rsidR="00723A84" w:rsidRDefault="00723A84" w:rsidP="00624255"/>
          <w:p w14:paraId="0E1DABEA" w14:textId="77777777" w:rsidR="00723A84" w:rsidRPr="00792A83" w:rsidRDefault="00723A84" w:rsidP="00624255">
            <w:pPr>
              <w:rPr>
                <w:b/>
              </w:rPr>
            </w:pPr>
            <w:r w:rsidRPr="00792A83">
              <w:rPr>
                <w:b/>
              </w:rPr>
              <w:t>OSPAR Reference Method (ISO 9377-2 as modified by OSPAR)</w:t>
            </w:r>
          </w:p>
          <w:p w14:paraId="3382A365" w14:textId="77777777" w:rsidR="00723A84" w:rsidRPr="00F93CEA" w:rsidRDefault="00723A84" w:rsidP="00624255"/>
        </w:tc>
        <w:tc>
          <w:tcPr>
            <w:tcW w:w="1423" w:type="dxa"/>
          </w:tcPr>
          <w:p w14:paraId="5C71F136" w14:textId="77777777" w:rsidR="00723A84" w:rsidRDefault="00723A84" w:rsidP="00624255"/>
          <w:p w14:paraId="2B2B7304" w14:textId="77777777" w:rsidR="00723A84" w:rsidRDefault="00723A84" w:rsidP="00624255">
            <w:r>
              <w:t>9</w:t>
            </w:r>
          </w:p>
        </w:tc>
        <w:tc>
          <w:tcPr>
            <w:tcW w:w="1701" w:type="dxa"/>
          </w:tcPr>
          <w:p w14:paraId="62199465" w14:textId="77777777" w:rsidR="00723A84" w:rsidRDefault="00723A84" w:rsidP="00624255"/>
          <w:p w14:paraId="109B8484" w14:textId="77777777" w:rsidR="00723A84" w:rsidRDefault="00723A84" w:rsidP="00624255">
            <w:r>
              <w:t>7</w:t>
            </w:r>
          </w:p>
        </w:tc>
        <w:tc>
          <w:tcPr>
            <w:tcW w:w="8080" w:type="dxa"/>
          </w:tcPr>
          <w:p w14:paraId="0DA123B1" w14:textId="77777777" w:rsidR="00723A84" w:rsidRDefault="00723A84" w:rsidP="00624255"/>
          <w:p w14:paraId="29421500" w14:textId="77777777" w:rsidR="00723A84" w:rsidRDefault="00723A84" w:rsidP="004C3A62">
            <w:r>
              <w:t xml:space="preserve">New reference number to accommodate layout change. </w:t>
            </w:r>
          </w:p>
          <w:p w14:paraId="4C4CEA3D" w14:textId="77777777" w:rsidR="00723A84" w:rsidRDefault="00723A84" w:rsidP="00624255"/>
          <w:p w14:paraId="08947231" w14:textId="77777777" w:rsidR="00723A84" w:rsidRDefault="00723A84" w:rsidP="00624255">
            <w:r>
              <w:t>Note that the method has been removed from the document, this can be found on the OSPAR website, link included in v3.0</w:t>
            </w:r>
          </w:p>
          <w:p w14:paraId="50895670" w14:textId="77777777" w:rsidR="00723A84" w:rsidRDefault="00723A84" w:rsidP="00624255"/>
        </w:tc>
      </w:tr>
      <w:tr w:rsidR="00723A84" w14:paraId="17F6C004" w14:textId="77777777" w:rsidTr="7703B288">
        <w:tc>
          <w:tcPr>
            <w:tcW w:w="2654" w:type="dxa"/>
          </w:tcPr>
          <w:p w14:paraId="38C1F859" w14:textId="77777777" w:rsidR="00723A84" w:rsidRDefault="00723A84" w:rsidP="00624255"/>
          <w:p w14:paraId="59106669" w14:textId="77777777" w:rsidR="00723A84" w:rsidRPr="00216C66" w:rsidRDefault="00723A84" w:rsidP="00624255">
            <w:r w:rsidRPr="00216C66">
              <w:t xml:space="preserve">Correlation standards preparation </w:t>
            </w:r>
          </w:p>
        </w:tc>
        <w:tc>
          <w:tcPr>
            <w:tcW w:w="1423" w:type="dxa"/>
          </w:tcPr>
          <w:p w14:paraId="0C8FE7CE" w14:textId="77777777" w:rsidR="00723A84" w:rsidRDefault="00723A84" w:rsidP="00624255"/>
          <w:p w14:paraId="635A7899" w14:textId="77777777" w:rsidR="00723A84" w:rsidRDefault="00723A84" w:rsidP="00624255">
            <w:r>
              <w:t>8.4.3 (k)</w:t>
            </w:r>
          </w:p>
        </w:tc>
        <w:tc>
          <w:tcPr>
            <w:tcW w:w="1701" w:type="dxa"/>
          </w:tcPr>
          <w:p w14:paraId="41004F19" w14:textId="77777777" w:rsidR="00723A84" w:rsidRDefault="00723A84" w:rsidP="00624255"/>
          <w:p w14:paraId="315370B5" w14:textId="77777777" w:rsidR="00723A84" w:rsidRDefault="00723A84" w:rsidP="00624255">
            <w:r>
              <w:t>8.4.3 (k)</w:t>
            </w:r>
          </w:p>
        </w:tc>
        <w:tc>
          <w:tcPr>
            <w:tcW w:w="8080" w:type="dxa"/>
          </w:tcPr>
          <w:p w14:paraId="67C0C651" w14:textId="77777777" w:rsidR="00723A84" w:rsidRDefault="00723A84" w:rsidP="00624255"/>
          <w:p w14:paraId="27C2E67E" w14:textId="77777777" w:rsidR="00723A84" w:rsidRDefault="00723A84" w:rsidP="00624255">
            <w:r>
              <w:t xml:space="preserve">Clarifies that </w:t>
            </w:r>
          </w:p>
          <w:p w14:paraId="308D56CC" w14:textId="77777777" w:rsidR="00723A84" w:rsidRDefault="00723A84" w:rsidP="00624255"/>
          <w:p w14:paraId="7C67FAF7" w14:textId="77777777" w:rsidR="00723A84" w:rsidRPr="00561A91" w:rsidRDefault="00723A84" w:rsidP="00624255">
            <w:pPr>
              <w:tabs>
                <w:tab w:val="left" w:pos="1440"/>
              </w:tabs>
              <w:spacing w:line="276" w:lineRule="auto"/>
              <w:jc w:val="both"/>
            </w:pPr>
            <w:r>
              <w:t>‘</w:t>
            </w:r>
            <w:r w:rsidRPr="00561A91">
              <w:t>Standard solutions</w:t>
            </w:r>
            <w:r>
              <w:t xml:space="preserve"> are valid, and </w:t>
            </w:r>
            <w:r w:rsidRPr="00561A91">
              <w:t>should not be kept</w:t>
            </w:r>
            <w:r>
              <w:t>,</w:t>
            </w:r>
            <w:r w:rsidRPr="00561A91">
              <w:t xml:space="preserve"> for longer than six months</w:t>
            </w:r>
            <w:r>
              <w:t xml:space="preserve"> </w:t>
            </w:r>
            <w:r w:rsidRPr="00216C66">
              <w:rPr>
                <w:b/>
              </w:rPr>
              <w:t>from date of sample preparation</w:t>
            </w:r>
            <w:r>
              <w:t>’</w:t>
            </w:r>
            <w:r w:rsidRPr="00561A91">
              <w:t>.</w:t>
            </w:r>
          </w:p>
          <w:p w14:paraId="797E50C6" w14:textId="77777777" w:rsidR="00723A84" w:rsidRDefault="00723A84" w:rsidP="00624255"/>
        </w:tc>
      </w:tr>
      <w:tr w:rsidR="00723A84" w14:paraId="18DB7B11" w14:textId="77777777" w:rsidTr="7703B288">
        <w:tc>
          <w:tcPr>
            <w:tcW w:w="2654" w:type="dxa"/>
          </w:tcPr>
          <w:p w14:paraId="7B04FA47" w14:textId="77777777" w:rsidR="00723A84" w:rsidRDefault="00723A84" w:rsidP="00624255"/>
          <w:p w14:paraId="33576396" w14:textId="77777777" w:rsidR="00723A84" w:rsidRDefault="00723A84" w:rsidP="00624255">
            <w:r w:rsidRPr="00216C66">
              <w:t xml:space="preserve">Correlation standards preparation </w:t>
            </w:r>
          </w:p>
          <w:p w14:paraId="568C698B" w14:textId="77777777" w:rsidR="00723A84" w:rsidRDefault="00723A84" w:rsidP="00624255"/>
          <w:p w14:paraId="1A939487" w14:textId="77777777" w:rsidR="00723A84" w:rsidRPr="00F93CEA" w:rsidRDefault="00723A84" w:rsidP="00624255"/>
        </w:tc>
        <w:tc>
          <w:tcPr>
            <w:tcW w:w="1423" w:type="dxa"/>
          </w:tcPr>
          <w:p w14:paraId="6AA258D8" w14:textId="77777777" w:rsidR="00723A84" w:rsidRDefault="00723A84" w:rsidP="00624255"/>
          <w:p w14:paraId="391525AD" w14:textId="77777777" w:rsidR="00723A84" w:rsidRDefault="00723A84" w:rsidP="00624255">
            <w:r>
              <w:t>NA</w:t>
            </w:r>
          </w:p>
        </w:tc>
        <w:tc>
          <w:tcPr>
            <w:tcW w:w="1701" w:type="dxa"/>
          </w:tcPr>
          <w:p w14:paraId="645887E5" w14:textId="77777777" w:rsidR="00723A84" w:rsidRDefault="00723A84" w:rsidP="00A9615A">
            <w:r>
              <w:t>8.4.3 (m)</w:t>
            </w:r>
          </w:p>
        </w:tc>
        <w:tc>
          <w:tcPr>
            <w:tcW w:w="8080" w:type="dxa"/>
          </w:tcPr>
          <w:p w14:paraId="6FFBD3EC" w14:textId="77777777" w:rsidR="00723A84" w:rsidRDefault="00723A84" w:rsidP="00624255"/>
          <w:p w14:paraId="3F8BAC59" w14:textId="77777777" w:rsidR="00723A84" w:rsidRDefault="00723A84" w:rsidP="00624255">
            <w:r>
              <w:t xml:space="preserve">New text to </w:t>
            </w:r>
            <w:r w:rsidRPr="00216C66">
              <w:t>explain circumstances when a calibration graphs validity could be &gt; 6 months</w:t>
            </w:r>
          </w:p>
          <w:p w14:paraId="30DCCCAD" w14:textId="77777777" w:rsidR="00723A84" w:rsidRDefault="00723A84" w:rsidP="00624255"/>
          <w:p w14:paraId="1437975F" w14:textId="77777777" w:rsidR="00723A84" w:rsidRDefault="00723A84" w:rsidP="00624255">
            <w:r>
              <w:t>‘</w:t>
            </w:r>
            <w:r w:rsidRPr="00216C66">
              <w:t xml:space="preserve">Correlation and calibration graphs are valid for six months from the date of preparation of the standards. </w:t>
            </w:r>
            <w:proofErr w:type="gramStart"/>
            <w:r w:rsidRPr="00216C66">
              <w:t>However</w:t>
            </w:r>
            <w:proofErr w:type="gramEnd"/>
            <w:r w:rsidRPr="00216C66">
              <w:t xml:space="preserve"> in exceptional situations, e.g. production begins from a new field or production begins from a stream that has been shut in for greater than 6 months, it is acceptable to use the original graph to calculate OIW results, as described in 6.4.4 (h), until such a time as a further set of standards are produced from fresh crude. A new set of standards and related calibration / correlation graphs must be produced witho</w:t>
            </w:r>
            <w:r>
              <w:t>ut delay in these circumstances’</w:t>
            </w:r>
          </w:p>
          <w:p w14:paraId="36AF6883" w14:textId="77777777" w:rsidR="00723A84" w:rsidRDefault="00723A84" w:rsidP="00624255"/>
        </w:tc>
      </w:tr>
      <w:tr w:rsidR="00723A84" w14:paraId="344B2504" w14:textId="77777777" w:rsidTr="7703B288">
        <w:tc>
          <w:tcPr>
            <w:tcW w:w="2654" w:type="dxa"/>
          </w:tcPr>
          <w:p w14:paraId="54C529ED" w14:textId="77777777" w:rsidR="00723A84" w:rsidRDefault="00723A84" w:rsidP="00624255"/>
          <w:p w14:paraId="2E28C8F9" w14:textId="77777777" w:rsidR="00723A84" w:rsidRDefault="00723A84" w:rsidP="00624255">
            <w:r w:rsidRPr="00A627F6">
              <w:t>Validation, re-calibration and re-correlation requirements</w:t>
            </w:r>
          </w:p>
          <w:p w14:paraId="1C0157D6" w14:textId="77777777" w:rsidR="00723A84" w:rsidRPr="00F93CEA" w:rsidRDefault="00723A84" w:rsidP="00624255"/>
        </w:tc>
        <w:tc>
          <w:tcPr>
            <w:tcW w:w="1423" w:type="dxa"/>
          </w:tcPr>
          <w:p w14:paraId="3691E7B2" w14:textId="77777777" w:rsidR="00723A84" w:rsidRDefault="00723A84" w:rsidP="00624255"/>
          <w:p w14:paraId="346DD712" w14:textId="77777777" w:rsidR="00723A84" w:rsidRDefault="00723A84" w:rsidP="00624255">
            <w:r>
              <w:t>8.4.4 (a)</w:t>
            </w:r>
          </w:p>
        </w:tc>
        <w:tc>
          <w:tcPr>
            <w:tcW w:w="1701" w:type="dxa"/>
          </w:tcPr>
          <w:p w14:paraId="526770CE" w14:textId="77777777" w:rsidR="00723A84" w:rsidRDefault="00723A84" w:rsidP="00624255"/>
          <w:p w14:paraId="34E8060F" w14:textId="77777777" w:rsidR="00723A84" w:rsidRDefault="00723A84" w:rsidP="00624255">
            <w:r>
              <w:t>8.4.4 (a)</w:t>
            </w:r>
          </w:p>
        </w:tc>
        <w:tc>
          <w:tcPr>
            <w:tcW w:w="8080" w:type="dxa"/>
          </w:tcPr>
          <w:p w14:paraId="7CBEED82" w14:textId="77777777" w:rsidR="00723A84" w:rsidRDefault="00723A84" w:rsidP="00624255"/>
          <w:p w14:paraId="34023B02" w14:textId="77777777" w:rsidR="00723A84" w:rsidRDefault="00723A84" w:rsidP="00624255">
            <w:r>
              <w:t>Text added to explain requirements for monthly validations.</w:t>
            </w:r>
          </w:p>
          <w:p w14:paraId="6E36661F" w14:textId="77777777" w:rsidR="00723A84" w:rsidRDefault="00723A84" w:rsidP="00624255"/>
          <w:p w14:paraId="20411F74" w14:textId="77777777" w:rsidR="00723A84" w:rsidRDefault="00723A84" w:rsidP="00624255">
            <w:r>
              <w:t>‘</w:t>
            </w:r>
            <w:r w:rsidRPr="00216C66">
              <w:t xml:space="preserve">In the case where a produced water stream is shut down for a prolonged </w:t>
            </w:r>
            <w:proofErr w:type="gramStart"/>
            <w:r w:rsidRPr="00216C66">
              <w:t>period of time</w:t>
            </w:r>
            <w:proofErr w:type="gramEnd"/>
            <w:r w:rsidRPr="00216C66">
              <w:t xml:space="preserve"> there is no requirement to carry out a monthly validation for the months where there has been no discharge from the produced water stream. It is however considered good practice to complete a validation exercise and operators are encouraged to do so. Nevertheless prior to the analysis of the first produced water sample after a prolonged shutdown a validation check must be carried out. </w:t>
            </w:r>
            <w:proofErr w:type="gramStart"/>
            <w:r w:rsidRPr="00216C66">
              <w:t>Moreover</w:t>
            </w:r>
            <w:proofErr w:type="gramEnd"/>
            <w:r w:rsidRPr="00216C66">
              <w:t xml:space="preserve"> where there is exclusive PWRI (i.e. no produced water discharge to sea) there is no requirement for monthl</w:t>
            </w:r>
            <w:r>
              <w:t>y validations to be carried out’</w:t>
            </w:r>
          </w:p>
          <w:p w14:paraId="38645DC7" w14:textId="77777777" w:rsidR="00723A84" w:rsidRDefault="00723A84" w:rsidP="00624255"/>
        </w:tc>
      </w:tr>
      <w:tr w:rsidR="00723A84" w14:paraId="7E891419" w14:textId="77777777" w:rsidTr="7703B288">
        <w:tc>
          <w:tcPr>
            <w:tcW w:w="2654" w:type="dxa"/>
          </w:tcPr>
          <w:p w14:paraId="135E58C4" w14:textId="77777777" w:rsidR="00723A84" w:rsidRDefault="00723A84" w:rsidP="00624255"/>
          <w:p w14:paraId="2059ADAC" w14:textId="77777777" w:rsidR="00723A84" w:rsidRDefault="00723A84" w:rsidP="00624255">
            <w:r w:rsidRPr="00A627F6">
              <w:t>Validation, re-calibration and re-correlation requirements</w:t>
            </w:r>
          </w:p>
          <w:p w14:paraId="62EBF9A1" w14:textId="77777777" w:rsidR="00723A84" w:rsidRPr="00F93CEA" w:rsidRDefault="00723A84" w:rsidP="00624255"/>
        </w:tc>
        <w:tc>
          <w:tcPr>
            <w:tcW w:w="1423" w:type="dxa"/>
          </w:tcPr>
          <w:p w14:paraId="0C6C2CD5" w14:textId="77777777" w:rsidR="00723A84" w:rsidRDefault="00723A84" w:rsidP="00624255"/>
          <w:p w14:paraId="2B57CBDB" w14:textId="77777777" w:rsidR="00723A84" w:rsidRDefault="00723A84" w:rsidP="00624255">
            <w:r w:rsidRPr="00B515B4">
              <w:t>8.4.4 (c)</w:t>
            </w:r>
          </w:p>
        </w:tc>
        <w:tc>
          <w:tcPr>
            <w:tcW w:w="1701" w:type="dxa"/>
          </w:tcPr>
          <w:p w14:paraId="709E88E4" w14:textId="77777777" w:rsidR="00723A84" w:rsidRDefault="00723A84" w:rsidP="00624255"/>
          <w:p w14:paraId="6F1630BD" w14:textId="77777777" w:rsidR="00723A84" w:rsidRDefault="00723A84" w:rsidP="00624255">
            <w:r w:rsidRPr="00B515B4">
              <w:t>8.4.4 (c)</w:t>
            </w:r>
          </w:p>
        </w:tc>
        <w:tc>
          <w:tcPr>
            <w:tcW w:w="8080" w:type="dxa"/>
          </w:tcPr>
          <w:p w14:paraId="508C98E9" w14:textId="77777777" w:rsidR="00723A84" w:rsidRDefault="00723A84" w:rsidP="00624255"/>
          <w:p w14:paraId="3A48709C" w14:textId="77777777" w:rsidR="00723A84" w:rsidRDefault="00723A84" w:rsidP="00624255">
            <w:r>
              <w:t>E</w:t>
            </w:r>
            <w:r w:rsidRPr="00B515B4">
              <w:t>xplains validation process to follow when a data point used to construct the straight line may fall out with the 95% confidence limits</w:t>
            </w:r>
            <w:r>
              <w:t>.</w:t>
            </w:r>
          </w:p>
          <w:p w14:paraId="779F8E76" w14:textId="77777777" w:rsidR="00723A84" w:rsidRDefault="00723A84" w:rsidP="00624255"/>
          <w:p w14:paraId="5259A03C" w14:textId="77777777" w:rsidR="00723A84" w:rsidRDefault="00723A84" w:rsidP="00624255">
            <w:r>
              <w:t>‘</w:t>
            </w:r>
            <w:r w:rsidRPr="00B515B4">
              <w:t>On occasions it has been identified that a data point used to construct the straight line may fall out with the 95% confidence limits. In this case the sample which gave rise to that data point should not be used for validation</w:t>
            </w:r>
            <w:r>
              <w:t>’</w:t>
            </w:r>
            <w:r w:rsidRPr="00B515B4">
              <w:t>.</w:t>
            </w:r>
          </w:p>
          <w:p w14:paraId="7818863E" w14:textId="77777777" w:rsidR="00723A84" w:rsidRDefault="00723A84" w:rsidP="00624255"/>
        </w:tc>
      </w:tr>
      <w:tr w:rsidR="00723A84" w14:paraId="110E2320" w14:textId="77777777" w:rsidTr="7703B288">
        <w:tc>
          <w:tcPr>
            <w:tcW w:w="2654" w:type="dxa"/>
          </w:tcPr>
          <w:p w14:paraId="44F69B9A" w14:textId="77777777" w:rsidR="00723A84" w:rsidRDefault="00723A84" w:rsidP="00624255"/>
          <w:p w14:paraId="445CCBAD" w14:textId="77777777" w:rsidR="00723A84" w:rsidRDefault="00723A84" w:rsidP="00624255">
            <w:r w:rsidRPr="00A627F6">
              <w:t>Validation, re-calibration and re-correlation requirements</w:t>
            </w:r>
          </w:p>
          <w:p w14:paraId="5F07D11E" w14:textId="77777777" w:rsidR="00723A84" w:rsidRPr="00F93CEA" w:rsidRDefault="00723A84" w:rsidP="00624255"/>
        </w:tc>
        <w:tc>
          <w:tcPr>
            <w:tcW w:w="1423" w:type="dxa"/>
          </w:tcPr>
          <w:p w14:paraId="41508A3C" w14:textId="77777777" w:rsidR="00723A84" w:rsidRDefault="00723A84" w:rsidP="00624255"/>
          <w:p w14:paraId="651F9869" w14:textId="77777777" w:rsidR="00723A84" w:rsidRDefault="00723A84" w:rsidP="00624255">
            <w:r w:rsidRPr="007A76DC">
              <w:t>8.4.4 (e)</w:t>
            </w:r>
          </w:p>
        </w:tc>
        <w:tc>
          <w:tcPr>
            <w:tcW w:w="1701" w:type="dxa"/>
          </w:tcPr>
          <w:p w14:paraId="43D6B1D6" w14:textId="77777777" w:rsidR="00723A84" w:rsidRDefault="00723A84" w:rsidP="00624255"/>
          <w:p w14:paraId="695B5C09" w14:textId="77777777" w:rsidR="00723A84" w:rsidRDefault="00723A84" w:rsidP="00624255">
            <w:r w:rsidRPr="007A76DC">
              <w:t>8.4.4 (e)</w:t>
            </w:r>
          </w:p>
        </w:tc>
        <w:tc>
          <w:tcPr>
            <w:tcW w:w="8080" w:type="dxa"/>
          </w:tcPr>
          <w:p w14:paraId="17DBC151" w14:textId="77777777" w:rsidR="00723A84" w:rsidRDefault="00723A84" w:rsidP="00624255"/>
          <w:p w14:paraId="5573C40E" w14:textId="77777777" w:rsidR="00723A84" w:rsidRDefault="00723A84" w:rsidP="00624255">
            <w:r>
              <w:t>Text added to make</w:t>
            </w:r>
            <w:r w:rsidRPr="007A76DC">
              <w:t xml:space="preserve"> clear that failure of monthly validation is not considered an OPPCNC</w:t>
            </w:r>
          </w:p>
          <w:p w14:paraId="6F8BD81B" w14:textId="77777777" w:rsidR="00723A84" w:rsidRDefault="00723A84" w:rsidP="00624255"/>
          <w:p w14:paraId="5FE61DD8" w14:textId="77777777" w:rsidR="00723A84" w:rsidRDefault="00723A84" w:rsidP="00624255">
            <w:r>
              <w:t>‘</w:t>
            </w:r>
            <w:r w:rsidRPr="007A76DC">
              <w:t>This is not considered an OPPC non-compliance however the actions set out in (f), (g) and (h) should be noted</w:t>
            </w:r>
            <w:r>
              <w:t>’</w:t>
            </w:r>
          </w:p>
          <w:p w14:paraId="2613E9C1" w14:textId="77777777" w:rsidR="00723A84" w:rsidRDefault="00723A84" w:rsidP="00624255"/>
        </w:tc>
      </w:tr>
      <w:tr w:rsidR="00723A84" w14:paraId="7C85C13F" w14:textId="77777777" w:rsidTr="7703B288">
        <w:tc>
          <w:tcPr>
            <w:tcW w:w="2654" w:type="dxa"/>
          </w:tcPr>
          <w:p w14:paraId="1037B8A3" w14:textId="77777777" w:rsidR="00723A84" w:rsidRDefault="00723A84" w:rsidP="00624255"/>
          <w:p w14:paraId="1F12BBC5" w14:textId="77777777" w:rsidR="00723A84" w:rsidRDefault="00723A84" w:rsidP="00624255">
            <w:r w:rsidRPr="00A627F6">
              <w:t>Validation, re-calibration and re-</w:t>
            </w:r>
            <w:r w:rsidRPr="00A627F6">
              <w:lastRenderedPageBreak/>
              <w:t>correlation requirements</w:t>
            </w:r>
          </w:p>
          <w:p w14:paraId="687C6DE0" w14:textId="77777777" w:rsidR="00723A84" w:rsidRPr="00F93CEA" w:rsidRDefault="00723A84" w:rsidP="00624255"/>
        </w:tc>
        <w:tc>
          <w:tcPr>
            <w:tcW w:w="1423" w:type="dxa"/>
          </w:tcPr>
          <w:p w14:paraId="5B2F9378" w14:textId="77777777" w:rsidR="00723A84" w:rsidRDefault="00723A84" w:rsidP="00624255"/>
          <w:p w14:paraId="3A36B44B" w14:textId="77777777" w:rsidR="00723A84" w:rsidRDefault="00723A84" w:rsidP="00624255">
            <w:r w:rsidRPr="007A76DC">
              <w:t>8.4.4 (g)</w:t>
            </w:r>
          </w:p>
        </w:tc>
        <w:tc>
          <w:tcPr>
            <w:tcW w:w="1701" w:type="dxa"/>
          </w:tcPr>
          <w:p w14:paraId="58E6DD4E" w14:textId="77777777" w:rsidR="00723A84" w:rsidRDefault="00723A84" w:rsidP="00624255"/>
          <w:p w14:paraId="03746922" w14:textId="77777777" w:rsidR="00723A84" w:rsidRDefault="00723A84" w:rsidP="00624255">
            <w:r w:rsidRPr="007A76DC">
              <w:t>8.4.4 (g)</w:t>
            </w:r>
          </w:p>
        </w:tc>
        <w:tc>
          <w:tcPr>
            <w:tcW w:w="8080" w:type="dxa"/>
          </w:tcPr>
          <w:p w14:paraId="7D3BEE8F" w14:textId="77777777" w:rsidR="00723A84" w:rsidRDefault="00723A84" w:rsidP="00624255"/>
          <w:p w14:paraId="746D1D78" w14:textId="77777777" w:rsidR="00723A84" w:rsidRDefault="00723A84" w:rsidP="00624255">
            <w:r>
              <w:t>In the event of an OIW analyser breakdown the requirement</w:t>
            </w:r>
            <w:r w:rsidRPr="007A76DC">
              <w:t xml:space="preserve"> for a replacement instrument to be shipped offshore and calibrated</w:t>
            </w:r>
            <w:r>
              <w:t xml:space="preserve"> removed, </w:t>
            </w:r>
            <w:r>
              <w:lastRenderedPageBreak/>
              <w:t>alternative text added.</w:t>
            </w:r>
          </w:p>
          <w:p w14:paraId="3B88899E" w14:textId="77777777" w:rsidR="00723A84" w:rsidRDefault="00723A84" w:rsidP="00624255"/>
          <w:p w14:paraId="0DC8DC30" w14:textId="77777777" w:rsidR="00723A84" w:rsidRDefault="00723A84" w:rsidP="00624255">
            <w:r>
              <w:t>‘</w:t>
            </w:r>
            <w:r w:rsidRPr="007A76DC">
              <w:t>or samples refrigerated until a valid calibration &amp; correlation can be prepared and the samples analysed offshore</w:t>
            </w:r>
            <w:r>
              <w:t>’</w:t>
            </w:r>
          </w:p>
          <w:p w14:paraId="69E2BB2B" w14:textId="77777777" w:rsidR="00723A84" w:rsidRDefault="00723A84" w:rsidP="00624255"/>
          <w:p w14:paraId="57C0D796" w14:textId="77777777" w:rsidR="00723A84" w:rsidRDefault="00723A84" w:rsidP="00624255"/>
        </w:tc>
      </w:tr>
      <w:tr w:rsidR="00723A84" w14:paraId="33A08A06" w14:textId="77777777" w:rsidTr="7703B288">
        <w:tc>
          <w:tcPr>
            <w:tcW w:w="2654" w:type="dxa"/>
          </w:tcPr>
          <w:p w14:paraId="0D142F6F" w14:textId="77777777" w:rsidR="00723A84" w:rsidRDefault="00723A84" w:rsidP="00624255"/>
          <w:p w14:paraId="01CC90D8" w14:textId="77777777" w:rsidR="00723A84" w:rsidRDefault="00723A84" w:rsidP="00624255">
            <w:r w:rsidRPr="00A627F6">
              <w:t>Validation, re-calibration and re-correlation requirements</w:t>
            </w:r>
          </w:p>
          <w:p w14:paraId="4475AD14" w14:textId="77777777" w:rsidR="00723A84" w:rsidRPr="00F93CEA" w:rsidRDefault="00723A84" w:rsidP="00624255"/>
        </w:tc>
        <w:tc>
          <w:tcPr>
            <w:tcW w:w="1423" w:type="dxa"/>
          </w:tcPr>
          <w:p w14:paraId="120C4E94" w14:textId="77777777" w:rsidR="00723A84" w:rsidRDefault="00723A84" w:rsidP="00624255"/>
          <w:p w14:paraId="680296A4" w14:textId="77777777" w:rsidR="00723A84" w:rsidRDefault="00723A84" w:rsidP="00624255">
            <w:r>
              <w:t>NA</w:t>
            </w:r>
          </w:p>
        </w:tc>
        <w:tc>
          <w:tcPr>
            <w:tcW w:w="1701" w:type="dxa"/>
          </w:tcPr>
          <w:p w14:paraId="42AFC42D" w14:textId="77777777" w:rsidR="00723A84" w:rsidRDefault="00723A84" w:rsidP="00624255"/>
          <w:p w14:paraId="14D51580" w14:textId="77777777" w:rsidR="00723A84" w:rsidRDefault="00723A84" w:rsidP="00624255">
            <w:r>
              <w:t>8.4.4 (h)</w:t>
            </w:r>
          </w:p>
        </w:tc>
        <w:tc>
          <w:tcPr>
            <w:tcW w:w="8080" w:type="dxa"/>
          </w:tcPr>
          <w:p w14:paraId="271CA723" w14:textId="77777777" w:rsidR="00723A84" w:rsidRDefault="00723A84" w:rsidP="00624255"/>
          <w:p w14:paraId="0E465344" w14:textId="77777777" w:rsidR="00723A84" w:rsidRDefault="00723A84" w:rsidP="00624255">
            <w:r>
              <w:t>New section text added.</w:t>
            </w:r>
          </w:p>
          <w:p w14:paraId="75FBE423" w14:textId="77777777" w:rsidR="00723A84" w:rsidRDefault="00723A84" w:rsidP="00624255"/>
          <w:p w14:paraId="3F3AEE89" w14:textId="77777777" w:rsidR="00723A84" w:rsidRDefault="00723A84" w:rsidP="00624255">
            <w:pPr>
              <w:tabs>
                <w:tab w:val="left" w:pos="1440"/>
              </w:tabs>
              <w:spacing w:line="276" w:lineRule="auto"/>
              <w:jc w:val="both"/>
            </w:pPr>
            <w:r>
              <w:t xml:space="preserve">‘In the event of waiting on a calibration / correlation graph being prepared where there has </w:t>
            </w:r>
            <w:r w:rsidRPr="00082703">
              <w:t>been no breakdown</w:t>
            </w:r>
            <w:r>
              <w:rPr>
                <w:b/>
              </w:rPr>
              <w:t xml:space="preserve"> </w:t>
            </w:r>
            <w:r w:rsidRPr="00046F09">
              <w:t>(for example</w:t>
            </w:r>
            <w:r>
              <w:t xml:space="preserve"> expiry date of graphs has passed or graphs are required for a new produced water stream / stream that has not produced in the last six months) BEIS recommends that analysis continues with reference to the most recent graphs (if available) for process control. When new graphs are prepared accurate OIW values can be determined by inputting into the newly prepared graphs the sample volume, absorbance and dilution factor. </w:t>
            </w:r>
            <w:proofErr w:type="gramStart"/>
            <w:r>
              <w:t>In the event that</w:t>
            </w:r>
            <w:proofErr w:type="gramEnd"/>
            <w:r>
              <w:t xml:space="preserve"> an analyser breaks and no correctly functioning spare exists </w:t>
            </w:r>
            <w:r w:rsidRPr="00561A91">
              <w:t xml:space="preserve">produced water samples </w:t>
            </w:r>
            <w:r>
              <w:t>must</w:t>
            </w:r>
            <w:r w:rsidRPr="00561A91">
              <w:t xml:space="preserve"> be taken and shipped to shore for analysis by the OSPAR Reference Method (GC-FID) within seven (7) days of the sample being collected, or samples refrigerated until </w:t>
            </w:r>
            <w:r>
              <w:t>a valid calibration &amp; correlation can be prepared</w:t>
            </w:r>
            <w:r w:rsidRPr="00561A91">
              <w:t xml:space="preserve"> and the samples analysed</w:t>
            </w:r>
            <w:r>
              <w:t xml:space="preserve"> offshore’</w:t>
            </w:r>
          </w:p>
          <w:p w14:paraId="2D3F0BEC" w14:textId="77777777" w:rsidR="00723A84" w:rsidRDefault="00723A84" w:rsidP="00624255"/>
        </w:tc>
      </w:tr>
      <w:tr w:rsidR="00723A84" w14:paraId="19A0C483" w14:textId="77777777" w:rsidTr="7703B288">
        <w:tc>
          <w:tcPr>
            <w:tcW w:w="2654" w:type="dxa"/>
          </w:tcPr>
          <w:p w14:paraId="75CF4315" w14:textId="77777777" w:rsidR="00723A84" w:rsidRDefault="00723A84" w:rsidP="00624255"/>
          <w:p w14:paraId="0248F414" w14:textId="77777777" w:rsidR="00723A84" w:rsidRDefault="00723A84" w:rsidP="00624255">
            <w:r w:rsidRPr="00A627F6">
              <w:t>Validation, re-calibration and re-correlation requirements</w:t>
            </w:r>
          </w:p>
          <w:p w14:paraId="3CB648E9" w14:textId="77777777" w:rsidR="00723A84" w:rsidRPr="00F93CEA" w:rsidRDefault="00723A84" w:rsidP="00624255"/>
        </w:tc>
        <w:tc>
          <w:tcPr>
            <w:tcW w:w="1423" w:type="dxa"/>
          </w:tcPr>
          <w:p w14:paraId="0C178E9E" w14:textId="77777777" w:rsidR="00723A84" w:rsidRDefault="00723A84" w:rsidP="00624255"/>
          <w:p w14:paraId="27316406" w14:textId="77777777" w:rsidR="00723A84" w:rsidRDefault="00723A84" w:rsidP="00624255">
            <w:r>
              <w:t>NA</w:t>
            </w:r>
          </w:p>
        </w:tc>
        <w:tc>
          <w:tcPr>
            <w:tcW w:w="1701" w:type="dxa"/>
          </w:tcPr>
          <w:p w14:paraId="3C0395D3" w14:textId="77777777" w:rsidR="00723A84" w:rsidRDefault="00723A84" w:rsidP="00624255"/>
          <w:p w14:paraId="6EA50B0A" w14:textId="77777777" w:rsidR="00723A84" w:rsidRDefault="00723A84" w:rsidP="00624255">
            <w:r>
              <w:t>8.4.4 (i)</w:t>
            </w:r>
          </w:p>
        </w:tc>
        <w:tc>
          <w:tcPr>
            <w:tcW w:w="8080" w:type="dxa"/>
          </w:tcPr>
          <w:p w14:paraId="3254BC2F" w14:textId="77777777" w:rsidR="00723A84" w:rsidRDefault="00723A84" w:rsidP="00624255"/>
          <w:p w14:paraId="525443AE" w14:textId="77777777" w:rsidR="00723A84" w:rsidRDefault="00723A84" w:rsidP="00624255">
            <w:r>
              <w:t xml:space="preserve">New text added re non-compliances </w:t>
            </w:r>
          </w:p>
          <w:p w14:paraId="651E9592" w14:textId="77777777" w:rsidR="00723A84" w:rsidRDefault="00723A84" w:rsidP="00624255"/>
          <w:p w14:paraId="57C42139" w14:textId="77777777" w:rsidR="00723A84" w:rsidRPr="00561A91" w:rsidRDefault="00723A84" w:rsidP="00624255">
            <w:pPr>
              <w:tabs>
                <w:tab w:val="left" w:pos="1440"/>
              </w:tabs>
              <w:spacing w:line="276" w:lineRule="auto"/>
              <w:jc w:val="both"/>
            </w:pPr>
            <w:r>
              <w:t>‘</w:t>
            </w:r>
            <w:r w:rsidRPr="005301DC">
              <w:t xml:space="preserve">In certain circumstances BEIS accepts that calibration and correlation graphs may not be in place prior to the discharge of produced water streams. Examples include the situation where produced water streams have been shut down for greater than 6 months or fields / wells are being </w:t>
            </w:r>
            <w:r w:rsidRPr="005301DC">
              <w:lastRenderedPageBreak/>
              <w:t xml:space="preserve">produced from for the first time. In such circumstances </w:t>
            </w:r>
            <w:r>
              <w:t>BEIS</w:t>
            </w:r>
            <w:r w:rsidRPr="005301DC">
              <w:t xml:space="preserve"> do not consider this to be a non-compliance however the guidance </w:t>
            </w:r>
            <w:r>
              <w:t>in (h) above should be followed’</w:t>
            </w:r>
          </w:p>
          <w:p w14:paraId="269E314A" w14:textId="77777777" w:rsidR="00723A84" w:rsidRDefault="00723A84" w:rsidP="00624255"/>
        </w:tc>
      </w:tr>
      <w:tr w:rsidR="00723A84" w14:paraId="72C33AD7" w14:textId="77777777" w:rsidTr="7703B288">
        <w:tc>
          <w:tcPr>
            <w:tcW w:w="2654" w:type="dxa"/>
          </w:tcPr>
          <w:p w14:paraId="47341341" w14:textId="77777777" w:rsidR="00723A84" w:rsidRDefault="00723A84" w:rsidP="00624255"/>
          <w:p w14:paraId="10B4F733" w14:textId="77777777" w:rsidR="00723A84" w:rsidRDefault="00723A84" w:rsidP="00624255">
            <w:r w:rsidRPr="00A627F6">
              <w:t>Validation, re-calibration and re-correlation requirements</w:t>
            </w:r>
          </w:p>
          <w:p w14:paraId="42EF2083" w14:textId="77777777" w:rsidR="00723A84" w:rsidRPr="00F93CEA" w:rsidRDefault="00723A84" w:rsidP="00624255"/>
        </w:tc>
        <w:tc>
          <w:tcPr>
            <w:tcW w:w="1423" w:type="dxa"/>
          </w:tcPr>
          <w:p w14:paraId="7B40C951" w14:textId="77777777" w:rsidR="00723A84" w:rsidRDefault="00723A84" w:rsidP="00624255"/>
          <w:p w14:paraId="4844AADC" w14:textId="77777777" w:rsidR="00723A84" w:rsidRDefault="00723A84" w:rsidP="00624255">
            <w:r>
              <w:t xml:space="preserve">8.44 (i) </w:t>
            </w:r>
          </w:p>
        </w:tc>
        <w:tc>
          <w:tcPr>
            <w:tcW w:w="1701" w:type="dxa"/>
          </w:tcPr>
          <w:p w14:paraId="4B4D7232" w14:textId="77777777" w:rsidR="00723A84" w:rsidRDefault="00723A84" w:rsidP="00624255"/>
          <w:p w14:paraId="186A4A52" w14:textId="77777777" w:rsidR="00723A84" w:rsidRDefault="00723A84" w:rsidP="00624255">
            <w:r>
              <w:t>8.4.4 (k)</w:t>
            </w:r>
          </w:p>
        </w:tc>
        <w:tc>
          <w:tcPr>
            <w:tcW w:w="8080" w:type="dxa"/>
          </w:tcPr>
          <w:p w14:paraId="2093CA67" w14:textId="77777777" w:rsidR="00723A84" w:rsidRDefault="00723A84" w:rsidP="00624255"/>
          <w:p w14:paraId="033AC410" w14:textId="77777777" w:rsidR="00723A84" w:rsidRDefault="00723A84" w:rsidP="00624255">
            <w:r>
              <w:t>Addition text added to explain when an OPPC non-compliance is not required.</w:t>
            </w:r>
          </w:p>
          <w:p w14:paraId="2503B197" w14:textId="77777777" w:rsidR="00723A84" w:rsidRDefault="00723A84" w:rsidP="00624255"/>
          <w:p w14:paraId="163909C7" w14:textId="77777777" w:rsidR="00723A84" w:rsidRPr="00561A91" w:rsidRDefault="00723A84" w:rsidP="00624255">
            <w:pPr>
              <w:tabs>
                <w:tab w:val="left" w:pos="1440"/>
              </w:tabs>
              <w:spacing w:line="276" w:lineRule="auto"/>
              <w:jc w:val="both"/>
            </w:pPr>
            <w:r>
              <w:t>‘</w:t>
            </w:r>
            <w:proofErr w:type="gramStart"/>
            <w:r>
              <w:t>with the exception of</w:t>
            </w:r>
            <w:proofErr w:type="gramEnd"/>
            <w:r>
              <w:t xml:space="preserve"> the situation described in (i) were fields / wells are being produced from for the first time or after being shut in for greater than 6 months</w:t>
            </w:r>
            <w:r w:rsidRPr="00561A91">
              <w:t>.</w:t>
            </w:r>
            <w:r>
              <w:t xml:space="preserve"> </w:t>
            </w:r>
            <w:proofErr w:type="gramStart"/>
            <w:r>
              <w:t>Moreover</w:t>
            </w:r>
            <w:proofErr w:type="gramEnd"/>
            <w:r>
              <w:t xml:space="preserve"> BEIS do not require a non-compliance to be submitted in the event of an IR analyser breakdown when the steps described in (f) and (g) have been carried out.’</w:t>
            </w:r>
          </w:p>
          <w:p w14:paraId="38288749" w14:textId="77777777" w:rsidR="00723A84" w:rsidRDefault="00723A84" w:rsidP="00624255"/>
        </w:tc>
      </w:tr>
      <w:tr w:rsidR="00723A84" w14:paraId="137C7E25" w14:textId="77777777" w:rsidTr="7703B288">
        <w:tc>
          <w:tcPr>
            <w:tcW w:w="2654" w:type="dxa"/>
          </w:tcPr>
          <w:p w14:paraId="20BD9A1A" w14:textId="77777777" w:rsidR="00723A84" w:rsidRDefault="00723A84" w:rsidP="00624255"/>
          <w:p w14:paraId="5252C7BD" w14:textId="77777777" w:rsidR="00723A84" w:rsidRDefault="00723A84" w:rsidP="00624255">
            <w:r w:rsidRPr="00A627F6">
              <w:t>Validation, re-calibration and re-correlation requirements</w:t>
            </w:r>
          </w:p>
          <w:p w14:paraId="0C136CF1" w14:textId="77777777" w:rsidR="00723A84" w:rsidRPr="00F93CEA" w:rsidRDefault="00723A84" w:rsidP="00624255"/>
        </w:tc>
        <w:tc>
          <w:tcPr>
            <w:tcW w:w="1423" w:type="dxa"/>
          </w:tcPr>
          <w:p w14:paraId="0A392C6A" w14:textId="77777777" w:rsidR="00723A84" w:rsidRDefault="00723A84" w:rsidP="00624255"/>
          <w:p w14:paraId="6F29DBB2" w14:textId="77777777" w:rsidR="00723A84" w:rsidRDefault="00723A84" w:rsidP="00624255">
            <w:r>
              <w:t xml:space="preserve">8.4.4 (h) (j) (l) (m) </w:t>
            </w:r>
          </w:p>
        </w:tc>
        <w:tc>
          <w:tcPr>
            <w:tcW w:w="1701" w:type="dxa"/>
          </w:tcPr>
          <w:p w14:paraId="290583F9" w14:textId="77777777" w:rsidR="00723A84" w:rsidRDefault="00723A84" w:rsidP="00624255"/>
          <w:p w14:paraId="1145788E" w14:textId="77777777" w:rsidR="00723A84" w:rsidRDefault="00723A84" w:rsidP="00624255">
            <w:r>
              <w:t>8.4.4 (j) (l) (n) (o)</w:t>
            </w:r>
          </w:p>
        </w:tc>
        <w:tc>
          <w:tcPr>
            <w:tcW w:w="8080" w:type="dxa"/>
          </w:tcPr>
          <w:p w14:paraId="68F21D90" w14:textId="77777777" w:rsidR="00723A84" w:rsidRDefault="00723A84" w:rsidP="00624255"/>
          <w:p w14:paraId="4387A338" w14:textId="77777777" w:rsidR="00723A84" w:rsidRDefault="00723A84" w:rsidP="00624255">
            <w:r>
              <w:t>Sections 8.4.4 (h) (j) (l) (m) renumbered to 8.4.4 (j) (l) (n) (o) to account for insertion of additional text.</w:t>
            </w:r>
          </w:p>
        </w:tc>
      </w:tr>
      <w:tr w:rsidR="00723A84" w14:paraId="74ECCDD0" w14:textId="77777777" w:rsidTr="7703B288">
        <w:tc>
          <w:tcPr>
            <w:tcW w:w="2654" w:type="dxa"/>
          </w:tcPr>
          <w:p w14:paraId="13C326F3" w14:textId="77777777" w:rsidR="00723A84" w:rsidRDefault="00723A84" w:rsidP="00624255"/>
          <w:p w14:paraId="4FFD93E6" w14:textId="77777777" w:rsidR="00723A84" w:rsidRPr="00F93CEA" w:rsidRDefault="00723A84" w:rsidP="00624255">
            <w:r w:rsidRPr="00FA59ED">
              <w:t xml:space="preserve">Dealing </w:t>
            </w:r>
            <w:proofErr w:type="gramStart"/>
            <w:r w:rsidRPr="00FA59ED">
              <w:t>With</w:t>
            </w:r>
            <w:proofErr w:type="gramEnd"/>
            <w:r w:rsidRPr="00FA59ED">
              <w:t xml:space="preserve"> Alternative Method Analyser Instrument Breakdown</w:t>
            </w:r>
          </w:p>
        </w:tc>
        <w:tc>
          <w:tcPr>
            <w:tcW w:w="1423" w:type="dxa"/>
          </w:tcPr>
          <w:p w14:paraId="4853B841" w14:textId="77777777" w:rsidR="00723A84" w:rsidRDefault="00723A84" w:rsidP="00624255"/>
          <w:p w14:paraId="69557C2D" w14:textId="77777777" w:rsidR="00723A84" w:rsidRDefault="00723A84" w:rsidP="00624255">
            <w:r>
              <w:t>8.6 (a)</w:t>
            </w:r>
          </w:p>
        </w:tc>
        <w:tc>
          <w:tcPr>
            <w:tcW w:w="1701" w:type="dxa"/>
          </w:tcPr>
          <w:p w14:paraId="50125231" w14:textId="77777777" w:rsidR="00723A84" w:rsidRDefault="00723A84" w:rsidP="00624255"/>
          <w:p w14:paraId="52864A6D" w14:textId="77777777" w:rsidR="00723A84" w:rsidRDefault="00723A84" w:rsidP="00624255">
            <w:r>
              <w:t>8.6 (a)</w:t>
            </w:r>
          </w:p>
        </w:tc>
        <w:tc>
          <w:tcPr>
            <w:tcW w:w="8080" w:type="dxa"/>
          </w:tcPr>
          <w:p w14:paraId="5A25747A" w14:textId="77777777" w:rsidR="00723A84" w:rsidRDefault="00723A84" w:rsidP="00624255"/>
          <w:p w14:paraId="563C3DE2" w14:textId="77777777" w:rsidR="00723A84" w:rsidRDefault="00723A84" w:rsidP="00624255">
            <w:r>
              <w:t xml:space="preserve">Explanation that requirement for a </w:t>
            </w:r>
            <w:proofErr w:type="spellStart"/>
            <w:r>
              <w:t>back up</w:t>
            </w:r>
            <w:proofErr w:type="spellEnd"/>
            <w:r>
              <w:t xml:space="preserve"> calibrated IR analyser to be held offshore is not a requirement.</w:t>
            </w:r>
          </w:p>
          <w:p w14:paraId="09B8D95D" w14:textId="77777777" w:rsidR="00723A84" w:rsidRDefault="00723A84" w:rsidP="00624255"/>
          <w:p w14:paraId="20125144" w14:textId="77777777" w:rsidR="00723A84" w:rsidRPr="00561A91" w:rsidRDefault="00723A84" w:rsidP="00624255">
            <w:pPr>
              <w:tabs>
                <w:tab w:val="left" w:pos="1440"/>
              </w:tabs>
              <w:spacing w:line="276" w:lineRule="auto"/>
              <w:jc w:val="both"/>
            </w:pPr>
            <w:r>
              <w:t xml:space="preserve">‘Although not a requirement, good laboratory practice is to have a spare calibrated IR analyser available in the offshore lab in the event of a failure of the duty analyser’. </w:t>
            </w:r>
          </w:p>
          <w:p w14:paraId="100C5B58" w14:textId="77777777" w:rsidR="00723A84" w:rsidRDefault="00723A84" w:rsidP="00624255">
            <w:r>
              <w:t xml:space="preserve"> </w:t>
            </w:r>
          </w:p>
        </w:tc>
      </w:tr>
      <w:tr w:rsidR="00723A84" w14:paraId="4ED98AD2" w14:textId="77777777" w:rsidTr="7703B288">
        <w:tc>
          <w:tcPr>
            <w:tcW w:w="2654" w:type="dxa"/>
          </w:tcPr>
          <w:p w14:paraId="78BEFD2A" w14:textId="77777777" w:rsidR="00723A84" w:rsidRDefault="00723A84" w:rsidP="00624255"/>
          <w:p w14:paraId="43478F82" w14:textId="77777777" w:rsidR="00723A84" w:rsidRDefault="00723A84" w:rsidP="00624255">
            <w:r w:rsidRPr="00FA59ED">
              <w:t xml:space="preserve">Dealing </w:t>
            </w:r>
            <w:proofErr w:type="gramStart"/>
            <w:r w:rsidRPr="00FA59ED">
              <w:t>With</w:t>
            </w:r>
            <w:proofErr w:type="gramEnd"/>
            <w:r w:rsidRPr="00FA59ED">
              <w:t xml:space="preserve"> </w:t>
            </w:r>
            <w:r w:rsidRPr="00FA59ED">
              <w:lastRenderedPageBreak/>
              <w:t>Alternative Method Analyser Instrument Breakdown</w:t>
            </w:r>
          </w:p>
          <w:p w14:paraId="27A76422" w14:textId="77777777" w:rsidR="00723A84" w:rsidRPr="00F93CEA" w:rsidRDefault="00723A84" w:rsidP="00624255"/>
        </w:tc>
        <w:tc>
          <w:tcPr>
            <w:tcW w:w="1423" w:type="dxa"/>
          </w:tcPr>
          <w:p w14:paraId="49206A88" w14:textId="77777777" w:rsidR="00723A84" w:rsidRDefault="00723A84" w:rsidP="00624255"/>
          <w:p w14:paraId="595EDF07" w14:textId="77777777" w:rsidR="00723A84" w:rsidRDefault="00723A84" w:rsidP="00624255">
            <w:r>
              <w:t>8.6 (c)</w:t>
            </w:r>
          </w:p>
        </w:tc>
        <w:tc>
          <w:tcPr>
            <w:tcW w:w="1701" w:type="dxa"/>
          </w:tcPr>
          <w:p w14:paraId="67B7A70C" w14:textId="77777777" w:rsidR="00723A84" w:rsidRDefault="00723A84" w:rsidP="00624255"/>
          <w:p w14:paraId="68F99B89" w14:textId="77777777" w:rsidR="00723A84" w:rsidRDefault="00723A84" w:rsidP="00624255">
            <w:r>
              <w:t>8.6 (c)</w:t>
            </w:r>
          </w:p>
        </w:tc>
        <w:tc>
          <w:tcPr>
            <w:tcW w:w="8080" w:type="dxa"/>
          </w:tcPr>
          <w:p w14:paraId="71887C79" w14:textId="77777777" w:rsidR="00723A84" w:rsidRDefault="00723A84" w:rsidP="00624255"/>
          <w:p w14:paraId="24C8DA2A" w14:textId="77777777" w:rsidR="00723A84" w:rsidRDefault="00723A84" w:rsidP="00624255">
            <w:r>
              <w:t>Text added to give</w:t>
            </w:r>
            <w:r w:rsidRPr="00F207CD">
              <w:t xml:space="preserve"> the option of performing extraction and storing </w:t>
            </w:r>
            <w:r>
              <w:t xml:space="preserve">in lab </w:t>
            </w:r>
            <w:r>
              <w:lastRenderedPageBreak/>
              <w:t>fridge rather than storing the</w:t>
            </w:r>
            <w:r w:rsidRPr="00F207CD">
              <w:t xml:space="preserve"> PW sample only. </w:t>
            </w:r>
          </w:p>
          <w:p w14:paraId="3B7FD67C" w14:textId="77777777" w:rsidR="00723A84" w:rsidRDefault="00723A84" w:rsidP="00624255"/>
          <w:p w14:paraId="37937C87" w14:textId="77777777" w:rsidR="00723A84" w:rsidRDefault="00723A84" w:rsidP="00624255">
            <w:r>
              <w:t>‘</w:t>
            </w:r>
            <w:proofErr w:type="gramStart"/>
            <w:r w:rsidRPr="00F207CD">
              <w:t>Alternatively</w:t>
            </w:r>
            <w:proofErr w:type="gramEnd"/>
            <w:r w:rsidRPr="00F207CD">
              <w:t xml:space="preserve"> it is acceptable to perform the extraction (as detailed in section 4) and store the extracts in sea</w:t>
            </w:r>
            <w:r>
              <w:t>led glass bottles in the fridge’</w:t>
            </w:r>
          </w:p>
          <w:p w14:paraId="38D6B9B6" w14:textId="77777777" w:rsidR="00723A84" w:rsidRDefault="00723A84" w:rsidP="00624255"/>
        </w:tc>
      </w:tr>
      <w:tr w:rsidR="00723A84" w14:paraId="0E5FF4D2" w14:textId="77777777" w:rsidTr="7703B288">
        <w:tc>
          <w:tcPr>
            <w:tcW w:w="2654" w:type="dxa"/>
          </w:tcPr>
          <w:p w14:paraId="22F860BB" w14:textId="77777777" w:rsidR="00723A84" w:rsidRDefault="00723A84" w:rsidP="00624255"/>
          <w:p w14:paraId="24DB7AB4" w14:textId="77777777" w:rsidR="00723A84" w:rsidRDefault="00723A84" w:rsidP="00624255">
            <w:r w:rsidRPr="009E6D59">
              <w:t>General Correlation Issues Covering Methods A1 &amp; A2</w:t>
            </w:r>
          </w:p>
          <w:p w14:paraId="698536F5" w14:textId="77777777" w:rsidR="00723A84" w:rsidRPr="00F93CEA" w:rsidRDefault="00723A84" w:rsidP="00624255"/>
        </w:tc>
        <w:tc>
          <w:tcPr>
            <w:tcW w:w="1423" w:type="dxa"/>
          </w:tcPr>
          <w:p w14:paraId="7BC1BAF2" w14:textId="77777777" w:rsidR="00723A84" w:rsidRDefault="00723A84" w:rsidP="00624255"/>
          <w:p w14:paraId="4C5BAB08" w14:textId="77777777" w:rsidR="00723A84" w:rsidRDefault="00723A84" w:rsidP="00624255">
            <w:r>
              <w:t>8.7.5</w:t>
            </w:r>
          </w:p>
        </w:tc>
        <w:tc>
          <w:tcPr>
            <w:tcW w:w="1701" w:type="dxa"/>
          </w:tcPr>
          <w:p w14:paraId="61C988F9" w14:textId="77777777" w:rsidR="00723A84" w:rsidRDefault="00723A84" w:rsidP="00624255"/>
          <w:p w14:paraId="0415BDE1" w14:textId="77777777" w:rsidR="00723A84" w:rsidRDefault="00723A84" w:rsidP="00624255">
            <w:r>
              <w:t>8.7.5</w:t>
            </w:r>
          </w:p>
        </w:tc>
        <w:tc>
          <w:tcPr>
            <w:tcW w:w="8080" w:type="dxa"/>
          </w:tcPr>
          <w:p w14:paraId="3B22BB7D" w14:textId="77777777" w:rsidR="00723A84" w:rsidRDefault="00723A84" w:rsidP="00624255"/>
          <w:p w14:paraId="05EF15D5" w14:textId="77777777" w:rsidR="00723A84" w:rsidRDefault="00723A84" w:rsidP="00624255">
            <w:r>
              <w:t>Guidance provided when correlation gives a negative or zero value.</w:t>
            </w:r>
          </w:p>
          <w:p w14:paraId="17B246DD" w14:textId="77777777" w:rsidR="00723A84" w:rsidRDefault="00723A84" w:rsidP="00624255"/>
          <w:p w14:paraId="0FF428C6" w14:textId="77777777" w:rsidR="00723A84" w:rsidRDefault="00723A84" w:rsidP="00624255">
            <w:r>
              <w:t>‘</w:t>
            </w:r>
            <w:r w:rsidRPr="009E6D59">
              <w:t xml:space="preserve">In the event that an IR result is very </w:t>
            </w:r>
            <w:proofErr w:type="gramStart"/>
            <w:r w:rsidRPr="009E6D59">
              <w:t>low</w:t>
            </w:r>
            <w:proofErr w:type="gramEnd"/>
            <w:r w:rsidRPr="009E6D59">
              <w:t xml:space="preserve"> and correlation gives a negative value or zero then the lower detection limit should be reported, i.e. 0.1 mg/l</w:t>
            </w:r>
            <w:r>
              <w:t>’</w:t>
            </w:r>
          </w:p>
          <w:p w14:paraId="6BF89DA3" w14:textId="77777777" w:rsidR="00723A84" w:rsidRDefault="00723A84" w:rsidP="00624255"/>
        </w:tc>
      </w:tr>
      <w:tr w:rsidR="00723A84" w14:paraId="7446CB81" w14:textId="77777777" w:rsidTr="7703B288">
        <w:tc>
          <w:tcPr>
            <w:tcW w:w="2654" w:type="dxa"/>
          </w:tcPr>
          <w:p w14:paraId="5C3E0E74" w14:textId="77777777" w:rsidR="00723A84" w:rsidRDefault="00723A84" w:rsidP="00624255"/>
          <w:p w14:paraId="47FEB997" w14:textId="77777777" w:rsidR="00723A84" w:rsidRPr="008F5050" w:rsidRDefault="00723A84" w:rsidP="00624255">
            <w:pPr>
              <w:rPr>
                <w:b/>
              </w:rPr>
            </w:pPr>
            <w:r w:rsidRPr="008F5050">
              <w:rPr>
                <w:b/>
              </w:rPr>
              <w:t>Bi-annual Produced Water Sampling and Analysis</w:t>
            </w:r>
          </w:p>
          <w:p w14:paraId="66A1FAB9" w14:textId="77777777" w:rsidR="00723A84" w:rsidRPr="00F93CEA" w:rsidRDefault="00723A84" w:rsidP="00624255"/>
        </w:tc>
        <w:tc>
          <w:tcPr>
            <w:tcW w:w="1423" w:type="dxa"/>
          </w:tcPr>
          <w:p w14:paraId="76BB753C" w14:textId="77777777" w:rsidR="00723A84" w:rsidRDefault="00723A84" w:rsidP="00624255"/>
          <w:p w14:paraId="4B73E586" w14:textId="77777777" w:rsidR="00723A84" w:rsidRDefault="00723A84" w:rsidP="00624255">
            <w:r>
              <w:t>12</w:t>
            </w:r>
          </w:p>
        </w:tc>
        <w:tc>
          <w:tcPr>
            <w:tcW w:w="1701" w:type="dxa"/>
          </w:tcPr>
          <w:p w14:paraId="513DA1E0" w14:textId="77777777" w:rsidR="00723A84" w:rsidRDefault="00723A84" w:rsidP="00624255"/>
          <w:p w14:paraId="089009E4" w14:textId="77777777" w:rsidR="00723A84" w:rsidRDefault="00723A84" w:rsidP="00624255">
            <w:r>
              <w:t>9</w:t>
            </w:r>
          </w:p>
        </w:tc>
        <w:tc>
          <w:tcPr>
            <w:tcW w:w="8080" w:type="dxa"/>
          </w:tcPr>
          <w:p w14:paraId="75CAC6F5" w14:textId="77777777" w:rsidR="00723A84" w:rsidRDefault="00723A84" w:rsidP="00624255"/>
          <w:p w14:paraId="6D4E797C" w14:textId="77777777" w:rsidR="00723A84" w:rsidRDefault="00723A84" w:rsidP="004C3A62">
            <w:r>
              <w:t xml:space="preserve">New reference number to accommodate layout change. </w:t>
            </w:r>
          </w:p>
          <w:p w14:paraId="66060428" w14:textId="77777777" w:rsidR="00723A84" w:rsidRDefault="00723A84" w:rsidP="00624255"/>
        </w:tc>
      </w:tr>
      <w:tr w:rsidR="00723A84" w14:paraId="51EEF124" w14:textId="77777777" w:rsidTr="7703B288">
        <w:tc>
          <w:tcPr>
            <w:tcW w:w="2654" w:type="dxa"/>
          </w:tcPr>
          <w:p w14:paraId="1D0656FE" w14:textId="77777777" w:rsidR="00723A84" w:rsidRDefault="00723A84" w:rsidP="00624255"/>
          <w:p w14:paraId="1F6B6F28" w14:textId="77777777" w:rsidR="00723A84" w:rsidRPr="00F93CEA" w:rsidRDefault="00723A84" w:rsidP="00624255">
            <w:r w:rsidRPr="0003398D">
              <w:t>PAH Analysis</w:t>
            </w:r>
          </w:p>
        </w:tc>
        <w:tc>
          <w:tcPr>
            <w:tcW w:w="1423" w:type="dxa"/>
          </w:tcPr>
          <w:p w14:paraId="7B37605A" w14:textId="77777777" w:rsidR="00723A84" w:rsidRDefault="00723A84" w:rsidP="00624255"/>
          <w:p w14:paraId="0D02717C" w14:textId="77777777" w:rsidR="00723A84" w:rsidRDefault="00723A84" w:rsidP="00624255">
            <w:r>
              <w:t>12.5.1</w:t>
            </w:r>
          </w:p>
        </w:tc>
        <w:tc>
          <w:tcPr>
            <w:tcW w:w="1701" w:type="dxa"/>
          </w:tcPr>
          <w:p w14:paraId="394798F2" w14:textId="77777777" w:rsidR="00723A84" w:rsidRDefault="00723A84" w:rsidP="00624255"/>
          <w:p w14:paraId="70AF9EAD" w14:textId="77777777" w:rsidR="00723A84" w:rsidRDefault="00723A84" w:rsidP="00624255">
            <w:r>
              <w:t>9.5.1</w:t>
            </w:r>
          </w:p>
        </w:tc>
        <w:tc>
          <w:tcPr>
            <w:tcW w:w="8080" w:type="dxa"/>
          </w:tcPr>
          <w:p w14:paraId="3889A505" w14:textId="77777777" w:rsidR="00723A84" w:rsidRDefault="00723A84" w:rsidP="00624255"/>
          <w:p w14:paraId="350DA4AC" w14:textId="77777777" w:rsidR="00723A84" w:rsidRDefault="00723A84" w:rsidP="00624255">
            <w:r>
              <w:t>Text added to allow</w:t>
            </w:r>
            <w:r w:rsidRPr="008F5050">
              <w:t xml:space="preserve"> for other standard methods / analytical techniques </w:t>
            </w:r>
            <w:r>
              <w:t>to</w:t>
            </w:r>
            <w:r w:rsidRPr="008F5050">
              <w:t xml:space="preserve"> be used </w:t>
            </w:r>
            <w:r>
              <w:t xml:space="preserve">for PAH analysis </w:t>
            </w:r>
            <w:r w:rsidRPr="008F5050">
              <w:t>if they provide the equivalent or better detection limit</w:t>
            </w:r>
            <w:r>
              <w:t>.</w:t>
            </w:r>
          </w:p>
          <w:p w14:paraId="29079D35" w14:textId="77777777" w:rsidR="00723A84" w:rsidRDefault="00723A84" w:rsidP="00624255"/>
          <w:p w14:paraId="60683321" w14:textId="77777777" w:rsidR="00723A84" w:rsidRDefault="00723A84" w:rsidP="00624255">
            <w:r>
              <w:t>‘</w:t>
            </w:r>
            <w:r w:rsidRPr="008F5050">
              <w:t>Other standard methods / analytical techniques could be used if they provide the equivalent or better detection limit.</w:t>
            </w:r>
            <w:r>
              <w:t>’</w:t>
            </w:r>
          </w:p>
        </w:tc>
      </w:tr>
      <w:tr w:rsidR="00723A84" w14:paraId="2575F444" w14:textId="77777777" w:rsidTr="7703B288">
        <w:tc>
          <w:tcPr>
            <w:tcW w:w="2654" w:type="dxa"/>
          </w:tcPr>
          <w:p w14:paraId="17686DC7" w14:textId="77777777" w:rsidR="00723A84" w:rsidRDefault="00723A84" w:rsidP="00624255"/>
          <w:p w14:paraId="461990C6" w14:textId="77777777" w:rsidR="00723A84" w:rsidRDefault="00723A84" w:rsidP="00624255">
            <w:r w:rsidRPr="0003398D">
              <w:t>PAH Analysis</w:t>
            </w:r>
          </w:p>
          <w:p w14:paraId="53BD644D" w14:textId="77777777" w:rsidR="00723A84" w:rsidRPr="00F93CEA" w:rsidRDefault="00723A84" w:rsidP="00624255"/>
        </w:tc>
        <w:tc>
          <w:tcPr>
            <w:tcW w:w="1423" w:type="dxa"/>
          </w:tcPr>
          <w:p w14:paraId="1A3FAC43" w14:textId="77777777" w:rsidR="00723A84" w:rsidRDefault="00723A84" w:rsidP="00624255"/>
          <w:p w14:paraId="7AA551CE" w14:textId="77777777" w:rsidR="00723A84" w:rsidRDefault="00723A84" w:rsidP="00624255">
            <w:r>
              <w:t>12.5.1</w:t>
            </w:r>
          </w:p>
        </w:tc>
        <w:tc>
          <w:tcPr>
            <w:tcW w:w="1701" w:type="dxa"/>
          </w:tcPr>
          <w:p w14:paraId="2BBD94B2" w14:textId="77777777" w:rsidR="00723A84" w:rsidRDefault="00723A84" w:rsidP="00624255"/>
          <w:p w14:paraId="0D6C68C0" w14:textId="77777777" w:rsidR="00723A84" w:rsidRDefault="00723A84" w:rsidP="00624255">
            <w:r>
              <w:t>9.5.1</w:t>
            </w:r>
          </w:p>
        </w:tc>
        <w:tc>
          <w:tcPr>
            <w:tcW w:w="8080" w:type="dxa"/>
          </w:tcPr>
          <w:p w14:paraId="5854DE7F" w14:textId="77777777" w:rsidR="00723A84" w:rsidRDefault="00723A84" w:rsidP="00624255"/>
          <w:p w14:paraId="7E79C02B" w14:textId="77777777" w:rsidR="00723A84" w:rsidRDefault="00723A84" w:rsidP="00624255">
            <w:pPr>
              <w:rPr>
                <w:color w:val="000000" w:themeColor="text1"/>
              </w:rPr>
            </w:pPr>
            <w:r>
              <w:t xml:space="preserve">Link providing details on PAH analysis as included in </w:t>
            </w:r>
            <w:r w:rsidRPr="00FE2BED">
              <w:rPr>
                <w:color w:val="000000" w:themeColor="text1"/>
              </w:rPr>
              <w:t xml:space="preserve">OSPAR paper OIC 04/3-2 </w:t>
            </w:r>
            <w:r>
              <w:rPr>
                <w:color w:val="000000" w:themeColor="text1"/>
              </w:rPr>
              <w:t>removed as paper not freely available.</w:t>
            </w:r>
          </w:p>
          <w:p w14:paraId="0DFAE634" w14:textId="77777777" w:rsidR="00723A84" w:rsidRDefault="00723A84" w:rsidP="00624255">
            <w:r>
              <w:t xml:space="preserve">  </w:t>
            </w:r>
          </w:p>
        </w:tc>
      </w:tr>
      <w:tr w:rsidR="00723A84" w14:paraId="5D6BD96F" w14:textId="77777777" w:rsidTr="7703B288">
        <w:tc>
          <w:tcPr>
            <w:tcW w:w="2654" w:type="dxa"/>
          </w:tcPr>
          <w:p w14:paraId="2CA7ADD4" w14:textId="77777777" w:rsidR="00723A84" w:rsidRDefault="00723A84" w:rsidP="00624255"/>
          <w:p w14:paraId="6A7B46EA" w14:textId="77777777" w:rsidR="00723A84" w:rsidRDefault="00723A84" w:rsidP="00624255">
            <w:r w:rsidRPr="0003398D">
              <w:t>PAH Analysis</w:t>
            </w:r>
          </w:p>
          <w:p w14:paraId="314EE24A" w14:textId="77777777" w:rsidR="00723A84" w:rsidRPr="00F93CEA" w:rsidRDefault="00723A84" w:rsidP="00624255"/>
        </w:tc>
        <w:tc>
          <w:tcPr>
            <w:tcW w:w="1423" w:type="dxa"/>
          </w:tcPr>
          <w:p w14:paraId="76614669" w14:textId="77777777" w:rsidR="00723A84" w:rsidRDefault="00723A84" w:rsidP="00624255"/>
          <w:p w14:paraId="0304C3B2" w14:textId="77777777" w:rsidR="00723A84" w:rsidRDefault="00723A84" w:rsidP="00624255">
            <w:r>
              <w:t>12.5.4</w:t>
            </w:r>
          </w:p>
        </w:tc>
        <w:tc>
          <w:tcPr>
            <w:tcW w:w="1701" w:type="dxa"/>
          </w:tcPr>
          <w:p w14:paraId="57590049" w14:textId="77777777" w:rsidR="00723A84" w:rsidRDefault="00723A84" w:rsidP="00624255"/>
          <w:p w14:paraId="5C8BA02A" w14:textId="77777777" w:rsidR="00723A84" w:rsidRDefault="00723A84" w:rsidP="00624255">
            <w:r>
              <w:t>9.5.4</w:t>
            </w:r>
          </w:p>
        </w:tc>
        <w:tc>
          <w:tcPr>
            <w:tcW w:w="8080" w:type="dxa"/>
          </w:tcPr>
          <w:p w14:paraId="0C5B615A" w14:textId="77777777" w:rsidR="00723A84" w:rsidRDefault="00723A84" w:rsidP="00624255"/>
          <w:p w14:paraId="186ED0AC" w14:textId="77777777" w:rsidR="00723A84" w:rsidRDefault="00723A84" w:rsidP="00624255">
            <w:r>
              <w:t xml:space="preserve">Text added to make clear how </w:t>
            </w:r>
            <w:r w:rsidRPr="00442F1E">
              <w:t>Phenols / alkyl phenols content</w:t>
            </w:r>
            <w:r>
              <w:t xml:space="preserve"> should be reported to EEMS</w:t>
            </w:r>
          </w:p>
          <w:p w14:paraId="792F1AA2" w14:textId="77777777" w:rsidR="00723A84" w:rsidRDefault="00723A84" w:rsidP="00624255"/>
          <w:p w14:paraId="194672AB" w14:textId="77777777" w:rsidR="00723A84" w:rsidRDefault="00723A84" w:rsidP="00624255">
            <w:r>
              <w:lastRenderedPageBreak/>
              <w:t>‘For reporting to EEMS the following information is required</w:t>
            </w:r>
          </w:p>
          <w:p w14:paraId="1A499DFC" w14:textId="77777777" w:rsidR="00723A84" w:rsidRDefault="00723A84" w:rsidP="00624255"/>
          <w:p w14:paraId="4A86F377" w14:textId="77777777" w:rsidR="00723A84" w:rsidRDefault="00723A84" w:rsidP="00624255">
            <w:r>
              <w:t>•</w:t>
            </w:r>
            <w:r>
              <w:tab/>
              <w:t xml:space="preserve">C0-C3, </w:t>
            </w:r>
          </w:p>
          <w:p w14:paraId="12D775CB" w14:textId="77777777" w:rsidR="00723A84" w:rsidRDefault="00723A84" w:rsidP="00624255">
            <w:r>
              <w:t>•</w:t>
            </w:r>
            <w:r>
              <w:tab/>
              <w:t xml:space="preserve">C4-C5, </w:t>
            </w:r>
          </w:p>
          <w:p w14:paraId="3E24EE62" w14:textId="77777777" w:rsidR="00723A84" w:rsidRDefault="00723A84" w:rsidP="00624255">
            <w:r>
              <w:t>•</w:t>
            </w:r>
            <w:r>
              <w:tab/>
              <w:t xml:space="preserve">C6-C9, and, </w:t>
            </w:r>
          </w:p>
          <w:p w14:paraId="3D7D3B6D" w14:textId="77777777" w:rsidR="00723A84" w:rsidRDefault="00723A84" w:rsidP="00624255">
            <w:r>
              <w:t>•</w:t>
            </w:r>
            <w:r>
              <w:tab/>
              <w:t>Total (0-9) Phenols / alkyl phenols’</w:t>
            </w:r>
          </w:p>
          <w:p w14:paraId="5E7E3C41" w14:textId="77777777" w:rsidR="00723A84" w:rsidRDefault="00723A84" w:rsidP="00624255"/>
        </w:tc>
      </w:tr>
      <w:tr w:rsidR="00723A84" w14:paraId="603F6281" w14:textId="77777777" w:rsidTr="7703B288">
        <w:tc>
          <w:tcPr>
            <w:tcW w:w="2654" w:type="dxa"/>
          </w:tcPr>
          <w:p w14:paraId="03F828E4" w14:textId="77777777" w:rsidR="00723A84" w:rsidRDefault="00723A84" w:rsidP="00624255"/>
          <w:p w14:paraId="6F4958AE" w14:textId="77777777" w:rsidR="00723A84" w:rsidRPr="00B203BC" w:rsidRDefault="00723A84" w:rsidP="00624255">
            <w:pPr>
              <w:rPr>
                <w:b/>
              </w:rPr>
            </w:pPr>
            <w:bookmarkStart w:id="1" w:name="_Toc501718412"/>
            <w:r w:rsidRPr="00B203BC">
              <w:rPr>
                <w:b/>
              </w:rPr>
              <w:t>Hydrocarbon Analysis of Non-Produced Water Discharge Streams</w:t>
            </w:r>
            <w:bookmarkEnd w:id="1"/>
          </w:p>
          <w:p w14:paraId="2AC57CB0" w14:textId="77777777" w:rsidR="00723A84" w:rsidRPr="00F93CEA" w:rsidRDefault="00723A84" w:rsidP="00624255"/>
        </w:tc>
        <w:tc>
          <w:tcPr>
            <w:tcW w:w="1423" w:type="dxa"/>
          </w:tcPr>
          <w:p w14:paraId="5186B13D" w14:textId="77777777" w:rsidR="00723A84" w:rsidRDefault="00723A84" w:rsidP="00624255"/>
          <w:p w14:paraId="39F18D26" w14:textId="77777777" w:rsidR="00723A84" w:rsidRDefault="00723A84" w:rsidP="00624255">
            <w:r>
              <w:t>13</w:t>
            </w:r>
          </w:p>
        </w:tc>
        <w:tc>
          <w:tcPr>
            <w:tcW w:w="1701" w:type="dxa"/>
          </w:tcPr>
          <w:p w14:paraId="6C57C439" w14:textId="77777777" w:rsidR="00723A84" w:rsidRDefault="00723A84" w:rsidP="00624255"/>
          <w:p w14:paraId="48DF98D7" w14:textId="77777777" w:rsidR="00723A84" w:rsidRDefault="00723A84" w:rsidP="00624255">
            <w:r>
              <w:t>12</w:t>
            </w:r>
          </w:p>
        </w:tc>
        <w:tc>
          <w:tcPr>
            <w:tcW w:w="8080" w:type="dxa"/>
          </w:tcPr>
          <w:p w14:paraId="3D404BC9" w14:textId="77777777" w:rsidR="00723A84" w:rsidRDefault="00723A84" w:rsidP="00624255"/>
          <w:p w14:paraId="192320DD" w14:textId="77777777" w:rsidR="00723A84" w:rsidRDefault="00723A84" w:rsidP="004C3A62">
            <w:r>
              <w:t xml:space="preserve">New reference number to accommodate layout change. </w:t>
            </w:r>
          </w:p>
          <w:p w14:paraId="61319B8A" w14:textId="77777777" w:rsidR="00723A84" w:rsidRDefault="00723A84" w:rsidP="00624255"/>
        </w:tc>
      </w:tr>
      <w:tr w:rsidR="00723A84" w14:paraId="7DFD800A" w14:textId="77777777" w:rsidTr="7703B288">
        <w:tc>
          <w:tcPr>
            <w:tcW w:w="2654" w:type="dxa"/>
          </w:tcPr>
          <w:p w14:paraId="31A560F4" w14:textId="77777777" w:rsidR="00723A84" w:rsidRDefault="00723A84" w:rsidP="00624255"/>
          <w:p w14:paraId="2F7181FD" w14:textId="77777777" w:rsidR="00723A84" w:rsidRPr="00F93CEA" w:rsidRDefault="00723A84" w:rsidP="00624255">
            <w:r w:rsidRPr="006776C0">
              <w:t>Measurement of hydrocarbons on thermally treated Organo-Phase Fluid (OPF) drill cuttings</w:t>
            </w:r>
          </w:p>
        </w:tc>
        <w:tc>
          <w:tcPr>
            <w:tcW w:w="1423" w:type="dxa"/>
          </w:tcPr>
          <w:p w14:paraId="70DF735C" w14:textId="77777777" w:rsidR="00723A84" w:rsidRDefault="00723A84" w:rsidP="00624255"/>
          <w:p w14:paraId="268902C6" w14:textId="77777777" w:rsidR="00723A84" w:rsidRDefault="00723A84" w:rsidP="00624255">
            <w:r>
              <w:t>13.2</w:t>
            </w:r>
          </w:p>
        </w:tc>
        <w:tc>
          <w:tcPr>
            <w:tcW w:w="1701" w:type="dxa"/>
          </w:tcPr>
          <w:p w14:paraId="3A413BF6" w14:textId="77777777" w:rsidR="00723A84" w:rsidRDefault="00723A84" w:rsidP="00624255"/>
          <w:p w14:paraId="2AC6642A" w14:textId="77777777" w:rsidR="00723A84" w:rsidRDefault="00723A84" w:rsidP="00624255">
            <w:r>
              <w:t>10.2</w:t>
            </w:r>
          </w:p>
        </w:tc>
        <w:tc>
          <w:tcPr>
            <w:tcW w:w="8080" w:type="dxa"/>
          </w:tcPr>
          <w:p w14:paraId="33D28B4B" w14:textId="77777777" w:rsidR="00723A84" w:rsidRDefault="00723A84" w:rsidP="00624255"/>
          <w:p w14:paraId="0D973AE0" w14:textId="77777777" w:rsidR="00723A84" w:rsidRDefault="00723A84" w:rsidP="00624255">
            <w:r>
              <w:t>Additional text added to provide guidance on offshore analysis of oil on OPF drill cuttings</w:t>
            </w:r>
          </w:p>
          <w:p w14:paraId="37EFA3E3" w14:textId="77777777" w:rsidR="00723A84" w:rsidRDefault="00723A84" w:rsidP="00624255"/>
          <w:p w14:paraId="54CEC175" w14:textId="77777777" w:rsidR="00723A84" w:rsidRDefault="00723A84" w:rsidP="00624255">
            <w:r>
              <w:t>‘BEIS requires that analysis is carried out offshore during the discharge operation for oil present on OPF drill cuttings. The BEIS IR method (Annex A of the BEIS IR Method section 6.10) should be used with the following variations;</w:t>
            </w:r>
          </w:p>
          <w:p w14:paraId="41C6AC2A" w14:textId="77777777" w:rsidR="00723A84" w:rsidRDefault="00723A84" w:rsidP="00624255"/>
          <w:p w14:paraId="2CB79C00" w14:textId="77777777" w:rsidR="00723A84" w:rsidRDefault="00723A84" w:rsidP="00624255">
            <w:r>
              <w:t>•</w:t>
            </w:r>
            <w:r>
              <w:tab/>
              <w:t>Only a single TTCE extraction should be carried out;</w:t>
            </w:r>
          </w:p>
          <w:p w14:paraId="0D9A977F" w14:textId="77777777" w:rsidR="00723A84" w:rsidRDefault="00723A84" w:rsidP="00624255">
            <w:r>
              <w:t>•</w:t>
            </w:r>
            <w:r>
              <w:tab/>
              <w:t>No florisil should be used during the extraction process.</w:t>
            </w:r>
          </w:p>
          <w:p w14:paraId="2DC44586" w14:textId="77777777" w:rsidR="00723A84" w:rsidRDefault="00723A84" w:rsidP="00624255"/>
          <w:p w14:paraId="23C299C9" w14:textId="77777777" w:rsidR="00723A84" w:rsidRDefault="00723A84" w:rsidP="00624255">
            <w:r>
              <w:t>Please note that the result should not to be correlated to the OSPAR Reference method.</w:t>
            </w:r>
          </w:p>
          <w:p w14:paraId="4FFCBC07" w14:textId="77777777" w:rsidR="00723A84" w:rsidRDefault="00723A84" w:rsidP="00624255"/>
          <w:p w14:paraId="1C9DCC90" w14:textId="77777777" w:rsidR="00723A84" w:rsidRDefault="00723A84" w:rsidP="00624255">
            <w:r>
              <w:t>For offshore analysis of oil in water streams associated with thermally treated OPF drill cuttings the BEIS IR method (section 6) should be used with the following variation;</w:t>
            </w:r>
          </w:p>
          <w:p w14:paraId="1728B4D0" w14:textId="77777777" w:rsidR="00723A84" w:rsidRDefault="00723A84" w:rsidP="00624255"/>
          <w:p w14:paraId="5628F3FC" w14:textId="77777777" w:rsidR="00723A84" w:rsidRDefault="00723A84" w:rsidP="00624255">
            <w:r>
              <w:lastRenderedPageBreak/>
              <w:t>•</w:t>
            </w:r>
            <w:r>
              <w:tab/>
              <w:t>No florisil should be used during the extraction process.</w:t>
            </w:r>
          </w:p>
          <w:p w14:paraId="34959D4B" w14:textId="77777777" w:rsidR="00723A84" w:rsidRDefault="00723A84" w:rsidP="00624255"/>
          <w:p w14:paraId="139F8A70" w14:textId="77777777" w:rsidR="00723A84" w:rsidRDefault="00723A84" w:rsidP="00624255">
            <w:r>
              <w:t>Please note that the result should not to be correlated to the OSPAR Reference method’</w:t>
            </w:r>
          </w:p>
        </w:tc>
      </w:tr>
    </w:tbl>
    <w:p w14:paraId="7BD58BA2" w14:textId="77777777" w:rsidR="00F5427C" w:rsidRDefault="00F5427C"/>
    <w:sectPr w:rsidR="00F5427C" w:rsidSect="004C3A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A62"/>
    <w:rsid w:val="000514C5"/>
    <w:rsid w:val="0008119A"/>
    <w:rsid w:val="003E2B12"/>
    <w:rsid w:val="004C3A62"/>
    <w:rsid w:val="00723A84"/>
    <w:rsid w:val="00752983"/>
    <w:rsid w:val="00957E7F"/>
    <w:rsid w:val="00A25808"/>
    <w:rsid w:val="00A9615A"/>
    <w:rsid w:val="00B97370"/>
    <w:rsid w:val="00F5427C"/>
    <w:rsid w:val="7703B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0725"/>
  <w15:docId w15:val="{D2D96F98-4C4F-4B3A-81BF-0C1AB6F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A62"/>
    <w:pPr>
      <w:ind w:left="720"/>
      <w:contextualSpacing/>
    </w:pPr>
  </w:style>
  <w:style w:type="character" w:styleId="Hyperlink">
    <w:name w:val="Hyperlink"/>
    <w:basedOn w:val="DefaultParagraphFont"/>
    <w:uiPriority w:val="99"/>
    <w:unhideWhenUsed/>
    <w:rsid w:val="004C3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shore.inspectorate@bei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A42E82242EF184CA131A338FCAD2913" ma:contentTypeVersion="16323" ma:contentTypeDescription="Create a new document." ma:contentTypeScope="" ma:versionID="b866bbcc873046cd2b42f13cec5ae810">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0743d226-7ae2-4f02-af02-faf57dfe1429" targetNamespace="http://schemas.microsoft.com/office/2006/metadata/properties" ma:root="true" ma:fieldsID="6eb5444ed066b84e3ab78e99a80c0afe"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0743d226-7ae2-4f02-af02-faf57dfe1429"/>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43d226-7ae2-4f02-af02-faf57dfe1429"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2QFN7KK647Q6-841839208-45819</_dlc_DocId>
    <_dlc_DocIdUrl xmlns="0063f72e-ace3-48fb-9c1f-5b513408b31f">
      <Url>https://beisgov.sharepoint.com/sites/beis/372/_layouts/15/DocIdRedir.aspx?ID=2QFN7KK647Q6-841839208-45819</Url>
      <Description>2QFN7KK647Q6-841839208-45819</Description>
    </_dlc_DocIdUrl>
    <TaxCatchAll xmlns="0063f72e-ace3-48fb-9c1f-5b513408b31f">
      <Value>114</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2018-06-20T07:39:09+00:00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CIRRUSPreviousRetentionPolicy xmlns="0743d226-7ae2-4f02-af02-faf57dfe1429" xsi:nil="true"/>
    <LegacyCaseReferenceNumber xmlns="0743d226-7ae2-4f02-af02-faf57dfe1429" xsi:nil="true"/>
  </documentManagement>
</p:properties>
</file>

<file path=customXml/itemProps1.xml><?xml version="1.0" encoding="utf-8"?>
<ds:datastoreItem xmlns:ds="http://schemas.openxmlformats.org/officeDocument/2006/customXml" ds:itemID="{174114E5-4DE6-4806-832F-E6F25747D8C0}">
  <ds:schemaRefs>
    <ds:schemaRef ds:uri="http://schemas.microsoft.com/sharepoint/v3/contenttype/forms"/>
  </ds:schemaRefs>
</ds:datastoreItem>
</file>

<file path=customXml/itemProps2.xml><?xml version="1.0" encoding="utf-8"?>
<ds:datastoreItem xmlns:ds="http://schemas.openxmlformats.org/officeDocument/2006/customXml" ds:itemID="{8187A720-7CF3-43C2-BB3E-DE5598C85ABA}">
  <ds:schemaRefs>
    <ds:schemaRef ds:uri="http://schemas.microsoft.com/sharepoint/events"/>
  </ds:schemaRefs>
</ds:datastoreItem>
</file>

<file path=customXml/itemProps3.xml><?xml version="1.0" encoding="utf-8"?>
<ds:datastoreItem xmlns:ds="http://schemas.openxmlformats.org/officeDocument/2006/customXml" ds:itemID="{2A8DF195-2A8D-4518-A0AE-18736F8E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0743d226-7ae2-4f02-af02-faf57dfe1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352E2-F35C-4706-8722-E104013D2E0A}">
  <ds:schemaRefs>
    <ds:schemaRef ds:uri="http://schemas.microsoft.com/office/2006/documentManagement/types"/>
    <ds:schemaRef ds:uri="0063f72e-ace3-48fb-9c1f-5b513408b31f"/>
    <ds:schemaRef ds:uri="http://schemas.openxmlformats.org/package/2006/metadata/core-properties"/>
    <ds:schemaRef ds:uri="a172083e-e40c-4314-b43a-827352a1ed2c"/>
    <ds:schemaRef ds:uri="http://purl.org/dc/elements/1.1/"/>
    <ds:schemaRef ds:uri="b67a7830-db79-4a49-bf27-2aff92a2201a"/>
    <ds:schemaRef ds:uri="a8f60570-4bd3-4f2b-950b-a996de8ab151"/>
    <ds:schemaRef ds:uri="http://schemas.microsoft.com/office/infopath/2007/PartnerControls"/>
    <ds:schemaRef ds:uri="http://schemas.microsoft.com/office/2006/metadata/properties"/>
    <ds:schemaRef ds:uri="http://purl.org/dc/terms/"/>
    <ds:schemaRef ds:uri="0743d226-7ae2-4f02-af02-faf57dfe1429"/>
    <ds:schemaRef ds:uri="c963a4c1-1bb4-49f2-a011-9c776a7eed2a"/>
    <ds:schemaRef ds:uri="b413c3fd-5a3b-4239-b985-69032e371c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David (Energy Development)</dc:creator>
  <cp:lastModifiedBy>Macdonald, David (BEIS)</cp:lastModifiedBy>
  <cp:revision>2</cp:revision>
  <dcterms:created xsi:type="dcterms:W3CDTF">2018-08-27T11:49:00Z</dcterms:created>
  <dcterms:modified xsi:type="dcterms:W3CDTF">2018-08-27T11:49:00Z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114;#Offshore Petroleum Regulator for Environment and Decommissioning|f72fe9dc-daed-4631-ae01-b6a82195d285</vt:lpwstr>
  </property>
  <property fmtid="{D5CDD505-2E9C-101B-9397-08002B2CF9AE}" pid="3" name="ContentTypeId">
    <vt:lpwstr>0x0101005A42E82242EF184CA131A338FCAD2913</vt:lpwstr>
  </property>
  <property fmtid="{D5CDD505-2E9C-101B-9397-08002B2CF9AE}" pid="4" name="_dlc_DocIdItemGuid">
    <vt:lpwstr>60d1f516-55f6-4083-8b19-f20e154bc4a3</vt:lpwstr>
  </property>
</Properties>
</file>