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60F8" w14:textId="77777777" w:rsidR="00547BB1" w:rsidRPr="007E190E" w:rsidRDefault="00547BB1" w:rsidP="00547BB1">
      <w:pPr>
        <w:rPr>
          <w:vanish/>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B96DAB" w14:paraId="529E07E7" w14:textId="77777777" w:rsidTr="001A34B7">
        <w:trPr>
          <w:trHeight w:hRule="exact" w:val="2709"/>
        </w:trPr>
        <w:tc>
          <w:tcPr>
            <w:tcW w:w="6118" w:type="dxa"/>
            <w:tcBorders>
              <w:top w:val="single" w:sz="4" w:space="0" w:color="auto"/>
              <w:bottom w:val="single" w:sz="4" w:space="0" w:color="auto"/>
            </w:tcBorders>
            <w:shd w:val="clear" w:color="auto" w:fill="auto"/>
          </w:tcPr>
          <w:p w14:paraId="48ED1144" w14:textId="77777777" w:rsidR="00B96DAB" w:rsidRPr="00B07B94" w:rsidRDefault="00B96DAB" w:rsidP="00BF400E">
            <w:pPr>
              <w:pStyle w:val="IAHeadLabel0"/>
              <w:spacing w:before="50"/>
              <w:ind w:left="113"/>
              <w:rPr>
                <w:sz w:val="28"/>
                <w:szCs w:val="28"/>
              </w:rPr>
            </w:pPr>
            <w:r w:rsidRPr="003E0510">
              <w:t>Title</w:t>
            </w:r>
            <w:r w:rsidR="000A2A4E">
              <w:t xml:space="preserve">: </w:t>
            </w:r>
            <w:r w:rsidR="004A2D06" w:rsidRPr="00FC0DAB">
              <w:rPr>
                <w:b w:val="0"/>
              </w:rPr>
              <w:t>C</w:t>
            </w:r>
            <w:r w:rsidR="004A2D06">
              <w:rPr>
                <w:b w:val="0"/>
              </w:rPr>
              <w:t>ivil Liabilit</w:t>
            </w:r>
            <w:r w:rsidR="005A0E50">
              <w:rPr>
                <w:b w:val="0"/>
              </w:rPr>
              <w:t>y</w:t>
            </w:r>
            <w:r w:rsidRPr="00C11EA6">
              <w:rPr>
                <w:b w:val="0"/>
              </w:rPr>
              <w:t xml:space="preserve"> </w:t>
            </w:r>
            <w:r w:rsidR="000332A7">
              <w:rPr>
                <w:b w:val="0"/>
              </w:rPr>
              <w:t>Act 2018</w:t>
            </w:r>
            <w:r w:rsidR="00FB7F2E">
              <w:rPr>
                <w:b w:val="0"/>
              </w:rPr>
              <w:t>:</w:t>
            </w:r>
            <w:r w:rsidRPr="00C11EA6">
              <w:rPr>
                <w:b w:val="0"/>
              </w:rPr>
              <w:t xml:space="preserve"> Overarching Impact Assessment</w:t>
            </w:r>
          </w:p>
          <w:p w14:paraId="49BC2B41" w14:textId="77777777" w:rsidR="00B96DAB" w:rsidRPr="00B00194" w:rsidRDefault="00B96DAB" w:rsidP="00BF400E">
            <w:pPr>
              <w:pStyle w:val="IAHeadTitle"/>
              <w:ind w:left="113"/>
              <w:rPr>
                <w:rStyle w:val="IANoChar"/>
                <w:rFonts w:eastAsia="SimSun"/>
                <w:sz w:val="20"/>
                <w:szCs w:val="20"/>
              </w:rPr>
            </w:pPr>
            <w:r w:rsidRPr="007E190E">
              <w:rPr>
                <w:sz w:val="20"/>
                <w:szCs w:val="20"/>
              </w:rPr>
              <w:t>IA No:</w:t>
            </w:r>
            <w:r>
              <w:rPr>
                <w:sz w:val="20"/>
                <w:szCs w:val="20"/>
              </w:rPr>
              <w:t xml:space="preserve"> </w:t>
            </w:r>
            <w:r w:rsidR="004A2D06">
              <w:rPr>
                <w:sz w:val="20"/>
                <w:szCs w:val="20"/>
              </w:rPr>
              <w:t>MoJ012/2017</w:t>
            </w:r>
          </w:p>
          <w:p w14:paraId="52D43660" w14:textId="77777777" w:rsidR="00B96DAB" w:rsidRDefault="00B96DAB" w:rsidP="00BF400E">
            <w:pPr>
              <w:pStyle w:val="IAHeadLabel"/>
              <w:ind w:left="113"/>
            </w:pPr>
            <w:bookmarkStart w:id="0" w:name="IARPCReference"/>
            <w:r>
              <w:t xml:space="preserve">RPC Reference No: </w:t>
            </w:r>
            <w:r w:rsidR="00297043">
              <w:rPr>
                <w:b w:val="0"/>
              </w:rPr>
              <w:t>RPC-3432(3) MoJ (Whiplash)</w:t>
            </w:r>
            <w:r w:rsidRPr="00B96DAB">
              <w:rPr>
                <w:b w:val="0"/>
              </w:rPr>
              <w:t xml:space="preserve">          </w:t>
            </w:r>
            <w:bookmarkEnd w:id="0"/>
          </w:p>
          <w:p w14:paraId="3236F1F1" w14:textId="77777777" w:rsidR="00B96DAB" w:rsidRPr="005F32E7" w:rsidRDefault="00B96DAB" w:rsidP="00BF400E">
            <w:pPr>
              <w:pStyle w:val="IAHeadLabel"/>
              <w:ind w:left="113"/>
            </w:pPr>
            <w:r w:rsidRPr="003E0510">
              <w:t>Lead department or agency</w:t>
            </w:r>
            <w:r>
              <w:t xml:space="preserve">: </w:t>
            </w:r>
            <w:r w:rsidRPr="00B96DAB">
              <w:rPr>
                <w:b w:val="0"/>
              </w:rPr>
              <w:t>Ministry of Justice</w:t>
            </w:r>
          </w:p>
          <w:p w14:paraId="00EC8811" w14:textId="77777777" w:rsidR="00B96DAB" w:rsidRDefault="00B96DAB" w:rsidP="00BF400E">
            <w:pPr>
              <w:pStyle w:val="IATableLabel"/>
              <w:spacing w:after="0"/>
            </w:pPr>
            <w:r w:rsidRPr="003E0510">
              <w:t>Other dep</w:t>
            </w:r>
            <w:r w:rsidRPr="00E217A2">
              <w:t>a</w:t>
            </w:r>
            <w:r w:rsidRPr="003E0510">
              <w:t>rtments or agencies:</w:t>
            </w:r>
            <w:r>
              <w:t xml:space="preserve">   </w:t>
            </w:r>
          </w:p>
          <w:p w14:paraId="0D2C9BAB" w14:textId="77777777" w:rsidR="00B96DAB" w:rsidRDefault="00B96DAB" w:rsidP="00BF400E">
            <w:pPr>
              <w:pStyle w:val="IATableLabel"/>
              <w:spacing w:after="0"/>
            </w:pPr>
          </w:p>
        </w:tc>
        <w:tc>
          <w:tcPr>
            <w:tcW w:w="4098" w:type="dxa"/>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96DAB" w:rsidRPr="00383295" w14:paraId="124156FE" w14:textId="77777777" w:rsidTr="00BF400E">
              <w:trPr>
                <w:trHeight w:hRule="exact" w:val="539"/>
              </w:trPr>
              <w:tc>
                <w:tcPr>
                  <w:tcW w:w="4088" w:type="dxa"/>
                  <w:shd w:val="clear" w:color="auto" w:fill="333333"/>
                  <w:vAlign w:val="center"/>
                </w:tcPr>
                <w:p w14:paraId="035C980A" w14:textId="77777777" w:rsidR="00B96DAB" w:rsidRPr="00383295" w:rsidRDefault="00B96DAB" w:rsidP="00BF400E">
                  <w:pPr>
                    <w:pStyle w:val="Title"/>
                  </w:pPr>
                  <w:r w:rsidRPr="00383295">
                    <w:t>Impact Assessment (IA)</w:t>
                  </w:r>
                </w:p>
              </w:tc>
            </w:tr>
            <w:tr w:rsidR="00B96DAB" w:rsidRPr="00966271" w14:paraId="444F4237" w14:textId="77777777" w:rsidTr="00BF400E">
              <w:tc>
                <w:tcPr>
                  <w:tcW w:w="4088" w:type="dxa"/>
                  <w:shd w:val="clear" w:color="auto" w:fill="auto"/>
                </w:tcPr>
                <w:p w14:paraId="6FB31591" w14:textId="77777777" w:rsidR="00B96DAB" w:rsidRPr="00631B4C" w:rsidRDefault="00B96DAB" w:rsidP="00810693">
                  <w:pPr>
                    <w:pStyle w:val="IATableLabel"/>
                  </w:pPr>
                  <w:r w:rsidRPr="00631B4C">
                    <w:t>Date:</w:t>
                  </w:r>
                  <w:r>
                    <w:t xml:space="preserve"> </w:t>
                  </w:r>
                  <w:r w:rsidR="005A0E50">
                    <w:rPr>
                      <w:rStyle w:val="IADateChar"/>
                      <w:b w:val="0"/>
                      <w:sz w:val="20"/>
                    </w:rPr>
                    <w:t xml:space="preserve"> </w:t>
                  </w:r>
                  <w:r w:rsidR="000F182F">
                    <w:rPr>
                      <w:rStyle w:val="IADateChar"/>
                      <w:b w:val="0"/>
                      <w:sz w:val="20"/>
                    </w:rPr>
                    <w:t xml:space="preserve">December </w:t>
                  </w:r>
                  <w:r w:rsidR="005A0E50">
                    <w:rPr>
                      <w:rStyle w:val="IADateChar"/>
                      <w:b w:val="0"/>
                      <w:sz w:val="20"/>
                    </w:rPr>
                    <w:t>2018</w:t>
                  </w:r>
                </w:p>
              </w:tc>
            </w:tr>
            <w:tr w:rsidR="00B96DAB" w:rsidRPr="00966271" w14:paraId="77A771C9" w14:textId="77777777" w:rsidTr="00BF400E">
              <w:tc>
                <w:tcPr>
                  <w:tcW w:w="4088" w:type="dxa"/>
                  <w:shd w:val="clear" w:color="auto" w:fill="auto"/>
                </w:tcPr>
                <w:p w14:paraId="2FAC14D1" w14:textId="77777777" w:rsidR="00B96DAB" w:rsidRPr="007F0ED9" w:rsidRDefault="00B96DAB" w:rsidP="00BF400E">
                  <w:pPr>
                    <w:pStyle w:val="IATableLabel"/>
                  </w:pPr>
                  <w:bookmarkStart w:id="1" w:name="Stage"/>
                  <w:r w:rsidRPr="007F0ED9">
                    <w:t xml:space="preserve">Stage: </w:t>
                  </w:r>
                  <w:bookmarkEnd w:id="1"/>
                  <w:r w:rsidR="00183021" w:rsidRPr="001E1EBA">
                    <w:rPr>
                      <w:rStyle w:val="IAStageChar"/>
                    </w:rPr>
                    <w:t>Royal Assent</w:t>
                  </w:r>
                  <w:r w:rsidR="00183021">
                    <w:rPr>
                      <w:rStyle w:val="IAStageChar"/>
                      <w:b w:val="0"/>
                    </w:rPr>
                    <w:t xml:space="preserve"> </w:t>
                  </w:r>
                </w:p>
              </w:tc>
            </w:tr>
            <w:tr w:rsidR="00B96DAB" w:rsidRPr="00966271" w14:paraId="3E782CE3" w14:textId="77777777" w:rsidTr="00BF400E">
              <w:tc>
                <w:tcPr>
                  <w:tcW w:w="4088" w:type="dxa"/>
                  <w:shd w:val="clear" w:color="auto" w:fill="auto"/>
                </w:tcPr>
                <w:p w14:paraId="6DC52061" w14:textId="77777777" w:rsidR="00B96DAB" w:rsidRPr="007F0ED9" w:rsidRDefault="00B96DAB" w:rsidP="00BF400E">
                  <w:pPr>
                    <w:pStyle w:val="IATableLabel"/>
                  </w:pPr>
                  <w:r w:rsidRPr="007F0ED9">
                    <w:t xml:space="preserve">Source of intervention: </w:t>
                  </w:r>
                  <w:bookmarkStart w:id="2" w:name="IAInterSource"/>
                  <w:r w:rsidRPr="00B96DAB">
                    <w:rPr>
                      <w:rStyle w:val="IASOIChar"/>
                      <w:b w:val="0"/>
                    </w:rPr>
                    <w:fldChar w:fldCharType="begin">
                      <w:ffData>
                        <w:name w:val="IAInterSource"/>
                        <w:enabled/>
                        <w:calcOnExit w:val="0"/>
                        <w:ddList>
                          <w:listEntry w:val="Domestic"/>
                          <w:listEntry w:val="EU"/>
                          <w:listEntry w:val="International"/>
                        </w:ddList>
                      </w:ffData>
                    </w:fldChar>
                  </w:r>
                  <w:r w:rsidRPr="00B96DAB">
                    <w:rPr>
                      <w:rStyle w:val="IASOIChar"/>
                      <w:b w:val="0"/>
                    </w:rPr>
                    <w:instrText xml:space="preserve"> FORMDROPDOWN </w:instrText>
                  </w:r>
                  <w:r w:rsidR="00586ECB">
                    <w:rPr>
                      <w:rStyle w:val="IASOIChar"/>
                      <w:b w:val="0"/>
                    </w:rPr>
                  </w:r>
                  <w:r w:rsidR="00586ECB">
                    <w:rPr>
                      <w:rStyle w:val="IASOIChar"/>
                      <w:b w:val="0"/>
                    </w:rPr>
                    <w:fldChar w:fldCharType="separate"/>
                  </w:r>
                  <w:r w:rsidRPr="00B96DAB">
                    <w:rPr>
                      <w:rStyle w:val="IASOIChar"/>
                      <w:b w:val="0"/>
                    </w:rPr>
                    <w:fldChar w:fldCharType="end"/>
                  </w:r>
                  <w:bookmarkEnd w:id="2"/>
                </w:p>
              </w:tc>
            </w:tr>
            <w:tr w:rsidR="00B96DAB" w:rsidRPr="007E190E" w14:paraId="09BE6A71" w14:textId="77777777" w:rsidTr="00BF400E">
              <w:tc>
                <w:tcPr>
                  <w:tcW w:w="4088" w:type="dxa"/>
                  <w:shd w:val="clear" w:color="auto" w:fill="auto"/>
                </w:tcPr>
                <w:p w14:paraId="235EDFDA" w14:textId="77777777" w:rsidR="00B96DAB" w:rsidRPr="007E190E" w:rsidRDefault="00B96DAB" w:rsidP="00BF400E">
                  <w:pPr>
                    <w:pStyle w:val="IATableLabel"/>
                    <w:rPr>
                      <w:b w:val="0"/>
                    </w:rPr>
                  </w:pPr>
                  <w:r w:rsidRPr="007F0ED9">
                    <w:t xml:space="preserve">Type of measure: </w:t>
                  </w:r>
                  <w:bookmarkStart w:id="3" w:name="IAMeasureType"/>
                  <w:r w:rsidRPr="00B96DAB">
                    <w:rPr>
                      <w:rStyle w:val="IATOMChar"/>
                      <w:b w:val="0"/>
                    </w:rPr>
                    <w:fldChar w:fldCharType="begin">
                      <w:ffData>
                        <w:name w:val="IAMeasureType"/>
                        <w:enabled/>
                        <w:calcOnExit w:val="0"/>
                        <w:ddList>
                          <w:listEntry w:val="Primary legislation"/>
                          <w:listEntry w:val="Secondary legislation"/>
                          <w:listEntry w:val="Other"/>
                        </w:ddList>
                      </w:ffData>
                    </w:fldChar>
                  </w:r>
                  <w:r w:rsidRPr="00B96DAB">
                    <w:rPr>
                      <w:rStyle w:val="IATOMChar"/>
                      <w:b w:val="0"/>
                    </w:rPr>
                    <w:instrText xml:space="preserve"> FORMDROPDOWN </w:instrText>
                  </w:r>
                  <w:r w:rsidR="00586ECB">
                    <w:rPr>
                      <w:rStyle w:val="IATOMChar"/>
                      <w:b w:val="0"/>
                    </w:rPr>
                  </w:r>
                  <w:r w:rsidR="00586ECB">
                    <w:rPr>
                      <w:rStyle w:val="IATOMChar"/>
                      <w:b w:val="0"/>
                    </w:rPr>
                    <w:fldChar w:fldCharType="separate"/>
                  </w:r>
                  <w:r w:rsidRPr="00B96DAB">
                    <w:rPr>
                      <w:rStyle w:val="IATOMChar"/>
                      <w:b w:val="0"/>
                    </w:rPr>
                    <w:fldChar w:fldCharType="end"/>
                  </w:r>
                  <w:bookmarkEnd w:id="3"/>
                </w:p>
              </w:tc>
            </w:tr>
            <w:tr w:rsidR="00B96DAB" w:rsidRPr="007E190E" w14:paraId="2BED9E21" w14:textId="77777777" w:rsidTr="00BF400E">
              <w:trPr>
                <w:trHeight w:val="1115"/>
              </w:trPr>
              <w:tc>
                <w:tcPr>
                  <w:tcW w:w="4088" w:type="dxa"/>
                  <w:shd w:val="clear" w:color="auto" w:fill="auto"/>
                </w:tcPr>
                <w:p w14:paraId="69062606" w14:textId="77777777" w:rsidR="00B96DAB" w:rsidRPr="000F004E" w:rsidRDefault="00B96DAB" w:rsidP="00BF400E">
                  <w:pPr>
                    <w:ind w:left="113" w:right="113"/>
                  </w:pPr>
                  <w:r w:rsidRPr="007E190E">
                    <w:rPr>
                      <w:rStyle w:val="IATableLabelCharChar"/>
                      <w:sz w:val="20"/>
                      <w:szCs w:val="20"/>
                    </w:rPr>
                    <w:t>Contact for enquiries:</w:t>
                  </w:r>
                  <w:r w:rsidRPr="00D337D1">
                    <w:t xml:space="preserve"> </w:t>
                  </w:r>
                  <w:r>
                    <w:rPr>
                      <w:rStyle w:val="IACOEChar"/>
                      <w:sz w:val="20"/>
                    </w:rPr>
                    <w:t xml:space="preserve">Andrew Meads, Ministry of Justice – </w:t>
                  </w:r>
                  <w:proofErr w:type="spellStart"/>
                  <w:r>
                    <w:rPr>
                      <w:rStyle w:val="IACOEChar"/>
                      <w:sz w:val="20"/>
                    </w:rPr>
                    <w:t>tel</w:t>
                  </w:r>
                  <w:proofErr w:type="spellEnd"/>
                  <w:r>
                    <w:rPr>
                      <w:rStyle w:val="IACOEChar"/>
                      <w:sz w:val="20"/>
                    </w:rPr>
                    <w:t xml:space="preserve">: 0793 729200; email: </w:t>
                  </w:r>
                  <w:hyperlink r:id="rId8" w:history="1">
                    <w:r w:rsidR="00EF1003" w:rsidRPr="00C573D9">
                      <w:rPr>
                        <w:rStyle w:val="Hyperlink"/>
                        <w:rFonts w:ascii="Arial" w:eastAsia="SimSun" w:hAnsi="Arial"/>
                        <w:spacing w:val="-5"/>
                        <w:sz w:val="20"/>
                        <w:szCs w:val="24"/>
                        <w:lang w:eastAsia="zh-CN"/>
                      </w:rPr>
                      <w:t>Andrew.Meads@justice.gsi.gov.uk</w:t>
                    </w:r>
                  </w:hyperlink>
                  <w:r w:rsidR="00EF1003">
                    <w:rPr>
                      <w:rStyle w:val="IACOEChar"/>
                      <w:sz w:val="20"/>
                    </w:rPr>
                    <w:t xml:space="preserve"> </w:t>
                  </w:r>
                </w:p>
              </w:tc>
            </w:tr>
            <w:tr w:rsidR="00B96DAB" w:rsidRPr="007E190E" w14:paraId="6110AE4A" w14:textId="77777777" w:rsidTr="00BF400E">
              <w:trPr>
                <w:trHeight w:val="1115"/>
              </w:trPr>
              <w:tc>
                <w:tcPr>
                  <w:tcW w:w="4088" w:type="dxa"/>
                  <w:shd w:val="clear" w:color="auto" w:fill="auto"/>
                </w:tcPr>
                <w:p w14:paraId="55D82BAF" w14:textId="77777777" w:rsidR="00B96DAB" w:rsidRPr="007E190E" w:rsidRDefault="00B96DAB" w:rsidP="00BF400E">
                  <w:pPr>
                    <w:pStyle w:val="IATableLines"/>
                    <w:rPr>
                      <w:b/>
                      <w:color w:val="000000"/>
                      <w:sz w:val="20"/>
                    </w:rPr>
                  </w:pPr>
                </w:p>
              </w:tc>
            </w:tr>
            <w:tr w:rsidR="00B96DAB" w:rsidRPr="007E190E" w14:paraId="5D9E241D" w14:textId="77777777" w:rsidTr="00BF400E">
              <w:trPr>
                <w:trHeight w:val="1115"/>
              </w:trPr>
              <w:tc>
                <w:tcPr>
                  <w:tcW w:w="4088" w:type="dxa"/>
                  <w:shd w:val="clear" w:color="auto" w:fill="auto"/>
                </w:tcPr>
                <w:p w14:paraId="57FB454B" w14:textId="77777777" w:rsidR="00B96DAB" w:rsidRPr="007E190E" w:rsidRDefault="00B96DAB" w:rsidP="00BF400E">
                  <w:pPr>
                    <w:pStyle w:val="IATableLines"/>
                    <w:rPr>
                      <w:b/>
                      <w:color w:val="000000"/>
                      <w:sz w:val="20"/>
                    </w:rPr>
                  </w:pPr>
                </w:p>
              </w:tc>
            </w:tr>
            <w:tr w:rsidR="00B96DAB" w:rsidRPr="007E190E" w14:paraId="1C7057F2" w14:textId="77777777" w:rsidTr="00BF400E">
              <w:trPr>
                <w:trHeight w:val="1115"/>
              </w:trPr>
              <w:tc>
                <w:tcPr>
                  <w:tcW w:w="4088" w:type="dxa"/>
                  <w:shd w:val="clear" w:color="auto" w:fill="auto"/>
                </w:tcPr>
                <w:p w14:paraId="16DC4C85" w14:textId="77777777" w:rsidR="00B96DAB" w:rsidRPr="007E190E" w:rsidRDefault="00B96DAB" w:rsidP="00BF400E">
                  <w:pPr>
                    <w:pStyle w:val="IATableLines"/>
                    <w:rPr>
                      <w:b/>
                      <w:color w:val="000000"/>
                      <w:sz w:val="20"/>
                    </w:rPr>
                  </w:pPr>
                </w:p>
              </w:tc>
            </w:tr>
            <w:tr w:rsidR="00B96DAB" w:rsidRPr="007E190E" w14:paraId="6F074C19" w14:textId="77777777" w:rsidTr="00BF400E">
              <w:trPr>
                <w:trHeight w:val="1115"/>
              </w:trPr>
              <w:tc>
                <w:tcPr>
                  <w:tcW w:w="4088" w:type="dxa"/>
                  <w:shd w:val="clear" w:color="auto" w:fill="auto"/>
                </w:tcPr>
                <w:p w14:paraId="1CEA9949" w14:textId="77777777" w:rsidR="00B96DAB" w:rsidRPr="007E190E" w:rsidRDefault="00B96DAB" w:rsidP="00BF400E">
                  <w:pPr>
                    <w:pStyle w:val="IATableLines"/>
                    <w:rPr>
                      <w:b/>
                      <w:color w:val="000000"/>
                      <w:sz w:val="20"/>
                    </w:rPr>
                  </w:pPr>
                </w:p>
              </w:tc>
            </w:tr>
            <w:tr w:rsidR="00B96DAB" w:rsidRPr="007E190E" w14:paraId="30F90A49" w14:textId="77777777" w:rsidTr="00BF400E">
              <w:trPr>
                <w:trHeight w:val="1115"/>
              </w:trPr>
              <w:tc>
                <w:tcPr>
                  <w:tcW w:w="4088" w:type="dxa"/>
                  <w:shd w:val="clear" w:color="auto" w:fill="auto"/>
                </w:tcPr>
                <w:p w14:paraId="05FF5F56" w14:textId="77777777" w:rsidR="00B96DAB" w:rsidRPr="007E190E" w:rsidRDefault="00B96DAB" w:rsidP="00BF400E">
                  <w:pPr>
                    <w:pStyle w:val="IATableLines"/>
                    <w:rPr>
                      <w:b/>
                      <w:color w:val="000000"/>
                      <w:sz w:val="20"/>
                    </w:rPr>
                  </w:pPr>
                </w:p>
              </w:tc>
            </w:tr>
            <w:tr w:rsidR="00B96DAB" w:rsidRPr="007E190E" w14:paraId="3D0560DE" w14:textId="77777777" w:rsidTr="00BF400E">
              <w:trPr>
                <w:trHeight w:val="1115"/>
              </w:trPr>
              <w:tc>
                <w:tcPr>
                  <w:tcW w:w="4088" w:type="dxa"/>
                  <w:shd w:val="clear" w:color="auto" w:fill="auto"/>
                </w:tcPr>
                <w:p w14:paraId="5D0C5428" w14:textId="77777777" w:rsidR="00B96DAB" w:rsidRPr="007E190E" w:rsidRDefault="00B96DAB" w:rsidP="00BF400E">
                  <w:pPr>
                    <w:pStyle w:val="IATableLines"/>
                    <w:rPr>
                      <w:b/>
                      <w:color w:val="000000"/>
                      <w:sz w:val="20"/>
                    </w:rPr>
                  </w:pPr>
                </w:p>
              </w:tc>
            </w:tr>
          </w:tbl>
          <w:p w14:paraId="1261F26D" w14:textId="77777777" w:rsidR="00B96DAB" w:rsidRPr="007E190E" w:rsidRDefault="00B96DAB" w:rsidP="00BF400E">
            <w:pPr>
              <w:rPr>
                <w:rFonts w:eastAsia="SimSun"/>
              </w:rPr>
            </w:pPr>
          </w:p>
        </w:tc>
      </w:tr>
      <w:tr w:rsidR="00B96DAB" w:rsidRPr="007E190E" w14:paraId="069E46CB" w14:textId="77777777" w:rsidTr="00D73035">
        <w:trPr>
          <w:trHeight w:hRule="exact" w:val="793"/>
        </w:trPr>
        <w:tc>
          <w:tcPr>
            <w:tcW w:w="6118" w:type="dxa"/>
            <w:tcBorders>
              <w:top w:val="single" w:sz="4" w:space="0" w:color="auto"/>
              <w:left w:val="nil"/>
              <w:bottom w:val="single" w:sz="4" w:space="0" w:color="auto"/>
              <w:right w:val="single" w:sz="4" w:space="0" w:color="auto"/>
            </w:tcBorders>
            <w:shd w:val="clear" w:color="auto" w:fill="auto"/>
          </w:tcPr>
          <w:p w14:paraId="13A20DA0" w14:textId="77777777" w:rsidR="00B96DAB" w:rsidRPr="007E190E" w:rsidRDefault="00B96DAB" w:rsidP="00BF400E">
            <w:pPr>
              <w:pStyle w:val="Heading1"/>
              <w:spacing w:before="60"/>
              <w:rPr>
                <w:rFonts w:eastAsia="SimSun" w:hint="eastAsia"/>
                <w:sz w:val="28"/>
                <w:szCs w:val="28"/>
              </w:rPr>
            </w:pPr>
            <w:r w:rsidRPr="007E190E">
              <w:rPr>
                <w:rFonts w:eastAsia="SimSun"/>
                <w:sz w:val="28"/>
                <w:szCs w:val="28"/>
              </w:rPr>
              <w:t xml:space="preserve">Summary: Intervention and Options </w:t>
            </w:r>
          </w:p>
          <w:p w14:paraId="4AF16B65" w14:textId="77777777" w:rsidR="00B96DAB" w:rsidRPr="007E190E" w:rsidRDefault="00B96DAB" w:rsidP="00BF400E">
            <w:pPr>
              <w:pStyle w:val="IAHeadLabel0"/>
              <w:spacing w:before="50"/>
              <w:ind w:left="113"/>
              <w:rPr>
                <w:sz w:val="28"/>
                <w:szCs w:val="28"/>
              </w:rPr>
            </w:pPr>
          </w:p>
        </w:tc>
        <w:tc>
          <w:tcPr>
            <w:tcW w:w="4098" w:type="dxa"/>
            <w:tcBorders>
              <w:top w:val="single" w:sz="4" w:space="0" w:color="auto"/>
              <w:left w:val="single" w:sz="4" w:space="0" w:color="auto"/>
              <w:bottom w:val="single" w:sz="4" w:space="0" w:color="auto"/>
              <w:right w:val="single" w:sz="4" w:space="0" w:color="auto"/>
            </w:tcBorders>
            <w:shd w:val="clear" w:color="auto" w:fill="E0E0E0"/>
            <w:vAlign w:val="center"/>
          </w:tcPr>
          <w:p w14:paraId="2AB1EB58" w14:textId="77777777" w:rsidR="00B96DAB" w:rsidRPr="007E190E" w:rsidRDefault="00B96DAB" w:rsidP="0037503A">
            <w:pPr>
              <w:pStyle w:val="Title"/>
              <w:rPr>
                <w:rFonts w:eastAsia="SimSun"/>
                <w:b/>
                <w:color w:val="auto"/>
                <w:sz w:val="24"/>
                <w:szCs w:val="24"/>
              </w:rPr>
            </w:pPr>
            <w:r w:rsidRPr="007E190E">
              <w:rPr>
                <w:rFonts w:eastAsia="SimSun"/>
                <w:b/>
                <w:color w:val="auto"/>
                <w:sz w:val="24"/>
                <w:szCs w:val="24"/>
              </w:rPr>
              <w:t>RPC Opinion:</w:t>
            </w:r>
            <w:r w:rsidRPr="001E1EBA">
              <w:rPr>
                <w:rFonts w:eastAsia="SimSun"/>
                <w:b/>
                <w:color w:val="auto"/>
                <w:sz w:val="20"/>
                <w:szCs w:val="20"/>
              </w:rPr>
              <w:t xml:space="preserve"> </w:t>
            </w:r>
            <w:r w:rsidR="00F95771" w:rsidRPr="001E1EBA">
              <w:rPr>
                <w:rStyle w:val="IARPCChar"/>
                <w:sz w:val="20"/>
                <w:szCs w:val="20"/>
              </w:rPr>
              <w:t xml:space="preserve">Fit for purpose </w:t>
            </w:r>
            <w:r w:rsidR="0087080F" w:rsidRPr="001E1EBA">
              <w:rPr>
                <w:rStyle w:val="IARPCChar"/>
                <w:sz w:val="20"/>
                <w:szCs w:val="20"/>
              </w:rPr>
              <w:t>(Whiplash)</w:t>
            </w:r>
          </w:p>
        </w:tc>
      </w:tr>
      <w:tr w:rsidR="00B96DAB" w:rsidRPr="007E190E" w14:paraId="2826E00B" w14:textId="77777777" w:rsidTr="00BF400E">
        <w:trPr>
          <w:trHeight w:hRule="exact" w:val="90"/>
        </w:trPr>
        <w:tc>
          <w:tcPr>
            <w:tcW w:w="10216" w:type="dxa"/>
            <w:gridSpan w:val="2"/>
            <w:tcBorders>
              <w:top w:val="single" w:sz="4" w:space="0" w:color="auto"/>
              <w:left w:val="nil"/>
              <w:bottom w:val="nil"/>
              <w:right w:val="single" w:sz="4" w:space="0" w:color="auto"/>
            </w:tcBorders>
            <w:shd w:val="clear" w:color="auto" w:fill="auto"/>
          </w:tcPr>
          <w:p w14:paraId="010E9997" w14:textId="77777777" w:rsidR="00B96DAB" w:rsidRPr="007E190E" w:rsidRDefault="00B96DAB" w:rsidP="00BF400E">
            <w:pPr>
              <w:rPr>
                <w:rFonts w:eastAsia="SimSun"/>
              </w:rPr>
            </w:pPr>
          </w:p>
        </w:tc>
      </w:tr>
    </w:tbl>
    <w:p w14:paraId="766DC396" w14:textId="77777777" w:rsidR="00B96DAB" w:rsidRPr="007E190E" w:rsidRDefault="00B96DAB" w:rsidP="00B96DAB">
      <w:pPr>
        <w:rPr>
          <w:vanish/>
        </w:rPr>
      </w:pPr>
    </w:p>
    <w:tbl>
      <w:tblPr>
        <w:tblW w:w="0" w:type="auto"/>
        <w:tblBorders>
          <w:top w:val="single" w:sz="4" w:space="0" w:color="auto"/>
          <w:left w:val="single" w:sz="4" w:space="0" w:color="auto"/>
          <w:bottom w:val="single" w:sz="4" w:space="0" w:color="auto"/>
          <w:right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1706"/>
        <w:gridCol w:w="1560"/>
        <w:gridCol w:w="2551"/>
        <w:gridCol w:w="1559"/>
        <w:gridCol w:w="2831"/>
      </w:tblGrid>
      <w:tr w:rsidR="00B96DAB" w:rsidRPr="000E02BE" w14:paraId="3B0B9561" w14:textId="77777777" w:rsidTr="00BF400E">
        <w:trPr>
          <w:trHeight w:hRule="exact" w:val="312"/>
        </w:trPr>
        <w:tc>
          <w:tcPr>
            <w:tcW w:w="10207" w:type="dxa"/>
            <w:gridSpan w:val="5"/>
            <w:tcBorders>
              <w:top w:val="single" w:sz="4" w:space="0" w:color="auto"/>
              <w:bottom w:val="nil"/>
              <w:right w:val="single" w:sz="4" w:space="0" w:color="auto"/>
            </w:tcBorders>
            <w:shd w:val="clear" w:color="auto" w:fill="E0E0E0"/>
          </w:tcPr>
          <w:p w14:paraId="6BF542AB" w14:textId="77777777" w:rsidR="00B96DAB" w:rsidRPr="000E02BE" w:rsidRDefault="00B96DAB" w:rsidP="00BF400E">
            <w:pPr>
              <w:pStyle w:val="IATableLabel"/>
              <w:ind w:left="0"/>
              <w:jc w:val="center"/>
            </w:pPr>
            <w:bookmarkStart w:id="4" w:name="CostText"/>
            <w:r>
              <w:t>Cost of Preferred (or more likely) Option</w:t>
            </w:r>
            <w:bookmarkEnd w:id="4"/>
          </w:p>
        </w:tc>
      </w:tr>
      <w:tr w:rsidR="00B96DAB" w:rsidRPr="000E02BE" w14:paraId="118448E5" w14:textId="77777777" w:rsidTr="001A34B7">
        <w:trPr>
          <w:trHeight w:hRule="exact" w:val="456"/>
        </w:trPr>
        <w:tc>
          <w:tcPr>
            <w:tcW w:w="1706" w:type="dxa"/>
            <w:tcBorders>
              <w:top w:val="single" w:sz="4" w:space="0" w:color="auto"/>
              <w:bottom w:val="nil"/>
              <w:right w:val="single" w:sz="4" w:space="0" w:color="auto"/>
            </w:tcBorders>
            <w:shd w:val="clear" w:color="auto" w:fill="E0E0E0"/>
            <w:vAlign w:val="center"/>
          </w:tcPr>
          <w:p w14:paraId="466E7C6F" w14:textId="77777777" w:rsidR="00B96DAB" w:rsidRPr="000E02BE" w:rsidRDefault="00B96DAB" w:rsidP="00BF400E">
            <w:pPr>
              <w:pStyle w:val="IATableLabel"/>
              <w:spacing w:before="0" w:after="0"/>
            </w:pPr>
            <w:r>
              <w:t>Total Net Present Value</w:t>
            </w:r>
          </w:p>
        </w:tc>
        <w:tc>
          <w:tcPr>
            <w:tcW w:w="1560" w:type="dxa"/>
            <w:tcBorders>
              <w:top w:val="single" w:sz="4" w:space="0" w:color="auto"/>
              <w:bottom w:val="nil"/>
              <w:right w:val="single" w:sz="4" w:space="0" w:color="auto"/>
            </w:tcBorders>
            <w:shd w:val="clear" w:color="auto" w:fill="E0E0E0"/>
            <w:vAlign w:val="center"/>
          </w:tcPr>
          <w:p w14:paraId="17A89222" w14:textId="77777777" w:rsidR="00B96DAB" w:rsidRPr="000E02BE" w:rsidRDefault="00B96DAB" w:rsidP="00BF400E">
            <w:pPr>
              <w:pStyle w:val="IATableLabel"/>
              <w:spacing w:before="0" w:after="0"/>
            </w:pPr>
            <w:r>
              <w:t>Business Net Present Value</w:t>
            </w:r>
          </w:p>
        </w:tc>
        <w:tc>
          <w:tcPr>
            <w:tcW w:w="2551" w:type="dxa"/>
            <w:tcBorders>
              <w:top w:val="single" w:sz="4" w:space="0" w:color="auto"/>
              <w:bottom w:val="nil"/>
              <w:right w:val="single" w:sz="4" w:space="0" w:color="auto"/>
            </w:tcBorders>
            <w:shd w:val="clear" w:color="auto" w:fill="E0E0E0"/>
            <w:vAlign w:val="center"/>
          </w:tcPr>
          <w:p w14:paraId="38FAD3BB" w14:textId="77777777" w:rsidR="00B96DAB" w:rsidRPr="000E02BE" w:rsidRDefault="00B96DAB" w:rsidP="00BF400E">
            <w:pPr>
              <w:pStyle w:val="IATableLabel"/>
              <w:spacing w:before="0" w:after="0"/>
            </w:pPr>
            <w:r>
              <w:t xml:space="preserve">Net cost to business per year </w:t>
            </w:r>
            <w:r w:rsidRPr="006656EC">
              <w:rPr>
                <w:b w:val="0"/>
              </w:rPr>
              <w:t>(</w:t>
            </w:r>
            <w:r w:rsidRPr="00307737">
              <w:rPr>
                <w:b w:val="0"/>
                <w:sz w:val="16"/>
                <w:szCs w:val="16"/>
              </w:rPr>
              <w:t>EANDCB in 2014 prices</w:t>
            </w:r>
            <w:r w:rsidRPr="006656EC">
              <w:rPr>
                <w:b w:val="0"/>
                <w:sz w:val="16"/>
                <w:szCs w:val="16"/>
              </w:rPr>
              <w:t>)</w:t>
            </w:r>
          </w:p>
        </w:tc>
        <w:tc>
          <w:tcPr>
            <w:tcW w:w="1559" w:type="dxa"/>
            <w:tcBorders>
              <w:top w:val="single" w:sz="4" w:space="0" w:color="auto"/>
              <w:left w:val="single" w:sz="4" w:space="0" w:color="auto"/>
              <w:bottom w:val="nil"/>
              <w:right w:val="single" w:sz="4" w:space="0" w:color="auto"/>
            </w:tcBorders>
            <w:shd w:val="clear" w:color="auto" w:fill="E0E0E0"/>
            <w:vAlign w:val="center"/>
          </w:tcPr>
          <w:p w14:paraId="09997B50" w14:textId="77777777" w:rsidR="00B96DAB" w:rsidRDefault="00B96DAB" w:rsidP="00BF400E">
            <w:pPr>
              <w:pStyle w:val="IATableLabel"/>
              <w:spacing w:before="0" w:after="0"/>
            </w:pPr>
            <w:r>
              <w:t xml:space="preserve">One-In, </w:t>
            </w:r>
          </w:p>
          <w:p w14:paraId="601C5F63" w14:textId="77777777" w:rsidR="00B96DAB" w:rsidRPr="000E02BE" w:rsidRDefault="00B96DAB" w:rsidP="00BF400E">
            <w:pPr>
              <w:pStyle w:val="IATableLabel"/>
              <w:spacing w:before="0" w:after="0"/>
            </w:pPr>
            <w:r>
              <w:t>Three-Out?</w:t>
            </w:r>
          </w:p>
        </w:tc>
        <w:tc>
          <w:tcPr>
            <w:tcW w:w="2831" w:type="dxa"/>
            <w:tcBorders>
              <w:top w:val="single" w:sz="4" w:space="0" w:color="auto"/>
              <w:left w:val="single" w:sz="4" w:space="0" w:color="auto"/>
              <w:bottom w:val="nil"/>
              <w:right w:val="single" w:sz="4" w:space="0" w:color="auto"/>
            </w:tcBorders>
            <w:shd w:val="clear" w:color="auto" w:fill="E0E0E0"/>
            <w:vAlign w:val="center"/>
          </w:tcPr>
          <w:p w14:paraId="3B844310" w14:textId="77777777" w:rsidR="00B96DAB" w:rsidRDefault="00B96DAB" w:rsidP="00BF400E">
            <w:pPr>
              <w:pStyle w:val="IATableLabel"/>
              <w:spacing w:before="0" w:after="0"/>
            </w:pPr>
            <w:r>
              <w:t>Business Impact Target       Status</w:t>
            </w:r>
          </w:p>
          <w:p w14:paraId="5C0D9E71" w14:textId="77777777" w:rsidR="00B96DAB" w:rsidRPr="000E02BE" w:rsidRDefault="00B96DAB" w:rsidP="00BF400E">
            <w:pPr>
              <w:pStyle w:val="IATableLabel"/>
              <w:spacing w:before="0" w:after="0"/>
            </w:pPr>
          </w:p>
        </w:tc>
      </w:tr>
      <w:tr w:rsidR="00B96DAB" w:rsidRPr="0061761A" w14:paraId="68EC1DA9" w14:textId="77777777" w:rsidTr="001A34B7">
        <w:trPr>
          <w:trHeight w:hRule="exact" w:val="566"/>
        </w:trPr>
        <w:tc>
          <w:tcPr>
            <w:tcW w:w="1706" w:type="dxa"/>
            <w:tcBorders>
              <w:top w:val="nil"/>
              <w:bottom w:val="single" w:sz="4" w:space="0" w:color="auto"/>
              <w:right w:val="single" w:sz="4" w:space="0" w:color="auto"/>
            </w:tcBorders>
            <w:shd w:val="clear" w:color="auto" w:fill="E0E0E0"/>
            <w:vAlign w:val="center"/>
          </w:tcPr>
          <w:p w14:paraId="1AED25A0" w14:textId="77777777" w:rsidR="00B96DAB" w:rsidRPr="001E1EBA" w:rsidRDefault="0053464F" w:rsidP="00BF400E">
            <w:pPr>
              <w:pStyle w:val="IAIIOTNPV"/>
              <w:rPr>
                <w:sz w:val="20"/>
                <w:szCs w:val="20"/>
              </w:rPr>
            </w:pPr>
            <w:r w:rsidRPr="001E1EBA">
              <w:rPr>
                <w:sz w:val="20"/>
                <w:szCs w:val="20"/>
              </w:rPr>
              <w:t>£1</w:t>
            </w:r>
            <w:r w:rsidR="004E3402" w:rsidRPr="001E1EBA">
              <w:rPr>
                <w:sz w:val="20"/>
                <w:szCs w:val="20"/>
              </w:rPr>
              <w:t>.1</w:t>
            </w:r>
            <w:r w:rsidRPr="001E1EBA">
              <w:rPr>
                <w:sz w:val="20"/>
                <w:szCs w:val="20"/>
              </w:rPr>
              <w:t>bn</w:t>
            </w:r>
          </w:p>
        </w:tc>
        <w:tc>
          <w:tcPr>
            <w:tcW w:w="1560" w:type="dxa"/>
            <w:tcBorders>
              <w:top w:val="nil"/>
              <w:bottom w:val="single" w:sz="4" w:space="0" w:color="auto"/>
              <w:right w:val="single" w:sz="4" w:space="0" w:color="auto"/>
            </w:tcBorders>
            <w:shd w:val="clear" w:color="auto" w:fill="E0E0E0"/>
            <w:vAlign w:val="center"/>
          </w:tcPr>
          <w:p w14:paraId="16C939F4" w14:textId="77777777" w:rsidR="00B96DAB" w:rsidRPr="001E1EBA" w:rsidRDefault="0053464F" w:rsidP="00BF400E">
            <w:pPr>
              <w:pStyle w:val="IAIOBNPV"/>
              <w:rPr>
                <w:sz w:val="20"/>
                <w:szCs w:val="20"/>
              </w:rPr>
            </w:pPr>
            <w:r w:rsidRPr="001E1EBA">
              <w:rPr>
                <w:sz w:val="20"/>
                <w:szCs w:val="20"/>
              </w:rPr>
              <w:t>£</w:t>
            </w:r>
            <w:r w:rsidR="004E3402" w:rsidRPr="001E1EBA">
              <w:rPr>
                <w:sz w:val="20"/>
                <w:szCs w:val="20"/>
              </w:rPr>
              <w:t>6.1</w:t>
            </w:r>
            <w:r w:rsidRPr="001E1EBA">
              <w:rPr>
                <w:sz w:val="20"/>
                <w:szCs w:val="20"/>
              </w:rPr>
              <w:t>bn</w:t>
            </w:r>
          </w:p>
        </w:tc>
        <w:tc>
          <w:tcPr>
            <w:tcW w:w="2551" w:type="dxa"/>
            <w:tcBorders>
              <w:top w:val="nil"/>
              <w:bottom w:val="single" w:sz="4" w:space="0" w:color="auto"/>
              <w:right w:val="single" w:sz="4" w:space="0" w:color="auto"/>
            </w:tcBorders>
            <w:shd w:val="clear" w:color="auto" w:fill="E0E0E0"/>
            <w:vAlign w:val="center"/>
          </w:tcPr>
          <w:p w14:paraId="40C0FC6A" w14:textId="77777777" w:rsidR="00B96DAB" w:rsidRPr="001E1EBA" w:rsidRDefault="0053464F" w:rsidP="00BF400E">
            <w:pPr>
              <w:pStyle w:val="IAIONCTBPY"/>
              <w:rPr>
                <w:sz w:val="20"/>
                <w:szCs w:val="20"/>
              </w:rPr>
            </w:pPr>
            <w:r w:rsidRPr="001E1EBA">
              <w:rPr>
                <w:sz w:val="20"/>
                <w:szCs w:val="20"/>
              </w:rPr>
              <w:t>-£6</w:t>
            </w:r>
            <w:r w:rsidR="00AA7DE4" w:rsidRPr="001E1EBA">
              <w:rPr>
                <w:sz w:val="20"/>
                <w:szCs w:val="20"/>
              </w:rPr>
              <w:t>4</w:t>
            </w:r>
            <w:r w:rsidRPr="001E1EBA">
              <w:rPr>
                <w:sz w:val="20"/>
                <w:szCs w:val="20"/>
              </w:rPr>
              <w:t>0m</w:t>
            </w:r>
          </w:p>
        </w:tc>
        <w:tc>
          <w:tcPr>
            <w:tcW w:w="1559" w:type="dxa"/>
            <w:tcBorders>
              <w:top w:val="nil"/>
              <w:left w:val="single" w:sz="4" w:space="0" w:color="auto"/>
              <w:bottom w:val="single" w:sz="4" w:space="0" w:color="auto"/>
              <w:right w:val="single" w:sz="4" w:space="0" w:color="auto"/>
            </w:tcBorders>
            <w:shd w:val="clear" w:color="auto" w:fill="E0E0E0"/>
            <w:vAlign w:val="center"/>
          </w:tcPr>
          <w:p w14:paraId="46A03FE1" w14:textId="77777777" w:rsidR="00B96DAB" w:rsidRPr="001E1EBA" w:rsidRDefault="00297043" w:rsidP="00BF400E">
            <w:pPr>
              <w:pStyle w:val="IAIOInScopeInOut"/>
              <w:rPr>
                <w:sz w:val="20"/>
                <w:szCs w:val="20"/>
              </w:rPr>
            </w:pPr>
            <w:r w:rsidRPr="001E1EBA">
              <w:rPr>
                <w:sz w:val="20"/>
                <w:szCs w:val="20"/>
              </w:rPr>
              <w:t xml:space="preserve"> N/A</w:t>
            </w:r>
          </w:p>
        </w:tc>
        <w:tc>
          <w:tcPr>
            <w:tcW w:w="2831" w:type="dxa"/>
            <w:tcBorders>
              <w:top w:val="nil"/>
              <w:left w:val="single" w:sz="4" w:space="0" w:color="auto"/>
              <w:bottom w:val="single" w:sz="4" w:space="0" w:color="auto"/>
              <w:right w:val="single" w:sz="4" w:space="0" w:color="auto"/>
            </w:tcBorders>
            <w:shd w:val="clear" w:color="auto" w:fill="E0E0E0"/>
            <w:vAlign w:val="center"/>
          </w:tcPr>
          <w:p w14:paraId="0CBF7E9F" w14:textId="77777777" w:rsidR="00B96DAB" w:rsidRPr="001E1EBA" w:rsidRDefault="00297043" w:rsidP="00D73035">
            <w:pPr>
              <w:pStyle w:val="IAIOPrefMQ"/>
              <w:ind w:left="0"/>
              <w:rPr>
                <w:sz w:val="20"/>
                <w:szCs w:val="20"/>
              </w:rPr>
            </w:pPr>
            <w:r w:rsidRPr="001E1EBA">
              <w:rPr>
                <w:sz w:val="20"/>
                <w:szCs w:val="20"/>
              </w:rPr>
              <w:t>QRP (Whiplash)</w:t>
            </w:r>
          </w:p>
          <w:p w14:paraId="2969521C" w14:textId="77777777" w:rsidR="00297043" w:rsidRPr="001E1EBA" w:rsidRDefault="00297043" w:rsidP="00D73035">
            <w:pPr>
              <w:pStyle w:val="IAIOPrefMQ"/>
              <w:ind w:left="0"/>
              <w:rPr>
                <w:sz w:val="20"/>
                <w:szCs w:val="20"/>
              </w:rPr>
            </w:pPr>
            <w:r w:rsidRPr="001E1EBA">
              <w:rPr>
                <w:sz w:val="20"/>
                <w:szCs w:val="20"/>
              </w:rPr>
              <w:t xml:space="preserve">Out of scope (PIDR) </w:t>
            </w:r>
          </w:p>
          <w:p w14:paraId="487FC66D" w14:textId="77777777" w:rsidR="00297043" w:rsidRPr="001E1EBA" w:rsidRDefault="00297043" w:rsidP="00D73035">
            <w:pPr>
              <w:pStyle w:val="IAIOPrefMQ"/>
              <w:ind w:left="0"/>
              <w:rPr>
                <w:sz w:val="20"/>
                <w:szCs w:val="20"/>
              </w:rPr>
            </w:pPr>
          </w:p>
        </w:tc>
      </w:tr>
      <w:tr w:rsidR="00B96DAB" w:rsidRPr="00826F71" w14:paraId="66FE3F65" w14:textId="77777777" w:rsidTr="001E1EBA">
        <w:trPr>
          <w:trHeight w:hRule="exact" w:val="1885"/>
        </w:trPr>
        <w:tc>
          <w:tcPr>
            <w:tcW w:w="10207" w:type="dxa"/>
            <w:gridSpan w:val="5"/>
            <w:tcBorders>
              <w:top w:val="single" w:sz="4" w:space="0" w:color="auto"/>
              <w:left w:val="single" w:sz="4" w:space="0" w:color="auto"/>
              <w:bottom w:val="single" w:sz="4" w:space="0" w:color="auto"/>
              <w:right w:val="single" w:sz="4" w:space="0" w:color="auto"/>
            </w:tcBorders>
          </w:tcPr>
          <w:p w14:paraId="453AC2F9" w14:textId="77777777" w:rsidR="00B96DAB" w:rsidRPr="00EA0B74" w:rsidRDefault="00B96DAB" w:rsidP="00BF400E">
            <w:pPr>
              <w:pStyle w:val="IAIOQ1"/>
            </w:pPr>
            <w:bookmarkStart w:id="5" w:name="Summary1"/>
            <w:r>
              <w:t>What is the problem under consideration? Why is government intervention necessary?</w:t>
            </w:r>
            <w:bookmarkEnd w:id="5"/>
          </w:p>
          <w:p w14:paraId="7A56977B" w14:textId="77777777" w:rsidR="00B96DAB" w:rsidRPr="004D0967" w:rsidRDefault="00180EFB" w:rsidP="001E1EBA">
            <w:pPr>
              <w:spacing w:line="240" w:lineRule="atLeast"/>
              <w:ind w:left="126"/>
              <w:rPr>
                <w:rFonts w:ascii="Arial" w:hAnsi="Arial" w:cs="Arial"/>
              </w:rPr>
            </w:pPr>
            <w:r w:rsidRPr="001E1EBA">
              <w:rPr>
                <w:rFonts w:ascii="Arial" w:eastAsia="Times New Roman" w:hAnsi="Arial"/>
                <w:sz w:val="20"/>
                <w:szCs w:val="20"/>
              </w:rPr>
              <w:t>The Civil Liabilit</w:t>
            </w:r>
            <w:r w:rsidR="00B66C9B" w:rsidRPr="001E1EBA">
              <w:rPr>
                <w:rFonts w:ascii="Arial" w:eastAsia="Times New Roman" w:hAnsi="Arial"/>
                <w:sz w:val="20"/>
                <w:szCs w:val="20"/>
              </w:rPr>
              <w:t>y</w:t>
            </w:r>
            <w:r w:rsidRPr="001E1EBA">
              <w:rPr>
                <w:rFonts w:ascii="Arial" w:eastAsia="Times New Roman" w:hAnsi="Arial"/>
                <w:sz w:val="20"/>
                <w:szCs w:val="20"/>
              </w:rPr>
              <w:t xml:space="preserve"> </w:t>
            </w:r>
            <w:r w:rsidR="000332A7" w:rsidRPr="001E1EBA">
              <w:rPr>
                <w:rFonts w:ascii="Arial" w:eastAsia="Times New Roman" w:hAnsi="Arial"/>
                <w:sz w:val="20"/>
                <w:szCs w:val="20"/>
              </w:rPr>
              <w:t>Act 2018</w:t>
            </w:r>
            <w:r w:rsidRPr="001E1EBA">
              <w:rPr>
                <w:rFonts w:ascii="Arial" w:eastAsia="Times New Roman" w:hAnsi="Arial"/>
                <w:sz w:val="20"/>
                <w:szCs w:val="20"/>
              </w:rPr>
              <w:t xml:space="preserve"> underpin</w:t>
            </w:r>
            <w:r w:rsidR="00B66C9B" w:rsidRPr="001E1EBA">
              <w:rPr>
                <w:rFonts w:ascii="Arial" w:eastAsia="Times New Roman" w:hAnsi="Arial"/>
                <w:sz w:val="20"/>
                <w:szCs w:val="20"/>
              </w:rPr>
              <w:t>s</w:t>
            </w:r>
            <w:r w:rsidRPr="001E1EBA">
              <w:rPr>
                <w:rFonts w:ascii="Arial" w:eastAsia="Times New Roman" w:hAnsi="Arial"/>
                <w:sz w:val="20"/>
                <w:szCs w:val="20"/>
              </w:rPr>
              <w:t xml:space="preserve"> vital reforms to the justice system in two key areas: </w:t>
            </w:r>
            <w:r w:rsidR="00B66C9B" w:rsidRPr="001E1EBA">
              <w:rPr>
                <w:rFonts w:ascii="Arial" w:eastAsia="Times New Roman" w:hAnsi="Arial"/>
                <w:sz w:val="20"/>
                <w:szCs w:val="20"/>
              </w:rPr>
              <w:t>road traffic accident</w:t>
            </w:r>
            <w:r w:rsidR="00A63FDB" w:rsidRPr="001E1EBA">
              <w:rPr>
                <w:rFonts w:ascii="Arial" w:eastAsia="Times New Roman" w:hAnsi="Arial"/>
                <w:sz w:val="20"/>
                <w:szCs w:val="20"/>
              </w:rPr>
              <w:t xml:space="preserve"> </w:t>
            </w:r>
            <w:r w:rsidR="004E3402" w:rsidRPr="001E1EBA">
              <w:rPr>
                <w:rFonts w:ascii="Arial" w:eastAsia="Times New Roman" w:hAnsi="Arial"/>
                <w:sz w:val="20"/>
                <w:szCs w:val="20"/>
              </w:rPr>
              <w:t>related</w:t>
            </w:r>
            <w:r w:rsidRPr="001E1EBA">
              <w:rPr>
                <w:rFonts w:ascii="Arial" w:eastAsia="Times New Roman" w:hAnsi="Arial"/>
                <w:sz w:val="20"/>
                <w:szCs w:val="20"/>
              </w:rPr>
              <w:t xml:space="preserve"> </w:t>
            </w:r>
            <w:r w:rsidR="00B66C9B" w:rsidRPr="001E1EBA">
              <w:rPr>
                <w:rFonts w:ascii="Arial" w:eastAsia="Times New Roman" w:hAnsi="Arial"/>
                <w:sz w:val="20"/>
                <w:szCs w:val="20"/>
              </w:rPr>
              <w:t xml:space="preserve">whiplash </w:t>
            </w:r>
            <w:r w:rsidRPr="001E1EBA">
              <w:rPr>
                <w:rFonts w:ascii="Arial" w:eastAsia="Times New Roman" w:hAnsi="Arial"/>
                <w:sz w:val="20"/>
                <w:szCs w:val="20"/>
              </w:rPr>
              <w:t xml:space="preserve">claims and the setting of the Personal Injury Discount Rate </w:t>
            </w:r>
            <w:r w:rsidR="00003F3A" w:rsidRPr="001E1EBA">
              <w:rPr>
                <w:rFonts w:ascii="Arial" w:eastAsia="Times New Roman" w:hAnsi="Arial"/>
                <w:sz w:val="20"/>
                <w:szCs w:val="20"/>
              </w:rPr>
              <w:t xml:space="preserve">(PIDR) </w:t>
            </w:r>
            <w:r w:rsidRPr="001E1EBA">
              <w:rPr>
                <w:rFonts w:ascii="Arial" w:eastAsia="Times New Roman" w:hAnsi="Arial"/>
                <w:sz w:val="20"/>
                <w:szCs w:val="20"/>
              </w:rPr>
              <w:t>used to calculate lump sum payments in personal injury cases.</w:t>
            </w:r>
            <w:r w:rsidRPr="001E1EBA">
              <w:rPr>
                <w:sz w:val="20"/>
                <w:szCs w:val="20"/>
              </w:rPr>
              <w:t xml:space="preserve"> </w:t>
            </w:r>
            <w:r w:rsidRPr="001E1EBA">
              <w:rPr>
                <w:rFonts w:ascii="Arial" w:hAnsi="Arial" w:cs="Arial"/>
                <w:sz w:val="20"/>
                <w:szCs w:val="20"/>
              </w:rPr>
              <w:t>I</w:t>
            </w:r>
            <w:r w:rsidR="00B96DAB" w:rsidRPr="001E1EBA">
              <w:rPr>
                <w:rFonts w:ascii="Arial" w:hAnsi="Arial" w:cs="Arial"/>
                <w:sz w:val="20"/>
                <w:szCs w:val="20"/>
              </w:rPr>
              <w:t xml:space="preserve">ndividual impact assessments (IA) have been prepared for </w:t>
            </w:r>
            <w:r w:rsidRPr="001E1EBA">
              <w:rPr>
                <w:rFonts w:ascii="Arial" w:hAnsi="Arial" w:cs="Arial"/>
                <w:sz w:val="20"/>
                <w:szCs w:val="20"/>
              </w:rPr>
              <w:t>both reforms which</w:t>
            </w:r>
            <w:r w:rsidR="00B96DAB" w:rsidRPr="001E1EBA">
              <w:rPr>
                <w:rFonts w:ascii="Arial" w:hAnsi="Arial" w:cs="Arial"/>
                <w:sz w:val="20"/>
                <w:szCs w:val="20"/>
              </w:rPr>
              <w:t xml:space="preserve"> provide greater detail on the nature of each </w:t>
            </w:r>
            <w:r w:rsidR="00EA7972" w:rsidRPr="001E1EBA">
              <w:rPr>
                <w:rFonts w:ascii="Arial" w:hAnsi="Arial" w:cs="Arial"/>
                <w:sz w:val="20"/>
                <w:szCs w:val="20"/>
              </w:rPr>
              <w:t xml:space="preserve">of the </w:t>
            </w:r>
            <w:r w:rsidR="00B96DAB" w:rsidRPr="001E1EBA">
              <w:rPr>
                <w:rFonts w:ascii="Arial" w:hAnsi="Arial" w:cs="Arial"/>
                <w:sz w:val="20"/>
                <w:szCs w:val="20"/>
              </w:rPr>
              <w:t>problem</w:t>
            </w:r>
            <w:r w:rsidR="00EA7972" w:rsidRPr="001E1EBA">
              <w:rPr>
                <w:rFonts w:ascii="Arial" w:hAnsi="Arial" w:cs="Arial"/>
                <w:sz w:val="20"/>
                <w:szCs w:val="20"/>
              </w:rPr>
              <w:t>s</w:t>
            </w:r>
            <w:r w:rsidR="00B96DAB" w:rsidRPr="001E1EBA">
              <w:rPr>
                <w:rFonts w:ascii="Arial" w:hAnsi="Arial" w:cs="Arial"/>
                <w:sz w:val="20"/>
                <w:szCs w:val="20"/>
              </w:rPr>
              <w:t xml:space="preserve"> consider</w:t>
            </w:r>
            <w:r w:rsidR="005A551D" w:rsidRPr="001E1EBA">
              <w:rPr>
                <w:rFonts w:ascii="Arial" w:hAnsi="Arial" w:cs="Arial"/>
                <w:sz w:val="20"/>
                <w:szCs w:val="20"/>
              </w:rPr>
              <w:t>ed</w:t>
            </w:r>
            <w:r w:rsidR="00B96DAB" w:rsidRPr="001E1EBA">
              <w:rPr>
                <w:rFonts w:ascii="Arial" w:hAnsi="Arial" w:cs="Arial"/>
                <w:sz w:val="20"/>
                <w:szCs w:val="20"/>
              </w:rPr>
              <w:t xml:space="preserve">, why intervention </w:t>
            </w:r>
            <w:r w:rsidR="005A551D" w:rsidRPr="001E1EBA">
              <w:rPr>
                <w:rFonts w:ascii="Arial" w:hAnsi="Arial" w:cs="Arial"/>
                <w:sz w:val="20"/>
                <w:szCs w:val="20"/>
              </w:rPr>
              <w:t>wa</w:t>
            </w:r>
            <w:r w:rsidR="00B96DAB" w:rsidRPr="001E1EBA">
              <w:rPr>
                <w:rFonts w:ascii="Arial" w:hAnsi="Arial" w:cs="Arial"/>
                <w:sz w:val="20"/>
                <w:szCs w:val="20"/>
              </w:rPr>
              <w:t xml:space="preserve">s necessary and the impact of each provision. </w:t>
            </w:r>
            <w:r w:rsidRPr="001E1EBA">
              <w:rPr>
                <w:rFonts w:ascii="Arial" w:hAnsi="Arial" w:cs="Arial"/>
                <w:sz w:val="20"/>
                <w:szCs w:val="20"/>
              </w:rPr>
              <w:t>A</w:t>
            </w:r>
            <w:r w:rsidR="00B96DAB" w:rsidRPr="001E1EBA">
              <w:rPr>
                <w:rFonts w:ascii="Arial" w:hAnsi="Arial" w:cs="Arial"/>
                <w:sz w:val="20"/>
                <w:szCs w:val="20"/>
              </w:rPr>
              <w:t xml:space="preserve"> summary of the main </w:t>
            </w:r>
            <w:r w:rsidR="00B66C9B" w:rsidRPr="001E1EBA">
              <w:rPr>
                <w:rFonts w:ascii="Arial" w:hAnsi="Arial" w:cs="Arial"/>
                <w:sz w:val="20"/>
                <w:szCs w:val="20"/>
              </w:rPr>
              <w:t>impacts</w:t>
            </w:r>
            <w:r w:rsidR="00B96DAB" w:rsidRPr="001E1EBA">
              <w:rPr>
                <w:rFonts w:ascii="Arial" w:hAnsi="Arial" w:cs="Arial"/>
                <w:sz w:val="20"/>
                <w:szCs w:val="20"/>
              </w:rPr>
              <w:t xml:space="preserve"> </w:t>
            </w:r>
            <w:r w:rsidRPr="001E1EBA">
              <w:rPr>
                <w:rFonts w:ascii="Arial" w:hAnsi="Arial" w:cs="Arial"/>
                <w:sz w:val="20"/>
                <w:szCs w:val="20"/>
              </w:rPr>
              <w:t xml:space="preserve">associated with </w:t>
            </w:r>
            <w:r w:rsidR="00B96DAB" w:rsidRPr="001E1EBA">
              <w:rPr>
                <w:rFonts w:ascii="Arial" w:hAnsi="Arial" w:cs="Arial"/>
                <w:sz w:val="20"/>
                <w:szCs w:val="20"/>
              </w:rPr>
              <w:t>each of the</w:t>
            </w:r>
            <w:r w:rsidRPr="001E1EBA">
              <w:rPr>
                <w:rFonts w:ascii="Arial" w:hAnsi="Arial" w:cs="Arial"/>
                <w:sz w:val="20"/>
                <w:szCs w:val="20"/>
              </w:rPr>
              <w:t>se</w:t>
            </w:r>
            <w:r w:rsidR="00B96DAB" w:rsidRPr="001E1EBA">
              <w:rPr>
                <w:rFonts w:ascii="Arial" w:hAnsi="Arial" w:cs="Arial"/>
                <w:sz w:val="20"/>
                <w:szCs w:val="20"/>
              </w:rPr>
              <w:t xml:space="preserve"> legislative measures has been included in this overarching IA</w:t>
            </w:r>
            <w:r w:rsidR="00B96DAB" w:rsidRPr="004D0967">
              <w:rPr>
                <w:rFonts w:ascii="Arial" w:hAnsi="Arial" w:cs="Arial"/>
              </w:rPr>
              <w:t>.</w:t>
            </w:r>
          </w:p>
        </w:tc>
      </w:tr>
    </w:tbl>
    <w:p w14:paraId="42D2ED51" w14:textId="77777777" w:rsidR="00B96DAB" w:rsidRDefault="00B96DAB" w:rsidP="00B96DAB">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5"/>
      </w:tblGrid>
      <w:tr w:rsidR="00B96DAB" w:rsidRPr="00826F71" w14:paraId="5EDF7E90" w14:textId="77777777" w:rsidTr="001E1EBA">
        <w:trPr>
          <w:trHeight w:hRule="exact" w:val="2608"/>
        </w:trPr>
        <w:tc>
          <w:tcPr>
            <w:tcW w:w="10214" w:type="dxa"/>
          </w:tcPr>
          <w:p w14:paraId="30E71E49" w14:textId="77777777" w:rsidR="00B96DAB" w:rsidRPr="00EA0B74" w:rsidRDefault="00B96DAB" w:rsidP="00BF400E">
            <w:pPr>
              <w:pStyle w:val="IAIOQ2"/>
            </w:pPr>
            <w:bookmarkStart w:id="6" w:name="Summary2"/>
            <w:r>
              <w:t>What are the policy objectives and the intended effects?</w:t>
            </w:r>
            <w:bookmarkEnd w:id="6"/>
          </w:p>
          <w:p w14:paraId="2D81928A" w14:textId="77777777" w:rsidR="00B96DAB" w:rsidRPr="001E1EBA" w:rsidRDefault="00B96DAB" w:rsidP="001E1EBA">
            <w:pPr>
              <w:pStyle w:val="IATableLines"/>
              <w:spacing w:line="240" w:lineRule="atLeast"/>
              <w:rPr>
                <w:rFonts w:cs="Arial"/>
                <w:sz w:val="20"/>
              </w:rPr>
            </w:pPr>
            <w:r w:rsidRPr="001E1EBA">
              <w:rPr>
                <w:sz w:val="20"/>
              </w:rPr>
              <w:t xml:space="preserve">The whiplash </w:t>
            </w:r>
            <w:r w:rsidR="005A551D" w:rsidRPr="001E1EBA">
              <w:rPr>
                <w:sz w:val="20"/>
              </w:rPr>
              <w:t>measures</w:t>
            </w:r>
            <w:r w:rsidR="00B66C9B" w:rsidRPr="001E1EBA">
              <w:rPr>
                <w:sz w:val="20"/>
              </w:rPr>
              <w:t xml:space="preserve"> will tackle</w:t>
            </w:r>
            <w:r w:rsidRPr="001E1EBA">
              <w:rPr>
                <w:sz w:val="20"/>
              </w:rPr>
              <w:t xml:space="preserve"> </w:t>
            </w:r>
            <w:r w:rsidR="00180EFB" w:rsidRPr="001E1EBA">
              <w:rPr>
                <w:sz w:val="20"/>
              </w:rPr>
              <w:t xml:space="preserve">the </w:t>
            </w:r>
            <w:r w:rsidR="00B66C9B" w:rsidRPr="001E1EBA">
              <w:rPr>
                <w:sz w:val="20"/>
              </w:rPr>
              <w:t xml:space="preserve">high </w:t>
            </w:r>
            <w:r w:rsidR="00180EFB" w:rsidRPr="001E1EBA">
              <w:rPr>
                <w:sz w:val="20"/>
              </w:rPr>
              <w:t xml:space="preserve">number </w:t>
            </w:r>
            <w:r w:rsidR="00003F3A" w:rsidRPr="001E1EBA">
              <w:rPr>
                <w:sz w:val="20"/>
              </w:rPr>
              <w:t xml:space="preserve">and </w:t>
            </w:r>
            <w:r w:rsidR="00B66C9B" w:rsidRPr="001E1EBA">
              <w:rPr>
                <w:sz w:val="20"/>
              </w:rPr>
              <w:t>cost</w:t>
            </w:r>
            <w:r w:rsidR="00003F3A" w:rsidRPr="001E1EBA">
              <w:rPr>
                <w:sz w:val="20"/>
              </w:rPr>
              <w:t xml:space="preserve"> </w:t>
            </w:r>
            <w:r w:rsidR="00180EFB" w:rsidRPr="001E1EBA">
              <w:rPr>
                <w:sz w:val="20"/>
              </w:rPr>
              <w:t xml:space="preserve">of </w:t>
            </w:r>
            <w:r w:rsidR="0053464F" w:rsidRPr="001E1EBA">
              <w:rPr>
                <w:sz w:val="20"/>
              </w:rPr>
              <w:t>minor</w:t>
            </w:r>
            <w:r w:rsidR="00180EFB" w:rsidRPr="001E1EBA">
              <w:rPr>
                <w:sz w:val="20"/>
              </w:rPr>
              <w:t xml:space="preserve"> and </w:t>
            </w:r>
            <w:r w:rsidR="005A551D" w:rsidRPr="001E1EBA">
              <w:rPr>
                <w:sz w:val="20"/>
              </w:rPr>
              <w:t>unmeritorious</w:t>
            </w:r>
            <w:r w:rsidR="00180EFB" w:rsidRPr="001E1EBA">
              <w:rPr>
                <w:sz w:val="20"/>
              </w:rPr>
              <w:t xml:space="preserve"> claims so reducing </w:t>
            </w:r>
            <w:r w:rsidRPr="001E1EBA">
              <w:rPr>
                <w:sz w:val="20"/>
              </w:rPr>
              <w:t>the cost of premiums to motor insurance policy holders</w:t>
            </w:r>
            <w:r w:rsidR="00003F3A" w:rsidRPr="001E1EBA">
              <w:rPr>
                <w:sz w:val="20"/>
              </w:rPr>
              <w:t xml:space="preserve"> </w:t>
            </w:r>
            <w:r w:rsidR="004E3402" w:rsidRPr="001E1EBA">
              <w:rPr>
                <w:sz w:val="20"/>
              </w:rPr>
              <w:t xml:space="preserve">and help </w:t>
            </w:r>
            <w:r w:rsidR="00B66C9B" w:rsidRPr="001E1EBA">
              <w:rPr>
                <w:sz w:val="20"/>
              </w:rPr>
              <w:t xml:space="preserve">to </w:t>
            </w:r>
            <w:r w:rsidR="004E3402" w:rsidRPr="001E1EBA">
              <w:rPr>
                <w:sz w:val="20"/>
              </w:rPr>
              <w:t>counteract</w:t>
            </w:r>
            <w:r w:rsidR="00003F3A" w:rsidRPr="001E1EBA">
              <w:rPr>
                <w:sz w:val="20"/>
              </w:rPr>
              <w:t xml:space="preserve"> the wider </w:t>
            </w:r>
            <w:r w:rsidR="004E3402" w:rsidRPr="001E1EBA">
              <w:rPr>
                <w:sz w:val="20"/>
              </w:rPr>
              <w:t>‘</w:t>
            </w:r>
            <w:r w:rsidR="00003F3A" w:rsidRPr="001E1EBA">
              <w:rPr>
                <w:sz w:val="20"/>
              </w:rPr>
              <w:t>claims culture</w:t>
            </w:r>
            <w:r w:rsidR="004E3402" w:rsidRPr="001E1EBA">
              <w:rPr>
                <w:sz w:val="20"/>
              </w:rPr>
              <w:t>’ associated with such claims</w:t>
            </w:r>
            <w:r w:rsidRPr="001E1EBA">
              <w:rPr>
                <w:sz w:val="20"/>
              </w:rPr>
              <w:t>.</w:t>
            </w:r>
            <w:r w:rsidR="00180EFB" w:rsidRPr="001E1EBA">
              <w:rPr>
                <w:sz w:val="20"/>
              </w:rPr>
              <w:t xml:space="preserve"> </w:t>
            </w:r>
            <w:r w:rsidR="00810693" w:rsidRPr="001E1EBA">
              <w:rPr>
                <w:sz w:val="20"/>
              </w:rPr>
              <w:t xml:space="preserve">The reforms to the </w:t>
            </w:r>
            <w:r w:rsidR="00EA7972" w:rsidRPr="001E1EBA">
              <w:rPr>
                <w:sz w:val="20"/>
              </w:rPr>
              <w:t xml:space="preserve">legal framework for setting the </w:t>
            </w:r>
            <w:r w:rsidR="00003F3A" w:rsidRPr="001E1EBA">
              <w:rPr>
                <w:sz w:val="20"/>
              </w:rPr>
              <w:t>P</w:t>
            </w:r>
            <w:r w:rsidR="00810693" w:rsidRPr="001E1EBA">
              <w:rPr>
                <w:sz w:val="20"/>
              </w:rPr>
              <w:t>IDR</w:t>
            </w:r>
            <w:r w:rsidR="00003F3A" w:rsidRPr="001E1EBA">
              <w:rPr>
                <w:sz w:val="20"/>
              </w:rPr>
              <w:t xml:space="preserve"> will</w:t>
            </w:r>
            <w:r w:rsidR="00180EFB" w:rsidRPr="001E1EBA">
              <w:rPr>
                <w:sz w:val="20"/>
              </w:rPr>
              <w:t xml:space="preserve"> </w:t>
            </w:r>
            <w:r w:rsidR="006A260C" w:rsidRPr="001E1EBA">
              <w:rPr>
                <w:sz w:val="20"/>
              </w:rPr>
              <w:t>reduce the levels of over-compensation</w:t>
            </w:r>
            <w:r w:rsidR="00CA17F0" w:rsidRPr="001E1EBA">
              <w:rPr>
                <w:sz w:val="20"/>
              </w:rPr>
              <w:t xml:space="preserve"> that unlawfully injured victims </w:t>
            </w:r>
            <w:r w:rsidR="006A260C" w:rsidRPr="001E1EBA">
              <w:rPr>
                <w:sz w:val="20"/>
              </w:rPr>
              <w:t>currently receive</w:t>
            </w:r>
            <w:r w:rsidR="00F5230B" w:rsidRPr="001E1EBA">
              <w:rPr>
                <w:sz w:val="20"/>
              </w:rPr>
              <w:t xml:space="preserve"> </w:t>
            </w:r>
            <w:r w:rsidR="00180EFB" w:rsidRPr="001E1EBA">
              <w:rPr>
                <w:sz w:val="20"/>
              </w:rPr>
              <w:t xml:space="preserve">and </w:t>
            </w:r>
            <w:r w:rsidR="00003F3A" w:rsidRPr="001E1EBA">
              <w:rPr>
                <w:sz w:val="20"/>
              </w:rPr>
              <w:t xml:space="preserve">better </w:t>
            </w:r>
            <w:r w:rsidR="00180EFB" w:rsidRPr="001E1EBA">
              <w:rPr>
                <w:sz w:val="20"/>
              </w:rPr>
              <w:t>balance the interests of claimants, defendants and wider society</w:t>
            </w:r>
            <w:r w:rsidR="008F52A7" w:rsidRPr="001E1EBA">
              <w:rPr>
                <w:sz w:val="20"/>
              </w:rPr>
              <w:t xml:space="preserve">. </w:t>
            </w:r>
            <w:r w:rsidR="00EA7972" w:rsidRPr="001E1EBA">
              <w:rPr>
                <w:sz w:val="20"/>
              </w:rPr>
              <w:t>By specifying the</w:t>
            </w:r>
            <w:r w:rsidR="008F52A7" w:rsidRPr="001E1EBA">
              <w:rPr>
                <w:rFonts w:cs="Arial"/>
                <w:sz w:val="20"/>
              </w:rPr>
              <w:t xml:space="preserve"> principles </w:t>
            </w:r>
            <w:r w:rsidR="00EA7972" w:rsidRPr="001E1EBA">
              <w:rPr>
                <w:rFonts w:cs="Arial"/>
                <w:sz w:val="20"/>
              </w:rPr>
              <w:t>by</w:t>
            </w:r>
            <w:r w:rsidR="008F52A7" w:rsidRPr="001E1EBA">
              <w:rPr>
                <w:rFonts w:cs="Arial"/>
                <w:sz w:val="20"/>
              </w:rPr>
              <w:t xml:space="preserve"> which the </w:t>
            </w:r>
            <w:r w:rsidR="00573B8B" w:rsidRPr="001E1EBA">
              <w:rPr>
                <w:rFonts w:cs="Arial"/>
                <w:sz w:val="20"/>
              </w:rPr>
              <w:t>PIDR</w:t>
            </w:r>
            <w:r w:rsidR="008F52A7" w:rsidRPr="001E1EBA">
              <w:rPr>
                <w:rFonts w:cs="Arial"/>
                <w:sz w:val="20"/>
              </w:rPr>
              <w:t xml:space="preserve"> is </w:t>
            </w:r>
            <w:r w:rsidR="0019069A" w:rsidRPr="001E1EBA">
              <w:rPr>
                <w:rFonts w:cs="Arial"/>
                <w:sz w:val="20"/>
              </w:rPr>
              <w:t xml:space="preserve">to be </w:t>
            </w:r>
            <w:r w:rsidR="008F52A7" w:rsidRPr="001E1EBA">
              <w:rPr>
                <w:rFonts w:cs="Arial"/>
                <w:sz w:val="20"/>
              </w:rPr>
              <w:t xml:space="preserve">set in legislation, </w:t>
            </w:r>
            <w:r w:rsidR="00EA7972" w:rsidRPr="001E1EBA">
              <w:rPr>
                <w:rFonts w:cs="Arial"/>
                <w:sz w:val="20"/>
              </w:rPr>
              <w:t xml:space="preserve">it will be </w:t>
            </w:r>
            <w:r w:rsidR="008F52A7" w:rsidRPr="001E1EBA">
              <w:rPr>
                <w:rFonts w:cs="Arial"/>
                <w:sz w:val="20"/>
              </w:rPr>
              <w:t xml:space="preserve">it easier to understand the review process and </w:t>
            </w:r>
            <w:r w:rsidR="005A0E50" w:rsidRPr="001E1EBA">
              <w:rPr>
                <w:rFonts w:cs="Arial"/>
                <w:sz w:val="20"/>
              </w:rPr>
              <w:t xml:space="preserve">to </w:t>
            </w:r>
            <w:r w:rsidR="008F52A7" w:rsidRPr="001E1EBA">
              <w:rPr>
                <w:rFonts w:cs="Arial"/>
                <w:sz w:val="20"/>
              </w:rPr>
              <w:t>anticipate the size of any prospective change</w:t>
            </w:r>
            <w:r w:rsidR="00B66C9B" w:rsidRPr="001E1EBA">
              <w:rPr>
                <w:rFonts w:cs="Arial"/>
                <w:sz w:val="20"/>
              </w:rPr>
              <w:t>s while r</w:t>
            </w:r>
            <w:r w:rsidR="008F52A7" w:rsidRPr="001E1EBA">
              <w:rPr>
                <w:rFonts w:cs="Arial"/>
                <w:sz w:val="20"/>
              </w:rPr>
              <w:t xml:space="preserve">egular reviews </w:t>
            </w:r>
            <w:r w:rsidR="00003F3A" w:rsidRPr="001E1EBA">
              <w:rPr>
                <w:rFonts w:cs="Arial"/>
                <w:sz w:val="20"/>
              </w:rPr>
              <w:t>will</w:t>
            </w:r>
            <w:r w:rsidR="008F52A7" w:rsidRPr="001E1EBA">
              <w:rPr>
                <w:rFonts w:cs="Arial"/>
                <w:sz w:val="20"/>
              </w:rPr>
              <w:t xml:space="preserve"> </w:t>
            </w:r>
            <w:r w:rsidR="00B9701D" w:rsidRPr="001E1EBA">
              <w:rPr>
                <w:rFonts w:cs="Arial"/>
                <w:sz w:val="20"/>
              </w:rPr>
              <w:t>provide greater certainty to both claimants and defendants</w:t>
            </w:r>
            <w:r w:rsidR="00003F3A" w:rsidRPr="001E1EBA">
              <w:rPr>
                <w:rFonts w:cs="Arial"/>
                <w:sz w:val="20"/>
              </w:rPr>
              <w:t xml:space="preserve">. </w:t>
            </w:r>
            <w:r w:rsidR="005957E1" w:rsidRPr="001E1EBA">
              <w:rPr>
                <w:rFonts w:cs="Arial"/>
                <w:sz w:val="20"/>
              </w:rPr>
              <w:t xml:space="preserve">Requiring </w:t>
            </w:r>
            <w:r w:rsidR="008F52A7" w:rsidRPr="001E1EBA">
              <w:rPr>
                <w:rFonts w:cs="Arial"/>
                <w:sz w:val="20"/>
              </w:rPr>
              <w:t xml:space="preserve">the Lord Chancellor </w:t>
            </w:r>
            <w:r w:rsidR="005957E1" w:rsidRPr="001E1EBA">
              <w:rPr>
                <w:rFonts w:cs="Arial"/>
                <w:sz w:val="20"/>
              </w:rPr>
              <w:t xml:space="preserve">to give reasons and publish information </w:t>
            </w:r>
            <w:r w:rsidR="00EA7972" w:rsidRPr="001E1EBA">
              <w:rPr>
                <w:rFonts w:cs="Arial"/>
                <w:sz w:val="20"/>
              </w:rPr>
              <w:t xml:space="preserve">will </w:t>
            </w:r>
            <w:r w:rsidR="008F52A7" w:rsidRPr="001E1EBA">
              <w:rPr>
                <w:rFonts w:cs="Arial"/>
                <w:sz w:val="20"/>
              </w:rPr>
              <w:t>ensure that a clear, transparent and objective approach is adopted which provides certainty and predictability for those involved in litigation</w:t>
            </w:r>
            <w:r w:rsidR="00835695" w:rsidRPr="001E1EBA">
              <w:rPr>
                <w:rFonts w:cs="Arial"/>
                <w:sz w:val="20"/>
              </w:rPr>
              <w:t>.</w:t>
            </w:r>
          </w:p>
        </w:tc>
      </w:tr>
    </w:tbl>
    <w:p w14:paraId="3F0750A0" w14:textId="77777777" w:rsidR="00B96DAB" w:rsidRPr="00826F71" w:rsidRDefault="00B96DAB" w:rsidP="00B96DAB">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5"/>
      </w:tblGrid>
      <w:tr w:rsidR="00B96DAB" w:rsidRPr="00826F71" w14:paraId="0EAED6F7" w14:textId="77777777" w:rsidTr="001E1EBA">
        <w:trPr>
          <w:trHeight w:hRule="exact" w:val="2746"/>
        </w:trPr>
        <w:tc>
          <w:tcPr>
            <w:tcW w:w="9648" w:type="dxa"/>
          </w:tcPr>
          <w:p w14:paraId="16ACDCB3" w14:textId="77777777" w:rsidR="00B96DAB" w:rsidRDefault="00B96DAB" w:rsidP="00BF400E">
            <w:pPr>
              <w:pStyle w:val="IAIOQ3"/>
            </w:pPr>
            <w:bookmarkStart w:id="7" w:name="IAIOQ3"/>
            <w:bookmarkStart w:id="8" w:name="Summary3"/>
            <w:r>
              <w:t>What policy options have been considered, including any alternatives to regulation? Please justify preferred option (further details in Evidence Base)</w:t>
            </w:r>
            <w:bookmarkEnd w:id="7"/>
          </w:p>
          <w:p w14:paraId="009B78F3" w14:textId="77777777" w:rsidR="001942BF" w:rsidRPr="001E1EBA" w:rsidRDefault="001942BF" w:rsidP="001E1EBA">
            <w:pPr>
              <w:pStyle w:val="IAIOQ3"/>
              <w:spacing w:before="0" w:after="120" w:line="240" w:lineRule="atLeast"/>
              <w:rPr>
                <w:b w:val="0"/>
              </w:rPr>
            </w:pPr>
            <w:r w:rsidRPr="001E1EBA">
              <w:rPr>
                <w:b w:val="0"/>
              </w:rPr>
              <w:t>The following options are assessed in this Impact Assessment:</w:t>
            </w:r>
          </w:p>
          <w:p w14:paraId="677BC569" w14:textId="77777777" w:rsidR="00B96DAB" w:rsidRPr="001E1EBA" w:rsidRDefault="00B96DAB" w:rsidP="001E1EBA">
            <w:pPr>
              <w:pStyle w:val="IATableLines"/>
              <w:numPr>
                <w:ilvl w:val="0"/>
                <w:numId w:val="15"/>
              </w:numPr>
              <w:spacing w:after="120" w:line="240" w:lineRule="atLeast"/>
              <w:ind w:left="470" w:hanging="357"/>
              <w:rPr>
                <w:sz w:val="20"/>
              </w:rPr>
            </w:pPr>
            <w:r w:rsidRPr="001E1EBA">
              <w:rPr>
                <w:sz w:val="20"/>
              </w:rPr>
              <w:t xml:space="preserve">Option </w:t>
            </w:r>
            <w:r w:rsidR="00810693" w:rsidRPr="001E1EBA">
              <w:rPr>
                <w:sz w:val="20"/>
              </w:rPr>
              <w:t>0</w:t>
            </w:r>
            <w:r w:rsidRPr="001E1EBA">
              <w:rPr>
                <w:sz w:val="20"/>
              </w:rPr>
              <w:t xml:space="preserve"> – Do nothing. Retain the current legislative position concerning the </w:t>
            </w:r>
            <w:r w:rsidR="004E3402" w:rsidRPr="001E1EBA">
              <w:rPr>
                <w:sz w:val="20"/>
              </w:rPr>
              <w:t>setting of the P</w:t>
            </w:r>
            <w:r w:rsidR="001942BF" w:rsidRPr="001E1EBA">
              <w:rPr>
                <w:sz w:val="20"/>
              </w:rPr>
              <w:t>IDR</w:t>
            </w:r>
            <w:r w:rsidR="004E3402" w:rsidRPr="001E1EBA">
              <w:rPr>
                <w:sz w:val="20"/>
              </w:rPr>
              <w:t xml:space="preserve">, the </w:t>
            </w:r>
            <w:r w:rsidRPr="001E1EBA">
              <w:rPr>
                <w:sz w:val="20"/>
              </w:rPr>
              <w:t xml:space="preserve">payment of compensation for </w:t>
            </w:r>
            <w:r w:rsidR="001942BF" w:rsidRPr="001E1EBA">
              <w:rPr>
                <w:sz w:val="20"/>
              </w:rPr>
              <w:t xml:space="preserve">road traffic accident (RTA) related </w:t>
            </w:r>
            <w:r w:rsidRPr="001E1EBA">
              <w:rPr>
                <w:sz w:val="20"/>
              </w:rPr>
              <w:t>whiplash</w:t>
            </w:r>
            <w:r w:rsidR="004E3402" w:rsidRPr="001E1EBA">
              <w:rPr>
                <w:sz w:val="20"/>
              </w:rPr>
              <w:t xml:space="preserve"> </w:t>
            </w:r>
            <w:r w:rsidRPr="001E1EBA">
              <w:rPr>
                <w:sz w:val="20"/>
              </w:rPr>
              <w:t>injuries</w:t>
            </w:r>
            <w:r w:rsidR="00810693" w:rsidRPr="001E1EBA">
              <w:rPr>
                <w:sz w:val="20"/>
              </w:rPr>
              <w:t xml:space="preserve"> and the </w:t>
            </w:r>
            <w:r w:rsidR="004E3402" w:rsidRPr="001E1EBA">
              <w:rPr>
                <w:sz w:val="20"/>
              </w:rPr>
              <w:t>current S</w:t>
            </w:r>
            <w:r w:rsidR="001942BF" w:rsidRPr="001E1EBA">
              <w:rPr>
                <w:sz w:val="20"/>
              </w:rPr>
              <w:t xml:space="preserve">mall </w:t>
            </w:r>
            <w:r w:rsidR="004E3402" w:rsidRPr="001E1EBA">
              <w:rPr>
                <w:sz w:val="20"/>
              </w:rPr>
              <w:t>C</w:t>
            </w:r>
            <w:r w:rsidR="001942BF" w:rsidRPr="001E1EBA">
              <w:rPr>
                <w:sz w:val="20"/>
              </w:rPr>
              <w:t xml:space="preserve">laims </w:t>
            </w:r>
            <w:r w:rsidR="004E3402" w:rsidRPr="001E1EBA">
              <w:rPr>
                <w:sz w:val="20"/>
              </w:rPr>
              <w:t>T</w:t>
            </w:r>
            <w:r w:rsidR="001942BF" w:rsidRPr="001E1EBA">
              <w:rPr>
                <w:sz w:val="20"/>
              </w:rPr>
              <w:t>rack (SCT)</w:t>
            </w:r>
            <w:r w:rsidR="004E3402" w:rsidRPr="001E1EBA">
              <w:rPr>
                <w:sz w:val="20"/>
              </w:rPr>
              <w:t xml:space="preserve"> limits for both RTA</w:t>
            </w:r>
            <w:r w:rsidR="00FC0C31" w:rsidRPr="001E1EBA">
              <w:rPr>
                <w:sz w:val="20"/>
              </w:rPr>
              <w:t xml:space="preserve"> related personal injury (PI) claims and non-RTA PI claims</w:t>
            </w:r>
            <w:r w:rsidRPr="001E1EBA">
              <w:rPr>
                <w:sz w:val="20"/>
              </w:rPr>
              <w:t>.</w:t>
            </w:r>
          </w:p>
          <w:p w14:paraId="125143C3" w14:textId="77777777" w:rsidR="00B96DAB" w:rsidRPr="001E1EBA" w:rsidRDefault="00B96DAB" w:rsidP="001E1EBA">
            <w:pPr>
              <w:pStyle w:val="IATableLines"/>
              <w:numPr>
                <w:ilvl w:val="0"/>
                <w:numId w:val="15"/>
              </w:numPr>
              <w:spacing w:after="120" w:line="240" w:lineRule="atLeast"/>
              <w:ind w:left="473"/>
              <w:rPr>
                <w:sz w:val="20"/>
              </w:rPr>
            </w:pPr>
            <w:r w:rsidRPr="001E1EBA">
              <w:rPr>
                <w:sz w:val="20"/>
              </w:rPr>
              <w:t xml:space="preserve">Option </w:t>
            </w:r>
            <w:r w:rsidR="00810693" w:rsidRPr="001E1EBA">
              <w:rPr>
                <w:sz w:val="20"/>
              </w:rPr>
              <w:t>1</w:t>
            </w:r>
            <w:r w:rsidRPr="001E1EBA">
              <w:rPr>
                <w:sz w:val="20"/>
              </w:rPr>
              <w:t xml:space="preserve"> – Introduce the legislative measures included in the </w:t>
            </w:r>
            <w:r w:rsidR="00C36490" w:rsidRPr="001E1EBA">
              <w:rPr>
                <w:sz w:val="20"/>
              </w:rPr>
              <w:t>Civil Liabilit</w:t>
            </w:r>
            <w:r w:rsidR="001942BF" w:rsidRPr="001E1EBA">
              <w:rPr>
                <w:sz w:val="20"/>
              </w:rPr>
              <w:t>y</w:t>
            </w:r>
            <w:r w:rsidRPr="001E1EBA">
              <w:rPr>
                <w:sz w:val="20"/>
              </w:rPr>
              <w:t xml:space="preserve"> Bill</w:t>
            </w:r>
            <w:r w:rsidR="005A551D" w:rsidRPr="001E1EBA">
              <w:rPr>
                <w:sz w:val="20"/>
              </w:rPr>
              <w:t xml:space="preserve"> along with the supporting reforms to increase the small claims track limit for personal injury claims</w:t>
            </w:r>
            <w:r w:rsidRPr="001E1EBA">
              <w:rPr>
                <w:sz w:val="20"/>
              </w:rPr>
              <w:t>.</w:t>
            </w:r>
          </w:p>
          <w:p w14:paraId="52A13D05" w14:textId="77777777" w:rsidR="00B96DAB" w:rsidRPr="00C120C0" w:rsidRDefault="00B96DAB" w:rsidP="00810693">
            <w:pPr>
              <w:pStyle w:val="IATableLines"/>
            </w:pPr>
            <w:r w:rsidRPr="001E1EBA">
              <w:rPr>
                <w:sz w:val="20"/>
              </w:rPr>
              <w:t xml:space="preserve">Option </w:t>
            </w:r>
            <w:r w:rsidR="00810693" w:rsidRPr="001E1EBA">
              <w:rPr>
                <w:sz w:val="20"/>
              </w:rPr>
              <w:t>1</w:t>
            </w:r>
            <w:r w:rsidRPr="001E1EBA">
              <w:rPr>
                <w:sz w:val="20"/>
              </w:rPr>
              <w:t xml:space="preserve"> is the preferred option as it best meets the policy objectives.</w:t>
            </w:r>
          </w:p>
        </w:tc>
      </w:tr>
    </w:tbl>
    <w:p w14:paraId="647975A7" w14:textId="77777777" w:rsidR="00B96DAB" w:rsidRDefault="00B96DAB" w:rsidP="00B96DAB">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95"/>
      </w:tblGrid>
      <w:tr w:rsidR="00B96DAB" w14:paraId="75EB2FD4" w14:textId="77777777" w:rsidTr="00BF400E">
        <w:tc>
          <w:tcPr>
            <w:tcW w:w="5000" w:type="pct"/>
            <w:shd w:val="clear" w:color="auto" w:fill="auto"/>
          </w:tcPr>
          <w:p w14:paraId="22A38327" w14:textId="77777777" w:rsidR="00B96DAB" w:rsidRPr="007E190E" w:rsidRDefault="00B96DAB" w:rsidP="00B96DAB">
            <w:pPr>
              <w:pStyle w:val="IATableLabel"/>
              <w:rPr>
                <w:b w:val="0"/>
                <w:sz w:val="22"/>
                <w:szCs w:val="22"/>
              </w:rPr>
            </w:pPr>
            <w:r w:rsidRPr="00D02C89">
              <w:t xml:space="preserve">Will the policy be reviewed?  </w:t>
            </w:r>
            <w:r w:rsidRPr="001E1EBA">
              <w:rPr>
                <w:b w:val="0"/>
              </w:rPr>
              <w:t>Please refer to the individual Impact Assessments for details.</w:t>
            </w:r>
          </w:p>
        </w:tc>
      </w:tr>
    </w:tbl>
    <w:p w14:paraId="5A96CEDA" w14:textId="77777777" w:rsidR="00B96DAB" w:rsidRPr="007E190E" w:rsidRDefault="00B96DAB" w:rsidP="00B96DAB">
      <w:pPr>
        <w:rPr>
          <w:vanish/>
        </w:rPr>
      </w:pPr>
      <w:bookmarkStart w:id="9" w:name="Summary4"/>
      <w:bookmarkEnd w:id="8"/>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6257"/>
        <w:gridCol w:w="981"/>
        <w:gridCol w:w="981"/>
        <w:gridCol w:w="347"/>
        <w:gridCol w:w="634"/>
        <w:gridCol w:w="981"/>
      </w:tblGrid>
      <w:tr w:rsidR="00B96DAB" w:rsidRPr="00D50283" w14:paraId="0A7CDF22" w14:textId="77777777" w:rsidTr="00BF400E">
        <w:trPr>
          <w:trHeight w:hRule="exact" w:val="340"/>
        </w:trPr>
        <w:tc>
          <w:tcPr>
            <w:tcW w:w="7252" w:type="dxa"/>
            <w:gridSpan w:val="2"/>
            <w:shd w:val="clear" w:color="auto" w:fill="E0E0E0"/>
            <w:vAlign w:val="center"/>
          </w:tcPr>
          <w:p w14:paraId="668A5E54" w14:textId="77777777" w:rsidR="00B96DAB" w:rsidRPr="00D50283" w:rsidRDefault="00B96DAB" w:rsidP="00BF400E">
            <w:pPr>
              <w:pStyle w:val="IATableText"/>
              <w:spacing w:before="0" w:after="0"/>
              <w:rPr>
                <w:sz w:val="20"/>
              </w:rPr>
            </w:pPr>
            <w:r w:rsidRPr="00D50283">
              <w:rPr>
                <w:iCs/>
                <w:sz w:val="20"/>
              </w:rPr>
              <w:t>Does implementation go beyond minimum EU requirements?</w:t>
            </w:r>
          </w:p>
        </w:tc>
        <w:tc>
          <w:tcPr>
            <w:tcW w:w="2949" w:type="dxa"/>
            <w:gridSpan w:val="4"/>
            <w:tcBorders>
              <w:bottom w:val="single" w:sz="4" w:space="0" w:color="auto"/>
            </w:tcBorders>
            <w:shd w:val="clear" w:color="auto" w:fill="E0E0E0"/>
            <w:vAlign w:val="center"/>
          </w:tcPr>
          <w:p w14:paraId="6551B440" w14:textId="77777777" w:rsidR="00B96DAB" w:rsidRPr="00D50283" w:rsidRDefault="00B96DAB" w:rsidP="00BF400E">
            <w:pPr>
              <w:pStyle w:val="IAIOCheckEU"/>
              <w:ind w:left="0"/>
            </w:pPr>
            <w:r>
              <w:t xml:space="preserve">  N/A</w:t>
            </w:r>
          </w:p>
        </w:tc>
      </w:tr>
      <w:tr w:rsidR="00B96DAB" w:rsidRPr="00D50283" w14:paraId="3C92BFCA" w14:textId="77777777" w:rsidTr="00BF400E">
        <w:trPr>
          <w:trHeight w:val="460"/>
        </w:trPr>
        <w:tc>
          <w:tcPr>
            <w:tcW w:w="6269" w:type="dxa"/>
            <w:shd w:val="clear" w:color="auto" w:fill="E0E0E0"/>
            <w:vAlign w:val="center"/>
          </w:tcPr>
          <w:p w14:paraId="7388D3B2" w14:textId="77777777" w:rsidR="00B96DAB" w:rsidRPr="00720FFE" w:rsidRDefault="00B96DAB" w:rsidP="00BF400E">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983" w:type="dxa"/>
            <w:shd w:val="clear" w:color="auto" w:fill="E0E0E0"/>
            <w:vAlign w:val="center"/>
          </w:tcPr>
          <w:p w14:paraId="632E4448" w14:textId="77777777" w:rsidR="00B96DAB" w:rsidRDefault="00B96DAB" w:rsidP="00BF400E">
            <w:pPr>
              <w:pStyle w:val="IATableLines"/>
              <w:rPr>
                <w:rStyle w:val="IAIOCheckMicroChar"/>
                <w:b/>
              </w:rPr>
            </w:pPr>
            <w:r w:rsidRPr="00720FFE">
              <w:rPr>
                <w:b/>
                <w:color w:val="000000"/>
                <w:sz w:val="20"/>
              </w:rPr>
              <w:t>Micro</w:t>
            </w:r>
          </w:p>
          <w:p w14:paraId="00FE584D" w14:textId="77777777" w:rsidR="00B96DAB" w:rsidRPr="00A76A4A" w:rsidRDefault="00B96DAB" w:rsidP="00BF400E">
            <w:pPr>
              <w:pStyle w:val="IATableLines"/>
              <w:rPr>
                <w:b/>
                <w:color w:val="000000"/>
                <w:sz w:val="20"/>
              </w:rPr>
            </w:pPr>
            <w:r>
              <w:rPr>
                <w:rStyle w:val="IAIOCheckMicroChar"/>
                <w:sz w:val="20"/>
              </w:rPr>
              <w:t>Y</w:t>
            </w:r>
            <w:r w:rsidRPr="00A76A4A">
              <w:rPr>
                <w:rStyle w:val="IAIOCheckMicroChar"/>
                <w:sz w:val="20"/>
              </w:rPr>
              <w:t>es</w:t>
            </w:r>
          </w:p>
        </w:tc>
        <w:tc>
          <w:tcPr>
            <w:tcW w:w="983" w:type="dxa"/>
            <w:shd w:val="clear" w:color="auto" w:fill="E0E0E0"/>
            <w:vAlign w:val="center"/>
          </w:tcPr>
          <w:p w14:paraId="388E22CB" w14:textId="77777777" w:rsidR="00B96DAB" w:rsidRDefault="00B96DAB" w:rsidP="00BF400E">
            <w:pPr>
              <w:pStyle w:val="IATableLines"/>
              <w:rPr>
                <w:b/>
                <w:color w:val="000000"/>
                <w:sz w:val="20"/>
              </w:rPr>
            </w:pPr>
            <w:r w:rsidRPr="00720FFE">
              <w:rPr>
                <w:b/>
                <w:color w:val="000000"/>
                <w:sz w:val="20"/>
              </w:rPr>
              <w:t>Small</w:t>
            </w:r>
          </w:p>
          <w:p w14:paraId="3FD98EA7" w14:textId="77777777" w:rsidR="00B96DAB" w:rsidRPr="00720FFE" w:rsidRDefault="00B96DAB" w:rsidP="00BF400E">
            <w:pPr>
              <w:pStyle w:val="IATableLines"/>
              <w:rPr>
                <w:b/>
                <w:color w:val="000000"/>
                <w:sz w:val="20"/>
              </w:rPr>
            </w:pPr>
            <w:r>
              <w:rPr>
                <w:rStyle w:val="IAIOCheckSmallChar"/>
                <w:sz w:val="20"/>
              </w:rPr>
              <w:t>Yes</w:t>
            </w:r>
          </w:p>
        </w:tc>
        <w:tc>
          <w:tcPr>
            <w:tcW w:w="983" w:type="dxa"/>
            <w:gridSpan w:val="2"/>
            <w:shd w:val="clear" w:color="auto" w:fill="E0E0E0"/>
            <w:vAlign w:val="center"/>
          </w:tcPr>
          <w:p w14:paraId="184277DC" w14:textId="77777777" w:rsidR="00B96DAB" w:rsidRPr="00720FFE" w:rsidRDefault="00B96DAB" w:rsidP="00BF400E">
            <w:pPr>
              <w:pStyle w:val="IATableLines"/>
              <w:rPr>
                <w:b/>
                <w:color w:val="000000"/>
                <w:sz w:val="20"/>
              </w:rPr>
            </w:pPr>
            <w:proofErr w:type="spellStart"/>
            <w:r w:rsidRPr="00720FFE">
              <w:rPr>
                <w:b/>
                <w:color w:val="000000"/>
                <w:sz w:val="20"/>
              </w:rPr>
              <w:t>Medium</w:t>
            </w:r>
            <w:r w:rsidRPr="00A76A4A">
              <w:rPr>
                <w:rStyle w:val="IAIOCheckSmallChar"/>
                <w:sz w:val="20"/>
              </w:rPr>
              <w:t>Yes</w:t>
            </w:r>
            <w:proofErr w:type="spellEnd"/>
          </w:p>
        </w:tc>
        <w:tc>
          <w:tcPr>
            <w:tcW w:w="983" w:type="dxa"/>
            <w:shd w:val="clear" w:color="auto" w:fill="E0E0E0"/>
            <w:vAlign w:val="center"/>
          </w:tcPr>
          <w:p w14:paraId="48FCE892" w14:textId="77777777" w:rsidR="00B96DAB" w:rsidRDefault="00B96DAB" w:rsidP="00BF400E">
            <w:pPr>
              <w:pStyle w:val="IATableLines"/>
              <w:rPr>
                <w:rStyle w:val="IAIOCheckLargeChar"/>
                <w:b/>
              </w:rPr>
            </w:pPr>
            <w:r w:rsidRPr="00720FFE">
              <w:rPr>
                <w:b/>
                <w:color w:val="000000"/>
                <w:sz w:val="20"/>
              </w:rPr>
              <w:t>Large</w:t>
            </w:r>
          </w:p>
          <w:p w14:paraId="297304FA" w14:textId="77777777" w:rsidR="00B96DAB" w:rsidRPr="00720FFE" w:rsidRDefault="00B96DAB" w:rsidP="00BF400E">
            <w:pPr>
              <w:pStyle w:val="IATableLines"/>
              <w:rPr>
                <w:b/>
                <w:color w:val="000000"/>
                <w:sz w:val="20"/>
              </w:rPr>
            </w:pPr>
            <w:r w:rsidRPr="00A76A4A">
              <w:rPr>
                <w:rStyle w:val="IAIOCheckLargeChar"/>
                <w:sz w:val="20"/>
              </w:rPr>
              <w:t>Yes</w:t>
            </w:r>
          </w:p>
        </w:tc>
      </w:tr>
      <w:tr w:rsidR="00B96DAB" w14:paraId="34102CB0" w14:textId="77777777" w:rsidTr="00BF400E">
        <w:tblPrEx>
          <w:shd w:val="clear" w:color="auto" w:fill="auto"/>
        </w:tblPrEx>
        <w:trPr>
          <w:trHeight w:hRule="exact" w:val="567"/>
        </w:trPr>
        <w:tc>
          <w:tcPr>
            <w:tcW w:w="725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4D48178" w14:textId="77777777" w:rsidR="00B96DAB" w:rsidRDefault="00B96DAB" w:rsidP="00BF400E">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4777D7AC" w14:textId="77777777" w:rsidR="00B96DAB" w:rsidRDefault="00B96DAB" w:rsidP="00BF400E">
            <w:pPr>
              <w:pStyle w:val="IATableLabel"/>
            </w:pPr>
            <w:r>
              <w:t xml:space="preserve">Traded:   </w:t>
            </w:r>
            <w:r>
              <w:br/>
            </w:r>
            <w:r>
              <w:rPr>
                <w:rStyle w:val="IAIOCO2TradedChar"/>
              </w:rPr>
              <w:t>N/A</w:t>
            </w:r>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5B99BDB8" w14:textId="77777777" w:rsidR="00B96DAB" w:rsidRDefault="00B96DAB" w:rsidP="00BF400E">
            <w:pPr>
              <w:pStyle w:val="IATableLabel"/>
            </w:pPr>
            <w:r>
              <w:t xml:space="preserve">Non-traded:   </w:t>
            </w:r>
            <w:r>
              <w:br/>
            </w:r>
            <w:r>
              <w:rPr>
                <w:rStyle w:val="IAIOCO2TradedChar"/>
              </w:rPr>
              <w:t>N/A</w:t>
            </w:r>
          </w:p>
        </w:tc>
      </w:tr>
    </w:tbl>
    <w:p w14:paraId="6B8F248A" w14:textId="77777777" w:rsidR="00B96DAB" w:rsidRPr="00DF2F4B" w:rsidRDefault="00B96DAB" w:rsidP="001E1EBA">
      <w:pPr>
        <w:pStyle w:val="IASign-off"/>
        <w:spacing w:before="120"/>
        <w:rPr>
          <w:sz w:val="20"/>
        </w:rPr>
      </w:pPr>
      <w:bookmarkStart w:id="10" w:name="SignOfftext"/>
      <w:bookmarkEnd w:id="9"/>
      <w:r w:rsidRPr="00DF2F4B">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B96DAB" w:rsidRPr="00B96DAB" w14:paraId="131A0F85" w14:textId="77777777" w:rsidTr="00C25345">
        <w:trPr>
          <w:trHeight w:hRule="exact" w:val="573"/>
        </w:trPr>
        <w:tc>
          <w:tcPr>
            <w:tcW w:w="2350" w:type="pct"/>
            <w:vAlign w:val="bottom"/>
          </w:tcPr>
          <w:p w14:paraId="6D79C2B5" w14:textId="77777777" w:rsidR="00B96DAB" w:rsidRPr="00B96DAB" w:rsidRDefault="00B96DAB" w:rsidP="00BF400E">
            <w:pPr>
              <w:pStyle w:val="IASignature"/>
              <w:tabs>
                <w:tab w:val="clear" w:pos="6804"/>
                <w:tab w:val="left" w:leader="dot" w:pos="7380"/>
              </w:tabs>
              <w:rPr>
                <w:b/>
              </w:rPr>
            </w:pPr>
            <w:r w:rsidRPr="00B96DAB">
              <w:rPr>
                <w:b/>
              </w:rPr>
              <w:t>Signed by the responsible Minister:</w:t>
            </w:r>
          </w:p>
        </w:tc>
        <w:tc>
          <w:tcPr>
            <w:tcW w:w="1122" w:type="pct"/>
            <w:tcBorders>
              <w:bottom w:val="dashSmallGap" w:sz="4" w:space="0" w:color="auto"/>
            </w:tcBorders>
            <w:vAlign w:val="bottom"/>
          </w:tcPr>
          <w:p w14:paraId="732F8E44" w14:textId="77777777" w:rsidR="00B96DAB" w:rsidRPr="00B96DAB" w:rsidRDefault="00B96DAB" w:rsidP="004B231C">
            <w:pPr>
              <w:pStyle w:val="IAIOtextSign"/>
              <w:rPr>
                <w:b/>
              </w:rPr>
            </w:pPr>
          </w:p>
        </w:tc>
        <w:tc>
          <w:tcPr>
            <w:tcW w:w="625" w:type="pct"/>
            <w:vAlign w:val="bottom"/>
          </w:tcPr>
          <w:p w14:paraId="0271B1EE" w14:textId="77777777" w:rsidR="00B96DAB" w:rsidRPr="00B96DAB" w:rsidRDefault="00B96DAB" w:rsidP="00BF400E">
            <w:pPr>
              <w:pStyle w:val="IASignature"/>
              <w:tabs>
                <w:tab w:val="clear" w:pos="6804"/>
                <w:tab w:val="left" w:leader="dot" w:pos="7380"/>
              </w:tabs>
              <w:rPr>
                <w:b/>
              </w:rPr>
            </w:pPr>
            <w:r w:rsidRPr="00B96DAB">
              <w:rPr>
                <w:b/>
              </w:rPr>
              <w:t> Date:</w:t>
            </w:r>
          </w:p>
        </w:tc>
        <w:bookmarkStart w:id="11" w:name="SigDate"/>
        <w:tc>
          <w:tcPr>
            <w:tcW w:w="902" w:type="pct"/>
            <w:tcBorders>
              <w:bottom w:val="dashSmallGap" w:sz="4" w:space="0" w:color="auto"/>
            </w:tcBorders>
            <w:vAlign w:val="bottom"/>
          </w:tcPr>
          <w:p w14:paraId="5EC3A83D" w14:textId="77777777" w:rsidR="00B96DAB" w:rsidRPr="00B96DAB" w:rsidRDefault="00B96DAB" w:rsidP="00810693">
            <w:pPr>
              <w:pStyle w:val="IAIOSigDate"/>
              <w:rPr>
                <w:b/>
              </w:rPr>
            </w:pPr>
            <w:r w:rsidRPr="00B96DAB">
              <w:rPr>
                <w:b/>
              </w:rPr>
              <w:fldChar w:fldCharType="begin">
                <w:ffData>
                  <w:name w:val="SigDate"/>
                  <w:enabled/>
                  <w:calcOnExit w:val="0"/>
                  <w:textInput/>
                </w:ffData>
              </w:fldChar>
            </w:r>
            <w:r w:rsidRPr="00B96DAB">
              <w:rPr>
                <w:b/>
              </w:rPr>
              <w:instrText xml:space="preserve"> FORMTEXT </w:instrText>
            </w:r>
            <w:r w:rsidRPr="00B96DAB">
              <w:rPr>
                <w:b/>
              </w:rPr>
            </w:r>
            <w:r w:rsidRPr="00B96DAB">
              <w:rPr>
                <w:b/>
              </w:rPr>
              <w:fldChar w:fldCharType="separate"/>
            </w:r>
            <w:r w:rsidRPr="00B96DAB">
              <w:rPr>
                <w:b/>
              </w:rPr>
              <w:t xml:space="preserve"> </w:t>
            </w:r>
            <w:r w:rsidRPr="00B96DAB">
              <w:rPr>
                <w:b/>
              </w:rPr>
              <w:fldChar w:fldCharType="end"/>
            </w:r>
            <w:bookmarkEnd w:id="11"/>
          </w:p>
        </w:tc>
      </w:tr>
      <w:bookmarkEnd w:id="10"/>
    </w:tbl>
    <w:p w14:paraId="69D22640" w14:textId="77777777" w:rsidR="00934D04" w:rsidRDefault="00934D04" w:rsidP="00934D04">
      <w:pPr>
        <w:pStyle w:val="Heading1"/>
        <w:spacing w:before="0"/>
        <w:sectPr w:rsidR="00934D04" w:rsidSect="00934D04">
          <w:footerReference w:type="default" r:id="rId9"/>
          <w:footnotePr>
            <w:numRestart w:val="eachSect"/>
          </w:footnotePr>
          <w:pgSz w:w="11907" w:h="16840" w:code="9"/>
          <w:pgMar w:top="680" w:right="851" w:bottom="680" w:left="851" w:header="284" w:footer="284" w:gutter="0"/>
          <w:cols w:space="708"/>
          <w:docGrid w:linePitch="360"/>
        </w:sectPr>
      </w:pPr>
    </w:p>
    <w:p w14:paraId="3E124349" w14:textId="77777777" w:rsidR="00D50928" w:rsidRPr="00D50928" w:rsidRDefault="00D50928" w:rsidP="00D50928">
      <w:pPr>
        <w:keepNext/>
        <w:tabs>
          <w:tab w:val="right" w:pos="10206"/>
        </w:tabs>
        <w:spacing w:after="60" w:line="240" w:lineRule="auto"/>
        <w:outlineLvl w:val="0"/>
        <w:rPr>
          <w:rFonts w:ascii="Arial Bold" w:eastAsia="Times New Roman" w:hAnsi="Arial Bold" w:cs="Arial"/>
          <w:b/>
          <w:bCs/>
          <w:spacing w:val="-4"/>
          <w:kern w:val="32"/>
          <w:sz w:val="32"/>
          <w:szCs w:val="32"/>
        </w:rPr>
      </w:pPr>
      <w:r w:rsidRPr="00D50928">
        <w:rPr>
          <w:rFonts w:ascii="Arial Bold" w:eastAsia="Times New Roman" w:hAnsi="Arial Bold" w:cs="Arial"/>
          <w:b/>
          <w:bCs/>
          <w:spacing w:val="-4"/>
          <w:kern w:val="32"/>
          <w:sz w:val="32"/>
          <w:szCs w:val="32"/>
        </w:rPr>
        <w:lastRenderedPageBreak/>
        <w:t>Summary: Analysis &amp; Evidence</w:t>
      </w:r>
      <w:r w:rsidRPr="00D50928">
        <w:rPr>
          <w:rFonts w:ascii="Arial Bold" w:eastAsia="Times New Roman" w:hAnsi="Arial Bold" w:cs="Arial"/>
          <w:b/>
          <w:bCs/>
          <w:spacing w:val="-4"/>
          <w:kern w:val="32"/>
          <w:sz w:val="32"/>
          <w:szCs w:val="32"/>
        </w:rPr>
        <w:tab/>
      </w:r>
      <w:r w:rsidRPr="00D50928">
        <w:rPr>
          <w:rFonts w:ascii="Arial" w:eastAsia="Times New Roman" w:hAnsi="Arial" w:cs="Arial"/>
          <w:spacing w:val="-4"/>
          <w:kern w:val="32"/>
          <w:sz w:val="32"/>
          <w:szCs w:val="32"/>
        </w:rPr>
        <w:t xml:space="preserve">Policy Option </w:t>
      </w:r>
      <w:r w:rsidRPr="00D50928">
        <w:rPr>
          <w:rFonts w:ascii="Arial" w:eastAsia="Times New Roman" w:hAnsi="Arial" w:cs="Arial"/>
          <w:spacing w:val="-4"/>
          <w:kern w:val="32"/>
          <w:sz w:val="32"/>
          <w:szCs w:val="32"/>
        </w:rPr>
        <w:fldChar w:fldCharType="begin"/>
      </w:r>
      <w:r w:rsidRPr="00D50928">
        <w:rPr>
          <w:rFonts w:ascii="Arial" w:eastAsia="Times New Roman" w:hAnsi="Arial" w:cs="Arial"/>
          <w:spacing w:val="-4"/>
          <w:kern w:val="32"/>
          <w:sz w:val="32"/>
          <w:szCs w:val="32"/>
        </w:rPr>
        <w:instrText xml:space="preserve"> SEQ Policy </w:instrText>
      </w:r>
      <w:r w:rsidRPr="00D50928">
        <w:rPr>
          <w:rFonts w:ascii="Arial" w:eastAsia="Times New Roman" w:hAnsi="Arial" w:cs="Arial"/>
          <w:spacing w:val="-4"/>
          <w:kern w:val="32"/>
          <w:sz w:val="32"/>
          <w:szCs w:val="32"/>
        </w:rPr>
        <w:fldChar w:fldCharType="separate"/>
      </w:r>
      <w:r w:rsidR="002B4ADE">
        <w:rPr>
          <w:rFonts w:ascii="Arial" w:eastAsia="Times New Roman" w:hAnsi="Arial" w:cs="Arial"/>
          <w:noProof/>
          <w:spacing w:val="-4"/>
          <w:kern w:val="32"/>
          <w:sz w:val="32"/>
          <w:szCs w:val="32"/>
        </w:rPr>
        <w:t>1</w:t>
      </w:r>
      <w:r w:rsidRPr="00D50928">
        <w:rPr>
          <w:rFonts w:ascii="Arial" w:eastAsia="Times New Roman" w:hAnsi="Arial" w:cs="Arial"/>
          <w:spacing w:val="-4"/>
          <w:kern w:val="32"/>
          <w:sz w:val="32"/>
          <w:szCs w:val="32"/>
        </w:rPr>
        <w:fldChar w:fldCharType="end"/>
      </w:r>
    </w:p>
    <w:p w14:paraId="5DAC1FC9" w14:textId="77777777" w:rsidR="00D50928" w:rsidRPr="00D50928" w:rsidRDefault="00D50928" w:rsidP="00D50928">
      <w:pPr>
        <w:spacing w:after="0" w:line="240" w:lineRule="auto"/>
        <w:ind w:left="113" w:right="113"/>
        <w:rPr>
          <w:rFonts w:ascii="Arial" w:eastAsia="SimSun" w:hAnsi="Arial"/>
          <w:spacing w:val="-5"/>
          <w:sz w:val="20"/>
          <w:szCs w:val="20"/>
          <w:lang w:eastAsia="zh-CN"/>
        </w:rPr>
      </w:pPr>
      <w:r w:rsidRPr="00D50928">
        <w:rPr>
          <w:rFonts w:ascii="Arial" w:eastAsia="SimSun" w:hAnsi="Arial"/>
          <w:spacing w:val="-5"/>
          <w:szCs w:val="20"/>
          <w:lang w:eastAsia="zh-CN"/>
        </w:rPr>
        <w:t>Description:  Introduce the legislative measures included in the Civil Liabilit</w:t>
      </w:r>
      <w:r w:rsidR="002335C4">
        <w:rPr>
          <w:rFonts w:ascii="Arial" w:eastAsia="SimSun" w:hAnsi="Arial"/>
          <w:spacing w:val="-5"/>
          <w:szCs w:val="20"/>
          <w:lang w:eastAsia="zh-CN"/>
        </w:rPr>
        <w:t>y</w:t>
      </w:r>
      <w:r w:rsidRPr="00D50928">
        <w:rPr>
          <w:rFonts w:ascii="Arial" w:eastAsia="SimSun" w:hAnsi="Arial"/>
          <w:spacing w:val="-5"/>
          <w:szCs w:val="20"/>
          <w:lang w:eastAsia="zh-CN"/>
        </w:rPr>
        <w:t xml:space="preserve"> Bill.</w:t>
      </w:r>
    </w:p>
    <w:p w14:paraId="2F4C3AD0" w14:textId="77777777" w:rsidR="00D50928" w:rsidRPr="00D50928" w:rsidRDefault="00D50928" w:rsidP="00D50928">
      <w:pPr>
        <w:spacing w:before="50" w:after="50" w:line="240" w:lineRule="auto"/>
        <w:rPr>
          <w:rFonts w:ascii="Arial" w:eastAsia="SimSun" w:hAnsi="Arial"/>
          <w:b/>
          <w:color w:val="000000"/>
          <w:spacing w:val="-5"/>
          <w:sz w:val="2"/>
          <w:szCs w:val="2"/>
          <w:lang w:eastAsia="zh-CN"/>
        </w:rPr>
      </w:pPr>
    </w:p>
    <w:p w14:paraId="1A78FA68" w14:textId="77777777" w:rsidR="00D50928" w:rsidRPr="00D50928" w:rsidRDefault="00D50928" w:rsidP="00D50928">
      <w:pPr>
        <w:spacing w:before="50" w:after="50" w:line="240" w:lineRule="auto"/>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D50928" w:rsidRPr="00D50928" w14:paraId="69111E91" w14:textId="77777777" w:rsidTr="006135B9">
        <w:trPr>
          <w:trHeight w:hRule="exact" w:val="312"/>
        </w:trPr>
        <w:tc>
          <w:tcPr>
            <w:tcW w:w="1265" w:type="dxa"/>
            <w:vMerge w:val="restart"/>
            <w:shd w:val="clear" w:color="auto" w:fill="auto"/>
          </w:tcPr>
          <w:p w14:paraId="2E2B2E24" w14:textId="77777777" w:rsidR="00D50928" w:rsidRPr="00D50928" w:rsidRDefault="00D50928" w:rsidP="00D50928">
            <w:pPr>
              <w:spacing w:before="50" w:after="5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Price Base Year </w:t>
            </w:r>
            <w:r w:rsidRPr="00D50928">
              <w:rPr>
                <w:rFonts w:ascii="Arial" w:eastAsia="SimSun" w:hAnsi="Arial"/>
                <w:color w:val="000000"/>
                <w:spacing w:val="-5"/>
                <w:sz w:val="20"/>
                <w:szCs w:val="20"/>
                <w:lang w:eastAsia="zh-CN"/>
              </w:rPr>
              <w:t>2014</w:t>
            </w:r>
          </w:p>
        </w:tc>
        <w:tc>
          <w:tcPr>
            <w:tcW w:w="1260" w:type="dxa"/>
            <w:vMerge w:val="restart"/>
            <w:shd w:val="clear" w:color="auto" w:fill="auto"/>
          </w:tcPr>
          <w:p w14:paraId="4995E40F" w14:textId="77777777" w:rsidR="00D50928" w:rsidRPr="00D50928" w:rsidRDefault="00D50928" w:rsidP="00D50928">
            <w:pPr>
              <w:spacing w:before="50" w:after="5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PV Base Year  </w:t>
            </w:r>
            <w:r w:rsidRPr="00D50928">
              <w:rPr>
                <w:rFonts w:ascii="Arial" w:eastAsia="SimSun" w:hAnsi="Arial"/>
                <w:b/>
                <w:color w:val="000000"/>
                <w:spacing w:val="-5"/>
                <w:sz w:val="20"/>
                <w:szCs w:val="20"/>
                <w:lang w:eastAsia="zh-CN"/>
              </w:rPr>
              <w:br/>
            </w:r>
            <w:r w:rsidRPr="00D50928">
              <w:rPr>
                <w:rFonts w:ascii="Arial" w:eastAsia="SimSun" w:hAnsi="Arial"/>
                <w:color w:val="000000"/>
                <w:spacing w:val="-5"/>
                <w:sz w:val="20"/>
                <w:szCs w:val="20"/>
                <w:lang w:eastAsia="zh-CN"/>
              </w:rPr>
              <w:t>2</w:t>
            </w:r>
            <w:r w:rsidRPr="001E1EBA">
              <w:rPr>
                <w:rFonts w:ascii="Arial" w:eastAsia="SimSun" w:hAnsi="Arial"/>
                <w:color w:val="000000"/>
                <w:spacing w:val="-5"/>
                <w:sz w:val="20"/>
                <w:szCs w:val="20"/>
                <w:lang w:eastAsia="zh-CN"/>
              </w:rPr>
              <w:t>0</w:t>
            </w:r>
            <w:r w:rsidR="00C66266">
              <w:rPr>
                <w:rFonts w:ascii="Arial" w:eastAsia="SimSun" w:hAnsi="Arial"/>
                <w:color w:val="000000"/>
                <w:spacing w:val="-5"/>
                <w:sz w:val="20"/>
                <w:szCs w:val="20"/>
                <w:lang w:eastAsia="zh-CN"/>
              </w:rPr>
              <w:t>19</w:t>
            </w:r>
          </w:p>
        </w:tc>
        <w:tc>
          <w:tcPr>
            <w:tcW w:w="1440" w:type="dxa"/>
            <w:vMerge w:val="restart"/>
            <w:tcBorders>
              <w:right w:val="single" w:sz="12" w:space="0" w:color="auto"/>
            </w:tcBorders>
            <w:shd w:val="clear" w:color="auto" w:fill="auto"/>
          </w:tcPr>
          <w:p w14:paraId="165AEA25" w14:textId="77777777" w:rsidR="00D50928" w:rsidRPr="00D50928" w:rsidRDefault="00D50928" w:rsidP="00D50928">
            <w:pPr>
              <w:spacing w:before="50" w:after="5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Time Period Years</w:t>
            </w:r>
            <w:r w:rsidRPr="00D50928">
              <w:rPr>
                <w:rFonts w:ascii="Arial" w:eastAsia="SimSun" w:hAnsi="Arial"/>
                <w:b/>
                <w:color w:val="000000"/>
                <w:spacing w:val="-5"/>
                <w:sz w:val="20"/>
                <w:szCs w:val="20"/>
                <w:lang w:eastAsia="zh-CN"/>
              </w:rPr>
              <w:br/>
            </w:r>
            <w:r w:rsidRPr="00D50928">
              <w:rPr>
                <w:rFonts w:ascii="Arial" w:eastAsia="SimSun" w:hAnsi="Arial"/>
                <w:color w:val="000000"/>
                <w:spacing w:val="-5"/>
                <w:sz w:val="20"/>
                <w:szCs w:val="20"/>
                <w:lang w:eastAsia="zh-CN"/>
              </w:rPr>
              <w:t xml:space="preserve">10  </w:t>
            </w:r>
            <w:r w:rsidRPr="00D50928">
              <w:rPr>
                <w:rFonts w:ascii="Arial" w:eastAsia="SimSun" w:hAnsi="Arial"/>
                <w:color w:val="000000"/>
                <w:spacing w:val="-5"/>
                <w:sz w:val="20"/>
                <w:szCs w:val="20"/>
                <w:lang w:eastAsia="zh-CN"/>
              </w:rPr>
              <w:fldChar w:fldCharType="begin">
                <w:ffData>
                  <w:name w:val="Text57"/>
                  <w:enabled/>
                  <w:calcOnExit w:val="0"/>
                  <w:textInput>
                    <w:maxLength w:val="4"/>
                  </w:textInput>
                </w:ffData>
              </w:fldChar>
            </w:r>
            <w:r w:rsidRPr="00D50928">
              <w:rPr>
                <w:rFonts w:ascii="Arial" w:eastAsia="SimSun" w:hAnsi="Arial"/>
                <w:color w:val="000000"/>
                <w:spacing w:val="-5"/>
                <w:sz w:val="20"/>
                <w:szCs w:val="20"/>
                <w:lang w:eastAsia="zh-CN"/>
              </w:rPr>
              <w:instrText xml:space="preserve"> FORMTEXT </w:instrText>
            </w:r>
            <w:r w:rsidRPr="00D50928">
              <w:rPr>
                <w:rFonts w:ascii="Arial" w:eastAsia="SimSun" w:hAnsi="Arial"/>
                <w:color w:val="000000"/>
                <w:spacing w:val="-5"/>
                <w:sz w:val="20"/>
                <w:szCs w:val="20"/>
                <w:lang w:eastAsia="zh-CN"/>
              </w:rPr>
            </w:r>
            <w:r w:rsidRPr="00D50928">
              <w:rPr>
                <w:rFonts w:ascii="Arial" w:eastAsia="SimSun" w:hAnsi="Arial"/>
                <w:color w:val="000000"/>
                <w:spacing w:val="-5"/>
                <w:sz w:val="20"/>
                <w:szCs w:val="20"/>
                <w:lang w:eastAsia="zh-CN"/>
              </w:rPr>
              <w:fldChar w:fldCharType="separate"/>
            </w:r>
            <w:r w:rsidRPr="00D50928">
              <w:rPr>
                <w:rFonts w:ascii="Arial" w:eastAsia="SimSun" w:hAnsi="Arial"/>
                <w:noProof/>
                <w:color w:val="000000"/>
                <w:spacing w:val="-5"/>
                <w:sz w:val="20"/>
                <w:szCs w:val="20"/>
                <w:lang w:eastAsia="zh-CN"/>
              </w:rPr>
              <w:t> </w:t>
            </w:r>
            <w:r w:rsidRPr="00D50928">
              <w:rPr>
                <w:rFonts w:ascii="Arial" w:eastAsia="SimSun" w:hAnsi="Arial"/>
                <w:noProof/>
                <w:color w:val="000000"/>
                <w:spacing w:val="-5"/>
                <w:sz w:val="20"/>
                <w:szCs w:val="20"/>
                <w:lang w:eastAsia="zh-CN"/>
              </w:rPr>
              <w:t> </w:t>
            </w:r>
            <w:r w:rsidRPr="00D50928">
              <w:rPr>
                <w:rFonts w:ascii="Arial" w:eastAsia="SimSun" w:hAnsi="Arial"/>
                <w:noProof/>
                <w:color w:val="000000"/>
                <w:spacing w:val="-5"/>
                <w:sz w:val="20"/>
                <w:szCs w:val="20"/>
                <w:lang w:eastAsia="zh-CN"/>
              </w:rPr>
              <w:t> </w:t>
            </w:r>
            <w:r w:rsidRPr="00D50928">
              <w:rPr>
                <w:rFonts w:ascii="Arial" w:eastAsia="SimSun" w:hAnsi="Arial"/>
                <w:noProof/>
                <w:color w:val="000000"/>
                <w:spacing w:val="-5"/>
                <w:sz w:val="20"/>
                <w:szCs w:val="20"/>
                <w:lang w:eastAsia="zh-CN"/>
              </w:rPr>
              <w:t> </w:t>
            </w:r>
            <w:r w:rsidRPr="00D50928">
              <w:rPr>
                <w:rFonts w:ascii="Arial" w:eastAsia="SimSun" w:hAnsi="Arial"/>
                <w:color w:val="000000"/>
                <w:spacing w:val="-5"/>
                <w:sz w:val="20"/>
                <w:szCs w:val="20"/>
                <w:lang w:eastAsia="zh-CN"/>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38D546FD" w14:textId="77777777" w:rsidR="00D50928" w:rsidRPr="00D50928" w:rsidRDefault="00D50928" w:rsidP="00D50928">
            <w:pPr>
              <w:spacing w:before="50" w:after="50" w:line="240" w:lineRule="auto"/>
              <w:ind w:left="113" w:right="113"/>
              <w:jc w:val="center"/>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Net Benefit (Present Value (PV)) (£m)</w:t>
            </w:r>
          </w:p>
        </w:tc>
      </w:tr>
      <w:tr w:rsidR="00D50928" w:rsidRPr="00D50928" w14:paraId="570695EA" w14:textId="77777777" w:rsidTr="006135B9">
        <w:trPr>
          <w:trHeight w:hRule="exact" w:val="494"/>
        </w:trPr>
        <w:tc>
          <w:tcPr>
            <w:tcW w:w="1265" w:type="dxa"/>
            <w:vMerge/>
            <w:shd w:val="clear" w:color="auto" w:fill="auto"/>
          </w:tcPr>
          <w:p w14:paraId="50CE8587" w14:textId="77777777" w:rsidR="00D50928" w:rsidRPr="00D50928" w:rsidRDefault="00D50928" w:rsidP="00D50928">
            <w:pPr>
              <w:spacing w:before="60" w:after="60" w:line="240" w:lineRule="auto"/>
              <w:ind w:right="113"/>
              <w:rPr>
                <w:rFonts w:ascii="Arial" w:eastAsia="SimSun" w:hAnsi="Arial"/>
                <w:b/>
                <w:sz w:val="20"/>
                <w:szCs w:val="20"/>
                <w:lang w:eastAsia="zh-CN"/>
              </w:rPr>
            </w:pPr>
          </w:p>
        </w:tc>
        <w:tc>
          <w:tcPr>
            <w:tcW w:w="1260" w:type="dxa"/>
            <w:vMerge/>
            <w:shd w:val="clear" w:color="auto" w:fill="auto"/>
          </w:tcPr>
          <w:p w14:paraId="1DE5789E" w14:textId="77777777" w:rsidR="00D50928" w:rsidRPr="00D50928" w:rsidRDefault="00D50928" w:rsidP="00D50928">
            <w:pPr>
              <w:spacing w:before="60" w:after="60" w:line="240" w:lineRule="auto"/>
              <w:ind w:right="113"/>
              <w:rPr>
                <w:rFonts w:ascii="Arial" w:eastAsia="SimSun" w:hAnsi="Arial"/>
                <w:b/>
                <w:sz w:val="20"/>
                <w:szCs w:val="20"/>
                <w:lang w:eastAsia="zh-CN"/>
              </w:rPr>
            </w:pPr>
          </w:p>
        </w:tc>
        <w:tc>
          <w:tcPr>
            <w:tcW w:w="1440" w:type="dxa"/>
            <w:vMerge/>
            <w:tcBorders>
              <w:right w:val="single" w:sz="12" w:space="0" w:color="auto"/>
            </w:tcBorders>
            <w:shd w:val="clear" w:color="auto" w:fill="auto"/>
          </w:tcPr>
          <w:p w14:paraId="07510072" w14:textId="77777777" w:rsidR="00D50928" w:rsidRPr="00D50928" w:rsidRDefault="00D50928" w:rsidP="00D50928">
            <w:pPr>
              <w:spacing w:before="60" w:after="60" w:line="240" w:lineRule="auto"/>
              <w:ind w:right="113"/>
              <w:rPr>
                <w:rFonts w:ascii="Arial" w:eastAsia="SimSun" w:hAnsi="Arial"/>
                <w:b/>
                <w:sz w:val="20"/>
                <w:szCs w:val="20"/>
                <w:lang w:eastAsia="zh-CN"/>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498ACDFC" w14:textId="77777777" w:rsidR="00D50928" w:rsidRPr="00D50928" w:rsidRDefault="00D50928" w:rsidP="00D50928">
            <w:pPr>
              <w:spacing w:before="50" w:after="50" w:line="240" w:lineRule="auto"/>
              <w:ind w:left="113" w:right="113"/>
              <w:rPr>
                <w:rFonts w:ascii="Arial" w:eastAsia="SimSun" w:hAnsi="Arial"/>
                <w:b/>
                <w:bCs/>
                <w:color w:val="000000"/>
                <w:spacing w:val="-5"/>
                <w:sz w:val="20"/>
                <w:szCs w:val="20"/>
                <w:lang w:eastAsia="zh-CN"/>
              </w:rPr>
            </w:pPr>
            <w:r w:rsidRPr="00D50928">
              <w:rPr>
                <w:rFonts w:ascii="Arial" w:eastAsia="SimSun" w:hAnsi="Arial"/>
                <w:b/>
                <w:color w:val="000000"/>
                <w:spacing w:val="-5"/>
                <w:sz w:val="20"/>
                <w:szCs w:val="20"/>
                <w:lang w:eastAsia="zh-CN"/>
              </w:rPr>
              <w:t>Low: Optional</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6D0D1BB4" w14:textId="77777777" w:rsidR="00D50928" w:rsidRPr="00D50928" w:rsidRDefault="00D50928" w:rsidP="00D50928">
            <w:pPr>
              <w:spacing w:before="50" w:after="50" w:line="240" w:lineRule="auto"/>
              <w:ind w:left="113" w:right="113"/>
              <w:rPr>
                <w:rFonts w:ascii="Arial" w:eastAsia="SimSun" w:hAnsi="Arial" w:cs="Arial"/>
                <w:b/>
                <w:bCs/>
                <w:color w:val="000000"/>
                <w:spacing w:val="-5"/>
                <w:sz w:val="20"/>
                <w:szCs w:val="18"/>
                <w:lang w:eastAsia="zh-CN"/>
              </w:rPr>
            </w:pPr>
            <w:r w:rsidRPr="00D50928">
              <w:rPr>
                <w:rFonts w:ascii="Arial" w:eastAsia="SimSun" w:hAnsi="Arial"/>
                <w:b/>
                <w:color w:val="000000"/>
                <w:spacing w:val="-5"/>
                <w:sz w:val="20"/>
                <w:szCs w:val="20"/>
                <w:lang w:eastAsia="zh-CN"/>
              </w:rPr>
              <w:t>High: Optional</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2AECBC75" w14:textId="77777777" w:rsidR="00D50928" w:rsidRPr="00D50928" w:rsidRDefault="00D50928" w:rsidP="00D50928">
            <w:pPr>
              <w:spacing w:before="50" w:after="50" w:line="240" w:lineRule="auto"/>
              <w:ind w:left="113" w:right="113"/>
              <w:rPr>
                <w:rFonts w:ascii="Arial" w:eastAsia="SimSun" w:hAnsi="Arial"/>
                <w:b/>
                <w:color w:val="000000"/>
                <w:spacing w:val="-5"/>
                <w:sz w:val="20"/>
                <w:szCs w:val="18"/>
                <w:lang w:eastAsia="zh-CN"/>
              </w:rPr>
            </w:pPr>
            <w:r w:rsidRPr="00D50928">
              <w:rPr>
                <w:rFonts w:ascii="Arial" w:eastAsia="SimSun" w:hAnsi="Arial"/>
                <w:b/>
                <w:color w:val="000000"/>
                <w:spacing w:val="-5"/>
                <w:sz w:val="20"/>
                <w:szCs w:val="20"/>
                <w:lang w:eastAsia="zh-CN"/>
              </w:rPr>
              <w:t xml:space="preserve">Best Estimate: </w:t>
            </w:r>
            <w:r w:rsidRPr="00D50928">
              <w:rPr>
                <w:rFonts w:ascii="Arial" w:eastAsia="SimSun" w:hAnsi="Arial"/>
                <w:b/>
                <w:color w:val="000000"/>
                <w:spacing w:val="-5"/>
                <w:sz w:val="20"/>
                <w:lang w:eastAsia="zh-CN"/>
              </w:rPr>
              <w:t>£1.1bn</w:t>
            </w:r>
          </w:p>
        </w:tc>
      </w:tr>
    </w:tbl>
    <w:p w14:paraId="32B221CD" w14:textId="77777777" w:rsidR="00D50928" w:rsidRPr="00D50928" w:rsidRDefault="00D50928" w:rsidP="00D50928">
      <w:pPr>
        <w:spacing w:after="0" w:line="80" w:lineRule="exact"/>
        <w:rPr>
          <w:rFonts w:ascii="Arial" w:eastAsia="SimSun" w:hAnsi="Arial"/>
          <w:szCs w:val="24"/>
          <w:lang w:eastAsia="zh-C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D50928" w:rsidRPr="00D50928" w14:paraId="17E8965D" w14:textId="77777777" w:rsidTr="006135B9">
        <w:trPr>
          <w:trHeight w:hRule="exact" w:val="567"/>
        </w:trPr>
        <w:tc>
          <w:tcPr>
            <w:tcW w:w="1995" w:type="dxa"/>
            <w:shd w:val="clear" w:color="auto" w:fill="FFFFFF"/>
          </w:tcPr>
          <w:p w14:paraId="76C78F9C" w14:textId="77777777" w:rsidR="00D50928" w:rsidRPr="00D50928" w:rsidRDefault="00D50928" w:rsidP="00D50928">
            <w:pPr>
              <w:spacing w:before="50" w:after="50" w:line="240" w:lineRule="auto"/>
              <w:ind w:left="113" w:right="113"/>
              <w:rPr>
                <w:rFonts w:ascii="Arial" w:eastAsia="SimSun" w:hAnsi="Arial"/>
                <w:b/>
                <w:color w:val="000000"/>
                <w:spacing w:val="-5"/>
                <w:sz w:val="24"/>
                <w:szCs w:val="24"/>
                <w:lang w:eastAsia="zh-CN"/>
              </w:rPr>
            </w:pPr>
            <w:r w:rsidRPr="00D50928">
              <w:rPr>
                <w:rFonts w:ascii="Arial" w:eastAsia="SimSun" w:hAnsi="Arial"/>
                <w:b/>
                <w:color w:val="000000"/>
                <w:spacing w:val="-5"/>
                <w:sz w:val="24"/>
                <w:szCs w:val="24"/>
                <w:lang w:eastAsia="zh-CN"/>
              </w:rPr>
              <w:t>COSTS (£m)</w:t>
            </w:r>
          </w:p>
        </w:tc>
        <w:tc>
          <w:tcPr>
            <w:tcW w:w="2739" w:type="dxa"/>
            <w:gridSpan w:val="2"/>
            <w:tcBorders>
              <w:top w:val="single" w:sz="12" w:space="0" w:color="auto"/>
              <w:bottom w:val="single" w:sz="6" w:space="0" w:color="auto"/>
            </w:tcBorders>
            <w:shd w:val="clear" w:color="auto" w:fill="auto"/>
          </w:tcPr>
          <w:p w14:paraId="60DD4137" w14:textId="77777777" w:rsidR="00D50928" w:rsidRPr="00D50928" w:rsidRDefault="00D50928" w:rsidP="00D50928">
            <w:pPr>
              <w:tabs>
                <w:tab w:val="right" w:pos="1800"/>
                <w:tab w:val="center" w:pos="2340"/>
              </w:tabs>
              <w:spacing w:before="50" w:after="50" w:line="240" w:lineRule="auto"/>
              <w:ind w:left="113" w:right="113"/>
              <w:jc w:val="center"/>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Total Transition </w:t>
            </w:r>
            <w:r w:rsidRPr="00D50928">
              <w:rPr>
                <w:rFonts w:ascii="Arial" w:eastAsia="SimSun" w:hAnsi="Arial"/>
                <w:b/>
                <w:color w:val="000000"/>
                <w:spacing w:val="-5"/>
                <w:sz w:val="20"/>
                <w:szCs w:val="20"/>
                <w:lang w:eastAsia="zh-CN"/>
              </w:rPr>
              <w:br/>
            </w:r>
            <w:r w:rsidRPr="00D50928">
              <w:rPr>
                <w:rFonts w:ascii="Arial" w:eastAsia="SimSun" w:hAnsi="Arial"/>
                <w:b/>
                <w:color w:val="000000"/>
                <w:spacing w:val="-5"/>
                <w:sz w:val="20"/>
                <w:szCs w:val="20"/>
                <w:lang w:eastAsia="zh-CN"/>
              </w:rPr>
              <w:tab/>
            </w:r>
            <w:r w:rsidRPr="00D50928">
              <w:rPr>
                <w:rFonts w:ascii="Arial" w:eastAsia="SimSun" w:hAnsi="Arial"/>
                <w:color w:val="000000"/>
                <w:spacing w:val="-5"/>
                <w:sz w:val="18"/>
                <w:szCs w:val="18"/>
                <w:lang w:eastAsia="zh-CN"/>
              </w:rPr>
              <w:t>(Constant Price)</w:t>
            </w:r>
            <w:r w:rsidRPr="00D50928">
              <w:rPr>
                <w:rFonts w:ascii="Arial" w:eastAsia="SimSun" w:hAnsi="Arial"/>
                <w:b/>
                <w:color w:val="000000"/>
                <w:spacing w:val="-5"/>
                <w:sz w:val="20"/>
                <w:szCs w:val="20"/>
                <w:lang w:eastAsia="zh-CN"/>
              </w:rPr>
              <w:tab/>
            </w:r>
            <w:r w:rsidRPr="00D50928">
              <w:rPr>
                <w:rFonts w:ascii="Arial" w:eastAsia="SimSun" w:hAnsi="Arial"/>
                <w:color w:val="000000"/>
                <w:spacing w:val="-5"/>
                <w:sz w:val="18"/>
                <w:szCs w:val="18"/>
                <w:lang w:eastAsia="zh-CN"/>
              </w:rPr>
              <w:t>Yea</w:t>
            </w:r>
            <w:r w:rsidRPr="00D50928">
              <w:rPr>
                <w:rFonts w:ascii="Arial" w:eastAsia="SimSun" w:hAnsi="Arial"/>
                <w:bCs/>
                <w:color w:val="000000"/>
                <w:spacing w:val="-5"/>
                <w:sz w:val="18"/>
                <w:szCs w:val="18"/>
                <w:lang w:eastAsia="zh-CN"/>
              </w:rPr>
              <w:t>r</w:t>
            </w:r>
            <w:r w:rsidRPr="00D50928">
              <w:rPr>
                <w:rFonts w:ascii="Arial" w:eastAsia="SimSun" w:hAnsi="Arial"/>
                <w:color w:val="000000"/>
                <w:spacing w:val="-5"/>
                <w:sz w:val="18"/>
                <w:szCs w:val="18"/>
                <w:lang w:eastAsia="zh-CN"/>
              </w:rPr>
              <w:t>s</w:t>
            </w:r>
          </w:p>
          <w:p w14:paraId="231BCA67" w14:textId="77777777" w:rsidR="00D50928" w:rsidRPr="00D50928" w:rsidRDefault="00D50928" w:rsidP="00D50928">
            <w:pPr>
              <w:spacing w:before="50" w:after="50" w:line="240" w:lineRule="auto"/>
              <w:ind w:left="113" w:right="113"/>
              <w:jc w:val="right"/>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br/>
            </w:r>
          </w:p>
        </w:tc>
        <w:tc>
          <w:tcPr>
            <w:tcW w:w="2865" w:type="dxa"/>
            <w:tcBorders>
              <w:bottom w:val="single" w:sz="6" w:space="0" w:color="auto"/>
              <w:right w:val="single" w:sz="12" w:space="0" w:color="auto"/>
            </w:tcBorders>
            <w:shd w:val="clear" w:color="auto" w:fill="auto"/>
          </w:tcPr>
          <w:p w14:paraId="7C3088B6" w14:textId="77777777" w:rsidR="00D50928" w:rsidRPr="00D50928" w:rsidRDefault="00D50928" w:rsidP="00D50928">
            <w:pPr>
              <w:spacing w:before="50" w:after="50" w:line="240" w:lineRule="auto"/>
              <w:ind w:left="113" w:right="113"/>
              <w:jc w:val="center"/>
              <w:rPr>
                <w:rFonts w:ascii="Arial" w:eastAsia="SimSun" w:hAnsi="Arial" w:cs="Arial"/>
                <w:b/>
                <w:bCs/>
                <w:color w:val="000000"/>
                <w:spacing w:val="-5"/>
                <w:sz w:val="20"/>
                <w:szCs w:val="20"/>
                <w:lang w:eastAsia="zh-CN"/>
              </w:rPr>
            </w:pPr>
            <w:r w:rsidRPr="00D50928">
              <w:rPr>
                <w:rFonts w:ascii="Arial" w:eastAsia="SimSun" w:hAnsi="Arial"/>
                <w:b/>
                <w:color w:val="000000"/>
                <w:spacing w:val="-5"/>
                <w:sz w:val="20"/>
                <w:szCs w:val="20"/>
                <w:lang w:eastAsia="zh-CN"/>
              </w:rPr>
              <w:t xml:space="preserve">Average Annual </w:t>
            </w:r>
            <w:r w:rsidRPr="00D50928">
              <w:rPr>
                <w:rFonts w:ascii="Arial" w:eastAsia="SimSun" w:hAnsi="Arial"/>
                <w:b/>
                <w:color w:val="000000"/>
                <w:spacing w:val="-5"/>
                <w:sz w:val="20"/>
                <w:szCs w:val="20"/>
                <w:lang w:eastAsia="zh-CN"/>
              </w:rPr>
              <w:br/>
            </w:r>
            <w:r w:rsidRPr="00D50928">
              <w:rPr>
                <w:rFonts w:ascii="Arial" w:eastAsia="SimSun" w:hAnsi="Arial"/>
                <w:color w:val="000000"/>
                <w:spacing w:val="-5"/>
                <w:sz w:val="18"/>
                <w:szCs w:val="18"/>
                <w:lang w:eastAsia="zh-CN"/>
              </w:rPr>
              <w:t xml:space="preserve">(excl. Transition) </w:t>
            </w:r>
            <w:r w:rsidRPr="00D50928">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6CF9B044" w14:textId="77777777" w:rsidR="00D50928" w:rsidRPr="00D50928" w:rsidRDefault="00D50928" w:rsidP="00D50928">
            <w:pPr>
              <w:spacing w:before="50" w:after="50" w:line="240" w:lineRule="auto"/>
              <w:ind w:left="113" w:right="113"/>
              <w:jc w:val="center"/>
              <w:rPr>
                <w:rFonts w:ascii="Arial" w:eastAsia="SimSun" w:hAnsi="Arial"/>
                <w:color w:val="000000"/>
                <w:spacing w:val="-5"/>
                <w:sz w:val="18"/>
                <w:szCs w:val="18"/>
                <w:lang w:eastAsia="zh-CN"/>
              </w:rPr>
            </w:pPr>
            <w:r w:rsidRPr="00D50928">
              <w:rPr>
                <w:rFonts w:ascii="Arial" w:eastAsia="SimSun" w:hAnsi="Arial"/>
                <w:b/>
                <w:color w:val="000000"/>
                <w:spacing w:val="-5"/>
                <w:sz w:val="20"/>
                <w:szCs w:val="20"/>
                <w:lang w:eastAsia="zh-CN"/>
              </w:rPr>
              <w:t>Total Cost</w:t>
            </w:r>
            <w:r w:rsidRPr="00D50928">
              <w:rPr>
                <w:rFonts w:ascii="Arial" w:eastAsia="SimSun" w:hAnsi="Arial"/>
                <w:color w:val="000000"/>
                <w:spacing w:val="-5"/>
                <w:sz w:val="18"/>
                <w:szCs w:val="18"/>
                <w:lang w:eastAsia="zh-CN"/>
              </w:rPr>
              <w:t xml:space="preserve"> </w:t>
            </w:r>
          </w:p>
          <w:p w14:paraId="41EC0E2C" w14:textId="77777777" w:rsidR="00D50928" w:rsidRPr="00D50928" w:rsidRDefault="00D50928" w:rsidP="00D50928">
            <w:pPr>
              <w:spacing w:before="50" w:after="50" w:line="240" w:lineRule="auto"/>
              <w:ind w:left="113" w:right="113"/>
              <w:jc w:val="center"/>
              <w:rPr>
                <w:rFonts w:ascii="Arial" w:eastAsia="SimSun" w:hAnsi="Arial"/>
                <w:b/>
                <w:color w:val="000000"/>
                <w:spacing w:val="-5"/>
                <w:sz w:val="20"/>
                <w:szCs w:val="20"/>
                <w:lang w:eastAsia="zh-CN"/>
              </w:rPr>
            </w:pPr>
            <w:r w:rsidRPr="00D50928">
              <w:rPr>
                <w:rFonts w:ascii="Arial" w:eastAsia="SimSun" w:hAnsi="Arial"/>
                <w:color w:val="000000"/>
                <w:spacing w:val="-5"/>
                <w:sz w:val="18"/>
                <w:szCs w:val="18"/>
                <w:lang w:eastAsia="zh-CN"/>
              </w:rPr>
              <w:t>(Present Value)</w:t>
            </w:r>
          </w:p>
        </w:tc>
      </w:tr>
      <w:tr w:rsidR="00D50928" w:rsidRPr="00D50928" w14:paraId="6A3C59D0" w14:textId="77777777" w:rsidTr="006C3EB3">
        <w:trPr>
          <w:trHeight w:hRule="exact" w:val="227"/>
        </w:trPr>
        <w:tc>
          <w:tcPr>
            <w:tcW w:w="1995" w:type="dxa"/>
            <w:tcBorders>
              <w:top w:val="single" w:sz="6" w:space="0" w:color="auto"/>
              <w:bottom w:val="single" w:sz="6" w:space="0" w:color="auto"/>
            </w:tcBorders>
            <w:shd w:val="clear" w:color="auto" w:fill="auto"/>
            <w:vAlign w:val="center"/>
          </w:tcPr>
          <w:p w14:paraId="50DD223C" w14:textId="77777777" w:rsidR="00D50928" w:rsidRPr="00C25345" w:rsidRDefault="00D50928" w:rsidP="00D50928">
            <w:pPr>
              <w:spacing w:before="50" w:after="50" w:line="240" w:lineRule="auto"/>
              <w:ind w:left="113" w:right="113"/>
              <w:rPr>
                <w:rFonts w:ascii="Arial" w:eastAsia="SimSun" w:hAnsi="Arial"/>
                <w:b/>
                <w:color w:val="000000"/>
                <w:spacing w:val="-5"/>
                <w:sz w:val="18"/>
                <w:szCs w:val="18"/>
                <w:lang w:eastAsia="zh-CN"/>
              </w:rPr>
            </w:pPr>
            <w:r w:rsidRPr="00C25345">
              <w:rPr>
                <w:rFonts w:ascii="Arial" w:eastAsia="SimSun" w:hAnsi="Arial"/>
                <w:b/>
                <w:color w:val="000000"/>
                <w:spacing w:val="-5"/>
                <w:sz w:val="18"/>
                <w:szCs w:val="18"/>
                <w:lang w:eastAsia="zh-CN"/>
              </w:rPr>
              <w:t xml:space="preserve">Low </w:t>
            </w:r>
          </w:p>
        </w:tc>
        <w:tc>
          <w:tcPr>
            <w:tcW w:w="1949" w:type="dxa"/>
            <w:tcBorders>
              <w:top w:val="single" w:sz="6" w:space="0" w:color="auto"/>
              <w:bottom w:val="single" w:sz="6" w:space="0" w:color="auto"/>
            </w:tcBorders>
            <w:shd w:val="clear" w:color="auto" w:fill="auto"/>
            <w:vAlign w:val="center"/>
          </w:tcPr>
          <w:p w14:paraId="4E773754"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p>
        </w:tc>
        <w:tc>
          <w:tcPr>
            <w:tcW w:w="790" w:type="dxa"/>
            <w:vMerge w:val="restart"/>
            <w:tcBorders>
              <w:top w:val="single" w:sz="6" w:space="0" w:color="auto"/>
            </w:tcBorders>
            <w:shd w:val="clear" w:color="auto" w:fill="auto"/>
            <w:vAlign w:val="center"/>
          </w:tcPr>
          <w:p w14:paraId="4E92820F"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p>
        </w:tc>
        <w:tc>
          <w:tcPr>
            <w:tcW w:w="2865" w:type="dxa"/>
            <w:tcBorders>
              <w:top w:val="single" w:sz="6" w:space="0" w:color="auto"/>
              <w:bottom w:val="single" w:sz="6" w:space="0" w:color="auto"/>
              <w:right w:val="single" w:sz="12" w:space="0" w:color="auto"/>
            </w:tcBorders>
            <w:shd w:val="clear" w:color="auto" w:fill="auto"/>
            <w:vAlign w:val="center"/>
          </w:tcPr>
          <w:p w14:paraId="65944C8B"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05495B33"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p>
        </w:tc>
      </w:tr>
      <w:tr w:rsidR="00D50928" w:rsidRPr="00D50928" w14:paraId="50AACC28" w14:textId="77777777" w:rsidTr="006C3EB3">
        <w:trPr>
          <w:trHeight w:hRule="exact" w:val="287"/>
        </w:trPr>
        <w:tc>
          <w:tcPr>
            <w:tcW w:w="1995" w:type="dxa"/>
            <w:tcBorders>
              <w:top w:val="single" w:sz="6" w:space="0" w:color="auto"/>
              <w:bottom w:val="single" w:sz="12" w:space="0" w:color="auto"/>
            </w:tcBorders>
            <w:shd w:val="clear" w:color="auto" w:fill="auto"/>
            <w:vAlign w:val="center"/>
          </w:tcPr>
          <w:p w14:paraId="284E79CC" w14:textId="77777777" w:rsidR="00D50928" w:rsidRPr="00C25345" w:rsidRDefault="00D50928" w:rsidP="00D50928">
            <w:pPr>
              <w:spacing w:before="50" w:after="50" w:line="240" w:lineRule="auto"/>
              <w:ind w:left="113" w:right="113"/>
              <w:rPr>
                <w:rFonts w:ascii="Arial" w:eastAsia="SimSun" w:hAnsi="Arial"/>
                <w:b/>
                <w:color w:val="000000"/>
                <w:spacing w:val="-5"/>
                <w:sz w:val="18"/>
                <w:szCs w:val="18"/>
                <w:lang w:eastAsia="zh-CN"/>
              </w:rPr>
            </w:pPr>
            <w:r w:rsidRPr="00C25345">
              <w:rPr>
                <w:rFonts w:ascii="Arial" w:eastAsia="SimSun" w:hAnsi="Arial"/>
                <w:b/>
                <w:color w:val="000000"/>
                <w:spacing w:val="-5"/>
                <w:sz w:val="18"/>
                <w:szCs w:val="18"/>
                <w:lang w:eastAsia="zh-CN"/>
              </w:rPr>
              <w:t xml:space="preserve">High </w:t>
            </w:r>
          </w:p>
        </w:tc>
        <w:tc>
          <w:tcPr>
            <w:tcW w:w="1949" w:type="dxa"/>
            <w:tcBorders>
              <w:top w:val="single" w:sz="6" w:space="0" w:color="auto"/>
              <w:bottom w:val="single" w:sz="12" w:space="0" w:color="auto"/>
            </w:tcBorders>
            <w:shd w:val="clear" w:color="auto" w:fill="auto"/>
            <w:vAlign w:val="center"/>
          </w:tcPr>
          <w:p w14:paraId="65A35CE6"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p>
        </w:tc>
        <w:tc>
          <w:tcPr>
            <w:tcW w:w="790" w:type="dxa"/>
            <w:vMerge/>
            <w:shd w:val="clear" w:color="auto" w:fill="FFFFFF"/>
            <w:vAlign w:val="center"/>
          </w:tcPr>
          <w:p w14:paraId="472FE2EF" w14:textId="77777777" w:rsidR="00D50928" w:rsidRPr="00C25345" w:rsidRDefault="00D50928" w:rsidP="00D50928">
            <w:pPr>
              <w:spacing w:before="50" w:after="50" w:line="240" w:lineRule="auto"/>
              <w:ind w:left="113" w:right="113"/>
              <w:jc w:val="right"/>
              <w:rPr>
                <w:rFonts w:ascii="Arial" w:eastAsia="SimSun" w:hAnsi="Arial"/>
                <w:b/>
                <w:spacing w:val="-5"/>
                <w:sz w:val="18"/>
                <w:szCs w:val="18"/>
                <w:lang w:eastAsia="zh-CN"/>
              </w:rPr>
            </w:pPr>
          </w:p>
        </w:tc>
        <w:tc>
          <w:tcPr>
            <w:tcW w:w="2865" w:type="dxa"/>
            <w:tcBorders>
              <w:top w:val="single" w:sz="6" w:space="0" w:color="auto"/>
              <w:bottom w:val="single" w:sz="12" w:space="0" w:color="auto"/>
              <w:right w:val="single" w:sz="12" w:space="0" w:color="auto"/>
            </w:tcBorders>
            <w:shd w:val="clear" w:color="auto" w:fill="auto"/>
            <w:vAlign w:val="center"/>
          </w:tcPr>
          <w:p w14:paraId="1321BC93"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104C0D66"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p>
        </w:tc>
      </w:tr>
      <w:tr w:rsidR="00D50928" w:rsidRPr="00D50928" w14:paraId="3E740857" w14:textId="77777777" w:rsidTr="006C3EB3">
        <w:trPr>
          <w:trHeight w:hRule="exact" w:val="307"/>
        </w:trPr>
        <w:tc>
          <w:tcPr>
            <w:tcW w:w="1995" w:type="dxa"/>
            <w:tcBorders>
              <w:top w:val="single" w:sz="12" w:space="0" w:color="auto"/>
              <w:bottom w:val="single" w:sz="12" w:space="0" w:color="auto"/>
              <w:right w:val="single" w:sz="12" w:space="0" w:color="auto"/>
            </w:tcBorders>
            <w:shd w:val="clear" w:color="auto" w:fill="FFFFFF"/>
            <w:vAlign w:val="center"/>
          </w:tcPr>
          <w:p w14:paraId="43670D06" w14:textId="77777777" w:rsidR="00D50928" w:rsidRPr="00C25345" w:rsidRDefault="00D50928" w:rsidP="00D50928">
            <w:pPr>
              <w:spacing w:before="50" w:after="50" w:line="240" w:lineRule="auto"/>
              <w:ind w:left="113" w:right="113"/>
              <w:rPr>
                <w:rFonts w:ascii="Arial" w:eastAsia="SimSun" w:hAnsi="Arial"/>
                <w:b/>
                <w:color w:val="000000"/>
                <w:spacing w:val="-5"/>
                <w:sz w:val="18"/>
                <w:szCs w:val="18"/>
                <w:lang w:eastAsia="zh-CN"/>
              </w:rPr>
            </w:pPr>
            <w:r w:rsidRPr="00C25345">
              <w:rPr>
                <w:rFonts w:ascii="Arial" w:eastAsia="SimSun" w:hAnsi="Arial"/>
                <w:b/>
                <w:color w:val="000000"/>
                <w:spacing w:val="-5"/>
                <w:sz w:val="18"/>
                <w:szCs w:val="18"/>
                <w:lang w:eastAsia="zh-CN"/>
              </w:rPr>
              <w:t>Best Estimate</w:t>
            </w:r>
          </w:p>
          <w:p w14:paraId="636B67A2" w14:textId="77777777" w:rsidR="00D50928" w:rsidRPr="00C25345" w:rsidRDefault="00D50928" w:rsidP="00D50928">
            <w:pPr>
              <w:spacing w:beforeLines="40" w:before="96" w:after="60" w:line="240" w:lineRule="auto"/>
              <w:ind w:right="-22"/>
              <w:jc w:val="center"/>
              <w:rPr>
                <w:rFonts w:ascii="Arial" w:eastAsia="SimSun" w:hAnsi="Arial" w:cs="Arial"/>
                <w:b/>
                <w:sz w:val="18"/>
                <w:szCs w:val="18"/>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A73A47E"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r w:rsidRPr="00C25345">
              <w:rPr>
                <w:rFonts w:ascii="Arial" w:eastAsia="SimSun" w:hAnsi="Arial"/>
                <w:b/>
                <w:spacing w:val="-5"/>
                <w:sz w:val="18"/>
                <w:szCs w:val="18"/>
                <w:lang w:eastAsia="zh-CN"/>
              </w:rPr>
              <w:t>N/A</w:t>
            </w:r>
          </w:p>
        </w:tc>
        <w:tc>
          <w:tcPr>
            <w:tcW w:w="790" w:type="dxa"/>
            <w:vMerge/>
            <w:tcBorders>
              <w:left w:val="single" w:sz="12" w:space="0" w:color="auto"/>
              <w:right w:val="single" w:sz="12" w:space="0" w:color="auto"/>
            </w:tcBorders>
            <w:shd w:val="clear" w:color="auto" w:fill="FFFFFF"/>
            <w:vAlign w:val="center"/>
          </w:tcPr>
          <w:p w14:paraId="317A4C2B" w14:textId="77777777" w:rsidR="00D50928" w:rsidRPr="00C25345" w:rsidRDefault="00D50928" w:rsidP="00D50928">
            <w:pPr>
              <w:spacing w:before="50" w:after="50" w:line="240" w:lineRule="auto"/>
              <w:ind w:left="113" w:right="113"/>
              <w:jc w:val="right"/>
              <w:rPr>
                <w:rFonts w:ascii="Arial" w:eastAsia="SimSun" w:hAnsi="Arial"/>
                <w:b/>
                <w:spacing w:val="-5"/>
                <w:sz w:val="18"/>
                <w:szCs w:val="18"/>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3BC8D1A8"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r w:rsidRPr="00C25345">
              <w:rPr>
                <w:rFonts w:ascii="Arial" w:eastAsia="SimSun" w:hAnsi="Arial"/>
                <w:b/>
                <w:spacing w:val="-5"/>
                <w:sz w:val="18"/>
                <w:szCs w:val="18"/>
                <w:lang w:eastAsia="zh-CN"/>
              </w:rPr>
              <w:t>£1.3bn</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221FF12D" w14:textId="77777777" w:rsidR="00D50928" w:rsidRPr="00C25345" w:rsidRDefault="00D50928" w:rsidP="00D50928">
            <w:pPr>
              <w:spacing w:before="50" w:after="50" w:line="240" w:lineRule="auto"/>
              <w:ind w:left="113" w:right="113"/>
              <w:jc w:val="center"/>
              <w:rPr>
                <w:rFonts w:ascii="Arial" w:eastAsia="SimSun" w:hAnsi="Arial"/>
                <w:b/>
                <w:spacing w:val="-5"/>
                <w:sz w:val="18"/>
                <w:szCs w:val="18"/>
                <w:lang w:eastAsia="zh-CN"/>
              </w:rPr>
            </w:pPr>
            <w:r w:rsidRPr="00C25345">
              <w:rPr>
                <w:rFonts w:ascii="Arial" w:eastAsia="SimSun" w:hAnsi="Arial"/>
                <w:b/>
                <w:spacing w:val="-5"/>
                <w:sz w:val="18"/>
                <w:szCs w:val="18"/>
                <w:lang w:eastAsia="zh-CN"/>
              </w:rPr>
              <w:t>£10.6bn</w:t>
            </w:r>
          </w:p>
        </w:tc>
      </w:tr>
      <w:tr w:rsidR="00D50928" w:rsidRPr="00D50928" w14:paraId="1E3915E6" w14:textId="77777777" w:rsidTr="00C7520F">
        <w:trPr>
          <w:trHeight w:hRule="exact" w:val="2111"/>
        </w:trPr>
        <w:tc>
          <w:tcPr>
            <w:tcW w:w="10235" w:type="dxa"/>
            <w:gridSpan w:val="6"/>
            <w:tcBorders>
              <w:bottom w:val="single" w:sz="6" w:space="0" w:color="auto"/>
            </w:tcBorders>
            <w:shd w:val="clear" w:color="auto" w:fill="auto"/>
          </w:tcPr>
          <w:p w14:paraId="0470C5E7" w14:textId="77777777" w:rsidR="00D50928" w:rsidRPr="00D50928" w:rsidRDefault="00D50928" w:rsidP="00D50928">
            <w:pPr>
              <w:spacing w:before="50" w:after="50" w:line="240" w:lineRule="auto"/>
              <w:ind w:left="113" w:right="113"/>
              <w:rPr>
                <w:rFonts w:ascii="Arial" w:eastAsia="SimSun" w:hAnsi="Arial"/>
                <w:b/>
                <w:color w:val="000000"/>
                <w:spacing w:val="-5"/>
                <w:sz w:val="20"/>
                <w:lang w:eastAsia="zh-CN"/>
              </w:rPr>
            </w:pPr>
            <w:r w:rsidRPr="00D50928">
              <w:rPr>
                <w:rFonts w:ascii="Arial" w:eastAsia="SimSun" w:hAnsi="Arial"/>
                <w:b/>
                <w:color w:val="000000"/>
                <w:spacing w:val="-5"/>
                <w:sz w:val="20"/>
                <w:szCs w:val="20"/>
                <w:lang w:eastAsia="zh-CN"/>
              </w:rPr>
              <w:t xml:space="preserve">Description and scale of key monetised costs by ‘main affected groups’ </w:t>
            </w:r>
          </w:p>
          <w:p w14:paraId="7564EFA7" w14:textId="77777777" w:rsidR="00D50928" w:rsidRPr="00D50928" w:rsidRDefault="00D50928" w:rsidP="001E1EBA">
            <w:pPr>
              <w:autoSpaceDE w:val="0"/>
              <w:autoSpaceDN w:val="0"/>
              <w:adjustRightInd w:val="0"/>
              <w:spacing w:after="0" w:line="240" w:lineRule="atLeast"/>
              <w:ind w:left="113" w:right="113"/>
              <w:rPr>
                <w:rFonts w:ascii="Arial" w:eastAsia="Times New Roman" w:hAnsi="Arial" w:cs="Arial"/>
                <w:color w:val="000000"/>
                <w:sz w:val="24"/>
                <w:szCs w:val="24"/>
                <w:lang w:eastAsia="en-GB"/>
              </w:rPr>
            </w:pPr>
            <w:r w:rsidRPr="00D50928">
              <w:rPr>
                <w:rFonts w:ascii="Arial" w:eastAsia="Times New Roman" w:hAnsi="Arial" w:cs="Arial"/>
                <w:color w:val="000000"/>
                <w:sz w:val="20"/>
                <w:szCs w:val="20"/>
                <w:lang w:eastAsia="en-GB"/>
              </w:rPr>
              <w:t xml:space="preserve">The monetised costs are detailed in the individual IAs for each legislative measure. </w:t>
            </w:r>
            <w:r w:rsidR="002F627C">
              <w:rPr>
                <w:rFonts w:ascii="Arial" w:eastAsia="Times New Roman" w:hAnsi="Arial" w:cs="Arial"/>
                <w:color w:val="000000"/>
                <w:sz w:val="20"/>
                <w:szCs w:val="20"/>
                <w:lang w:eastAsia="en-GB"/>
              </w:rPr>
              <w:t xml:space="preserve">Other than those associated with establishing and supporting the independent expert panel and </w:t>
            </w:r>
            <w:r w:rsidR="00994E3E">
              <w:rPr>
                <w:rFonts w:ascii="Arial" w:eastAsia="Times New Roman" w:hAnsi="Arial" w:cs="Arial"/>
                <w:color w:val="000000"/>
                <w:sz w:val="20"/>
                <w:szCs w:val="20"/>
                <w:lang w:eastAsia="en-GB"/>
              </w:rPr>
              <w:t xml:space="preserve">with </w:t>
            </w:r>
            <w:r w:rsidR="002F627C">
              <w:rPr>
                <w:rFonts w:ascii="Arial" w:eastAsia="Times New Roman" w:hAnsi="Arial" w:cs="Arial"/>
                <w:color w:val="000000"/>
                <w:sz w:val="20"/>
                <w:szCs w:val="20"/>
                <w:lang w:eastAsia="en-GB"/>
              </w:rPr>
              <w:t xml:space="preserve">future reviews of the </w:t>
            </w:r>
            <w:r w:rsidR="00DF383E">
              <w:rPr>
                <w:rFonts w:ascii="Arial" w:eastAsia="Times New Roman" w:hAnsi="Arial" w:cs="Arial"/>
                <w:color w:val="000000"/>
                <w:sz w:val="20"/>
                <w:szCs w:val="20"/>
                <w:lang w:eastAsia="en-GB"/>
              </w:rPr>
              <w:t>PIDR</w:t>
            </w:r>
            <w:r w:rsidR="002F627C">
              <w:rPr>
                <w:rFonts w:ascii="Arial" w:eastAsia="Times New Roman" w:hAnsi="Arial" w:cs="Arial"/>
                <w:color w:val="000000"/>
                <w:sz w:val="20"/>
                <w:szCs w:val="20"/>
                <w:lang w:eastAsia="en-GB"/>
              </w:rPr>
              <w:t>, t</w:t>
            </w:r>
            <w:r w:rsidRPr="00D50928">
              <w:rPr>
                <w:rFonts w:ascii="Arial" w:eastAsia="Times New Roman" w:hAnsi="Arial" w:cs="Arial"/>
                <w:color w:val="000000"/>
                <w:sz w:val="20"/>
                <w:szCs w:val="20"/>
                <w:lang w:eastAsia="en-GB"/>
              </w:rPr>
              <w:t>here are no quantified costs for the</w:t>
            </w:r>
            <w:r w:rsidR="00DF383E">
              <w:rPr>
                <w:rFonts w:ascii="Arial" w:eastAsia="Times New Roman" w:hAnsi="Arial" w:cs="Arial"/>
                <w:color w:val="000000"/>
                <w:sz w:val="20"/>
                <w:szCs w:val="20"/>
                <w:lang w:eastAsia="en-GB"/>
              </w:rPr>
              <w:t xml:space="preserve"> new</w:t>
            </w:r>
            <w:r w:rsidR="00994E3E">
              <w:rPr>
                <w:rFonts w:ascii="Arial" w:eastAsia="Times New Roman" w:hAnsi="Arial" w:cs="Arial"/>
                <w:color w:val="000000"/>
                <w:sz w:val="20"/>
                <w:szCs w:val="20"/>
                <w:lang w:eastAsia="en-GB"/>
              </w:rPr>
              <w:t xml:space="preserve"> </w:t>
            </w:r>
            <w:r w:rsidRPr="00D50928">
              <w:rPr>
                <w:rFonts w:ascii="Arial" w:eastAsia="Times New Roman" w:hAnsi="Arial" w:cs="Arial"/>
                <w:color w:val="000000"/>
                <w:sz w:val="20"/>
                <w:szCs w:val="20"/>
                <w:lang w:eastAsia="en-GB"/>
              </w:rPr>
              <w:t>legal framework for setting the PIDR</w:t>
            </w:r>
            <w:r>
              <w:rPr>
                <w:rFonts w:ascii="Arial" w:eastAsia="Times New Roman" w:hAnsi="Arial" w:cs="Arial"/>
                <w:color w:val="000000"/>
                <w:sz w:val="20"/>
                <w:szCs w:val="20"/>
                <w:lang w:eastAsia="en-GB"/>
              </w:rPr>
              <w:t xml:space="preserve"> as these can only be determined when the rate is next set</w:t>
            </w:r>
            <w:r w:rsidRPr="00D50928">
              <w:rPr>
                <w:rFonts w:ascii="Arial" w:eastAsia="Times New Roman" w:hAnsi="Arial" w:cs="Arial"/>
                <w:color w:val="000000"/>
                <w:sz w:val="20"/>
                <w:szCs w:val="20"/>
                <w:lang w:eastAsia="en-GB"/>
              </w:rPr>
              <w:t xml:space="preserve">. The Whiplash reforms will have monetised costs for claimants as </w:t>
            </w:r>
            <w:r w:rsidR="001942BF">
              <w:rPr>
                <w:rFonts w:ascii="Arial" w:eastAsia="Times New Roman" w:hAnsi="Arial" w:cs="Arial"/>
                <w:color w:val="000000"/>
                <w:sz w:val="20"/>
                <w:szCs w:val="20"/>
                <w:lang w:eastAsia="en-GB"/>
              </w:rPr>
              <w:t>a result of them</w:t>
            </w:r>
            <w:r w:rsidR="00A21CC4">
              <w:rPr>
                <w:rFonts w:ascii="Arial" w:eastAsia="Times New Roman" w:hAnsi="Arial" w:cs="Arial"/>
                <w:color w:val="000000"/>
                <w:sz w:val="20"/>
                <w:szCs w:val="20"/>
                <w:lang w:eastAsia="en-GB"/>
              </w:rPr>
              <w:t xml:space="preserve"> receiv</w:t>
            </w:r>
            <w:r w:rsidR="001942BF">
              <w:rPr>
                <w:rFonts w:ascii="Arial" w:eastAsia="Times New Roman" w:hAnsi="Arial" w:cs="Arial"/>
                <w:color w:val="000000"/>
                <w:sz w:val="20"/>
                <w:szCs w:val="20"/>
                <w:lang w:eastAsia="en-GB"/>
              </w:rPr>
              <w:t>ing</w:t>
            </w:r>
            <w:r w:rsidRPr="00D50928">
              <w:rPr>
                <w:rFonts w:ascii="Arial" w:eastAsia="Times New Roman" w:hAnsi="Arial" w:cs="Arial"/>
                <w:color w:val="000000"/>
                <w:sz w:val="20"/>
                <w:szCs w:val="20"/>
                <w:lang w:eastAsia="en-GB"/>
              </w:rPr>
              <w:t xml:space="preserve"> reduced damages payments and </w:t>
            </w:r>
            <w:r w:rsidR="00053FA9">
              <w:rPr>
                <w:rFonts w:ascii="Arial" w:eastAsia="Times New Roman" w:hAnsi="Arial" w:cs="Arial"/>
                <w:color w:val="000000"/>
                <w:sz w:val="20"/>
                <w:szCs w:val="20"/>
                <w:lang w:eastAsia="en-GB"/>
              </w:rPr>
              <w:t xml:space="preserve">from </w:t>
            </w:r>
            <w:r w:rsidR="00A21CC4">
              <w:rPr>
                <w:rFonts w:ascii="Arial" w:eastAsia="Times New Roman" w:hAnsi="Arial" w:cs="Arial"/>
                <w:color w:val="000000"/>
                <w:sz w:val="20"/>
                <w:szCs w:val="20"/>
                <w:lang w:eastAsia="en-GB"/>
              </w:rPr>
              <w:t>hav</w:t>
            </w:r>
            <w:r w:rsidR="001942BF">
              <w:rPr>
                <w:rFonts w:ascii="Arial" w:eastAsia="Times New Roman" w:hAnsi="Arial" w:cs="Arial"/>
                <w:color w:val="000000"/>
                <w:sz w:val="20"/>
                <w:szCs w:val="20"/>
                <w:lang w:eastAsia="en-GB"/>
              </w:rPr>
              <w:t>ing</w:t>
            </w:r>
            <w:r w:rsidRPr="00D50928">
              <w:rPr>
                <w:rFonts w:ascii="Arial" w:eastAsia="Times New Roman" w:hAnsi="Arial" w:cs="Arial"/>
                <w:color w:val="000000"/>
                <w:sz w:val="20"/>
                <w:szCs w:val="20"/>
                <w:lang w:eastAsia="en-GB"/>
              </w:rPr>
              <w:t xml:space="preserve"> to pay their own legal costs. Motor insurance policy holders </w:t>
            </w:r>
            <w:r w:rsidR="001942BF">
              <w:rPr>
                <w:rFonts w:ascii="Arial" w:eastAsia="Times New Roman" w:hAnsi="Arial" w:cs="Arial"/>
                <w:color w:val="000000"/>
                <w:sz w:val="20"/>
                <w:szCs w:val="20"/>
                <w:lang w:eastAsia="en-GB"/>
              </w:rPr>
              <w:t>may</w:t>
            </w:r>
            <w:r w:rsidRPr="00D50928">
              <w:rPr>
                <w:rFonts w:ascii="Arial" w:eastAsia="Times New Roman" w:hAnsi="Arial" w:cs="Arial"/>
                <w:color w:val="000000"/>
                <w:sz w:val="20"/>
                <w:szCs w:val="20"/>
                <w:lang w:eastAsia="en-GB"/>
              </w:rPr>
              <w:t xml:space="preserve"> incur costs due to increase</w:t>
            </w:r>
            <w:r w:rsidR="002B14AC">
              <w:rPr>
                <w:rFonts w:ascii="Arial" w:eastAsia="Times New Roman" w:hAnsi="Arial" w:cs="Arial"/>
                <w:color w:val="000000"/>
                <w:sz w:val="20"/>
                <w:szCs w:val="20"/>
                <w:lang w:eastAsia="en-GB"/>
              </w:rPr>
              <w:t>s in</w:t>
            </w:r>
            <w:r w:rsidRPr="00D50928">
              <w:rPr>
                <w:rFonts w:ascii="Arial" w:eastAsia="Times New Roman" w:hAnsi="Arial" w:cs="Arial"/>
                <w:color w:val="000000"/>
                <w:sz w:val="20"/>
                <w:szCs w:val="20"/>
                <w:lang w:eastAsia="en-GB"/>
              </w:rPr>
              <w:t xml:space="preserve"> Before the Event (BTE) Insurance Premiums and from increased premiums due to defendant insurers passing on the increased costs </w:t>
            </w:r>
            <w:r w:rsidR="00053FA9">
              <w:rPr>
                <w:rFonts w:ascii="Arial" w:eastAsia="Times New Roman" w:hAnsi="Arial" w:cs="Arial"/>
                <w:color w:val="000000"/>
                <w:sz w:val="20"/>
                <w:szCs w:val="20"/>
                <w:lang w:eastAsia="en-GB"/>
              </w:rPr>
              <w:t>of</w:t>
            </w:r>
            <w:r w:rsidRPr="00D50928">
              <w:rPr>
                <w:rFonts w:ascii="Arial" w:eastAsia="Times New Roman" w:hAnsi="Arial" w:cs="Arial"/>
                <w:color w:val="000000"/>
                <w:sz w:val="20"/>
                <w:szCs w:val="20"/>
                <w:lang w:eastAsia="en-GB"/>
              </w:rPr>
              <w:t xml:space="preserve"> the requirement for all claims to have medical reports. </w:t>
            </w:r>
          </w:p>
          <w:p w14:paraId="3C4AD779" w14:textId="77777777" w:rsidR="00D50928" w:rsidRPr="00D50928" w:rsidRDefault="00D50928" w:rsidP="00D50928">
            <w:pPr>
              <w:spacing w:after="0" w:line="240" w:lineRule="auto"/>
              <w:ind w:left="113" w:right="113"/>
              <w:rPr>
                <w:rFonts w:ascii="Arial" w:eastAsia="SimSun" w:hAnsi="Arial"/>
                <w:b/>
                <w:spacing w:val="-5"/>
                <w:sz w:val="20"/>
                <w:szCs w:val="20"/>
                <w:lang w:eastAsia="zh-CN"/>
              </w:rPr>
            </w:pPr>
          </w:p>
        </w:tc>
      </w:tr>
      <w:tr w:rsidR="00D50928" w:rsidRPr="00D50928" w14:paraId="5511E6D1" w14:textId="77777777" w:rsidTr="001D6E4F">
        <w:trPr>
          <w:trHeight w:hRule="exact" w:val="1118"/>
        </w:trPr>
        <w:tc>
          <w:tcPr>
            <w:tcW w:w="10235" w:type="dxa"/>
            <w:gridSpan w:val="6"/>
            <w:tcBorders>
              <w:top w:val="single" w:sz="6" w:space="0" w:color="auto"/>
              <w:bottom w:val="single" w:sz="12" w:space="0" w:color="auto"/>
            </w:tcBorders>
            <w:shd w:val="clear" w:color="auto" w:fill="auto"/>
          </w:tcPr>
          <w:p w14:paraId="0F09E356" w14:textId="77777777" w:rsidR="00D50928" w:rsidRPr="00D50928" w:rsidRDefault="00D50928" w:rsidP="00D50928">
            <w:pPr>
              <w:spacing w:before="50" w:after="50" w:line="240" w:lineRule="auto"/>
              <w:ind w:left="113" w:right="113"/>
              <w:rPr>
                <w:rFonts w:ascii="Arial" w:eastAsia="SimSun" w:hAnsi="Arial"/>
                <w:b/>
                <w:color w:val="000000"/>
                <w:spacing w:val="-5"/>
                <w:sz w:val="20"/>
                <w:lang w:eastAsia="zh-CN"/>
              </w:rPr>
            </w:pPr>
            <w:r w:rsidRPr="00D50928">
              <w:rPr>
                <w:rFonts w:ascii="Arial" w:eastAsia="SimSun" w:hAnsi="Arial"/>
                <w:b/>
                <w:color w:val="000000"/>
                <w:spacing w:val="-5"/>
                <w:sz w:val="20"/>
                <w:szCs w:val="20"/>
                <w:lang w:eastAsia="zh-CN"/>
              </w:rPr>
              <w:t>Other key non-monetised costs by ‘main affected groups’</w:t>
            </w:r>
          </w:p>
          <w:p w14:paraId="0963185D" w14:textId="77777777" w:rsidR="00D50928" w:rsidRPr="00D50928" w:rsidRDefault="00D50928" w:rsidP="001E1EBA">
            <w:pPr>
              <w:autoSpaceDE w:val="0"/>
              <w:autoSpaceDN w:val="0"/>
              <w:adjustRightInd w:val="0"/>
              <w:spacing w:after="0" w:line="240" w:lineRule="atLeast"/>
              <w:ind w:left="113" w:right="113"/>
              <w:jc w:val="both"/>
              <w:rPr>
                <w:rFonts w:ascii="Arial" w:eastAsia="Times New Roman" w:hAnsi="Arial" w:cs="Arial"/>
                <w:color w:val="000000"/>
                <w:sz w:val="24"/>
                <w:szCs w:val="24"/>
                <w:lang w:eastAsia="en-GB"/>
              </w:rPr>
            </w:pPr>
            <w:r w:rsidRPr="00D50928">
              <w:rPr>
                <w:rFonts w:ascii="Arial" w:eastAsia="Times New Roman" w:hAnsi="Arial" w:cs="Arial"/>
                <w:color w:val="000000"/>
                <w:sz w:val="20"/>
                <w:szCs w:val="20"/>
                <w:lang w:eastAsia="en-GB"/>
              </w:rPr>
              <w:t xml:space="preserve">There are no non-monetised costs associated with changing the legal framework for setting the PIDR although it is likely that </w:t>
            </w:r>
            <w:r w:rsidR="00A21CC4">
              <w:rPr>
                <w:rFonts w:ascii="Arial" w:eastAsia="Times New Roman" w:hAnsi="Arial" w:cs="Arial"/>
                <w:color w:val="000000"/>
                <w:sz w:val="20"/>
                <w:szCs w:val="20"/>
                <w:lang w:eastAsia="en-GB"/>
              </w:rPr>
              <w:t>the</w:t>
            </w:r>
            <w:r w:rsidRPr="00D50928">
              <w:rPr>
                <w:rFonts w:ascii="Arial" w:eastAsia="Times New Roman" w:hAnsi="Arial" w:cs="Arial"/>
                <w:color w:val="000000"/>
                <w:sz w:val="20"/>
                <w:szCs w:val="20"/>
                <w:lang w:eastAsia="en-GB"/>
              </w:rPr>
              <w:t xml:space="preserve"> rate </w:t>
            </w:r>
            <w:r w:rsidR="00A21CC4">
              <w:rPr>
                <w:rFonts w:ascii="Arial" w:eastAsia="Times New Roman" w:hAnsi="Arial" w:cs="Arial"/>
                <w:color w:val="000000"/>
                <w:sz w:val="20"/>
                <w:szCs w:val="20"/>
                <w:lang w:eastAsia="en-GB"/>
              </w:rPr>
              <w:t xml:space="preserve">under the new legal framework </w:t>
            </w:r>
            <w:r w:rsidRPr="00D50928">
              <w:rPr>
                <w:rFonts w:ascii="Arial" w:eastAsia="Times New Roman" w:hAnsi="Arial" w:cs="Arial"/>
                <w:color w:val="000000"/>
                <w:sz w:val="20"/>
                <w:szCs w:val="20"/>
                <w:lang w:eastAsia="en-GB"/>
              </w:rPr>
              <w:t xml:space="preserve">will be higher than it would otherwise be. This will reduce lump sum payments to claimants who </w:t>
            </w:r>
            <w:r w:rsidR="000332A7">
              <w:rPr>
                <w:rFonts w:ascii="Arial" w:eastAsia="Times New Roman" w:hAnsi="Arial" w:cs="Arial"/>
                <w:color w:val="000000"/>
                <w:sz w:val="20"/>
                <w:szCs w:val="20"/>
                <w:lang w:eastAsia="en-GB"/>
              </w:rPr>
              <w:t>will</w:t>
            </w:r>
            <w:r w:rsidR="000332A7" w:rsidRPr="00D50928">
              <w:rPr>
                <w:rFonts w:ascii="Arial" w:eastAsia="Times New Roman" w:hAnsi="Arial" w:cs="Arial"/>
                <w:color w:val="000000"/>
                <w:sz w:val="20"/>
                <w:szCs w:val="20"/>
                <w:lang w:eastAsia="en-GB"/>
              </w:rPr>
              <w:t xml:space="preserve"> </w:t>
            </w:r>
            <w:r w:rsidRPr="00D50928">
              <w:rPr>
                <w:rFonts w:ascii="Arial" w:eastAsia="Times New Roman" w:hAnsi="Arial" w:cs="Arial"/>
                <w:color w:val="000000"/>
                <w:sz w:val="20"/>
                <w:szCs w:val="20"/>
                <w:lang w:eastAsia="en-GB"/>
              </w:rPr>
              <w:t xml:space="preserve">also need to assume a higher level of investment risk. </w:t>
            </w:r>
          </w:p>
          <w:p w14:paraId="39AA4B27" w14:textId="77777777" w:rsidR="00D50928" w:rsidRPr="00D50928" w:rsidRDefault="00D50928" w:rsidP="00D50928">
            <w:pPr>
              <w:keepNext/>
              <w:ind w:left="113" w:right="113"/>
              <w:jc w:val="both"/>
              <w:rPr>
                <w:b/>
              </w:rPr>
            </w:pPr>
          </w:p>
        </w:tc>
      </w:tr>
      <w:tr w:rsidR="00D50928" w:rsidRPr="00D50928" w14:paraId="3EBB1CEB" w14:textId="77777777" w:rsidTr="006135B9">
        <w:trPr>
          <w:trHeight w:hRule="exact" w:val="567"/>
        </w:trPr>
        <w:tc>
          <w:tcPr>
            <w:tcW w:w="1995" w:type="dxa"/>
            <w:shd w:val="clear" w:color="auto" w:fill="FFFFFF"/>
          </w:tcPr>
          <w:p w14:paraId="2AD0BCFD" w14:textId="77777777" w:rsidR="00D50928" w:rsidRPr="00D50928" w:rsidRDefault="00D50928" w:rsidP="00D50928">
            <w:pPr>
              <w:spacing w:before="50" w:after="50" w:line="240" w:lineRule="auto"/>
              <w:ind w:left="113" w:right="113"/>
              <w:rPr>
                <w:rFonts w:ascii="Arial" w:eastAsia="SimSun" w:hAnsi="Arial"/>
                <w:b/>
                <w:color w:val="000000"/>
                <w:spacing w:val="-5"/>
                <w:sz w:val="24"/>
                <w:szCs w:val="24"/>
                <w:lang w:eastAsia="zh-CN"/>
              </w:rPr>
            </w:pPr>
            <w:r w:rsidRPr="00D50928">
              <w:rPr>
                <w:rFonts w:ascii="Arial" w:eastAsia="SimSun" w:hAnsi="Arial"/>
                <w:b/>
                <w:color w:val="000000"/>
                <w:spacing w:val="-5"/>
                <w:sz w:val="24"/>
                <w:szCs w:val="24"/>
                <w:lang w:eastAsia="zh-CN"/>
              </w:rPr>
              <w:t>BENEFITS (£m)</w:t>
            </w:r>
          </w:p>
        </w:tc>
        <w:tc>
          <w:tcPr>
            <w:tcW w:w="2739" w:type="dxa"/>
            <w:gridSpan w:val="2"/>
            <w:tcBorders>
              <w:top w:val="single" w:sz="12" w:space="0" w:color="auto"/>
              <w:bottom w:val="single" w:sz="6" w:space="0" w:color="auto"/>
            </w:tcBorders>
            <w:shd w:val="clear" w:color="auto" w:fill="auto"/>
          </w:tcPr>
          <w:p w14:paraId="24EF0051" w14:textId="77777777" w:rsidR="00D50928" w:rsidRPr="00D50928" w:rsidRDefault="00D50928" w:rsidP="00D50928">
            <w:pPr>
              <w:tabs>
                <w:tab w:val="right" w:pos="1797"/>
                <w:tab w:val="center" w:pos="2340"/>
              </w:tabs>
              <w:spacing w:before="50" w:after="50" w:line="240" w:lineRule="auto"/>
              <w:ind w:left="113" w:right="113"/>
              <w:jc w:val="center"/>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Total Transition </w:t>
            </w:r>
            <w:r w:rsidRPr="00D50928">
              <w:rPr>
                <w:rFonts w:ascii="Arial" w:eastAsia="SimSun" w:hAnsi="Arial"/>
                <w:b/>
                <w:color w:val="000000"/>
                <w:spacing w:val="-5"/>
                <w:sz w:val="20"/>
                <w:szCs w:val="20"/>
                <w:lang w:eastAsia="zh-CN"/>
              </w:rPr>
              <w:br/>
            </w:r>
            <w:r w:rsidRPr="00D50928">
              <w:rPr>
                <w:rFonts w:ascii="Arial" w:eastAsia="SimSun" w:hAnsi="Arial"/>
                <w:b/>
                <w:color w:val="000000"/>
                <w:spacing w:val="-5"/>
                <w:sz w:val="20"/>
                <w:szCs w:val="20"/>
                <w:lang w:eastAsia="zh-CN"/>
              </w:rPr>
              <w:tab/>
            </w:r>
            <w:r w:rsidRPr="00D50928">
              <w:rPr>
                <w:rFonts w:ascii="Arial" w:eastAsia="SimSun" w:hAnsi="Arial"/>
                <w:color w:val="000000"/>
                <w:spacing w:val="-5"/>
                <w:sz w:val="18"/>
                <w:szCs w:val="18"/>
                <w:lang w:eastAsia="zh-CN"/>
              </w:rPr>
              <w:t>(Constant Price)</w:t>
            </w:r>
            <w:r w:rsidRPr="00D50928">
              <w:rPr>
                <w:rFonts w:ascii="Arial" w:eastAsia="SimSun" w:hAnsi="Arial"/>
                <w:b/>
                <w:color w:val="000000"/>
                <w:spacing w:val="-5"/>
                <w:sz w:val="20"/>
                <w:szCs w:val="20"/>
                <w:lang w:eastAsia="zh-CN"/>
              </w:rPr>
              <w:tab/>
            </w:r>
            <w:r w:rsidRPr="00D50928">
              <w:rPr>
                <w:rFonts w:ascii="Arial" w:eastAsia="SimSun" w:hAnsi="Arial"/>
                <w:color w:val="000000"/>
                <w:spacing w:val="-5"/>
                <w:sz w:val="18"/>
                <w:szCs w:val="18"/>
                <w:lang w:eastAsia="zh-CN"/>
              </w:rPr>
              <w:t>Yea</w:t>
            </w:r>
            <w:r w:rsidRPr="00D50928">
              <w:rPr>
                <w:rFonts w:ascii="Arial" w:eastAsia="SimSun" w:hAnsi="Arial"/>
                <w:bCs/>
                <w:color w:val="000000"/>
                <w:spacing w:val="-5"/>
                <w:sz w:val="18"/>
                <w:szCs w:val="18"/>
                <w:lang w:eastAsia="zh-CN"/>
              </w:rPr>
              <w:t>r</w:t>
            </w:r>
            <w:r w:rsidRPr="00D50928">
              <w:rPr>
                <w:rFonts w:ascii="Arial" w:eastAsia="SimSun" w:hAnsi="Arial"/>
                <w:color w:val="000000"/>
                <w:spacing w:val="-5"/>
                <w:sz w:val="18"/>
                <w:szCs w:val="18"/>
                <w:lang w:eastAsia="zh-CN"/>
              </w:rPr>
              <w:t>s</w:t>
            </w:r>
          </w:p>
          <w:p w14:paraId="7FEBE50F" w14:textId="77777777" w:rsidR="00D50928" w:rsidRPr="00D50928" w:rsidRDefault="00D50928" w:rsidP="00D50928">
            <w:pPr>
              <w:spacing w:before="50" w:after="50" w:line="240" w:lineRule="auto"/>
              <w:ind w:left="113" w:right="113"/>
              <w:jc w:val="right"/>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br/>
            </w:r>
          </w:p>
        </w:tc>
        <w:tc>
          <w:tcPr>
            <w:tcW w:w="2865" w:type="dxa"/>
            <w:tcBorders>
              <w:bottom w:val="single" w:sz="6" w:space="0" w:color="auto"/>
              <w:right w:val="single" w:sz="12" w:space="0" w:color="auto"/>
            </w:tcBorders>
            <w:shd w:val="clear" w:color="auto" w:fill="auto"/>
          </w:tcPr>
          <w:p w14:paraId="17BF7526" w14:textId="77777777" w:rsidR="00D50928" w:rsidRPr="00D50928" w:rsidRDefault="00D50928" w:rsidP="00D50928">
            <w:pPr>
              <w:spacing w:before="50" w:after="50" w:line="240" w:lineRule="auto"/>
              <w:ind w:left="113" w:right="113"/>
              <w:jc w:val="center"/>
              <w:rPr>
                <w:rFonts w:ascii="Arial" w:eastAsia="SimSun" w:hAnsi="Arial" w:cs="Arial"/>
                <w:b/>
                <w:bCs/>
                <w:color w:val="000000"/>
                <w:spacing w:val="-5"/>
                <w:sz w:val="20"/>
                <w:szCs w:val="20"/>
                <w:lang w:eastAsia="zh-CN"/>
              </w:rPr>
            </w:pPr>
            <w:r w:rsidRPr="00D50928">
              <w:rPr>
                <w:rFonts w:ascii="Arial" w:eastAsia="SimSun" w:hAnsi="Arial"/>
                <w:b/>
                <w:color w:val="000000"/>
                <w:spacing w:val="-5"/>
                <w:sz w:val="20"/>
                <w:szCs w:val="20"/>
                <w:lang w:eastAsia="zh-CN"/>
              </w:rPr>
              <w:t xml:space="preserve">Average Annual </w:t>
            </w:r>
            <w:r w:rsidRPr="00D50928">
              <w:rPr>
                <w:rFonts w:ascii="Arial" w:eastAsia="SimSun" w:hAnsi="Arial"/>
                <w:b/>
                <w:color w:val="000000"/>
                <w:spacing w:val="-5"/>
                <w:sz w:val="20"/>
                <w:szCs w:val="20"/>
                <w:lang w:eastAsia="zh-CN"/>
              </w:rPr>
              <w:br/>
            </w:r>
            <w:r w:rsidRPr="00D50928">
              <w:rPr>
                <w:rFonts w:ascii="Arial" w:eastAsia="SimSun" w:hAnsi="Arial"/>
                <w:color w:val="000000"/>
                <w:spacing w:val="-5"/>
                <w:sz w:val="18"/>
                <w:szCs w:val="18"/>
                <w:lang w:eastAsia="zh-CN"/>
              </w:rPr>
              <w:t xml:space="preserve">(excl. Transition) </w:t>
            </w:r>
            <w:r w:rsidRPr="00D50928">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26FE00A8" w14:textId="77777777" w:rsidR="00D50928" w:rsidRPr="00D50928" w:rsidRDefault="00D50928" w:rsidP="00D50928">
            <w:pPr>
              <w:spacing w:before="50" w:after="50" w:line="240" w:lineRule="auto"/>
              <w:ind w:left="113" w:right="113"/>
              <w:jc w:val="center"/>
              <w:rPr>
                <w:rFonts w:ascii="Arial" w:eastAsia="SimSun" w:hAnsi="Arial"/>
                <w:color w:val="000000"/>
                <w:spacing w:val="-5"/>
                <w:sz w:val="18"/>
                <w:szCs w:val="18"/>
                <w:lang w:eastAsia="zh-CN"/>
              </w:rPr>
            </w:pPr>
            <w:r w:rsidRPr="00D50928">
              <w:rPr>
                <w:rFonts w:ascii="Arial" w:eastAsia="SimSun" w:hAnsi="Arial"/>
                <w:b/>
                <w:color w:val="000000"/>
                <w:spacing w:val="-5"/>
                <w:sz w:val="20"/>
                <w:szCs w:val="20"/>
                <w:lang w:eastAsia="zh-CN"/>
              </w:rPr>
              <w:t>Total Benefit</w:t>
            </w:r>
          </w:p>
          <w:p w14:paraId="796BFC4D" w14:textId="77777777" w:rsidR="00D50928" w:rsidRPr="00D50928" w:rsidRDefault="00D50928" w:rsidP="00D50928">
            <w:pPr>
              <w:spacing w:before="50" w:after="50" w:line="240" w:lineRule="auto"/>
              <w:ind w:left="113" w:right="113"/>
              <w:jc w:val="center"/>
              <w:rPr>
                <w:rFonts w:ascii="Arial" w:eastAsia="SimSun" w:hAnsi="Arial"/>
                <w:b/>
                <w:color w:val="000000"/>
                <w:spacing w:val="-5"/>
                <w:sz w:val="20"/>
                <w:szCs w:val="20"/>
                <w:lang w:eastAsia="zh-CN"/>
              </w:rPr>
            </w:pPr>
            <w:r w:rsidRPr="00D50928">
              <w:rPr>
                <w:rFonts w:ascii="Arial" w:eastAsia="SimSun" w:hAnsi="Arial"/>
                <w:color w:val="000000"/>
                <w:spacing w:val="-5"/>
                <w:sz w:val="18"/>
                <w:szCs w:val="18"/>
                <w:lang w:eastAsia="zh-CN"/>
              </w:rPr>
              <w:t>(Present Value)</w:t>
            </w:r>
          </w:p>
        </w:tc>
      </w:tr>
      <w:tr w:rsidR="00D50928" w:rsidRPr="00D50928" w14:paraId="3D2F9373" w14:textId="77777777" w:rsidTr="006135B9">
        <w:trPr>
          <w:trHeight w:hRule="exact" w:val="348"/>
        </w:trPr>
        <w:tc>
          <w:tcPr>
            <w:tcW w:w="1995" w:type="dxa"/>
            <w:tcBorders>
              <w:top w:val="single" w:sz="6" w:space="0" w:color="auto"/>
              <w:bottom w:val="single" w:sz="6" w:space="0" w:color="auto"/>
            </w:tcBorders>
            <w:shd w:val="clear" w:color="auto" w:fill="auto"/>
            <w:vAlign w:val="center"/>
          </w:tcPr>
          <w:p w14:paraId="2B514275" w14:textId="77777777" w:rsidR="00D50928" w:rsidRPr="00D50928" w:rsidRDefault="00D50928" w:rsidP="00D50928">
            <w:pPr>
              <w:spacing w:before="50" w:after="5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Low </w:t>
            </w:r>
          </w:p>
        </w:tc>
        <w:tc>
          <w:tcPr>
            <w:tcW w:w="1949" w:type="dxa"/>
            <w:tcBorders>
              <w:top w:val="single" w:sz="6" w:space="0" w:color="auto"/>
              <w:bottom w:val="single" w:sz="6" w:space="0" w:color="auto"/>
            </w:tcBorders>
            <w:shd w:val="clear" w:color="auto" w:fill="auto"/>
            <w:vAlign w:val="center"/>
          </w:tcPr>
          <w:p w14:paraId="676F493C" w14:textId="77777777" w:rsidR="00D50928" w:rsidRPr="00D50928" w:rsidRDefault="00D50928" w:rsidP="00D50928">
            <w:pPr>
              <w:spacing w:before="50" w:after="50" w:line="240" w:lineRule="auto"/>
              <w:ind w:left="113" w:right="113"/>
              <w:jc w:val="center"/>
              <w:rPr>
                <w:rFonts w:ascii="Arial" w:eastAsia="SimSun" w:hAnsi="Arial"/>
                <w:b/>
                <w:spacing w:val="-5"/>
                <w:sz w:val="20"/>
                <w:szCs w:val="20"/>
                <w:lang w:eastAsia="zh-CN"/>
              </w:rPr>
            </w:pPr>
          </w:p>
        </w:tc>
        <w:tc>
          <w:tcPr>
            <w:tcW w:w="790" w:type="dxa"/>
            <w:vMerge w:val="restart"/>
            <w:tcBorders>
              <w:top w:val="single" w:sz="6" w:space="0" w:color="auto"/>
            </w:tcBorders>
            <w:shd w:val="clear" w:color="auto" w:fill="auto"/>
            <w:vAlign w:val="center"/>
          </w:tcPr>
          <w:p w14:paraId="33596E9F" w14:textId="77777777" w:rsidR="00D50928" w:rsidRPr="00D50928" w:rsidRDefault="00D50928" w:rsidP="00D50928">
            <w:pPr>
              <w:spacing w:before="50" w:after="50" w:line="240" w:lineRule="auto"/>
              <w:ind w:left="113" w:right="113"/>
              <w:jc w:val="center"/>
              <w:rPr>
                <w:rFonts w:ascii="Arial" w:eastAsia="SimSun" w:hAnsi="Arial"/>
                <w:b/>
                <w:spacing w:val="-5"/>
                <w:sz w:val="20"/>
                <w:szCs w:val="20"/>
                <w:lang w:eastAsia="zh-CN"/>
              </w:rPr>
            </w:pPr>
          </w:p>
        </w:tc>
        <w:tc>
          <w:tcPr>
            <w:tcW w:w="2865" w:type="dxa"/>
            <w:tcBorders>
              <w:top w:val="single" w:sz="6" w:space="0" w:color="auto"/>
              <w:bottom w:val="single" w:sz="6" w:space="0" w:color="auto"/>
              <w:right w:val="single" w:sz="12" w:space="0" w:color="auto"/>
            </w:tcBorders>
            <w:shd w:val="clear" w:color="auto" w:fill="auto"/>
            <w:vAlign w:val="center"/>
          </w:tcPr>
          <w:p w14:paraId="08F58BDA" w14:textId="77777777" w:rsidR="00D50928" w:rsidRPr="00D50928" w:rsidRDefault="00D50928" w:rsidP="00D50928">
            <w:pPr>
              <w:spacing w:before="50" w:after="50" w:line="240" w:lineRule="auto"/>
              <w:ind w:left="113" w:right="113"/>
              <w:jc w:val="center"/>
              <w:rPr>
                <w:rFonts w:ascii="Arial" w:eastAsia="SimSun" w:hAnsi="Arial"/>
                <w:b/>
                <w:spacing w:val="-5"/>
                <w:sz w:val="20"/>
                <w:szCs w:val="20"/>
                <w:lang w:eastAsia="zh-CN"/>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4F02E59D" w14:textId="77777777" w:rsidR="00D50928" w:rsidRPr="00D50928" w:rsidRDefault="00D50928" w:rsidP="00D50928">
            <w:pPr>
              <w:spacing w:before="50" w:after="50" w:line="240" w:lineRule="auto"/>
              <w:ind w:left="113" w:right="113"/>
              <w:jc w:val="center"/>
              <w:rPr>
                <w:rFonts w:ascii="Arial" w:eastAsia="SimSun" w:hAnsi="Arial"/>
                <w:b/>
                <w:spacing w:val="-5"/>
                <w:sz w:val="20"/>
                <w:szCs w:val="20"/>
                <w:highlight w:val="yellow"/>
                <w:lang w:eastAsia="zh-CN"/>
              </w:rPr>
            </w:pPr>
          </w:p>
        </w:tc>
      </w:tr>
      <w:tr w:rsidR="00D50928" w:rsidRPr="00D50928" w14:paraId="2E120A71" w14:textId="77777777" w:rsidTr="006135B9">
        <w:trPr>
          <w:trHeight w:hRule="exact" w:val="348"/>
        </w:trPr>
        <w:tc>
          <w:tcPr>
            <w:tcW w:w="1995" w:type="dxa"/>
            <w:tcBorders>
              <w:top w:val="single" w:sz="6" w:space="0" w:color="auto"/>
              <w:bottom w:val="single" w:sz="12" w:space="0" w:color="auto"/>
            </w:tcBorders>
            <w:shd w:val="clear" w:color="auto" w:fill="auto"/>
            <w:vAlign w:val="center"/>
          </w:tcPr>
          <w:p w14:paraId="65386D54" w14:textId="77777777" w:rsidR="00D50928" w:rsidRPr="00D50928" w:rsidRDefault="00D50928" w:rsidP="00D50928">
            <w:pPr>
              <w:spacing w:before="50" w:after="5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High </w:t>
            </w:r>
          </w:p>
        </w:tc>
        <w:tc>
          <w:tcPr>
            <w:tcW w:w="1949" w:type="dxa"/>
            <w:tcBorders>
              <w:top w:val="single" w:sz="6" w:space="0" w:color="auto"/>
              <w:bottom w:val="single" w:sz="12" w:space="0" w:color="auto"/>
            </w:tcBorders>
            <w:shd w:val="clear" w:color="auto" w:fill="auto"/>
            <w:vAlign w:val="center"/>
          </w:tcPr>
          <w:p w14:paraId="40C72574" w14:textId="77777777" w:rsidR="00D50928" w:rsidRPr="00D50928" w:rsidRDefault="00D50928" w:rsidP="00D50928">
            <w:pPr>
              <w:spacing w:before="50" w:after="50" w:line="240" w:lineRule="auto"/>
              <w:ind w:left="113" w:right="113"/>
              <w:jc w:val="center"/>
              <w:rPr>
                <w:rFonts w:ascii="Arial" w:eastAsia="SimSun" w:hAnsi="Arial"/>
                <w:b/>
                <w:spacing w:val="-5"/>
                <w:sz w:val="20"/>
                <w:szCs w:val="20"/>
                <w:lang w:eastAsia="zh-CN"/>
              </w:rPr>
            </w:pPr>
          </w:p>
        </w:tc>
        <w:tc>
          <w:tcPr>
            <w:tcW w:w="790" w:type="dxa"/>
            <w:vMerge/>
            <w:shd w:val="clear" w:color="auto" w:fill="FFFFFF"/>
            <w:vAlign w:val="center"/>
          </w:tcPr>
          <w:p w14:paraId="32F4A93C" w14:textId="77777777" w:rsidR="00D50928" w:rsidRPr="00D50928" w:rsidRDefault="00D50928" w:rsidP="00D50928">
            <w:pPr>
              <w:spacing w:before="50" w:after="50" w:line="240" w:lineRule="auto"/>
              <w:ind w:left="113" w:right="113"/>
              <w:jc w:val="right"/>
              <w:rPr>
                <w:rFonts w:ascii="Arial" w:eastAsia="SimSun" w:hAnsi="Arial"/>
                <w:b/>
                <w:spacing w:val="-5"/>
                <w:sz w:val="20"/>
                <w:szCs w:val="20"/>
                <w:lang w:eastAsia="zh-CN"/>
              </w:rPr>
            </w:pPr>
          </w:p>
        </w:tc>
        <w:tc>
          <w:tcPr>
            <w:tcW w:w="2865" w:type="dxa"/>
            <w:tcBorders>
              <w:top w:val="single" w:sz="6" w:space="0" w:color="auto"/>
              <w:bottom w:val="single" w:sz="12" w:space="0" w:color="auto"/>
              <w:right w:val="single" w:sz="12" w:space="0" w:color="auto"/>
            </w:tcBorders>
            <w:shd w:val="clear" w:color="auto" w:fill="auto"/>
            <w:vAlign w:val="center"/>
          </w:tcPr>
          <w:p w14:paraId="6F0D3152" w14:textId="77777777" w:rsidR="00D50928" w:rsidRPr="00D50928" w:rsidRDefault="00D50928" w:rsidP="00D50928">
            <w:pPr>
              <w:spacing w:before="50" w:after="50" w:line="240" w:lineRule="auto"/>
              <w:ind w:left="113" w:right="113"/>
              <w:jc w:val="center"/>
              <w:rPr>
                <w:rFonts w:ascii="Arial" w:eastAsia="SimSun" w:hAnsi="Arial"/>
                <w:b/>
                <w:spacing w:val="-5"/>
                <w:sz w:val="20"/>
                <w:szCs w:val="20"/>
                <w:lang w:eastAsia="zh-CN"/>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6829FE6A" w14:textId="77777777" w:rsidR="00D50928" w:rsidRPr="00D50928" w:rsidRDefault="00D50928" w:rsidP="00D50928">
            <w:pPr>
              <w:spacing w:before="50" w:after="50" w:line="240" w:lineRule="auto"/>
              <w:ind w:left="113" w:right="113"/>
              <w:rPr>
                <w:rFonts w:ascii="Arial" w:eastAsia="SimSun" w:hAnsi="Arial"/>
                <w:b/>
                <w:spacing w:val="-5"/>
                <w:sz w:val="20"/>
                <w:szCs w:val="20"/>
                <w:highlight w:val="yellow"/>
                <w:lang w:eastAsia="zh-CN"/>
              </w:rPr>
            </w:pPr>
          </w:p>
        </w:tc>
      </w:tr>
      <w:tr w:rsidR="00D50928" w:rsidRPr="00D50928" w14:paraId="4840C97A" w14:textId="77777777" w:rsidTr="006135B9">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0527540A" w14:textId="77777777" w:rsidR="00D50928" w:rsidRPr="00D50928" w:rsidRDefault="00D50928" w:rsidP="00D50928">
            <w:pPr>
              <w:spacing w:before="50" w:after="5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Best Estimate</w:t>
            </w:r>
          </w:p>
          <w:p w14:paraId="50CFC5F2" w14:textId="77777777" w:rsidR="00D50928" w:rsidRPr="00D50928" w:rsidRDefault="00D50928" w:rsidP="00D50928">
            <w:pPr>
              <w:spacing w:beforeLines="40" w:before="96" w:after="60" w:line="240" w:lineRule="auto"/>
              <w:ind w:right="-22"/>
              <w:jc w:val="center"/>
              <w:rPr>
                <w:rFonts w:ascii="Arial" w:eastAsia="SimSun" w:hAnsi="Arial" w:cs="Arial"/>
                <w:b/>
                <w:sz w:val="20"/>
                <w:szCs w:val="20"/>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DE9A53D" w14:textId="77777777" w:rsidR="00D50928" w:rsidRPr="00D50928" w:rsidRDefault="00D50928" w:rsidP="00D50928">
            <w:pPr>
              <w:spacing w:before="50" w:after="50" w:line="240" w:lineRule="auto"/>
              <w:ind w:left="113" w:right="113"/>
              <w:jc w:val="center"/>
              <w:rPr>
                <w:rFonts w:ascii="Arial" w:eastAsia="SimSun" w:hAnsi="Arial"/>
                <w:b/>
                <w:spacing w:val="-5"/>
                <w:sz w:val="20"/>
                <w:szCs w:val="20"/>
                <w:lang w:eastAsia="zh-CN"/>
              </w:rPr>
            </w:pPr>
            <w:r w:rsidRPr="00D50928">
              <w:rPr>
                <w:rFonts w:ascii="Arial" w:eastAsia="SimSun" w:hAnsi="Arial"/>
                <w:b/>
                <w:spacing w:val="-5"/>
                <w:sz w:val="20"/>
                <w:szCs w:val="20"/>
                <w:lang w:eastAsia="zh-CN"/>
              </w:rPr>
              <w:t>N/A</w:t>
            </w:r>
          </w:p>
        </w:tc>
        <w:tc>
          <w:tcPr>
            <w:tcW w:w="790" w:type="dxa"/>
            <w:vMerge/>
            <w:tcBorders>
              <w:left w:val="single" w:sz="12" w:space="0" w:color="auto"/>
              <w:right w:val="single" w:sz="12" w:space="0" w:color="auto"/>
            </w:tcBorders>
            <w:shd w:val="clear" w:color="auto" w:fill="FFFFFF"/>
            <w:vAlign w:val="center"/>
          </w:tcPr>
          <w:p w14:paraId="1774E436" w14:textId="77777777" w:rsidR="00D50928" w:rsidRPr="00D50928" w:rsidRDefault="00D50928" w:rsidP="00D50928">
            <w:pPr>
              <w:spacing w:before="50" w:after="50" w:line="240" w:lineRule="auto"/>
              <w:ind w:left="113" w:right="113"/>
              <w:jc w:val="right"/>
              <w:rPr>
                <w:rFonts w:ascii="Arial" w:eastAsia="SimSun" w:hAnsi="Arial"/>
                <w:b/>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7A63B74B" w14:textId="77777777" w:rsidR="00D50928" w:rsidRPr="00D50928" w:rsidRDefault="00D50928" w:rsidP="00D50928">
            <w:pPr>
              <w:spacing w:before="50" w:after="50" w:line="240" w:lineRule="auto"/>
              <w:ind w:left="113" w:right="113"/>
              <w:jc w:val="center"/>
              <w:rPr>
                <w:rFonts w:ascii="Arial" w:eastAsia="SimSun" w:hAnsi="Arial"/>
                <w:b/>
                <w:spacing w:val="-5"/>
                <w:sz w:val="20"/>
                <w:szCs w:val="20"/>
                <w:lang w:eastAsia="zh-CN"/>
              </w:rPr>
            </w:pPr>
            <w:r w:rsidRPr="00D50928">
              <w:rPr>
                <w:rFonts w:ascii="Arial" w:eastAsia="SimSun" w:hAnsi="Arial"/>
                <w:b/>
                <w:spacing w:val="-5"/>
                <w:sz w:val="20"/>
                <w:szCs w:val="20"/>
                <w:lang w:eastAsia="zh-CN"/>
              </w:rPr>
              <w:t>£1.4bn</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5E7BA39E" w14:textId="77777777" w:rsidR="00D50928" w:rsidRPr="00D50928" w:rsidRDefault="00D50928" w:rsidP="00D50928">
            <w:pPr>
              <w:spacing w:before="50" w:after="50" w:line="240" w:lineRule="auto"/>
              <w:ind w:left="113" w:right="113"/>
              <w:jc w:val="center"/>
              <w:rPr>
                <w:rFonts w:ascii="Arial" w:eastAsia="SimSun" w:hAnsi="Arial"/>
                <w:b/>
                <w:spacing w:val="-5"/>
                <w:sz w:val="20"/>
                <w:szCs w:val="20"/>
                <w:highlight w:val="yellow"/>
                <w:lang w:eastAsia="zh-CN"/>
              </w:rPr>
            </w:pPr>
            <w:r w:rsidRPr="00D50928">
              <w:rPr>
                <w:rFonts w:ascii="Arial" w:eastAsia="SimSun" w:hAnsi="Arial"/>
                <w:b/>
                <w:spacing w:val="-5"/>
                <w:sz w:val="20"/>
                <w:szCs w:val="20"/>
                <w:lang w:eastAsia="zh-CN"/>
              </w:rPr>
              <w:t>£11.6bn</w:t>
            </w:r>
          </w:p>
        </w:tc>
      </w:tr>
      <w:tr w:rsidR="00D50928" w:rsidRPr="00D50928" w14:paraId="2A1B3AB8" w14:textId="77777777" w:rsidTr="00C7520F">
        <w:trPr>
          <w:trHeight w:hRule="exact" w:val="2109"/>
        </w:trPr>
        <w:tc>
          <w:tcPr>
            <w:tcW w:w="10235" w:type="dxa"/>
            <w:gridSpan w:val="6"/>
            <w:shd w:val="clear" w:color="auto" w:fill="auto"/>
          </w:tcPr>
          <w:p w14:paraId="787E286E" w14:textId="77777777" w:rsidR="00D50928" w:rsidRPr="00D50928" w:rsidRDefault="00D50928" w:rsidP="00D50928">
            <w:pPr>
              <w:spacing w:before="50" w:after="50" w:line="240" w:lineRule="auto"/>
              <w:ind w:left="113" w:right="113"/>
              <w:rPr>
                <w:rFonts w:ascii="Arial" w:eastAsia="SimSun" w:hAnsi="Arial"/>
                <w:b/>
                <w:color w:val="000000"/>
                <w:spacing w:val="-5"/>
                <w:sz w:val="20"/>
                <w:lang w:eastAsia="zh-CN"/>
              </w:rPr>
            </w:pPr>
            <w:r w:rsidRPr="00D50928">
              <w:rPr>
                <w:rFonts w:ascii="Arial" w:eastAsia="SimSun" w:hAnsi="Arial"/>
                <w:b/>
                <w:color w:val="000000"/>
                <w:spacing w:val="-5"/>
                <w:sz w:val="20"/>
                <w:szCs w:val="20"/>
                <w:lang w:eastAsia="zh-CN"/>
              </w:rPr>
              <w:t>Description and scale of key monetised benefits by ‘main affected groups’</w:t>
            </w:r>
          </w:p>
          <w:p w14:paraId="1AE1FF5F" w14:textId="77777777" w:rsidR="00D50928" w:rsidRPr="00D50928" w:rsidRDefault="00D50928" w:rsidP="00C7520F">
            <w:pPr>
              <w:autoSpaceDE w:val="0"/>
              <w:autoSpaceDN w:val="0"/>
              <w:adjustRightInd w:val="0"/>
              <w:spacing w:after="0" w:line="240" w:lineRule="atLeast"/>
              <w:ind w:left="113"/>
              <w:rPr>
                <w:rFonts w:ascii="Arial" w:eastAsia="Times New Roman" w:hAnsi="Arial" w:cs="Arial"/>
                <w:color w:val="000000"/>
                <w:sz w:val="24"/>
                <w:szCs w:val="24"/>
                <w:lang w:eastAsia="en-GB"/>
              </w:rPr>
            </w:pPr>
            <w:r w:rsidRPr="00D50928">
              <w:rPr>
                <w:rFonts w:ascii="Arial" w:eastAsia="Times New Roman" w:hAnsi="Arial" w:cs="Arial"/>
                <w:color w:val="000000"/>
                <w:sz w:val="20"/>
                <w:szCs w:val="20"/>
                <w:lang w:eastAsia="en-GB"/>
              </w:rPr>
              <w:t xml:space="preserve">Full details of the key monetised benefits are detailed in individual IAs for each legislative measure. There are no quantified benefits </w:t>
            </w:r>
            <w:r w:rsidR="006F2650" w:rsidRPr="00D50928">
              <w:rPr>
                <w:rFonts w:ascii="Arial" w:eastAsia="Times New Roman" w:hAnsi="Arial" w:cs="Arial"/>
                <w:color w:val="000000"/>
                <w:sz w:val="20"/>
                <w:szCs w:val="20"/>
                <w:lang w:eastAsia="en-GB"/>
              </w:rPr>
              <w:t>for the reforms to the legal framework for setting the PIDR</w:t>
            </w:r>
            <w:r w:rsidR="006F2650">
              <w:rPr>
                <w:rFonts w:ascii="Arial" w:eastAsia="Times New Roman" w:hAnsi="Arial" w:cs="Arial"/>
                <w:color w:val="000000"/>
                <w:sz w:val="20"/>
                <w:szCs w:val="20"/>
                <w:lang w:eastAsia="en-GB"/>
              </w:rPr>
              <w:t xml:space="preserve"> as these can only be determined when the rate is next set</w:t>
            </w:r>
            <w:r w:rsidR="006F2650" w:rsidRPr="00D50928">
              <w:rPr>
                <w:rFonts w:ascii="Arial" w:eastAsia="Times New Roman" w:hAnsi="Arial" w:cs="Arial"/>
                <w:color w:val="000000"/>
                <w:sz w:val="20"/>
                <w:szCs w:val="20"/>
                <w:lang w:eastAsia="en-GB"/>
              </w:rPr>
              <w:t xml:space="preserve">. </w:t>
            </w:r>
            <w:r w:rsidRPr="00D50928">
              <w:rPr>
                <w:rFonts w:ascii="Arial" w:eastAsia="Times New Roman" w:hAnsi="Arial" w:cs="Arial"/>
                <w:color w:val="000000"/>
                <w:sz w:val="20"/>
                <w:szCs w:val="20"/>
                <w:lang w:eastAsia="en-GB"/>
              </w:rPr>
              <w:t>The Whiplash reforms will create benefits for defendants from reductions in damages payments</w:t>
            </w:r>
            <w:r w:rsidR="006F2650">
              <w:rPr>
                <w:rFonts w:ascii="Arial" w:eastAsia="Times New Roman" w:hAnsi="Arial" w:cs="Arial"/>
                <w:color w:val="000000"/>
                <w:sz w:val="20"/>
                <w:szCs w:val="20"/>
                <w:lang w:eastAsia="en-GB"/>
              </w:rPr>
              <w:t>,</w:t>
            </w:r>
            <w:r w:rsidRPr="00D50928">
              <w:rPr>
                <w:rFonts w:ascii="Arial" w:eastAsia="Times New Roman" w:hAnsi="Arial" w:cs="Arial"/>
                <w:color w:val="000000"/>
                <w:sz w:val="20"/>
                <w:szCs w:val="20"/>
                <w:lang w:eastAsia="en-GB"/>
              </w:rPr>
              <w:t xml:space="preserve"> the costs of claims with medical reports and non-recoverable legal costs. It has been assumed that 85 per cent of these savings will be passed to insurance policy holders in the form of reduced premiums. Policy holders will also benefit from lower Insurance Premium Tax. The net benefit to motor insurance premium holders is expected to be around £1.2bn per annum</w:t>
            </w:r>
            <w:r w:rsidR="00C91ED2">
              <w:rPr>
                <w:rFonts w:ascii="Arial" w:eastAsia="Times New Roman" w:hAnsi="Arial" w:cs="Arial"/>
                <w:color w:val="000000"/>
                <w:sz w:val="20"/>
                <w:szCs w:val="20"/>
                <w:lang w:eastAsia="en-GB"/>
              </w:rPr>
              <w:t>, inclusive of the reduction in Insurance Premium Tax</w:t>
            </w:r>
            <w:r w:rsidRPr="00D50928">
              <w:rPr>
                <w:rFonts w:ascii="Arial" w:eastAsia="Times New Roman" w:hAnsi="Arial" w:cs="Arial"/>
                <w:color w:val="000000"/>
                <w:sz w:val="20"/>
                <w:szCs w:val="20"/>
                <w:lang w:eastAsia="en-GB"/>
              </w:rPr>
              <w:t>.</w:t>
            </w:r>
          </w:p>
          <w:p w14:paraId="6B0E9947" w14:textId="77777777" w:rsidR="00D50928" w:rsidRPr="00D50928" w:rsidRDefault="00D50928" w:rsidP="00D50928">
            <w:pPr>
              <w:spacing w:after="0" w:line="240" w:lineRule="auto"/>
              <w:ind w:left="113" w:right="113"/>
              <w:rPr>
                <w:rFonts w:ascii="Arial" w:eastAsia="SimSun" w:hAnsi="Arial"/>
                <w:b/>
                <w:spacing w:val="-5"/>
                <w:sz w:val="20"/>
                <w:szCs w:val="20"/>
                <w:lang w:eastAsia="zh-CN"/>
              </w:rPr>
            </w:pPr>
          </w:p>
        </w:tc>
      </w:tr>
      <w:tr w:rsidR="00D50928" w:rsidRPr="00D50928" w14:paraId="5D8832EB" w14:textId="77777777" w:rsidTr="006C3EB3">
        <w:trPr>
          <w:trHeight w:hRule="exact" w:val="2079"/>
        </w:trPr>
        <w:tc>
          <w:tcPr>
            <w:tcW w:w="10235" w:type="dxa"/>
            <w:gridSpan w:val="6"/>
            <w:shd w:val="clear" w:color="auto" w:fill="auto"/>
          </w:tcPr>
          <w:p w14:paraId="71A87D7B" w14:textId="77777777" w:rsidR="00D50928" w:rsidRPr="00D50928" w:rsidRDefault="00D50928" w:rsidP="00D50928">
            <w:pPr>
              <w:spacing w:before="50" w:after="50" w:line="240" w:lineRule="auto"/>
              <w:ind w:left="113" w:right="113"/>
              <w:rPr>
                <w:rFonts w:ascii="Arial" w:eastAsia="SimSun" w:hAnsi="Arial"/>
                <w:b/>
                <w:spacing w:val="-5"/>
                <w:sz w:val="20"/>
                <w:lang w:eastAsia="zh-CN"/>
              </w:rPr>
            </w:pPr>
            <w:r w:rsidRPr="00D50928">
              <w:rPr>
                <w:rFonts w:ascii="Arial" w:eastAsia="SimSun" w:hAnsi="Arial"/>
                <w:b/>
                <w:spacing w:val="-5"/>
                <w:sz w:val="20"/>
                <w:szCs w:val="20"/>
                <w:lang w:eastAsia="zh-CN"/>
              </w:rPr>
              <w:t xml:space="preserve">Other key non-monetised benefits by ‘main affected groups’ </w:t>
            </w:r>
          </w:p>
          <w:p w14:paraId="67E2D350" w14:textId="77777777" w:rsidR="00D50928" w:rsidRPr="00D50928" w:rsidRDefault="00D50928" w:rsidP="00C7520F">
            <w:pPr>
              <w:autoSpaceDE w:val="0"/>
              <w:autoSpaceDN w:val="0"/>
              <w:spacing w:line="240" w:lineRule="atLeast"/>
              <w:ind w:left="113" w:right="113"/>
              <w:rPr>
                <w:rFonts w:ascii="Arial" w:hAnsi="Arial" w:cs="Arial"/>
                <w:sz w:val="20"/>
              </w:rPr>
            </w:pPr>
            <w:r w:rsidRPr="00D50928">
              <w:rPr>
                <w:rFonts w:ascii="Arial" w:hAnsi="Arial" w:cs="Arial"/>
                <w:sz w:val="20"/>
              </w:rPr>
              <w:t>Non-monetised benefits by the main affected groups are detailed in the individual IAs for each legislative measure and summarised in this IA. The reforms to the legal framework for setting the PIDR will give claimants and defendants greater certainty concerning future changes in the rate and benefit society through the</w:t>
            </w:r>
            <w:r w:rsidR="000332A7">
              <w:rPr>
                <w:rFonts w:ascii="Arial" w:hAnsi="Arial" w:cs="Arial"/>
                <w:sz w:val="20"/>
              </w:rPr>
              <w:t xml:space="preserve"> greater fairness of the new system and the </w:t>
            </w:r>
            <w:r w:rsidRPr="00D50928">
              <w:rPr>
                <w:rFonts w:ascii="Arial" w:hAnsi="Arial" w:cs="Arial"/>
                <w:sz w:val="20"/>
              </w:rPr>
              <w:t xml:space="preserve">additional expertise available to the Lord Chancellor </w:t>
            </w:r>
            <w:r w:rsidR="000332A7">
              <w:rPr>
                <w:rFonts w:ascii="Arial" w:hAnsi="Arial" w:cs="Arial"/>
                <w:sz w:val="20"/>
              </w:rPr>
              <w:t xml:space="preserve">from the expert panel </w:t>
            </w:r>
            <w:r w:rsidRPr="00D50928">
              <w:rPr>
                <w:rFonts w:ascii="Arial" w:hAnsi="Arial" w:cs="Arial"/>
                <w:sz w:val="20"/>
              </w:rPr>
              <w:t xml:space="preserve">when </w:t>
            </w:r>
            <w:r w:rsidR="000332A7">
              <w:rPr>
                <w:rFonts w:ascii="Arial" w:hAnsi="Arial" w:cs="Arial"/>
                <w:sz w:val="20"/>
              </w:rPr>
              <w:t>i</w:t>
            </w:r>
            <w:r w:rsidR="00094A79">
              <w:rPr>
                <w:rFonts w:ascii="Arial" w:hAnsi="Arial" w:cs="Arial"/>
                <w:sz w:val="20"/>
              </w:rPr>
              <w:t xml:space="preserve">t is consulted on </w:t>
            </w:r>
            <w:r w:rsidRPr="00D50928">
              <w:rPr>
                <w:rFonts w:ascii="Arial" w:hAnsi="Arial" w:cs="Arial"/>
                <w:sz w:val="20"/>
              </w:rPr>
              <w:t>setting the rate. Raising the SCT limit, as part of the Whiplash reforms</w:t>
            </w:r>
            <w:r w:rsidR="002B14AC">
              <w:rPr>
                <w:rFonts w:ascii="Arial" w:hAnsi="Arial" w:cs="Arial"/>
                <w:sz w:val="20"/>
              </w:rPr>
              <w:t>,</w:t>
            </w:r>
            <w:r w:rsidRPr="00D50928">
              <w:rPr>
                <w:rFonts w:ascii="Arial" w:hAnsi="Arial" w:cs="Arial"/>
                <w:sz w:val="20"/>
              </w:rPr>
              <w:t xml:space="preserve"> should reduce the cost to insurers of recoverable legal expenses in</w:t>
            </w:r>
            <w:r w:rsidR="00B70830">
              <w:rPr>
                <w:rFonts w:ascii="Arial" w:hAnsi="Arial" w:cs="Arial"/>
                <w:sz w:val="20"/>
              </w:rPr>
              <w:t xml:space="preserve"> </w:t>
            </w:r>
            <w:r w:rsidR="003E0CCE">
              <w:rPr>
                <w:rFonts w:ascii="Arial" w:hAnsi="Arial" w:cs="Arial"/>
                <w:sz w:val="20"/>
              </w:rPr>
              <w:t>PI</w:t>
            </w:r>
            <w:r w:rsidRPr="00D50928">
              <w:rPr>
                <w:rFonts w:ascii="Arial" w:hAnsi="Arial" w:cs="Arial"/>
                <w:sz w:val="20"/>
              </w:rPr>
              <w:t xml:space="preserve"> claims. The Whiplash reforms will also contribute to</w:t>
            </w:r>
            <w:r w:rsidR="002B14AC">
              <w:rPr>
                <w:rFonts w:ascii="Arial" w:hAnsi="Arial" w:cs="Arial"/>
                <w:sz w:val="20"/>
              </w:rPr>
              <w:t xml:space="preserve"> action to tackle</w:t>
            </w:r>
            <w:r w:rsidRPr="00D50928">
              <w:rPr>
                <w:rFonts w:ascii="Arial" w:hAnsi="Arial" w:cs="Arial"/>
                <w:sz w:val="20"/>
              </w:rPr>
              <w:t xml:space="preserve"> the wider ‘claims culture’ which surrounds such claims at present.</w:t>
            </w:r>
          </w:p>
          <w:p w14:paraId="03D1992E" w14:textId="77777777" w:rsidR="00D50928" w:rsidRPr="00D50928" w:rsidRDefault="00D50928" w:rsidP="00D50928">
            <w:pPr>
              <w:autoSpaceDE w:val="0"/>
              <w:autoSpaceDN w:val="0"/>
              <w:adjustRightInd w:val="0"/>
              <w:ind w:left="113" w:right="113"/>
              <w:rPr>
                <w:rFonts w:cs="Calibri"/>
                <w:sz w:val="18"/>
                <w:szCs w:val="18"/>
              </w:rPr>
            </w:pPr>
          </w:p>
          <w:p w14:paraId="1AEE2985" w14:textId="77777777" w:rsidR="00D50928" w:rsidRPr="00D50928" w:rsidRDefault="00D50928" w:rsidP="00D50928">
            <w:pPr>
              <w:autoSpaceDE w:val="0"/>
              <w:autoSpaceDN w:val="0"/>
              <w:adjustRightInd w:val="0"/>
              <w:rPr>
                <w:rFonts w:cs="Calibri"/>
                <w:sz w:val="18"/>
                <w:szCs w:val="18"/>
              </w:rPr>
            </w:pPr>
          </w:p>
          <w:p w14:paraId="3DBB8272" w14:textId="77777777" w:rsidR="00D50928" w:rsidRPr="00D50928" w:rsidRDefault="00D50928" w:rsidP="00D50928">
            <w:pPr>
              <w:spacing w:after="0" w:line="240" w:lineRule="auto"/>
              <w:ind w:left="113" w:right="113"/>
              <w:rPr>
                <w:rFonts w:ascii="Arial" w:eastAsia="SimSun" w:hAnsi="Arial"/>
                <w:color w:val="000000"/>
                <w:spacing w:val="-5"/>
                <w:sz w:val="20"/>
                <w:szCs w:val="20"/>
                <w:lang w:eastAsia="zh-CN"/>
              </w:rPr>
            </w:pPr>
          </w:p>
        </w:tc>
      </w:tr>
      <w:tr w:rsidR="00D50928" w:rsidRPr="00D50928" w14:paraId="7CC3AA5C" w14:textId="77777777" w:rsidTr="006C3EB3">
        <w:trPr>
          <w:trHeight w:hRule="exact" w:val="381"/>
        </w:trPr>
        <w:tc>
          <w:tcPr>
            <w:tcW w:w="9375" w:type="dxa"/>
            <w:gridSpan w:val="5"/>
            <w:tcBorders>
              <w:top w:val="single" w:sz="6" w:space="0" w:color="auto"/>
              <w:bottom w:val="nil"/>
            </w:tcBorders>
            <w:shd w:val="clear" w:color="auto" w:fill="auto"/>
          </w:tcPr>
          <w:p w14:paraId="4D16439A" w14:textId="77777777" w:rsidR="00D50928" w:rsidRPr="00D50928" w:rsidRDefault="00D50928" w:rsidP="00D50928">
            <w:pPr>
              <w:tabs>
                <w:tab w:val="left" w:pos="7655"/>
              </w:tabs>
              <w:spacing w:before="50" w:after="5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Key assumptions/sensitivities/risks     </w:t>
            </w:r>
            <w:r w:rsidRPr="00D50928">
              <w:rPr>
                <w:rFonts w:ascii="Arial" w:eastAsia="SimSun" w:hAnsi="Arial"/>
                <w:color w:val="000000"/>
                <w:spacing w:val="-5"/>
                <w:sz w:val="20"/>
                <w:szCs w:val="20"/>
                <w:lang w:eastAsia="zh-CN"/>
              </w:rPr>
              <w:t xml:space="preserve">                                                                        </w:t>
            </w:r>
            <w:r w:rsidRPr="00D50928">
              <w:rPr>
                <w:rFonts w:ascii="Arial" w:eastAsia="SimSun" w:hAnsi="Arial"/>
                <w:b/>
                <w:color w:val="000000"/>
                <w:spacing w:val="-5"/>
                <w:sz w:val="20"/>
                <w:szCs w:val="20"/>
                <w:lang w:eastAsia="zh-CN"/>
              </w:rPr>
              <w:t>Discount rate (%)</w:t>
            </w:r>
          </w:p>
          <w:p w14:paraId="6A2C49CD" w14:textId="77777777" w:rsidR="00D50928" w:rsidRPr="00D50928" w:rsidRDefault="00D50928" w:rsidP="00D50928">
            <w:pPr>
              <w:rPr>
                <w:b/>
              </w:rPr>
            </w:pPr>
          </w:p>
        </w:tc>
        <w:tc>
          <w:tcPr>
            <w:tcW w:w="860" w:type="dxa"/>
            <w:tcBorders>
              <w:top w:val="single" w:sz="6" w:space="0" w:color="auto"/>
              <w:bottom w:val="single" w:sz="4" w:space="0" w:color="auto"/>
            </w:tcBorders>
            <w:shd w:val="clear" w:color="auto" w:fill="auto"/>
          </w:tcPr>
          <w:p w14:paraId="40183C07" w14:textId="77777777" w:rsidR="00D50928" w:rsidRPr="00D50928" w:rsidRDefault="00D50928" w:rsidP="00D50928">
            <w:pPr>
              <w:spacing w:before="50" w:after="50" w:line="240" w:lineRule="auto"/>
              <w:ind w:right="113"/>
              <w:jc w:val="center"/>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3.5</w:t>
            </w:r>
          </w:p>
        </w:tc>
      </w:tr>
      <w:tr w:rsidR="00D50928" w:rsidRPr="00D50928" w14:paraId="673FA1C3" w14:textId="77777777" w:rsidTr="006135B9">
        <w:trPr>
          <w:trHeight w:hRule="exact" w:val="997"/>
        </w:trPr>
        <w:tc>
          <w:tcPr>
            <w:tcW w:w="10235" w:type="dxa"/>
            <w:gridSpan w:val="6"/>
            <w:tcBorders>
              <w:top w:val="nil"/>
              <w:bottom w:val="single" w:sz="12" w:space="0" w:color="auto"/>
            </w:tcBorders>
            <w:shd w:val="clear" w:color="auto" w:fill="auto"/>
          </w:tcPr>
          <w:p w14:paraId="796B991C" w14:textId="77777777" w:rsidR="00D50928" w:rsidRPr="00D50928" w:rsidRDefault="00D50928" w:rsidP="00C7520F">
            <w:pPr>
              <w:autoSpaceDE w:val="0"/>
              <w:autoSpaceDN w:val="0"/>
              <w:adjustRightInd w:val="0"/>
              <w:spacing w:after="0" w:line="240" w:lineRule="atLeast"/>
              <w:ind w:left="113" w:right="170"/>
              <w:rPr>
                <w:rFonts w:ascii="Arial" w:eastAsia="Times New Roman" w:hAnsi="Arial" w:cs="Arial"/>
                <w:color w:val="000000"/>
                <w:sz w:val="24"/>
                <w:szCs w:val="24"/>
                <w:lang w:eastAsia="en-GB"/>
              </w:rPr>
            </w:pPr>
            <w:r w:rsidRPr="00D50928">
              <w:rPr>
                <w:rFonts w:ascii="Arial" w:eastAsia="Times New Roman" w:hAnsi="Arial" w:cs="Arial"/>
                <w:color w:val="000000"/>
                <w:sz w:val="20"/>
                <w:szCs w:val="20"/>
                <w:lang w:eastAsia="en-GB"/>
              </w:rPr>
              <w:t xml:space="preserve">The monetised and non-monetised costs and benefits are based on the key assumptions outlined in the individual IAs which also contain a breakdown of the costs and benefits of each measure in further detail. The NPV each measure, where estimated, is presented in Tables 1and 2 below. Each of these estimates are subject to risks and uncertainties which are described and, where possible, quantified in the individual IAs. </w:t>
            </w:r>
          </w:p>
          <w:p w14:paraId="2FDDB398" w14:textId="77777777" w:rsidR="00D50928" w:rsidRPr="00D50928" w:rsidRDefault="00D50928" w:rsidP="00D50928">
            <w:pPr>
              <w:ind w:left="113" w:right="113"/>
              <w:rPr>
                <w:b/>
                <w:sz w:val="20"/>
                <w:szCs w:val="20"/>
              </w:rPr>
            </w:pPr>
          </w:p>
        </w:tc>
      </w:tr>
    </w:tbl>
    <w:p w14:paraId="0F2DA3FD" w14:textId="77777777" w:rsidR="00D50928" w:rsidRPr="00D50928" w:rsidRDefault="00D50928" w:rsidP="00D50928">
      <w:pPr>
        <w:spacing w:after="0" w:line="80" w:lineRule="exact"/>
        <w:rPr>
          <w:rFonts w:ascii="Arial" w:eastAsia="SimSun" w:hAnsi="Arial"/>
          <w:szCs w:val="24"/>
          <w:lang w:eastAsia="zh-CN"/>
        </w:rPr>
      </w:pPr>
    </w:p>
    <w:p w14:paraId="64F8D4D5" w14:textId="77777777" w:rsidR="00D50928" w:rsidRPr="00D50928" w:rsidRDefault="00D50928" w:rsidP="006C3EB3">
      <w:pPr>
        <w:spacing w:after="50" w:line="240" w:lineRule="auto"/>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BUSINESS ASSESSMENT (Option </w:t>
      </w:r>
      <w:r w:rsidRPr="00D50928">
        <w:rPr>
          <w:rFonts w:ascii="Arial" w:eastAsia="SimSun" w:hAnsi="Arial"/>
          <w:b/>
          <w:color w:val="000000"/>
          <w:spacing w:val="-5"/>
          <w:sz w:val="20"/>
          <w:szCs w:val="20"/>
          <w:lang w:eastAsia="zh-CN"/>
        </w:rPr>
        <w:fldChar w:fldCharType="begin"/>
      </w:r>
      <w:r w:rsidRPr="00D50928">
        <w:rPr>
          <w:rFonts w:ascii="Arial" w:eastAsia="SimSun" w:hAnsi="Arial"/>
          <w:b/>
          <w:color w:val="000000"/>
          <w:spacing w:val="-5"/>
          <w:sz w:val="20"/>
          <w:szCs w:val="20"/>
          <w:lang w:eastAsia="zh-CN"/>
        </w:rPr>
        <w:instrText xml:space="preserve"> SEQ BA </w:instrText>
      </w:r>
      <w:r w:rsidRPr="00D50928">
        <w:rPr>
          <w:rFonts w:ascii="Arial" w:eastAsia="SimSun" w:hAnsi="Arial"/>
          <w:b/>
          <w:color w:val="000000"/>
          <w:spacing w:val="-5"/>
          <w:sz w:val="20"/>
          <w:szCs w:val="20"/>
          <w:lang w:eastAsia="zh-CN"/>
        </w:rPr>
        <w:fldChar w:fldCharType="separate"/>
      </w:r>
      <w:r w:rsidR="002B4ADE">
        <w:rPr>
          <w:rFonts w:ascii="Arial" w:eastAsia="SimSun" w:hAnsi="Arial"/>
          <w:b/>
          <w:noProof/>
          <w:color w:val="000000"/>
          <w:spacing w:val="-5"/>
          <w:sz w:val="20"/>
          <w:szCs w:val="20"/>
          <w:lang w:eastAsia="zh-CN"/>
        </w:rPr>
        <w:t>1</w:t>
      </w:r>
      <w:r w:rsidRPr="00D50928">
        <w:rPr>
          <w:rFonts w:ascii="Arial" w:eastAsia="SimSun" w:hAnsi="Arial"/>
          <w:b/>
          <w:noProof/>
          <w:color w:val="000000"/>
          <w:spacing w:val="-5"/>
          <w:sz w:val="20"/>
          <w:szCs w:val="20"/>
          <w:lang w:eastAsia="zh-CN"/>
        </w:rPr>
        <w:fldChar w:fldCharType="end"/>
      </w:r>
      <w:r w:rsidRPr="00D50928">
        <w:rPr>
          <w:rFonts w:ascii="Arial" w:eastAsia="SimSun" w:hAnsi="Arial"/>
          <w:b/>
          <w:color w:val="000000"/>
          <w:spacing w:val="-5"/>
          <w:sz w:val="20"/>
          <w:szCs w:val="20"/>
          <w:lang w:eastAsia="zh-CN"/>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4"/>
        <w:gridCol w:w="1839"/>
        <w:gridCol w:w="1698"/>
        <w:gridCol w:w="4814"/>
      </w:tblGrid>
      <w:tr w:rsidR="00D50928" w:rsidRPr="00D50928" w14:paraId="7A599ABF" w14:textId="77777777" w:rsidTr="006135B9">
        <w:trPr>
          <w:trHeight w:hRule="exact" w:val="384"/>
        </w:trPr>
        <w:tc>
          <w:tcPr>
            <w:tcW w:w="5392" w:type="dxa"/>
            <w:gridSpan w:val="3"/>
            <w:tcBorders>
              <w:top w:val="single" w:sz="4" w:space="0" w:color="auto"/>
              <w:bottom w:val="nil"/>
              <w:right w:val="single" w:sz="4" w:space="0" w:color="auto"/>
            </w:tcBorders>
          </w:tcPr>
          <w:p w14:paraId="3909EADD" w14:textId="77777777" w:rsidR="00D50928" w:rsidRPr="00D50928" w:rsidRDefault="00D50928" w:rsidP="006C3EB3">
            <w:pPr>
              <w:spacing w:before="50" w:after="0" w:line="240" w:lineRule="auto"/>
              <w:ind w:left="113" w:right="113"/>
              <w:rPr>
                <w:rFonts w:ascii="Arial" w:eastAsia="SimSun" w:hAnsi="Arial"/>
                <w:color w:val="000000"/>
                <w:spacing w:val="-5"/>
                <w:sz w:val="20"/>
                <w:szCs w:val="20"/>
                <w:lang w:eastAsia="zh-CN"/>
              </w:rPr>
            </w:pPr>
            <w:r w:rsidRPr="00D50928">
              <w:rPr>
                <w:rFonts w:ascii="Arial" w:eastAsia="SimSun" w:hAnsi="Arial"/>
                <w:b/>
                <w:color w:val="000000"/>
                <w:spacing w:val="-5"/>
                <w:sz w:val="20"/>
                <w:szCs w:val="20"/>
                <w:lang w:eastAsia="zh-CN"/>
              </w:rPr>
              <w:t>Direct impact on business (Equivalent Annual) £m:</w:t>
            </w:r>
          </w:p>
        </w:tc>
        <w:tc>
          <w:tcPr>
            <w:tcW w:w="4823" w:type="dxa"/>
            <w:vMerge w:val="restart"/>
            <w:tcBorders>
              <w:top w:val="single" w:sz="4" w:space="0" w:color="auto"/>
              <w:left w:val="single" w:sz="4" w:space="0" w:color="auto"/>
              <w:right w:val="single" w:sz="4" w:space="0" w:color="auto"/>
            </w:tcBorders>
          </w:tcPr>
          <w:p w14:paraId="4C83E0F3" w14:textId="77777777" w:rsidR="00D50928" w:rsidRPr="00D50928" w:rsidRDefault="00D50928" w:rsidP="006C3EB3">
            <w:pPr>
              <w:spacing w:before="50" w:after="0" w:line="240" w:lineRule="auto"/>
              <w:ind w:left="113" w:right="113"/>
              <w:rPr>
                <w:rFonts w:ascii="Arial" w:eastAsia="SimSun" w:hAnsi="Arial"/>
                <w:color w:val="000000"/>
                <w:spacing w:val="-5"/>
                <w:sz w:val="20"/>
                <w:szCs w:val="20"/>
                <w:lang w:eastAsia="zh-CN"/>
              </w:rPr>
            </w:pPr>
            <w:r w:rsidRPr="00D50928">
              <w:rPr>
                <w:rFonts w:ascii="Arial" w:eastAsia="SimSun" w:hAnsi="Arial"/>
                <w:b/>
                <w:color w:val="000000"/>
                <w:spacing w:val="-5"/>
                <w:sz w:val="20"/>
                <w:szCs w:val="20"/>
                <w:lang w:eastAsia="zh-CN"/>
              </w:rPr>
              <w:t xml:space="preserve">Score for Business Impact Target (qualifying provisions only) £m: </w:t>
            </w:r>
            <w:r w:rsidRPr="00D50928">
              <w:rPr>
                <w:rFonts w:ascii="Arial" w:eastAsia="SimSun" w:hAnsi="Arial"/>
                <w:color w:val="000000"/>
                <w:spacing w:val="-5"/>
                <w:sz w:val="20"/>
                <w:szCs w:val="20"/>
                <w:lang w:eastAsia="zh-CN"/>
              </w:rPr>
              <w:t>-£6</w:t>
            </w:r>
            <w:r w:rsidR="00111325">
              <w:rPr>
                <w:rFonts w:ascii="Arial" w:eastAsia="SimSun" w:hAnsi="Arial"/>
                <w:color w:val="000000"/>
                <w:spacing w:val="-5"/>
                <w:sz w:val="20"/>
                <w:szCs w:val="20"/>
                <w:lang w:eastAsia="zh-CN"/>
              </w:rPr>
              <w:t>4</w:t>
            </w:r>
            <w:r w:rsidRPr="00D50928">
              <w:rPr>
                <w:rFonts w:ascii="Arial" w:eastAsia="SimSun" w:hAnsi="Arial"/>
                <w:color w:val="000000"/>
                <w:spacing w:val="-5"/>
                <w:sz w:val="20"/>
                <w:szCs w:val="20"/>
                <w:lang w:eastAsia="zh-CN"/>
              </w:rPr>
              <w:t>0m</w:t>
            </w:r>
          </w:p>
        </w:tc>
      </w:tr>
      <w:tr w:rsidR="00D50928" w:rsidRPr="00D50928" w14:paraId="4AA091AD" w14:textId="77777777" w:rsidTr="006C3EB3">
        <w:trPr>
          <w:trHeight w:hRule="exact" w:val="172"/>
        </w:trPr>
        <w:tc>
          <w:tcPr>
            <w:tcW w:w="1848" w:type="dxa"/>
            <w:vMerge w:val="restart"/>
            <w:tcBorders>
              <w:top w:val="nil"/>
              <w:right w:val="single" w:sz="4" w:space="0" w:color="auto"/>
            </w:tcBorders>
            <w:shd w:val="clear" w:color="auto" w:fill="FFFFFF"/>
          </w:tcPr>
          <w:p w14:paraId="5A9294BC" w14:textId="77777777" w:rsidR="00D50928" w:rsidRPr="00D50928" w:rsidRDefault="00D50928" w:rsidP="006C3EB3">
            <w:pPr>
              <w:spacing w:before="50" w:after="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Costs: </w:t>
            </w:r>
            <w:r w:rsidRPr="00D50928">
              <w:rPr>
                <w:rFonts w:ascii="Arial" w:eastAsia="SimSun" w:hAnsi="Arial"/>
                <w:color w:val="000000"/>
                <w:spacing w:val="-5"/>
                <w:sz w:val="20"/>
                <w:szCs w:val="20"/>
                <w:lang w:eastAsia="zh-CN"/>
              </w:rPr>
              <w:t>£110m</w:t>
            </w:r>
          </w:p>
        </w:tc>
        <w:tc>
          <w:tcPr>
            <w:tcW w:w="1843" w:type="dxa"/>
            <w:vMerge w:val="restart"/>
            <w:tcBorders>
              <w:top w:val="nil"/>
              <w:right w:val="single" w:sz="4" w:space="0" w:color="auto"/>
            </w:tcBorders>
            <w:shd w:val="clear" w:color="auto" w:fill="FFFFFF"/>
          </w:tcPr>
          <w:p w14:paraId="4460DA2C" w14:textId="77777777" w:rsidR="00D50928" w:rsidRPr="00D50928" w:rsidRDefault="00D50928" w:rsidP="006C3EB3">
            <w:pPr>
              <w:spacing w:before="50" w:after="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Benefits: </w:t>
            </w:r>
            <w:r w:rsidRPr="00D50928">
              <w:rPr>
                <w:rFonts w:ascii="Arial" w:eastAsia="SimSun" w:hAnsi="Arial"/>
                <w:color w:val="000000"/>
                <w:spacing w:val="-5"/>
                <w:sz w:val="20"/>
                <w:szCs w:val="20"/>
                <w:lang w:eastAsia="zh-CN"/>
              </w:rPr>
              <w:t>£7</w:t>
            </w:r>
            <w:r w:rsidR="00111325">
              <w:rPr>
                <w:rFonts w:ascii="Arial" w:eastAsia="SimSun" w:hAnsi="Arial"/>
                <w:color w:val="000000"/>
                <w:spacing w:val="-5"/>
                <w:sz w:val="20"/>
                <w:szCs w:val="20"/>
                <w:lang w:eastAsia="zh-CN"/>
              </w:rPr>
              <w:t>6</w:t>
            </w:r>
            <w:r w:rsidRPr="00D50928">
              <w:rPr>
                <w:rFonts w:ascii="Arial" w:eastAsia="SimSun" w:hAnsi="Arial"/>
                <w:color w:val="000000"/>
                <w:spacing w:val="-5"/>
                <w:sz w:val="20"/>
                <w:szCs w:val="20"/>
                <w:lang w:eastAsia="zh-CN"/>
              </w:rPr>
              <w:t>0m</w:t>
            </w:r>
          </w:p>
        </w:tc>
        <w:tc>
          <w:tcPr>
            <w:tcW w:w="1701" w:type="dxa"/>
            <w:vMerge w:val="restart"/>
            <w:tcBorders>
              <w:top w:val="nil"/>
              <w:right w:val="single" w:sz="4" w:space="0" w:color="auto"/>
            </w:tcBorders>
            <w:shd w:val="clear" w:color="auto" w:fill="FFFFFF"/>
          </w:tcPr>
          <w:p w14:paraId="529E96B6" w14:textId="77777777" w:rsidR="00D50928" w:rsidRPr="00D50928" w:rsidRDefault="00D50928" w:rsidP="006C3EB3">
            <w:pPr>
              <w:spacing w:before="50" w:after="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t xml:space="preserve">Net: </w:t>
            </w:r>
            <w:r w:rsidRPr="00D50928">
              <w:rPr>
                <w:rFonts w:ascii="Arial" w:eastAsia="SimSun" w:hAnsi="Arial"/>
                <w:color w:val="000000"/>
                <w:spacing w:val="-5"/>
                <w:sz w:val="20"/>
                <w:szCs w:val="20"/>
                <w:lang w:eastAsia="zh-CN"/>
              </w:rPr>
              <w:t>£6</w:t>
            </w:r>
            <w:r w:rsidR="00111325">
              <w:rPr>
                <w:rFonts w:ascii="Arial" w:eastAsia="SimSun" w:hAnsi="Arial"/>
                <w:color w:val="000000"/>
                <w:spacing w:val="-5"/>
                <w:sz w:val="20"/>
                <w:szCs w:val="20"/>
                <w:lang w:eastAsia="zh-CN"/>
              </w:rPr>
              <w:t>4</w:t>
            </w:r>
            <w:r w:rsidRPr="00D50928">
              <w:rPr>
                <w:rFonts w:ascii="Arial" w:eastAsia="SimSun" w:hAnsi="Arial"/>
                <w:color w:val="000000"/>
                <w:spacing w:val="-5"/>
                <w:sz w:val="20"/>
                <w:szCs w:val="20"/>
                <w:lang w:eastAsia="zh-CN"/>
              </w:rPr>
              <w:t>0m</w:t>
            </w:r>
          </w:p>
        </w:tc>
        <w:tc>
          <w:tcPr>
            <w:tcW w:w="4823" w:type="dxa"/>
            <w:vMerge/>
            <w:tcBorders>
              <w:left w:val="single" w:sz="4" w:space="0" w:color="auto"/>
              <w:bottom w:val="single" w:sz="4" w:space="0" w:color="auto"/>
              <w:right w:val="single" w:sz="4" w:space="0" w:color="auto"/>
            </w:tcBorders>
            <w:shd w:val="clear" w:color="auto" w:fill="FFFFFF"/>
          </w:tcPr>
          <w:p w14:paraId="29089DF5" w14:textId="77777777" w:rsidR="00D50928" w:rsidRPr="00D50928" w:rsidRDefault="00D50928" w:rsidP="006C3EB3">
            <w:pPr>
              <w:spacing w:before="50" w:after="0" w:line="240" w:lineRule="auto"/>
              <w:ind w:left="113" w:right="113"/>
              <w:rPr>
                <w:rFonts w:ascii="Arial" w:eastAsia="SimSun" w:hAnsi="Arial"/>
                <w:b/>
                <w:color w:val="000000"/>
                <w:spacing w:val="-5"/>
                <w:sz w:val="20"/>
                <w:szCs w:val="20"/>
                <w:lang w:eastAsia="zh-CN"/>
              </w:rPr>
            </w:pPr>
          </w:p>
        </w:tc>
      </w:tr>
      <w:tr w:rsidR="00D50928" w:rsidRPr="00D50928" w14:paraId="7A4A852B" w14:textId="77777777" w:rsidTr="006135B9">
        <w:trPr>
          <w:trHeight w:hRule="exact" w:val="340"/>
        </w:trPr>
        <w:tc>
          <w:tcPr>
            <w:tcW w:w="1848" w:type="dxa"/>
            <w:vMerge/>
            <w:tcBorders>
              <w:bottom w:val="single" w:sz="4" w:space="0" w:color="auto"/>
              <w:right w:val="single" w:sz="4" w:space="0" w:color="auto"/>
            </w:tcBorders>
            <w:shd w:val="clear" w:color="auto" w:fill="FFFFFF"/>
          </w:tcPr>
          <w:p w14:paraId="0D01733E" w14:textId="77777777" w:rsidR="00D50928" w:rsidRPr="00D50928" w:rsidRDefault="00D50928" w:rsidP="001A34B7">
            <w:pPr>
              <w:spacing w:before="50" w:after="0" w:line="240" w:lineRule="auto"/>
              <w:ind w:left="113" w:right="113"/>
              <w:rPr>
                <w:rFonts w:ascii="Arial" w:eastAsia="SimSun" w:hAnsi="Arial"/>
                <w:b/>
                <w:color w:val="000000"/>
                <w:spacing w:val="-5"/>
                <w:sz w:val="20"/>
                <w:szCs w:val="20"/>
                <w:lang w:eastAsia="zh-CN"/>
              </w:rPr>
            </w:pPr>
          </w:p>
        </w:tc>
        <w:tc>
          <w:tcPr>
            <w:tcW w:w="1843" w:type="dxa"/>
            <w:vMerge/>
            <w:tcBorders>
              <w:bottom w:val="single" w:sz="4" w:space="0" w:color="auto"/>
              <w:right w:val="single" w:sz="4" w:space="0" w:color="auto"/>
            </w:tcBorders>
            <w:shd w:val="clear" w:color="auto" w:fill="FFFFFF"/>
          </w:tcPr>
          <w:p w14:paraId="0BAEB964" w14:textId="77777777" w:rsidR="00D50928" w:rsidRPr="00D50928" w:rsidRDefault="00D50928" w:rsidP="001A34B7">
            <w:pPr>
              <w:spacing w:before="50" w:after="0" w:line="240" w:lineRule="auto"/>
              <w:ind w:left="113" w:right="113"/>
              <w:rPr>
                <w:rFonts w:ascii="Arial" w:eastAsia="SimSun" w:hAnsi="Arial"/>
                <w:b/>
                <w:color w:val="000000"/>
                <w:spacing w:val="-5"/>
                <w:sz w:val="20"/>
                <w:szCs w:val="20"/>
                <w:lang w:eastAsia="zh-CN"/>
              </w:rPr>
            </w:pPr>
          </w:p>
        </w:tc>
        <w:tc>
          <w:tcPr>
            <w:tcW w:w="1701" w:type="dxa"/>
            <w:vMerge/>
            <w:tcBorders>
              <w:bottom w:val="single" w:sz="4" w:space="0" w:color="auto"/>
              <w:right w:val="single" w:sz="4" w:space="0" w:color="auto"/>
            </w:tcBorders>
            <w:shd w:val="clear" w:color="auto" w:fill="FFFFFF"/>
          </w:tcPr>
          <w:p w14:paraId="490AD6B8" w14:textId="77777777" w:rsidR="00D50928" w:rsidRPr="00D50928" w:rsidRDefault="00D50928" w:rsidP="001A34B7">
            <w:pPr>
              <w:spacing w:before="50" w:after="0" w:line="240" w:lineRule="auto"/>
              <w:ind w:left="113" w:right="113"/>
              <w:rPr>
                <w:rFonts w:ascii="Arial" w:eastAsia="SimSun" w:hAnsi="Arial"/>
                <w:b/>
                <w:color w:val="000000"/>
                <w:spacing w:val="-5"/>
                <w:sz w:val="20"/>
                <w:szCs w:val="20"/>
                <w:lang w:eastAsia="zh-CN"/>
              </w:rPr>
            </w:pPr>
          </w:p>
        </w:tc>
        <w:tc>
          <w:tcPr>
            <w:tcW w:w="4823" w:type="dxa"/>
            <w:tcBorders>
              <w:top w:val="nil"/>
              <w:left w:val="single" w:sz="4" w:space="0" w:color="auto"/>
              <w:bottom w:val="single" w:sz="4" w:space="0" w:color="auto"/>
              <w:right w:val="single" w:sz="4" w:space="0" w:color="auto"/>
            </w:tcBorders>
            <w:shd w:val="clear" w:color="auto" w:fill="FFFFFF"/>
          </w:tcPr>
          <w:p w14:paraId="3FDC1CD2" w14:textId="77777777" w:rsidR="00D50928" w:rsidRPr="00D50928" w:rsidRDefault="00D50928" w:rsidP="001A34B7">
            <w:pPr>
              <w:spacing w:before="50" w:after="0" w:line="240" w:lineRule="auto"/>
              <w:ind w:left="113" w:right="113"/>
              <w:rPr>
                <w:rFonts w:ascii="Arial" w:eastAsia="SimSun" w:hAnsi="Arial"/>
                <w:b/>
                <w:color w:val="000000"/>
                <w:spacing w:val="-5"/>
                <w:sz w:val="20"/>
                <w:szCs w:val="20"/>
                <w:lang w:eastAsia="zh-CN"/>
              </w:rPr>
            </w:pPr>
            <w:r w:rsidRPr="00D50928">
              <w:rPr>
                <w:rFonts w:ascii="Arial" w:eastAsia="SimSun" w:hAnsi="Arial"/>
                <w:b/>
                <w:color w:val="000000"/>
                <w:spacing w:val="-5"/>
                <w:sz w:val="20"/>
                <w:szCs w:val="20"/>
                <w:lang w:eastAsia="zh-CN"/>
              </w:rPr>
              <w:fldChar w:fldCharType="begin">
                <w:ffData>
                  <w:name w:val="Text71"/>
                  <w:enabled/>
                  <w:calcOnExit w:val="0"/>
                  <w:textInput/>
                </w:ffData>
              </w:fldChar>
            </w:r>
            <w:r w:rsidRPr="00D50928">
              <w:rPr>
                <w:rFonts w:ascii="Arial" w:eastAsia="SimSun" w:hAnsi="Arial"/>
                <w:color w:val="000000"/>
                <w:spacing w:val="-5"/>
                <w:sz w:val="20"/>
                <w:szCs w:val="20"/>
                <w:lang w:eastAsia="zh-CN"/>
              </w:rPr>
              <w:instrText xml:space="preserve"> FORMTEXT </w:instrText>
            </w:r>
            <w:r w:rsidRPr="00D50928">
              <w:rPr>
                <w:rFonts w:ascii="Arial" w:eastAsia="SimSun" w:hAnsi="Arial"/>
                <w:b/>
                <w:color w:val="000000"/>
                <w:spacing w:val="-5"/>
                <w:sz w:val="20"/>
                <w:szCs w:val="20"/>
                <w:lang w:eastAsia="zh-CN"/>
              </w:rPr>
            </w:r>
            <w:r w:rsidRPr="00D50928">
              <w:rPr>
                <w:rFonts w:ascii="Arial" w:eastAsia="SimSun" w:hAnsi="Arial"/>
                <w:b/>
                <w:color w:val="000000"/>
                <w:spacing w:val="-5"/>
                <w:sz w:val="20"/>
                <w:szCs w:val="20"/>
                <w:lang w:eastAsia="zh-CN"/>
              </w:rPr>
              <w:fldChar w:fldCharType="separate"/>
            </w:r>
            <w:r w:rsidRPr="00D50928">
              <w:rPr>
                <w:rFonts w:ascii="Arial" w:eastAsia="SimSun" w:hAnsi="Arial"/>
                <w:noProof/>
                <w:color w:val="000000"/>
                <w:spacing w:val="-5"/>
                <w:sz w:val="20"/>
                <w:szCs w:val="20"/>
                <w:lang w:eastAsia="zh-CN"/>
              </w:rPr>
              <w:t> </w:t>
            </w:r>
            <w:r w:rsidRPr="00D50928">
              <w:rPr>
                <w:rFonts w:ascii="Arial" w:eastAsia="SimSun" w:hAnsi="Arial"/>
                <w:noProof/>
                <w:color w:val="000000"/>
                <w:spacing w:val="-5"/>
                <w:sz w:val="20"/>
                <w:szCs w:val="20"/>
                <w:lang w:eastAsia="zh-CN"/>
              </w:rPr>
              <w:t> </w:t>
            </w:r>
            <w:r w:rsidRPr="00D50928">
              <w:rPr>
                <w:rFonts w:ascii="Arial" w:eastAsia="SimSun" w:hAnsi="Arial"/>
                <w:noProof/>
                <w:color w:val="000000"/>
                <w:spacing w:val="-5"/>
                <w:sz w:val="20"/>
                <w:szCs w:val="20"/>
                <w:lang w:eastAsia="zh-CN"/>
              </w:rPr>
              <w:t> </w:t>
            </w:r>
            <w:r w:rsidRPr="00D50928">
              <w:rPr>
                <w:rFonts w:ascii="Arial" w:eastAsia="SimSun" w:hAnsi="Arial"/>
                <w:noProof/>
                <w:color w:val="000000"/>
                <w:spacing w:val="-5"/>
                <w:sz w:val="20"/>
                <w:szCs w:val="20"/>
                <w:lang w:eastAsia="zh-CN"/>
              </w:rPr>
              <w:t> </w:t>
            </w:r>
            <w:r w:rsidRPr="00D50928">
              <w:rPr>
                <w:rFonts w:ascii="Arial" w:eastAsia="SimSun" w:hAnsi="Arial"/>
                <w:noProof/>
                <w:color w:val="000000"/>
                <w:spacing w:val="-5"/>
                <w:sz w:val="20"/>
                <w:szCs w:val="20"/>
                <w:lang w:eastAsia="zh-CN"/>
              </w:rPr>
              <w:t> </w:t>
            </w:r>
            <w:r w:rsidRPr="00D50928">
              <w:rPr>
                <w:rFonts w:ascii="Arial" w:eastAsia="SimSun" w:hAnsi="Arial"/>
                <w:b/>
                <w:color w:val="000000"/>
                <w:spacing w:val="-5"/>
                <w:sz w:val="20"/>
                <w:szCs w:val="20"/>
                <w:lang w:eastAsia="zh-CN"/>
              </w:rPr>
              <w:fldChar w:fldCharType="end"/>
            </w:r>
          </w:p>
        </w:tc>
      </w:tr>
    </w:tbl>
    <w:p w14:paraId="17E3BD82" w14:textId="77777777" w:rsidR="00547BB1" w:rsidRDefault="00547BB1" w:rsidP="00547BB1">
      <w:pPr>
        <w:pStyle w:val="Heading1"/>
        <w:spacing w:before="0"/>
        <w:sectPr w:rsidR="00547BB1" w:rsidSect="00547BB1">
          <w:headerReference w:type="default" r:id="rId10"/>
          <w:footerReference w:type="default" r:id="rId11"/>
          <w:footnotePr>
            <w:numRestart w:val="eachSect"/>
          </w:footnotePr>
          <w:pgSz w:w="11907" w:h="16840" w:code="9"/>
          <w:pgMar w:top="680" w:right="851" w:bottom="680" w:left="851" w:header="284" w:footer="284" w:gutter="0"/>
          <w:cols w:space="708"/>
          <w:docGrid w:linePitch="360"/>
        </w:sectPr>
      </w:pPr>
    </w:p>
    <w:p w14:paraId="16E9D382" w14:textId="77777777" w:rsidR="00547BB1" w:rsidRDefault="00547BB1" w:rsidP="00547BB1">
      <w:pPr>
        <w:pStyle w:val="Heading1"/>
        <w:spacing w:before="0"/>
      </w:pPr>
    </w:p>
    <w:p w14:paraId="2363ED4F" w14:textId="77777777" w:rsidR="00BB1D9A" w:rsidRPr="005F5F27" w:rsidRDefault="00BB1D9A" w:rsidP="00664337">
      <w:pPr>
        <w:pStyle w:val="Heading1"/>
        <w:spacing w:before="0"/>
      </w:pPr>
    </w:p>
    <w:p w14:paraId="4B93A353" w14:textId="77777777" w:rsidR="00BB1D9A" w:rsidRPr="005F5F27" w:rsidRDefault="00BB1D9A" w:rsidP="00664337">
      <w:pPr>
        <w:pStyle w:val="Heading1"/>
        <w:spacing w:before="0"/>
      </w:pPr>
    </w:p>
    <w:p w14:paraId="79ED86C2" w14:textId="77777777" w:rsidR="00BB1D9A" w:rsidRPr="005F5F27" w:rsidRDefault="00BB1D9A" w:rsidP="00664337">
      <w:pPr>
        <w:pStyle w:val="Heading1"/>
        <w:spacing w:before="0"/>
      </w:pPr>
    </w:p>
    <w:p w14:paraId="2857B7FD" w14:textId="77777777" w:rsidR="00BB1D9A" w:rsidRPr="005F5F27" w:rsidRDefault="00BB1D9A" w:rsidP="00664337">
      <w:pPr>
        <w:pStyle w:val="Heading1"/>
        <w:spacing w:before="0"/>
      </w:pPr>
    </w:p>
    <w:p w14:paraId="483A33F6" w14:textId="77777777" w:rsidR="00D71CF7" w:rsidRPr="005F5F27" w:rsidRDefault="00D71CF7" w:rsidP="00664337">
      <w:pPr>
        <w:pStyle w:val="Heading2"/>
      </w:pPr>
    </w:p>
    <w:p w14:paraId="7BE8300B" w14:textId="77777777" w:rsidR="00D71CF7" w:rsidRPr="005F5F27" w:rsidRDefault="00D71CF7" w:rsidP="00664337">
      <w:pPr>
        <w:pStyle w:val="Heading2"/>
      </w:pPr>
    </w:p>
    <w:p w14:paraId="1588015F" w14:textId="77777777" w:rsidR="00D71CF7" w:rsidRPr="005F5F27" w:rsidRDefault="00D71CF7" w:rsidP="00664337">
      <w:pPr>
        <w:pStyle w:val="Covertitle"/>
      </w:pPr>
      <w:r w:rsidRPr="005F5F27">
        <w:br/>
      </w:r>
      <w:r w:rsidR="0043036E">
        <w:t xml:space="preserve">Overarching </w:t>
      </w:r>
      <w:r w:rsidRPr="005F5F27">
        <w:t>Impact Assessment</w:t>
      </w:r>
    </w:p>
    <w:p w14:paraId="1DA9583B" w14:textId="77777777" w:rsidR="00D71CF7" w:rsidRPr="005F5F27" w:rsidRDefault="004A2D06" w:rsidP="00664337">
      <w:pPr>
        <w:rPr>
          <w:i/>
          <w:sz w:val="36"/>
        </w:rPr>
      </w:pPr>
      <w:r>
        <w:rPr>
          <w:i/>
          <w:sz w:val="36"/>
        </w:rPr>
        <w:t>Civil Liabilit</w:t>
      </w:r>
      <w:r w:rsidR="005A0E50">
        <w:rPr>
          <w:i/>
          <w:sz w:val="36"/>
        </w:rPr>
        <w:t xml:space="preserve">y </w:t>
      </w:r>
      <w:r w:rsidR="00B00ADA">
        <w:rPr>
          <w:i/>
          <w:sz w:val="36"/>
        </w:rPr>
        <w:t>Act 2018</w:t>
      </w:r>
    </w:p>
    <w:p w14:paraId="04AA8430" w14:textId="77777777" w:rsidR="00D71CF7" w:rsidRPr="005F5F27" w:rsidRDefault="00D71CF7" w:rsidP="00664337">
      <w:pPr>
        <w:pStyle w:val="Heading2"/>
        <w:rPr>
          <w:sz w:val="36"/>
        </w:rPr>
      </w:pPr>
    </w:p>
    <w:p w14:paraId="1C9DD41F" w14:textId="77777777" w:rsidR="00D71CF7" w:rsidRPr="005F5F27" w:rsidRDefault="00D71CF7" w:rsidP="00664337">
      <w:pPr>
        <w:pStyle w:val="Covertitle"/>
      </w:pPr>
    </w:p>
    <w:p w14:paraId="6DDF62F4" w14:textId="77777777" w:rsidR="00D71CF7" w:rsidRPr="005F5F27" w:rsidRDefault="00D71CF7" w:rsidP="00664337">
      <w:pPr>
        <w:pStyle w:val="Covertitle"/>
      </w:pPr>
    </w:p>
    <w:p w14:paraId="2DE42599" w14:textId="77777777" w:rsidR="00D71CF7" w:rsidRPr="005F5F27" w:rsidRDefault="00DF383E" w:rsidP="00664337">
      <w:pPr>
        <w:pStyle w:val="Covertitle"/>
      </w:pPr>
      <w:r>
        <w:t>December</w:t>
      </w:r>
      <w:r w:rsidR="00B6378E" w:rsidRPr="005F5F27">
        <w:t xml:space="preserve"> </w:t>
      </w:r>
      <w:r w:rsidR="008B37DF" w:rsidRPr="005F5F27">
        <w:t>201</w:t>
      </w:r>
      <w:r w:rsidR="005A0E50">
        <w:t>8</w:t>
      </w:r>
    </w:p>
    <w:p w14:paraId="24833B45" w14:textId="77777777" w:rsidR="00D71CF7" w:rsidRPr="005F5F27" w:rsidRDefault="008842A6" w:rsidP="00664337">
      <w:pPr>
        <w:pStyle w:val="Heading2"/>
      </w:pPr>
      <w:bookmarkStart w:id="12" w:name="_Toc465084490"/>
      <w:bookmarkStart w:id="13" w:name="_Toc465084548"/>
      <w:bookmarkStart w:id="14" w:name="_Toc465084890"/>
      <w:bookmarkStart w:id="15" w:name="_Toc465084962"/>
      <w:bookmarkStart w:id="16" w:name="_Toc465084991"/>
      <w:bookmarkStart w:id="17" w:name="_Toc465085086"/>
      <w:bookmarkStart w:id="18" w:name="_Toc465085107"/>
      <w:bookmarkStart w:id="19" w:name="_Toc465085205"/>
      <w:bookmarkStart w:id="20" w:name="_Toc465086881"/>
      <w:bookmarkStart w:id="21" w:name="_Toc465086925"/>
      <w:bookmarkStart w:id="22" w:name="_Toc465092089"/>
      <w:bookmarkStart w:id="23" w:name="_Toc465247234"/>
      <w:r w:rsidRPr="005F5F27">
        <w:rPr>
          <w:noProof/>
          <w:lang w:eastAsia="en-GB"/>
        </w:rPr>
        <w:drawing>
          <wp:anchor distT="0" distB="0" distL="114300" distR="114300" simplePos="0" relativeHeight="251657728" behindDoc="0" locked="0" layoutInCell="0" allowOverlap="0" wp14:anchorId="387FE5CE" wp14:editId="1D9FE7CE">
            <wp:simplePos x="0" y="0"/>
            <wp:positionH relativeFrom="page">
              <wp:posOffset>648335</wp:posOffset>
            </wp:positionH>
            <wp:positionV relativeFrom="page">
              <wp:posOffset>720090</wp:posOffset>
            </wp:positionV>
            <wp:extent cx="1127125" cy="875665"/>
            <wp:effectExtent l="0" t="0" r="0" b="0"/>
            <wp:wrapNone/>
            <wp:docPr id="2" name="Picture 2"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Just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125" cy="8756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bookmarkEnd w:id="14"/>
      <w:bookmarkEnd w:id="15"/>
      <w:bookmarkEnd w:id="16"/>
      <w:bookmarkEnd w:id="17"/>
      <w:bookmarkEnd w:id="18"/>
      <w:bookmarkEnd w:id="19"/>
      <w:bookmarkEnd w:id="20"/>
      <w:bookmarkEnd w:id="21"/>
      <w:bookmarkEnd w:id="22"/>
      <w:bookmarkEnd w:id="23"/>
    </w:p>
    <w:p w14:paraId="598593FE" w14:textId="77777777" w:rsidR="00770C6F" w:rsidRPr="005F2BB8" w:rsidRDefault="007C5492" w:rsidP="007C5492">
      <w:pPr>
        <w:rPr>
          <w:rFonts w:ascii="Arial" w:hAnsi="Arial" w:cs="Arial"/>
          <w:b/>
          <w:sz w:val="28"/>
          <w:szCs w:val="28"/>
        </w:rPr>
      </w:pPr>
      <w:r>
        <w:rPr>
          <w:lang w:eastAsia="en-GB"/>
        </w:rPr>
        <w:br w:type="page"/>
      </w:r>
      <w:r w:rsidRPr="007C5492">
        <w:rPr>
          <w:rFonts w:ascii="Arial" w:hAnsi="Arial" w:cs="Arial"/>
          <w:b/>
          <w:sz w:val="28"/>
          <w:szCs w:val="28"/>
          <w:lang w:eastAsia="en-GB"/>
        </w:rPr>
        <w:lastRenderedPageBreak/>
        <w:t>A.</w:t>
      </w:r>
      <w:r>
        <w:rPr>
          <w:lang w:eastAsia="en-GB"/>
        </w:rPr>
        <w:t xml:space="preserve"> </w:t>
      </w:r>
      <w:r w:rsidR="0043036E" w:rsidRPr="005F2BB8">
        <w:rPr>
          <w:rFonts w:ascii="Arial" w:hAnsi="Arial" w:cs="Arial"/>
          <w:b/>
          <w:sz w:val="28"/>
          <w:szCs w:val="28"/>
          <w:lang w:eastAsia="en-GB"/>
        </w:rPr>
        <w:t>Summary</w:t>
      </w:r>
    </w:p>
    <w:p w14:paraId="748B4D83" w14:textId="77777777" w:rsidR="00580670" w:rsidRPr="00580670" w:rsidRDefault="00580670" w:rsidP="0001269D">
      <w:pPr>
        <w:spacing w:after="0"/>
        <w:rPr>
          <w:rFonts w:ascii="Arial" w:hAnsi="Arial" w:cs="Arial"/>
          <w:b/>
        </w:rPr>
      </w:pPr>
      <w:r w:rsidRPr="00580670">
        <w:rPr>
          <w:rFonts w:ascii="Arial" w:hAnsi="Arial" w:cs="Arial"/>
          <w:b/>
        </w:rPr>
        <w:t>Introduction</w:t>
      </w:r>
    </w:p>
    <w:p w14:paraId="1F299D6B" w14:textId="77777777" w:rsidR="00580670" w:rsidRPr="00580670" w:rsidRDefault="00580670" w:rsidP="0001269D">
      <w:pPr>
        <w:numPr>
          <w:ilvl w:val="0"/>
          <w:numId w:val="10"/>
        </w:numPr>
        <w:spacing w:after="120" w:line="280" w:lineRule="atLeast"/>
        <w:ind w:left="357" w:hanging="357"/>
        <w:rPr>
          <w:rFonts w:ascii="Arial" w:hAnsi="Arial" w:cs="Arial"/>
        </w:rPr>
      </w:pPr>
      <w:r w:rsidRPr="00580670">
        <w:rPr>
          <w:rFonts w:ascii="Arial" w:hAnsi="Arial" w:cs="Arial"/>
        </w:rPr>
        <w:t xml:space="preserve">The Civil Liability </w:t>
      </w:r>
      <w:r w:rsidR="00CB2C09">
        <w:rPr>
          <w:rFonts w:ascii="Arial" w:hAnsi="Arial" w:cs="Arial"/>
        </w:rPr>
        <w:t>Act 2018</w:t>
      </w:r>
      <w:r w:rsidR="00CB2C09" w:rsidRPr="00580670">
        <w:rPr>
          <w:rFonts w:ascii="Arial" w:hAnsi="Arial" w:cs="Arial"/>
        </w:rPr>
        <w:t xml:space="preserve"> </w:t>
      </w:r>
      <w:r w:rsidRPr="00580670">
        <w:rPr>
          <w:rFonts w:ascii="Arial" w:hAnsi="Arial" w:cs="Arial"/>
        </w:rPr>
        <w:t>underpins vital reforms to the justice system</w:t>
      </w:r>
      <w:r w:rsidRPr="00580670">
        <w:rPr>
          <w:rFonts w:ascii="Arial" w:eastAsia="Times New Roman" w:hAnsi="Arial"/>
        </w:rPr>
        <w:t xml:space="preserve"> in two key areas: </w:t>
      </w:r>
      <w:r w:rsidR="00573B8B">
        <w:rPr>
          <w:rFonts w:ascii="Arial" w:eastAsia="Times New Roman" w:hAnsi="Arial"/>
        </w:rPr>
        <w:t>w</w:t>
      </w:r>
      <w:r w:rsidRPr="00580670">
        <w:rPr>
          <w:rFonts w:ascii="Arial" w:eastAsia="Times New Roman" w:hAnsi="Arial"/>
        </w:rPr>
        <w:t xml:space="preserve">hiplash related </w:t>
      </w:r>
      <w:r w:rsidR="002B14AC">
        <w:rPr>
          <w:rFonts w:ascii="Arial" w:eastAsia="Times New Roman" w:hAnsi="Arial"/>
        </w:rPr>
        <w:t xml:space="preserve">road traffic accident (RTA) </w:t>
      </w:r>
      <w:r w:rsidRPr="00580670">
        <w:rPr>
          <w:rFonts w:ascii="Arial" w:eastAsia="Times New Roman" w:hAnsi="Arial"/>
        </w:rPr>
        <w:t>claims</w:t>
      </w:r>
      <w:r w:rsidR="002B14AC">
        <w:rPr>
          <w:rFonts w:ascii="Arial" w:eastAsia="Times New Roman" w:hAnsi="Arial"/>
        </w:rPr>
        <w:t>, alongside wider reforms to the small claims track (SCT) limit for personal injury (PI) claims</w:t>
      </w:r>
      <w:r w:rsidR="00573B8B">
        <w:rPr>
          <w:rFonts w:ascii="Arial" w:eastAsia="Times New Roman" w:hAnsi="Arial"/>
        </w:rPr>
        <w:t>;</w:t>
      </w:r>
      <w:r w:rsidR="002B14AC">
        <w:rPr>
          <w:rFonts w:ascii="Arial" w:eastAsia="Times New Roman" w:hAnsi="Arial"/>
        </w:rPr>
        <w:t xml:space="preserve"> </w:t>
      </w:r>
      <w:r w:rsidRPr="00580670">
        <w:rPr>
          <w:rFonts w:ascii="Arial" w:eastAsia="Times New Roman" w:hAnsi="Arial"/>
        </w:rPr>
        <w:t xml:space="preserve">and the setting of the Personal Injury Discount Rate used to calculate lump sum payments in </w:t>
      </w:r>
      <w:r w:rsidR="002B14AC">
        <w:rPr>
          <w:rFonts w:ascii="Arial" w:eastAsia="Times New Roman" w:hAnsi="Arial"/>
        </w:rPr>
        <w:t>PI</w:t>
      </w:r>
      <w:r w:rsidRPr="00580670">
        <w:rPr>
          <w:rFonts w:ascii="Arial" w:eastAsia="Times New Roman" w:hAnsi="Arial"/>
        </w:rPr>
        <w:t xml:space="preserve"> cases</w:t>
      </w:r>
      <w:r w:rsidRPr="00580670">
        <w:rPr>
          <w:rFonts w:ascii="Arial" w:hAnsi="Arial" w:cs="Arial"/>
        </w:rPr>
        <w:t>.</w:t>
      </w:r>
    </w:p>
    <w:p w14:paraId="1A88CB0B" w14:textId="77777777" w:rsidR="00580670" w:rsidRPr="00580670" w:rsidRDefault="00580670" w:rsidP="0001269D">
      <w:pPr>
        <w:numPr>
          <w:ilvl w:val="0"/>
          <w:numId w:val="10"/>
        </w:numPr>
        <w:spacing w:after="120" w:line="280" w:lineRule="atLeast"/>
        <w:ind w:left="357" w:hanging="357"/>
        <w:rPr>
          <w:rFonts w:ascii="Arial" w:hAnsi="Arial" w:cs="Arial"/>
        </w:rPr>
      </w:pPr>
      <w:r w:rsidRPr="00580670">
        <w:rPr>
          <w:rFonts w:ascii="Arial" w:hAnsi="Arial" w:cs="Arial"/>
        </w:rPr>
        <w:t xml:space="preserve">The </w:t>
      </w:r>
      <w:r w:rsidR="00CB2C09">
        <w:rPr>
          <w:rFonts w:ascii="Arial" w:hAnsi="Arial" w:cs="Arial"/>
        </w:rPr>
        <w:t>Act</w:t>
      </w:r>
      <w:r w:rsidR="00CB2C09" w:rsidRPr="00580670">
        <w:rPr>
          <w:rFonts w:ascii="Arial" w:hAnsi="Arial" w:cs="Arial"/>
        </w:rPr>
        <w:t xml:space="preserve"> </w:t>
      </w:r>
      <w:r w:rsidRPr="00580670">
        <w:rPr>
          <w:rFonts w:ascii="Arial" w:hAnsi="Arial" w:cs="Arial"/>
        </w:rPr>
        <w:t xml:space="preserve">delivers key priorities for the Ministry of Justice and for the Government and enables delivery of key manifesto commitments. It formed the centrepiece of the Queen’s Speech in 2017. </w:t>
      </w:r>
      <w:r w:rsidR="00CB2C09" w:rsidRPr="00CB2C09">
        <w:rPr>
          <w:rFonts w:ascii="Arial" w:hAnsi="Arial" w:cs="Arial"/>
        </w:rPr>
        <w:t xml:space="preserve">The </w:t>
      </w:r>
      <w:r w:rsidR="00CB2C09">
        <w:rPr>
          <w:rFonts w:ascii="Arial" w:hAnsi="Arial" w:cs="Arial"/>
        </w:rPr>
        <w:t xml:space="preserve">Civil Liability </w:t>
      </w:r>
      <w:r w:rsidR="00CB2C09" w:rsidRPr="00CB2C09">
        <w:rPr>
          <w:rFonts w:ascii="Arial" w:hAnsi="Arial" w:cs="Arial"/>
        </w:rPr>
        <w:t xml:space="preserve">Bill </w:t>
      </w:r>
      <w:r w:rsidR="00CB2C09">
        <w:rPr>
          <w:rFonts w:ascii="Arial" w:hAnsi="Arial" w:cs="Arial"/>
        </w:rPr>
        <w:t xml:space="preserve">was introduced into the House of Lords on 20 March 2018, </w:t>
      </w:r>
      <w:r w:rsidR="00CB2C09" w:rsidRPr="00CB2C09">
        <w:rPr>
          <w:rFonts w:ascii="Arial" w:hAnsi="Arial" w:cs="Arial"/>
        </w:rPr>
        <w:t xml:space="preserve">moved to the House of Commons on 28 June </w:t>
      </w:r>
      <w:r w:rsidR="00CB2C09">
        <w:rPr>
          <w:rFonts w:ascii="Arial" w:hAnsi="Arial" w:cs="Arial"/>
        </w:rPr>
        <w:t xml:space="preserve">2018 </w:t>
      </w:r>
      <w:r w:rsidR="00CB2C09" w:rsidRPr="00CB2C09">
        <w:rPr>
          <w:rFonts w:ascii="Arial" w:hAnsi="Arial" w:cs="Arial"/>
        </w:rPr>
        <w:t>and received Royal Assent on [</w:t>
      </w:r>
      <w:r w:rsidR="006C3EB3">
        <w:rPr>
          <w:rFonts w:ascii="Arial" w:hAnsi="Arial" w:cs="Arial"/>
        </w:rPr>
        <w:t xml:space="preserve">20 December] </w:t>
      </w:r>
      <w:r w:rsidR="00CB2C09" w:rsidRPr="00CB2C09">
        <w:rPr>
          <w:rFonts w:ascii="Arial" w:hAnsi="Arial" w:cs="Arial"/>
        </w:rPr>
        <w:t xml:space="preserve">2018.  </w:t>
      </w:r>
      <w:r w:rsidRPr="00580670">
        <w:rPr>
          <w:rFonts w:ascii="Arial" w:hAnsi="Arial" w:cs="Arial"/>
        </w:rPr>
        <w:t xml:space="preserve"> </w:t>
      </w:r>
    </w:p>
    <w:p w14:paraId="0CE22F2E" w14:textId="77777777" w:rsidR="00580670" w:rsidRPr="00580670" w:rsidRDefault="00580670" w:rsidP="0001269D">
      <w:pPr>
        <w:numPr>
          <w:ilvl w:val="0"/>
          <w:numId w:val="10"/>
        </w:numPr>
        <w:spacing w:after="120" w:line="280" w:lineRule="atLeast"/>
        <w:ind w:left="357" w:hanging="357"/>
        <w:rPr>
          <w:rFonts w:ascii="Arial" w:hAnsi="Arial" w:cs="Arial"/>
        </w:rPr>
      </w:pPr>
      <w:r w:rsidRPr="00580670">
        <w:rPr>
          <w:rFonts w:ascii="Arial" w:hAnsi="Arial" w:cs="Arial"/>
        </w:rPr>
        <w:t xml:space="preserve">The </w:t>
      </w:r>
      <w:r w:rsidR="00CB2C09">
        <w:rPr>
          <w:rFonts w:ascii="Arial" w:hAnsi="Arial" w:cs="Arial"/>
        </w:rPr>
        <w:t>Act</w:t>
      </w:r>
      <w:r w:rsidR="00CB2C09" w:rsidRPr="00580670">
        <w:rPr>
          <w:rFonts w:ascii="Arial" w:hAnsi="Arial" w:cs="Arial"/>
        </w:rPr>
        <w:t xml:space="preserve"> </w:t>
      </w:r>
      <w:r w:rsidRPr="00580670">
        <w:rPr>
          <w:rFonts w:ascii="Arial" w:hAnsi="Arial" w:cs="Arial"/>
        </w:rPr>
        <w:t xml:space="preserve">will deliver savings for people who hold insurance policies, with the whiplash measures expected to reduce motorists’ insurance </w:t>
      </w:r>
      <w:r w:rsidR="00E96E76">
        <w:rPr>
          <w:rFonts w:ascii="Arial" w:hAnsi="Arial" w:cs="Arial"/>
        </w:rPr>
        <w:t>premiums</w:t>
      </w:r>
      <w:r w:rsidRPr="00580670">
        <w:rPr>
          <w:rFonts w:ascii="Arial" w:hAnsi="Arial" w:cs="Arial"/>
        </w:rPr>
        <w:t xml:space="preserve"> </w:t>
      </w:r>
      <w:r w:rsidR="00154B73">
        <w:rPr>
          <w:rFonts w:ascii="Arial" w:hAnsi="Arial" w:cs="Arial"/>
        </w:rPr>
        <w:t>by £1.</w:t>
      </w:r>
      <w:r w:rsidR="006F568F">
        <w:rPr>
          <w:rFonts w:ascii="Arial" w:hAnsi="Arial" w:cs="Arial"/>
        </w:rPr>
        <w:t>1</w:t>
      </w:r>
      <w:r w:rsidR="00154B73">
        <w:rPr>
          <w:rFonts w:ascii="Arial" w:hAnsi="Arial" w:cs="Arial"/>
        </w:rPr>
        <w:t>bn in total</w:t>
      </w:r>
      <w:r w:rsidR="003A4EE0">
        <w:rPr>
          <w:rFonts w:ascii="Arial" w:hAnsi="Arial" w:cs="Arial"/>
        </w:rPr>
        <w:t xml:space="preserve"> or</w:t>
      </w:r>
      <w:r w:rsidR="00154B73">
        <w:rPr>
          <w:rFonts w:ascii="Arial" w:hAnsi="Arial" w:cs="Arial"/>
        </w:rPr>
        <w:t xml:space="preserve"> an</w:t>
      </w:r>
      <w:r w:rsidRPr="00580670">
        <w:rPr>
          <w:rFonts w:ascii="Arial" w:hAnsi="Arial" w:cs="Arial"/>
        </w:rPr>
        <w:t xml:space="preserve"> average </w:t>
      </w:r>
      <w:r w:rsidR="00154B73">
        <w:rPr>
          <w:rFonts w:ascii="Arial" w:hAnsi="Arial" w:cs="Arial"/>
        </w:rPr>
        <w:t>of</w:t>
      </w:r>
      <w:r w:rsidRPr="00580670">
        <w:rPr>
          <w:rFonts w:ascii="Arial" w:hAnsi="Arial" w:cs="Arial"/>
        </w:rPr>
        <w:t xml:space="preserve"> about £35 a year</w:t>
      </w:r>
      <w:r w:rsidR="00154B73">
        <w:rPr>
          <w:rFonts w:ascii="Arial" w:hAnsi="Arial" w:cs="Arial"/>
        </w:rPr>
        <w:t xml:space="preserve"> per policy</w:t>
      </w:r>
      <w:r w:rsidRPr="00580670">
        <w:rPr>
          <w:rFonts w:ascii="Arial" w:hAnsi="Arial" w:cs="Arial"/>
        </w:rPr>
        <w:t xml:space="preserve">. The changes to the legal framework for setting the Personal Injury Discount Rate will </w:t>
      </w:r>
      <w:r w:rsidR="00B54CAB">
        <w:rPr>
          <w:rFonts w:ascii="Arial" w:hAnsi="Arial" w:cs="Arial"/>
        </w:rPr>
        <w:t xml:space="preserve">ensure that the process is fairer to both claimants and defendants and, by so doing, further reduce </w:t>
      </w:r>
      <w:r w:rsidR="001D6E4F">
        <w:rPr>
          <w:rFonts w:ascii="Arial" w:hAnsi="Arial" w:cs="Arial"/>
        </w:rPr>
        <w:t xml:space="preserve">pressure to increase </w:t>
      </w:r>
      <w:r w:rsidRPr="00580670">
        <w:rPr>
          <w:rFonts w:ascii="Arial" w:hAnsi="Arial" w:cs="Arial"/>
        </w:rPr>
        <w:t xml:space="preserve">motor insurance premiums </w:t>
      </w:r>
      <w:r w:rsidR="001D6E4F">
        <w:rPr>
          <w:rFonts w:ascii="Arial" w:hAnsi="Arial" w:cs="Arial"/>
        </w:rPr>
        <w:t>while</w:t>
      </w:r>
      <w:r w:rsidRPr="00580670">
        <w:rPr>
          <w:rFonts w:ascii="Arial" w:hAnsi="Arial" w:cs="Arial"/>
        </w:rPr>
        <w:t xml:space="preserve"> deliver</w:t>
      </w:r>
      <w:r w:rsidR="001D6E4F">
        <w:rPr>
          <w:rFonts w:ascii="Arial" w:hAnsi="Arial" w:cs="Arial"/>
        </w:rPr>
        <w:t>ing</w:t>
      </w:r>
      <w:r w:rsidRPr="00580670">
        <w:rPr>
          <w:rFonts w:ascii="Arial" w:hAnsi="Arial" w:cs="Arial"/>
        </w:rPr>
        <w:t xml:space="preserve"> savings to the taxpayer.</w:t>
      </w:r>
    </w:p>
    <w:p w14:paraId="5C38A471" w14:textId="77777777" w:rsidR="00580670" w:rsidRDefault="00580670" w:rsidP="0001269D">
      <w:pPr>
        <w:numPr>
          <w:ilvl w:val="0"/>
          <w:numId w:val="10"/>
        </w:numPr>
        <w:spacing w:after="120" w:line="280" w:lineRule="atLeast"/>
        <w:ind w:left="357" w:hanging="357"/>
        <w:rPr>
          <w:rFonts w:ascii="Arial" w:hAnsi="Arial" w:cs="Arial"/>
        </w:rPr>
      </w:pPr>
      <w:r w:rsidRPr="00580670">
        <w:rPr>
          <w:rFonts w:ascii="Arial" w:hAnsi="Arial" w:cs="Arial"/>
        </w:rPr>
        <w:t xml:space="preserve">The reforms to </w:t>
      </w:r>
      <w:r w:rsidR="002B14AC">
        <w:rPr>
          <w:rFonts w:ascii="Arial" w:hAnsi="Arial" w:cs="Arial"/>
        </w:rPr>
        <w:t xml:space="preserve">RTA related </w:t>
      </w:r>
      <w:r w:rsidRPr="00580670">
        <w:rPr>
          <w:rFonts w:ascii="Arial" w:hAnsi="Arial" w:cs="Arial"/>
        </w:rPr>
        <w:t xml:space="preserve">whiplash claims and raising the </w:t>
      </w:r>
      <w:r w:rsidR="00EB6418">
        <w:rPr>
          <w:rFonts w:ascii="Arial" w:hAnsi="Arial" w:cs="Arial"/>
        </w:rPr>
        <w:t>SCT</w:t>
      </w:r>
      <w:r w:rsidRPr="00580670">
        <w:rPr>
          <w:rFonts w:ascii="Arial" w:hAnsi="Arial" w:cs="Arial"/>
        </w:rPr>
        <w:t xml:space="preserve"> limits </w:t>
      </w:r>
      <w:r w:rsidR="002B14AC">
        <w:rPr>
          <w:rFonts w:ascii="Arial" w:hAnsi="Arial" w:cs="Arial"/>
        </w:rPr>
        <w:t xml:space="preserve">for PI claims to £5,000 for RTA related PI claims and to £2,000 for all other PI claims </w:t>
      </w:r>
      <w:r w:rsidRPr="00580670">
        <w:rPr>
          <w:rFonts w:ascii="Arial" w:hAnsi="Arial" w:cs="Arial"/>
        </w:rPr>
        <w:t>will also make a substantial contribution to meeting the Government’s target of reducing the regulatory burden on business.</w:t>
      </w:r>
    </w:p>
    <w:p w14:paraId="04096DC1" w14:textId="77777777" w:rsidR="001D6E4F" w:rsidRDefault="001D6E4F" w:rsidP="0001269D">
      <w:pPr>
        <w:pStyle w:val="EBNumber"/>
        <w:numPr>
          <w:ilvl w:val="0"/>
          <w:numId w:val="10"/>
        </w:numPr>
        <w:spacing w:line="280" w:lineRule="atLeast"/>
        <w:ind w:left="357" w:hanging="357"/>
      </w:pPr>
      <w:r>
        <w:t xml:space="preserve">The rest of this overarching Impact Assessment (IA) explains the policy rationale and objectives which underpin each specific legislative measure and describes the key stakeholders who would be affected. It then provides an overview of the impact of each of the </w:t>
      </w:r>
      <w:r w:rsidR="00DF383E">
        <w:t>legislative measures</w:t>
      </w:r>
      <w:r>
        <w:t xml:space="preserve"> on society, focusing on the monetised and non-monetised impacts.</w:t>
      </w:r>
      <w:r w:rsidRPr="00684F04">
        <w:t xml:space="preserve"> Further detailed discussion of each </w:t>
      </w:r>
      <w:r w:rsidR="00DF383E">
        <w:t>measure</w:t>
      </w:r>
      <w:r w:rsidRPr="00684F04">
        <w:t xml:space="preserve"> is set out in the individual IAs.</w:t>
      </w:r>
      <w:r>
        <w:t xml:space="preserve">  </w:t>
      </w:r>
    </w:p>
    <w:p w14:paraId="78C42B66" w14:textId="77777777" w:rsidR="001D6E4F" w:rsidRPr="00580670" w:rsidRDefault="001D6E4F" w:rsidP="001D6E4F">
      <w:pPr>
        <w:spacing w:line="256" w:lineRule="auto"/>
        <w:ind w:left="360"/>
        <w:rPr>
          <w:rFonts w:ascii="Arial" w:hAnsi="Arial" w:cs="Arial"/>
        </w:rPr>
      </w:pPr>
    </w:p>
    <w:p w14:paraId="18C1E14B" w14:textId="77777777" w:rsidR="00BF27A4" w:rsidRPr="00BF27A4" w:rsidRDefault="00BF27A4" w:rsidP="007C5492">
      <w:pPr>
        <w:rPr>
          <w:rFonts w:ascii="Arial" w:hAnsi="Arial" w:cs="Arial"/>
        </w:rPr>
      </w:pPr>
    </w:p>
    <w:p w14:paraId="60ECA9D3" w14:textId="77777777" w:rsidR="00334188" w:rsidRDefault="00334188" w:rsidP="00334188"/>
    <w:p w14:paraId="723BEA9A" w14:textId="77777777" w:rsidR="00334188" w:rsidRDefault="00334188" w:rsidP="00334188"/>
    <w:p w14:paraId="7FA405CF" w14:textId="77777777" w:rsidR="004410E9" w:rsidRPr="004E7F0E" w:rsidRDefault="00334188" w:rsidP="004E7F0E">
      <w:pPr>
        <w:rPr>
          <w:rFonts w:ascii="Arial" w:hAnsi="Arial" w:cs="Arial"/>
          <w:b/>
          <w:sz w:val="28"/>
          <w:szCs w:val="28"/>
        </w:rPr>
      </w:pPr>
      <w:r>
        <w:br w:type="page"/>
      </w:r>
      <w:r w:rsidR="007C5492" w:rsidRPr="004E7F0E">
        <w:rPr>
          <w:rFonts w:ascii="Arial" w:hAnsi="Arial" w:cs="Arial"/>
          <w:b/>
          <w:sz w:val="28"/>
          <w:szCs w:val="28"/>
        </w:rPr>
        <w:lastRenderedPageBreak/>
        <w:t xml:space="preserve">B. </w:t>
      </w:r>
      <w:r w:rsidR="004410E9" w:rsidRPr="004E7F0E">
        <w:rPr>
          <w:rFonts w:ascii="Arial" w:hAnsi="Arial" w:cs="Arial"/>
          <w:b/>
          <w:sz w:val="28"/>
          <w:szCs w:val="28"/>
        </w:rPr>
        <w:t>Background</w:t>
      </w:r>
    </w:p>
    <w:p w14:paraId="527FDDBE" w14:textId="77777777" w:rsidR="009C396A" w:rsidRDefault="009C396A" w:rsidP="009C396A">
      <w:pPr>
        <w:pStyle w:val="ListParagraph"/>
        <w:rPr>
          <w:sz w:val="22"/>
          <w:szCs w:val="22"/>
        </w:rPr>
      </w:pPr>
    </w:p>
    <w:p w14:paraId="0E6AB27F" w14:textId="77777777" w:rsidR="008B0382" w:rsidRPr="008471ED" w:rsidRDefault="008B0382" w:rsidP="0001269D">
      <w:pPr>
        <w:spacing w:after="0" w:line="280" w:lineRule="atLeast"/>
        <w:rPr>
          <w:rFonts w:ascii="Arial" w:eastAsia="Times New Roman" w:hAnsi="Arial" w:cs="Arial"/>
          <w:b/>
        </w:rPr>
      </w:pPr>
      <w:r w:rsidRPr="008471ED">
        <w:rPr>
          <w:rFonts w:ascii="Arial" w:eastAsia="Times New Roman" w:hAnsi="Arial" w:cs="Arial"/>
          <w:b/>
        </w:rPr>
        <w:t>Whiplash</w:t>
      </w:r>
      <w:r w:rsidR="00154B73" w:rsidRPr="008471ED">
        <w:rPr>
          <w:rFonts w:ascii="Arial" w:eastAsia="Times New Roman" w:hAnsi="Arial" w:cs="Arial"/>
          <w:b/>
        </w:rPr>
        <w:t xml:space="preserve"> Reform Programme</w:t>
      </w:r>
    </w:p>
    <w:p w14:paraId="2E4E57E7" w14:textId="77777777" w:rsidR="008B0382" w:rsidRPr="008B0382" w:rsidRDefault="008B0382" w:rsidP="0001269D">
      <w:pPr>
        <w:numPr>
          <w:ilvl w:val="0"/>
          <w:numId w:val="10"/>
        </w:numPr>
        <w:spacing w:after="120" w:line="280" w:lineRule="atLeast"/>
        <w:ind w:right="57"/>
        <w:rPr>
          <w:rFonts w:ascii="Arial" w:eastAsia="Times New Roman" w:hAnsi="Arial"/>
        </w:rPr>
      </w:pPr>
      <w:r w:rsidRPr="008B0382">
        <w:rPr>
          <w:rFonts w:ascii="Arial" w:eastAsia="Times New Roman" w:hAnsi="Arial"/>
        </w:rPr>
        <w:t xml:space="preserve">The Government consulted on measures to tackle the continuing high number and cost of minor RTA whiplash related claims, between 17 November 2016 and 6 January 2017. </w:t>
      </w:r>
    </w:p>
    <w:p w14:paraId="0E8F0161" w14:textId="77777777" w:rsidR="008B0382" w:rsidRPr="008B0382" w:rsidRDefault="008B0382" w:rsidP="0001269D">
      <w:pPr>
        <w:numPr>
          <w:ilvl w:val="0"/>
          <w:numId w:val="10"/>
        </w:numPr>
        <w:spacing w:after="120" w:line="280" w:lineRule="atLeast"/>
        <w:ind w:right="57"/>
        <w:rPr>
          <w:rFonts w:ascii="Arial" w:eastAsia="Times New Roman" w:hAnsi="Arial"/>
        </w:rPr>
      </w:pPr>
      <w:r w:rsidRPr="008B0382">
        <w:rPr>
          <w:rFonts w:ascii="Arial" w:eastAsia="Times New Roman" w:hAnsi="Arial"/>
        </w:rPr>
        <w:t xml:space="preserve">Following consideration of the responses received </w:t>
      </w:r>
      <w:r w:rsidR="006C3EB3">
        <w:rPr>
          <w:rFonts w:ascii="Arial" w:eastAsia="Times New Roman" w:hAnsi="Arial"/>
        </w:rPr>
        <w:t>the Government confirmed it would</w:t>
      </w:r>
      <w:r w:rsidRPr="008B0382">
        <w:rPr>
          <w:rFonts w:ascii="Arial" w:eastAsia="Times New Roman" w:hAnsi="Arial"/>
        </w:rPr>
        <w:t xml:space="preserve"> legislate to:</w:t>
      </w:r>
    </w:p>
    <w:p w14:paraId="1F348C28" w14:textId="77777777" w:rsidR="008B0382" w:rsidRPr="008B0382" w:rsidRDefault="008B0382" w:rsidP="0001269D">
      <w:pPr>
        <w:numPr>
          <w:ilvl w:val="0"/>
          <w:numId w:val="14"/>
        </w:numPr>
        <w:spacing w:after="120" w:line="280" w:lineRule="atLeast"/>
        <w:ind w:left="1134" w:right="57" w:hanging="283"/>
        <w:rPr>
          <w:rFonts w:ascii="Arial" w:eastAsia="Times New Roman" w:hAnsi="Arial"/>
        </w:rPr>
      </w:pPr>
      <w:r w:rsidRPr="008B0382">
        <w:rPr>
          <w:rFonts w:ascii="Arial" w:eastAsia="Times New Roman" w:hAnsi="Arial"/>
        </w:rPr>
        <w:t xml:space="preserve">Set a fixed tariff of compensation for ‘pain, suffering and loss of amenity’ </w:t>
      </w:r>
      <w:r w:rsidR="00A94C50">
        <w:rPr>
          <w:rFonts w:ascii="Arial" w:eastAsia="Times New Roman" w:hAnsi="Arial"/>
        </w:rPr>
        <w:t xml:space="preserve">(PSLA) </w:t>
      </w:r>
      <w:r w:rsidRPr="008B0382">
        <w:rPr>
          <w:rFonts w:ascii="Arial" w:eastAsia="Times New Roman" w:hAnsi="Arial"/>
        </w:rPr>
        <w:t xml:space="preserve">for claims with an injury duration of </w:t>
      </w:r>
      <w:r w:rsidR="006C3EB3">
        <w:rPr>
          <w:rFonts w:ascii="Arial" w:eastAsia="Times New Roman" w:hAnsi="Arial"/>
        </w:rPr>
        <w:t>up to</w:t>
      </w:r>
      <w:r w:rsidRPr="008B0382">
        <w:rPr>
          <w:rFonts w:ascii="Arial" w:eastAsia="Times New Roman" w:hAnsi="Arial"/>
        </w:rPr>
        <w:t xml:space="preserve"> 2 years. </w:t>
      </w:r>
    </w:p>
    <w:p w14:paraId="3DF18A90" w14:textId="77777777" w:rsidR="008B0382" w:rsidRPr="008B0382" w:rsidRDefault="008B0382" w:rsidP="0001269D">
      <w:pPr>
        <w:numPr>
          <w:ilvl w:val="0"/>
          <w:numId w:val="14"/>
        </w:numPr>
        <w:spacing w:after="120" w:line="280" w:lineRule="atLeast"/>
        <w:ind w:left="1134" w:right="57" w:hanging="283"/>
        <w:rPr>
          <w:rFonts w:ascii="Arial" w:eastAsia="Times New Roman" w:hAnsi="Arial"/>
        </w:rPr>
      </w:pPr>
      <w:r w:rsidRPr="008B0382">
        <w:rPr>
          <w:rFonts w:ascii="Arial" w:eastAsia="Times New Roman" w:hAnsi="Arial"/>
        </w:rPr>
        <w:t xml:space="preserve">Ban the practice of </w:t>
      </w:r>
      <w:r w:rsidR="006C3EB3">
        <w:rPr>
          <w:rFonts w:ascii="Arial" w:eastAsia="Times New Roman" w:hAnsi="Arial"/>
        </w:rPr>
        <w:t xml:space="preserve">seeking or </w:t>
      </w:r>
      <w:r w:rsidRPr="008B0382">
        <w:rPr>
          <w:rFonts w:ascii="Arial" w:eastAsia="Times New Roman" w:hAnsi="Arial"/>
        </w:rPr>
        <w:t xml:space="preserve">offering to settle </w:t>
      </w:r>
      <w:r w:rsidR="006C3EB3">
        <w:rPr>
          <w:rFonts w:ascii="Arial" w:eastAsia="Times New Roman" w:hAnsi="Arial"/>
        </w:rPr>
        <w:t>whiplash</w:t>
      </w:r>
      <w:r w:rsidRPr="008B0382">
        <w:rPr>
          <w:rFonts w:ascii="Arial" w:eastAsia="Times New Roman" w:hAnsi="Arial"/>
        </w:rPr>
        <w:t xml:space="preserve"> claims without first seeking medical evidence. </w:t>
      </w:r>
    </w:p>
    <w:p w14:paraId="765D7A58" w14:textId="77777777" w:rsidR="008B0382" w:rsidRPr="000F27C7" w:rsidRDefault="00C70AC4" w:rsidP="0001269D">
      <w:pPr>
        <w:numPr>
          <w:ilvl w:val="0"/>
          <w:numId w:val="10"/>
        </w:numPr>
        <w:spacing w:after="120" w:line="280" w:lineRule="atLeast"/>
        <w:ind w:right="57"/>
        <w:rPr>
          <w:rFonts w:ascii="Arial" w:eastAsia="Times New Roman" w:hAnsi="Arial"/>
        </w:rPr>
      </w:pPr>
      <w:r w:rsidRPr="00D31020">
        <w:rPr>
          <w:rFonts w:ascii="Arial" w:eastAsia="Times New Roman" w:hAnsi="Arial"/>
        </w:rPr>
        <w:t>The whiplash reform programme also</w:t>
      </w:r>
      <w:r w:rsidR="00154B73" w:rsidRPr="00D31020">
        <w:rPr>
          <w:rFonts w:ascii="Arial" w:eastAsia="Times New Roman" w:hAnsi="Arial"/>
        </w:rPr>
        <w:t xml:space="preserve"> includes secondary legislative measures</w:t>
      </w:r>
      <w:r w:rsidR="008B0382" w:rsidRPr="000F27C7">
        <w:rPr>
          <w:rFonts w:ascii="Arial" w:eastAsia="Times New Roman" w:hAnsi="Arial"/>
        </w:rPr>
        <w:t xml:space="preserve"> to the Civil Procedure Rues to raise the SCT limit to £5,000 (from £1,000) for RTA related PI claims and to £2,000 (from £1,000) for all other PI claims.</w:t>
      </w:r>
    </w:p>
    <w:p w14:paraId="7B2B7F78" w14:textId="77777777" w:rsidR="00C7520F" w:rsidRDefault="00C7520F" w:rsidP="00C7520F">
      <w:pPr>
        <w:pStyle w:val="ListParagraph"/>
        <w:spacing w:after="240" w:line="280" w:lineRule="atLeast"/>
        <w:ind w:left="0"/>
        <w:rPr>
          <w:b/>
          <w:sz w:val="22"/>
          <w:szCs w:val="22"/>
        </w:rPr>
      </w:pPr>
    </w:p>
    <w:p w14:paraId="4EC62863" w14:textId="77777777" w:rsidR="00710B01" w:rsidRPr="008471ED" w:rsidRDefault="00710B01" w:rsidP="0001269D">
      <w:pPr>
        <w:pStyle w:val="ListParagraph"/>
        <w:spacing w:line="280" w:lineRule="atLeast"/>
        <w:ind w:left="0"/>
        <w:rPr>
          <w:b/>
          <w:sz w:val="22"/>
          <w:szCs w:val="22"/>
        </w:rPr>
      </w:pPr>
      <w:r w:rsidRPr="008471ED">
        <w:rPr>
          <w:b/>
          <w:sz w:val="22"/>
          <w:szCs w:val="22"/>
        </w:rPr>
        <w:t>Personal Injury Discount Rate</w:t>
      </w:r>
    </w:p>
    <w:p w14:paraId="2308394E" w14:textId="77777777" w:rsidR="00710B01" w:rsidRDefault="00D559DB" w:rsidP="0001269D">
      <w:pPr>
        <w:pStyle w:val="ListParagraph"/>
        <w:numPr>
          <w:ilvl w:val="0"/>
          <w:numId w:val="10"/>
        </w:numPr>
        <w:spacing w:after="120" w:line="280" w:lineRule="atLeast"/>
        <w:rPr>
          <w:sz w:val="22"/>
          <w:szCs w:val="22"/>
        </w:rPr>
      </w:pPr>
      <w:r>
        <w:rPr>
          <w:sz w:val="22"/>
          <w:szCs w:val="22"/>
        </w:rPr>
        <w:t xml:space="preserve">Following the change in the Personal Injury Discount Rate </w:t>
      </w:r>
      <w:r w:rsidR="005D2260">
        <w:rPr>
          <w:sz w:val="22"/>
          <w:szCs w:val="22"/>
        </w:rPr>
        <w:t xml:space="preserve">from 2.5 per cent </w:t>
      </w:r>
      <w:r>
        <w:rPr>
          <w:sz w:val="22"/>
          <w:szCs w:val="22"/>
        </w:rPr>
        <w:t>to -0.75 per cent in M</w:t>
      </w:r>
      <w:r w:rsidR="0046656B">
        <w:rPr>
          <w:sz w:val="22"/>
          <w:szCs w:val="22"/>
        </w:rPr>
        <w:t>arch 2017, t</w:t>
      </w:r>
      <w:r w:rsidR="0046656B" w:rsidRPr="00FC0DAB">
        <w:rPr>
          <w:sz w:val="22"/>
          <w:szCs w:val="22"/>
        </w:rPr>
        <w:t>he Ministry of Justice consulted on how, when and by whom the discount rate should be set in future. This consultation closed on the 11 May 2017.</w:t>
      </w:r>
    </w:p>
    <w:p w14:paraId="0D8B28ED" w14:textId="77777777" w:rsidR="0046656B" w:rsidRPr="00FC0DAB" w:rsidRDefault="0046656B" w:rsidP="0001269D">
      <w:pPr>
        <w:numPr>
          <w:ilvl w:val="0"/>
          <w:numId w:val="10"/>
        </w:numPr>
        <w:spacing w:after="120" w:line="280" w:lineRule="atLeast"/>
        <w:rPr>
          <w:rFonts w:ascii="Arial" w:hAnsi="Arial" w:cs="Arial"/>
        </w:rPr>
      </w:pPr>
      <w:r w:rsidRPr="00FC0DAB">
        <w:rPr>
          <w:rFonts w:ascii="Arial" w:hAnsi="Arial" w:cs="Arial"/>
        </w:rPr>
        <w:t xml:space="preserve">Following a consideration of the responses received, </w:t>
      </w:r>
      <w:r w:rsidR="00F40C1F">
        <w:rPr>
          <w:rFonts w:ascii="Arial" w:hAnsi="Arial" w:cs="Arial"/>
        </w:rPr>
        <w:t xml:space="preserve">the Government decided to </w:t>
      </w:r>
      <w:r w:rsidRPr="00FC0DAB">
        <w:rPr>
          <w:rFonts w:ascii="Arial" w:hAnsi="Arial" w:cs="Arial"/>
        </w:rPr>
        <w:t>legislate to:</w:t>
      </w:r>
    </w:p>
    <w:p w14:paraId="2EADB96E" w14:textId="77777777" w:rsidR="0046656B" w:rsidRDefault="00D559DB" w:rsidP="0001269D">
      <w:pPr>
        <w:numPr>
          <w:ilvl w:val="0"/>
          <w:numId w:val="13"/>
        </w:numPr>
        <w:spacing w:after="120" w:line="280" w:lineRule="atLeast"/>
        <w:ind w:left="709" w:hanging="283"/>
        <w:rPr>
          <w:rFonts w:ascii="Arial" w:hAnsi="Arial" w:cs="Arial"/>
        </w:rPr>
      </w:pPr>
      <w:r w:rsidRPr="00FC0DAB">
        <w:rPr>
          <w:rFonts w:ascii="Arial" w:hAnsi="Arial" w:cs="Arial"/>
        </w:rPr>
        <w:t xml:space="preserve">Change the methodology governing how the discount rate </w:t>
      </w:r>
      <w:r w:rsidR="00F40C1F">
        <w:rPr>
          <w:rFonts w:ascii="Arial" w:hAnsi="Arial" w:cs="Arial"/>
        </w:rPr>
        <w:t>wa</w:t>
      </w:r>
      <w:r w:rsidRPr="00FC0DAB">
        <w:rPr>
          <w:rFonts w:ascii="Arial" w:hAnsi="Arial" w:cs="Arial"/>
        </w:rPr>
        <w:t xml:space="preserve">s set to provide for the assumed claimant investment risk profile to be </w:t>
      </w:r>
      <w:proofErr w:type="gramStart"/>
      <w:r w:rsidRPr="00FC0DAB">
        <w:rPr>
          <w:rFonts w:ascii="Arial" w:hAnsi="Arial" w:cs="Arial"/>
        </w:rPr>
        <w:t>low risk</w:t>
      </w:r>
      <w:proofErr w:type="gramEnd"/>
      <w:r w:rsidRPr="00FC0DAB">
        <w:rPr>
          <w:rFonts w:ascii="Arial" w:hAnsi="Arial" w:cs="Arial"/>
        </w:rPr>
        <w:t xml:space="preserve"> rather than very low risk as at present. This </w:t>
      </w:r>
      <w:r w:rsidR="00DF383E">
        <w:rPr>
          <w:rFonts w:ascii="Arial" w:hAnsi="Arial" w:cs="Arial"/>
        </w:rPr>
        <w:t>will</w:t>
      </w:r>
      <w:r w:rsidRPr="00FC0DAB">
        <w:rPr>
          <w:rFonts w:ascii="Arial" w:hAnsi="Arial" w:cs="Arial"/>
        </w:rPr>
        <w:t xml:space="preserve"> establish a sound legal basis for setting the rate in future which </w:t>
      </w:r>
      <w:r w:rsidR="00DF383E">
        <w:rPr>
          <w:rFonts w:ascii="Arial" w:hAnsi="Arial" w:cs="Arial"/>
        </w:rPr>
        <w:t>will</w:t>
      </w:r>
      <w:r w:rsidRPr="00FC0DAB">
        <w:rPr>
          <w:rFonts w:ascii="Arial" w:hAnsi="Arial" w:cs="Arial"/>
        </w:rPr>
        <w:t xml:space="preserve"> better reflect actual claimant investment behaviour and create a system which balances the interests of claimants, defendants and wider society more fairly</w:t>
      </w:r>
      <w:r w:rsidR="0046656B" w:rsidRPr="00FC0DAB">
        <w:rPr>
          <w:rFonts w:ascii="Arial" w:hAnsi="Arial" w:cs="Arial"/>
        </w:rPr>
        <w:t>;</w:t>
      </w:r>
    </w:p>
    <w:p w14:paraId="59AF86AD" w14:textId="77777777" w:rsidR="0046656B" w:rsidRDefault="0046656B" w:rsidP="0001269D">
      <w:pPr>
        <w:numPr>
          <w:ilvl w:val="0"/>
          <w:numId w:val="13"/>
        </w:numPr>
        <w:spacing w:after="120" w:line="280" w:lineRule="atLeast"/>
        <w:ind w:left="709" w:hanging="283"/>
        <w:rPr>
          <w:rFonts w:ascii="Arial" w:hAnsi="Arial" w:cs="Arial"/>
        </w:rPr>
      </w:pPr>
      <w:r w:rsidRPr="00FC0DAB">
        <w:rPr>
          <w:rFonts w:ascii="Arial" w:hAnsi="Arial" w:cs="Arial"/>
        </w:rPr>
        <w:t>P</w:t>
      </w:r>
      <w:r w:rsidR="00D559DB" w:rsidRPr="00FC0DAB">
        <w:rPr>
          <w:rFonts w:ascii="Arial" w:hAnsi="Arial" w:cs="Arial"/>
        </w:rPr>
        <w:t xml:space="preserve">rovide for the rate to be reviewed on a regular basis (at least every </w:t>
      </w:r>
      <w:r w:rsidR="00DF383E">
        <w:rPr>
          <w:rFonts w:ascii="Arial" w:hAnsi="Arial" w:cs="Arial"/>
        </w:rPr>
        <w:t>five</w:t>
      </w:r>
      <w:r w:rsidR="00D559DB" w:rsidRPr="00FC0DAB">
        <w:rPr>
          <w:rFonts w:ascii="Arial" w:hAnsi="Arial" w:cs="Arial"/>
        </w:rPr>
        <w:t xml:space="preserve"> years).  This </w:t>
      </w:r>
      <w:r w:rsidR="00DF383E">
        <w:rPr>
          <w:rFonts w:ascii="Arial" w:hAnsi="Arial" w:cs="Arial"/>
        </w:rPr>
        <w:t>will</w:t>
      </w:r>
      <w:r w:rsidR="007A5053" w:rsidRPr="00FC0DAB">
        <w:rPr>
          <w:rFonts w:ascii="Arial" w:hAnsi="Arial" w:cs="Arial"/>
        </w:rPr>
        <w:t xml:space="preserve"> </w:t>
      </w:r>
      <w:r w:rsidR="00D559DB" w:rsidRPr="00FC0DAB">
        <w:rPr>
          <w:rFonts w:ascii="Arial" w:hAnsi="Arial" w:cs="Arial"/>
        </w:rPr>
        <w:t>provide greater predictability and certainty and, also, reduce the extent of the impact o</w:t>
      </w:r>
      <w:r w:rsidRPr="00FC0DAB">
        <w:rPr>
          <w:rFonts w:ascii="Arial" w:hAnsi="Arial" w:cs="Arial"/>
        </w:rPr>
        <w:t>f any future change in the rate; and</w:t>
      </w:r>
      <w:r w:rsidR="00D559DB" w:rsidRPr="00FC0DAB">
        <w:rPr>
          <w:rFonts w:ascii="Arial" w:hAnsi="Arial" w:cs="Arial"/>
        </w:rPr>
        <w:t xml:space="preserve"> </w:t>
      </w:r>
    </w:p>
    <w:p w14:paraId="3DCE9342" w14:textId="77777777" w:rsidR="00D559DB" w:rsidRPr="00FC0DAB" w:rsidRDefault="00DF383E" w:rsidP="0001269D">
      <w:pPr>
        <w:numPr>
          <w:ilvl w:val="0"/>
          <w:numId w:val="13"/>
        </w:numPr>
        <w:spacing w:after="120" w:line="280" w:lineRule="atLeast"/>
        <w:ind w:left="709" w:hanging="283"/>
        <w:rPr>
          <w:rFonts w:ascii="Arial" w:hAnsi="Arial" w:cs="Arial"/>
        </w:rPr>
      </w:pPr>
      <w:r>
        <w:rPr>
          <w:rFonts w:ascii="Arial" w:hAnsi="Arial" w:cs="Arial"/>
        </w:rPr>
        <w:t>Other than at the first review of the rate, e</w:t>
      </w:r>
      <w:r w:rsidR="00D559DB" w:rsidRPr="00FC0DAB">
        <w:rPr>
          <w:rFonts w:ascii="Arial" w:hAnsi="Arial" w:cs="Arial"/>
        </w:rPr>
        <w:t xml:space="preserve">stablish an independent expert panel to advise the Lord Chancellor on the </w:t>
      </w:r>
      <w:r w:rsidR="00450096">
        <w:rPr>
          <w:rFonts w:ascii="Arial" w:hAnsi="Arial" w:cs="Arial"/>
        </w:rPr>
        <w:t>issues to consider when</w:t>
      </w:r>
      <w:r w:rsidR="00D559DB" w:rsidRPr="00FC0DAB">
        <w:rPr>
          <w:rFonts w:ascii="Arial" w:hAnsi="Arial" w:cs="Arial"/>
        </w:rPr>
        <w:t xml:space="preserve"> set</w:t>
      </w:r>
      <w:r w:rsidR="00450096">
        <w:rPr>
          <w:rFonts w:ascii="Arial" w:hAnsi="Arial" w:cs="Arial"/>
        </w:rPr>
        <w:t>ting the rate</w:t>
      </w:r>
      <w:r w:rsidR="00D559DB" w:rsidRPr="00FC0DAB">
        <w:rPr>
          <w:rFonts w:ascii="Arial" w:hAnsi="Arial" w:cs="Arial"/>
        </w:rPr>
        <w:t xml:space="preserve">. This </w:t>
      </w:r>
      <w:r>
        <w:rPr>
          <w:rFonts w:ascii="Arial" w:hAnsi="Arial" w:cs="Arial"/>
        </w:rPr>
        <w:t>will</w:t>
      </w:r>
      <w:r w:rsidR="007A5053" w:rsidRPr="00FC0DAB">
        <w:rPr>
          <w:rFonts w:ascii="Arial" w:hAnsi="Arial" w:cs="Arial"/>
        </w:rPr>
        <w:t xml:space="preserve"> </w:t>
      </w:r>
      <w:r w:rsidR="00D559DB" w:rsidRPr="00FC0DAB">
        <w:rPr>
          <w:rFonts w:ascii="Arial" w:hAnsi="Arial" w:cs="Arial"/>
        </w:rPr>
        <w:t>ensure that a clear, transparent and objective approach is adopted which provides certainty for those involved in litigation.</w:t>
      </w:r>
    </w:p>
    <w:p w14:paraId="38F420D8" w14:textId="77777777" w:rsidR="00C7520F" w:rsidRDefault="00F40C1F" w:rsidP="0001269D">
      <w:pPr>
        <w:pStyle w:val="EBNumber"/>
        <w:numPr>
          <w:ilvl w:val="0"/>
          <w:numId w:val="10"/>
        </w:numPr>
        <w:spacing w:line="280" w:lineRule="atLeast"/>
      </w:pPr>
      <w:r>
        <w:t xml:space="preserve">Draft legislation to implement these proposals was published for pre-legislative scrutiny by the Justice Select Committee </w:t>
      </w:r>
      <w:r w:rsidR="0099729C">
        <w:t xml:space="preserve">(“JSC”) </w:t>
      </w:r>
      <w:r>
        <w:t xml:space="preserve">in September 2017. The Government’s response to the </w:t>
      </w:r>
      <w:r w:rsidR="0099729C">
        <w:t>JSC</w:t>
      </w:r>
      <w:r>
        <w:t xml:space="preserve">’s report was published alongside the introduction of the Civil Liability Bill into the House of Lords on </w:t>
      </w:r>
      <w:r w:rsidR="002B4ADE">
        <w:t>20</w:t>
      </w:r>
      <w:r>
        <w:t xml:space="preserve"> March 2018. </w:t>
      </w:r>
    </w:p>
    <w:p w14:paraId="089CDE75" w14:textId="77777777" w:rsidR="00C7520F" w:rsidRDefault="000E4C3A" w:rsidP="0001269D">
      <w:pPr>
        <w:pStyle w:val="EBNumber"/>
        <w:numPr>
          <w:ilvl w:val="0"/>
          <w:numId w:val="10"/>
        </w:numPr>
        <w:spacing w:line="280" w:lineRule="atLeast"/>
      </w:pPr>
      <w:r>
        <w:t>In the Lords</w:t>
      </w:r>
      <w:r w:rsidRPr="000E4C3A">
        <w:t xml:space="preserve"> the </w:t>
      </w:r>
      <w:r>
        <w:t>personal injury discount rate provisions in the Bill were</w:t>
      </w:r>
      <w:r w:rsidRPr="000E4C3A">
        <w:t xml:space="preserve"> amended to require: the first review of the rate to be begun and completed more quickly and as part of this aim the PIDR provisions in the legislation came into force on Royal Assent and the legislation requires the first review is to be begun within 90 days of Royal Assent and completed within 140 days rather than 180 days of starting; </w:t>
      </w:r>
      <w:r w:rsidR="006168B1">
        <w:t xml:space="preserve">that </w:t>
      </w:r>
      <w:r w:rsidRPr="000E4C3A">
        <w:t xml:space="preserve">the Lord Chancellor is to </w:t>
      </w:r>
      <w:r w:rsidRPr="000E4C3A">
        <w:lastRenderedPageBreak/>
        <w:t>consult the Government Actuary rather than the expert panel on the first review; and the PIDR to be reviewed at least every five years</w:t>
      </w:r>
      <w:r w:rsidR="00DF383E">
        <w:t xml:space="preserve"> (as opposed to three as was initially proposed)</w:t>
      </w:r>
      <w:r w:rsidRPr="000E4C3A">
        <w:t xml:space="preserve">.  </w:t>
      </w:r>
    </w:p>
    <w:p w14:paraId="050ED5C5" w14:textId="77777777" w:rsidR="00F40C1F" w:rsidRDefault="000E4C3A" w:rsidP="00C7520F">
      <w:pPr>
        <w:pStyle w:val="EBNumber"/>
        <w:numPr>
          <w:ilvl w:val="0"/>
          <w:numId w:val="10"/>
        </w:numPr>
        <w:spacing w:after="240" w:line="280" w:lineRule="atLeast"/>
      </w:pPr>
      <w:r w:rsidRPr="000E4C3A">
        <w:t>The provisions of the Bill relating to the setting of the PIDR were not amended in the Commons</w:t>
      </w:r>
      <w:r>
        <w:t>, but p</w:t>
      </w:r>
      <w:r w:rsidRPr="000E4C3A">
        <w:t xml:space="preserve">rovisions </w:t>
      </w:r>
      <w:r w:rsidR="00DF383E">
        <w:t xml:space="preserve">were </w:t>
      </w:r>
      <w:r>
        <w:t>added in</w:t>
      </w:r>
      <w:r w:rsidRPr="000E4C3A">
        <w:t xml:space="preserve"> the Commons and approved by the Lords under which the Treasury will make regulations holding insurers to account against their public commitments to pass on savings from the legislation</w:t>
      </w:r>
      <w:r>
        <w:t xml:space="preserve"> </w:t>
      </w:r>
      <w:r w:rsidR="006168B1">
        <w:t xml:space="preserve">and these provisions </w:t>
      </w:r>
      <w:r>
        <w:t xml:space="preserve">extend to savings resulting from </w:t>
      </w:r>
      <w:r w:rsidRPr="000E4C3A">
        <w:t>the setting of the PIDR</w:t>
      </w:r>
      <w:r>
        <w:t xml:space="preserve">. </w:t>
      </w:r>
    </w:p>
    <w:p w14:paraId="7C4DAC73" w14:textId="77777777" w:rsidR="006F1568" w:rsidRDefault="006F1568" w:rsidP="00EF1003">
      <w:pPr>
        <w:pStyle w:val="EBNumber"/>
        <w:numPr>
          <w:ilvl w:val="0"/>
          <w:numId w:val="0"/>
        </w:numPr>
        <w:spacing w:after="0" w:line="259" w:lineRule="auto"/>
        <w:ind w:left="360"/>
      </w:pPr>
    </w:p>
    <w:p w14:paraId="4ADDA878" w14:textId="77777777" w:rsidR="004410E9" w:rsidRPr="00B61884" w:rsidRDefault="007C5492" w:rsidP="00C7520F">
      <w:pPr>
        <w:pStyle w:val="EBNumber"/>
        <w:numPr>
          <w:ilvl w:val="0"/>
          <w:numId w:val="0"/>
        </w:numPr>
        <w:spacing w:after="240" w:line="259" w:lineRule="auto"/>
        <w:rPr>
          <w:b/>
          <w:sz w:val="28"/>
          <w:szCs w:val="28"/>
        </w:rPr>
      </w:pPr>
      <w:r>
        <w:br w:type="page"/>
      </w:r>
      <w:r w:rsidR="001D6E4F">
        <w:rPr>
          <w:b/>
          <w:sz w:val="28"/>
          <w:szCs w:val="28"/>
        </w:rPr>
        <w:lastRenderedPageBreak/>
        <w:t xml:space="preserve">C. </w:t>
      </w:r>
      <w:r w:rsidR="004410E9" w:rsidRPr="00B61884">
        <w:rPr>
          <w:b/>
          <w:sz w:val="28"/>
          <w:szCs w:val="28"/>
        </w:rPr>
        <w:t>Overall Policy Rationale and Objectives</w:t>
      </w:r>
    </w:p>
    <w:p w14:paraId="3494E4A0" w14:textId="77777777" w:rsidR="0097097C" w:rsidRPr="00345A35" w:rsidRDefault="0097097C" w:rsidP="0001269D">
      <w:pPr>
        <w:numPr>
          <w:ilvl w:val="0"/>
          <w:numId w:val="10"/>
        </w:numPr>
        <w:spacing w:after="120" w:line="280" w:lineRule="atLeast"/>
        <w:ind w:left="357" w:hanging="357"/>
        <w:rPr>
          <w:rFonts w:ascii="Arial" w:hAnsi="Arial" w:cs="Arial"/>
        </w:rPr>
      </w:pPr>
      <w:r w:rsidRPr="00345A35">
        <w:rPr>
          <w:rFonts w:ascii="Arial" w:hAnsi="Arial" w:cs="Arial"/>
        </w:rPr>
        <w:t xml:space="preserve">The conventional economic approaches to Government intervention </w:t>
      </w:r>
      <w:r w:rsidR="00471B30">
        <w:rPr>
          <w:rFonts w:ascii="Arial" w:hAnsi="Arial" w:cs="Arial"/>
        </w:rPr>
        <w:t>rest</w:t>
      </w:r>
      <w:r w:rsidRPr="00345A35">
        <w:rPr>
          <w:rFonts w:ascii="Arial" w:hAnsi="Arial" w:cs="Arial"/>
        </w:rPr>
        <w:t xml:space="preserve"> on efficiency or equity arguments. Governments may consider intervening if there are strong enough failures in the way markets operate (e.g. monopolies overcharging consumers) or </w:t>
      </w:r>
      <w:r w:rsidR="00D942D5">
        <w:rPr>
          <w:rFonts w:ascii="Arial" w:hAnsi="Arial" w:cs="Arial"/>
        </w:rPr>
        <w:t>similar</w:t>
      </w:r>
      <w:r w:rsidRPr="00345A35">
        <w:rPr>
          <w:rFonts w:ascii="Arial" w:hAnsi="Arial" w:cs="Arial"/>
        </w:rPr>
        <w:t xml:space="preserve"> failures in existing Government interventions (e.g. waste generated by misdirected rules) where the proposed new interventions avoid creating further disproportionate costs and distortions. The Government may also intervene for equity (fairness) and distributional reasons (e.g. to reallocate goods and services to more needy groups in society). </w:t>
      </w:r>
    </w:p>
    <w:p w14:paraId="4F13B095" w14:textId="77777777" w:rsidR="00504A8D" w:rsidRDefault="00504A8D" w:rsidP="0001269D">
      <w:pPr>
        <w:spacing w:after="0" w:line="280" w:lineRule="atLeast"/>
        <w:rPr>
          <w:rFonts w:ascii="Arial" w:eastAsia="Times New Roman" w:hAnsi="Arial" w:cs="Arial"/>
          <w:i/>
          <w:lang w:eastAsia="en-GB"/>
        </w:rPr>
      </w:pPr>
      <w:r w:rsidRPr="007C5492">
        <w:rPr>
          <w:rFonts w:ascii="Arial" w:eastAsia="Times New Roman" w:hAnsi="Arial" w:cs="Arial"/>
          <w:i/>
          <w:lang w:eastAsia="en-GB"/>
        </w:rPr>
        <w:t>Whiplash</w:t>
      </w:r>
      <w:r>
        <w:rPr>
          <w:rFonts w:ascii="Arial" w:eastAsia="Times New Roman" w:hAnsi="Arial" w:cs="Arial"/>
          <w:i/>
          <w:lang w:eastAsia="en-GB"/>
        </w:rPr>
        <w:t xml:space="preserve"> </w:t>
      </w:r>
      <w:r w:rsidR="00154B73">
        <w:rPr>
          <w:rFonts w:ascii="Arial" w:eastAsia="Times New Roman" w:hAnsi="Arial" w:cs="Arial"/>
          <w:i/>
          <w:lang w:eastAsia="en-GB"/>
        </w:rPr>
        <w:t>Reform Programme</w:t>
      </w:r>
    </w:p>
    <w:p w14:paraId="416A1188" w14:textId="77777777" w:rsidR="00710B01" w:rsidRDefault="002F474A" w:rsidP="0001269D">
      <w:pPr>
        <w:pStyle w:val="ListParagraph"/>
        <w:numPr>
          <w:ilvl w:val="0"/>
          <w:numId w:val="10"/>
        </w:numPr>
        <w:spacing w:after="120" w:line="280" w:lineRule="atLeast"/>
        <w:rPr>
          <w:rFonts w:cs="Arial"/>
          <w:sz w:val="22"/>
          <w:szCs w:val="22"/>
          <w:lang w:eastAsia="en-GB"/>
        </w:rPr>
      </w:pPr>
      <w:r w:rsidRPr="007A375F">
        <w:rPr>
          <w:rFonts w:cs="Arial"/>
          <w:sz w:val="22"/>
          <w:szCs w:val="22"/>
          <w:lang w:eastAsia="en-GB"/>
        </w:rPr>
        <w:t xml:space="preserve">The rationale for the reforms to </w:t>
      </w:r>
      <w:r w:rsidR="004E2708">
        <w:rPr>
          <w:rFonts w:cs="Arial"/>
          <w:sz w:val="22"/>
          <w:szCs w:val="22"/>
          <w:lang w:eastAsia="en-GB"/>
        </w:rPr>
        <w:t xml:space="preserve">RTA related </w:t>
      </w:r>
      <w:r w:rsidRPr="007A375F">
        <w:rPr>
          <w:rFonts w:cs="Arial"/>
          <w:sz w:val="22"/>
          <w:szCs w:val="22"/>
          <w:lang w:eastAsia="en-GB"/>
        </w:rPr>
        <w:t xml:space="preserve">whiplash claims and the process for all PI claims is efficiency. The </w:t>
      </w:r>
      <w:r w:rsidR="00A66379" w:rsidRPr="007A375F">
        <w:rPr>
          <w:rFonts w:cs="Arial"/>
          <w:sz w:val="22"/>
          <w:szCs w:val="22"/>
        </w:rPr>
        <w:t xml:space="preserve">continuing high number and cost of minor RTA </w:t>
      </w:r>
      <w:r w:rsidR="004E2708">
        <w:rPr>
          <w:rFonts w:cs="Arial"/>
          <w:sz w:val="22"/>
          <w:szCs w:val="22"/>
        </w:rPr>
        <w:t xml:space="preserve">related </w:t>
      </w:r>
      <w:r w:rsidR="00A66379" w:rsidRPr="007A375F">
        <w:rPr>
          <w:rFonts w:cs="Arial"/>
          <w:sz w:val="22"/>
          <w:szCs w:val="22"/>
        </w:rPr>
        <w:t>whiplash claims</w:t>
      </w:r>
      <w:r w:rsidR="00A66379">
        <w:rPr>
          <w:rFonts w:cs="Arial"/>
          <w:sz w:val="22"/>
          <w:szCs w:val="22"/>
        </w:rPr>
        <w:t xml:space="preserve"> </w:t>
      </w:r>
      <w:r w:rsidR="00ED5779">
        <w:rPr>
          <w:rFonts w:cs="Arial"/>
          <w:sz w:val="22"/>
          <w:szCs w:val="22"/>
        </w:rPr>
        <w:t xml:space="preserve">(described in detail in the individual IA for this legislative measure) </w:t>
      </w:r>
      <w:r w:rsidR="00A66379">
        <w:rPr>
          <w:rFonts w:cs="Arial"/>
          <w:sz w:val="22"/>
          <w:szCs w:val="22"/>
        </w:rPr>
        <w:t>is due to various interrelated market failures</w:t>
      </w:r>
      <w:r w:rsidR="00A94C50">
        <w:rPr>
          <w:rFonts w:cs="Arial"/>
          <w:sz w:val="22"/>
          <w:szCs w:val="22"/>
        </w:rPr>
        <w:t xml:space="preserve"> and the current levels of compensation,</w:t>
      </w:r>
      <w:r w:rsidR="00A66379">
        <w:rPr>
          <w:rFonts w:cs="Arial"/>
          <w:sz w:val="22"/>
          <w:szCs w:val="22"/>
        </w:rPr>
        <w:t xml:space="preserve"> which</w:t>
      </w:r>
      <w:r w:rsidR="00A94C50">
        <w:rPr>
          <w:rFonts w:cs="Arial"/>
          <w:sz w:val="22"/>
          <w:szCs w:val="22"/>
        </w:rPr>
        <w:t xml:space="preserve"> the Government believes is out of all proportion to the level of injury suffered</w:t>
      </w:r>
      <w:r w:rsidR="00512E4E">
        <w:rPr>
          <w:rFonts w:cs="Arial"/>
          <w:sz w:val="22"/>
          <w:szCs w:val="22"/>
        </w:rPr>
        <w:t>. These factors</w:t>
      </w:r>
      <w:r w:rsidR="00A94C50">
        <w:rPr>
          <w:rFonts w:cs="Arial"/>
          <w:sz w:val="22"/>
          <w:szCs w:val="22"/>
        </w:rPr>
        <w:t xml:space="preserve">, </w:t>
      </w:r>
      <w:r w:rsidR="00A66379">
        <w:rPr>
          <w:rFonts w:cs="Arial"/>
          <w:sz w:val="22"/>
          <w:szCs w:val="22"/>
        </w:rPr>
        <w:t xml:space="preserve">when combined, create incentives to make </w:t>
      </w:r>
      <w:r w:rsidR="00724A80">
        <w:rPr>
          <w:rFonts w:cs="Arial"/>
          <w:sz w:val="22"/>
          <w:szCs w:val="22"/>
        </w:rPr>
        <w:t>unmeritorious</w:t>
      </w:r>
      <w:r w:rsidR="00A66379">
        <w:rPr>
          <w:rFonts w:cs="Arial"/>
          <w:sz w:val="22"/>
          <w:szCs w:val="22"/>
        </w:rPr>
        <w:t xml:space="preserve"> claims and for defendants to settle them</w:t>
      </w:r>
      <w:r w:rsidR="00724A80">
        <w:rPr>
          <w:rFonts w:cs="Arial"/>
          <w:sz w:val="22"/>
          <w:szCs w:val="22"/>
        </w:rPr>
        <w:t xml:space="preserve"> for financial reasons</w:t>
      </w:r>
      <w:r w:rsidR="00A66379">
        <w:rPr>
          <w:rFonts w:cs="Arial"/>
          <w:sz w:val="22"/>
          <w:szCs w:val="22"/>
        </w:rPr>
        <w:t>, sometimes without the appropriate medical evidence</w:t>
      </w:r>
      <w:r w:rsidR="00724A80">
        <w:rPr>
          <w:rFonts w:cs="Arial"/>
          <w:sz w:val="22"/>
          <w:szCs w:val="22"/>
        </w:rPr>
        <w:t xml:space="preserve"> or any other form of challenge</w:t>
      </w:r>
      <w:r w:rsidR="00A66379">
        <w:rPr>
          <w:rFonts w:cs="Arial"/>
          <w:sz w:val="22"/>
          <w:szCs w:val="22"/>
        </w:rPr>
        <w:t>.</w:t>
      </w:r>
    </w:p>
    <w:p w14:paraId="1D2F5A3C" w14:textId="77777777" w:rsidR="00A66379" w:rsidRDefault="00A66379" w:rsidP="0001269D">
      <w:pPr>
        <w:pStyle w:val="ListParagraph"/>
        <w:numPr>
          <w:ilvl w:val="0"/>
          <w:numId w:val="10"/>
        </w:numPr>
        <w:spacing w:after="120" w:line="280" w:lineRule="atLeast"/>
        <w:rPr>
          <w:rFonts w:cs="Arial"/>
          <w:sz w:val="22"/>
          <w:szCs w:val="22"/>
          <w:lang w:eastAsia="en-GB"/>
        </w:rPr>
      </w:pPr>
      <w:r>
        <w:rPr>
          <w:rFonts w:cs="Arial"/>
          <w:sz w:val="22"/>
          <w:szCs w:val="22"/>
        </w:rPr>
        <w:t xml:space="preserve">The Government also believes that this has created a wider ‘claims culture’ in which it has become acceptable to make such claims. This culture imposes wider costs on the insurance sector and the holders of motor insurance </w:t>
      </w:r>
      <w:r w:rsidR="00F2391F">
        <w:rPr>
          <w:rFonts w:cs="Arial"/>
          <w:sz w:val="22"/>
          <w:szCs w:val="22"/>
        </w:rPr>
        <w:t>policies</w:t>
      </w:r>
      <w:r>
        <w:rPr>
          <w:rFonts w:cs="Arial"/>
          <w:sz w:val="22"/>
          <w:szCs w:val="22"/>
        </w:rPr>
        <w:t xml:space="preserve"> as the </w:t>
      </w:r>
      <w:r w:rsidR="00FC7BB0">
        <w:rPr>
          <w:rFonts w:cs="Arial"/>
          <w:sz w:val="22"/>
          <w:szCs w:val="22"/>
        </w:rPr>
        <w:t>c</w:t>
      </w:r>
      <w:r>
        <w:rPr>
          <w:rFonts w:cs="Arial"/>
          <w:sz w:val="22"/>
          <w:szCs w:val="22"/>
        </w:rPr>
        <w:t xml:space="preserve">osts of </w:t>
      </w:r>
      <w:r w:rsidR="00724A80">
        <w:rPr>
          <w:rFonts w:cs="Arial"/>
          <w:sz w:val="22"/>
          <w:szCs w:val="22"/>
        </w:rPr>
        <w:t>such</w:t>
      </w:r>
      <w:r w:rsidR="00F2391F">
        <w:rPr>
          <w:rFonts w:cs="Arial"/>
          <w:sz w:val="22"/>
          <w:szCs w:val="22"/>
        </w:rPr>
        <w:t xml:space="preserve"> claims </w:t>
      </w:r>
      <w:r>
        <w:rPr>
          <w:rFonts w:cs="Arial"/>
          <w:sz w:val="22"/>
          <w:szCs w:val="22"/>
        </w:rPr>
        <w:t xml:space="preserve">are passed to </w:t>
      </w:r>
      <w:r w:rsidR="00F2391F">
        <w:rPr>
          <w:rFonts w:cs="Arial"/>
          <w:sz w:val="22"/>
          <w:szCs w:val="22"/>
        </w:rPr>
        <w:t xml:space="preserve">all </w:t>
      </w:r>
      <w:r>
        <w:rPr>
          <w:rFonts w:cs="Arial"/>
          <w:sz w:val="22"/>
          <w:szCs w:val="22"/>
        </w:rPr>
        <w:t>policy holders</w:t>
      </w:r>
      <w:r w:rsidR="00FC7BB0">
        <w:rPr>
          <w:rFonts w:cs="Arial"/>
          <w:sz w:val="22"/>
          <w:szCs w:val="22"/>
        </w:rPr>
        <w:t xml:space="preserve"> in</w:t>
      </w:r>
      <w:r>
        <w:rPr>
          <w:rFonts w:cs="Arial"/>
          <w:sz w:val="22"/>
          <w:szCs w:val="22"/>
        </w:rPr>
        <w:t xml:space="preserve"> </w:t>
      </w:r>
      <w:r w:rsidR="004E2708">
        <w:rPr>
          <w:rFonts w:cs="Arial"/>
          <w:sz w:val="22"/>
          <w:szCs w:val="22"/>
        </w:rPr>
        <w:t xml:space="preserve">the form of </w:t>
      </w:r>
      <w:r>
        <w:rPr>
          <w:rFonts w:cs="Arial"/>
          <w:sz w:val="22"/>
          <w:szCs w:val="22"/>
        </w:rPr>
        <w:t>higher premiums.</w:t>
      </w:r>
    </w:p>
    <w:p w14:paraId="3CA582BE" w14:textId="77777777" w:rsidR="00F2391F" w:rsidRPr="007A375F" w:rsidRDefault="00F2391F" w:rsidP="0001269D">
      <w:pPr>
        <w:numPr>
          <w:ilvl w:val="0"/>
          <w:numId w:val="10"/>
        </w:numPr>
        <w:spacing w:after="120" w:line="280" w:lineRule="atLeast"/>
        <w:rPr>
          <w:rFonts w:ascii="Arial" w:eastAsia="Times New Roman" w:hAnsi="Arial"/>
        </w:rPr>
      </w:pPr>
      <w:r w:rsidRPr="00BF5DB6">
        <w:rPr>
          <w:rFonts w:ascii="Arial" w:hAnsi="Arial"/>
        </w:rPr>
        <w:t xml:space="preserve">The associated policy objective is to create a new simplified system which </w:t>
      </w:r>
      <w:r w:rsidR="00573B8B">
        <w:rPr>
          <w:rFonts w:ascii="Arial" w:hAnsi="Arial"/>
        </w:rPr>
        <w:t xml:space="preserve">will </w:t>
      </w:r>
      <w:r w:rsidRPr="00BF5DB6">
        <w:rPr>
          <w:rFonts w:ascii="Arial" w:hAnsi="Arial"/>
        </w:rPr>
        <w:t xml:space="preserve">ensure that where </w:t>
      </w:r>
      <w:r w:rsidR="00A94C50">
        <w:rPr>
          <w:rFonts w:ascii="Arial" w:hAnsi="Arial"/>
        </w:rPr>
        <w:t xml:space="preserve">PSLA </w:t>
      </w:r>
      <w:r w:rsidRPr="00BF5DB6">
        <w:rPr>
          <w:rFonts w:ascii="Arial" w:hAnsi="Arial"/>
        </w:rPr>
        <w:t xml:space="preserve">compensation is paid following an RTA resulting in a whiplash related injury claim the amount paid to the claimant is proportionate to the injury suffered and only for genuine injuries, supported by </w:t>
      </w:r>
      <w:proofErr w:type="gramStart"/>
      <w:r w:rsidRPr="00BF5DB6">
        <w:rPr>
          <w:rFonts w:ascii="Arial" w:hAnsi="Arial"/>
        </w:rPr>
        <w:t>good quality</w:t>
      </w:r>
      <w:proofErr w:type="gramEnd"/>
      <w:r w:rsidRPr="00BF5DB6">
        <w:rPr>
          <w:rFonts w:ascii="Arial" w:hAnsi="Arial"/>
        </w:rPr>
        <w:t xml:space="preserve"> medical evidence from a properly accredited medical expert. The more specific policy objectives are:</w:t>
      </w:r>
    </w:p>
    <w:p w14:paraId="34958FC9" w14:textId="77777777" w:rsidR="00F2391F" w:rsidRPr="00F2391F" w:rsidRDefault="00F2391F" w:rsidP="0001269D">
      <w:pPr>
        <w:numPr>
          <w:ilvl w:val="0"/>
          <w:numId w:val="17"/>
        </w:numPr>
        <w:spacing w:after="120" w:line="280" w:lineRule="atLeast"/>
        <w:ind w:left="1134" w:hanging="283"/>
        <w:rPr>
          <w:rFonts w:ascii="Arial" w:eastAsia="Times New Roman" w:hAnsi="Arial"/>
        </w:rPr>
      </w:pPr>
      <w:r w:rsidRPr="00F2391F">
        <w:rPr>
          <w:rFonts w:ascii="Arial" w:eastAsia="Times New Roman" w:hAnsi="Arial"/>
        </w:rPr>
        <w:t>To create a balanced, predictable and proportionate system for the payment of compensation for PSLA for whiplash related claims.</w:t>
      </w:r>
    </w:p>
    <w:p w14:paraId="68B9E6E9" w14:textId="77777777" w:rsidR="00F2391F" w:rsidRDefault="00F2391F" w:rsidP="0001269D">
      <w:pPr>
        <w:numPr>
          <w:ilvl w:val="0"/>
          <w:numId w:val="17"/>
        </w:numPr>
        <w:spacing w:after="120" w:line="280" w:lineRule="atLeast"/>
        <w:ind w:left="1134" w:hanging="283"/>
        <w:rPr>
          <w:rFonts w:ascii="Arial" w:eastAsia="Times New Roman" w:hAnsi="Arial"/>
        </w:rPr>
      </w:pPr>
      <w:r w:rsidRPr="00F2391F">
        <w:rPr>
          <w:rFonts w:ascii="Arial" w:eastAsia="Times New Roman" w:hAnsi="Arial"/>
        </w:rPr>
        <w:t>To reduce the incentives to bring forward minor, exaggerated and fraudulent whiplash related claims and therefore reduce the overall cost to motorists through lower motor insurance premiums.</w:t>
      </w:r>
    </w:p>
    <w:p w14:paraId="3EDC7121" w14:textId="77777777" w:rsidR="00BF5DB6" w:rsidRPr="00580670" w:rsidRDefault="00BF5DB6" w:rsidP="0001269D">
      <w:pPr>
        <w:numPr>
          <w:ilvl w:val="0"/>
          <w:numId w:val="10"/>
        </w:numPr>
        <w:spacing w:after="120" w:line="280" w:lineRule="atLeast"/>
        <w:rPr>
          <w:rFonts w:ascii="Arial" w:hAnsi="Arial" w:cs="Arial"/>
        </w:rPr>
      </w:pPr>
      <w:r w:rsidRPr="00580670">
        <w:rPr>
          <w:rFonts w:ascii="Arial" w:hAnsi="Arial" w:cs="Arial"/>
        </w:rPr>
        <w:t xml:space="preserve">The reforms to whiplash related claims </w:t>
      </w:r>
      <w:r w:rsidR="00724A80" w:rsidRPr="00580670">
        <w:rPr>
          <w:rFonts w:ascii="Arial" w:hAnsi="Arial" w:cs="Arial"/>
        </w:rPr>
        <w:t>and</w:t>
      </w:r>
      <w:r w:rsidR="00724A80">
        <w:rPr>
          <w:rFonts w:ascii="Arial" w:hAnsi="Arial" w:cs="Arial"/>
        </w:rPr>
        <w:t xml:space="preserve"> the associated measure to </w:t>
      </w:r>
      <w:r w:rsidRPr="00580670">
        <w:rPr>
          <w:rFonts w:ascii="Arial" w:hAnsi="Arial" w:cs="Arial"/>
        </w:rPr>
        <w:t>rais</w:t>
      </w:r>
      <w:r w:rsidR="00724A80">
        <w:rPr>
          <w:rFonts w:ascii="Arial" w:hAnsi="Arial" w:cs="Arial"/>
        </w:rPr>
        <w:t xml:space="preserve">e </w:t>
      </w:r>
      <w:r w:rsidRPr="00580670">
        <w:rPr>
          <w:rFonts w:ascii="Arial" w:hAnsi="Arial" w:cs="Arial"/>
        </w:rPr>
        <w:t>the SCT limits will make a substantial contribution to the Government’s target of reducing the regulatory burden on business.</w:t>
      </w:r>
    </w:p>
    <w:p w14:paraId="29ECDBD3" w14:textId="77777777" w:rsidR="00710B01" w:rsidRDefault="00710B01" w:rsidP="0001269D">
      <w:pPr>
        <w:spacing w:after="0" w:line="280" w:lineRule="atLeast"/>
        <w:rPr>
          <w:rFonts w:ascii="Arial" w:eastAsia="Times New Roman" w:hAnsi="Arial" w:cs="Arial"/>
          <w:i/>
          <w:lang w:eastAsia="en-GB"/>
        </w:rPr>
      </w:pPr>
      <w:r w:rsidRPr="001A456C">
        <w:rPr>
          <w:rFonts w:ascii="Arial" w:eastAsia="Times New Roman" w:hAnsi="Arial" w:cs="Arial"/>
          <w:i/>
          <w:lang w:eastAsia="en-GB"/>
        </w:rPr>
        <w:t>Personal Injury Discount Rate</w:t>
      </w:r>
    </w:p>
    <w:p w14:paraId="7EBA0983" w14:textId="77777777" w:rsidR="00D42FB6" w:rsidRPr="009D2A01" w:rsidRDefault="00C451CC" w:rsidP="0001269D">
      <w:pPr>
        <w:numPr>
          <w:ilvl w:val="0"/>
          <w:numId w:val="10"/>
        </w:numPr>
        <w:spacing w:after="120" w:line="280" w:lineRule="atLeast"/>
        <w:ind w:left="357"/>
        <w:rPr>
          <w:rFonts w:ascii="Arial" w:hAnsi="Arial" w:cs="Arial"/>
        </w:rPr>
      </w:pPr>
      <w:r w:rsidRPr="00D42FB6">
        <w:rPr>
          <w:rFonts w:ascii="Arial" w:hAnsi="Arial" w:cs="Arial"/>
        </w:rPr>
        <w:t>In seriou</w:t>
      </w:r>
      <w:r w:rsidRPr="006D3E9A">
        <w:rPr>
          <w:rFonts w:ascii="Arial" w:hAnsi="Arial" w:cs="Arial"/>
        </w:rPr>
        <w:t xml:space="preserve">s personal injury </w:t>
      </w:r>
      <w:r w:rsidR="007A5053">
        <w:rPr>
          <w:rFonts w:ascii="Arial" w:hAnsi="Arial" w:cs="Arial"/>
        </w:rPr>
        <w:t xml:space="preserve">cases, </w:t>
      </w:r>
      <w:r w:rsidRPr="006D3E9A">
        <w:rPr>
          <w:rFonts w:ascii="Arial" w:hAnsi="Arial" w:cs="Arial"/>
        </w:rPr>
        <w:t>claimants, including children, with serious injuries caused by the fault or negligence</w:t>
      </w:r>
      <w:r w:rsidRPr="009D2A01">
        <w:rPr>
          <w:rFonts w:ascii="Arial" w:hAnsi="Arial" w:cs="Arial"/>
        </w:rPr>
        <w:t xml:space="preserve"> of others</w:t>
      </w:r>
      <w:r w:rsidR="00D42FB6" w:rsidRPr="009D2A01">
        <w:rPr>
          <w:rFonts w:ascii="Arial" w:hAnsi="Arial" w:cs="Arial"/>
        </w:rPr>
        <w:t xml:space="preserve"> </w:t>
      </w:r>
      <w:r w:rsidRPr="009D2A01">
        <w:rPr>
          <w:rFonts w:ascii="Arial" w:hAnsi="Arial" w:cs="Arial"/>
        </w:rPr>
        <w:t xml:space="preserve">require compensation </w:t>
      </w:r>
      <w:r w:rsidR="00D42FB6" w:rsidRPr="009D2A01">
        <w:rPr>
          <w:rFonts w:ascii="Arial" w:hAnsi="Arial" w:cs="Arial"/>
        </w:rPr>
        <w:t xml:space="preserve">to meet their </w:t>
      </w:r>
      <w:r w:rsidR="0077685E">
        <w:rPr>
          <w:rFonts w:ascii="Arial" w:hAnsi="Arial" w:cs="Arial"/>
        </w:rPr>
        <w:t xml:space="preserve">on-going </w:t>
      </w:r>
      <w:r w:rsidR="00D42FB6" w:rsidRPr="006D3E9A">
        <w:rPr>
          <w:rFonts w:ascii="Arial" w:hAnsi="Arial" w:cs="Arial"/>
        </w:rPr>
        <w:t>financial needs</w:t>
      </w:r>
      <w:r w:rsidR="00F900B2">
        <w:rPr>
          <w:rFonts w:ascii="Arial" w:hAnsi="Arial" w:cs="Arial"/>
        </w:rPr>
        <w:t>, often</w:t>
      </w:r>
      <w:r w:rsidR="00D42FB6" w:rsidRPr="006D3E9A">
        <w:rPr>
          <w:rFonts w:ascii="Arial" w:hAnsi="Arial" w:cs="Arial"/>
        </w:rPr>
        <w:t xml:space="preserve"> </w:t>
      </w:r>
      <w:r w:rsidRPr="009D2A01">
        <w:rPr>
          <w:rFonts w:ascii="Arial" w:hAnsi="Arial" w:cs="Arial"/>
        </w:rPr>
        <w:t xml:space="preserve">over </w:t>
      </w:r>
      <w:proofErr w:type="gramStart"/>
      <w:r w:rsidRPr="009D2A01">
        <w:rPr>
          <w:rFonts w:ascii="Arial" w:hAnsi="Arial" w:cs="Arial"/>
        </w:rPr>
        <w:t>long periods</w:t>
      </w:r>
      <w:proofErr w:type="gramEnd"/>
      <w:r w:rsidRPr="009D2A01">
        <w:rPr>
          <w:rFonts w:ascii="Arial" w:hAnsi="Arial" w:cs="Arial"/>
        </w:rPr>
        <w:t xml:space="preserve"> of time</w:t>
      </w:r>
      <w:r w:rsidR="00F900B2">
        <w:rPr>
          <w:rFonts w:ascii="Arial" w:hAnsi="Arial" w:cs="Arial"/>
        </w:rPr>
        <w:t xml:space="preserve"> and</w:t>
      </w:r>
      <w:r w:rsidR="0077685E">
        <w:rPr>
          <w:rFonts w:ascii="Arial" w:hAnsi="Arial" w:cs="Arial"/>
        </w:rPr>
        <w:t xml:space="preserve"> sometimes the rest of their lives</w:t>
      </w:r>
      <w:r w:rsidR="00D42FB6" w:rsidRPr="006D3E9A">
        <w:rPr>
          <w:rFonts w:ascii="Arial" w:hAnsi="Arial" w:cs="Arial"/>
        </w:rPr>
        <w:t xml:space="preserve">. These financial </w:t>
      </w:r>
      <w:r w:rsidR="00D42FB6" w:rsidRPr="009D2A01">
        <w:rPr>
          <w:rFonts w:ascii="Arial" w:hAnsi="Arial" w:cs="Arial"/>
        </w:rPr>
        <w:t xml:space="preserve">needs can relate to the costs of obtaining personal care and to any loss of income resulting from the injury. </w:t>
      </w:r>
      <w:r w:rsidR="004E41EA" w:rsidRPr="009D2A01">
        <w:rPr>
          <w:rFonts w:ascii="Arial" w:hAnsi="Arial" w:cs="Arial"/>
        </w:rPr>
        <w:t xml:space="preserve">Personal injury damages are intended to compensate the claimant for all </w:t>
      </w:r>
      <w:r w:rsidR="00D42FB6" w:rsidRPr="009D2A01">
        <w:rPr>
          <w:rFonts w:ascii="Arial" w:hAnsi="Arial" w:cs="Arial"/>
        </w:rPr>
        <w:t>such</w:t>
      </w:r>
      <w:r w:rsidR="004E41EA" w:rsidRPr="009D2A01">
        <w:rPr>
          <w:rFonts w:ascii="Arial" w:hAnsi="Arial" w:cs="Arial"/>
        </w:rPr>
        <w:t xml:space="preserve"> losses, past and future, caused by the injury (“the 100% rule”). Future </w:t>
      </w:r>
      <w:proofErr w:type="gramStart"/>
      <w:r w:rsidR="004E41EA" w:rsidRPr="009D2A01">
        <w:rPr>
          <w:rFonts w:ascii="Arial" w:hAnsi="Arial" w:cs="Arial"/>
        </w:rPr>
        <w:t>financial loss</w:t>
      </w:r>
      <w:proofErr w:type="gramEnd"/>
      <w:r w:rsidR="004E41EA" w:rsidRPr="009D2A01">
        <w:rPr>
          <w:rFonts w:ascii="Arial" w:hAnsi="Arial" w:cs="Arial"/>
        </w:rPr>
        <w:t xml:space="preserve"> (e.g. </w:t>
      </w:r>
      <w:r w:rsidR="00413DEB" w:rsidRPr="009D2A01">
        <w:rPr>
          <w:rFonts w:ascii="Arial" w:hAnsi="Arial" w:cs="Arial"/>
        </w:rPr>
        <w:t xml:space="preserve">those associated with </w:t>
      </w:r>
      <w:r w:rsidR="004E41EA" w:rsidRPr="009D2A01">
        <w:rPr>
          <w:rFonts w:ascii="Arial" w:hAnsi="Arial" w:cs="Arial"/>
        </w:rPr>
        <w:t xml:space="preserve">loss of income and </w:t>
      </w:r>
      <w:r w:rsidR="00413DEB" w:rsidRPr="009D2A01">
        <w:rPr>
          <w:rFonts w:ascii="Arial" w:hAnsi="Arial" w:cs="Arial"/>
        </w:rPr>
        <w:t xml:space="preserve">on-going </w:t>
      </w:r>
      <w:r w:rsidR="004E41EA" w:rsidRPr="009D2A01">
        <w:rPr>
          <w:rFonts w:ascii="Arial" w:hAnsi="Arial" w:cs="Arial"/>
        </w:rPr>
        <w:t xml:space="preserve">costs of care) can be paid by a lump sum or a stream of future payments under a Periodical Payments Order (PPO). Typically, large awards will include both. </w:t>
      </w:r>
    </w:p>
    <w:p w14:paraId="420BDAF4" w14:textId="77777777" w:rsidR="00D42FB6" w:rsidRDefault="004E41EA" w:rsidP="0001269D">
      <w:pPr>
        <w:numPr>
          <w:ilvl w:val="0"/>
          <w:numId w:val="10"/>
        </w:numPr>
        <w:spacing w:after="120" w:line="280" w:lineRule="atLeast"/>
        <w:ind w:left="357"/>
        <w:rPr>
          <w:rFonts w:ascii="Arial" w:hAnsi="Arial" w:cs="Arial"/>
        </w:rPr>
      </w:pPr>
      <w:r w:rsidRPr="006D3E9A">
        <w:rPr>
          <w:rFonts w:ascii="Arial" w:hAnsi="Arial" w:cs="Arial"/>
        </w:rPr>
        <w:lastRenderedPageBreak/>
        <w:t xml:space="preserve">The calculation of a lump sum includes applying a discount rate which represents the rate of return that claimants are expected </w:t>
      </w:r>
      <w:r w:rsidRPr="009D2A01">
        <w:rPr>
          <w:rFonts w:ascii="Arial" w:hAnsi="Arial" w:cs="Arial"/>
        </w:rPr>
        <w:t>to earn when investing it. This Personal Injury Discount Rate is intended to ensure that the opportunity to invest does not result in either over or under</w:t>
      </w:r>
      <w:r w:rsidR="00EB6418" w:rsidRPr="009D2A01">
        <w:rPr>
          <w:rFonts w:ascii="Arial" w:hAnsi="Arial" w:cs="Arial"/>
        </w:rPr>
        <w:t>-</w:t>
      </w:r>
      <w:r w:rsidRPr="009D2A01">
        <w:rPr>
          <w:rFonts w:ascii="Arial" w:hAnsi="Arial" w:cs="Arial"/>
        </w:rPr>
        <w:t>compensation.</w:t>
      </w:r>
      <w:r w:rsidR="00D42FB6">
        <w:rPr>
          <w:rFonts w:ascii="Arial" w:hAnsi="Arial" w:cs="Arial"/>
        </w:rPr>
        <w:t xml:space="preserve"> </w:t>
      </w:r>
      <w:r w:rsidRPr="00FC0DAB">
        <w:rPr>
          <w:rFonts w:ascii="Arial" w:hAnsi="Arial" w:cs="Arial"/>
        </w:rPr>
        <w:t xml:space="preserve">The Damages Act 1996 gave the Lord Chancellor power to set a </w:t>
      </w:r>
      <w:r>
        <w:rPr>
          <w:rFonts w:ascii="Arial" w:hAnsi="Arial" w:cs="Arial"/>
        </w:rPr>
        <w:t>Personal Injury Discount R</w:t>
      </w:r>
      <w:r w:rsidRPr="00FC0DAB">
        <w:rPr>
          <w:rFonts w:ascii="Arial" w:hAnsi="Arial" w:cs="Arial"/>
        </w:rPr>
        <w:t xml:space="preserve">ate </w:t>
      </w:r>
      <w:r>
        <w:rPr>
          <w:rFonts w:ascii="Arial" w:hAnsi="Arial" w:cs="Arial"/>
        </w:rPr>
        <w:t xml:space="preserve">(or rates) </w:t>
      </w:r>
      <w:r w:rsidRPr="00FC0DAB">
        <w:rPr>
          <w:rFonts w:ascii="Arial" w:hAnsi="Arial" w:cs="Arial"/>
        </w:rPr>
        <w:t xml:space="preserve">for the courts to apply. </w:t>
      </w:r>
    </w:p>
    <w:p w14:paraId="5BDB9FED" w14:textId="77777777" w:rsidR="004E41EA" w:rsidRPr="00FC0DAB" w:rsidRDefault="00D42FB6" w:rsidP="0001269D">
      <w:pPr>
        <w:numPr>
          <w:ilvl w:val="0"/>
          <w:numId w:val="10"/>
        </w:numPr>
        <w:spacing w:after="120" w:line="280" w:lineRule="atLeast"/>
        <w:ind w:left="357"/>
        <w:rPr>
          <w:rFonts w:ascii="Arial" w:hAnsi="Arial" w:cs="Arial"/>
        </w:rPr>
      </w:pPr>
      <w:r>
        <w:rPr>
          <w:rFonts w:ascii="Arial" w:hAnsi="Arial" w:cs="Arial"/>
        </w:rPr>
        <w:t xml:space="preserve">Because of their dependence on their award, claimants in serious personal injury cases differ from other investors in that they have less choice as to whether </w:t>
      </w:r>
      <w:r w:rsidR="0077685E">
        <w:rPr>
          <w:rFonts w:ascii="Arial" w:hAnsi="Arial" w:cs="Arial"/>
        </w:rPr>
        <w:t xml:space="preserve">and how </w:t>
      </w:r>
      <w:r>
        <w:rPr>
          <w:rFonts w:ascii="Arial" w:hAnsi="Arial" w:cs="Arial"/>
        </w:rPr>
        <w:t xml:space="preserve">to invest. </w:t>
      </w:r>
      <w:r w:rsidR="00EB6418">
        <w:rPr>
          <w:rFonts w:ascii="Arial" w:hAnsi="Arial" w:cs="Arial"/>
        </w:rPr>
        <w:t>Under the current legal framework,</w:t>
      </w:r>
      <w:r w:rsidR="004E41EA" w:rsidRPr="00FC0DAB">
        <w:rPr>
          <w:rFonts w:ascii="Arial" w:hAnsi="Arial" w:cs="Arial"/>
        </w:rPr>
        <w:t xml:space="preserve"> the rate is calculated on the basis that the claimant is a very risk averse investor (as per the House of Lords ruling in the 1998 case of </w:t>
      </w:r>
      <w:r w:rsidR="004E41EA" w:rsidRPr="00FC0DAB">
        <w:rPr>
          <w:rFonts w:ascii="Arial" w:hAnsi="Arial" w:cs="Arial"/>
          <w:i/>
        </w:rPr>
        <w:t>Wells v Wells</w:t>
      </w:r>
      <w:r w:rsidR="004E41EA" w:rsidRPr="00FC0DAB">
        <w:rPr>
          <w:rFonts w:ascii="Arial" w:hAnsi="Arial" w:cs="Arial"/>
        </w:rPr>
        <w:t>). The rate has therefore been set by reference to yields on Index Linked Gilts (ILG</w:t>
      </w:r>
      <w:r w:rsidR="00EB6418">
        <w:rPr>
          <w:rFonts w:ascii="Arial" w:hAnsi="Arial" w:cs="Arial"/>
        </w:rPr>
        <w:t>S</w:t>
      </w:r>
      <w:r w:rsidR="004E41EA" w:rsidRPr="00FC0DAB">
        <w:rPr>
          <w:rFonts w:ascii="Arial" w:hAnsi="Arial" w:cs="Arial"/>
        </w:rPr>
        <w:t>) since 1998. The Lord Chancellor is under a continuing legal duty to ensure that the rate prescribed is not inappropriate by reference to the requirements of the law.</w:t>
      </w:r>
    </w:p>
    <w:p w14:paraId="13932669" w14:textId="77777777" w:rsidR="00BF5DB6" w:rsidRDefault="001D6ACA" w:rsidP="0001269D">
      <w:pPr>
        <w:numPr>
          <w:ilvl w:val="0"/>
          <w:numId w:val="10"/>
        </w:numPr>
        <w:spacing w:after="120" w:line="280" w:lineRule="atLeast"/>
        <w:ind w:left="357"/>
        <w:rPr>
          <w:rFonts w:ascii="Arial" w:hAnsi="Arial" w:cs="Arial"/>
        </w:rPr>
      </w:pPr>
      <w:r w:rsidRPr="00FC0DAB">
        <w:rPr>
          <w:rFonts w:ascii="Arial" w:hAnsi="Arial" w:cs="Arial"/>
        </w:rPr>
        <w:t>Applying the current law, the then Lord Chancellor set the rate at 2.5% real in June 2001 and at minus 0.75% in March 2017. Following the change in March 2017 (the first review for 16 years) the cost to insurers was estimated at around £2bn a year with an increase of £50-£75 on an average comprehensive motor insurance policy; whilst the Government has set aside £1.2</w:t>
      </w:r>
      <w:r w:rsidR="009B6D7D">
        <w:rPr>
          <w:rFonts w:ascii="Arial" w:hAnsi="Arial" w:cs="Arial"/>
        </w:rPr>
        <w:t>bn</w:t>
      </w:r>
      <w:r w:rsidRPr="00FC0DAB">
        <w:rPr>
          <w:rFonts w:ascii="Arial" w:hAnsi="Arial" w:cs="Arial"/>
        </w:rPr>
        <w:t xml:space="preserve"> a year to meet the expected additional costs to the public sector. </w:t>
      </w:r>
    </w:p>
    <w:p w14:paraId="0F353F6C" w14:textId="77777777" w:rsidR="0075702E" w:rsidRPr="007A375F" w:rsidRDefault="0077685E" w:rsidP="0001269D">
      <w:pPr>
        <w:keepNext/>
        <w:numPr>
          <w:ilvl w:val="0"/>
          <w:numId w:val="10"/>
        </w:numPr>
        <w:spacing w:after="120" w:line="280" w:lineRule="atLeast"/>
        <w:ind w:left="357"/>
        <w:rPr>
          <w:rFonts w:ascii="Arial" w:hAnsi="Arial" w:cs="Arial"/>
        </w:rPr>
      </w:pPr>
      <w:r>
        <w:rPr>
          <w:rFonts w:ascii="Arial" w:hAnsi="Arial" w:cs="Arial"/>
        </w:rPr>
        <w:t xml:space="preserve">The </w:t>
      </w:r>
      <w:r w:rsidR="001D6ACA" w:rsidRPr="007A375F">
        <w:rPr>
          <w:rFonts w:ascii="Arial" w:hAnsi="Arial" w:cs="Arial"/>
        </w:rPr>
        <w:t>Ministry of Justice subsequently consulted on how, when and by whom the rate should be set in future.</w:t>
      </w:r>
      <w:r w:rsidR="00BF5DB6" w:rsidRPr="007A375F">
        <w:rPr>
          <w:rFonts w:ascii="Arial" w:hAnsi="Arial" w:cs="Arial"/>
        </w:rPr>
        <w:t xml:space="preserve"> </w:t>
      </w:r>
      <w:r w:rsidR="00A35871" w:rsidRPr="007A375F">
        <w:rPr>
          <w:rFonts w:ascii="Arial" w:hAnsi="Arial" w:cs="Arial"/>
        </w:rPr>
        <w:t xml:space="preserve">The consultation evidence suggested </w:t>
      </w:r>
      <w:r w:rsidR="00EB6418">
        <w:rPr>
          <w:rFonts w:ascii="Arial" w:hAnsi="Arial" w:cs="Arial"/>
        </w:rPr>
        <w:t>PI</w:t>
      </w:r>
      <w:r w:rsidR="00A35871" w:rsidRPr="007A375F">
        <w:rPr>
          <w:rFonts w:ascii="Arial" w:hAnsi="Arial" w:cs="Arial"/>
        </w:rPr>
        <w:t xml:space="preserve"> claimants are advised and do invest in a range of portfolios including those of </w:t>
      </w:r>
      <w:proofErr w:type="gramStart"/>
      <w:r w:rsidR="00A35871" w:rsidRPr="007A375F">
        <w:rPr>
          <w:rFonts w:ascii="Arial" w:hAnsi="Arial" w:cs="Arial"/>
        </w:rPr>
        <w:t>low risk</w:t>
      </w:r>
      <w:proofErr w:type="gramEnd"/>
      <w:r w:rsidR="00A35871" w:rsidRPr="007A375F">
        <w:rPr>
          <w:rFonts w:ascii="Arial" w:hAnsi="Arial" w:cs="Arial"/>
        </w:rPr>
        <w:t xml:space="preserve"> and medium risk (none invested in ILGS alone). By </w:t>
      </w:r>
      <w:r>
        <w:rPr>
          <w:rFonts w:ascii="Arial" w:hAnsi="Arial" w:cs="Arial"/>
        </w:rPr>
        <w:t>investing in portfolios</w:t>
      </w:r>
      <w:r w:rsidR="00A35871" w:rsidRPr="007A375F">
        <w:rPr>
          <w:rFonts w:ascii="Arial" w:hAnsi="Arial" w:cs="Arial"/>
        </w:rPr>
        <w:t xml:space="preserve"> </w:t>
      </w:r>
      <w:r>
        <w:rPr>
          <w:rFonts w:ascii="Arial" w:hAnsi="Arial" w:cs="Arial"/>
        </w:rPr>
        <w:t>of</w:t>
      </w:r>
      <w:r w:rsidR="00A35871" w:rsidRPr="007A375F">
        <w:rPr>
          <w:rFonts w:ascii="Arial" w:hAnsi="Arial" w:cs="Arial"/>
        </w:rPr>
        <w:t xml:space="preserve"> low or medium risk, claimants expos</w:t>
      </w:r>
      <w:r>
        <w:rPr>
          <w:rFonts w:ascii="Arial" w:hAnsi="Arial" w:cs="Arial"/>
        </w:rPr>
        <w:t>e</w:t>
      </w:r>
      <w:r w:rsidR="00A35871" w:rsidRPr="007A375F">
        <w:rPr>
          <w:rFonts w:ascii="Arial" w:hAnsi="Arial" w:cs="Arial"/>
        </w:rPr>
        <w:t xml:space="preserve"> themselves to higher levels of investment risk than assumed under the current legal framework but are, on average, likely to achieve returns considerably higher than the current </w:t>
      </w:r>
      <w:r w:rsidR="00EB6418">
        <w:rPr>
          <w:rFonts w:ascii="Arial" w:hAnsi="Arial" w:cs="Arial"/>
        </w:rPr>
        <w:t>discount rate</w:t>
      </w:r>
      <w:r w:rsidR="00A35871" w:rsidRPr="007A375F">
        <w:rPr>
          <w:rFonts w:ascii="Arial" w:hAnsi="Arial" w:cs="Arial"/>
        </w:rPr>
        <w:t xml:space="preserve">; that is, they are likely to be over-compensated, on average. </w:t>
      </w:r>
    </w:p>
    <w:p w14:paraId="08CECB55" w14:textId="77777777" w:rsidR="0046656B" w:rsidRPr="006D3E9A" w:rsidRDefault="0075702E" w:rsidP="0001269D">
      <w:pPr>
        <w:numPr>
          <w:ilvl w:val="0"/>
          <w:numId w:val="10"/>
        </w:numPr>
        <w:spacing w:after="120" w:line="280" w:lineRule="atLeast"/>
        <w:ind w:left="357"/>
        <w:rPr>
          <w:rFonts w:ascii="Arial" w:hAnsi="Arial" w:cs="Arial"/>
        </w:rPr>
      </w:pPr>
      <w:r>
        <w:rPr>
          <w:rFonts w:ascii="Arial" w:hAnsi="Arial" w:cs="Arial"/>
        </w:rPr>
        <w:t xml:space="preserve">In summary, the primary rationale for intervention to </w:t>
      </w:r>
      <w:r w:rsidR="009B6D7D">
        <w:rPr>
          <w:rFonts w:ascii="Arial" w:hAnsi="Arial" w:cs="Arial"/>
        </w:rPr>
        <w:t xml:space="preserve">reform </w:t>
      </w:r>
      <w:r>
        <w:rPr>
          <w:rFonts w:ascii="Arial" w:hAnsi="Arial" w:cs="Arial"/>
        </w:rPr>
        <w:t xml:space="preserve">the legal framework for </w:t>
      </w:r>
      <w:r w:rsidR="00BF5DB6">
        <w:rPr>
          <w:rFonts w:ascii="Arial" w:hAnsi="Arial" w:cs="Arial"/>
        </w:rPr>
        <w:t xml:space="preserve">the </w:t>
      </w:r>
      <w:r>
        <w:rPr>
          <w:rFonts w:ascii="Arial" w:hAnsi="Arial" w:cs="Arial"/>
        </w:rPr>
        <w:t xml:space="preserve">setting the Personal Injury </w:t>
      </w:r>
      <w:r w:rsidR="00EB6418">
        <w:rPr>
          <w:rFonts w:ascii="Arial" w:hAnsi="Arial" w:cs="Arial"/>
        </w:rPr>
        <w:t xml:space="preserve">Discount Rate </w:t>
      </w:r>
      <w:r>
        <w:rPr>
          <w:rFonts w:ascii="Arial" w:hAnsi="Arial" w:cs="Arial"/>
        </w:rPr>
        <w:t xml:space="preserve">is equity (fairness). </w:t>
      </w:r>
      <w:r w:rsidR="009B6D7D">
        <w:rPr>
          <w:rFonts w:ascii="Arial" w:hAnsi="Arial" w:cs="Arial"/>
        </w:rPr>
        <w:t>While continuing to recognise and respect the circumstances in which they find themselves, t</w:t>
      </w:r>
      <w:r w:rsidR="0046656B">
        <w:rPr>
          <w:rFonts w:ascii="Arial" w:hAnsi="Arial" w:cs="Arial"/>
        </w:rPr>
        <w:t>he Government has concluded that</w:t>
      </w:r>
      <w:r w:rsidR="0046656B" w:rsidRPr="00FC0DAB">
        <w:rPr>
          <w:rFonts w:ascii="Arial" w:hAnsi="Arial" w:cs="Arial"/>
        </w:rPr>
        <w:t xml:space="preserve"> the present law requires the </w:t>
      </w:r>
      <w:r w:rsidR="00F06185">
        <w:rPr>
          <w:rFonts w:ascii="Arial" w:hAnsi="Arial" w:cs="Arial"/>
        </w:rPr>
        <w:t>Personal Injury D</w:t>
      </w:r>
      <w:r w:rsidR="0046656B" w:rsidRPr="00FC0DAB">
        <w:rPr>
          <w:rFonts w:ascii="Arial" w:hAnsi="Arial" w:cs="Arial"/>
        </w:rPr>
        <w:t xml:space="preserve">iscount </w:t>
      </w:r>
      <w:r w:rsidR="00F06185">
        <w:rPr>
          <w:rFonts w:ascii="Arial" w:hAnsi="Arial" w:cs="Arial"/>
        </w:rPr>
        <w:t>R</w:t>
      </w:r>
      <w:r w:rsidR="0046656B" w:rsidRPr="00FC0DAB">
        <w:rPr>
          <w:rFonts w:ascii="Arial" w:hAnsi="Arial" w:cs="Arial"/>
        </w:rPr>
        <w:t xml:space="preserve">ate to be set by reference to unrealistic assumptions about the way that claimants invest their awards. This leads to systemic over-compensation of claimants who chose to take their damages for future </w:t>
      </w:r>
      <w:proofErr w:type="gramStart"/>
      <w:r w:rsidR="0046656B" w:rsidRPr="00FC0DAB">
        <w:rPr>
          <w:rFonts w:ascii="Arial" w:hAnsi="Arial" w:cs="Arial"/>
        </w:rPr>
        <w:t>financial loss</w:t>
      </w:r>
      <w:proofErr w:type="gramEnd"/>
      <w:r w:rsidR="0046656B" w:rsidRPr="00FC0DAB">
        <w:rPr>
          <w:rFonts w:ascii="Arial" w:hAnsi="Arial" w:cs="Arial"/>
        </w:rPr>
        <w:t xml:space="preserve"> as a lump sum rather than a stream of future payments</w:t>
      </w:r>
      <w:r w:rsidR="0046656B" w:rsidRPr="006D3E9A">
        <w:rPr>
          <w:rFonts w:ascii="Arial" w:hAnsi="Arial" w:cs="Arial"/>
        </w:rPr>
        <w:t xml:space="preserve">. </w:t>
      </w:r>
      <w:r w:rsidR="0046656B" w:rsidRPr="009D2A01">
        <w:rPr>
          <w:rFonts w:ascii="Arial" w:hAnsi="Arial" w:cs="Arial"/>
        </w:rPr>
        <w:t xml:space="preserve"> </w:t>
      </w:r>
      <w:r w:rsidR="009B6D7D" w:rsidRPr="009D2A01">
        <w:rPr>
          <w:rFonts w:ascii="Arial" w:hAnsi="Arial" w:cs="Arial"/>
        </w:rPr>
        <w:t>The Government’s preferred option also includes legislative measures to increase the levels of transparency and predictability in setting the Personal Injury Discount Rate in future.</w:t>
      </w:r>
    </w:p>
    <w:p w14:paraId="005B3F18" w14:textId="77777777" w:rsidR="009B6D7D" w:rsidRDefault="0075702E" w:rsidP="0001269D">
      <w:pPr>
        <w:numPr>
          <w:ilvl w:val="0"/>
          <w:numId w:val="10"/>
        </w:numPr>
        <w:spacing w:after="120" w:line="280" w:lineRule="atLeast"/>
        <w:ind w:left="357"/>
        <w:rPr>
          <w:rFonts w:ascii="Arial" w:hAnsi="Arial" w:cs="Arial"/>
        </w:rPr>
      </w:pPr>
      <w:r w:rsidRPr="009D2A01">
        <w:rPr>
          <w:rFonts w:ascii="Arial" w:hAnsi="Arial" w:cs="Arial"/>
        </w:rPr>
        <w:t xml:space="preserve">The associated policy </w:t>
      </w:r>
      <w:r w:rsidR="00EB6418" w:rsidRPr="009D2A01">
        <w:rPr>
          <w:rFonts w:ascii="Arial" w:hAnsi="Arial" w:cs="Arial"/>
        </w:rPr>
        <w:t>objective</w:t>
      </w:r>
      <w:r w:rsidRPr="009D2A01">
        <w:rPr>
          <w:rFonts w:ascii="Arial" w:hAnsi="Arial" w:cs="Arial"/>
        </w:rPr>
        <w:t xml:space="preserve"> is, by setting the P</w:t>
      </w:r>
      <w:r w:rsidR="00CD7828" w:rsidRPr="009D2A01">
        <w:rPr>
          <w:rFonts w:ascii="Arial" w:hAnsi="Arial" w:cs="Arial"/>
        </w:rPr>
        <w:t xml:space="preserve">ersonal Injury Discount Rate </w:t>
      </w:r>
      <w:r w:rsidRPr="009D2A01">
        <w:rPr>
          <w:rFonts w:ascii="Arial" w:hAnsi="Arial" w:cs="Arial"/>
        </w:rPr>
        <w:t xml:space="preserve">with reference to a </w:t>
      </w:r>
      <w:proofErr w:type="gramStart"/>
      <w:r w:rsidRPr="009D2A01">
        <w:rPr>
          <w:rFonts w:ascii="Arial" w:hAnsi="Arial" w:cs="Arial"/>
        </w:rPr>
        <w:t>low risk</w:t>
      </w:r>
      <w:proofErr w:type="gramEnd"/>
      <w:r w:rsidRPr="009D2A01">
        <w:rPr>
          <w:rFonts w:ascii="Arial" w:hAnsi="Arial" w:cs="Arial"/>
        </w:rPr>
        <w:t xml:space="preserve"> investment portfolio rather than a very low risk one, </w:t>
      </w:r>
      <w:r w:rsidR="009B6D7D">
        <w:rPr>
          <w:rFonts w:ascii="Arial" w:hAnsi="Arial" w:cs="Arial"/>
        </w:rPr>
        <w:t>t</w:t>
      </w:r>
      <w:r w:rsidR="00CD7828" w:rsidRPr="009D2A01">
        <w:rPr>
          <w:rFonts w:ascii="Arial" w:hAnsi="Arial" w:cs="Arial"/>
        </w:rPr>
        <w:t xml:space="preserve">o reduce </w:t>
      </w:r>
      <w:r w:rsidR="00BF5DB6" w:rsidRPr="009D2A01">
        <w:rPr>
          <w:rFonts w:ascii="Arial" w:hAnsi="Arial" w:cs="Arial"/>
        </w:rPr>
        <w:t xml:space="preserve">the overall </w:t>
      </w:r>
      <w:r w:rsidRPr="009D2A01">
        <w:rPr>
          <w:rFonts w:ascii="Arial" w:hAnsi="Arial" w:cs="Arial"/>
        </w:rPr>
        <w:t>level of over-compensation</w:t>
      </w:r>
      <w:r w:rsidR="009B6D7D" w:rsidRPr="009B6D7D">
        <w:rPr>
          <w:rFonts w:ascii="Arial" w:hAnsi="Arial" w:cs="Arial"/>
        </w:rPr>
        <w:t xml:space="preserve"> </w:t>
      </w:r>
      <w:r w:rsidR="009B6D7D" w:rsidRPr="00FC0DAB">
        <w:rPr>
          <w:rFonts w:ascii="Arial" w:hAnsi="Arial" w:cs="Arial"/>
        </w:rPr>
        <w:t xml:space="preserve">This over-compensation is paid by the taxpayer, for example in funding the compensation payments made by the NHS, and consumers, both business and individual, who have to pay more for insurance policies. </w:t>
      </w:r>
    </w:p>
    <w:p w14:paraId="010AC75E" w14:textId="77777777" w:rsidR="00A35871" w:rsidRDefault="00A35871" w:rsidP="0001269D">
      <w:pPr>
        <w:numPr>
          <w:ilvl w:val="0"/>
          <w:numId w:val="10"/>
        </w:numPr>
        <w:spacing w:after="120" w:line="280" w:lineRule="atLeast"/>
        <w:ind w:left="357"/>
        <w:rPr>
          <w:rFonts w:ascii="Arial" w:hAnsi="Arial" w:cs="Arial"/>
        </w:rPr>
      </w:pPr>
      <w:r>
        <w:rPr>
          <w:rFonts w:ascii="Arial" w:hAnsi="Arial" w:cs="Arial"/>
        </w:rPr>
        <w:t>T</w:t>
      </w:r>
      <w:r w:rsidR="0099729C">
        <w:rPr>
          <w:rFonts w:ascii="Arial" w:hAnsi="Arial" w:cs="Arial"/>
        </w:rPr>
        <w:t xml:space="preserve">he Civil Liability Bill </w:t>
      </w:r>
      <w:r w:rsidR="00FD6492">
        <w:rPr>
          <w:rFonts w:ascii="Arial" w:hAnsi="Arial" w:cs="Arial"/>
        </w:rPr>
        <w:t>as introduced aimed to achieve</w:t>
      </w:r>
      <w:r>
        <w:rPr>
          <w:rFonts w:ascii="Arial" w:hAnsi="Arial" w:cs="Arial"/>
        </w:rPr>
        <w:t xml:space="preserve"> the</w:t>
      </w:r>
      <w:r w:rsidR="00CD7828">
        <w:rPr>
          <w:rFonts w:ascii="Arial" w:hAnsi="Arial" w:cs="Arial"/>
        </w:rPr>
        <w:t>se policy objectives</w:t>
      </w:r>
      <w:r w:rsidR="0099729C">
        <w:rPr>
          <w:rFonts w:ascii="Arial" w:hAnsi="Arial" w:cs="Arial"/>
        </w:rPr>
        <w:t xml:space="preserve">. </w:t>
      </w:r>
      <w:r w:rsidR="0099729C" w:rsidRPr="0099729C">
        <w:rPr>
          <w:rFonts w:ascii="Arial" w:hAnsi="Arial" w:cs="Arial"/>
        </w:rPr>
        <w:t>During its passage through the House of Lords the discount rate provisions in the Bill were amended to achieve the completion of the first review of the rate under the new legislation more quickly. In particular, the requirement to consult the expert panel was replaced with a requirement to consult the Government Actuary</w:t>
      </w:r>
      <w:r w:rsidR="00CB2C09">
        <w:rPr>
          <w:rFonts w:ascii="Arial" w:hAnsi="Arial" w:cs="Arial"/>
        </w:rPr>
        <w:t xml:space="preserve"> for the first review</w:t>
      </w:r>
      <w:r w:rsidR="0099729C" w:rsidRPr="0099729C">
        <w:rPr>
          <w:rFonts w:ascii="Arial" w:hAnsi="Arial" w:cs="Arial"/>
        </w:rPr>
        <w:t xml:space="preserve">; </w:t>
      </w:r>
      <w:r w:rsidR="00CB2C09">
        <w:rPr>
          <w:rFonts w:ascii="Arial" w:hAnsi="Arial" w:cs="Arial"/>
        </w:rPr>
        <w:t xml:space="preserve">the maximum interval between reviews was increased from three to five years; the first review is to begin within 90 days of Royal Assent; </w:t>
      </w:r>
      <w:r w:rsidR="0099729C" w:rsidRPr="0099729C">
        <w:rPr>
          <w:rFonts w:ascii="Arial" w:hAnsi="Arial" w:cs="Arial"/>
        </w:rPr>
        <w:t xml:space="preserve">and the maximum period for the completion of the </w:t>
      </w:r>
      <w:r w:rsidR="00CB2C09">
        <w:rPr>
          <w:rFonts w:ascii="Arial" w:hAnsi="Arial" w:cs="Arial"/>
        </w:rPr>
        <w:t xml:space="preserve">first </w:t>
      </w:r>
      <w:r w:rsidR="0099729C" w:rsidRPr="0099729C">
        <w:rPr>
          <w:rFonts w:ascii="Arial" w:hAnsi="Arial" w:cs="Arial"/>
        </w:rPr>
        <w:t>review was reduced from 180 days to 140 days.</w:t>
      </w:r>
    </w:p>
    <w:p w14:paraId="158F1959" w14:textId="77777777" w:rsidR="006A260C" w:rsidRDefault="006F56FA" w:rsidP="00C7520F">
      <w:pPr>
        <w:numPr>
          <w:ilvl w:val="0"/>
          <w:numId w:val="10"/>
        </w:numPr>
        <w:spacing w:after="240" w:line="280" w:lineRule="atLeast"/>
        <w:rPr>
          <w:rFonts w:ascii="Arial" w:hAnsi="Arial" w:cs="Arial"/>
        </w:rPr>
      </w:pPr>
      <w:r>
        <w:rPr>
          <w:rFonts w:ascii="Arial" w:hAnsi="Arial" w:cs="Arial"/>
        </w:rPr>
        <w:lastRenderedPageBreak/>
        <w:t xml:space="preserve">The Government’s revised approach to these issues is explained in </w:t>
      </w:r>
      <w:r w:rsidR="00715D8A">
        <w:rPr>
          <w:rFonts w:ascii="Arial" w:hAnsi="Arial" w:cs="Arial"/>
        </w:rPr>
        <w:t xml:space="preserve">section E and in </w:t>
      </w:r>
      <w:r>
        <w:rPr>
          <w:rFonts w:ascii="Arial" w:hAnsi="Arial" w:cs="Arial"/>
        </w:rPr>
        <w:t>the updated individual IA for this measure.</w:t>
      </w:r>
    </w:p>
    <w:p w14:paraId="2DCC27A7" w14:textId="77777777" w:rsidR="00556CB1" w:rsidRPr="007A2421" w:rsidRDefault="00556CB1" w:rsidP="007C5492">
      <w:pPr>
        <w:pStyle w:val="ListParagraph"/>
        <w:ind w:left="0" w:right="113"/>
        <w:rPr>
          <w:rFonts w:cs="Arial"/>
          <w:sz w:val="22"/>
          <w:szCs w:val="22"/>
        </w:rPr>
      </w:pPr>
    </w:p>
    <w:p w14:paraId="0C19F91E" w14:textId="77777777" w:rsidR="00C11269" w:rsidRDefault="00AF5A46" w:rsidP="00C7520F">
      <w:pPr>
        <w:pStyle w:val="ListParagraph"/>
        <w:spacing w:after="240" w:line="280" w:lineRule="atLeast"/>
        <w:ind w:left="0"/>
        <w:rPr>
          <w:b/>
          <w:sz w:val="28"/>
          <w:szCs w:val="28"/>
        </w:rPr>
      </w:pPr>
      <w:r>
        <w:rPr>
          <w:b/>
          <w:sz w:val="28"/>
          <w:szCs w:val="28"/>
        </w:rPr>
        <w:t xml:space="preserve">D. </w:t>
      </w:r>
      <w:r w:rsidR="004410E9" w:rsidRPr="004E394E">
        <w:rPr>
          <w:b/>
          <w:sz w:val="28"/>
          <w:szCs w:val="28"/>
        </w:rPr>
        <w:t>Affected Stakeholder Groups, Organisations and Sectors</w:t>
      </w:r>
    </w:p>
    <w:p w14:paraId="5B769BA6" w14:textId="77777777" w:rsidR="00646275" w:rsidRPr="00646275" w:rsidRDefault="00646275" w:rsidP="0001269D">
      <w:pPr>
        <w:numPr>
          <w:ilvl w:val="0"/>
          <w:numId w:val="10"/>
        </w:numPr>
        <w:spacing w:after="120" w:line="280" w:lineRule="atLeast"/>
        <w:rPr>
          <w:rFonts w:ascii="Arial" w:eastAsia="Times New Roman" w:hAnsi="Arial"/>
        </w:rPr>
      </w:pPr>
      <w:r w:rsidRPr="00646275">
        <w:rPr>
          <w:rFonts w:ascii="Arial" w:eastAsia="Times New Roman" w:hAnsi="Arial"/>
        </w:rPr>
        <w:t xml:space="preserve">A list of the main groups and stakeholders who </w:t>
      </w:r>
      <w:r w:rsidR="00D35FA4">
        <w:rPr>
          <w:rFonts w:ascii="Arial" w:eastAsia="Times New Roman" w:hAnsi="Arial"/>
        </w:rPr>
        <w:t>will</w:t>
      </w:r>
      <w:r w:rsidRPr="00646275">
        <w:rPr>
          <w:rFonts w:ascii="Arial" w:eastAsia="Times New Roman" w:hAnsi="Arial"/>
        </w:rPr>
        <w:t xml:space="preserve"> be affected by the proposals described in this IA is shown below:</w:t>
      </w:r>
    </w:p>
    <w:p w14:paraId="703E03C9"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Claimants in PI and </w:t>
      </w:r>
      <w:r w:rsidR="00D31020">
        <w:rPr>
          <w:rFonts w:ascii="Arial" w:eastAsia="Times New Roman" w:hAnsi="Arial" w:cs="Arial"/>
          <w:bCs/>
          <w:color w:val="000000"/>
          <w:lang w:eastAsia="en-GB"/>
        </w:rPr>
        <w:t>RTA related whiplash</w:t>
      </w:r>
      <w:r w:rsidRPr="00646275">
        <w:rPr>
          <w:rFonts w:ascii="Arial" w:eastAsia="Times New Roman" w:hAnsi="Arial" w:cs="Arial"/>
          <w:bCs/>
          <w:color w:val="000000"/>
          <w:lang w:eastAsia="en-GB"/>
        </w:rPr>
        <w:t xml:space="preserve"> cases and, in some cases, their personal representatives. </w:t>
      </w:r>
    </w:p>
    <w:p w14:paraId="16241B53"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Defendants in PI and </w:t>
      </w:r>
      <w:r w:rsidR="00D31020">
        <w:rPr>
          <w:rFonts w:ascii="Arial" w:eastAsia="Times New Roman" w:hAnsi="Arial" w:cs="Arial"/>
          <w:bCs/>
          <w:color w:val="000000"/>
          <w:lang w:eastAsia="en-GB"/>
        </w:rPr>
        <w:t xml:space="preserve">RTA related </w:t>
      </w:r>
      <w:r w:rsidRPr="00646275">
        <w:rPr>
          <w:rFonts w:ascii="Arial" w:eastAsia="Times New Roman" w:hAnsi="Arial" w:cs="Arial"/>
          <w:bCs/>
          <w:color w:val="000000"/>
          <w:lang w:eastAsia="en-GB"/>
        </w:rPr>
        <w:t>whiplash cases, including public sector bodies, such NHS Resolution, other businesses, and insurers.</w:t>
      </w:r>
    </w:p>
    <w:p w14:paraId="023908D0"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Experts, including medical experts in </w:t>
      </w:r>
      <w:r w:rsidR="00D31020">
        <w:rPr>
          <w:rFonts w:ascii="Arial" w:eastAsia="Times New Roman" w:hAnsi="Arial" w:cs="Arial"/>
          <w:bCs/>
          <w:color w:val="000000"/>
          <w:lang w:eastAsia="en-GB"/>
        </w:rPr>
        <w:t xml:space="preserve">RTA </w:t>
      </w:r>
      <w:r w:rsidRPr="00646275">
        <w:rPr>
          <w:rFonts w:ascii="Arial" w:eastAsia="Times New Roman" w:hAnsi="Arial" w:cs="Arial"/>
          <w:bCs/>
          <w:color w:val="000000"/>
          <w:lang w:eastAsia="en-GB"/>
        </w:rPr>
        <w:t xml:space="preserve">related </w:t>
      </w:r>
      <w:r w:rsidR="00D31020">
        <w:rPr>
          <w:rFonts w:ascii="Arial" w:eastAsia="Times New Roman" w:hAnsi="Arial" w:cs="Arial"/>
          <w:bCs/>
          <w:color w:val="000000"/>
          <w:lang w:eastAsia="en-GB"/>
        </w:rPr>
        <w:t xml:space="preserve">whiplash </w:t>
      </w:r>
      <w:r w:rsidRPr="00646275">
        <w:rPr>
          <w:rFonts w:ascii="Arial" w:eastAsia="Times New Roman" w:hAnsi="Arial" w:cs="Arial"/>
          <w:bCs/>
          <w:color w:val="000000"/>
          <w:lang w:eastAsia="en-GB"/>
        </w:rPr>
        <w:t>cases and the members of an expert panel appointed to advice the Lord Chancellor on setting the Personal Injury Discount Rate.</w:t>
      </w:r>
    </w:p>
    <w:p w14:paraId="6113B5E1"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Legal services providers, Claims Management Companies, financial advisers, wealth managers and professional deputies.</w:t>
      </w:r>
    </w:p>
    <w:p w14:paraId="4C3559EC"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Providers of Before </w:t>
      </w:r>
      <w:r w:rsidR="00F5230B" w:rsidRPr="00646275">
        <w:rPr>
          <w:rFonts w:ascii="Arial" w:eastAsia="Times New Roman" w:hAnsi="Arial" w:cs="Arial"/>
          <w:bCs/>
          <w:color w:val="000000"/>
          <w:lang w:eastAsia="en-GB"/>
        </w:rPr>
        <w:t>the</w:t>
      </w:r>
      <w:r w:rsidRPr="00646275">
        <w:rPr>
          <w:rFonts w:ascii="Arial" w:eastAsia="Times New Roman" w:hAnsi="Arial" w:cs="Arial"/>
          <w:bCs/>
          <w:color w:val="000000"/>
          <w:lang w:eastAsia="en-GB"/>
        </w:rPr>
        <w:t xml:space="preserve"> Event insurance. </w:t>
      </w:r>
    </w:p>
    <w:p w14:paraId="35C793C4"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Her Majesty’s Courts and Tribunals Service (HMCTS) and the judiciary.</w:t>
      </w:r>
    </w:p>
    <w:p w14:paraId="447CA8A9" w14:textId="77777777" w:rsid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Government departments, including the Ministry of Justice (MoJ) and HM Revenue and Customs (HMRC), and other public bodies. </w:t>
      </w:r>
    </w:p>
    <w:p w14:paraId="7D5F28CB" w14:textId="2E38DE75" w:rsidR="0046783F" w:rsidRPr="00646275" w:rsidRDefault="0046783F" w:rsidP="0001269D">
      <w:pPr>
        <w:keepNext/>
        <w:numPr>
          <w:ilvl w:val="0"/>
          <w:numId w:val="11"/>
        </w:numPr>
        <w:spacing w:after="120" w:line="280" w:lineRule="atLeast"/>
        <w:ind w:left="709" w:hanging="284"/>
        <w:rPr>
          <w:rFonts w:ascii="Arial" w:eastAsia="Times New Roman" w:hAnsi="Arial" w:cs="Arial"/>
          <w:bCs/>
          <w:color w:val="000000"/>
          <w:lang w:eastAsia="en-GB"/>
        </w:rPr>
      </w:pPr>
      <w:r>
        <w:rPr>
          <w:rFonts w:ascii="Arial" w:eastAsia="Times New Roman" w:hAnsi="Arial" w:cs="Arial"/>
          <w:bCs/>
          <w:color w:val="000000"/>
          <w:lang w:eastAsia="en-GB"/>
        </w:rPr>
        <w:t>The Financial Conduct Authority (FCA), who will be provided with i</w:t>
      </w:r>
      <w:r w:rsidRPr="0046783F">
        <w:rPr>
          <w:rFonts w:ascii="Arial" w:eastAsia="Times New Roman" w:hAnsi="Arial" w:cs="Arial"/>
          <w:bCs/>
          <w:color w:val="000000"/>
          <w:lang w:eastAsia="en-GB"/>
        </w:rPr>
        <w:t xml:space="preserve">nformation </w:t>
      </w:r>
      <w:r>
        <w:rPr>
          <w:rFonts w:ascii="Arial" w:eastAsia="Times New Roman" w:hAnsi="Arial" w:cs="Arial"/>
          <w:bCs/>
          <w:color w:val="000000"/>
          <w:lang w:eastAsia="en-GB"/>
        </w:rPr>
        <w:t>by insurers about</w:t>
      </w:r>
      <w:r w:rsidRPr="0046783F">
        <w:rPr>
          <w:rFonts w:ascii="Arial" w:eastAsia="Times New Roman" w:hAnsi="Arial" w:cs="Arial"/>
          <w:bCs/>
          <w:color w:val="000000"/>
          <w:lang w:eastAsia="en-GB"/>
        </w:rPr>
        <w:t xml:space="preserve"> the effects of the Act on </w:t>
      </w:r>
      <w:r w:rsidR="009356A2">
        <w:rPr>
          <w:rFonts w:ascii="Arial" w:eastAsia="Times New Roman" w:hAnsi="Arial" w:cs="Arial"/>
          <w:bCs/>
          <w:color w:val="000000"/>
          <w:lang w:eastAsia="en-GB"/>
        </w:rPr>
        <w:t>relevant</w:t>
      </w:r>
      <w:r>
        <w:rPr>
          <w:rFonts w:ascii="Arial" w:eastAsia="Times New Roman" w:hAnsi="Arial" w:cs="Arial"/>
          <w:bCs/>
          <w:color w:val="000000"/>
          <w:lang w:eastAsia="en-GB"/>
        </w:rPr>
        <w:t xml:space="preserve"> insurance </w:t>
      </w:r>
      <w:r w:rsidRPr="0046783F">
        <w:rPr>
          <w:rFonts w:ascii="Arial" w:eastAsia="Times New Roman" w:hAnsi="Arial" w:cs="Arial"/>
          <w:bCs/>
          <w:color w:val="000000"/>
          <w:lang w:eastAsia="en-GB"/>
        </w:rPr>
        <w:t>policies</w:t>
      </w:r>
      <w:r w:rsidR="009356A2">
        <w:rPr>
          <w:rFonts w:ascii="Arial" w:eastAsia="Times New Roman" w:hAnsi="Arial" w:cs="Arial"/>
          <w:bCs/>
          <w:color w:val="000000"/>
          <w:lang w:eastAsia="en-GB"/>
        </w:rPr>
        <w:t xml:space="preserve"> and who will assist HM Treasury in producing a report assessing whether benefits have been passed on to con</w:t>
      </w:r>
      <w:r w:rsidR="00B03255">
        <w:rPr>
          <w:rFonts w:ascii="Arial" w:eastAsia="Times New Roman" w:hAnsi="Arial" w:cs="Arial"/>
          <w:bCs/>
          <w:color w:val="000000"/>
          <w:lang w:eastAsia="en-GB"/>
        </w:rPr>
        <w:t>s</w:t>
      </w:r>
      <w:r w:rsidR="009356A2">
        <w:rPr>
          <w:rFonts w:ascii="Arial" w:eastAsia="Times New Roman" w:hAnsi="Arial" w:cs="Arial"/>
          <w:bCs/>
          <w:color w:val="000000"/>
          <w:lang w:eastAsia="en-GB"/>
        </w:rPr>
        <w:t>umers</w:t>
      </w:r>
      <w:r w:rsidRPr="0046783F">
        <w:rPr>
          <w:rFonts w:ascii="Arial" w:eastAsia="Times New Roman" w:hAnsi="Arial" w:cs="Arial"/>
          <w:bCs/>
          <w:color w:val="000000"/>
          <w:lang w:eastAsia="en-GB"/>
        </w:rPr>
        <w:t>.</w:t>
      </w:r>
    </w:p>
    <w:p w14:paraId="46ACE5F0"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Third sector organisations who provide advice to claimants in PI cases;</w:t>
      </w:r>
    </w:p>
    <w:p w14:paraId="71FDFB21"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Providers of rehabilitation services to claimants in </w:t>
      </w:r>
      <w:r w:rsidR="00D31020">
        <w:rPr>
          <w:rFonts w:ascii="Arial" w:eastAsia="Times New Roman" w:hAnsi="Arial" w:cs="Arial"/>
          <w:bCs/>
          <w:color w:val="000000"/>
          <w:lang w:eastAsia="en-GB"/>
        </w:rPr>
        <w:t xml:space="preserve">RTA related </w:t>
      </w:r>
      <w:r w:rsidRPr="00646275">
        <w:rPr>
          <w:rFonts w:ascii="Arial" w:eastAsia="Times New Roman" w:hAnsi="Arial" w:cs="Arial"/>
          <w:bCs/>
          <w:color w:val="000000"/>
          <w:lang w:eastAsia="en-GB"/>
        </w:rPr>
        <w:t>whiplash claims;</w:t>
      </w:r>
    </w:p>
    <w:p w14:paraId="3798241D"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Other organisations involved in </w:t>
      </w:r>
      <w:r w:rsidR="00D31020">
        <w:rPr>
          <w:rFonts w:ascii="Arial" w:eastAsia="Times New Roman" w:hAnsi="Arial" w:cs="Arial"/>
          <w:bCs/>
          <w:color w:val="000000"/>
          <w:lang w:eastAsia="en-GB"/>
        </w:rPr>
        <w:t xml:space="preserve">RTA related </w:t>
      </w:r>
      <w:r w:rsidRPr="00646275">
        <w:rPr>
          <w:rFonts w:ascii="Arial" w:eastAsia="Times New Roman" w:hAnsi="Arial" w:cs="Arial"/>
          <w:bCs/>
          <w:color w:val="000000"/>
          <w:lang w:eastAsia="en-GB"/>
        </w:rPr>
        <w:t>whiplash claims such as Medco and the Claims Portal Ltd;</w:t>
      </w:r>
    </w:p>
    <w:p w14:paraId="62AE4194" w14:textId="77777777" w:rsidR="00646275" w:rsidRPr="00646275" w:rsidRDefault="00646275" w:rsidP="0001269D">
      <w:pPr>
        <w:numPr>
          <w:ilvl w:val="3"/>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Taxpayers, who ultimately meet the costs of the NHS; and</w:t>
      </w:r>
    </w:p>
    <w:p w14:paraId="5216AAD3" w14:textId="77777777" w:rsidR="00646275" w:rsidRPr="00646275" w:rsidRDefault="00646275" w:rsidP="0001269D">
      <w:pPr>
        <w:keepNext/>
        <w:numPr>
          <w:ilvl w:val="0"/>
          <w:numId w:val="11"/>
        </w:numPr>
        <w:spacing w:after="120" w:line="280" w:lineRule="atLeast"/>
        <w:ind w:left="709" w:hanging="284"/>
        <w:rPr>
          <w:rFonts w:ascii="Arial" w:eastAsia="Times New Roman" w:hAnsi="Arial" w:cs="Arial"/>
          <w:bCs/>
          <w:color w:val="000000"/>
          <w:lang w:eastAsia="en-GB"/>
        </w:rPr>
      </w:pPr>
      <w:r w:rsidRPr="00646275">
        <w:rPr>
          <w:rFonts w:ascii="Arial" w:eastAsia="Times New Roman" w:hAnsi="Arial" w:cs="Arial"/>
          <w:bCs/>
          <w:color w:val="000000"/>
          <w:lang w:eastAsia="en-GB"/>
        </w:rPr>
        <w:t xml:space="preserve">Wider society, either as those with views concerning equity and fairness, and as individuals (both in their roles as those currently paying insurance premiums and taxation but also as potential claimants in future </w:t>
      </w:r>
      <w:r w:rsidR="00D31020">
        <w:rPr>
          <w:rFonts w:ascii="Arial" w:eastAsia="Times New Roman" w:hAnsi="Arial" w:cs="Arial"/>
          <w:bCs/>
          <w:color w:val="000000"/>
          <w:lang w:eastAsia="en-GB"/>
        </w:rPr>
        <w:t xml:space="preserve">RTA </w:t>
      </w:r>
      <w:r w:rsidRPr="00646275">
        <w:rPr>
          <w:rFonts w:ascii="Arial" w:eastAsia="Times New Roman" w:hAnsi="Arial" w:cs="Arial"/>
          <w:bCs/>
          <w:color w:val="000000"/>
          <w:lang w:eastAsia="en-GB"/>
        </w:rPr>
        <w:t xml:space="preserve">related </w:t>
      </w:r>
      <w:r w:rsidR="00D31020">
        <w:rPr>
          <w:rFonts w:ascii="Arial" w:eastAsia="Times New Roman" w:hAnsi="Arial" w:cs="Arial"/>
          <w:bCs/>
          <w:color w:val="000000"/>
          <w:lang w:eastAsia="en-GB"/>
        </w:rPr>
        <w:t xml:space="preserve">whiplash </w:t>
      </w:r>
      <w:r w:rsidRPr="00646275">
        <w:rPr>
          <w:rFonts w:ascii="Arial" w:eastAsia="Times New Roman" w:hAnsi="Arial" w:cs="Arial"/>
          <w:bCs/>
          <w:color w:val="000000"/>
          <w:lang w:eastAsia="en-GB"/>
        </w:rPr>
        <w:t>and PI cases).</w:t>
      </w:r>
    </w:p>
    <w:p w14:paraId="4AA4353F" w14:textId="77777777" w:rsidR="00D86C94" w:rsidRDefault="00D86C94" w:rsidP="0089432B">
      <w:pPr>
        <w:pStyle w:val="EBNumber"/>
        <w:numPr>
          <w:ilvl w:val="0"/>
          <w:numId w:val="0"/>
        </w:numPr>
        <w:ind w:left="425" w:hanging="425"/>
      </w:pPr>
    </w:p>
    <w:p w14:paraId="189B8E80" w14:textId="77777777" w:rsidR="004410E9" w:rsidRDefault="00776B7A" w:rsidP="00C7520F">
      <w:pPr>
        <w:pStyle w:val="EBNumber"/>
        <w:numPr>
          <w:ilvl w:val="0"/>
          <w:numId w:val="0"/>
        </w:numPr>
        <w:spacing w:after="240" w:line="280" w:lineRule="atLeast"/>
        <w:ind w:left="425" w:hanging="425"/>
        <w:rPr>
          <w:b/>
          <w:sz w:val="28"/>
          <w:szCs w:val="28"/>
        </w:rPr>
      </w:pPr>
      <w:r w:rsidRPr="00776B7A">
        <w:rPr>
          <w:b/>
          <w:sz w:val="28"/>
          <w:szCs w:val="28"/>
        </w:rPr>
        <w:t>E.</w:t>
      </w:r>
      <w:r>
        <w:t xml:space="preserve"> </w:t>
      </w:r>
      <w:r w:rsidR="004410E9">
        <w:rPr>
          <w:b/>
          <w:sz w:val="28"/>
          <w:szCs w:val="28"/>
        </w:rPr>
        <w:t xml:space="preserve">Description of </w:t>
      </w:r>
      <w:r w:rsidR="00556CB1">
        <w:rPr>
          <w:b/>
          <w:sz w:val="28"/>
          <w:szCs w:val="28"/>
        </w:rPr>
        <w:t xml:space="preserve">Legislative </w:t>
      </w:r>
      <w:r w:rsidR="0093007A">
        <w:rPr>
          <w:b/>
          <w:sz w:val="28"/>
          <w:szCs w:val="28"/>
        </w:rPr>
        <w:t>Measures</w:t>
      </w:r>
    </w:p>
    <w:p w14:paraId="22B68B76" w14:textId="77777777" w:rsidR="008C6899" w:rsidRPr="008C6899" w:rsidRDefault="008C6899" w:rsidP="0001269D">
      <w:pPr>
        <w:spacing w:after="0" w:line="280" w:lineRule="atLeast"/>
        <w:rPr>
          <w:rFonts w:ascii="Arial" w:hAnsi="Arial" w:cs="Arial"/>
          <w:b/>
        </w:rPr>
      </w:pPr>
      <w:r w:rsidRPr="008C6899">
        <w:rPr>
          <w:rFonts w:ascii="Arial" w:hAnsi="Arial" w:cs="Arial"/>
          <w:b/>
        </w:rPr>
        <w:t>Base Case</w:t>
      </w:r>
    </w:p>
    <w:p w14:paraId="5010E1DE" w14:textId="77777777" w:rsidR="008C6899" w:rsidRPr="008C6899" w:rsidRDefault="008C6899" w:rsidP="0001269D">
      <w:pPr>
        <w:numPr>
          <w:ilvl w:val="0"/>
          <w:numId w:val="10"/>
        </w:numPr>
        <w:spacing w:after="120" w:line="280" w:lineRule="atLeast"/>
        <w:ind w:left="357" w:hanging="357"/>
        <w:rPr>
          <w:rFonts w:ascii="Arial" w:eastAsia="Times New Roman" w:hAnsi="Arial"/>
        </w:rPr>
      </w:pPr>
      <w:r w:rsidRPr="008C6899">
        <w:rPr>
          <w:rFonts w:ascii="Arial" w:eastAsia="Times New Roman" w:hAnsi="Arial"/>
        </w:rPr>
        <w:t>In accordance with Impact Assessment guidance, the policy and legislative proposals have been assessed against a defined ‘base case’. These are set out below.</w:t>
      </w:r>
    </w:p>
    <w:p w14:paraId="32B5DDBD" w14:textId="77777777" w:rsidR="008C6899" w:rsidRPr="008C6899" w:rsidRDefault="008C6899" w:rsidP="0001269D">
      <w:pPr>
        <w:spacing w:after="0" w:line="280" w:lineRule="atLeast"/>
        <w:rPr>
          <w:rFonts w:ascii="Arial" w:eastAsia="Times New Roman" w:hAnsi="Arial" w:cs="Arial"/>
          <w:bCs/>
          <w:i/>
          <w:color w:val="000000"/>
          <w:lang w:eastAsia="en-GB"/>
        </w:rPr>
      </w:pPr>
      <w:r w:rsidRPr="008C6899">
        <w:rPr>
          <w:rFonts w:ascii="Arial" w:eastAsia="Times New Roman" w:hAnsi="Arial" w:cs="Arial"/>
          <w:bCs/>
          <w:i/>
          <w:color w:val="000000"/>
          <w:lang w:eastAsia="en-GB"/>
        </w:rPr>
        <w:t>Whiplash Reform</w:t>
      </w:r>
    </w:p>
    <w:p w14:paraId="06085835" w14:textId="77777777" w:rsidR="008C6899" w:rsidRPr="008C6899" w:rsidRDefault="008C6899" w:rsidP="0001269D">
      <w:pPr>
        <w:numPr>
          <w:ilvl w:val="0"/>
          <w:numId w:val="8"/>
        </w:numPr>
        <w:spacing w:after="240" w:line="280" w:lineRule="atLeast"/>
        <w:ind w:left="709" w:hanging="283"/>
        <w:rPr>
          <w:rFonts w:ascii="Arial" w:eastAsia="Times New Roman" w:hAnsi="Arial" w:cs="Arial"/>
          <w:bCs/>
          <w:noProof/>
          <w:color w:val="000000"/>
          <w:lang w:eastAsia="en-GB"/>
        </w:rPr>
      </w:pPr>
      <w:r w:rsidRPr="008C6899">
        <w:rPr>
          <w:rFonts w:ascii="Arial" w:eastAsia="Times New Roman" w:hAnsi="Arial" w:cs="Arial"/>
          <w:bCs/>
          <w:noProof/>
          <w:color w:val="000000"/>
          <w:lang w:eastAsia="en-GB"/>
        </w:rPr>
        <w:t xml:space="preserve">The current arrangements for compensating </w:t>
      </w:r>
      <w:r w:rsidR="00EB6418">
        <w:rPr>
          <w:rFonts w:ascii="Arial" w:eastAsia="Times New Roman" w:hAnsi="Arial" w:cs="Arial"/>
          <w:bCs/>
          <w:noProof/>
          <w:color w:val="000000"/>
          <w:lang w:eastAsia="en-GB"/>
        </w:rPr>
        <w:t>whiplash/</w:t>
      </w:r>
      <w:r w:rsidRPr="008C6899">
        <w:rPr>
          <w:rFonts w:ascii="Arial" w:eastAsia="Times New Roman" w:hAnsi="Arial" w:cs="Arial"/>
          <w:bCs/>
          <w:noProof/>
          <w:color w:val="000000"/>
          <w:lang w:eastAsia="en-GB"/>
        </w:rPr>
        <w:t>soft tissue injuries and the current SCT limits would remain in place.</w:t>
      </w:r>
    </w:p>
    <w:p w14:paraId="092C93BE" w14:textId="77777777" w:rsidR="008C6899" w:rsidRPr="008C6899" w:rsidRDefault="008C6899" w:rsidP="0001269D">
      <w:pPr>
        <w:spacing w:after="0" w:line="280" w:lineRule="atLeast"/>
        <w:ind w:left="425" w:hanging="425"/>
        <w:rPr>
          <w:rFonts w:ascii="Arial" w:eastAsia="Times New Roman" w:hAnsi="Arial" w:cs="Arial"/>
          <w:bCs/>
          <w:i/>
          <w:noProof/>
          <w:color w:val="000000"/>
          <w:lang w:eastAsia="en-GB"/>
        </w:rPr>
      </w:pPr>
      <w:r w:rsidRPr="008C6899">
        <w:rPr>
          <w:rFonts w:ascii="Arial" w:eastAsia="Times New Roman" w:hAnsi="Arial" w:cs="Arial"/>
          <w:bCs/>
          <w:i/>
          <w:noProof/>
          <w:color w:val="000000"/>
          <w:lang w:eastAsia="en-GB"/>
        </w:rPr>
        <w:lastRenderedPageBreak/>
        <w:t>Personal Injury Discount Rate</w:t>
      </w:r>
    </w:p>
    <w:p w14:paraId="0E2C9321" w14:textId="77777777" w:rsidR="00B03255" w:rsidRDefault="008C6899" w:rsidP="0001269D">
      <w:pPr>
        <w:numPr>
          <w:ilvl w:val="0"/>
          <w:numId w:val="8"/>
        </w:numPr>
        <w:spacing w:after="120" w:line="280" w:lineRule="atLeast"/>
        <w:ind w:left="1135" w:hanging="284"/>
        <w:rPr>
          <w:rFonts w:ascii="Arial" w:eastAsia="Times New Roman" w:hAnsi="Arial" w:cs="Arial"/>
          <w:bCs/>
          <w:noProof/>
          <w:color w:val="000000"/>
          <w:lang w:eastAsia="en-GB"/>
        </w:rPr>
      </w:pPr>
      <w:r w:rsidRPr="008C6899">
        <w:rPr>
          <w:rFonts w:ascii="Arial" w:eastAsia="Times New Roman" w:hAnsi="Arial" w:cs="Arial"/>
          <w:bCs/>
          <w:noProof/>
          <w:color w:val="000000"/>
          <w:lang w:eastAsia="en-GB"/>
        </w:rPr>
        <w:t>The current legal framework for setting the Personal Injury Discount Rate would remain unchanged.</w:t>
      </w:r>
    </w:p>
    <w:p w14:paraId="5F1507D1" w14:textId="77777777" w:rsidR="00B03255" w:rsidRDefault="00B03255" w:rsidP="0001269D">
      <w:pPr>
        <w:spacing w:after="0" w:line="280" w:lineRule="atLeast"/>
        <w:rPr>
          <w:rFonts w:ascii="Arial" w:eastAsia="Times New Roman" w:hAnsi="Arial" w:cs="Arial"/>
          <w:bCs/>
          <w:i/>
          <w:noProof/>
          <w:color w:val="000000"/>
          <w:lang w:eastAsia="en-GB"/>
        </w:rPr>
      </w:pPr>
      <w:r>
        <w:rPr>
          <w:rFonts w:ascii="Arial" w:eastAsia="Times New Roman" w:hAnsi="Arial" w:cs="Arial"/>
          <w:bCs/>
          <w:i/>
          <w:noProof/>
          <w:color w:val="000000"/>
          <w:lang w:eastAsia="en-GB"/>
        </w:rPr>
        <w:t>Additional obligations on insurers</w:t>
      </w:r>
    </w:p>
    <w:p w14:paraId="44D9CAEC" w14:textId="77777777" w:rsidR="00B03255" w:rsidRPr="00C206DD" w:rsidRDefault="00B03255" w:rsidP="0001269D">
      <w:pPr>
        <w:numPr>
          <w:ilvl w:val="0"/>
          <w:numId w:val="8"/>
        </w:numPr>
        <w:spacing w:after="120" w:line="280" w:lineRule="atLeast"/>
        <w:ind w:left="1135" w:hanging="284"/>
        <w:rPr>
          <w:rFonts w:ascii="Arial" w:eastAsia="Times New Roman" w:hAnsi="Arial" w:cs="Arial"/>
          <w:bCs/>
          <w:noProof/>
          <w:color w:val="000000"/>
          <w:lang w:eastAsia="en-GB"/>
        </w:rPr>
      </w:pPr>
      <w:r w:rsidRPr="0028549F">
        <w:rPr>
          <w:rFonts w:ascii="Arial" w:eastAsia="Times New Roman" w:hAnsi="Arial" w:cs="Arial"/>
          <w:bCs/>
          <w:noProof/>
          <w:color w:val="000000"/>
          <w:lang w:eastAsia="en-GB"/>
        </w:rPr>
        <w:t>There are no additional obligations relating to the reforms.</w:t>
      </w:r>
    </w:p>
    <w:p w14:paraId="724A8C15" w14:textId="77777777" w:rsidR="008C6899" w:rsidRPr="008C6899" w:rsidRDefault="008C6899" w:rsidP="0001269D">
      <w:pPr>
        <w:keepNext/>
        <w:spacing w:after="120" w:line="280" w:lineRule="atLeast"/>
        <w:rPr>
          <w:rFonts w:ascii="Arial" w:eastAsia="Times New Roman" w:hAnsi="Arial" w:cs="Arial"/>
          <w:b/>
          <w:bCs/>
          <w:noProof/>
          <w:color w:val="000000"/>
          <w:lang w:eastAsia="en-GB"/>
        </w:rPr>
      </w:pPr>
      <w:r w:rsidRPr="008C6899">
        <w:rPr>
          <w:rFonts w:ascii="Arial" w:eastAsia="Times New Roman" w:hAnsi="Arial" w:cs="Arial"/>
          <w:b/>
          <w:bCs/>
          <w:noProof/>
          <w:color w:val="000000"/>
          <w:lang w:eastAsia="en-GB"/>
        </w:rPr>
        <w:t>Legislative proposals</w:t>
      </w:r>
    </w:p>
    <w:p w14:paraId="30ED055B" w14:textId="77777777" w:rsidR="008C6899" w:rsidRPr="008C6899" w:rsidRDefault="008C6899" w:rsidP="0001269D">
      <w:pPr>
        <w:spacing w:after="0" w:line="280" w:lineRule="atLeast"/>
        <w:rPr>
          <w:rFonts w:ascii="Arial" w:hAnsi="Arial" w:cs="Arial"/>
          <w:u w:val="single"/>
        </w:rPr>
      </w:pPr>
      <w:r w:rsidRPr="008C6899">
        <w:rPr>
          <w:rFonts w:ascii="Arial" w:hAnsi="Arial" w:cs="Arial"/>
          <w:u w:val="single"/>
        </w:rPr>
        <w:t>Claims for whiplash related injuries</w:t>
      </w:r>
    </w:p>
    <w:p w14:paraId="0FF33420" w14:textId="77777777" w:rsidR="008C6899" w:rsidRPr="008C6899" w:rsidRDefault="008C6899" w:rsidP="0001269D">
      <w:pPr>
        <w:numPr>
          <w:ilvl w:val="0"/>
          <w:numId w:val="10"/>
        </w:numPr>
        <w:spacing w:after="120" w:line="280" w:lineRule="atLeast"/>
        <w:ind w:left="357" w:hanging="357"/>
        <w:rPr>
          <w:rFonts w:ascii="Arial" w:hAnsi="Arial" w:cs="Arial"/>
        </w:rPr>
      </w:pPr>
      <w:r w:rsidRPr="008C6899">
        <w:rPr>
          <w:rFonts w:ascii="Arial" w:hAnsi="Arial" w:cs="Arial"/>
        </w:rPr>
        <w:t xml:space="preserve">To tackle the issues related to such minor claims </w:t>
      </w:r>
      <w:r w:rsidR="00D35FA4">
        <w:rPr>
          <w:rFonts w:ascii="Arial" w:hAnsi="Arial" w:cs="Arial"/>
        </w:rPr>
        <w:t>the A</w:t>
      </w:r>
      <w:r w:rsidR="001F291F">
        <w:rPr>
          <w:rFonts w:ascii="Arial" w:hAnsi="Arial" w:cs="Arial"/>
        </w:rPr>
        <w:t>ct</w:t>
      </w:r>
      <w:r w:rsidRPr="008C6899">
        <w:rPr>
          <w:rFonts w:ascii="Arial" w:hAnsi="Arial" w:cs="Arial"/>
        </w:rPr>
        <w:t xml:space="preserve"> will introduce a tariff of predictable damages for all </w:t>
      </w:r>
      <w:r w:rsidR="00D31020">
        <w:rPr>
          <w:rFonts w:ascii="Arial" w:hAnsi="Arial" w:cs="Arial"/>
        </w:rPr>
        <w:t xml:space="preserve">RTA related </w:t>
      </w:r>
      <w:r w:rsidRPr="008C6899">
        <w:rPr>
          <w:rFonts w:ascii="Arial" w:hAnsi="Arial" w:cs="Arial"/>
        </w:rPr>
        <w:t xml:space="preserve">whiplash </w:t>
      </w:r>
      <w:r w:rsidR="00145B1F">
        <w:rPr>
          <w:rFonts w:ascii="Arial" w:hAnsi="Arial" w:cs="Arial"/>
        </w:rPr>
        <w:t xml:space="preserve">PSLA </w:t>
      </w:r>
      <w:r w:rsidRPr="008C6899">
        <w:rPr>
          <w:rFonts w:ascii="Arial" w:hAnsi="Arial" w:cs="Arial"/>
        </w:rPr>
        <w:t xml:space="preserve">claims with an injury duration of </w:t>
      </w:r>
      <w:r w:rsidR="00724A80">
        <w:rPr>
          <w:rFonts w:ascii="Arial" w:hAnsi="Arial" w:cs="Arial"/>
        </w:rPr>
        <w:t>up to</w:t>
      </w:r>
      <w:r w:rsidRPr="008C6899">
        <w:rPr>
          <w:rFonts w:ascii="Arial" w:hAnsi="Arial" w:cs="Arial"/>
        </w:rPr>
        <w:t xml:space="preserve"> 24 months. The tariff will provide a single figure setting out the value of the claim, based on injury duration. Claimants will be able to identify the amount of compensation due based on the prognosis period data contained within their medical report.  </w:t>
      </w:r>
    </w:p>
    <w:p w14:paraId="00236EB8" w14:textId="77777777" w:rsidR="008C6899" w:rsidRPr="008C6899" w:rsidRDefault="008C6899" w:rsidP="0001269D">
      <w:pPr>
        <w:numPr>
          <w:ilvl w:val="0"/>
          <w:numId w:val="10"/>
        </w:numPr>
        <w:spacing w:after="120" w:line="280" w:lineRule="atLeast"/>
        <w:ind w:left="357" w:hanging="357"/>
        <w:rPr>
          <w:rFonts w:ascii="Arial" w:hAnsi="Arial" w:cs="Arial"/>
        </w:rPr>
      </w:pPr>
      <w:r w:rsidRPr="008C6899">
        <w:rPr>
          <w:rFonts w:ascii="Arial" w:hAnsi="Arial" w:cs="Arial"/>
        </w:rPr>
        <w:t>Medical reports will continue to be sourced through MedCo, to ensure the reports are provided by accredited, independent experts and meet minimum</w:t>
      </w:r>
      <w:r w:rsidR="001977A4">
        <w:rPr>
          <w:rFonts w:ascii="Arial" w:hAnsi="Arial" w:cs="Arial"/>
        </w:rPr>
        <w:t xml:space="preserve"> quality</w:t>
      </w:r>
      <w:r w:rsidRPr="008C6899">
        <w:rPr>
          <w:rFonts w:ascii="Arial" w:hAnsi="Arial" w:cs="Arial"/>
        </w:rPr>
        <w:t xml:space="preserve"> standards. In addition, in exceptional circumstances and upon application by the claimant, the judiciary will be able to apply a discretionary uplift of up to 20% to the amount set out in the tariff. </w:t>
      </w:r>
    </w:p>
    <w:p w14:paraId="6A5B3A12" w14:textId="77777777" w:rsidR="008C6899" w:rsidRPr="008C6899" w:rsidRDefault="008C6899" w:rsidP="0001269D">
      <w:pPr>
        <w:numPr>
          <w:ilvl w:val="0"/>
          <w:numId w:val="10"/>
        </w:numPr>
        <w:spacing w:after="120" w:line="280" w:lineRule="atLeast"/>
        <w:ind w:left="357" w:hanging="357"/>
        <w:jc w:val="both"/>
        <w:rPr>
          <w:rFonts w:ascii="Arial" w:hAnsi="Arial" w:cs="Arial"/>
        </w:rPr>
      </w:pPr>
      <w:r w:rsidRPr="008C6899">
        <w:rPr>
          <w:rFonts w:ascii="Arial" w:hAnsi="Arial" w:cs="Arial"/>
        </w:rPr>
        <w:t xml:space="preserve">The </w:t>
      </w:r>
      <w:r w:rsidR="00D35FA4">
        <w:rPr>
          <w:rFonts w:ascii="Arial" w:hAnsi="Arial" w:cs="Arial"/>
        </w:rPr>
        <w:t>Act</w:t>
      </w:r>
      <w:r w:rsidRPr="008C6899">
        <w:rPr>
          <w:rFonts w:ascii="Arial" w:hAnsi="Arial" w:cs="Arial"/>
        </w:rPr>
        <w:t xml:space="preserve"> </w:t>
      </w:r>
      <w:r w:rsidR="00145B1F">
        <w:rPr>
          <w:rFonts w:ascii="Arial" w:hAnsi="Arial" w:cs="Arial"/>
        </w:rPr>
        <w:t xml:space="preserve">will </w:t>
      </w:r>
      <w:r w:rsidRPr="008C6899">
        <w:rPr>
          <w:rFonts w:ascii="Arial" w:hAnsi="Arial" w:cs="Arial"/>
        </w:rPr>
        <w:t xml:space="preserve">introduce a prohibition on the ability to offer, solicit or accept offers to settle RTA related soft tissue injury claims without medical evidence. The </w:t>
      </w:r>
      <w:r w:rsidR="00D35FA4">
        <w:rPr>
          <w:rFonts w:ascii="Arial" w:hAnsi="Arial" w:cs="Arial"/>
        </w:rPr>
        <w:t>Act</w:t>
      </w:r>
      <w:r w:rsidRPr="008C6899">
        <w:rPr>
          <w:rFonts w:ascii="Arial" w:hAnsi="Arial" w:cs="Arial"/>
        </w:rPr>
        <w:t xml:space="preserve"> also provide</w:t>
      </w:r>
      <w:r w:rsidR="00D35FA4">
        <w:rPr>
          <w:rFonts w:ascii="Arial" w:hAnsi="Arial" w:cs="Arial"/>
        </w:rPr>
        <w:t>s</w:t>
      </w:r>
      <w:r w:rsidRPr="008C6899">
        <w:rPr>
          <w:rFonts w:ascii="Arial" w:hAnsi="Arial" w:cs="Arial"/>
        </w:rPr>
        <w:t xml:space="preserve"> for enforcement of this ban through the relevant regulators.</w:t>
      </w:r>
    </w:p>
    <w:p w14:paraId="48CFAB58" w14:textId="77777777" w:rsidR="008C6899" w:rsidRPr="008C6899" w:rsidRDefault="008C6899" w:rsidP="0001269D">
      <w:pPr>
        <w:spacing w:after="0" w:line="280" w:lineRule="atLeast"/>
        <w:rPr>
          <w:rFonts w:ascii="Arial" w:hAnsi="Arial" w:cs="Arial"/>
          <w:u w:val="single"/>
        </w:rPr>
      </w:pPr>
      <w:r w:rsidRPr="008C6899">
        <w:rPr>
          <w:rFonts w:ascii="Arial" w:hAnsi="Arial" w:cs="Arial"/>
          <w:u w:val="single"/>
        </w:rPr>
        <w:t xml:space="preserve">The </w:t>
      </w:r>
      <w:r w:rsidR="001977A4">
        <w:rPr>
          <w:rFonts w:ascii="Arial" w:hAnsi="Arial" w:cs="Arial"/>
          <w:u w:val="single"/>
        </w:rPr>
        <w:t>small claims track limits</w:t>
      </w:r>
      <w:r w:rsidRPr="008C6899">
        <w:rPr>
          <w:rFonts w:ascii="Arial" w:hAnsi="Arial" w:cs="Arial"/>
          <w:u w:val="single"/>
        </w:rPr>
        <w:t xml:space="preserve"> for all PI claims</w:t>
      </w:r>
    </w:p>
    <w:p w14:paraId="61ED18EC" w14:textId="77777777" w:rsidR="008C6899" w:rsidRPr="008C6899" w:rsidRDefault="008C6899" w:rsidP="0001269D">
      <w:pPr>
        <w:numPr>
          <w:ilvl w:val="0"/>
          <w:numId w:val="10"/>
        </w:numPr>
        <w:spacing w:after="120" w:line="280" w:lineRule="atLeast"/>
        <w:ind w:left="357" w:hanging="357"/>
        <w:jc w:val="both"/>
        <w:rPr>
          <w:rFonts w:ascii="Arial" w:hAnsi="Arial" w:cs="Arial"/>
        </w:rPr>
      </w:pPr>
      <w:r w:rsidRPr="008C6899">
        <w:rPr>
          <w:rFonts w:ascii="Arial" w:hAnsi="Arial" w:cs="Arial"/>
        </w:rPr>
        <w:t>The SCT limit will be raised to £5,000 (from £1,000) for RTA related PI claims and to £2,000 (from £1,000) for all other PI claims.</w:t>
      </w:r>
    </w:p>
    <w:p w14:paraId="5FE1FA49" w14:textId="5953E406" w:rsidR="0089223E" w:rsidRPr="001A456C" w:rsidRDefault="0089223E" w:rsidP="0001269D">
      <w:pPr>
        <w:pStyle w:val="NoSpacing"/>
        <w:spacing w:line="280" w:lineRule="atLeast"/>
        <w:jc w:val="both"/>
        <w:rPr>
          <w:rFonts w:ascii="Arial" w:hAnsi="Arial" w:cs="Arial"/>
          <w:u w:val="single"/>
        </w:rPr>
      </w:pPr>
      <w:r w:rsidRPr="001A456C">
        <w:rPr>
          <w:rFonts w:ascii="Arial" w:hAnsi="Arial" w:cs="Arial"/>
          <w:u w:val="single"/>
        </w:rPr>
        <w:t>Personal Injury Discount Rate</w:t>
      </w:r>
    </w:p>
    <w:p w14:paraId="7B4BB994" w14:textId="77777777" w:rsidR="004E41EA" w:rsidRDefault="004E41EA" w:rsidP="0001269D">
      <w:pPr>
        <w:numPr>
          <w:ilvl w:val="0"/>
          <w:numId w:val="10"/>
        </w:numPr>
        <w:spacing w:after="120" w:line="280" w:lineRule="atLeast"/>
        <w:ind w:left="357" w:hanging="357"/>
        <w:rPr>
          <w:rFonts w:ascii="Arial" w:hAnsi="Arial" w:cs="Arial"/>
        </w:rPr>
      </w:pPr>
      <w:r w:rsidRPr="00FC0DAB">
        <w:rPr>
          <w:rFonts w:ascii="Arial" w:hAnsi="Arial" w:cs="Arial"/>
        </w:rPr>
        <w:t xml:space="preserve">The </w:t>
      </w:r>
      <w:r w:rsidR="00CB2C09">
        <w:rPr>
          <w:rFonts w:ascii="Arial" w:hAnsi="Arial" w:cs="Arial"/>
        </w:rPr>
        <w:t>Act</w:t>
      </w:r>
      <w:r>
        <w:rPr>
          <w:rFonts w:ascii="Arial" w:hAnsi="Arial" w:cs="Arial"/>
        </w:rPr>
        <w:t xml:space="preserve"> </w:t>
      </w:r>
      <w:r w:rsidRPr="00FC0DAB">
        <w:rPr>
          <w:rFonts w:ascii="Arial" w:hAnsi="Arial" w:cs="Arial"/>
        </w:rPr>
        <w:t>focus</w:t>
      </w:r>
      <w:r w:rsidR="0099729C">
        <w:rPr>
          <w:rFonts w:ascii="Arial" w:hAnsi="Arial" w:cs="Arial"/>
        </w:rPr>
        <w:t>es</w:t>
      </w:r>
      <w:r w:rsidRPr="00FC0DAB">
        <w:rPr>
          <w:rFonts w:ascii="Arial" w:hAnsi="Arial" w:cs="Arial"/>
        </w:rPr>
        <w:t xml:space="preserve"> on changing the methodology governing how the </w:t>
      </w:r>
      <w:r w:rsidR="001D6ACA">
        <w:rPr>
          <w:rFonts w:ascii="Arial" w:hAnsi="Arial" w:cs="Arial"/>
        </w:rPr>
        <w:t>Personal Injury Discount R</w:t>
      </w:r>
      <w:r w:rsidRPr="00FC0DAB">
        <w:rPr>
          <w:rFonts w:ascii="Arial" w:hAnsi="Arial" w:cs="Arial"/>
        </w:rPr>
        <w:t xml:space="preserve">ate is set to provide for a less risk averse investment risk profile to apply, so as </w:t>
      </w:r>
      <w:r w:rsidR="007A3AFD">
        <w:rPr>
          <w:rFonts w:ascii="Arial" w:hAnsi="Arial" w:cs="Arial"/>
        </w:rPr>
        <w:t xml:space="preserve">to </w:t>
      </w:r>
      <w:r w:rsidRPr="00FC0DAB">
        <w:rPr>
          <w:rFonts w:ascii="Arial" w:hAnsi="Arial" w:cs="Arial"/>
        </w:rPr>
        <w:t xml:space="preserve">better reflect actual claimant investment behaviour and </w:t>
      </w:r>
      <w:r w:rsidR="007A3AFD">
        <w:rPr>
          <w:rFonts w:ascii="Arial" w:hAnsi="Arial" w:cs="Arial"/>
        </w:rPr>
        <w:t xml:space="preserve">to </w:t>
      </w:r>
      <w:r w:rsidRPr="00FC0DAB">
        <w:rPr>
          <w:rFonts w:ascii="Arial" w:hAnsi="Arial" w:cs="Arial"/>
        </w:rPr>
        <w:t xml:space="preserve">create a system which balances the interests of claimants, defendants and wider society more fairly. The principles on which the rate </w:t>
      </w:r>
      <w:r w:rsidR="001F291F">
        <w:rPr>
          <w:rFonts w:ascii="Arial" w:hAnsi="Arial" w:cs="Arial"/>
        </w:rPr>
        <w:t xml:space="preserve">is to </w:t>
      </w:r>
      <w:r w:rsidR="00D35FA4">
        <w:rPr>
          <w:rFonts w:ascii="Arial" w:hAnsi="Arial" w:cs="Arial"/>
        </w:rPr>
        <w:t>be</w:t>
      </w:r>
      <w:r w:rsidRPr="00FC0DAB">
        <w:rPr>
          <w:rFonts w:ascii="Arial" w:hAnsi="Arial" w:cs="Arial"/>
        </w:rPr>
        <w:t xml:space="preserve"> </w:t>
      </w:r>
      <w:r w:rsidR="001F291F">
        <w:rPr>
          <w:rFonts w:ascii="Arial" w:hAnsi="Arial" w:cs="Arial"/>
        </w:rPr>
        <w:t xml:space="preserve">set are </w:t>
      </w:r>
      <w:r w:rsidRPr="00FC0DAB">
        <w:rPr>
          <w:rFonts w:ascii="Arial" w:hAnsi="Arial" w:cs="Arial"/>
        </w:rPr>
        <w:t xml:space="preserve">specified in the legislation. This clarity will make it easier for persons affected to understand the review process and to anticipate the size of any prospective change in the rate. </w:t>
      </w:r>
    </w:p>
    <w:p w14:paraId="6A8B8E77" w14:textId="77777777" w:rsidR="006F56FA" w:rsidRDefault="006F56FA" w:rsidP="0001269D">
      <w:pPr>
        <w:numPr>
          <w:ilvl w:val="0"/>
          <w:numId w:val="10"/>
        </w:numPr>
        <w:spacing w:after="120" w:line="280" w:lineRule="atLeast"/>
        <w:ind w:left="357" w:hanging="357"/>
        <w:rPr>
          <w:rFonts w:ascii="Arial" w:hAnsi="Arial" w:cs="Arial"/>
        </w:rPr>
      </w:pPr>
      <w:r>
        <w:rPr>
          <w:rFonts w:ascii="Arial" w:hAnsi="Arial" w:cs="Arial"/>
        </w:rPr>
        <w:t xml:space="preserve">The first </w:t>
      </w:r>
      <w:r w:rsidR="0099729C">
        <w:rPr>
          <w:rFonts w:ascii="Arial" w:hAnsi="Arial" w:cs="Arial"/>
        </w:rPr>
        <w:t>review</w:t>
      </w:r>
      <w:r>
        <w:rPr>
          <w:rFonts w:ascii="Arial" w:hAnsi="Arial" w:cs="Arial"/>
        </w:rPr>
        <w:t xml:space="preserve"> of the Personal Injury Discount Rate under the new </w:t>
      </w:r>
      <w:r w:rsidR="002F627C">
        <w:rPr>
          <w:rFonts w:ascii="Arial" w:hAnsi="Arial" w:cs="Arial"/>
        </w:rPr>
        <w:t>methodology</w:t>
      </w:r>
      <w:r>
        <w:rPr>
          <w:rFonts w:ascii="Arial" w:hAnsi="Arial" w:cs="Arial"/>
        </w:rPr>
        <w:t xml:space="preserve"> will commence soon after the new legislation comes into force</w:t>
      </w:r>
      <w:r w:rsidR="00CB2C09">
        <w:rPr>
          <w:rFonts w:ascii="Arial" w:hAnsi="Arial" w:cs="Arial"/>
        </w:rPr>
        <w:t xml:space="preserve"> (within 90 days of Royal Assent)</w:t>
      </w:r>
      <w:r>
        <w:rPr>
          <w:rFonts w:ascii="Arial" w:hAnsi="Arial" w:cs="Arial"/>
        </w:rPr>
        <w:t xml:space="preserve">. For this review, the Lord Chancellor will </w:t>
      </w:r>
      <w:r w:rsidR="00FD6492">
        <w:rPr>
          <w:rFonts w:ascii="Arial" w:hAnsi="Arial" w:cs="Arial"/>
        </w:rPr>
        <w:t>consult the</w:t>
      </w:r>
      <w:r>
        <w:rPr>
          <w:rFonts w:ascii="Arial" w:hAnsi="Arial" w:cs="Arial"/>
        </w:rPr>
        <w:t xml:space="preserve"> Government Actuary and HM Treasury.</w:t>
      </w:r>
    </w:p>
    <w:p w14:paraId="06E5587B" w14:textId="77777777" w:rsidR="00715D8A" w:rsidRDefault="004E41EA" w:rsidP="0001269D">
      <w:pPr>
        <w:numPr>
          <w:ilvl w:val="0"/>
          <w:numId w:val="10"/>
        </w:numPr>
        <w:spacing w:after="120" w:line="280" w:lineRule="atLeast"/>
        <w:ind w:left="357" w:hanging="357"/>
        <w:rPr>
          <w:rFonts w:ascii="Arial" w:hAnsi="Arial" w:cs="Arial"/>
        </w:rPr>
      </w:pPr>
      <w:r w:rsidRPr="00FC0DAB">
        <w:rPr>
          <w:rFonts w:ascii="Arial" w:hAnsi="Arial" w:cs="Arial"/>
        </w:rPr>
        <w:t xml:space="preserve">Provision </w:t>
      </w:r>
      <w:r w:rsidR="0099729C">
        <w:rPr>
          <w:rFonts w:ascii="Arial" w:hAnsi="Arial" w:cs="Arial"/>
        </w:rPr>
        <w:t>is</w:t>
      </w:r>
      <w:r w:rsidRPr="00FC0DAB">
        <w:rPr>
          <w:rFonts w:ascii="Arial" w:hAnsi="Arial" w:cs="Arial"/>
        </w:rPr>
        <w:t xml:space="preserve"> also made for regular reviews to reduce the extent of the impact of any future change in the rate and to increase the predictability of when </w:t>
      </w:r>
      <w:r w:rsidR="00715D8A">
        <w:rPr>
          <w:rFonts w:ascii="Arial" w:hAnsi="Arial" w:cs="Arial"/>
        </w:rPr>
        <w:t xml:space="preserve">future </w:t>
      </w:r>
      <w:r w:rsidRPr="00FC0DAB">
        <w:rPr>
          <w:rFonts w:ascii="Arial" w:hAnsi="Arial" w:cs="Arial"/>
        </w:rPr>
        <w:t>reviews will occur</w:t>
      </w:r>
      <w:r w:rsidR="00CB2C09">
        <w:rPr>
          <w:rFonts w:ascii="Arial" w:hAnsi="Arial" w:cs="Arial"/>
        </w:rPr>
        <w:t>. The Act provides for reviews at least every five years</w:t>
      </w:r>
      <w:r w:rsidR="00715D8A">
        <w:rPr>
          <w:rFonts w:ascii="Arial" w:hAnsi="Arial" w:cs="Arial"/>
        </w:rPr>
        <w:t>. A</w:t>
      </w:r>
      <w:r w:rsidRPr="00FC0DAB">
        <w:rPr>
          <w:rFonts w:ascii="Arial" w:hAnsi="Arial" w:cs="Arial"/>
        </w:rPr>
        <w:t xml:space="preserve">n independent expert panel to advise the Lord Chancellor on </w:t>
      </w:r>
      <w:r w:rsidR="00715D8A">
        <w:rPr>
          <w:rFonts w:ascii="Arial" w:hAnsi="Arial" w:cs="Arial"/>
        </w:rPr>
        <w:t xml:space="preserve">the factors to consider when setting </w:t>
      </w:r>
      <w:r w:rsidRPr="00FC0DAB">
        <w:rPr>
          <w:rFonts w:ascii="Arial" w:hAnsi="Arial" w:cs="Arial"/>
        </w:rPr>
        <w:t xml:space="preserve">the rate </w:t>
      </w:r>
      <w:r w:rsidR="00715D8A">
        <w:rPr>
          <w:rFonts w:ascii="Arial" w:hAnsi="Arial" w:cs="Arial"/>
        </w:rPr>
        <w:t>in these subsequent reviews will also be established</w:t>
      </w:r>
      <w:r w:rsidR="0099729C">
        <w:rPr>
          <w:rFonts w:ascii="Arial" w:hAnsi="Arial" w:cs="Arial"/>
        </w:rPr>
        <w:t xml:space="preserve"> at each review</w:t>
      </w:r>
      <w:r w:rsidR="00715D8A">
        <w:rPr>
          <w:rFonts w:ascii="Arial" w:hAnsi="Arial" w:cs="Arial"/>
        </w:rPr>
        <w:t xml:space="preserve">. </w:t>
      </w:r>
    </w:p>
    <w:p w14:paraId="278013B8" w14:textId="77777777" w:rsidR="004E41EA" w:rsidRDefault="00715D8A" w:rsidP="0001269D">
      <w:pPr>
        <w:numPr>
          <w:ilvl w:val="0"/>
          <w:numId w:val="10"/>
        </w:numPr>
        <w:spacing w:after="120" w:line="280" w:lineRule="atLeast"/>
        <w:ind w:left="357" w:hanging="357"/>
        <w:rPr>
          <w:rFonts w:ascii="Arial" w:hAnsi="Arial" w:cs="Arial"/>
        </w:rPr>
      </w:pPr>
      <w:r>
        <w:rPr>
          <w:rFonts w:ascii="Arial" w:hAnsi="Arial" w:cs="Arial"/>
        </w:rPr>
        <w:t>Taken together, the Government believes that these reforms will ensure that the Personal Injury Discount Rate is set using</w:t>
      </w:r>
      <w:r w:rsidR="004E41EA" w:rsidRPr="00FC0DAB">
        <w:rPr>
          <w:rFonts w:ascii="Arial" w:hAnsi="Arial" w:cs="Arial"/>
        </w:rPr>
        <w:t xml:space="preserve"> a clear, transparent and objective approach</w:t>
      </w:r>
      <w:r w:rsidR="0099729C">
        <w:rPr>
          <w:rFonts w:ascii="Arial" w:hAnsi="Arial" w:cs="Arial"/>
        </w:rPr>
        <w:t>,</w:t>
      </w:r>
      <w:r w:rsidR="004E41EA" w:rsidRPr="00FC0DAB">
        <w:rPr>
          <w:rFonts w:ascii="Arial" w:hAnsi="Arial" w:cs="Arial"/>
        </w:rPr>
        <w:t xml:space="preserve"> which </w:t>
      </w:r>
      <w:r>
        <w:rPr>
          <w:rFonts w:ascii="Arial" w:hAnsi="Arial" w:cs="Arial"/>
        </w:rPr>
        <w:t xml:space="preserve">better </w:t>
      </w:r>
      <w:r w:rsidR="0099729C">
        <w:rPr>
          <w:rFonts w:ascii="Arial" w:hAnsi="Arial" w:cs="Arial"/>
        </w:rPr>
        <w:t>protect</w:t>
      </w:r>
      <w:r>
        <w:rPr>
          <w:rFonts w:ascii="Arial" w:hAnsi="Arial" w:cs="Arial"/>
        </w:rPr>
        <w:t>s the interests of claimants and defendants</w:t>
      </w:r>
      <w:r w:rsidR="0099729C">
        <w:rPr>
          <w:rFonts w:ascii="Arial" w:hAnsi="Arial" w:cs="Arial"/>
        </w:rPr>
        <w:t>,</w:t>
      </w:r>
      <w:r>
        <w:rPr>
          <w:rFonts w:ascii="Arial" w:hAnsi="Arial" w:cs="Arial"/>
        </w:rPr>
        <w:t xml:space="preserve"> while </w:t>
      </w:r>
      <w:r w:rsidR="004E41EA" w:rsidRPr="00FC0DAB">
        <w:rPr>
          <w:rFonts w:ascii="Arial" w:hAnsi="Arial" w:cs="Arial"/>
        </w:rPr>
        <w:t>provid</w:t>
      </w:r>
      <w:r>
        <w:rPr>
          <w:rFonts w:ascii="Arial" w:hAnsi="Arial" w:cs="Arial"/>
        </w:rPr>
        <w:t>ing greater</w:t>
      </w:r>
      <w:r w:rsidR="004E41EA" w:rsidRPr="00FC0DAB">
        <w:rPr>
          <w:rFonts w:ascii="Arial" w:hAnsi="Arial" w:cs="Arial"/>
        </w:rPr>
        <w:t xml:space="preserve"> certainty and predictability for those involved in litigation.</w:t>
      </w:r>
    </w:p>
    <w:p w14:paraId="778133AF" w14:textId="77777777" w:rsidR="00776B7A" w:rsidRDefault="00776B7A" w:rsidP="00776B7A">
      <w:pPr>
        <w:pStyle w:val="ListParagraph"/>
        <w:rPr>
          <w:rFonts w:cs="Arial"/>
        </w:rPr>
      </w:pPr>
    </w:p>
    <w:p w14:paraId="32A8C978" w14:textId="77777777" w:rsidR="00776B7A" w:rsidRDefault="00B03255" w:rsidP="00776B7A">
      <w:pPr>
        <w:spacing w:after="0" w:line="240" w:lineRule="auto"/>
        <w:rPr>
          <w:rFonts w:ascii="Arial" w:hAnsi="Arial" w:cs="Arial"/>
          <w:u w:val="single"/>
        </w:rPr>
      </w:pPr>
      <w:r w:rsidRPr="0028549F">
        <w:rPr>
          <w:rFonts w:ascii="Arial" w:hAnsi="Arial" w:cs="Arial"/>
          <w:u w:val="single"/>
        </w:rPr>
        <w:lastRenderedPageBreak/>
        <w:t>Additional obligations on insurers</w:t>
      </w:r>
    </w:p>
    <w:p w14:paraId="620AAF4E" w14:textId="77777777" w:rsidR="00B03255" w:rsidRDefault="006D0EB0" w:rsidP="0001269D">
      <w:pPr>
        <w:numPr>
          <w:ilvl w:val="0"/>
          <w:numId w:val="10"/>
        </w:numPr>
        <w:spacing w:after="120" w:line="280" w:lineRule="atLeast"/>
        <w:ind w:left="357" w:hanging="357"/>
        <w:rPr>
          <w:rFonts w:ascii="Arial" w:hAnsi="Arial" w:cs="Arial"/>
        </w:rPr>
      </w:pPr>
      <w:r>
        <w:rPr>
          <w:rFonts w:ascii="Arial" w:hAnsi="Arial" w:cs="Arial"/>
        </w:rPr>
        <w:t xml:space="preserve">The Act provides for secondary regulations to be made that will require insurers to provide information </w:t>
      </w:r>
      <w:r w:rsidR="006B3670" w:rsidRPr="0028549F">
        <w:rPr>
          <w:rFonts w:ascii="Arial" w:hAnsi="Arial" w:cs="Arial"/>
        </w:rPr>
        <w:t xml:space="preserve">to the Financial Conduct Authority </w:t>
      </w:r>
      <w:r w:rsidR="00040D49">
        <w:rPr>
          <w:rFonts w:ascii="Arial" w:hAnsi="Arial" w:cs="Arial"/>
        </w:rPr>
        <w:t xml:space="preserve">(FCA) </w:t>
      </w:r>
      <w:r w:rsidR="006B3670" w:rsidRPr="0028549F">
        <w:rPr>
          <w:rFonts w:ascii="Arial" w:hAnsi="Arial" w:cs="Arial"/>
        </w:rPr>
        <w:t xml:space="preserve">about the effects of Parts 1 and 2 of the Act on individual customers in England and Wales who have purchased insurance policies which include cover for personal injury. </w:t>
      </w:r>
      <w:r w:rsidRPr="0028549F">
        <w:rPr>
          <w:rFonts w:ascii="Arial" w:hAnsi="Arial" w:cs="Arial"/>
        </w:rPr>
        <w:t>The</w:t>
      </w:r>
      <w:r>
        <w:rPr>
          <w:rFonts w:ascii="Arial" w:hAnsi="Arial" w:cs="Arial"/>
        </w:rPr>
        <w:t>se</w:t>
      </w:r>
      <w:r w:rsidRPr="0028549F">
        <w:rPr>
          <w:rFonts w:ascii="Arial" w:hAnsi="Arial" w:cs="Arial"/>
        </w:rPr>
        <w:t xml:space="preserve"> regulations may specify the level and type of information to be provided, the period of time for which the requirement will apply and that the information may be subject to audit. The Treasury will then prepare and lay a report before Parliament which summarises the information provided and which gives a view on whether and how policy holders have benefitted from reductions in costs to insurers arising from these reforms.</w:t>
      </w:r>
    </w:p>
    <w:p w14:paraId="4EF438E6" w14:textId="77777777" w:rsidR="00040D49" w:rsidRPr="006D0EB0" w:rsidRDefault="00040D49" w:rsidP="0001269D">
      <w:pPr>
        <w:numPr>
          <w:ilvl w:val="0"/>
          <w:numId w:val="10"/>
        </w:numPr>
        <w:spacing w:after="120" w:line="280" w:lineRule="atLeast"/>
        <w:ind w:left="357" w:hanging="357"/>
        <w:rPr>
          <w:rFonts w:ascii="Arial" w:hAnsi="Arial" w:cs="Arial"/>
        </w:rPr>
      </w:pPr>
      <w:r>
        <w:rPr>
          <w:rFonts w:ascii="Arial" w:hAnsi="Arial" w:cs="Arial"/>
        </w:rPr>
        <w:t xml:space="preserve">The Treasury will develop the regulations working closely with the FCA, and will run a consultation exercise on draft regulations in early 2019. </w:t>
      </w:r>
      <w:bookmarkStart w:id="24" w:name="_Hlk534726709"/>
      <w:r w:rsidR="00F91BCE">
        <w:rPr>
          <w:rFonts w:ascii="Arial" w:hAnsi="Arial" w:cs="Arial"/>
        </w:rPr>
        <w:t xml:space="preserve">An impact assessment will accompany the secondary legislation to provide more detail of the costs of this measure. </w:t>
      </w:r>
    </w:p>
    <w:bookmarkEnd w:id="24"/>
    <w:p w14:paraId="0A37A92C" w14:textId="77777777" w:rsidR="00776B7A" w:rsidRDefault="00776B7A" w:rsidP="00776B7A">
      <w:pPr>
        <w:spacing w:after="0" w:line="240" w:lineRule="auto"/>
        <w:rPr>
          <w:rFonts w:ascii="Arial" w:hAnsi="Arial" w:cs="Arial"/>
        </w:rPr>
      </w:pPr>
    </w:p>
    <w:p w14:paraId="1461B9C1" w14:textId="77777777" w:rsidR="00776B7A" w:rsidRDefault="00776B7A" w:rsidP="00776B7A">
      <w:pPr>
        <w:spacing w:after="0" w:line="240" w:lineRule="auto"/>
        <w:rPr>
          <w:rFonts w:ascii="Arial" w:hAnsi="Arial" w:cs="Arial"/>
        </w:rPr>
      </w:pPr>
    </w:p>
    <w:p w14:paraId="0BB46E65" w14:textId="77777777" w:rsidR="004410E9" w:rsidRDefault="00776B7A" w:rsidP="00A2325B">
      <w:pPr>
        <w:pStyle w:val="ListParagraph"/>
        <w:spacing w:after="240" w:line="280" w:lineRule="atLeast"/>
        <w:ind w:left="0"/>
        <w:rPr>
          <w:b/>
          <w:sz w:val="28"/>
          <w:szCs w:val="28"/>
        </w:rPr>
      </w:pPr>
      <w:r w:rsidRPr="00776B7A">
        <w:rPr>
          <w:rFonts w:cs="Arial"/>
          <w:b/>
          <w:sz w:val="28"/>
          <w:szCs w:val="28"/>
        </w:rPr>
        <w:t>F.</w:t>
      </w:r>
      <w:r>
        <w:rPr>
          <w:rFonts w:cs="Arial"/>
          <w:sz w:val="22"/>
          <w:szCs w:val="22"/>
        </w:rPr>
        <w:t xml:space="preserve"> </w:t>
      </w:r>
      <w:r w:rsidR="004410E9" w:rsidRPr="00643C5B">
        <w:rPr>
          <w:b/>
          <w:sz w:val="28"/>
          <w:szCs w:val="28"/>
        </w:rPr>
        <w:t xml:space="preserve">Cost and Benefit </w:t>
      </w:r>
      <w:r w:rsidR="004410E9">
        <w:rPr>
          <w:b/>
          <w:sz w:val="28"/>
          <w:szCs w:val="28"/>
        </w:rPr>
        <w:t>Summary</w:t>
      </w:r>
    </w:p>
    <w:p w14:paraId="23FBE053" w14:textId="77777777" w:rsidR="004410E9" w:rsidRDefault="004410E9" w:rsidP="0001269D">
      <w:pPr>
        <w:pStyle w:val="EBBullet"/>
        <w:keepNext/>
        <w:numPr>
          <w:ilvl w:val="0"/>
          <w:numId w:val="10"/>
        </w:numPr>
        <w:spacing w:line="280" w:lineRule="atLeast"/>
      </w:pPr>
      <w:r>
        <w:t xml:space="preserve">This overarching IA summarises the main monetised and non-monetised impacts of the above </w:t>
      </w:r>
      <w:r w:rsidR="00A9553A">
        <w:t>legislative measures</w:t>
      </w:r>
      <w:r>
        <w:t xml:space="preserve"> on individuals and groups in the </w:t>
      </w:r>
      <w:r w:rsidR="002B7487">
        <w:t>England and Wales</w:t>
      </w:r>
      <w:r>
        <w:t xml:space="preserve">. The costs and benefits of each </w:t>
      </w:r>
      <w:r w:rsidR="00A9553A">
        <w:t>legislative measure</w:t>
      </w:r>
      <w:r>
        <w:t xml:space="preserve"> are compared to the “do nothing” option. IAs place a strong emphasis on valuing costs and benefits in monetary terms. However, there are often important aspects of a policy that cann</w:t>
      </w:r>
      <w:r w:rsidR="00240221">
        <w:t xml:space="preserve">ot readily be monetised – e.g. </w:t>
      </w:r>
      <w:r>
        <w:t xml:space="preserve">the effects on particular groups </w:t>
      </w:r>
      <w:r w:rsidR="002103F7">
        <w:t>in</w:t>
      </w:r>
      <w:r>
        <w:t xml:space="preserve"> society or changes in equity and fairness.</w:t>
      </w:r>
    </w:p>
    <w:p w14:paraId="10D99C82" w14:textId="77777777" w:rsidR="004410E9" w:rsidRDefault="004410E9" w:rsidP="0001269D">
      <w:pPr>
        <w:pStyle w:val="EBBullet"/>
        <w:keepNext/>
        <w:numPr>
          <w:ilvl w:val="0"/>
          <w:numId w:val="10"/>
        </w:numPr>
        <w:spacing w:line="280" w:lineRule="atLeast"/>
      </w:pPr>
      <w:r>
        <w:t>More detailed analys</w:t>
      </w:r>
      <w:r w:rsidR="00A1455F">
        <w:t>i</w:t>
      </w:r>
      <w:r>
        <w:t xml:space="preserve">s of the costs and benefits for </w:t>
      </w:r>
      <w:r w:rsidR="008102D4">
        <w:t xml:space="preserve">the </w:t>
      </w:r>
      <w:r w:rsidR="0089223E">
        <w:t>whiplash and the P</w:t>
      </w:r>
      <w:r w:rsidR="00A474E6">
        <w:t>ersonal Injury Discount Rate</w:t>
      </w:r>
      <w:r w:rsidR="008102D4">
        <w:t xml:space="preserve"> measures</w:t>
      </w:r>
      <w:r>
        <w:t xml:space="preserve">, as well as the </w:t>
      </w:r>
      <w:r w:rsidR="008102D4">
        <w:t xml:space="preserve">more specific </w:t>
      </w:r>
      <w:r>
        <w:t xml:space="preserve">policy objectives, can be found in the individual IA for each </w:t>
      </w:r>
      <w:r w:rsidR="008A0CEF">
        <w:t xml:space="preserve">legislative </w:t>
      </w:r>
      <w:r>
        <w:t>measure. These are based on our modelling</w:t>
      </w:r>
      <w:r w:rsidR="00A9553A">
        <w:t>, analysis conducted on behalf of the Ministry of Justice by the Government Actuary’s Department,</w:t>
      </w:r>
      <w:r>
        <w:t xml:space="preserve"> </w:t>
      </w:r>
      <w:r w:rsidR="00A9553A">
        <w:t xml:space="preserve">data from the Claims Management Regulator and </w:t>
      </w:r>
      <w:r>
        <w:t>HMCTS</w:t>
      </w:r>
      <w:r w:rsidR="00A9553A">
        <w:t xml:space="preserve"> and responses received to the consultations referred to above</w:t>
      </w:r>
      <w:r>
        <w:t xml:space="preserve">. </w:t>
      </w:r>
      <w:r w:rsidR="008102D4">
        <w:t>The expected impacts of these mea</w:t>
      </w:r>
      <w:r w:rsidR="00240221">
        <w:t>sures are summarised in tables 1</w:t>
      </w:r>
      <w:r w:rsidR="00A474E6">
        <w:t xml:space="preserve"> and 2</w:t>
      </w:r>
      <w:r w:rsidR="008102D4">
        <w:t xml:space="preserve"> below.</w:t>
      </w:r>
    </w:p>
    <w:p w14:paraId="0755DE3A" w14:textId="77777777" w:rsidR="002329E4" w:rsidRDefault="002329E4" w:rsidP="0001269D">
      <w:pPr>
        <w:pStyle w:val="EBBullet"/>
        <w:keepNext/>
        <w:numPr>
          <w:ilvl w:val="0"/>
          <w:numId w:val="10"/>
        </w:numPr>
        <w:spacing w:line="280" w:lineRule="atLeast"/>
      </w:pPr>
      <w:r>
        <w:t>These impacts have been assessed using HM Treasury guidance. To make our estimates for each measure comparable, we have adopted the following conventions:</w:t>
      </w:r>
    </w:p>
    <w:p w14:paraId="043B16FD" w14:textId="77777777" w:rsidR="00F06AF0" w:rsidRDefault="00F06AF0" w:rsidP="0001269D">
      <w:pPr>
        <w:pStyle w:val="EBBullet"/>
        <w:keepNext/>
        <w:numPr>
          <w:ilvl w:val="0"/>
          <w:numId w:val="9"/>
        </w:numPr>
        <w:spacing w:line="280" w:lineRule="atLeast"/>
        <w:ind w:left="709" w:hanging="283"/>
      </w:pPr>
      <w:r>
        <w:t>Monetised costs and benefits are stated in 2014-15 prices;</w:t>
      </w:r>
    </w:p>
    <w:p w14:paraId="69ED9910" w14:textId="77777777" w:rsidR="002329E4" w:rsidRDefault="000B324A" w:rsidP="0001269D">
      <w:pPr>
        <w:pStyle w:val="EBBullet"/>
        <w:keepNext/>
        <w:numPr>
          <w:ilvl w:val="0"/>
          <w:numId w:val="9"/>
        </w:numPr>
        <w:spacing w:line="280" w:lineRule="atLeast"/>
        <w:ind w:left="709" w:hanging="283"/>
      </w:pPr>
      <w:r>
        <w:t xml:space="preserve">The </w:t>
      </w:r>
      <w:r w:rsidR="00F06AF0">
        <w:t xml:space="preserve">Net Present Value (NPV) </w:t>
      </w:r>
      <w:r>
        <w:t>of each measure has</w:t>
      </w:r>
      <w:r w:rsidR="00F06AF0">
        <w:t xml:space="preserve"> been calculated for a ten</w:t>
      </w:r>
      <w:r w:rsidR="00F5230B">
        <w:t>-</w:t>
      </w:r>
      <w:r w:rsidR="00F06AF0">
        <w:t xml:space="preserve">year period from </w:t>
      </w:r>
      <w:r w:rsidR="0099222A">
        <w:t>the expected implementation date</w:t>
      </w:r>
      <w:r w:rsidR="00F06AF0">
        <w:t xml:space="preserve"> using a 3.5 per cent discount rate;</w:t>
      </w:r>
      <w:r w:rsidR="0099222A">
        <w:t xml:space="preserve"> </w:t>
      </w:r>
      <w:r w:rsidR="00A86A17">
        <w:t>the</w:t>
      </w:r>
      <w:r w:rsidR="0099222A">
        <w:t xml:space="preserve"> implementation date assumed for whiplash reforms in the </w:t>
      </w:r>
      <w:r w:rsidR="008A4C9B">
        <w:t>Royal Assent</w:t>
      </w:r>
      <w:r w:rsidR="0099222A">
        <w:t xml:space="preserve"> IA is 20</w:t>
      </w:r>
      <w:r w:rsidR="00F04A72">
        <w:t>20</w:t>
      </w:r>
      <w:r w:rsidR="00A2325B">
        <w:t>;</w:t>
      </w:r>
    </w:p>
    <w:p w14:paraId="5B15DAA5" w14:textId="77777777" w:rsidR="00F06AF0" w:rsidRDefault="00240221" w:rsidP="0001269D">
      <w:pPr>
        <w:pStyle w:val="EBBullet"/>
        <w:keepNext/>
        <w:numPr>
          <w:ilvl w:val="0"/>
          <w:numId w:val="9"/>
        </w:numPr>
        <w:spacing w:line="280" w:lineRule="atLeast"/>
        <w:ind w:left="709" w:hanging="283"/>
      </w:pPr>
      <w:r>
        <w:t>Where appropriate, o</w:t>
      </w:r>
      <w:r w:rsidR="00F06AF0">
        <w:t xml:space="preserve">ptimism </w:t>
      </w:r>
      <w:r>
        <w:t>b</w:t>
      </w:r>
      <w:r w:rsidR="00F06AF0">
        <w:t>ias has been applied. The rationale for the chosen levels can be found in the IAs for the individual measures;</w:t>
      </w:r>
      <w:r w:rsidR="00A2325B">
        <w:t xml:space="preserve"> and</w:t>
      </w:r>
    </w:p>
    <w:p w14:paraId="7071D1FE" w14:textId="77777777" w:rsidR="00F06AF0" w:rsidRDefault="00F06AF0" w:rsidP="0001269D">
      <w:pPr>
        <w:pStyle w:val="EBBullet"/>
        <w:keepNext/>
        <w:numPr>
          <w:ilvl w:val="0"/>
          <w:numId w:val="9"/>
        </w:numPr>
        <w:spacing w:line="280" w:lineRule="atLeast"/>
        <w:ind w:left="709" w:hanging="283"/>
      </w:pPr>
      <w:r>
        <w:t>Unless otherwise stated, the annualised costs or savings are those which would be a</w:t>
      </w:r>
      <w:r w:rsidR="00240221">
        <w:t>chieved in ‘steady state’ (i.e.</w:t>
      </w:r>
      <w:r>
        <w:t xml:space="preserve"> when the measure is fully in operation).</w:t>
      </w:r>
    </w:p>
    <w:p w14:paraId="5991E63F" w14:textId="77777777" w:rsidR="002A01ED" w:rsidRDefault="002A01ED" w:rsidP="0001269D">
      <w:pPr>
        <w:pStyle w:val="EBBullet"/>
        <w:keepNext/>
        <w:numPr>
          <w:ilvl w:val="0"/>
          <w:numId w:val="10"/>
        </w:numPr>
        <w:spacing w:line="280" w:lineRule="atLeast"/>
      </w:pPr>
      <w:r>
        <w:t xml:space="preserve">Our assessment of the impacts of reforming the setting the Personal Injury Discount Rate are </w:t>
      </w:r>
      <w:r w:rsidR="002F627C">
        <w:t>largely</w:t>
      </w:r>
      <w:r>
        <w:t xml:space="preserve"> qualitative at this stage. This is because the </w:t>
      </w:r>
      <w:r w:rsidR="001F291F">
        <w:t>new legislative provisions</w:t>
      </w:r>
      <w:r>
        <w:t xml:space="preserve"> only change the legal framework in which the Lord Chancellor will make this decision and do not, of </w:t>
      </w:r>
      <w:r w:rsidR="001F291F">
        <w:t>themselves</w:t>
      </w:r>
      <w:r>
        <w:t xml:space="preserve">, lead to a determinate level for the rate. Having said this, it is </w:t>
      </w:r>
      <w:r>
        <w:lastRenderedPageBreak/>
        <w:t xml:space="preserve">likely that under the </w:t>
      </w:r>
      <w:r w:rsidR="001F291F">
        <w:t xml:space="preserve">new legal </w:t>
      </w:r>
      <w:r>
        <w:t xml:space="preserve">framework, the discount rate </w:t>
      </w:r>
      <w:r w:rsidR="00D35FA4">
        <w:t>will</w:t>
      </w:r>
      <w:r>
        <w:t xml:space="preserve"> be higher than </w:t>
      </w:r>
      <w:r w:rsidR="001F291F">
        <w:t>it would have been under the previous legal fram</w:t>
      </w:r>
      <w:r w:rsidR="00A2325B">
        <w:t>e</w:t>
      </w:r>
      <w:r w:rsidR="001F291F">
        <w:t>work</w:t>
      </w:r>
      <w:r>
        <w:t>.</w:t>
      </w:r>
    </w:p>
    <w:p w14:paraId="4D3AEB28" w14:textId="77777777" w:rsidR="004E7F0E" w:rsidRDefault="002A01ED" w:rsidP="0001269D">
      <w:pPr>
        <w:pStyle w:val="EBBullet"/>
        <w:keepNext/>
        <w:numPr>
          <w:ilvl w:val="0"/>
          <w:numId w:val="10"/>
        </w:numPr>
        <w:spacing w:line="280" w:lineRule="atLeast"/>
      </w:pPr>
      <w:r>
        <w:t>Likewise</w:t>
      </w:r>
      <w:r w:rsidR="00EB6418">
        <w:t>,</w:t>
      </w:r>
      <w:r>
        <w:t xml:space="preserve"> it is standard practice in IAs to ignore transfers of income between </w:t>
      </w:r>
      <w:proofErr w:type="gramStart"/>
      <w:r>
        <w:t>different groups</w:t>
      </w:r>
      <w:proofErr w:type="gramEnd"/>
      <w:r>
        <w:t xml:space="preserve"> in society and only assess the impact of changes in real resource use. In the case of the Personal Injury Discount Rate all of the main impacts </w:t>
      </w:r>
      <w:r w:rsidR="009423F4">
        <w:t xml:space="preserve">of the proposed reforms </w:t>
      </w:r>
      <w:r>
        <w:t xml:space="preserve">are likely to arise as a result of </w:t>
      </w:r>
      <w:r w:rsidR="009423F4">
        <w:t xml:space="preserve">changes in </w:t>
      </w:r>
      <w:r>
        <w:t xml:space="preserve">such transfers. However, given the scale of these transfers and the likely interest in our proposals for reform, we have nonetheless </w:t>
      </w:r>
      <w:r w:rsidR="00EB6418">
        <w:t>included an assessment of these impacts in the</w:t>
      </w:r>
      <w:r>
        <w:t xml:space="preserve"> IA for th</w:t>
      </w:r>
      <w:r w:rsidR="00EB6418">
        <w:t>is</w:t>
      </w:r>
      <w:r>
        <w:t xml:space="preserve"> measure. </w:t>
      </w:r>
    </w:p>
    <w:p w14:paraId="685C496D" w14:textId="77777777" w:rsidR="002A01ED" w:rsidRDefault="002A01ED" w:rsidP="0001269D">
      <w:pPr>
        <w:pStyle w:val="EBBullet"/>
        <w:keepNext/>
        <w:numPr>
          <w:ilvl w:val="0"/>
          <w:numId w:val="10"/>
        </w:numPr>
        <w:spacing w:line="280" w:lineRule="atLeast"/>
        <w:ind w:left="357" w:hanging="357"/>
      </w:pPr>
      <w:r>
        <w:t xml:space="preserve">An IA </w:t>
      </w:r>
      <w:r w:rsidR="009423F4">
        <w:t>which quantifies the impacts</w:t>
      </w:r>
      <w:r>
        <w:t xml:space="preserve"> any subsequent change in the </w:t>
      </w:r>
      <w:r w:rsidR="004E7F0E">
        <w:t>Personal Injury D</w:t>
      </w:r>
      <w:r w:rsidR="009423F4">
        <w:t xml:space="preserve">iscount </w:t>
      </w:r>
      <w:r w:rsidR="004E7F0E">
        <w:t>R</w:t>
      </w:r>
      <w:r>
        <w:t xml:space="preserve">ate will be produced </w:t>
      </w:r>
      <w:r w:rsidR="009423F4">
        <w:t xml:space="preserve">when the Lord Chancellor </w:t>
      </w:r>
      <w:proofErr w:type="gramStart"/>
      <w:r w:rsidR="009423F4">
        <w:t>makes a decision</w:t>
      </w:r>
      <w:proofErr w:type="gramEnd"/>
      <w:r w:rsidR="009423F4">
        <w:t xml:space="preserve"> on this under the </w:t>
      </w:r>
      <w:r w:rsidR="00D35FA4">
        <w:t xml:space="preserve">new </w:t>
      </w:r>
      <w:r w:rsidR="009423F4">
        <w:t>legal framework</w:t>
      </w:r>
      <w:r w:rsidR="00D35FA4">
        <w:t xml:space="preserve"> contained in the Act</w:t>
      </w:r>
      <w:r>
        <w:t>.</w:t>
      </w:r>
    </w:p>
    <w:p w14:paraId="5647D91D" w14:textId="77777777" w:rsidR="004410E9" w:rsidRPr="006A77D2" w:rsidRDefault="004410E9" w:rsidP="0001269D">
      <w:pPr>
        <w:spacing w:after="0"/>
        <w:rPr>
          <w:rFonts w:ascii="Arial" w:hAnsi="Arial" w:cs="Arial"/>
          <w:b/>
        </w:rPr>
      </w:pPr>
      <w:r w:rsidRPr="006A77D2">
        <w:rPr>
          <w:rFonts w:ascii="Arial" w:hAnsi="Arial" w:cs="Arial"/>
          <w:b/>
        </w:rPr>
        <w:t xml:space="preserve">Net Impact: </w:t>
      </w:r>
      <w:r w:rsidR="00A474E6">
        <w:rPr>
          <w:rFonts w:ascii="Arial" w:hAnsi="Arial" w:cs="Arial"/>
          <w:b/>
        </w:rPr>
        <w:t>Whiplash Reform</w:t>
      </w:r>
    </w:p>
    <w:p w14:paraId="1D610953" w14:textId="77777777" w:rsidR="008C6899" w:rsidRPr="008C6899" w:rsidRDefault="008C6899" w:rsidP="00A2325B">
      <w:pPr>
        <w:numPr>
          <w:ilvl w:val="0"/>
          <w:numId w:val="10"/>
        </w:numPr>
        <w:spacing w:after="240" w:line="280" w:lineRule="atLeast"/>
        <w:ind w:left="357" w:hanging="357"/>
        <w:rPr>
          <w:rFonts w:eastAsia="Times New Roman"/>
          <w:color w:val="1F497D"/>
        </w:rPr>
      </w:pPr>
      <w:r w:rsidRPr="008C6899">
        <w:rPr>
          <w:rFonts w:ascii="Arial" w:eastAsia="Times New Roman" w:hAnsi="Arial"/>
        </w:rPr>
        <w:t xml:space="preserve">Table 1 summarises the net impact of the </w:t>
      </w:r>
      <w:r w:rsidR="00D35FA4">
        <w:rPr>
          <w:rFonts w:ascii="Arial" w:eastAsia="Times New Roman" w:hAnsi="Arial"/>
        </w:rPr>
        <w:t>legislative measures</w:t>
      </w:r>
      <w:r w:rsidRPr="008C6899">
        <w:rPr>
          <w:rFonts w:ascii="Arial" w:eastAsia="Times New Roman" w:hAnsi="Arial"/>
        </w:rPr>
        <w:t xml:space="preserve"> concerning whiplash related claims and the process for all PI claims.</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133"/>
        <w:gridCol w:w="3156"/>
        <w:gridCol w:w="2800"/>
        <w:gridCol w:w="907"/>
      </w:tblGrid>
      <w:tr w:rsidR="008C6899" w:rsidRPr="008C6899" w14:paraId="1D3BF869" w14:textId="77777777" w:rsidTr="006135B9">
        <w:trPr>
          <w:jc w:val="center"/>
        </w:trPr>
        <w:tc>
          <w:tcPr>
            <w:tcW w:w="5000" w:type="pct"/>
            <w:gridSpan w:val="5"/>
            <w:shd w:val="clear" w:color="auto" w:fill="000000"/>
            <w:vAlign w:val="center"/>
          </w:tcPr>
          <w:p w14:paraId="2EAF7C30" w14:textId="77777777" w:rsidR="008C6899" w:rsidRPr="008C6899" w:rsidRDefault="008C6899" w:rsidP="0001269D">
            <w:pPr>
              <w:spacing w:after="0" w:line="240" w:lineRule="auto"/>
              <w:jc w:val="center"/>
              <w:rPr>
                <w:rFonts w:ascii="Arial" w:eastAsia="Times New Roman" w:hAnsi="Arial" w:cs="Arial"/>
                <w:bCs/>
                <w:color w:val="000000"/>
                <w:lang w:eastAsia="en-GB"/>
              </w:rPr>
            </w:pPr>
            <w:r w:rsidRPr="008C6899">
              <w:rPr>
                <w:rFonts w:ascii="Arial" w:eastAsia="Times New Roman" w:hAnsi="Arial" w:cs="Arial"/>
                <w:b/>
                <w:bCs/>
                <w:snapToGrid w:val="0"/>
                <w:color w:val="FFFFFF"/>
                <w:lang w:eastAsia="en-GB"/>
              </w:rPr>
              <w:t xml:space="preserve">Table </w:t>
            </w:r>
            <w:proofErr w:type="gramStart"/>
            <w:r w:rsidRPr="008C6899">
              <w:rPr>
                <w:rFonts w:ascii="Arial" w:eastAsia="Times New Roman" w:hAnsi="Arial" w:cs="Arial"/>
                <w:b/>
                <w:bCs/>
                <w:snapToGrid w:val="0"/>
                <w:color w:val="FFFFFF"/>
                <w:lang w:eastAsia="en-GB"/>
              </w:rPr>
              <w:t>1 :</w:t>
            </w:r>
            <w:proofErr w:type="gramEnd"/>
            <w:r w:rsidRPr="008C6899">
              <w:rPr>
                <w:rFonts w:ascii="Arial" w:eastAsia="Times New Roman" w:hAnsi="Arial" w:cs="Arial"/>
                <w:b/>
                <w:bCs/>
                <w:snapToGrid w:val="0"/>
                <w:color w:val="FFFFFF"/>
                <w:lang w:eastAsia="en-GB"/>
              </w:rPr>
              <w:t xml:space="preserve"> Summary of Main Impacts, Best Estimates, Whiplash Reform</w:t>
            </w:r>
          </w:p>
        </w:tc>
      </w:tr>
      <w:tr w:rsidR="008C6899" w:rsidRPr="008C6899" w14:paraId="63C3F848" w14:textId="77777777" w:rsidTr="0001269D">
        <w:trPr>
          <w:trHeight w:val="205"/>
          <w:jc w:val="center"/>
        </w:trPr>
        <w:tc>
          <w:tcPr>
            <w:tcW w:w="1240" w:type="pct"/>
            <w:gridSpan w:val="2"/>
            <w:vAlign w:val="center"/>
          </w:tcPr>
          <w:p w14:paraId="20B585C0" w14:textId="77777777" w:rsidR="008C6899" w:rsidRPr="008C6899" w:rsidRDefault="008C6899" w:rsidP="0001269D">
            <w:pPr>
              <w:spacing w:after="0" w:line="240" w:lineRule="auto"/>
              <w:jc w:val="center"/>
              <w:rPr>
                <w:rFonts w:ascii="Arial" w:eastAsia="Times New Roman" w:hAnsi="Arial" w:cs="Arial"/>
                <w:bCs/>
                <w:color w:val="000000"/>
                <w:sz w:val="20"/>
                <w:szCs w:val="20"/>
                <w:lang w:eastAsia="en-GB"/>
              </w:rPr>
            </w:pPr>
          </w:p>
        </w:tc>
        <w:tc>
          <w:tcPr>
            <w:tcW w:w="1729" w:type="pct"/>
            <w:vAlign w:val="center"/>
          </w:tcPr>
          <w:p w14:paraId="6ED8D3AA" w14:textId="77777777" w:rsidR="008C6899" w:rsidRPr="008C6899" w:rsidRDefault="008C6899" w:rsidP="0001269D">
            <w:pPr>
              <w:spacing w:after="0"/>
              <w:jc w:val="center"/>
              <w:rPr>
                <w:rFonts w:cs="Arial"/>
                <w:b/>
                <w:color w:val="000000"/>
                <w:sz w:val="20"/>
                <w:szCs w:val="20"/>
                <w:lang w:eastAsia="en-GB"/>
              </w:rPr>
            </w:pPr>
            <w:r w:rsidRPr="008C6899">
              <w:rPr>
                <w:rFonts w:cs="Arial"/>
                <w:b/>
                <w:snapToGrid w:val="0"/>
                <w:color w:val="000000"/>
                <w:sz w:val="20"/>
                <w:szCs w:val="20"/>
                <w:lang w:eastAsia="en-GB"/>
              </w:rPr>
              <w:t>Costs</w:t>
            </w:r>
          </w:p>
        </w:tc>
        <w:tc>
          <w:tcPr>
            <w:tcW w:w="1534" w:type="pct"/>
            <w:vAlign w:val="center"/>
          </w:tcPr>
          <w:p w14:paraId="0F3D1473" w14:textId="77777777" w:rsidR="008C6899" w:rsidRPr="008C6899" w:rsidRDefault="008C6899" w:rsidP="0001269D">
            <w:pPr>
              <w:spacing w:after="0"/>
              <w:jc w:val="center"/>
              <w:rPr>
                <w:rFonts w:cs="Arial"/>
                <w:b/>
                <w:color w:val="000000"/>
                <w:sz w:val="20"/>
                <w:szCs w:val="20"/>
                <w:lang w:eastAsia="en-GB"/>
              </w:rPr>
            </w:pPr>
            <w:r w:rsidRPr="008C6899">
              <w:rPr>
                <w:rFonts w:cs="Arial"/>
                <w:b/>
                <w:snapToGrid w:val="0"/>
                <w:color w:val="000000"/>
                <w:sz w:val="20"/>
                <w:szCs w:val="20"/>
                <w:lang w:eastAsia="en-GB"/>
              </w:rPr>
              <w:t>Benefits</w:t>
            </w:r>
          </w:p>
        </w:tc>
        <w:tc>
          <w:tcPr>
            <w:tcW w:w="497" w:type="pct"/>
            <w:vAlign w:val="center"/>
          </w:tcPr>
          <w:p w14:paraId="354644A3" w14:textId="77777777" w:rsidR="008C6899" w:rsidRPr="008C6899" w:rsidRDefault="008C6899" w:rsidP="0001269D">
            <w:pPr>
              <w:spacing w:after="0"/>
              <w:jc w:val="center"/>
              <w:rPr>
                <w:rFonts w:cs="Arial"/>
                <w:b/>
                <w:color w:val="000000"/>
                <w:sz w:val="20"/>
                <w:szCs w:val="20"/>
                <w:lang w:eastAsia="en-GB"/>
              </w:rPr>
            </w:pPr>
            <w:r w:rsidRPr="008C6899">
              <w:rPr>
                <w:rFonts w:cs="Arial"/>
                <w:b/>
                <w:snapToGrid w:val="0"/>
                <w:color w:val="000000"/>
                <w:sz w:val="20"/>
                <w:szCs w:val="20"/>
                <w:lang w:eastAsia="en-GB"/>
              </w:rPr>
              <w:t>NPV</w:t>
            </w:r>
          </w:p>
        </w:tc>
      </w:tr>
      <w:tr w:rsidR="008C6899" w:rsidRPr="008C6899" w14:paraId="0FF70460" w14:textId="77777777" w:rsidTr="0001269D">
        <w:trPr>
          <w:trHeight w:val="414"/>
          <w:jc w:val="center"/>
        </w:trPr>
        <w:tc>
          <w:tcPr>
            <w:tcW w:w="619" w:type="pct"/>
            <w:vMerge w:val="restart"/>
            <w:vAlign w:val="center"/>
          </w:tcPr>
          <w:p w14:paraId="7018BE8A" w14:textId="77777777" w:rsidR="008C6899" w:rsidRPr="008C6899" w:rsidRDefault="008C6899" w:rsidP="008C6899">
            <w:pPr>
              <w:jc w:val="center"/>
              <w:rPr>
                <w:rFonts w:ascii="Arial" w:hAnsi="Arial" w:cs="Arial"/>
                <w:b/>
                <w:sz w:val="20"/>
                <w:szCs w:val="20"/>
              </w:rPr>
            </w:pPr>
            <w:r w:rsidRPr="008C6899">
              <w:rPr>
                <w:rFonts w:ascii="Arial" w:hAnsi="Arial" w:cs="Arial"/>
                <w:b/>
                <w:sz w:val="20"/>
                <w:szCs w:val="20"/>
              </w:rPr>
              <w:t>Whiplash Reform</w:t>
            </w:r>
          </w:p>
          <w:p w14:paraId="0052B2EA" w14:textId="77777777" w:rsidR="008C6899" w:rsidRPr="008C6899" w:rsidRDefault="008C6899" w:rsidP="008C6899">
            <w:pPr>
              <w:jc w:val="center"/>
              <w:rPr>
                <w:b/>
                <w:sz w:val="20"/>
                <w:szCs w:val="20"/>
              </w:rPr>
            </w:pPr>
          </w:p>
          <w:p w14:paraId="7FA67B5E" w14:textId="77777777" w:rsidR="008C6899" w:rsidRPr="008C6899" w:rsidRDefault="008C6899" w:rsidP="008C6899">
            <w:pPr>
              <w:jc w:val="center"/>
            </w:pPr>
          </w:p>
        </w:tc>
        <w:tc>
          <w:tcPr>
            <w:tcW w:w="621" w:type="pct"/>
            <w:vAlign w:val="center"/>
          </w:tcPr>
          <w:p w14:paraId="30D7C67A" w14:textId="77777777" w:rsidR="008C6899" w:rsidRPr="008C6899" w:rsidRDefault="008C6899" w:rsidP="008C6899">
            <w:pPr>
              <w:rPr>
                <w:rFonts w:cs="Arial"/>
                <w:i/>
                <w:iCs/>
                <w:sz w:val="20"/>
                <w:szCs w:val="20"/>
                <w:lang w:eastAsia="en-GB"/>
              </w:rPr>
            </w:pPr>
            <w:r w:rsidRPr="008C6899">
              <w:rPr>
                <w:rFonts w:cs="Arial"/>
                <w:i/>
                <w:iCs/>
                <w:sz w:val="20"/>
                <w:szCs w:val="20"/>
                <w:lang w:eastAsia="en-GB"/>
              </w:rPr>
              <w:t>Monetised</w:t>
            </w:r>
          </w:p>
        </w:tc>
        <w:tc>
          <w:tcPr>
            <w:tcW w:w="1729" w:type="pct"/>
            <w:vAlign w:val="center"/>
          </w:tcPr>
          <w:p w14:paraId="60E60BD0" w14:textId="77777777" w:rsidR="008C6899" w:rsidRPr="008C6899" w:rsidRDefault="008C6899" w:rsidP="0001269D">
            <w:pPr>
              <w:numPr>
                <w:ilvl w:val="2"/>
                <w:numId w:val="4"/>
              </w:numPr>
              <w:spacing w:after="120" w:line="240" w:lineRule="auto"/>
              <w:ind w:left="300" w:right="-77" w:hanging="357"/>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 xml:space="preserve">Claimants </w:t>
            </w:r>
            <w:r w:rsidR="00D35FA4">
              <w:rPr>
                <w:rFonts w:ascii="Arial" w:eastAsia="Times New Roman" w:hAnsi="Arial" w:cs="Arial"/>
                <w:color w:val="000000"/>
                <w:sz w:val="20"/>
                <w:szCs w:val="20"/>
                <w:lang w:eastAsia="en-GB"/>
              </w:rPr>
              <w:t xml:space="preserve">will </w:t>
            </w:r>
            <w:r w:rsidRPr="008C6899">
              <w:rPr>
                <w:rFonts w:ascii="Arial" w:eastAsia="Times New Roman" w:hAnsi="Arial" w:cs="Arial"/>
                <w:color w:val="000000"/>
                <w:sz w:val="20"/>
                <w:szCs w:val="20"/>
                <w:lang w:eastAsia="en-GB"/>
              </w:rPr>
              <w:t>lose around £990m per annum in reduced damages and from having to pay their own legal costs, including VAT.</w:t>
            </w:r>
          </w:p>
          <w:p w14:paraId="24088469" w14:textId="77777777" w:rsidR="008C6899" w:rsidRPr="008C6899" w:rsidRDefault="008C6899" w:rsidP="0001269D">
            <w:pPr>
              <w:numPr>
                <w:ilvl w:val="2"/>
                <w:numId w:val="4"/>
              </w:numPr>
              <w:spacing w:after="120" w:line="240" w:lineRule="auto"/>
              <w:ind w:left="300" w:right="-77" w:hanging="357"/>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 xml:space="preserve">The need to pay for additional medical reports for claimants assumed to proceed that do not currently have them, and an expected increase in damages costs for some of these claimants, </w:t>
            </w:r>
            <w:r w:rsidR="00D35FA4">
              <w:rPr>
                <w:rFonts w:ascii="Arial" w:eastAsia="Times New Roman" w:hAnsi="Arial" w:cs="Arial"/>
                <w:color w:val="000000"/>
                <w:sz w:val="20"/>
                <w:szCs w:val="20"/>
                <w:lang w:eastAsia="en-GB"/>
              </w:rPr>
              <w:t xml:space="preserve">will </w:t>
            </w:r>
            <w:r w:rsidRPr="008C6899">
              <w:rPr>
                <w:rFonts w:ascii="Arial" w:eastAsia="Times New Roman" w:hAnsi="Arial" w:cs="Arial"/>
                <w:color w:val="000000"/>
                <w:sz w:val="20"/>
                <w:szCs w:val="20"/>
                <w:lang w:eastAsia="en-GB"/>
              </w:rPr>
              <w:t>cost defendant insurers around £19m per annum.  It is assumed these costs will be passed to policy holders.</w:t>
            </w:r>
          </w:p>
          <w:p w14:paraId="3DDA13A4" w14:textId="77777777" w:rsidR="008C6899" w:rsidRPr="008C6899" w:rsidRDefault="008C6899" w:rsidP="0001269D">
            <w:pPr>
              <w:numPr>
                <w:ilvl w:val="2"/>
                <w:numId w:val="4"/>
              </w:numPr>
              <w:spacing w:after="120" w:line="240" w:lineRule="auto"/>
              <w:ind w:left="300" w:right="-77" w:hanging="357"/>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 xml:space="preserve">Motor insurance premium holders </w:t>
            </w:r>
            <w:r w:rsidR="00D35FA4">
              <w:rPr>
                <w:rFonts w:ascii="Arial" w:eastAsia="Times New Roman" w:hAnsi="Arial" w:cs="Arial"/>
                <w:color w:val="000000"/>
                <w:sz w:val="20"/>
                <w:szCs w:val="20"/>
                <w:lang w:eastAsia="en-GB"/>
              </w:rPr>
              <w:t xml:space="preserve">will </w:t>
            </w:r>
            <w:r w:rsidRPr="008C6899">
              <w:rPr>
                <w:rFonts w:ascii="Arial" w:eastAsia="Times New Roman" w:hAnsi="Arial" w:cs="Arial"/>
                <w:color w:val="000000"/>
                <w:sz w:val="20"/>
                <w:szCs w:val="20"/>
                <w:lang w:eastAsia="en-GB"/>
              </w:rPr>
              <w:t>face increased premiums worth around £120m per annum for before the event insurance.</w:t>
            </w:r>
          </w:p>
          <w:p w14:paraId="4157733C" w14:textId="77777777" w:rsidR="008C6899" w:rsidRPr="008C6899" w:rsidRDefault="008C6899" w:rsidP="0001269D">
            <w:pPr>
              <w:numPr>
                <w:ilvl w:val="2"/>
                <w:numId w:val="4"/>
              </w:numPr>
              <w:spacing w:after="0" w:line="240" w:lineRule="auto"/>
              <w:ind w:left="300" w:right="-77" w:hanging="357"/>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 xml:space="preserve">HMRC </w:t>
            </w:r>
            <w:r w:rsidR="00D35FA4">
              <w:rPr>
                <w:rFonts w:ascii="Arial" w:eastAsia="Times New Roman" w:hAnsi="Arial" w:cs="Arial"/>
                <w:color w:val="000000"/>
                <w:sz w:val="20"/>
                <w:szCs w:val="20"/>
                <w:lang w:eastAsia="en-GB"/>
              </w:rPr>
              <w:t xml:space="preserve">will </w:t>
            </w:r>
            <w:r w:rsidRPr="008C6899">
              <w:rPr>
                <w:rFonts w:ascii="Arial" w:eastAsia="Times New Roman" w:hAnsi="Arial" w:cs="Arial"/>
                <w:color w:val="000000"/>
                <w:sz w:val="20"/>
                <w:szCs w:val="20"/>
                <w:lang w:eastAsia="en-GB"/>
              </w:rPr>
              <w:t>face decreased insurance premium tax revenue and reduced legal fee and medical report VAT revenue for claims assumed to no longer proceed, worth around £140m per annum.</w:t>
            </w:r>
          </w:p>
        </w:tc>
        <w:tc>
          <w:tcPr>
            <w:tcW w:w="1534" w:type="pct"/>
          </w:tcPr>
          <w:p w14:paraId="52ECA587" w14:textId="77777777" w:rsidR="008C6899" w:rsidRPr="008C6899" w:rsidRDefault="008C6899" w:rsidP="0001269D">
            <w:pPr>
              <w:numPr>
                <w:ilvl w:val="0"/>
                <w:numId w:val="4"/>
              </w:numPr>
              <w:spacing w:after="120" w:line="240" w:lineRule="auto"/>
              <w:ind w:left="303" w:right="-107"/>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Defendant insurers will save approximately £1.3bn (gross) per annum from reduced damage payments, reductions in the costs associated with claims with medical reports, and reductions in unrecoverable legal costs.</w:t>
            </w:r>
          </w:p>
          <w:p w14:paraId="4EA67FCB" w14:textId="77777777" w:rsidR="008C6899" w:rsidRPr="008C6899" w:rsidRDefault="008C6899" w:rsidP="0001269D">
            <w:pPr>
              <w:numPr>
                <w:ilvl w:val="0"/>
                <w:numId w:val="4"/>
              </w:numPr>
              <w:spacing w:after="120" w:line="240" w:lineRule="auto"/>
              <w:ind w:left="303" w:right="-107"/>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It has been assumed that 85 per cent of these benefits will be passed to policy holders in lower premiums giving a net benefit to insurers of around £190m per annum.</w:t>
            </w:r>
          </w:p>
          <w:p w14:paraId="5702CCB8" w14:textId="77777777" w:rsidR="008C6899" w:rsidRPr="008C6899" w:rsidRDefault="008C6899" w:rsidP="0001269D">
            <w:pPr>
              <w:numPr>
                <w:ilvl w:val="0"/>
                <w:numId w:val="4"/>
              </w:numPr>
              <w:spacing w:after="120" w:line="240" w:lineRule="auto"/>
              <w:ind w:left="300" w:right="-107" w:hanging="357"/>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 xml:space="preserve">Motor policy holders </w:t>
            </w:r>
            <w:r w:rsidR="00D35FA4">
              <w:rPr>
                <w:rFonts w:ascii="Arial" w:eastAsia="Times New Roman" w:hAnsi="Arial" w:cs="Arial"/>
                <w:color w:val="000000"/>
                <w:sz w:val="20"/>
                <w:szCs w:val="20"/>
                <w:lang w:eastAsia="en-GB"/>
              </w:rPr>
              <w:t>will gain</w:t>
            </w:r>
            <w:r w:rsidRPr="008C6899">
              <w:rPr>
                <w:rFonts w:ascii="Arial" w:eastAsia="Times New Roman" w:hAnsi="Arial" w:cs="Arial"/>
                <w:color w:val="000000"/>
                <w:sz w:val="20"/>
                <w:szCs w:val="20"/>
                <w:lang w:eastAsia="en-GB"/>
              </w:rPr>
              <w:t xml:space="preserve"> a net benefit of around £1.</w:t>
            </w:r>
            <w:r w:rsidR="00C4142F">
              <w:rPr>
                <w:rFonts w:ascii="Arial" w:eastAsia="Times New Roman" w:hAnsi="Arial" w:cs="Arial"/>
                <w:color w:val="000000"/>
                <w:sz w:val="20"/>
                <w:szCs w:val="20"/>
                <w:lang w:eastAsia="en-GB"/>
              </w:rPr>
              <w:t>2</w:t>
            </w:r>
            <w:r w:rsidRPr="008C6899">
              <w:rPr>
                <w:rFonts w:ascii="Arial" w:eastAsia="Times New Roman" w:hAnsi="Arial" w:cs="Arial"/>
                <w:color w:val="000000"/>
                <w:sz w:val="20"/>
                <w:szCs w:val="20"/>
                <w:lang w:eastAsia="en-GB"/>
              </w:rPr>
              <w:t>bn per annum, including a benefit of £110m due to reductions in the amount of Insurance Premium Tax paid.</w:t>
            </w:r>
          </w:p>
        </w:tc>
        <w:tc>
          <w:tcPr>
            <w:tcW w:w="497" w:type="pct"/>
            <w:vAlign w:val="center"/>
          </w:tcPr>
          <w:p w14:paraId="2174914D" w14:textId="77777777" w:rsidR="008C6899" w:rsidRPr="008C6899" w:rsidRDefault="008C6899" w:rsidP="008C6899">
            <w:pPr>
              <w:jc w:val="center"/>
              <w:rPr>
                <w:rFonts w:ascii="Arial" w:hAnsi="Arial" w:cs="Arial"/>
                <w:color w:val="000000"/>
                <w:sz w:val="20"/>
                <w:szCs w:val="20"/>
                <w:lang w:eastAsia="en-GB"/>
              </w:rPr>
            </w:pPr>
            <w:r w:rsidRPr="008C6899">
              <w:rPr>
                <w:rFonts w:ascii="Arial" w:hAnsi="Arial" w:cs="Arial"/>
                <w:color w:val="000000"/>
                <w:sz w:val="20"/>
                <w:szCs w:val="20"/>
                <w:lang w:eastAsia="en-GB"/>
              </w:rPr>
              <w:t>£</w:t>
            </w:r>
            <w:r w:rsidR="00A74BCF">
              <w:rPr>
                <w:rFonts w:ascii="Arial" w:hAnsi="Arial" w:cs="Arial"/>
                <w:color w:val="000000"/>
                <w:sz w:val="20"/>
                <w:szCs w:val="20"/>
                <w:lang w:eastAsia="en-GB"/>
              </w:rPr>
              <w:t>1.1bn</w:t>
            </w:r>
          </w:p>
        </w:tc>
      </w:tr>
      <w:tr w:rsidR="008C6899" w:rsidRPr="008C6899" w14:paraId="253812EC" w14:textId="77777777" w:rsidTr="0001269D">
        <w:trPr>
          <w:trHeight w:val="416"/>
          <w:jc w:val="center"/>
        </w:trPr>
        <w:tc>
          <w:tcPr>
            <w:tcW w:w="619" w:type="pct"/>
            <w:vMerge/>
            <w:vAlign w:val="center"/>
          </w:tcPr>
          <w:p w14:paraId="126FA2B5" w14:textId="77777777" w:rsidR="008C6899" w:rsidRPr="008C6899" w:rsidRDefault="008C6899" w:rsidP="008C6899">
            <w:pPr>
              <w:jc w:val="center"/>
            </w:pPr>
          </w:p>
        </w:tc>
        <w:tc>
          <w:tcPr>
            <w:tcW w:w="621" w:type="pct"/>
            <w:vAlign w:val="center"/>
          </w:tcPr>
          <w:p w14:paraId="5FC1A656" w14:textId="77777777" w:rsidR="008C6899" w:rsidRPr="008C6899" w:rsidRDefault="008C6899" w:rsidP="008C6899">
            <w:pPr>
              <w:rPr>
                <w:rFonts w:cs="Arial"/>
                <w:i/>
                <w:color w:val="000000"/>
                <w:sz w:val="20"/>
                <w:szCs w:val="20"/>
                <w:lang w:eastAsia="en-GB"/>
              </w:rPr>
            </w:pPr>
            <w:r w:rsidRPr="008C6899">
              <w:rPr>
                <w:rFonts w:cs="Arial"/>
                <w:i/>
                <w:snapToGrid w:val="0"/>
                <w:color w:val="000000"/>
                <w:sz w:val="20"/>
                <w:szCs w:val="20"/>
                <w:lang w:eastAsia="en-GB"/>
              </w:rPr>
              <w:t>Non-Monetised</w:t>
            </w:r>
          </w:p>
        </w:tc>
        <w:tc>
          <w:tcPr>
            <w:tcW w:w="1729" w:type="pct"/>
          </w:tcPr>
          <w:p w14:paraId="23170E01" w14:textId="77777777" w:rsidR="008C6899" w:rsidRPr="008C6899" w:rsidRDefault="008C6899" w:rsidP="0001269D">
            <w:pPr>
              <w:numPr>
                <w:ilvl w:val="0"/>
                <w:numId w:val="6"/>
              </w:numPr>
              <w:spacing w:after="0" w:line="240" w:lineRule="auto"/>
              <w:ind w:left="303" w:right="-77"/>
              <w:contextualSpacing/>
              <w:rPr>
                <w:rFonts w:ascii="Arial" w:eastAsia="Times New Roman" w:hAnsi="Arial" w:cs="Arial"/>
                <w:color w:val="000000"/>
                <w:sz w:val="20"/>
                <w:szCs w:val="20"/>
                <w:lang w:eastAsia="en-GB"/>
              </w:rPr>
            </w:pPr>
            <w:r w:rsidRPr="008C6899">
              <w:rPr>
                <w:rFonts w:ascii="Arial" w:eastAsia="Times New Roman" w:hAnsi="Arial" w:cs="Arial"/>
                <w:color w:val="000000"/>
                <w:sz w:val="20"/>
                <w:szCs w:val="20"/>
                <w:lang w:eastAsia="en-GB"/>
              </w:rPr>
              <w:t xml:space="preserve">There may be a reduction in the number of </w:t>
            </w:r>
            <w:r w:rsidR="00B70830">
              <w:rPr>
                <w:rFonts w:ascii="Arial" w:eastAsia="Times New Roman" w:hAnsi="Arial" w:cs="Arial"/>
                <w:color w:val="000000"/>
                <w:sz w:val="20"/>
                <w:szCs w:val="20"/>
                <w:lang w:eastAsia="en-GB"/>
              </w:rPr>
              <w:t>PI</w:t>
            </w:r>
            <w:r w:rsidRPr="008C6899">
              <w:rPr>
                <w:rFonts w:ascii="Arial" w:eastAsia="Times New Roman" w:hAnsi="Arial" w:cs="Arial"/>
                <w:color w:val="000000"/>
                <w:sz w:val="20"/>
                <w:szCs w:val="20"/>
                <w:lang w:eastAsia="en-GB"/>
              </w:rPr>
              <w:t xml:space="preserve"> claims </w:t>
            </w:r>
            <w:r w:rsidR="00B70830">
              <w:rPr>
                <w:rFonts w:ascii="Arial" w:eastAsia="Times New Roman" w:hAnsi="Arial" w:cs="Arial"/>
                <w:color w:val="000000"/>
                <w:sz w:val="20"/>
                <w:szCs w:val="20"/>
                <w:lang w:eastAsia="en-GB"/>
              </w:rPr>
              <w:t xml:space="preserve">due to the rise in the small claims track limits, that are </w:t>
            </w:r>
            <w:r w:rsidRPr="008C6899">
              <w:rPr>
                <w:rFonts w:ascii="Arial" w:eastAsia="Times New Roman" w:hAnsi="Arial" w:cs="Arial"/>
                <w:color w:val="000000"/>
                <w:sz w:val="20"/>
                <w:szCs w:val="20"/>
                <w:lang w:eastAsia="en-GB"/>
              </w:rPr>
              <w:t xml:space="preserve">pursued leading to a reduction in damages paid to claimants. </w:t>
            </w:r>
          </w:p>
        </w:tc>
        <w:tc>
          <w:tcPr>
            <w:tcW w:w="1534" w:type="pct"/>
          </w:tcPr>
          <w:p w14:paraId="46811142" w14:textId="77777777" w:rsidR="008C6899" w:rsidRPr="008C6899" w:rsidRDefault="008C6899" w:rsidP="0001269D">
            <w:pPr>
              <w:numPr>
                <w:ilvl w:val="0"/>
                <w:numId w:val="4"/>
              </w:numPr>
              <w:spacing w:after="0" w:line="240" w:lineRule="auto"/>
              <w:ind w:left="303" w:right="-77"/>
              <w:rPr>
                <w:rFonts w:ascii="Arial" w:hAnsi="Arial" w:cs="Arial"/>
                <w:sz w:val="20"/>
                <w:szCs w:val="20"/>
                <w:lang w:eastAsia="en-GB"/>
              </w:rPr>
            </w:pPr>
            <w:r w:rsidRPr="008C6899">
              <w:rPr>
                <w:rFonts w:ascii="Arial" w:hAnsi="Arial" w:cs="Arial"/>
                <w:sz w:val="20"/>
                <w:szCs w:val="20"/>
                <w:lang w:eastAsia="en-GB"/>
              </w:rPr>
              <w:t xml:space="preserve">If there is a reduction in </w:t>
            </w:r>
            <w:r w:rsidR="00B70830">
              <w:rPr>
                <w:rFonts w:ascii="Arial" w:hAnsi="Arial" w:cs="Arial"/>
                <w:sz w:val="20"/>
                <w:szCs w:val="20"/>
                <w:lang w:eastAsia="en-GB"/>
              </w:rPr>
              <w:t>PI</w:t>
            </w:r>
            <w:r w:rsidRPr="008C6899">
              <w:rPr>
                <w:rFonts w:ascii="Arial" w:hAnsi="Arial" w:cs="Arial"/>
                <w:sz w:val="20"/>
                <w:szCs w:val="20"/>
                <w:lang w:eastAsia="en-GB"/>
              </w:rPr>
              <w:t xml:space="preserve"> claims, defendants </w:t>
            </w:r>
            <w:r w:rsidR="00D35FA4">
              <w:rPr>
                <w:rFonts w:ascii="Arial" w:hAnsi="Arial" w:cs="Arial"/>
                <w:sz w:val="20"/>
                <w:szCs w:val="20"/>
                <w:lang w:eastAsia="en-GB"/>
              </w:rPr>
              <w:t>will</w:t>
            </w:r>
            <w:r w:rsidRPr="008C6899">
              <w:rPr>
                <w:rFonts w:ascii="Arial" w:hAnsi="Arial" w:cs="Arial"/>
                <w:sz w:val="20"/>
                <w:szCs w:val="20"/>
                <w:lang w:eastAsia="en-GB"/>
              </w:rPr>
              <w:t xml:space="preserve"> save as they w</w:t>
            </w:r>
            <w:r w:rsidR="00D35FA4">
              <w:rPr>
                <w:rFonts w:ascii="Arial" w:hAnsi="Arial" w:cs="Arial"/>
                <w:sz w:val="20"/>
                <w:szCs w:val="20"/>
                <w:lang w:eastAsia="en-GB"/>
              </w:rPr>
              <w:t>ill</w:t>
            </w:r>
            <w:r w:rsidRPr="008C6899">
              <w:rPr>
                <w:rFonts w:ascii="Arial" w:hAnsi="Arial" w:cs="Arial"/>
                <w:sz w:val="20"/>
                <w:szCs w:val="20"/>
                <w:lang w:eastAsia="en-GB"/>
              </w:rPr>
              <w:t xml:space="preserve"> no longer have to pay out recoverable legal fees.</w:t>
            </w:r>
          </w:p>
        </w:tc>
        <w:tc>
          <w:tcPr>
            <w:tcW w:w="497" w:type="pct"/>
            <w:vAlign w:val="center"/>
          </w:tcPr>
          <w:p w14:paraId="607FE319" w14:textId="77777777" w:rsidR="008C6899" w:rsidRPr="008C6899" w:rsidRDefault="008C6899" w:rsidP="008C6899">
            <w:pPr>
              <w:jc w:val="center"/>
              <w:rPr>
                <w:rFonts w:ascii="Arial" w:hAnsi="Arial" w:cs="Arial"/>
                <w:color w:val="000000"/>
                <w:sz w:val="20"/>
                <w:szCs w:val="20"/>
                <w:lang w:eastAsia="en-GB"/>
              </w:rPr>
            </w:pPr>
            <w:r w:rsidRPr="008C6899">
              <w:rPr>
                <w:rFonts w:ascii="Arial" w:hAnsi="Arial" w:cs="Arial"/>
                <w:color w:val="000000"/>
                <w:sz w:val="20"/>
                <w:szCs w:val="20"/>
                <w:lang w:eastAsia="en-GB"/>
              </w:rPr>
              <w:t>N/A</w:t>
            </w:r>
          </w:p>
        </w:tc>
      </w:tr>
      <w:tr w:rsidR="008C6899" w:rsidRPr="008C6899" w14:paraId="6F62ACAC" w14:textId="77777777" w:rsidTr="0001269D">
        <w:trPr>
          <w:trHeight w:val="355"/>
          <w:jc w:val="center"/>
        </w:trPr>
        <w:tc>
          <w:tcPr>
            <w:tcW w:w="619" w:type="pct"/>
            <w:tcBorders>
              <w:top w:val="single" w:sz="4" w:space="0" w:color="auto"/>
              <w:left w:val="single" w:sz="4" w:space="0" w:color="auto"/>
              <w:bottom w:val="single" w:sz="4" w:space="0" w:color="auto"/>
              <w:right w:val="single" w:sz="4" w:space="0" w:color="auto"/>
            </w:tcBorders>
            <w:vAlign w:val="center"/>
          </w:tcPr>
          <w:p w14:paraId="733A9D3B" w14:textId="77777777" w:rsidR="008C6899" w:rsidRPr="008C6899" w:rsidRDefault="008C6899" w:rsidP="0001269D">
            <w:pPr>
              <w:spacing w:after="0" w:line="240" w:lineRule="auto"/>
              <w:ind w:left="-120" w:right="-114"/>
              <w:jc w:val="center"/>
              <w:rPr>
                <w:rFonts w:ascii="Arial" w:eastAsia="Times New Roman" w:hAnsi="Arial" w:cs="Arial"/>
                <w:b/>
                <w:bCs/>
                <w:color w:val="000000"/>
                <w:sz w:val="20"/>
                <w:szCs w:val="20"/>
                <w:lang w:eastAsia="en-GB"/>
              </w:rPr>
            </w:pPr>
            <w:r w:rsidRPr="008C6899">
              <w:rPr>
                <w:rFonts w:ascii="Arial" w:eastAsia="Times New Roman" w:hAnsi="Arial" w:cs="Arial"/>
                <w:b/>
                <w:bCs/>
                <w:color w:val="000000"/>
                <w:sz w:val="20"/>
                <w:szCs w:val="20"/>
                <w:lang w:eastAsia="en-GB"/>
              </w:rPr>
              <w:t>Net Impact</w:t>
            </w:r>
          </w:p>
        </w:tc>
        <w:tc>
          <w:tcPr>
            <w:tcW w:w="621" w:type="pct"/>
            <w:tcBorders>
              <w:top w:val="single" w:sz="4" w:space="0" w:color="auto"/>
              <w:left w:val="single" w:sz="4" w:space="0" w:color="auto"/>
              <w:bottom w:val="single" w:sz="4" w:space="0" w:color="auto"/>
              <w:right w:val="single" w:sz="4" w:space="0" w:color="auto"/>
            </w:tcBorders>
            <w:vAlign w:val="center"/>
          </w:tcPr>
          <w:p w14:paraId="2AAED4CD" w14:textId="77777777" w:rsidR="008C6899" w:rsidRPr="008C6899" w:rsidRDefault="008C6899" w:rsidP="0001269D">
            <w:pPr>
              <w:keepNext/>
              <w:keepLines/>
              <w:spacing w:after="0"/>
              <w:outlineLvl w:val="2"/>
              <w:rPr>
                <w:rFonts w:cs="Arial"/>
                <w:i/>
                <w:snapToGrid w:val="0"/>
                <w:color w:val="000000"/>
                <w:sz w:val="20"/>
                <w:szCs w:val="20"/>
                <w:lang w:eastAsia="en-GB"/>
              </w:rPr>
            </w:pPr>
            <w:r w:rsidRPr="008C6899">
              <w:rPr>
                <w:rFonts w:cs="Arial"/>
                <w:i/>
                <w:snapToGrid w:val="0"/>
                <w:color w:val="000000"/>
                <w:sz w:val="20"/>
                <w:szCs w:val="20"/>
                <w:lang w:eastAsia="en-GB"/>
              </w:rPr>
              <w:t>Monetised</w:t>
            </w:r>
          </w:p>
        </w:tc>
        <w:tc>
          <w:tcPr>
            <w:tcW w:w="1729" w:type="pct"/>
            <w:tcBorders>
              <w:top w:val="single" w:sz="4" w:space="0" w:color="auto"/>
              <w:left w:val="single" w:sz="4" w:space="0" w:color="auto"/>
              <w:bottom w:val="single" w:sz="4" w:space="0" w:color="auto"/>
              <w:right w:val="single" w:sz="4" w:space="0" w:color="auto"/>
            </w:tcBorders>
            <w:vAlign w:val="center"/>
          </w:tcPr>
          <w:p w14:paraId="10267366" w14:textId="77777777" w:rsidR="008C6899" w:rsidRPr="008C6899" w:rsidRDefault="008C6899" w:rsidP="0001269D">
            <w:pPr>
              <w:spacing w:after="0"/>
              <w:jc w:val="center"/>
              <w:rPr>
                <w:rFonts w:ascii="Arial" w:hAnsi="Arial" w:cs="Arial"/>
                <w:b/>
                <w:color w:val="000000"/>
                <w:sz w:val="20"/>
                <w:szCs w:val="20"/>
                <w:lang w:eastAsia="en-GB"/>
              </w:rPr>
            </w:pPr>
            <w:r w:rsidRPr="008C6899">
              <w:rPr>
                <w:rFonts w:ascii="Arial" w:hAnsi="Arial" w:cs="Arial"/>
                <w:b/>
                <w:color w:val="000000"/>
                <w:sz w:val="20"/>
                <w:szCs w:val="20"/>
                <w:lang w:eastAsia="en-GB"/>
              </w:rPr>
              <w:t>£1.3bn</w:t>
            </w:r>
          </w:p>
        </w:tc>
        <w:tc>
          <w:tcPr>
            <w:tcW w:w="1534" w:type="pct"/>
            <w:tcBorders>
              <w:top w:val="single" w:sz="4" w:space="0" w:color="auto"/>
              <w:left w:val="single" w:sz="4" w:space="0" w:color="auto"/>
              <w:bottom w:val="single" w:sz="4" w:space="0" w:color="auto"/>
              <w:right w:val="single" w:sz="4" w:space="0" w:color="auto"/>
            </w:tcBorders>
            <w:vAlign w:val="center"/>
          </w:tcPr>
          <w:p w14:paraId="2E25C900" w14:textId="77777777" w:rsidR="008C6899" w:rsidRPr="008C6899" w:rsidRDefault="008C6899" w:rsidP="0001269D">
            <w:pPr>
              <w:spacing w:after="0"/>
              <w:jc w:val="center"/>
              <w:rPr>
                <w:rFonts w:ascii="Arial" w:hAnsi="Arial" w:cs="Arial"/>
                <w:b/>
                <w:color w:val="000000"/>
                <w:sz w:val="20"/>
                <w:szCs w:val="20"/>
                <w:lang w:eastAsia="en-GB"/>
              </w:rPr>
            </w:pPr>
            <w:r w:rsidRPr="008C6899">
              <w:rPr>
                <w:rFonts w:ascii="Arial" w:hAnsi="Arial" w:cs="Arial"/>
                <w:b/>
                <w:color w:val="000000"/>
                <w:sz w:val="20"/>
                <w:szCs w:val="20"/>
                <w:lang w:eastAsia="en-GB"/>
              </w:rPr>
              <w:t>£1.4bn</w:t>
            </w:r>
          </w:p>
        </w:tc>
        <w:tc>
          <w:tcPr>
            <w:tcW w:w="497" w:type="pct"/>
            <w:tcBorders>
              <w:top w:val="single" w:sz="4" w:space="0" w:color="auto"/>
              <w:left w:val="single" w:sz="4" w:space="0" w:color="auto"/>
              <w:bottom w:val="single" w:sz="4" w:space="0" w:color="auto"/>
              <w:right w:val="single" w:sz="4" w:space="0" w:color="auto"/>
            </w:tcBorders>
            <w:vAlign w:val="center"/>
          </w:tcPr>
          <w:p w14:paraId="7A9CE0A2" w14:textId="77777777" w:rsidR="008C6899" w:rsidRPr="008C6899" w:rsidRDefault="008C6899" w:rsidP="0001269D">
            <w:pPr>
              <w:spacing w:after="0"/>
              <w:jc w:val="center"/>
              <w:rPr>
                <w:rFonts w:ascii="Arial" w:hAnsi="Arial" w:cs="Arial"/>
                <w:b/>
                <w:color w:val="000000"/>
                <w:sz w:val="20"/>
                <w:szCs w:val="20"/>
                <w:lang w:eastAsia="en-GB"/>
              </w:rPr>
            </w:pPr>
            <w:r w:rsidRPr="008C6899">
              <w:rPr>
                <w:rFonts w:ascii="Arial" w:hAnsi="Arial" w:cs="Arial"/>
                <w:b/>
                <w:color w:val="000000"/>
                <w:sz w:val="20"/>
                <w:szCs w:val="20"/>
                <w:lang w:eastAsia="en-GB"/>
              </w:rPr>
              <w:t>£1</w:t>
            </w:r>
            <w:r w:rsidR="00A74BCF">
              <w:rPr>
                <w:rFonts w:ascii="Arial" w:hAnsi="Arial" w:cs="Arial"/>
                <w:b/>
                <w:color w:val="000000"/>
                <w:sz w:val="20"/>
                <w:szCs w:val="20"/>
                <w:lang w:eastAsia="en-GB"/>
              </w:rPr>
              <w:t>.1bn</w:t>
            </w:r>
          </w:p>
        </w:tc>
      </w:tr>
    </w:tbl>
    <w:p w14:paraId="57B7D27B" w14:textId="77777777" w:rsidR="004410E9" w:rsidRDefault="004410E9" w:rsidP="0001269D">
      <w:pPr>
        <w:spacing w:after="0" w:line="280" w:lineRule="atLeast"/>
        <w:jc w:val="both"/>
        <w:rPr>
          <w:rFonts w:ascii="Arial" w:hAnsi="Arial" w:cs="Arial"/>
          <w:b/>
        </w:rPr>
      </w:pPr>
      <w:r w:rsidRPr="006A77D2">
        <w:rPr>
          <w:rFonts w:ascii="Arial" w:hAnsi="Arial" w:cs="Arial"/>
          <w:b/>
        </w:rPr>
        <w:lastRenderedPageBreak/>
        <w:t xml:space="preserve">Net Impact: </w:t>
      </w:r>
      <w:r w:rsidR="00F16189">
        <w:rPr>
          <w:rFonts w:ascii="Arial" w:hAnsi="Arial" w:cs="Arial"/>
          <w:b/>
        </w:rPr>
        <w:t>Personal Injury Discount Rate</w:t>
      </w:r>
    </w:p>
    <w:p w14:paraId="4212A1BC" w14:textId="77777777" w:rsidR="004410E9" w:rsidRPr="00B07B94" w:rsidRDefault="00F15A95" w:rsidP="00A2325B">
      <w:pPr>
        <w:pStyle w:val="ListParagraph"/>
        <w:numPr>
          <w:ilvl w:val="0"/>
          <w:numId w:val="10"/>
        </w:numPr>
        <w:spacing w:after="240" w:line="280" w:lineRule="atLeast"/>
        <w:contextualSpacing/>
        <w:rPr>
          <w:rFonts w:ascii="Calibri" w:hAnsi="Calibri"/>
          <w:color w:val="1F497D"/>
          <w:sz w:val="22"/>
          <w:szCs w:val="22"/>
        </w:rPr>
      </w:pPr>
      <w:r>
        <w:rPr>
          <w:sz w:val="22"/>
          <w:szCs w:val="22"/>
        </w:rPr>
        <w:t xml:space="preserve">Table 2 summarises the net impact of the </w:t>
      </w:r>
      <w:r w:rsidR="00D35FA4">
        <w:rPr>
          <w:sz w:val="22"/>
          <w:szCs w:val="22"/>
        </w:rPr>
        <w:t xml:space="preserve">legislative measures </w:t>
      </w:r>
      <w:r>
        <w:rPr>
          <w:sz w:val="22"/>
          <w:szCs w:val="22"/>
        </w:rPr>
        <w:t xml:space="preserve">concerning </w:t>
      </w:r>
      <w:r w:rsidR="00F16189">
        <w:rPr>
          <w:sz w:val="22"/>
          <w:szCs w:val="22"/>
        </w:rPr>
        <w:t>the Personal Injury Discount Rate</w:t>
      </w:r>
      <w:r>
        <w:rPr>
          <w:sz w:val="22"/>
          <w:szCs w:val="22"/>
        </w:rPr>
        <w:t>.</w:t>
      </w:r>
      <w:r w:rsidRPr="00B21EB8">
        <w:rPr>
          <w:sz w:val="22"/>
          <w:szCs w:val="22"/>
        </w:rPr>
        <w:t xml:space="preserve"> </w:t>
      </w:r>
    </w:p>
    <w:p w14:paraId="5FD37619" w14:textId="77777777" w:rsidR="00450096" w:rsidRDefault="00450096" w:rsidP="00B07B94">
      <w:pPr>
        <w:pStyle w:val="ListParagraph"/>
        <w:ind w:left="0"/>
        <w:contextualSpacing/>
        <w:rPr>
          <w:sz w:val="22"/>
          <w:szCs w:val="22"/>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135"/>
        <w:gridCol w:w="2977"/>
        <w:gridCol w:w="2835"/>
        <w:gridCol w:w="909"/>
      </w:tblGrid>
      <w:tr w:rsidR="00450096" w:rsidRPr="0037777F" w14:paraId="4CF86161" w14:textId="77777777" w:rsidTr="00855945">
        <w:trPr>
          <w:jc w:val="center"/>
        </w:trPr>
        <w:tc>
          <w:tcPr>
            <w:tcW w:w="5000" w:type="pct"/>
            <w:gridSpan w:val="5"/>
            <w:shd w:val="clear" w:color="auto" w:fill="000000"/>
            <w:vAlign w:val="center"/>
          </w:tcPr>
          <w:p w14:paraId="4E667DE4" w14:textId="77777777" w:rsidR="00450096" w:rsidRPr="0037777F" w:rsidRDefault="00450096" w:rsidP="00B07B94">
            <w:pPr>
              <w:pStyle w:val="EBBodyPara"/>
              <w:jc w:val="center"/>
            </w:pPr>
            <w:r>
              <w:rPr>
                <w:b/>
                <w:snapToGrid w:val="0"/>
                <w:color w:val="FFFFFF"/>
              </w:rPr>
              <w:t xml:space="preserve">Table </w:t>
            </w:r>
            <w:proofErr w:type="gramStart"/>
            <w:r w:rsidR="002A01ED">
              <w:rPr>
                <w:b/>
                <w:snapToGrid w:val="0"/>
                <w:color w:val="FFFFFF"/>
              </w:rPr>
              <w:t>2</w:t>
            </w:r>
            <w:r>
              <w:rPr>
                <w:b/>
                <w:snapToGrid w:val="0"/>
                <w:color w:val="FFFFFF"/>
              </w:rPr>
              <w:t xml:space="preserve"> :</w:t>
            </w:r>
            <w:proofErr w:type="gramEnd"/>
            <w:r>
              <w:rPr>
                <w:b/>
                <w:snapToGrid w:val="0"/>
                <w:color w:val="FFFFFF"/>
              </w:rPr>
              <w:t xml:space="preserve"> Summary of Main Impacts, Best Estimates, </w:t>
            </w:r>
            <w:r w:rsidR="002A01ED">
              <w:rPr>
                <w:b/>
                <w:snapToGrid w:val="0"/>
                <w:color w:val="FFFFFF"/>
              </w:rPr>
              <w:t>Personal Injury Discount Rate</w:t>
            </w:r>
          </w:p>
        </w:tc>
      </w:tr>
      <w:tr w:rsidR="00450096" w:rsidRPr="00262EE5" w14:paraId="11E09D8D" w14:textId="77777777" w:rsidTr="0001269D">
        <w:trPr>
          <w:jc w:val="center"/>
        </w:trPr>
        <w:tc>
          <w:tcPr>
            <w:tcW w:w="1318" w:type="pct"/>
            <w:gridSpan w:val="2"/>
            <w:vAlign w:val="center"/>
          </w:tcPr>
          <w:p w14:paraId="6FBCA000" w14:textId="77777777" w:rsidR="00450096" w:rsidRPr="00262EE5" w:rsidRDefault="00450096" w:rsidP="00855945">
            <w:pPr>
              <w:pStyle w:val="EBBodyPara"/>
              <w:spacing w:after="0"/>
              <w:jc w:val="center"/>
              <w:rPr>
                <w:sz w:val="20"/>
                <w:szCs w:val="20"/>
              </w:rPr>
            </w:pPr>
          </w:p>
        </w:tc>
        <w:tc>
          <w:tcPr>
            <w:tcW w:w="1631" w:type="pct"/>
            <w:vAlign w:val="center"/>
          </w:tcPr>
          <w:p w14:paraId="32531111" w14:textId="77777777" w:rsidR="00450096" w:rsidRPr="00262EE5" w:rsidRDefault="00450096" w:rsidP="00855945">
            <w:pPr>
              <w:jc w:val="center"/>
              <w:rPr>
                <w:rFonts w:cs="Arial"/>
                <w:b/>
                <w:color w:val="000000"/>
                <w:sz w:val="20"/>
                <w:szCs w:val="20"/>
                <w:lang w:eastAsia="en-GB"/>
              </w:rPr>
            </w:pPr>
            <w:r w:rsidRPr="00262EE5">
              <w:rPr>
                <w:rFonts w:cs="Arial"/>
                <w:b/>
                <w:snapToGrid w:val="0"/>
                <w:color w:val="000000"/>
                <w:sz w:val="20"/>
                <w:szCs w:val="20"/>
                <w:lang w:eastAsia="en-GB"/>
              </w:rPr>
              <w:t>Costs</w:t>
            </w:r>
          </w:p>
        </w:tc>
        <w:tc>
          <w:tcPr>
            <w:tcW w:w="1553" w:type="pct"/>
            <w:vAlign w:val="center"/>
          </w:tcPr>
          <w:p w14:paraId="37C296C3" w14:textId="77777777" w:rsidR="00450096" w:rsidRPr="00262EE5" w:rsidRDefault="00450096" w:rsidP="00855945">
            <w:pPr>
              <w:jc w:val="center"/>
              <w:rPr>
                <w:rFonts w:cs="Arial"/>
                <w:b/>
                <w:color w:val="000000"/>
                <w:sz w:val="20"/>
                <w:szCs w:val="20"/>
                <w:lang w:eastAsia="en-GB"/>
              </w:rPr>
            </w:pPr>
            <w:r w:rsidRPr="00262EE5">
              <w:rPr>
                <w:rFonts w:cs="Arial"/>
                <w:b/>
                <w:snapToGrid w:val="0"/>
                <w:color w:val="000000"/>
                <w:sz w:val="20"/>
                <w:szCs w:val="20"/>
                <w:lang w:eastAsia="en-GB"/>
              </w:rPr>
              <w:t>Benefits</w:t>
            </w:r>
          </w:p>
        </w:tc>
        <w:tc>
          <w:tcPr>
            <w:tcW w:w="498" w:type="pct"/>
            <w:vAlign w:val="center"/>
          </w:tcPr>
          <w:p w14:paraId="3F1E8BA9" w14:textId="77777777" w:rsidR="00450096" w:rsidRPr="00262EE5" w:rsidRDefault="00450096" w:rsidP="00855945">
            <w:pPr>
              <w:jc w:val="center"/>
              <w:rPr>
                <w:rFonts w:cs="Arial"/>
                <w:b/>
                <w:color w:val="000000"/>
                <w:sz w:val="20"/>
                <w:szCs w:val="20"/>
                <w:lang w:eastAsia="en-GB"/>
              </w:rPr>
            </w:pPr>
            <w:r w:rsidRPr="00262EE5">
              <w:rPr>
                <w:rFonts w:cs="Arial"/>
                <w:b/>
                <w:snapToGrid w:val="0"/>
                <w:color w:val="000000"/>
                <w:sz w:val="20"/>
                <w:szCs w:val="20"/>
                <w:lang w:eastAsia="en-GB"/>
              </w:rPr>
              <w:t>NPV</w:t>
            </w:r>
          </w:p>
        </w:tc>
      </w:tr>
      <w:tr w:rsidR="00450096" w:rsidRPr="00262EE5" w14:paraId="0DB93057" w14:textId="77777777" w:rsidTr="0001269D">
        <w:trPr>
          <w:trHeight w:val="414"/>
          <w:jc w:val="center"/>
        </w:trPr>
        <w:tc>
          <w:tcPr>
            <w:tcW w:w="696" w:type="pct"/>
            <w:vMerge w:val="restart"/>
            <w:vAlign w:val="center"/>
          </w:tcPr>
          <w:p w14:paraId="7108E4D0" w14:textId="77777777" w:rsidR="00450096" w:rsidRPr="00B07B94" w:rsidRDefault="00450096" w:rsidP="00855945">
            <w:pPr>
              <w:jc w:val="center"/>
              <w:rPr>
                <w:rFonts w:ascii="Arial" w:hAnsi="Arial" w:cs="Arial"/>
                <w:b/>
                <w:sz w:val="20"/>
                <w:szCs w:val="20"/>
              </w:rPr>
            </w:pPr>
          </w:p>
          <w:p w14:paraId="7D3F0169" w14:textId="77777777" w:rsidR="00450096" w:rsidRPr="00B07B94" w:rsidRDefault="00450096" w:rsidP="00855945">
            <w:pPr>
              <w:jc w:val="center"/>
              <w:rPr>
                <w:rFonts w:ascii="Arial" w:hAnsi="Arial" w:cs="Arial"/>
                <w:b/>
                <w:sz w:val="20"/>
                <w:szCs w:val="20"/>
              </w:rPr>
            </w:pPr>
            <w:r w:rsidRPr="00B07B94">
              <w:rPr>
                <w:rFonts w:ascii="Arial" w:hAnsi="Arial" w:cs="Arial"/>
                <w:b/>
                <w:sz w:val="20"/>
                <w:szCs w:val="20"/>
              </w:rPr>
              <w:t>Set the PIDR with reference to a ‘low risk’ mixed portfolio</w:t>
            </w:r>
          </w:p>
          <w:p w14:paraId="7526111A" w14:textId="77777777" w:rsidR="00450096" w:rsidRPr="00B07B94" w:rsidRDefault="00450096" w:rsidP="00855945">
            <w:pPr>
              <w:jc w:val="center"/>
              <w:rPr>
                <w:rFonts w:ascii="Arial" w:hAnsi="Arial" w:cs="Arial"/>
                <w:sz w:val="20"/>
                <w:szCs w:val="20"/>
              </w:rPr>
            </w:pPr>
          </w:p>
        </w:tc>
        <w:tc>
          <w:tcPr>
            <w:tcW w:w="622" w:type="pct"/>
            <w:vAlign w:val="center"/>
          </w:tcPr>
          <w:p w14:paraId="506B0B4E" w14:textId="77777777" w:rsidR="00450096" w:rsidRPr="00262EE5" w:rsidRDefault="00450096" w:rsidP="00855945">
            <w:pPr>
              <w:rPr>
                <w:rFonts w:cs="Arial"/>
                <w:i/>
                <w:color w:val="000000"/>
                <w:sz w:val="20"/>
                <w:szCs w:val="20"/>
                <w:lang w:eastAsia="en-GB"/>
              </w:rPr>
            </w:pPr>
            <w:r w:rsidRPr="00262EE5">
              <w:rPr>
                <w:rFonts w:cs="Arial"/>
                <w:i/>
                <w:iCs/>
                <w:sz w:val="20"/>
                <w:szCs w:val="20"/>
                <w:lang w:eastAsia="en-GB"/>
              </w:rPr>
              <w:t>Monetised</w:t>
            </w:r>
          </w:p>
        </w:tc>
        <w:tc>
          <w:tcPr>
            <w:tcW w:w="1631" w:type="pct"/>
            <w:vAlign w:val="center"/>
          </w:tcPr>
          <w:p w14:paraId="359D88BA" w14:textId="77777777" w:rsidR="00450096" w:rsidRPr="00262EE5" w:rsidRDefault="009423F4" w:rsidP="00D73035">
            <w:pPr>
              <w:pStyle w:val="ListParagraph"/>
              <w:numPr>
                <w:ilvl w:val="2"/>
                <w:numId w:val="4"/>
              </w:numPr>
              <w:ind w:left="303"/>
              <w:contextualSpacing/>
              <w:rPr>
                <w:rFonts w:cs="Arial"/>
                <w:color w:val="000000"/>
                <w:sz w:val="20"/>
                <w:szCs w:val="20"/>
                <w:lang w:eastAsia="en-GB"/>
              </w:rPr>
            </w:pPr>
            <w:r>
              <w:rPr>
                <w:rFonts w:cs="Arial"/>
                <w:color w:val="000000"/>
                <w:sz w:val="20"/>
                <w:szCs w:val="20"/>
                <w:lang w:eastAsia="en-GB"/>
              </w:rPr>
              <w:t>None</w:t>
            </w:r>
          </w:p>
        </w:tc>
        <w:tc>
          <w:tcPr>
            <w:tcW w:w="1553" w:type="pct"/>
          </w:tcPr>
          <w:p w14:paraId="779315CB" w14:textId="77777777" w:rsidR="00450096" w:rsidRPr="00262EE5" w:rsidRDefault="009423F4" w:rsidP="00D73035">
            <w:pPr>
              <w:pStyle w:val="ListParagraph"/>
              <w:numPr>
                <w:ilvl w:val="0"/>
                <w:numId w:val="4"/>
              </w:numPr>
              <w:ind w:left="303"/>
              <w:contextualSpacing/>
              <w:rPr>
                <w:rFonts w:cs="Arial"/>
                <w:color w:val="000000"/>
                <w:sz w:val="20"/>
                <w:szCs w:val="20"/>
                <w:lang w:eastAsia="en-GB"/>
              </w:rPr>
            </w:pPr>
            <w:r>
              <w:rPr>
                <w:rFonts w:cs="Arial"/>
                <w:color w:val="000000"/>
                <w:sz w:val="20"/>
                <w:szCs w:val="20"/>
                <w:lang w:eastAsia="en-GB"/>
              </w:rPr>
              <w:t>None</w:t>
            </w:r>
          </w:p>
        </w:tc>
        <w:tc>
          <w:tcPr>
            <w:tcW w:w="498" w:type="pct"/>
            <w:vAlign w:val="center"/>
          </w:tcPr>
          <w:p w14:paraId="60B7FEDC" w14:textId="77777777" w:rsidR="00450096" w:rsidRPr="00262EE5" w:rsidRDefault="009423F4" w:rsidP="00855945">
            <w:pPr>
              <w:jc w:val="center"/>
              <w:rPr>
                <w:rFonts w:cs="Arial"/>
                <w:color w:val="000000"/>
                <w:sz w:val="20"/>
                <w:szCs w:val="20"/>
                <w:lang w:eastAsia="en-GB"/>
              </w:rPr>
            </w:pPr>
            <w:r>
              <w:rPr>
                <w:rFonts w:cs="Arial"/>
                <w:color w:val="000000"/>
                <w:sz w:val="20"/>
                <w:szCs w:val="20"/>
                <w:lang w:eastAsia="en-GB"/>
              </w:rPr>
              <w:t>N/A</w:t>
            </w:r>
          </w:p>
        </w:tc>
      </w:tr>
      <w:tr w:rsidR="00450096" w:rsidRPr="00ED0EC3" w14:paraId="6B84C58A" w14:textId="77777777" w:rsidTr="0001269D">
        <w:trPr>
          <w:trHeight w:val="416"/>
          <w:jc w:val="center"/>
        </w:trPr>
        <w:tc>
          <w:tcPr>
            <w:tcW w:w="696" w:type="pct"/>
            <w:vMerge/>
            <w:vAlign w:val="center"/>
          </w:tcPr>
          <w:p w14:paraId="14803B19" w14:textId="77777777" w:rsidR="00450096" w:rsidRPr="00B07B94" w:rsidRDefault="00450096" w:rsidP="00855945">
            <w:pPr>
              <w:jc w:val="center"/>
              <w:rPr>
                <w:rFonts w:ascii="Arial" w:hAnsi="Arial" w:cs="Arial"/>
                <w:sz w:val="20"/>
                <w:szCs w:val="20"/>
              </w:rPr>
            </w:pPr>
          </w:p>
        </w:tc>
        <w:tc>
          <w:tcPr>
            <w:tcW w:w="622" w:type="pct"/>
            <w:vAlign w:val="center"/>
          </w:tcPr>
          <w:p w14:paraId="1667D81F" w14:textId="77777777" w:rsidR="00450096" w:rsidRPr="00262EE5" w:rsidRDefault="00450096" w:rsidP="00855945">
            <w:pPr>
              <w:rPr>
                <w:rFonts w:cs="Arial"/>
                <w:i/>
                <w:color w:val="000000"/>
                <w:sz w:val="20"/>
                <w:szCs w:val="20"/>
                <w:lang w:eastAsia="en-GB"/>
              </w:rPr>
            </w:pPr>
            <w:r w:rsidRPr="00262EE5">
              <w:rPr>
                <w:rFonts w:cs="Arial"/>
                <w:i/>
                <w:snapToGrid w:val="0"/>
                <w:color w:val="000000"/>
                <w:sz w:val="20"/>
                <w:szCs w:val="20"/>
                <w:lang w:eastAsia="en-GB"/>
              </w:rPr>
              <w:t>Non-Monetised</w:t>
            </w:r>
          </w:p>
        </w:tc>
        <w:tc>
          <w:tcPr>
            <w:tcW w:w="1631" w:type="pct"/>
          </w:tcPr>
          <w:p w14:paraId="28DACCEB" w14:textId="77777777" w:rsidR="000332A7" w:rsidRPr="001A34B7" w:rsidRDefault="000332A7" w:rsidP="001A34B7">
            <w:pPr>
              <w:contextualSpacing/>
              <w:rPr>
                <w:rFonts w:cs="Arial"/>
                <w:sz w:val="20"/>
                <w:szCs w:val="20"/>
                <w:lang w:eastAsia="en-GB"/>
              </w:rPr>
            </w:pPr>
            <w:r w:rsidRPr="001A34B7">
              <w:rPr>
                <w:rFonts w:ascii="Arial" w:hAnsi="Arial" w:cs="Arial"/>
                <w:sz w:val="20"/>
                <w:szCs w:val="20"/>
                <w:lang w:eastAsia="en-GB"/>
              </w:rPr>
              <w:t>Assuming the PIDR is set at a higher level than it is at present</w:t>
            </w:r>
            <w:r>
              <w:rPr>
                <w:rFonts w:ascii="Arial" w:hAnsi="Arial" w:cs="Arial"/>
                <w:sz w:val="20"/>
                <w:szCs w:val="20"/>
                <w:lang w:eastAsia="en-GB"/>
              </w:rPr>
              <w:t>.</w:t>
            </w:r>
            <w:r w:rsidRPr="001A34B7">
              <w:rPr>
                <w:rFonts w:ascii="Arial" w:hAnsi="Arial" w:cs="Arial"/>
                <w:sz w:val="20"/>
                <w:szCs w:val="20"/>
                <w:lang w:eastAsia="en-GB"/>
              </w:rPr>
              <w:t xml:space="preserve"> </w:t>
            </w:r>
          </w:p>
          <w:p w14:paraId="6CF41AED" w14:textId="77777777" w:rsidR="00450096" w:rsidRDefault="009423F4" w:rsidP="0001269D">
            <w:pPr>
              <w:pStyle w:val="ListParagraph"/>
              <w:numPr>
                <w:ilvl w:val="0"/>
                <w:numId w:val="6"/>
              </w:numPr>
              <w:spacing w:after="120"/>
              <w:ind w:left="300" w:hanging="357"/>
              <w:rPr>
                <w:rFonts w:cs="Arial"/>
                <w:color w:val="000000"/>
                <w:sz w:val="20"/>
                <w:szCs w:val="20"/>
                <w:lang w:eastAsia="en-GB"/>
              </w:rPr>
            </w:pPr>
            <w:r>
              <w:rPr>
                <w:rFonts w:cs="Arial"/>
                <w:color w:val="000000"/>
                <w:sz w:val="20"/>
                <w:szCs w:val="20"/>
                <w:lang w:eastAsia="en-GB"/>
              </w:rPr>
              <w:t xml:space="preserve">Setting the PIDR with reference to </w:t>
            </w:r>
            <w:proofErr w:type="gramStart"/>
            <w:r>
              <w:rPr>
                <w:rFonts w:cs="Arial"/>
                <w:color w:val="000000"/>
                <w:sz w:val="20"/>
                <w:szCs w:val="20"/>
                <w:lang w:eastAsia="en-GB"/>
              </w:rPr>
              <w:t>a low risk</w:t>
            </w:r>
            <w:proofErr w:type="gramEnd"/>
            <w:r>
              <w:rPr>
                <w:rFonts w:cs="Arial"/>
                <w:color w:val="000000"/>
                <w:sz w:val="20"/>
                <w:szCs w:val="20"/>
                <w:lang w:eastAsia="en-GB"/>
              </w:rPr>
              <w:t xml:space="preserve"> mixed portfolio will result in reduced lump sum settlements for claimants in personal injury cases.</w:t>
            </w:r>
          </w:p>
          <w:p w14:paraId="5519FD19" w14:textId="77777777" w:rsidR="009423F4" w:rsidRDefault="008A0CEF" w:rsidP="0001269D">
            <w:pPr>
              <w:pStyle w:val="ListParagraph"/>
              <w:numPr>
                <w:ilvl w:val="0"/>
                <w:numId w:val="6"/>
              </w:numPr>
              <w:spacing w:after="120"/>
              <w:ind w:left="300" w:hanging="357"/>
              <w:rPr>
                <w:rFonts w:cs="Arial"/>
                <w:color w:val="000000"/>
                <w:sz w:val="20"/>
                <w:szCs w:val="20"/>
                <w:lang w:eastAsia="en-GB"/>
              </w:rPr>
            </w:pPr>
            <w:r>
              <w:rPr>
                <w:rFonts w:cs="Arial"/>
                <w:color w:val="000000"/>
                <w:sz w:val="20"/>
                <w:szCs w:val="20"/>
                <w:lang w:eastAsia="en-GB"/>
              </w:rPr>
              <w:t>Some c</w:t>
            </w:r>
            <w:r w:rsidR="009423F4">
              <w:rPr>
                <w:rFonts w:cs="Arial"/>
                <w:color w:val="000000"/>
                <w:sz w:val="20"/>
                <w:szCs w:val="20"/>
                <w:lang w:eastAsia="en-GB"/>
              </w:rPr>
              <w:t xml:space="preserve">laimants will be </w:t>
            </w:r>
            <w:r w:rsidR="00257291">
              <w:rPr>
                <w:rFonts w:cs="Arial"/>
                <w:color w:val="000000"/>
                <w:sz w:val="20"/>
                <w:szCs w:val="20"/>
                <w:lang w:eastAsia="en-GB"/>
              </w:rPr>
              <w:t>required to take</w:t>
            </w:r>
            <w:r w:rsidR="009423F4">
              <w:rPr>
                <w:rFonts w:cs="Arial"/>
                <w:color w:val="000000"/>
                <w:sz w:val="20"/>
                <w:szCs w:val="20"/>
                <w:lang w:eastAsia="en-GB"/>
              </w:rPr>
              <w:t xml:space="preserve"> increased investment risk on their portfolios.</w:t>
            </w:r>
          </w:p>
          <w:p w14:paraId="2EE05F67" w14:textId="77777777" w:rsidR="009423F4" w:rsidRDefault="009423F4" w:rsidP="0001269D">
            <w:pPr>
              <w:pStyle w:val="ListParagraph"/>
              <w:numPr>
                <w:ilvl w:val="0"/>
                <w:numId w:val="6"/>
              </w:numPr>
              <w:spacing w:after="120"/>
              <w:ind w:left="300" w:hanging="357"/>
              <w:rPr>
                <w:rFonts w:cs="Arial"/>
                <w:color w:val="000000"/>
                <w:sz w:val="20"/>
                <w:szCs w:val="20"/>
                <w:lang w:eastAsia="en-GB"/>
              </w:rPr>
            </w:pPr>
            <w:r>
              <w:rPr>
                <w:rFonts w:cs="Arial"/>
                <w:color w:val="000000"/>
                <w:sz w:val="20"/>
                <w:szCs w:val="20"/>
                <w:lang w:eastAsia="en-GB"/>
              </w:rPr>
              <w:t xml:space="preserve">Where </w:t>
            </w:r>
            <w:r w:rsidR="00257291">
              <w:rPr>
                <w:rFonts w:cs="Arial"/>
                <w:color w:val="000000"/>
                <w:sz w:val="20"/>
                <w:szCs w:val="20"/>
                <w:lang w:eastAsia="en-GB"/>
              </w:rPr>
              <w:t>lump sums</w:t>
            </w:r>
            <w:r>
              <w:rPr>
                <w:rFonts w:cs="Arial"/>
                <w:color w:val="000000"/>
                <w:sz w:val="20"/>
                <w:szCs w:val="20"/>
                <w:lang w:eastAsia="en-GB"/>
              </w:rPr>
              <w:t xml:space="preserve"> are exhausted before their expected term, any remaining costs of care will fall </w:t>
            </w:r>
            <w:r w:rsidR="002B7487">
              <w:rPr>
                <w:rFonts w:cs="Arial"/>
                <w:color w:val="000000"/>
                <w:sz w:val="20"/>
                <w:szCs w:val="20"/>
                <w:lang w:eastAsia="en-GB"/>
              </w:rPr>
              <w:t>o</w:t>
            </w:r>
            <w:r>
              <w:rPr>
                <w:rFonts w:cs="Arial"/>
                <w:color w:val="000000"/>
                <w:sz w:val="20"/>
                <w:szCs w:val="20"/>
                <w:lang w:eastAsia="en-GB"/>
              </w:rPr>
              <w:t>n the NHS</w:t>
            </w:r>
            <w:r w:rsidR="002B7487">
              <w:rPr>
                <w:rFonts w:cs="Arial"/>
                <w:color w:val="000000"/>
                <w:sz w:val="20"/>
                <w:szCs w:val="20"/>
                <w:lang w:eastAsia="en-GB"/>
              </w:rPr>
              <w:t xml:space="preserve"> and local authorities</w:t>
            </w:r>
            <w:r>
              <w:rPr>
                <w:rFonts w:cs="Arial"/>
                <w:color w:val="000000"/>
                <w:sz w:val="20"/>
                <w:szCs w:val="20"/>
                <w:lang w:eastAsia="en-GB"/>
              </w:rPr>
              <w:t>.</w:t>
            </w:r>
          </w:p>
          <w:p w14:paraId="7A3C2BC5" w14:textId="77777777" w:rsidR="00257291" w:rsidRDefault="00257291" w:rsidP="0001269D">
            <w:pPr>
              <w:pStyle w:val="ListParagraph"/>
              <w:numPr>
                <w:ilvl w:val="0"/>
                <w:numId w:val="6"/>
              </w:numPr>
              <w:spacing w:after="120"/>
              <w:ind w:left="300" w:hanging="357"/>
              <w:rPr>
                <w:rFonts w:cs="Arial"/>
                <w:color w:val="000000"/>
                <w:sz w:val="20"/>
                <w:szCs w:val="20"/>
                <w:lang w:eastAsia="en-GB"/>
              </w:rPr>
            </w:pPr>
            <w:r>
              <w:rPr>
                <w:rFonts w:cs="Arial"/>
                <w:color w:val="000000"/>
                <w:sz w:val="20"/>
                <w:szCs w:val="20"/>
                <w:lang w:eastAsia="en-GB"/>
              </w:rPr>
              <w:t>An increase in the use of PPOs will impose costs on insurers due to the need to meet the requirements of Solvency II.</w:t>
            </w:r>
          </w:p>
          <w:p w14:paraId="418B8001" w14:textId="77777777" w:rsidR="00257291" w:rsidRPr="00262EE5" w:rsidRDefault="00257291" w:rsidP="00D73035">
            <w:pPr>
              <w:pStyle w:val="ListParagraph"/>
              <w:numPr>
                <w:ilvl w:val="0"/>
                <w:numId w:val="6"/>
              </w:numPr>
              <w:ind w:left="303"/>
              <w:contextualSpacing/>
              <w:rPr>
                <w:rFonts w:cs="Arial"/>
                <w:color w:val="000000"/>
                <w:sz w:val="20"/>
                <w:szCs w:val="20"/>
                <w:lang w:eastAsia="en-GB"/>
              </w:rPr>
            </w:pPr>
            <w:r>
              <w:rPr>
                <w:rFonts w:cs="Arial"/>
                <w:color w:val="000000"/>
                <w:sz w:val="20"/>
                <w:szCs w:val="20"/>
                <w:lang w:eastAsia="en-GB"/>
              </w:rPr>
              <w:t>Society may suffer a reduction in equity if reduced lump sum settlements are seen to be unfair to claimants.</w:t>
            </w:r>
          </w:p>
        </w:tc>
        <w:tc>
          <w:tcPr>
            <w:tcW w:w="1553" w:type="pct"/>
          </w:tcPr>
          <w:p w14:paraId="1FBA8DFE" w14:textId="77777777" w:rsidR="000332A7" w:rsidRDefault="000332A7" w:rsidP="001A34B7">
            <w:pPr>
              <w:spacing w:after="0" w:line="240" w:lineRule="auto"/>
              <w:rPr>
                <w:rFonts w:ascii="Arial" w:hAnsi="Arial" w:cs="Arial"/>
                <w:sz w:val="20"/>
                <w:szCs w:val="20"/>
                <w:lang w:eastAsia="en-GB"/>
              </w:rPr>
            </w:pPr>
            <w:r w:rsidRPr="000332A7">
              <w:rPr>
                <w:rFonts w:ascii="Arial" w:hAnsi="Arial" w:cs="Arial"/>
                <w:sz w:val="20"/>
                <w:szCs w:val="20"/>
                <w:lang w:eastAsia="en-GB"/>
              </w:rPr>
              <w:t>Assuming the PIDR is set at a higher level tha</w:t>
            </w:r>
            <w:r>
              <w:rPr>
                <w:rFonts w:ascii="Arial" w:hAnsi="Arial" w:cs="Arial"/>
                <w:sz w:val="20"/>
                <w:szCs w:val="20"/>
                <w:lang w:eastAsia="en-GB"/>
              </w:rPr>
              <w:t>n it is at present.</w:t>
            </w:r>
          </w:p>
          <w:p w14:paraId="52E604C4" w14:textId="77777777" w:rsidR="000332A7" w:rsidRPr="001A34B7" w:rsidRDefault="000332A7" w:rsidP="001A34B7">
            <w:pPr>
              <w:spacing w:after="0" w:line="240" w:lineRule="auto"/>
              <w:rPr>
                <w:rFonts w:ascii="Arial" w:hAnsi="Arial" w:cs="Arial"/>
                <w:sz w:val="16"/>
                <w:szCs w:val="16"/>
                <w:lang w:eastAsia="en-GB"/>
              </w:rPr>
            </w:pPr>
            <w:r w:rsidRPr="000332A7">
              <w:rPr>
                <w:rFonts w:ascii="Arial" w:hAnsi="Arial" w:cs="Arial"/>
                <w:sz w:val="20"/>
                <w:szCs w:val="20"/>
                <w:lang w:eastAsia="en-GB"/>
              </w:rPr>
              <w:t xml:space="preserve"> </w:t>
            </w:r>
          </w:p>
          <w:p w14:paraId="5D51B595" w14:textId="77777777" w:rsidR="00804BF9" w:rsidRPr="00804BF9" w:rsidRDefault="009423F4" w:rsidP="00586ECB">
            <w:pPr>
              <w:numPr>
                <w:ilvl w:val="0"/>
                <w:numId w:val="4"/>
              </w:numPr>
              <w:spacing w:after="120" w:line="240" w:lineRule="auto"/>
              <w:ind w:left="357" w:right="-107" w:hanging="357"/>
              <w:rPr>
                <w:rFonts w:ascii="Arial" w:hAnsi="Arial" w:cs="Arial"/>
                <w:sz w:val="16"/>
                <w:szCs w:val="16"/>
                <w:lang w:eastAsia="en-GB"/>
              </w:rPr>
            </w:pPr>
            <w:r w:rsidRPr="00B07B94">
              <w:rPr>
                <w:rFonts w:ascii="Arial" w:hAnsi="Arial" w:cs="Arial"/>
                <w:sz w:val="20"/>
                <w:szCs w:val="20"/>
                <w:lang w:eastAsia="en-GB"/>
              </w:rPr>
              <w:t xml:space="preserve">Setting the PIDR with reference to a low risk mixed portfolio will result in reduced settlements paid by businesses and </w:t>
            </w:r>
            <w:proofErr w:type="gramStart"/>
            <w:r w:rsidRPr="00B07B94">
              <w:rPr>
                <w:rFonts w:ascii="Arial" w:hAnsi="Arial" w:cs="Arial"/>
                <w:sz w:val="20"/>
                <w:szCs w:val="20"/>
                <w:lang w:eastAsia="en-GB"/>
              </w:rPr>
              <w:t>public sector</w:t>
            </w:r>
            <w:proofErr w:type="gramEnd"/>
            <w:r w:rsidRPr="00B07B94">
              <w:rPr>
                <w:rFonts w:ascii="Arial" w:hAnsi="Arial" w:cs="Arial"/>
                <w:sz w:val="20"/>
                <w:szCs w:val="20"/>
                <w:lang w:eastAsia="en-GB"/>
              </w:rPr>
              <w:t xml:space="preserve"> bodies</w:t>
            </w:r>
            <w:r w:rsidR="00257291" w:rsidRPr="00B07B94">
              <w:rPr>
                <w:rFonts w:ascii="Arial" w:hAnsi="Arial" w:cs="Arial"/>
                <w:sz w:val="20"/>
                <w:szCs w:val="20"/>
                <w:lang w:eastAsia="en-GB"/>
              </w:rPr>
              <w:t xml:space="preserve"> </w:t>
            </w:r>
            <w:r w:rsidR="001D64DC">
              <w:rPr>
                <w:rFonts w:ascii="Arial" w:hAnsi="Arial" w:cs="Arial"/>
                <w:sz w:val="20"/>
                <w:szCs w:val="20"/>
                <w:lang w:eastAsia="en-GB"/>
              </w:rPr>
              <w:t xml:space="preserve">(compared to the settlements that would have been paid had the present law continued) </w:t>
            </w:r>
            <w:r w:rsidR="00257291" w:rsidRPr="00B07B94">
              <w:rPr>
                <w:rFonts w:ascii="Arial" w:hAnsi="Arial" w:cs="Arial"/>
                <w:sz w:val="20"/>
                <w:szCs w:val="20"/>
                <w:lang w:eastAsia="en-GB"/>
              </w:rPr>
              <w:t>so reducing any over-compensation.</w:t>
            </w:r>
            <w:r w:rsidR="004A0D2C">
              <w:rPr>
                <w:rFonts w:ascii="Arial" w:hAnsi="Arial" w:cs="Arial"/>
                <w:sz w:val="20"/>
                <w:szCs w:val="20"/>
                <w:lang w:eastAsia="en-GB"/>
              </w:rPr>
              <w:t xml:space="preserve"> </w:t>
            </w:r>
          </w:p>
          <w:p w14:paraId="22B001ED" w14:textId="77777777" w:rsidR="009423F4" w:rsidRPr="00B07B94" w:rsidRDefault="009423F4" w:rsidP="00586ECB">
            <w:pPr>
              <w:numPr>
                <w:ilvl w:val="0"/>
                <w:numId w:val="4"/>
              </w:numPr>
              <w:spacing w:after="120" w:line="240" w:lineRule="auto"/>
              <w:ind w:left="303" w:right="-107"/>
              <w:rPr>
                <w:rFonts w:ascii="Arial" w:hAnsi="Arial" w:cs="Arial"/>
                <w:sz w:val="16"/>
                <w:szCs w:val="16"/>
                <w:lang w:eastAsia="en-GB"/>
              </w:rPr>
            </w:pPr>
            <w:r w:rsidRPr="00B07B94">
              <w:rPr>
                <w:rFonts w:ascii="Arial" w:hAnsi="Arial" w:cs="Arial"/>
                <w:sz w:val="20"/>
                <w:szCs w:val="20"/>
                <w:lang w:eastAsia="en-GB"/>
              </w:rPr>
              <w:t>A reduction in the value of lump sum settlements will lead to a reduction in insurance premiums for policy holders.</w:t>
            </w:r>
          </w:p>
          <w:p w14:paraId="1402EBEF" w14:textId="77777777" w:rsidR="009423F4" w:rsidRDefault="009423F4" w:rsidP="00586ECB">
            <w:pPr>
              <w:numPr>
                <w:ilvl w:val="0"/>
                <w:numId w:val="4"/>
              </w:numPr>
              <w:spacing w:after="120" w:line="240" w:lineRule="auto"/>
              <w:ind w:left="303" w:right="-107"/>
              <w:rPr>
                <w:rFonts w:ascii="Arial" w:hAnsi="Arial" w:cs="Arial"/>
                <w:sz w:val="20"/>
                <w:szCs w:val="20"/>
                <w:lang w:eastAsia="en-GB"/>
              </w:rPr>
            </w:pPr>
            <w:r w:rsidRPr="00B07B94">
              <w:rPr>
                <w:rFonts w:ascii="Arial" w:hAnsi="Arial" w:cs="Arial"/>
                <w:sz w:val="20"/>
                <w:szCs w:val="20"/>
                <w:lang w:eastAsia="en-GB"/>
              </w:rPr>
              <w:t xml:space="preserve">A reduction in the value of lump sum settlements will make PPOs more attractive to claimants </w:t>
            </w:r>
            <w:r w:rsidR="00257291" w:rsidRPr="00B07B94">
              <w:rPr>
                <w:rFonts w:ascii="Arial" w:hAnsi="Arial" w:cs="Arial"/>
                <w:sz w:val="20"/>
                <w:szCs w:val="20"/>
                <w:lang w:eastAsia="en-GB"/>
              </w:rPr>
              <w:t>so reducing investment and mortality risk.</w:t>
            </w:r>
          </w:p>
          <w:p w14:paraId="63110785" w14:textId="77777777" w:rsidR="00257291" w:rsidRPr="00B07B94" w:rsidRDefault="00257291" w:rsidP="00586ECB">
            <w:pPr>
              <w:numPr>
                <w:ilvl w:val="0"/>
                <w:numId w:val="4"/>
              </w:numPr>
              <w:spacing w:after="120" w:line="240" w:lineRule="auto"/>
              <w:ind w:left="303" w:right="-107"/>
              <w:rPr>
                <w:rFonts w:ascii="Arial" w:hAnsi="Arial" w:cs="Arial"/>
                <w:sz w:val="20"/>
                <w:szCs w:val="20"/>
                <w:lang w:eastAsia="en-GB"/>
              </w:rPr>
            </w:pPr>
            <w:r>
              <w:rPr>
                <w:rFonts w:ascii="Arial" w:hAnsi="Arial" w:cs="Arial"/>
                <w:sz w:val="20"/>
                <w:szCs w:val="20"/>
                <w:lang w:eastAsia="en-GB"/>
              </w:rPr>
              <w:t xml:space="preserve">Society may benefit from greater equity if the current framework is perceived to lead to </w:t>
            </w:r>
            <w:r w:rsidR="00FD6492">
              <w:rPr>
                <w:rFonts w:ascii="Arial" w:hAnsi="Arial" w:cs="Arial"/>
                <w:sz w:val="20"/>
                <w:szCs w:val="20"/>
                <w:lang w:eastAsia="en-GB"/>
              </w:rPr>
              <w:t xml:space="preserve">a rate set on unrealistic assumptions thereby leading to </w:t>
            </w:r>
            <w:r>
              <w:rPr>
                <w:rFonts w:ascii="Arial" w:hAnsi="Arial" w:cs="Arial"/>
                <w:sz w:val="20"/>
                <w:szCs w:val="20"/>
                <w:lang w:eastAsia="en-GB"/>
              </w:rPr>
              <w:t>compensation</w:t>
            </w:r>
            <w:r w:rsidR="00FD6492">
              <w:rPr>
                <w:rFonts w:ascii="Arial" w:hAnsi="Arial" w:cs="Arial"/>
                <w:sz w:val="20"/>
                <w:szCs w:val="20"/>
                <w:lang w:eastAsia="en-GB"/>
              </w:rPr>
              <w:t xml:space="preserve"> levels that are not fair to defendants</w:t>
            </w:r>
            <w:r>
              <w:rPr>
                <w:rFonts w:ascii="Arial" w:hAnsi="Arial" w:cs="Arial"/>
                <w:sz w:val="20"/>
                <w:szCs w:val="20"/>
                <w:lang w:eastAsia="en-GB"/>
              </w:rPr>
              <w:t>.</w:t>
            </w:r>
          </w:p>
        </w:tc>
        <w:tc>
          <w:tcPr>
            <w:tcW w:w="498" w:type="pct"/>
            <w:vAlign w:val="center"/>
          </w:tcPr>
          <w:p w14:paraId="1F5A6FEE" w14:textId="77777777" w:rsidR="00450096" w:rsidRPr="00B07B94" w:rsidRDefault="009423F4" w:rsidP="00855945">
            <w:pPr>
              <w:jc w:val="center"/>
              <w:rPr>
                <w:rFonts w:ascii="Arial" w:hAnsi="Arial" w:cs="Arial"/>
                <w:color w:val="000000"/>
                <w:sz w:val="20"/>
                <w:szCs w:val="20"/>
                <w:lang w:eastAsia="en-GB"/>
              </w:rPr>
            </w:pPr>
            <w:r w:rsidRPr="00B07B94">
              <w:rPr>
                <w:rFonts w:ascii="Arial" w:hAnsi="Arial" w:cs="Arial"/>
                <w:color w:val="000000"/>
                <w:sz w:val="20"/>
                <w:szCs w:val="20"/>
                <w:lang w:eastAsia="en-GB"/>
              </w:rPr>
              <w:t>N/A</w:t>
            </w:r>
          </w:p>
        </w:tc>
      </w:tr>
      <w:tr w:rsidR="00450096" w:rsidRPr="00262EE5" w14:paraId="70AF8598" w14:textId="77777777" w:rsidTr="0001269D">
        <w:trPr>
          <w:trHeight w:val="378"/>
          <w:jc w:val="center"/>
        </w:trPr>
        <w:tc>
          <w:tcPr>
            <w:tcW w:w="696" w:type="pct"/>
            <w:vMerge w:val="restart"/>
            <w:vAlign w:val="center"/>
          </w:tcPr>
          <w:p w14:paraId="5F9B354B" w14:textId="77777777" w:rsidR="00450096" w:rsidRPr="00B07B94" w:rsidRDefault="00450096" w:rsidP="00855945">
            <w:pPr>
              <w:jc w:val="center"/>
              <w:rPr>
                <w:rFonts w:ascii="Arial" w:hAnsi="Arial" w:cs="Arial"/>
                <w:b/>
                <w:sz w:val="20"/>
                <w:szCs w:val="20"/>
              </w:rPr>
            </w:pPr>
            <w:r w:rsidRPr="00B07B94">
              <w:rPr>
                <w:rFonts w:ascii="Arial" w:hAnsi="Arial" w:cs="Arial"/>
                <w:b/>
                <w:sz w:val="20"/>
                <w:szCs w:val="20"/>
              </w:rPr>
              <w:t xml:space="preserve">Review the PIDR at least once every </w:t>
            </w:r>
            <w:r w:rsidR="000332A7">
              <w:rPr>
                <w:rFonts w:ascii="Arial" w:hAnsi="Arial" w:cs="Arial"/>
                <w:b/>
                <w:sz w:val="20"/>
                <w:szCs w:val="20"/>
              </w:rPr>
              <w:t>five</w:t>
            </w:r>
            <w:r w:rsidR="000332A7" w:rsidRPr="00B07B94">
              <w:rPr>
                <w:rFonts w:ascii="Arial" w:hAnsi="Arial" w:cs="Arial"/>
                <w:b/>
                <w:sz w:val="20"/>
                <w:szCs w:val="20"/>
              </w:rPr>
              <w:t xml:space="preserve"> </w:t>
            </w:r>
            <w:r w:rsidRPr="00B07B94">
              <w:rPr>
                <w:rFonts w:ascii="Arial" w:hAnsi="Arial" w:cs="Arial"/>
                <w:b/>
                <w:sz w:val="20"/>
                <w:szCs w:val="20"/>
              </w:rPr>
              <w:t>years</w:t>
            </w:r>
          </w:p>
          <w:p w14:paraId="60586951" w14:textId="77777777" w:rsidR="00450096" w:rsidRPr="00B07B94" w:rsidRDefault="00450096" w:rsidP="00855945">
            <w:pPr>
              <w:jc w:val="center"/>
              <w:rPr>
                <w:rFonts w:ascii="Arial" w:hAnsi="Arial" w:cs="Arial"/>
                <w:sz w:val="20"/>
                <w:szCs w:val="20"/>
              </w:rPr>
            </w:pPr>
          </w:p>
        </w:tc>
        <w:tc>
          <w:tcPr>
            <w:tcW w:w="622" w:type="pct"/>
            <w:vAlign w:val="center"/>
          </w:tcPr>
          <w:p w14:paraId="3ACD37EB" w14:textId="77777777" w:rsidR="00450096" w:rsidRPr="00262EE5" w:rsidRDefault="00450096" w:rsidP="00855945">
            <w:pPr>
              <w:rPr>
                <w:rFonts w:cs="Arial"/>
                <w:i/>
                <w:color w:val="000000"/>
                <w:sz w:val="20"/>
                <w:szCs w:val="20"/>
                <w:lang w:eastAsia="en-GB"/>
              </w:rPr>
            </w:pPr>
            <w:r w:rsidRPr="00262EE5">
              <w:rPr>
                <w:rFonts w:cs="Arial"/>
                <w:i/>
                <w:iCs/>
                <w:sz w:val="20"/>
                <w:szCs w:val="20"/>
                <w:lang w:eastAsia="en-GB"/>
              </w:rPr>
              <w:t>Monetised</w:t>
            </w:r>
          </w:p>
        </w:tc>
        <w:tc>
          <w:tcPr>
            <w:tcW w:w="1631" w:type="pct"/>
          </w:tcPr>
          <w:p w14:paraId="6DE716FF" w14:textId="77777777" w:rsidR="00450096" w:rsidRPr="00262EE5" w:rsidRDefault="00F06141" w:rsidP="00D73035">
            <w:pPr>
              <w:pStyle w:val="ListParagraph"/>
              <w:numPr>
                <w:ilvl w:val="0"/>
                <w:numId w:val="5"/>
              </w:numPr>
              <w:ind w:left="303"/>
              <w:contextualSpacing/>
              <w:rPr>
                <w:rFonts w:cs="Arial"/>
                <w:color w:val="000000"/>
                <w:sz w:val="20"/>
                <w:szCs w:val="20"/>
                <w:lang w:eastAsia="en-GB"/>
              </w:rPr>
            </w:pPr>
            <w:r>
              <w:rPr>
                <w:rFonts w:cs="Arial"/>
                <w:color w:val="000000"/>
                <w:sz w:val="20"/>
                <w:szCs w:val="20"/>
                <w:lang w:eastAsia="en-GB"/>
              </w:rPr>
              <w:t>The research and analysis in relation to the factors which might be considered when setting the rate are estimated at between £2</w:t>
            </w:r>
            <w:r w:rsidR="003B2485">
              <w:rPr>
                <w:rFonts w:cs="Arial"/>
                <w:color w:val="000000"/>
                <w:sz w:val="20"/>
                <w:szCs w:val="20"/>
                <w:lang w:eastAsia="en-GB"/>
              </w:rPr>
              <w:t>86</w:t>
            </w:r>
            <w:r>
              <w:rPr>
                <w:rFonts w:cs="Arial"/>
                <w:color w:val="000000"/>
                <w:sz w:val="20"/>
                <w:szCs w:val="20"/>
                <w:lang w:eastAsia="en-GB"/>
              </w:rPr>
              <w:t>k-£3</w:t>
            </w:r>
            <w:r w:rsidR="003B2485">
              <w:rPr>
                <w:rFonts w:cs="Arial"/>
                <w:color w:val="000000"/>
                <w:sz w:val="20"/>
                <w:szCs w:val="20"/>
                <w:lang w:eastAsia="en-GB"/>
              </w:rPr>
              <w:t>55</w:t>
            </w:r>
            <w:r>
              <w:rPr>
                <w:rFonts w:cs="Arial"/>
                <w:color w:val="000000"/>
                <w:sz w:val="20"/>
                <w:szCs w:val="20"/>
                <w:lang w:eastAsia="en-GB"/>
              </w:rPr>
              <w:t>k per review</w:t>
            </w:r>
          </w:p>
        </w:tc>
        <w:tc>
          <w:tcPr>
            <w:tcW w:w="1553" w:type="pct"/>
          </w:tcPr>
          <w:p w14:paraId="556A32AA" w14:textId="77777777" w:rsidR="00450096" w:rsidRPr="00262EE5" w:rsidRDefault="00257291" w:rsidP="00D73035">
            <w:pPr>
              <w:pStyle w:val="ListParagraph"/>
              <w:numPr>
                <w:ilvl w:val="0"/>
                <w:numId w:val="5"/>
              </w:numPr>
              <w:ind w:left="303"/>
              <w:contextualSpacing/>
              <w:rPr>
                <w:rFonts w:cs="Arial"/>
                <w:color w:val="000000"/>
                <w:sz w:val="20"/>
                <w:szCs w:val="20"/>
                <w:lang w:eastAsia="en-GB"/>
              </w:rPr>
            </w:pPr>
            <w:r>
              <w:rPr>
                <w:rFonts w:cs="Arial"/>
                <w:color w:val="000000"/>
                <w:sz w:val="20"/>
                <w:szCs w:val="20"/>
                <w:lang w:eastAsia="en-GB"/>
              </w:rPr>
              <w:t>None</w:t>
            </w:r>
          </w:p>
        </w:tc>
        <w:tc>
          <w:tcPr>
            <w:tcW w:w="498" w:type="pct"/>
          </w:tcPr>
          <w:p w14:paraId="662691AD" w14:textId="77777777" w:rsidR="00450096" w:rsidRPr="00B07B94" w:rsidRDefault="00F06141" w:rsidP="00B07B94">
            <w:pPr>
              <w:jc w:val="center"/>
              <w:rPr>
                <w:rFonts w:ascii="Arial" w:hAnsi="Arial" w:cs="Arial"/>
                <w:color w:val="000000"/>
                <w:sz w:val="20"/>
                <w:szCs w:val="20"/>
                <w:lang w:eastAsia="en-GB"/>
              </w:rPr>
            </w:pPr>
            <w:r>
              <w:rPr>
                <w:rFonts w:ascii="Arial" w:hAnsi="Arial" w:cs="Arial"/>
                <w:color w:val="000000"/>
                <w:sz w:val="20"/>
                <w:szCs w:val="20"/>
                <w:lang w:eastAsia="en-GB"/>
              </w:rPr>
              <w:t>c. £2</w:t>
            </w:r>
            <w:r w:rsidR="003B2485">
              <w:rPr>
                <w:rFonts w:ascii="Arial" w:hAnsi="Arial" w:cs="Arial"/>
                <w:color w:val="000000"/>
                <w:sz w:val="20"/>
                <w:szCs w:val="20"/>
                <w:lang w:eastAsia="en-GB"/>
              </w:rPr>
              <w:t>86</w:t>
            </w:r>
            <w:r>
              <w:rPr>
                <w:rFonts w:ascii="Arial" w:hAnsi="Arial" w:cs="Arial"/>
                <w:color w:val="000000"/>
                <w:sz w:val="20"/>
                <w:szCs w:val="20"/>
                <w:lang w:eastAsia="en-GB"/>
              </w:rPr>
              <w:t>k-£3</w:t>
            </w:r>
            <w:r w:rsidR="003B2485">
              <w:rPr>
                <w:rFonts w:ascii="Arial" w:hAnsi="Arial" w:cs="Arial"/>
                <w:color w:val="000000"/>
                <w:sz w:val="20"/>
                <w:szCs w:val="20"/>
                <w:lang w:eastAsia="en-GB"/>
              </w:rPr>
              <w:t>55</w:t>
            </w:r>
            <w:r>
              <w:rPr>
                <w:rFonts w:ascii="Arial" w:hAnsi="Arial" w:cs="Arial"/>
                <w:color w:val="000000"/>
                <w:sz w:val="20"/>
                <w:szCs w:val="20"/>
                <w:lang w:eastAsia="en-GB"/>
              </w:rPr>
              <w:t>k per review</w:t>
            </w:r>
          </w:p>
        </w:tc>
      </w:tr>
      <w:tr w:rsidR="00450096" w:rsidRPr="00ED0EC3" w14:paraId="00944E0E" w14:textId="77777777" w:rsidTr="0001269D">
        <w:trPr>
          <w:trHeight w:val="1431"/>
          <w:jc w:val="center"/>
        </w:trPr>
        <w:tc>
          <w:tcPr>
            <w:tcW w:w="696" w:type="pct"/>
            <w:vMerge/>
            <w:vAlign w:val="center"/>
          </w:tcPr>
          <w:p w14:paraId="18A4F9B4" w14:textId="77777777" w:rsidR="00450096" w:rsidRPr="00262EE5" w:rsidRDefault="00450096" w:rsidP="00855945">
            <w:pPr>
              <w:jc w:val="center"/>
            </w:pPr>
          </w:p>
        </w:tc>
        <w:tc>
          <w:tcPr>
            <w:tcW w:w="622" w:type="pct"/>
            <w:vAlign w:val="center"/>
          </w:tcPr>
          <w:p w14:paraId="0C0C2E02" w14:textId="77777777" w:rsidR="00450096" w:rsidRPr="00262EE5" w:rsidRDefault="00450096" w:rsidP="00855945">
            <w:pPr>
              <w:rPr>
                <w:rFonts w:cs="Arial"/>
                <w:i/>
                <w:color w:val="000000"/>
                <w:sz w:val="20"/>
                <w:szCs w:val="20"/>
                <w:lang w:eastAsia="en-GB"/>
              </w:rPr>
            </w:pPr>
            <w:r w:rsidRPr="00262EE5">
              <w:rPr>
                <w:rFonts w:cs="Arial"/>
                <w:i/>
                <w:snapToGrid w:val="0"/>
                <w:color w:val="000000"/>
                <w:sz w:val="20"/>
                <w:szCs w:val="20"/>
                <w:lang w:eastAsia="en-GB"/>
              </w:rPr>
              <w:t>Non-Monetised</w:t>
            </w:r>
          </w:p>
        </w:tc>
        <w:tc>
          <w:tcPr>
            <w:tcW w:w="1631" w:type="pct"/>
          </w:tcPr>
          <w:p w14:paraId="4A4DBE5F" w14:textId="77777777" w:rsidR="004A0D2C" w:rsidRPr="00BB73E9" w:rsidRDefault="00F06141" w:rsidP="00BB73E9">
            <w:pPr>
              <w:numPr>
                <w:ilvl w:val="0"/>
                <w:numId w:val="4"/>
              </w:numPr>
              <w:spacing w:after="120" w:line="240" w:lineRule="auto"/>
              <w:ind w:left="303"/>
              <w:rPr>
                <w:rFonts w:ascii="Arial" w:hAnsi="Arial" w:cs="Arial"/>
                <w:color w:val="000000"/>
                <w:sz w:val="20"/>
                <w:szCs w:val="20"/>
                <w:lang w:eastAsia="en-GB"/>
              </w:rPr>
            </w:pPr>
            <w:r w:rsidRPr="00BB73E9">
              <w:rPr>
                <w:rFonts w:ascii="Arial" w:hAnsi="Arial" w:cs="Arial"/>
                <w:sz w:val="20"/>
                <w:szCs w:val="20"/>
                <w:lang w:eastAsia="en-GB"/>
              </w:rPr>
              <w:t>None</w:t>
            </w:r>
            <w:r w:rsidR="004A0D2C" w:rsidRPr="00BB73E9">
              <w:rPr>
                <w:rFonts w:ascii="Arial" w:hAnsi="Arial" w:cs="Arial"/>
                <w:sz w:val="20"/>
                <w:szCs w:val="20"/>
                <w:lang w:eastAsia="en-GB"/>
              </w:rPr>
              <w:t>.</w:t>
            </w:r>
          </w:p>
          <w:p w14:paraId="238D0C78" w14:textId="77777777" w:rsidR="00257291" w:rsidRPr="00B07B94" w:rsidRDefault="00257291" w:rsidP="00B07B94">
            <w:pPr>
              <w:spacing w:after="120" w:line="240" w:lineRule="auto"/>
              <w:ind w:left="303"/>
              <w:rPr>
                <w:rFonts w:ascii="Arial" w:hAnsi="Arial" w:cs="Arial"/>
                <w:color w:val="000000"/>
                <w:sz w:val="20"/>
                <w:szCs w:val="20"/>
                <w:lang w:eastAsia="en-GB"/>
              </w:rPr>
            </w:pPr>
          </w:p>
        </w:tc>
        <w:tc>
          <w:tcPr>
            <w:tcW w:w="1553" w:type="pct"/>
          </w:tcPr>
          <w:p w14:paraId="752415C8" w14:textId="77777777" w:rsidR="004A0D2C" w:rsidRDefault="004A0D2C" w:rsidP="00D73035">
            <w:pPr>
              <w:pStyle w:val="ListParagraph"/>
              <w:numPr>
                <w:ilvl w:val="0"/>
                <w:numId w:val="4"/>
              </w:numPr>
              <w:ind w:left="303"/>
              <w:contextualSpacing/>
              <w:rPr>
                <w:rFonts w:cs="Arial"/>
                <w:color w:val="000000"/>
                <w:sz w:val="20"/>
                <w:szCs w:val="20"/>
                <w:lang w:eastAsia="en-GB"/>
              </w:rPr>
            </w:pPr>
            <w:r>
              <w:rPr>
                <w:rFonts w:cs="Arial"/>
                <w:color w:val="000000"/>
                <w:sz w:val="20"/>
                <w:szCs w:val="20"/>
                <w:lang w:eastAsia="en-GB"/>
              </w:rPr>
              <w:t xml:space="preserve">Claimants and defendants will benefit from greater certainty concerning the timing of reviews to the PIDR. </w:t>
            </w:r>
          </w:p>
          <w:p w14:paraId="046490B9" w14:textId="77777777" w:rsidR="004A0D2C" w:rsidRDefault="004A0D2C" w:rsidP="00B07B94">
            <w:pPr>
              <w:pStyle w:val="ListParagraph"/>
              <w:ind w:left="303"/>
              <w:contextualSpacing/>
              <w:rPr>
                <w:rFonts w:cs="Arial"/>
                <w:color w:val="000000"/>
                <w:sz w:val="20"/>
                <w:szCs w:val="20"/>
                <w:lang w:eastAsia="en-GB"/>
              </w:rPr>
            </w:pPr>
          </w:p>
          <w:p w14:paraId="2110AE73" w14:textId="77777777" w:rsidR="00450096" w:rsidRPr="00262EE5" w:rsidRDefault="004A0D2C" w:rsidP="00D73035">
            <w:pPr>
              <w:pStyle w:val="ListParagraph"/>
              <w:numPr>
                <w:ilvl w:val="0"/>
                <w:numId w:val="4"/>
              </w:numPr>
              <w:ind w:left="303"/>
              <w:contextualSpacing/>
              <w:rPr>
                <w:rFonts w:cs="Arial"/>
                <w:color w:val="000000"/>
                <w:sz w:val="20"/>
                <w:szCs w:val="20"/>
                <w:lang w:eastAsia="en-GB"/>
              </w:rPr>
            </w:pPr>
            <w:r>
              <w:rPr>
                <w:rFonts w:cs="Arial"/>
                <w:color w:val="000000"/>
                <w:sz w:val="20"/>
                <w:szCs w:val="20"/>
                <w:lang w:eastAsia="en-GB"/>
              </w:rPr>
              <w:lastRenderedPageBreak/>
              <w:t>Depending on the frequency of any reviews, both claimants and defendants will benefit from the PIDR being set with closer reference to the yields on the specified portfolio in the long run.</w:t>
            </w:r>
          </w:p>
        </w:tc>
        <w:tc>
          <w:tcPr>
            <w:tcW w:w="498" w:type="pct"/>
            <w:vAlign w:val="center"/>
          </w:tcPr>
          <w:p w14:paraId="18012FD2" w14:textId="77777777" w:rsidR="00450096" w:rsidRPr="00B07B94" w:rsidRDefault="004A0D2C" w:rsidP="00855945">
            <w:pPr>
              <w:jc w:val="center"/>
              <w:rPr>
                <w:rFonts w:ascii="Arial" w:hAnsi="Arial" w:cs="Arial"/>
                <w:color w:val="000000"/>
                <w:sz w:val="20"/>
                <w:szCs w:val="20"/>
                <w:lang w:eastAsia="en-GB"/>
              </w:rPr>
            </w:pPr>
            <w:r w:rsidRPr="00B07B94">
              <w:rPr>
                <w:rFonts w:ascii="Arial" w:hAnsi="Arial" w:cs="Arial"/>
                <w:color w:val="000000"/>
                <w:sz w:val="20"/>
                <w:szCs w:val="20"/>
                <w:lang w:eastAsia="en-GB"/>
              </w:rPr>
              <w:lastRenderedPageBreak/>
              <w:t>N/A</w:t>
            </w:r>
          </w:p>
        </w:tc>
      </w:tr>
      <w:tr w:rsidR="00450096" w:rsidRPr="00262EE5" w14:paraId="1D84B923" w14:textId="77777777" w:rsidTr="0001269D">
        <w:trPr>
          <w:trHeight w:val="617"/>
          <w:jc w:val="center"/>
        </w:trPr>
        <w:tc>
          <w:tcPr>
            <w:tcW w:w="696" w:type="pct"/>
            <w:vMerge w:val="restart"/>
            <w:tcBorders>
              <w:top w:val="single" w:sz="4" w:space="0" w:color="auto"/>
              <w:left w:val="single" w:sz="4" w:space="0" w:color="auto"/>
              <w:right w:val="single" w:sz="4" w:space="0" w:color="auto"/>
            </w:tcBorders>
            <w:vAlign w:val="center"/>
          </w:tcPr>
          <w:p w14:paraId="54831C7E" w14:textId="77777777" w:rsidR="00450096" w:rsidRPr="00262EE5" w:rsidRDefault="00450096" w:rsidP="00586ECB">
            <w:pPr>
              <w:pStyle w:val="EBBodyPara"/>
              <w:spacing w:after="0"/>
              <w:jc w:val="center"/>
              <w:rPr>
                <w:b/>
                <w:sz w:val="20"/>
                <w:szCs w:val="20"/>
              </w:rPr>
            </w:pPr>
            <w:r>
              <w:rPr>
                <w:b/>
                <w:sz w:val="20"/>
                <w:szCs w:val="20"/>
              </w:rPr>
              <w:t>Establish an Expert Panel to advi</w:t>
            </w:r>
            <w:r w:rsidR="000332A7">
              <w:rPr>
                <w:b/>
                <w:sz w:val="20"/>
                <w:szCs w:val="20"/>
              </w:rPr>
              <w:t>s</w:t>
            </w:r>
            <w:r>
              <w:rPr>
                <w:b/>
                <w:sz w:val="20"/>
                <w:szCs w:val="20"/>
              </w:rPr>
              <w:t>e on the issues involved in setting the PIDR</w:t>
            </w:r>
          </w:p>
        </w:tc>
        <w:tc>
          <w:tcPr>
            <w:tcW w:w="622" w:type="pct"/>
            <w:tcBorders>
              <w:top w:val="single" w:sz="4" w:space="0" w:color="auto"/>
              <w:left w:val="single" w:sz="4" w:space="0" w:color="auto"/>
              <w:bottom w:val="single" w:sz="4" w:space="0" w:color="auto"/>
              <w:right w:val="single" w:sz="4" w:space="0" w:color="auto"/>
            </w:tcBorders>
            <w:vAlign w:val="center"/>
          </w:tcPr>
          <w:p w14:paraId="44E8EA76" w14:textId="77777777" w:rsidR="00450096" w:rsidRPr="00262EE5" w:rsidRDefault="00450096" w:rsidP="00586ECB">
            <w:pPr>
              <w:keepNext/>
              <w:keepLines/>
              <w:spacing w:after="0"/>
              <w:outlineLvl w:val="2"/>
              <w:rPr>
                <w:rFonts w:cs="Arial"/>
                <w:i/>
                <w:snapToGrid w:val="0"/>
                <w:color w:val="000000"/>
                <w:sz w:val="20"/>
                <w:szCs w:val="20"/>
                <w:lang w:eastAsia="en-GB"/>
              </w:rPr>
            </w:pPr>
            <w:r w:rsidRPr="00262EE5">
              <w:rPr>
                <w:rFonts w:cs="Arial"/>
                <w:i/>
                <w:snapToGrid w:val="0"/>
                <w:color w:val="000000"/>
                <w:sz w:val="20"/>
                <w:szCs w:val="20"/>
                <w:lang w:eastAsia="en-GB"/>
              </w:rPr>
              <w:t>Monetised</w:t>
            </w:r>
          </w:p>
        </w:tc>
        <w:tc>
          <w:tcPr>
            <w:tcW w:w="1631" w:type="pct"/>
            <w:tcBorders>
              <w:top w:val="single" w:sz="4" w:space="0" w:color="auto"/>
              <w:left w:val="single" w:sz="4" w:space="0" w:color="auto"/>
              <w:bottom w:val="single" w:sz="4" w:space="0" w:color="auto"/>
              <w:right w:val="single" w:sz="4" w:space="0" w:color="auto"/>
            </w:tcBorders>
          </w:tcPr>
          <w:p w14:paraId="36778A42" w14:textId="77777777" w:rsidR="003B2485" w:rsidRDefault="003B2485" w:rsidP="00586ECB">
            <w:pPr>
              <w:pStyle w:val="ListParagraph"/>
              <w:numPr>
                <w:ilvl w:val="0"/>
                <w:numId w:val="4"/>
              </w:numPr>
              <w:ind w:left="303"/>
              <w:rPr>
                <w:rFonts w:cs="Arial"/>
                <w:color w:val="000000"/>
                <w:sz w:val="20"/>
                <w:szCs w:val="20"/>
                <w:lang w:eastAsia="en-GB"/>
              </w:rPr>
            </w:pPr>
            <w:r>
              <w:rPr>
                <w:rFonts w:cs="Arial"/>
                <w:color w:val="000000"/>
                <w:sz w:val="20"/>
                <w:szCs w:val="20"/>
                <w:lang w:eastAsia="en-GB"/>
              </w:rPr>
              <w:t>The costs of recruiting and supporting the expert panel are estimated to be between £76k-£86k per review.</w:t>
            </w:r>
          </w:p>
          <w:p w14:paraId="22FFD434" w14:textId="77777777" w:rsidR="003B2485" w:rsidRDefault="003B2485" w:rsidP="00586ECB">
            <w:pPr>
              <w:pStyle w:val="ListParagraph"/>
              <w:rPr>
                <w:rFonts w:cs="Arial"/>
                <w:color w:val="000000"/>
                <w:sz w:val="20"/>
                <w:szCs w:val="20"/>
                <w:lang w:eastAsia="en-GB"/>
              </w:rPr>
            </w:pPr>
          </w:p>
          <w:p w14:paraId="4B7C9AA5" w14:textId="77777777" w:rsidR="00F06141" w:rsidRPr="00262EE5" w:rsidRDefault="00F06141" w:rsidP="00586ECB">
            <w:pPr>
              <w:pStyle w:val="ListParagraph"/>
              <w:ind w:left="303"/>
              <w:rPr>
                <w:rFonts w:cs="Arial"/>
                <w:color w:val="000000"/>
                <w:sz w:val="20"/>
                <w:szCs w:val="20"/>
                <w:lang w:eastAsia="en-GB"/>
              </w:rPr>
            </w:pPr>
          </w:p>
        </w:tc>
        <w:tc>
          <w:tcPr>
            <w:tcW w:w="1553" w:type="pct"/>
            <w:tcBorders>
              <w:top w:val="single" w:sz="4" w:space="0" w:color="auto"/>
              <w:left w:val="single" w:sz="4" w:space="0" w:color="auto"/>
              <w:bottom w:val="single" w:sz="4" w:space="0" w:color="auto"/>
              <w:right w:val="single" w:sz="4" w:space="0" w:color="auto"/>
            </w:tcBorders>
          </w:tcPr>
          <w:p w14:paraId="064577EC" w14:textId="77777777" w:rsidR="00450096" w:rsidRPr="00262EE5" w:rsidRDefault="004A0D2C" w:rsidP="00586ECB">
            <w:pPr>
              <w:pStyle w:val="ListParagraph"/>
              <w:numPr>
                <w:ilvl w:val="0"/>
                <w:numId w:val="4"/>
              </w:numPr>
              <w:ind w:left="303"/>
              <w:rPr>
                <w:rFonts w:cs="Arial"/>
                <w:color w:val="000000"/>
                <w:sz w:val="20"/>
                <w:szCs w:val="20"/>
                <w:lang w:eastAsia="en-GB"/>
              </w:rPr>
            </w:pPr>
            <w:r>
              <w:rPr>
                <w:rFonts w:cs="Arial"/>
                <w:color w:val="000000"/>
                <w:sz w:val="20"/>
                <w:szCs w:val="20"/>
                <w:lang w:eastAsia="en-GB"/>
              </w:rPr>
              <w:t>None</w:t>
            </w:r>
          </w:p>
        </w:tc>
        <w:tc>
          <w:tcPr>
            <w:tcW w:w="498" w:type="pct"/>
            <w:tcBorders>
              <w:top w:val="single" w:sz="4" w:space="0" w:color="auto"/>
              <w:left w:val="single" w:sz="4" w:space="0" w:color="auto"/>
              <w:bottom w:val="single" w:sz="4" w:space="0" w:color="auto"/>
              <w:right w:val="single" w:sz="4" w:space="0" w:color="auto"/>
            </w:tcBorders>
            <w:vAlign w:val="center"/>
          </w:tcPr>
          <w:p w14:paraId="32165341" w14:textId="77777777" w:rsidR="00450096" w:rsidRPr="00B07B94" w:rsidRDefault="00F06141" w:rsidP="00586ECB">
            <w:pPr>
              <w:spacing w:after="0"/>
              <w:jc w:val="center"/>
              <w:rPr>
                <w:rFonts w:ascii="Arial" w:hAnsi="Arial" w:cs="Arial"/>
                <w:color w:val="000000"/>
                <w:sz w:val="20"/>
                <w:szCs w:val="20"/>
                <w:lang w:eastAsia="en-GB"/>
              </w:rPr>
            </w:pPr>
            <w:r>
              <w:rPr>
                <w:rFonts w:ascii="Arial" w:hAnsi="Arial" w:cs="Arial"/>
                <w:color w:val="000000"/>
                <w:sz w:val="20"/>
                <w:szCs w:val="20"/>
                <w:lang w:eastAsia="en-GB"/>
              </w:rPr>
              <w:t>c. £</w:t>
            </w:r>
            <w:r w:rsidR="003B2485">
              <w:rPr>
                <w:rFonts w:ascii="Arial" w:hAnsi="Arial" w:cs="Arial"/>
                <w:color w:val="000000"/>
                <w:sz w:val="20"/>
                <w:szCs w:val="20"/>
                <w:lang w:eastAsia="en-GB"/>
              </w:rPr>
              <w:t>76</w:t>
            </w:r>
            <w:r>
              <w:rPr>
                <w:rFonts w:ascii="Arial" w:hAnsi="Arial" w:cs="Arial"/>
                <w:color w:val="000000"/>
                <w:sz w:val="20"/>
                <w:szCs w:val="20"/>
                <w:lang w:eastAsia="en-GB"/>
              </w:rPr>
              <w:t>k-£</w:t>
            </w:r>
            <w:r w:rsidR="003B2485">
              <w:rPr>
                <w:rFonts w:ascii="Arial" w:hAnsi="Arial" w:cs="Arial"/>
                <w:color w:val="000000"/>
                <w:sz w:val="20"/>
                <w:szCs w:val="20"/>
                <w:lang w:eastAsia="en-GB"/>
              </w:rPr>
              <w:t>86</w:t>
            </w:r>
            <w:r w:rsidR="00BB73E9">
              <w:rPr>
                <w:rFonts w:ascii="Arial" w:hAnsi="Arial" w:cs="Arial"/>
                <w:color w:val="000000"/>
                <w:sz w:val="20"/>
                <w:szCs w:val="20"/>
                <w:lang w:eastAsia="en-GB"/>
              </w:rPr>
              <w:t>k per review</w:t>
            </w:r>
            <w:r w:rsidR="003B2485">
              <w:rPr>
                <w:rFonts w:ascii="Arial" w:hAnsi="Arial" w:cs="Arial"/>
                <w:color w:val="000000"/>
                <w:sz w:val="20"/>
                <w:szCs w:val="20"/>
                <w:lang w:eastAsia="en-GB"/>
              </w:rPr>
              <w:t xml:space="preserve"> with the expert panel</w:t>
            </w:r>
          </w:p>
        </w:tc>
      </w:tr>
      <w:tr w:rsidR="00450096" w:rsidRPr="00ED0EC3" w14:paraId="280A969C" w14:textId="77777777" w:rsidTr="0001269D">
        <w:trPr>
          <w:trHeight w:val="558"/>
          <w:jc w:val="center"/>
        </w:trPr>
        <w:tc>
          <w:tcPr>
            <w:tcW w:w="696" w:type="pct"/>
            <w:vMerge/>
            <w:tcBorders>
              <w:left w:val="single" w:sz="4" w:space="0" w:color="auto"/>
              <w:bottom w:val="single" w:sz="4" w:space="0" w:color="auto"/>
              <w:right w:val="single" w:sz="4" w:space="0" w:color="auto"/>
            </w:tcBorders>
            <w:vAlign w:val="center"/>
          </w:tcPr>
          <w:p w14:paraId="07BF2300" w14:textId="77777777" w:rsidR="00450096" w:rsidRPr="00262EE5" w:rsidRDefault="00450096" w:rsidP="00586ECB">
            <w:pPr>
              <w:pStyle w:val="EBBodyPara"/>
              <w:spacing w:after="0"/>
              <w:jc w:val="center"/>
              <w:rPr>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AAE5BB7" w14:textId="77777777" w:rsidR="00450096" w:rsidRPr="00262EE5" w:rsidRDefault="00450096" w:rsidP="00586ECB">
            <w:pPr>
              <w:keepNext/>
              <w:keepLines/>
              <w:spacing w:after="0"/>
              <w:outlineLvl w:val="2"/>
              <w:rPr>
                <w:rFonts w:cs="Arial"/>
                <w:i/>
                <w:snapToGrid w:val="0"/>
                <w:color w:val="000000"/>
                <w:sz w:val="20"/>
                <w:szCs w:val="20"/>
                <w:lang w:eastAsia="en-GB"/>
              </w:rPr>
            </w:pPr>
            <w:r w:rsidRPr="00262EE5">
              <w:rPr>
                <w:rFonts w:cs="Arial"/>
                <w:i/>
                <w:snapToGrid w:val="0"/>
                <w:color w:val="000000"/>
                <w:sz w:val="20"/>
                <w:szCs w:val="20"/>
                <w:lang w:eastAsia="en-GB"/>
              </w:rPr>
              <w:t>Non-Monetised</w:t>
            </w:r>
          </w:p>
        </w:tc>
        <w:tc>
          <w:tcPr>
            <w:tcW w:w="1631" w:type="pct"/>
            <w:tcBorders>
              <w:top w:val="single" w:sz="4" w:space="0" w:color="auto"/>
              <w:left w:val="single" w:sz="4" w:space="0" w:color="auto"/>
              <w:bottom w:val="single" w:sz="4" w:space="0" w:color="auto"/>
              <w:right w:val="single" w:sz="4" w:space="0" w:color="auto"/>
            </w:tcBorders>
          </w:tcPr>
          <w:p w14:paraId="1E015579" w14:textId="77777777" w:rsidR="00450096" w:rsidRPr="00B07B94" w:rsidRDefault="00F06141" w:rsidP="00586ECB">
            <w:pPr>
              <w:numPr>
                <w:ilvl w:val="0"/>
                <w:numId w:val="12"/>
              </w:numPr>
              <w:spacing w:after="0" w:line="240" w:lineRule="auto"/>
              <w:ind w:left="303"/>
              <w:rPr>
                <w:rFonts w:ascii="Arial" w:hAnsi="Arial" w:cs="Arial"/>
                <w:color w:val="000000"/>
                <w:sz w:val="20"/>
                <w:szCs w:val="20"/>
                <w:lang w:eastAsia="en-GB"/>
              </w:rPr>
            </w:pPr>
            <w:r>
              <w:rPr>
                <w:rFonts w:ascii="Arial" w:hAnsi="Arial" w:cs="Arial"/>
                <w:color w:val="000000"/>
                <w:sz w:val="20"/>
                <w:szCs w:val="20"/>
                <w:lang w:eastAsia="en-GB"/>
              </w:rPr>
              <w:t>None</w:t>
            </w:r>
            <w:r w:rsidR="00B8010D" w:rsidRPr="00B07B94">
              <w:rPr>
                <w:rFonts w:ascii="Arial" w:hAnsi="Arial" w:cs="Arial"/>
                <w:color w:val="000000"/>
                <w:sz w:val="20"/>
                <w:szCs w:val="20"/>
                <w:lang w:eastAsia="en-GB"/>
              </w:rPr>
              <w:t>.</w:t>
            </w:r>
          </w:p>
        </w:tc>
        <w:tc>
          <w:tcPr>
            <w:tcW w:w="1553" w:type="pct"/>
            <w:tcBorders>
              <w:top w:val="single" w:sz="4" w:space="0" w:color="auto"/>
              <w:left w:val="single" w:sz="4" w:space="0" w:color="auto"/>
              <w:bottom w:val="single" w:sz="4" w:space="0" w:color="auto"/>
              <w:right w:val="single" w:sz="4" w:space="0" w:color="auto"/>
            </w:tcBorders>
          </w:tcPr>
          <w:p w14:paraId="3438BC34" w14:textId="77777777" w:rsidR="00450096" w:rsidRPr="00B07B94" w:rsidRDefault="00B8010D" w:rsidP="00586ECB">
            <w:pPr>
              <w:numPr>
                <w:ilvl w:val="0"/>
                <w:numId w:val="12"/>
              </w:numPr>
              <w:spacing w:after="0"/>
              <w:ind w:left="303"/>
              <w:rPr>
                <w:rFonts w:ascii="Arial" w:hAnsi="Arial" w:cs="Arial"/>
                <w:color w:val="000000"/>
                <w:sz w:val="20"/>
                <w:szCs w:val="20"/>
                <w:lang w:eastAsia="en-GB"/>
              </w:rPr>
            </w:pPr>
            <w:r w:rsidRPr="00B07B94">
              <w:rPr>
                <w:rFonts w:ascii="Arial" w:hAnsi="Arial" w:cs="Arial"/>
                <w:color w:val="000000"/>
                <w:sz w:val="20"/>
                <w:szCs w:val="20"/>
                <w:lang w:eastAsia="en-GB"/>
              </w:rPr>
              <w:t>Society will benefit from the additional expertise available to set the PIDR</w:t>
            </w:r>
          </w:p>
        </w:tc>
        <w:tc>
          <w:tcPr>
            <w:tcW w:w="498" w:type="pct"/>
            <w:tcBorders>
              <w:top w:val="single" w:sz="4" w:space="0" w:color="auto"/>
              <w:left w:val="single" w:sz="4" w:space="0" w:color="auto"/>
              <w:bottom w:val="single" w:sz="4" w:space="0" w:color="auto"/>
              <w:right w:val="single" w:sz="4" w:space="0" w:color="auto"/>
            </w:tcBorders>
            <w:vAlign w:val="center"/>
          </w:tcPr>
          <w:p w14:paraId="7F98E809" w14:textId="77777777" w:rsidR="00450096" w:rsidRPr="00B07B94" w:rsidRDefault="008471ED" w:rsidP="00586ECB">
            <w:pPr>
              <w:spacing w:after="0"/>
              <w:jc w:val="center"/>
              <w:rPr>
                <w:rFonts w:ascii="Arial" w:hAnsi="Arial" w:cs="Arial"/>
                <w:color w:val="000000"/>
                <w:sz w:val="20"/>
                <w:szCs w:val="20"/>
                <w:lang w:eastAsia="en-GB"/>
              </w:rPr>
            </w:pPr>
            <w:r>
              <w:rPr>
                <w:rFonts w:ascii="Arial" w:hAnsi="Arial" w:cs="Arial"/>
                <w:color w:val="000000"/>
                <w:sz w:val="20"/>
                <w:szCs w:val="20"/>
                <w:lang w:eastAsia="en-GB"/>
              </w:rPr>
              <w:t>N/A</w:t>
            </w:r>
          </w:p>
        </w:tc>
      </w:tr>
      <w:tr w:rsidR="00450096" w:rsidRPr="00262EE5" w14:paraId="503E365E" w14:textId="77777777" w:rsidTr="0001269D">
        <w:trPr>
          <w:trHeight w:val="355"/>
          <w:jc w:val="center"/>
        </w:trPr>
        <w:tc>
          <w:tcPr>
            <w:tcW w:w="696" w:type="pct"/>
            <w:tcBorders>
              <w:top w:val="single" w:sz="4" w:space="0" w:color="auto"/>
              <w:left w:val="single" w:sz="4" w:space="0" w:color="auto"/>
              <w:bottom w:val="single" w:sz="4" w:space="0" w:color="auto"/>
              <w:right w:val="single" w:sz="4" w:space="0" w:color="auto"/>
            </w:tcBorders>
            <w:vAlign w:val="center"/>
          </w:tcPr>
          <w:p w14:paraId="3940A388" w14:textId="77777777" w:rsidR="00450096" w:rsidRPr="00262EE5" w:rsidRDefault="00450096" w:rsidP="00586ECB">
            <w:pPr>
              <w:pStyle w:val="EBBodyPara"/>
              <w:spacing w:after="0"/>
              <w:jc w:val="center"/>
              <w:rPr>
                <w:b/>
                <w:sz w:val="20"/>
                <w:szCs w:val="20"/>
              </w:rPr>
            </w:pPr>
            <w:r w:rsidRPr="00262EE5">
              <w:rPr>
                <w:b/>
                <w:sz w:val="20"/>
                <w:szCs w:val="20"/>
              </w:rPr>
              <w:t>Net Impact</w:t>
            </w:r>
          </w:p>
        </w:tc>
        <w:tc>
          <w:tcPr>
            <w:tcW w:w="622" w:type="pct"/>
            <w:tcBorders>
              <w:top w:val="single" w:sz="4" w:space="0" w:color="auto"/>
              <w:left w:val="single" w:sz="4" w:space="0" w:color="auto"/>
              <w:bottom w:val="single" w:sz="4" w:space="0" w:color="auto"/>
              <w:right w:val="single" w:sz="4" w:space="0" w:color="auto"/>
            </w:tcBorders>
            <w:vAlign w:val="center"/>
          </w:tcPr>
          <w:p w14:paraId="7FCE6F78" w14:textId="77777777" w:rsidR="00450096" w:rsidRPr="00262EE5" w:rsidRDefault="00450096" w:rsidP="00586ECB">
            <w:pPr>
              <w:keepNext/>
              <w:keepLines/>
              <w:spacing w:after="0"/>
              <w:outlineLvl w:val="2"/>
              <w:rPr>
                <w:rFonts w:cs="Arial"/>
                <w:i/>
                <w:snapToGrid w:val="0"/>
                <w:color w:val="000000"/>
                <w:sz w:val="20"/>
                <w:szCs w:val="20"/>
                <w:lang w:eastAsia="en-GB"/>
              </w:rPr>
            </w:pPr>
            <w:r w:rsidRPr="00262EE5">
              <w:rPr>
                <w:rFonts w:cs="Arial"/>
                <w:i/>
                <w:snapToGrid w:val="0"/>
                <w:color w:val="000000"/>
                <w:sz w:val="20"/>
                <w:szCs w:val="20"/>
                <w:lang w:eastAsia="en-GB"/>
              </w:rPr>
              <w:t>Monetised</w:t>
            </w:r>
          </w:p>
        </w:tc>
        <w:tc>
          <w:tcPr>
            <w:tcW w:w="1631" w:type="pct"/>
            <w:tcBorders>
              <w:top w:val="single" w:sz="4" w:space="0" w:color="auto"/>
              <w:left w:val="single" w:sz="4" w:space="0" w:color="auto"/>
              <w:bottom w:val="single" w:sz="4" w:space="0" w:color="auto"/>
              <w:right w:val="single" w:sz="4" w:space="0" w:color="auto"/>
            </w:tcBorders>
            <w:vAlign w:val="center"/>
          </w:tcPr>
          <w:p w14:paraId="2D975158" w14:textId="77777777" w:rsidR="00450096" w:rsidRPr="00DC19A6" w:rsidRDefault="00BB73E9" w:rsidP="00586ECB">
            <w:pPr>
              <w:spacing w:after="0"/>
              <w:jc w:val="center"/>
              <w:rPr>
                <w:rFonts w:cs="Arial"/>
                <w:b/>
                <w:color w:val="000000"/>
                <w:sz w:val="20"/>
                <w:szCs w:val="20"/>
                <w:lang w:eastAsia="en-GB"/>
              </w:rPr>
            </w:pPr>
            <w:r>
              <w:rPr>
                <w:rFonts w:cs="Arial"/>
                <w:b/>
                <w:color w:val="000000"/>
                <w:sz w:val="20"/>
                <w:szCs w:val="20"/>
                <w:lang w:eastAsia="en-GB"/>
              </w:rPr>
              <w:t>c.£3</w:t>
            </w:r>
            <w:r w:rsidR="003B2485">
              <w:rPr>
                <w:rFonts w:cs="Arial"/>
                <w:b/>
                <w:color w:val="000000"/>
                <w:sz w:val="20"/>
                <w:szCs w:val="20"/>
                <w:lang w:eastAsia="en-GB"/>
              </w:rPr>
              <w:t>62</w:t>
            </w:r>
            <w:r>
              <w:rPr>
                <w:rFonts w:cs="Arial"/>
                <w:b/>
                <w:color w:val="000000"/>
                <w:sz w:val="20"/>
                <w:szCs w:val="20"/>
                <w:lang w:eastAsia="en-GB"/>
              </w:rPr>
              <w:t>k-£4</w:t>
            </w:r>
            <w:r w:rsidR="003B2485">
              <w:rPr>
                <w:rFonts w:cs="Arial"/>
                <w:b/>
                <w:color w:val="000000"/>
                <w:sz w:val="20"/>
                <w:szCs w:val="20"/>
                <w:lang w:eastAsia="en-GB"/>
              </w:rPr>
              <w:t>41</w:t>
            </w:r>
            <w:r>
              <w:rPr>
                <w:rFonts w:cs="Arial"/>
                <w:b/>
                <w:color w:val="000000"/>
                <w:sz w:val="20"/>
                <w:szCs w:val="20"/>
                <w:lang w:eastAsia="en-GB"/>
              </w:rPr>
              <w:t>k per review</w:t>
            </w:r>
            <w:r w:rsidR="003B2485">
              <w:rPr>
                <w:rFonts w:cs="Arial"/>
                <w:b/>
                <w:color w:val="000000"/>
                <w:sz w:val="20"/>
                <w:szCs w:val="20"/>
                <w:lang w:eastAsia="en-GB"/>
              </w:rPr>
              <w:t xml:space="preserve"> with an expert panel</w:t>
            </w:r>
          </w:p>
        </w:tc>
        <w:tc>
          <w:tcPr>
            <w:tcW w:w="1553" w:type="pct"/>
            <w:tcBorders>
              <w:top w:val="single" w:sz="4" w:space="0" w:color="auto"/>
              <w:left w:val="single" w:sz="4" w:space="0" w:color="auto"/>
              <w:bottom w:val="single" w:sz="4" w:space="0" w:color="auto"/>
              <w:right w:val="single" w:sz="4" w:space="0" w:color="auto"/>
            </w:tcBorders>
            <w:vAlign w:val="center"/>
          </w:tcPr>
          <w:p w14:paraId="21187576" w14:textId="77777777" w:rsidR="00450096" w:rsidRPr="00DC19A6" w:rsidRDefault="004A0D2C" w:rsidP="00586ECB">
            <w:pPr>
              <w:spacing w:after="0"/>
              <w:jc w:val="center"/>
              <w:rPr>
                <w:rFonts w:cs="Arial"/>
                <w:b/>
                <w:color w:val="000000"/>
                <w:sz w:val="20"/>
                <w:szCs w:val="20"/>
                <w:lang w:eastAsia="en-GB"/>
              </w:rPr>
            </w:pPr>
            <w:r>
              <w:rPr>
                <w:rFonts w:cs="Arial"/>
                <w:b/>
                <w:color w:val="000000"/>
                <w:sz w:val="20"/>
                <w:szCs w:val="20"/>
                <w:lang w:eastAsia="en-GB"/>
              </w:rPr>
              <w:t>N/A</w:t>
            </w:r>
          </w:p>
        </w:tc>
        <w:tc>
          <w:tcPr>
            <w:tcW w:w="498" w:type="pct"/>
            <w:tcBorders>
              <w:top w:val="single" w:sz="4" w:space="0" w:color="auto"/>
              <w:left w:val="single" w:sz="4" w:space="0" w:color="auto"/>
              <w:bottom w:val="single" w:sz="4" w:space="0" w:color="auto"/>
              <w:right w:val="single" w:sz="4" w:space="0" w:color="auto"/>
            </w:tcBorders>
            <w:vAlign w:val="center"/>
          </w:tcPr>
          <w:p w14:paraId="425EF733" w14:textId="77777777" w:rsidR="00450096" w:rsidRPr="00262EE5" w:rsidRDefault="00BB73E9" w:rsidP="00586ECB">
            <w:pPr>
              <w:spacing w:after="0"/>
              <w:jc w:val="center"/>
              <w:rPr>
                <w:rFonts w:cs="Arial"/>
                <w:b/>
                <w:color w:val="000000"/>
                <w:sz w:val="20"/>
                <w:szCs w:val="20"/>
                <w:lang w:eastAsia="en-GB"/>
              </w:rPr>
            </w:pPr>
            <w:r>
              <w:rPr>
                <w:rFonts w:cs="Arial"/>
                <w:b/>
                <w:color w:val="000000"/>
                <w:sz w:val="20"/>
                <w:szCs w:val="20"/>
                <w:lang w:eastAsia="en-GB"/>
              </w:rPr>
              <w:t>c£</w:t>
            </w:r>
            <w:r w:rsidR="003B2485">
              <w:rPr>
                <w:rFonts w:cs="Arial"/>
                <w:b/>
                <w:color w:val="000000"/>
                <w:sz w:val="20"/>
                <w:szCs w:val="20"/>
                <w:lang w:eastAsia="en-GB"/>
              </w:rPr>
              <w:t>362</w:t>
            </w:r>
            <w:r>
              <w:rPr>
                <w:rFonts w:cs="Arial"/>
                <w:b/>
                <w:color w:val="000000"/>
                <w:sz w:val="20"/>
                <w:szCs w:val="20"/>
                <w:lang w:eastAsia="en-GB"/>
              </w:rPr>
              <w:t>k-£4</w:t>
            </w:r>
            <w:r w:rsidR="003B2485">
              <w:rPr>
                <w:rFonts w:cs="Arial"/>
                <w:b/>
                <w:color w:val="000000"/>
                <w:sz w:val="20"/>
                <w:szCs w:val="20"/>
                <w:lang w:eastAsia="en-GB"/>
              </w:rPr>
              <w:t>441</w:t>
            </w:r>
            <w:r>
              <w:rPr>
                <w:rFonts w:cs="Arial"/>
                <w:b/>
                <w:color w:val="000000"/>
                <w:sz w:val="20"/>
                <w:szCs w:val="20"/>
                <w:lang w:eastAsia="en-GB"/>
              </w:rPr>
              <w:t>k per review</w:t>
            </w:r>
            <w:r w:rsidR="003B2485">
              <w:rPr>
                <w:rFonts w:cs="Arial"/>
                <w:b/>
                <w:color w:val="000000"/>
                <w:sz w:val="20"/>
                <w:szCs w:val="20"/>
                <w:lang w:eastAsia="en-GB"/>
              </w:rPr>
              <w:t xml:space="preserve"> with an expert panel</w:t>
            </w:r>
          </w:p>
        </w:tc>
      </w:tr>
    </w:tbl>
    <w:p w14:paraId="7DB8A1FD" w14:textId="77777777" w:rsidR="00450096" w:rsidRDefault="00450096" w:rsidP="00B07B94">
      <w:pPr>
        <w:pStyle w:val="ListParagraph"/>
        <w:ind w:left="0"/>
        <w:contextualSpacing/>
        <w:rPr>
          <w:rFonts w:ascii="Calibri" w:hAnsi="Calibri"/>
          <w:color w:val="1F497D"/>
          <w:sz w:val="22"/>
          <w:szCs w:val="22"/>
        </w:rPr>
      </w:pPr>
    </w:p>
    <w:p w14:paraId="2F2B720E" w14:textId="77777777" w:rsidR="0046783F" w:rsidRDefault="0046783F" w:rsidP="00586ECB">
      <w:pPr>
        <w:spacing w:after="0" w:line="280" w:lineRule="atLeast"/>
        <w:jc w:val="both"/>
        <w:rPr>
          <w:rFonts w:ascii="Arial" w:hAnsi="Arial" w:cs="Arial"/>
          <w:b/>
        </w:rPr>
      </w:pPr>
      <w:r w:rsidRPr="006A77D2">
        <w:rPr>
          <w:rFonts w:ascii="Arial" w:hAnsi="Arial" w:cs="Arial"/>
          <w:b/>
        </w:rPr>
        <w:t xml:space="preserve">Net Impact: </w:t>
      </w:r>
      <w:r>
        <w:rPr>
          <w:rFonts w:ascii="Arial" w:hAnsi="Arial" w:cs="Arial"/>
          <w:b/>
        </w:rPr>
        <w:t>Requirement for insurers to report on savings passed to consumers</w:t>
      </w:r>
    </w:p>
    <w:p w14:paraId="30C34267" w14:textId="77777777" w:rsidR="0046783F" w:rsidRPr="00B07B94" w:rsidRDefault="0046783F" w:rsidP="0046783F">
      <w:pPr>
        <w:pStyle w:val="ListParagraph"/>
        <w:numPr>
          <w:ilvl w:val="0"/>
          <w:numId w:val="10"/>
        </w:numPr>
        <w:spacing w:after="240" w:line="280" w:lineRule="atLeast"/>
        <w:contextualSpacing/>
        <w:rPr>
          <w:rFonts w:ascii="Calibri" w:hAnsi="Calibri"/>
          <w:color w:val="1F497D"/>
          <w:sz w:val="22"/>
          <w:szCs w:val="22"/>
        </w:rPr>
      </w:pPr>
      <w:r>
        <w:rPr>
          <w:sz w:val="22"/>
          <w:szCs w:val="22"/>
        </w:rPr>
        <w:t>Table 3 summarises the net impact of the legislative measures concerning the requirement for insurers to report to the FCA about the effects of the Bill on customers.</w:t>
      </w:r>
      <w:r w:rsidRPr="00B21EB8">
        <w:rPr>
          <w:sz w:val="22"/>
          <w:szCs w:val="22"/>
        </w:rPr>
        <w:t xml:space="preserve"> </w:t>
      </w:r>
    </w:p>
    <w:p w14:paraId="4DD72F8D" w14:textId="77777777" w:rsidR="0046783F" w:rsidRDefault="0046783F" w:rsidP="0046783F">
      <w:pPr>
        <w:pStyle w:val="ListParagraph"/>
        <w:ind w:left="0"/>
        <w:contextualSpacing/>
        <w:rPr>
          <w:sz w:val="22"/>
          <w:szCs w:val="22"/>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128"/>
        <w:gridCol w:w="2634"/>
        <w:gridCol w:w="2754"/>
        <w:gridCol w:w="1110"/>
      </w:tblGrid>
      <w:tr w:rsidR="0046783F" w:rsidRPr="0037777F" w14:paraId="0E674C74" w14:textId="77777777" w:rsidTr="0046783F">
        <w:trPr>
          <w:jc w:val="center"/>
        </w:trPr>
        <w:tc>
          <w:tcPr>
            <w:tcW w:w="5000" w:type="pct"/>
            <w:gridSpan w:val="5"/>
            <w:shd w:val="clear" w:color="auto" w:fill="000000"/>
            <w:vAlign w:val="center"/>
          </w:tcPr>
          <w:p w14:paraId="53480EA9" w14:textId="77777777" w:rsidR="0046783F" w:rsidRPr="0037777F" w:rsidRDefault="0046783F" w:rsidP="0046783F">
            <w:pPr>
              <w:pStyle w:val="EBBodyPara"/>
              <w:jc w:val="center"/>
            </w:pPr>
            <w:r>
              <w:rPr>
                <w:b/>
                <w:snapToGrid w:val="0"/>
                <w:color w:val="FFFFFF"/>
              </w:rPr>
              <w:t>Table 3: Summary of Main Impacts, Best Estimates, Insurer Reporting</w:t>
            </w:r>
          </w:p>
        </w:tc>
      </w:tr>
      <w:tr w:rsidR="0046783F" w:rsidRPr="00262EE5" w14:paraId="403F690B" w14:textId="77777777" w:rsidTr="0046783F">
        <w:trPr>
          <w:jc w:val="center"/>
        </w:trPr>
        <w:tc>
          <w:tcPr>
            <w:tcW w:w="1440" w:type="pct"/>
            <w:gridSpan w:val="2"/>
            <w:vAlign w:val="center"/>
          </w:tcPr>
          <w:p w14:paraId="2BECB690" w14:textId="77777777" w:rsidR="0046783F" w:rsidRPr="00262EE5" w:rsidRDefault="0046783F" w:rsidP="0046783F">
            <w:pPr>
              <w:pStyle w:val="EBBodyPara"/>
              <w:spacing w:after="0"/>
              <w:jc w:val="center"/>
              <w:rPr>
                <w:sz w:val="20"/>
                <w:szCs w:val="20"/>
              </w:rPr>
            </w:pPr>
          </w:p>
        </w:tc>
        <w:tc>
          <w:tcPr>
            <w:tcW w:w="1443" w:type="pct"/>
            <w:vAlign w:val="center"/>
          </w:tcPr>
          <w:p w14:paraId="33248389" w14:textId="77777777" w:rsidR="0046783F" w:rsidRPr="00262EE5" w:rsidRDefault="0046783F" w:rsidP="0046783F">
            <w:pPr>
              <w:jc w:val="center"/>
              <w:rPr>
                <w:rFonts w:cs="Arial"/>
                <w:b/>
                <w:color w:val="000000"/>
                <w:sz w:val="20"/>
                <w:szCs w:val="20"/>
                <w:lang w:eastAsia="en-GB"/>
              </w:rPr>
            </w:pPr>
            <w:r w:rsidRPr="00262EE5">
              <w:rPr>
                <w:rFonts w:cs="Arial"/>
                <w:b/>
                <w:snapToGrid w:val="0"/>
                <w:color w:val="000000"/>
                <w:sz w:val="20"/>
                <w:szCs w:val="20"/>
                <w:lang w:eastAsia="en-GB"/>
              </w:rPr>
              <w:t>Costs</w:t>
            </w:r>
          </w:p>
        </w:tc>
        <w:tc>
          <w:tcPr>
            <w:tcW w:w="1509" w:type="pct"/>
            <w:vAlign w:val="center"/>
          </w:tcPr>
          <w:p w14:paraId="1AD6F4B7" w14:textId="77777777" w:rsidR="0046783F" w:rsidRPr="00262EE5" w:rsidRDefault="0046783F" w:rsidP="0046783F">
            <w:pPr>
              <w:jc w:val="center"/>
              <w:rPr>
                <w:rFonts w:cs="Arial"/>
                <w:b/>
                <w:color w:val="000000"/>
                <w:sz w:val="20"/>
                <w:szCs w:val="20"/>
                <w:lang w:eastAsia="en-GB"/>
              </w:rPr>
            </w:pPr>
            <w:r w:rsidRPr="00262EE5">
              <w:rPr>
                <w:rFonts w:cs="Arial"/>
                <w:b/>
                <w:snapToGrid w:val="0"/>
                <w:color w:val="000000"/>
                <w:sz w:val="20"/>
                <w:szCs w:val="20"/>
                <w:lang w:eastAsia="en-GB"/>
              </w:rPr>
              <w:t>Benefits</w:t>
            </w:r>
          </w:p>
        </w:tc>
        <w:tc>
          <w:tcPr>
            <w:tcW w:w="608" w:type="pct"/>
            <w:vAlign w:val="center"/>
          </w:tcPr>
          <w:p w14:paraId="4376D112" w14:textId="77777777" w:rsidR="0046783F" w:rsidRPr="00262EE5" w:rsidRDefault="0046783F" w:rsidP="0046783F">
            <w:pPr>
              <w:jc w:val="center"/>
              <w:rPr>
                <w:rFonts w:cs="Arial"/>
                <w:b/>
                <w:color w:val="000000"/>
                <w:sz w:val="20"/>
                <w:szCs w:val="20"/>
                <w:lang w:eastAsia="en-GB"/>
              </w:rPr>
            </w:pPr>
            <w:r w:rsidRPr="00262EE5">
              <w:rPr>
                <w:rFonts w:cs="Arial"/>
                <w:b/>
                <w:snapToGrid w:val="0"/>
                <w:color w:val="000000"/>
                <w:sz w:val="20"/>
                <w:szCs w:val="20"/>
                <w:lang w:eastAsia="en-GB"/>
              </w:rPr>
              <w:t>NPV</w:t>
            </w:r>
          </w:p>
        </w:tc>
      </w:tr>
      <w:tr w:rsidR="000C1846" w:rsidRPr="00262EE5" w14:paraId="5014C5C3" w14:textId="77777777" w:rsidTr="00696B1B">
        <w:trPr>
          <w:trHeight w:val="2038"/>
          <w:jc w:val="center"/>
        </w:trPr>
        <w:tc>
          <w:tcPr>
            <w:tcW w:w="822" w:type="pct"/>
            <w:vAlign w:val="center"/>
          </w:tcPr>
          <w:p w14:paraId="5BADAC1A" w14:textId="77777777" w:rsidR="000C1846" w:rsidRPr="00B07B94" w:rsidRDefault="000C1846" w:rsidP="0046783F">
            <w:pPr>
              <w:jc w:val="center"/>
              <w:rPr>
                <w:rFonts w:ascii="Arial" w:hAnsi="Arial" w:cs="Arial"/>
                <w:b/>
                <w:sz w:val="20"/>
                <w:szCs w:val="20"/>
              </w:rPr>
            </w:pPr>
          </w:p>
          <w:p w14:paraId="30B04ADF" w14:textId="77777777" w:rsidR="000C1846" w:rsidRPr="00B07B94" w:rsidRDefault="000C1846" w:rsidP="0046783F">
            <w:pPr>
              <w:jc w:val="center"/>
              <w:rPr>
                <w:rFonts w:ascii="Arial" w:hAnsi="Arial" w:cs="Arial"/>
                <w:b/>
                <w:sz w:val="20"/>
                <w:szCs w:val="20"/>
              </w:rPr>
            </w:pPr>
            <w:r>
              <w:rPr>
                <w:rFonts w:ascii="Arial" w:hAnsi="Arial" w:cs="Arial"/>
                <w:b/>
                <w:sz w:val="20"/>
                <w:szCs w:val="20"/>
              </w:rPr>
              <w:t xml:space="preserve">Requiring insurers to report to the FCA on impact of the Bill </w:t>
            </w:r>
          </w:p>
          <w:p w14:paraId="7635164A" w14:textId="77777777" w:rsidR="000C1846" w:rsidRPr="00B07B94" w:rsidRDefault="000C1846" w:rsidP="0046783F">
            <w:pPr>
              <w:jc w:val="center"/>
              <w:rPr>
                <w:rFonts w:ascii="Arial" w:hAnsi="Arial" w:cs="Arial"/>
                <w:sz w:val="20"/>
                <w:szCs w:val="20"/>
              </w:rPr>
            </w:pPr>
          </w:p>
        </w:tc>
        <w:tc>
          <w:tcPr>
            <w:tcW w:w="618" w:type="pct"/>
            <w:vAlign w:val="center"/>
          </w:tcPr>
          <w:p w14:paraId="6DA50772" w14:textId="77777777" w:rsidR="000C1846" w:rsidRPr="00262EE5" w:rsidRDefault="000C1846" w:rsidP="0046783F">
            <w:pPr>
              <w:rPr>
                <w:rFonts w:cs="Arial"/>
                <w:i/>
                <w:color w:val="000000"/>
                <w:sz w:val="20"/>
                <w:szCs w:val="20"/>
                <w:lang w:eastAsia="en-GB"/>
              </w:rPr>
            </w:pPr>
            <w:r>
              <w:rPr>
                <w:rFonts w:cs="Arial"/>
                <w:i/>
                <w:iCs/>
                <w:sz w:val="20"/>
                <w:szCs w:val="20"/>
                <w:lang w:eastAsia="en-GB"/>
              </w:rPr>
              <w:t>Non-m</w:t>
            </w:r>
            <w:r w:rsidRPr="00262EE5">
              <w:rPr>
                <w:rFonts w:cs="Arial"/>
                <w:i/>
                <w:iCs/>
                <w:sz w:val="20"/>
                <w:szCs w:val="20"/>
                <w:lang w:eastAsia="en-GB"/>
              </w:rPr>
              <w:t>onetised</w:t>
            </w:r>
          </w:p>
        </w:tc>
        <w:tc>
          <w:tcPr>
            <w:tcW w:w="1443" w:type="pct"/>
            <w:vAlign w:val="center"/>
          </w:tcPr>
          <w:p w14:paraId="6F1B9646" w14:textId="77777777" w:rsidR="000C1846" w:rsidRDefault="000C1846" w:rsidP="0046783F">
            <w:pPr>
              <w:pStyle w:val="ListParagraph"/>
              <w:numPr>
                <w:ilvl w:val="2"/>
                <w:numId w:val="4"/>
              </w:numPr>
              <w:ind w:left="303"/>
              <w:contextualSpacing/>
              <w:rPr>
                <w:rFonts w:cs="Arial"/>
                <w:color w:val="000000"/>
                <w:sz w:val="20"/>
                <w:szCs w:val="20"/>
                <w:lang w:eastAsia="en-GB"/>
              </w:rPr>
            </w:pPr>
            <w:r>
              <w:rPr>
                <w:rFonts w:cs="Arial"/>
                <w:color w:val="000000"/>
                <w:sz w:val="20"/>
                <w:szCs w:val="20"/>
                <w:lang w:eastAsia="en-GB"/>
              </w:rPr>
              <w:t>There will be costs to firms for complying.</w:t>
            </w:r>
            <w:r w:rsidR="002031E7">
              <w:rPr>
                <w:rFonts w:cs="Arial"/>
                <w:color w:val="000000"/>
                <w:sz w:val="20"/>
                <w:szCs w:val="20"/>
                <w:lang w:eastAsia="en-GB"/>
              </w:rPr>
              <w:t xml:space="preserve"> These costs cannot be monetised at this stage as exact requirements are yet to be determined by secondary legislation. </w:t>
            </w:r>
          </w:p>
          <w:p w14:paraId="720A19F6" w14:textId="183089A2" w:rsidR="000C1846" w:rsidRPr="0028549F" w:rsidRDefault="00C206DD" w:rsidP="00C206DD">
            <w:pPr>
              <w:pStyle w:val="ListParagraph"/>
              <w:numPr>
                <w:ilvl w:val="2"/>
                <w:numId w:val="4"/>
              </w:numPr>
              <w:ind w:left="303"/>
              <w:contextualSpacing/>
              <w:rPr>
                <w:rFonts w:cs="Arial"/>
                <w:color w:val="000000"/>
                <w:sz w:val="20"/>
                <w:szCs w:val="20"/>
                <w:lang w:eastAsia="en-GB"/>
              </w:rPr>
            </w:pPr>
            <w:r>
              <w:rPr>
                <w:rFonts w:cs="Arial"/>
                <w:color w:val="000000"/>
                <w:sz w:val="20"/>
                <w:szCs w:val="20"/>
                <w:lang w:eastAsia="en-GB"/>
              </w:rPr>
              <w:t>Firms may incur additional costs for auditing, as required by secondary legislation. A full estimate of these costs will be included in a further impact assessment</w:t>
            </w:r>
            <w:r w:rsidR="00904F1B">
              <w:rPr>
                <w:rFonts w:cs="Arial"/>
                <w:color w:val="000000"/>
                <w:sz w:val="20"/>
                <w:szCs w:val="20"/>
                <w:lang w:eastAsia="en-GB"/>
              </w:rPr>
              <w:t xml:space="preserve"> associated with secondary legislation.</w:t>
            </w:r>
          </w:p>
        </w:tc>
        <w:tc>
          <w:tcPr>
            <w:tcW w:w="1509" w:type="pct"/>
          </w:tcPr>
          <w:p w14:paraId="0892DC78" w14:textId="191CBA03" w:rsidR="000C1846" w:rsidRPr="00262EE5" w:rsidRDefault="00C206DD" w:rsidP="0046783F">
            <w:pPr>
              <w:pStyle w:val="ListParagraph"/>
              <w:numPr>
                <w:ilvl w:val="0"/>
                <w:numId w:val="4"/>
              </w:numPr>
              <w:ind w:left="303"/>
              <w:contextualSpacing/>
              <w:rPr>
                <w:rFonts w:cs="Arial"/>
                <w:color w:val="000000"/>
                <w:sz w:val="20"/>
                <w:szCs w:val="20"/>
                <w:lang w:eastAsia="en-GB"/>
              </w:rPr>
            </w:pPr>
            <w:r w:rsidRPr="0028549F">
              <w:rPr>
                <w:rFonts w:cs="Arial"/>
                <w:color w:val="000000"/>
                <w:sz w:val="20"/>
                <w:szCs w:val="20"/>
                <w:lang w:eastAsia="en-GB"/>
              </w:rPr>
              <w:t>Legislative reporting requirements will strengthen incentive for insurers to pass on benefits to policy holders</w:t>
            </w:r>
            <w:r>
              <w:rPr>
                <w:rFonts w:cs="Arial"/>
                <w:color w:val="000000"/>
                <w:sz w:val="20"/>
                <w:szCs w:val="20"/>
                <w:lang w:eastAsia="en-GB"/>
              </w:rPr>
              <w:t xml:space="preserve">. This may result in a reduction in premium costs for policy holders. </w:t>
            </w:r>
          </w:p>
        </w:tc>
        <w:tc>
          <w:tcPr>
            <w:tcW w:w="608" w:type="pct"/>
            <w:vAlign w:val="center"/>
          </w:tcPr>
          <w:p w14:paraId="0520A2DE" w14:textId="77777777" w:rsidR="000C1846" w:rsidRPr="00262EE5" w:rsidRDefault="000C1846" w:rsidP="0046783F">
            <w:pPr>
              <w:jc w:val="center"/>
              <w:rPr>
                <w:rFonts w:cs="Arial"/>
                <w:color w:val="000000"/>
                <w:sz w:val="20"/>
                <w:szCs w:val="20"/>
                <w:lang w:eastAsia="en-GB"/>
              </w:rPr>
            </w:pPr>
            <w:r>
              <w:rPr>
                <w:rFonts w:cs="Arial"/>
                <w:color w:val="000000"/>
                <w:sz w:val="20"/>
                <w:szCs w:val="20"/>
                <w:lang w:eastAsia="en-GB"/>
              </w:rPr>
              <w:t>N/A</w:t>
            </w:r>
          </w:p>
        </w:tc>
      </w:tr>
    </w:tbl>
    <w:p w14:paraId="47F39CA3" w14:textId="630820A0" w:rsidR="0046783F" w:rsidRDefault="0046783F" w:rsidP="00B07B94">
      <w:pPr>
        <w:pStyle w:val="ListParagraph"/>
        <w:ind w:left="0"/>
        <w:contextualSpacing/>
        <w:rPr>
          <w:rFonts w:ascii="Calibri" w:hAnsi="Calibri"/>
          <w:color w:val="1F497D"/>
          <w:sz w:val="22"/>
          <w:szCs w:val="22"/>
        </w:rPr>
      </w:pPr>
    </w:p>
    <w:p w14:paraId="49D89814" w14:textId="77777777" w:rsidR="00586ECB" w:rsidRDefault="00586ECB" w:rsidP="00B07B94">
      <w:pPr>
        <w:pStyle w:val="ListParagraph"/>
        <w:ind w:left="0"/>
        <w:contextualSpacing/>
        <w:rPr>
          <w:rFonts w:ascii="Calibri" w:hAnsi="Calibri"/>
          <w:color w:val="1F497D"/>
          <w:sz w:val="22"/>
          <w:szCs w:val="22"/>
        </w:rPr>
      </w:pPr>
    </w:p>
    <w:p w14:paraId="67CCE80A" w14:textId="77777777" w:rsidR="0046783F" w:rsidRPr="001A456C" w:rsidRDefault="0046783F" w:rsidP="00B07B94">
      <w:pPr>
        <w:pStyle w:val="ListParagraph"/>
        <w:ind w:left="0"/>
        <w:contextualSpacing/>
        <w:rPr>
          <w:rFonts w:ascii="Calibri" w:hAnsi="Calibri"/>
          <w:color w:val="1F497D"/>
          <w:sz w:val="22"/>
          <w:szCs w:val="22"/>
        </w:rPr>
      </w:pPr>
    </w:p>
    <w:p w14:paraId="3AEEA4C5" w14:textId="77777777" w:rsidR="004410E9" w:rsidRDefault="000859E7" w:rsidP="00586ECB">
      <w:pPr>
        <w:pStyle w:val="ListParagraph"/>
        <w:numPr>
          <w:ilvl w:val="0"/>
          <w:numId w:val="19"/>
        </w:numPr>
        <w:spacing w:after="120" w:line="280" w:lineRule="atLeast"/>
        <w:ind w:left="357"/>
        <w:rPr>
          <w:rFonts w:cs="Arial"/>
          <w:b/>
          <w:sz w:val="28"/>
          <w:szCs w:val="28"/>
        </w:rPr>
      </w:pPr>
      <w:r>
        <w:rPr>
          <w:rFonts w:cs="Arial"/>
          <w:b/>
          <w:sz w:val="28"/>
          <w:szCs w:val="28"/>
        </w:rPr>
        <w:lastRenderedPageBreak/>
        <w:t xml:space="preserve">Assumptions </w:t>
      </w:r>
      <w:r w:rsidR="004410E9">
        <w:rPr>
          <w:rFonts w:cs="Arial"/>
          <w:b/>
          <w:sz w:val="28"/>
          <w:szCs w:val="28"/>
        </w:rPr>
        <w:t xml:space="preserve">and Risks </w:t>
      </w:r>
    </w:p>
    <w:p w14:paraId="7033EAF0" w14:textId="77777777" w:rsidR="004410E9" w:rsidRDefault="004410E9" w:rsidP="00586ECB">
      <w:pPr>
        <w:pStyle w:val="EBBullet"/>
        <w:keepNext/>
        <w:numPr>
          <w:ilvl w:val="0"/>
          <w:numId w:val="10"/>
        </w:numPr>
        <w:spacing w:line="280" w:lineRule="atLeast"/>
        <w:ind w:left="357"/>
        <w:jc w:val="both"/>
      </w:pPr>
      <w:r>
        <w:t xml:space="preserve">All of the above estimates are based on assumptions and are therefore subject to an element of risk. The individual IAs for each </w:t>
      </w:r>
      <w:r w:rsidR="008A0CEF">
        <w:t xml:space="preserve">legislative </w:t>
      </w:r>
      <w:r>
        <w:t>measure provide further information on these for each specific issue.</w:t>
      </w:r>
    </w:p>
    <w:p w14:paraId="12C8DD12" w14:textId="77777777" w:rsidR="00D804A3" w:rsidRPr="00262EE5" w:rsidRDefault="009E697F" w:rsidP="00586ECB">
      <w:pPr>
        <w:pStyle w:val="EBBullet"/>
        <w:keepNext/>
        <w:numPr>
          <w:ilvl w:val="0"/>
          <w:numId w:val="10"/>
        </w:numPr>
        <w:spacing w:line="280" w:lineRule="atLeast"/>
        <w:ind w:left="357"/>
        <w:jc w:val="both"/>
        <w:rPr>
          <w:color w:val="auto"/>
        </w:rPr>
      </w:pPr>
      <w:r>
        <w:rPr>
          <w:color w:val="auto"/>
          <w:szCs w:val="28"/>
        </w:rPr>
        <w:t>Many of</w:t>
      </w:r>
      <w:r w:rsidR="00D804A3" w:rsidRPr="00262EE5">
        <w:rPr>
          <w:color w:val="auto"/>
          <w:szCs w:val="28"/>
        </w:rPr>
        <w:t xml:space="preserve"> our proposals rel</w:t>
      </w:r>
      <w:r>
        <w:rPr>
          <w:color w:val="auto"/>
          <w:szCs w:val="28"/>
        </w:rPr>
        <w:t>y</w:t>
      </w:r>
      <w:r w:rsidR="00D804A3" w:rsidRPr="00262EE5">
        <w:rPr>
          <w:color w:val="auto"/>
          <w:szCs w:val="28"/>
        </w:rPr>
        <w:t xml:space="preserve"> on positive engagement with key partners across </w:t>
      </w:r>
      <w:r>
        <w:rPr>
          <w:color w:val="auto"/>
          <w:szCs w:val="28"/>
        </w:rPr>
        <w:t xml:space="preserve">the justice system, wider </w:t>
      </w:r>
      <w:r w:rsidR="003D57C5">
        <w:rPr>
          <w:color w:val="auto"/>
          <w:szCs w:val="28"/>
        </w:rPr>
        <w:t>G</w:t>
      </w:r>
      <w:r w:rsidR="00D804A3" w:rsidRPr="00262EE5">
        <w:rPr>
          <w:color w:val="auto"/>
          <w:szCs w:val="28"/>
        </w:rPr>
        <w:t xml:space="preserve">overnment and industry. </w:t>
      </w:r>
      <w:r>
        <w:rPr>
          <w:color w:val="auto"/>
          <w:szCs w:val="28"/>
        </w:rPr>
        <w:t xml:space="preserve">These include the judiciary, the legal profession and the </w:t>
      </w:r>
      <w:r w:rsidR="00F16189">
        <w:rPr>
          <w:color w:val="auto"/>
          <w:szCs w:val="28"/>
        </w:rPr>
        <w:t>insurance</w:t>
      </w:r>
      <w:r>
        <w:rPr>
          <w:color w:val="auto"/>
          <w:szCs w:val="28"/>
        </w:rPr>
        <w:t xml:space="preserve"> sector. </w:t>
      </w:r>
      <w:r w:rsidR="00D804A3" w:rsidRPr="00262EE5">
        <w:rPr>
          <w:color w:val="auto"/>
          <w:szCs w:val="28"/>
        </w:rPr>
        <w:t>We have engagement strategies in place but</w:t>
      </w:r>
      <w:r w:rsidR="00C73EE4">
        <w:rPr>
          <w:color w:val="auto"/>
          <w:szCs w:val="28"/>
        </w:rPr>
        <w:t>,</w:t>
      </w:r>
      <w:r w:rsidR="00D804A3" w:rsidRPr="00262EE5">
        <w:rPr>
          <w:color w:val="auto"/>
          <w:szCs w:val="28"/>
        </w:rPr>
        <w:t xml:space="preserve"> in some areas the Mo</w:t>
      </w:r>
      <w:r w:rsidR="00D804A3">
        <w:rPr>
          <w:color w:val="auto"/>
          <w:szCs w:val="28"/>
        </w:rPr>
        <w:t>J</w:t>
      </w:r>
      <w:r w:rsidR="00D804A3" w:rsidRPr="00262EE5">
        <w:rPr>
          <w:color w:val="auto"/>
          <w:szCs w:val="28"/>
        </w:rPr>
        <w:t xml:space="preserve"> is nevertheless dependent on the co-operation of others.</w:t>
      </w:r>
    </w:p>
    <w:p w14:paraId="3ED5B3F6" w14:textId="77777777" w:rsidR="004410E9" w:rsidRPr="002F7956" w:rsidRDefault="004410E9" w:rsidP="00586ECB">
      <w:pPr>
        <w:pStyle w:val="ListParagraph"/>
        <w:numPr>
          <w:ilvl w:val="0"/>
          <w:numId w:val="19"/>
        </w:numPr>
        <w:spacing w:after="120" w:line="280" w:lineRule="atLeast"/>
        <w:ind w:left="357"/>
        <w:rPr>
          <w:rFonts w:cs="Arial"/>
          <w:b/>
          <w:sz w:val="28"/>
          <w:szCs w:val="28"/>
        </w:rPr>
      </w:pPr>
      <w:r>
        <w:rPr>
          <w:rFonts w:cs="Arial"/>
          <w:b/>
          <w:sz w:val="28"/>
          <w:szCs w:val="28"/>
        </w:rPr>
        <w:t>Wider Impacts</w:t>
      </w:r>
    </w:p>
    <w:p w14:paraId="2765B597" w14:textId="77777777" w:rsidR="000669F4" w:rsidRDefault="000669F4" w:rsidP="00586ECB">
      <w:pPr>
        <w:pStyle w:val="EBBullet"/>
        <w:keepNext/>
        <w:numPr>
          <w:ilvl w:val="0"/>
          <w:numId w:val="10"/>
        </w:numPr>
        <w:spacing w:line="280" w:lineRule="atLeast"/>
        <w:ind w:left="357"/>
        <w:jc w:val="both"/>
      </w:pPr>
      <w:r>
        <w:t xml:space="preserve">The Equality Statements </w:t>
      </w:r>
      <w:r w:rsidR="001D64DC">
        <w:t xml:space="preserve">have been prepared </w:t>
      </w:r>
      <w:r>
        <w:t xml:space="preserve">for each of the measures described in this document consider the wider impact of the proposals in light of the MoJ’s duty to pay due regard to the </w:t>
      </w:r>
      <w:proofErr w:type="gramStart"/>
      <w:r>
        <w:t>Public Sector</w:t>
      </w:r>
      <w:proofErr w:type="gramEnd"/>
      <w:r>
        <w:t xml:space="preserve"> Equality Duty. The following paragraphs provide our overall conclusions.</w:t>
      </w:r>
    </w:p>
    <w:p w14:paraId="03F437CD" w14:textId="77777777" w:rsidR="00A2325B" w:rsidRDefault="00A2325B" w:rsidP="00586ECB">
      <w:pPr>
        <w:spacing w:after="120" w:line="240" w:lineRule="auto"/>
        <w:rPr>
          <w:rFonts w:ascii="Arial" w:hAnsi="Arial" w:cs="Arial"/>
          <w:b/>
          <w:u w:val="single"/>
        </w:rPr>
      </w:pPr>
    </w:p>
    <w:p w14:paraId="4B0D740F" w14:textId="77777777" w:rsidR="000669F4" w:rsidRPr="005F633D" w:rsidRDefault="000669F4" w:rsidP="00586ECB">
      <w:pPr>
        <w:spacing w:after="0" w:line="280" w:lineRule="atLeast"/>
        <w:rPr>
          <w:rFonts w:ascii="Arial" w:hAnsi="Arial" w:cs="Arial"/>
          <w:b/>
          <w:u w:val="single"/>
        </w:rPr>
      </w:pPr>
      <w:r w:rsidRPr="005F633D">
        <w:rPr>
          <w:rFonts w:ascii="Arial" w:hAnsi="Arial" w:cs="Arial"/>
          <w:b/>
          <w:u w:val="single"/>
        </w:rPr>
        <w:t xml:space="preserve">Equalities </w:t>
      </w:r>
    </w:p>
    <w:p w14:paraId="5E2A5351" w14:textId="77777777" w:rsidR="000669F4" w:rsidRPr="00673C9B" w:rsidRDefault="000669F4" w:rsidP="00586ECB">
      <w:pPr>
        <w:numPr>
          <w:ilvl w:val="0"/>
          <w:numId w:val="10"/>
        </w:numPr>
        <w:spacing w:after="120" w:line="280" w:lineRule="atLeast"/>
        <w:rPr>
          <w:rFonts w:ascii="Arial" w:hAnsi="Arial" w:cs="Arial"/>
        </w:rPr>
      </w:pPr>
      <w:r w:rsidRPr="00673C9B">
        <w:rPr>
          <w:rFonts w:ascii="Arial" w:hAnsi="Arial" w:cs="Arial"/>
        </w:rPr>
        <w:t xml:space="preserve">In line with our </w:t>
      </w:r>
      <w:proofErr w:type="gramStart"/>
      <w:r w:rsidRPr="00673C9B">
        <w:rPr>
          <w:rFonts w:ascii="Arial" w:hAnsi="Arial" w:cs="Arial"/>
        </w:rPr>
        <w:t>Public Sector</w:t>
      </w:r>
      <w:proofErr w:type="gramEnd"/>
      <w:r w:rsidRPr="00673C9B">
        <w:rPr>
          <w:rFonts w:ascii="Arial" w:hAnsi="Arial" w:cs="Arial"/>
        </w:rPr>
        <w:t xml:space="preserve"> Equality Duty (</w:t>
      </w:r>
      <w:r w:rsidR="001D64DC">
        <w:rPr>
          <w:rFonts w:ascii="Arial" w:hAnsi="Arial" w:cs="Arial"/>
        </w:rPr>
        <w:t>“</w:t>
      </w:r>
      <w:r w:rsidRPr="00673C9B">
        <w:rPr>
          <w:rFonts w:ascii="Arial" w:hAnsi="Arial" w:cs="Arial"/>
        </w:rPr>
        <w:t>PSED</w:t>
      </w:r>
      <w:r w:rsidR="001D64DC">
        <w:rPr>
          <w:rFonts w:ascii="Arial" w:hAnsi="Arial" w:cs="Arial"/>
        </w:rPr>
        <w:t>”</w:t>
      </w:r>
      <w:r w:rsidRPr="00673C9B">
        <w:rPr>
          <w:rFonts w:ascii="Arial" w:hAnsi="Arial" w:cs="Arial"/>
        </w:rPr>
        <w:t xml:space="preserve">) responsibilities under section 149 of the Equality Act 2010, we have paid due regard to the need to: </w:t>
      </w:r>
    </w:p>
    <w:p w14:paraId="18CB2B89" w14:textId="77777777" w:rsidR="000669F4" w:rsidRPr="00673C9B" w:rsidRDefault="000669F4" w:rsidP="00586ECB">
      <w:pPr>
        <w:spacing w:after="120" w:line="280" w:lineRule="atLeast"/>
        <w:ind w:left="397"/>
        <w:rPr>
          <w:rFonts w:ascii="Arial" w:hAnsi="Arial" w:cs="Arial"/>
        </w:rPr>
      </w:pPr>
      <w:r w:rsidRPr="00673C9B">
        <w:rPr>
          <w:rFonts w:ascii="Arial" w:hAnsi="Arial" w:cs="Arial"/>
        </w:rPr>
        <w:t>(a) eliminate discrimination, harassment, victimisation and any other conduct that is prohibited by or under the Equality Act 2010;</w:t>
      </w:r>
    </w:p>
    <w:p w14:paraId="4551E9D5" w14:textId="77777777" w:rsidR="000669F4" w:rsidRPr="00673C9B" w:rsidRDefault="000669F4" w:rsidP="00586ECB">
      <w:pPr>
        <w:spacing w:after="120" w:line="280" w:lineRule="atLeast"/>
        <w:ind w:left="397"/>
        <w:rPr>
          <w:rFonts w:ascii="Arial" w:hAnsi="Arial" w:cs="Arial"/>
        </w:rPr>
      </w:pPr>
      <w:r w:rsidRPr="00673C9B">
        <w:rPr>
          <w:rFonts w:ascii="Arial" w:hAnsi="Arial" w:cs="Arial"/>
        </w:rPr>
        <w:t>(b) advance equality of opportunity between persons who share a relevant protected characteristic and persons who do not share it;</w:t>
      </w:r>
    </w:p>
    <w:p w14:paraId="728459A8" w14:textId="77777777" w:rsidR="000669F4" w:rsidRPr="00673C9B" w:rsidRDefault="000669F4" w:rsidP="00586ECB">
      <w:pPr>
        <w:spacing w:after="120" w:line="280" w:lineRule="atLeast"/>
        <w:ind w:left="397"/>
        <w:rPr>
          <w:rFonts w:ascii="Arial" w:hAnsi="Arial" w:cs="Arial"/>
        </w:rPr>
      </w:pPr>
      <w:r w:rsidRPr="00673C9B">
        <w:rPr>
          <w:rFonts w:ascii="Arial" w:hAnsi="Arial" w:cs="Arial"/>
        </w:rPr>
        <w:t>(c) foster good relations between persons who share a relevant protected characteristic and persons who do not share it.</w:t>
      </w:r>
    </w:p>
    <w:p w14:paraId="5A707498" w14:textId="77777777" w:rsidR="000669F4" w:rsidRPr="00673C9B" w:rsidRDefault="000669F4" w:rsidP="00586ECB">
      <w:pPr>
        <w:numPr>
          <w:ilvl w:val="0"/>
          <w:numId w:val="10"/>
        </w:numPr>
        <w:spacing w:after="120" w:line="280" w:lineRule="atLeast"/>
        <w:rPr>
          <w:rFonts w:ascii="Arial" w:hAnsi="Arial" w:cs="Arial"/>
        </w:rPr>
      </w:pPr>
      <w:r w:rsidRPr="00673C9B">
        <w:rPr>
          <w:rFonts w:ascii="Arial" w:hAnsi="Arial" w:cs="Arial"/>
        </w:rPr>
        <w:t xml:space="preserve">We have discharged our duty through early </w:t>
      </w:r>
      <w:r>
        <w:rPr>
          <w:rFonts w:ascii="Arial" w:hAnsi="Arial" w:cs="Arial"/>
        </w:rPr>
        <w:t xml:space="preserve">and ongoing </w:t>
      </w:r>
      <w:r w:rsidRPr="00673C9B">
        <w:rPr>
          <w:rFonts w:ascii="Arial" w:hAnsi="Arial" w:cs="Arial"/>
        </w:rPr>
        <w:t>consideration of the equality impacts of the policy development and final proposals contained in the</w:t>
      </w:r>
      <w:r>
        <w:rPr>
          <w:rFonts w:ascii="Arial" w:hAnsi="Arial" w:cs="Arial"/>
        </w:rPr>
        <w:t xml:space="preserve"> </w:t>
      </w:r>
      <w:r w:rsidR="00336309">
        <w:rPr>
          <w:rFonts w:ascii="Arial" w:hAnsi="Arial" w:cs="Arial"/>
        </w:rPr>
        <w:t>Act</w:t>
      </w:r>
      <w:r w:rsidRPr="00673C9B">
        <w:rPr>
          <w:rFonts w:ascii="Arial" w:hAnsi="Arial" w:cs="Arial"/>
        </w:rPr>
        <w:t xml:space="preserve">. We have used the best available data and evidence in proportionately undertaking the Equality Statements that accompany the </w:t>
      </w:r>
      <w:r w:rsidR="00336309">
        <w:rPr>
          <w:rFonts w:ascii="Arial" w:hAnsi="Arial" w:cs="Arial"/>
        </w:rPr>
        <w:t>Act</w:t>
      </w:r>
      <w:r w:rsidRPr="00673C9B">
        <w:rPr>
          <w:rFonts w:ascii="Arial" w:hAnsi="Arial" w:cs="Arial"/>
        </w:rPr>
        <w:t xml:space="preserve"> to assess the likely impacts on </w:t>
      </w:r>
      <w:r>
        <w:rPr>
          <w:rFonts w:ascii="Arial" w:hAnsi="Arial" w:cs="Arial"/>
        </w:rPr>
        <w:t xml:space="preserve">defendants and claimants </w:t>
      </w:r>
      <w:r w:rsidRPr="00673C9B">
        <w:rPr>
          <w:rFonts w:ascii="Arial" w:hAnsi="Arial" w:cs="Arial"/>
        </w:rPr>
        <w:t>with protected characteristics</w:t>
      </w:r>
      <w:r>
        <w:rPr>
          <w:rFonts w:ascii="Arial" w:hAnsi="Arial" w:cs="Arial"/>
        </w:rPr>
        <w:t xml:space="preserve"> for whiplash claims and the setting of the Personal Injury Discount Rate</w:t>
      </w:r>
      <w:r w:rsidRPr="00673C9B">
        <w:rPr>
          <w:rFonts w:ascii="Arial" w:hAnsi="Arial" w:cs="Arial"/>
        </w:rPr>
        <w:t xml:space="preserve">. </w:t>
      </w:r>
    </w:p>
    <w:p w14:paraId="2735E115" w14:textId="77777777" w:rsidR="000669F4" w:rsidRPr="00673C9B" w:rsidRDefault="000669F4" w:rsidP="00586ECB">
      <w:pPr>
        <w:numPr>
          <w:ilvl w:val="0"/>
          <w:numId w:val="10"/>
        </w:numPr>
        <w:spacing w:after="120" w:line="280" w:lineRule="atLeast"/>
        <w:rPr>
          <w:rFonts w:ascii="Arial" w:hAnsi="Arial" w:cs="Arial"/>
        </w:rPr>
      </w:pPr>
      <w:r>
        <w:rPr>
          <w:rFonts w:ascii="Arial" w:hAnsi="Arial" w:cs="Arial"/>
        </w:rPr>
        <w:t>The</w:t>
      </w:r>
      <w:r w:rsidRPr="00673C9B">
        <w:rPr>
          <w:rFonts w:ascii="Arial" w:hAnsi="Arial" w:cs="Arial"/>
        </w:rPr>
        <w:t xml:space="preserve"> Equa</w:t>
      </w:r>
      <w:r>
        <w:rPr>
          <w:rFonts w:ascii="Arial" w:hAnsi="Arial" w:cs="Arial"/>
        </w:rPr>
        <w:t xml:space="preserve">lity Statements can be found with the </w:t>
      </w:r>
      <w:r w:rsidR="00336309">
        <w:rPr>
          <w:rFonts w:ascii="Arial" w:hAnsi="Arial" w:cs="Arial"/>
        </w:rPr>
        <w:t>Act</w:t>
      </w:r>
      <w:r>
        <w:rPr>
          <w:rFonts w:ascii="Arial" w:hAnsi="Arial" w:cs="Arial"/>
        </w:rPr>
        <w:t xml:space="preserve"> documents.</w:t>
      </w:r>
    </w:p>
    <w:p w14:paraId="5908B1C1" w14:textId="77777777" w:rsidR="000669F4" w:rsidRPr="00673C9B" w:rsidRDefault="000669F4" w:rsidP="00586ECB">
      <w:pPr>
        <w:numPr>
          <w:ilvl w:val="0"/>
          <w:numId w:val="10"/>
        </w:numPr>
        <w:spacing w:after="120" w:line="280" w:lineRule="atLeast"/>
        <w:rPr>
          <w:rFonts w:ascii="Arial" w:hAnsi="Arial" w:cs="Arial"/>
        </w:rPr>
      </w:pPr>
      <w:r w:rsidRPr="00673C9B">
        <w:rPr>
          <w:rFonts w:ascii="Arial" w:hAnsi="Arial" w:cs="Arial"/>
        </w:rPr>
        <w:t>Our overall assessment of the e</w:t>
      </w:r>
      <w:r>
        <w:rPr>
          <w:rFonts w:ascii="Arial" w:hAnsi="Arial" w:cs="Arial"/>
        </w:rPr>
        <w:t>qualities impacts based on the limited available data and evidence is as follows.</w:t>
      </w:r>
    </w:p>
    <w:p w14:paraId="3D980BC2" w14:textId="77777777" w:rsidR="000669F4" w:rsidRPr="00673C9B" w:rsidRDefault="000669F4" w:rsidP="00586ECB">
      <w:pPr>
        <w:spacing w:after="120" w:line="280" w:lineRule="atLeast"/>
        <w:rPr>
          <w:rFonts w:ascii="Arial" w:hAnsi="Arial" w:cs="Arial"/>
          <w:i/>
        </w:rPr>
      </w:pPr>
      <w:r w:rsidRPr="00673C9B">
        <w:rPr>
          <w:rFonts w:ascii="Arial" w:hAnsi="Arial" w:cs="Arial"/>
          <w:i/>
        </w:rPr>
        <w:t>Direct discrimination</w:t>
      </w:r>
    </w:p>
    <w:p w14:paraId="0D07F8BB" w14:textId="77777777" w:rsidR="000669F4" w:rsidRPr="00673C9B" w:rsidRDefault="000669F4" w:rsidP="00586ECB">
      <w:pPr>
        <w:numPr>
          <w:ilvl w:val="0"/>
          <w:numId w:val="10"/>
        </w:numPr>
        <w:spacing w:after="120" w:line="280" w:lineRule="atLeast"/>
        <w:ind w:left="357" w:hanging="357"/>
        <w:rPr>
          <w:rFonts w:ascii="Arial" w:hAnsi="Arial" w:cs="Arial"/>
        </w:rPr>
      </w:pPr>
      <w:r w:rsidRPr="00673C9B">
        <w:rPr>
          <w:rFonts w:ascii="Arial" w:hAnsi="Arial" w:cs="Arial"/>
        </w:rPr>
        <w:t xml:space="preserve">We hold the view that none of the </w:t>
      </w:r>
      <w:r w:rsidR="00336309">
        <w:rPr>
          <w:rFonts w:ascii="Arial" w:hAnsi="Arial" w:cs="Arial"/>
        </w:rPr>
        <w:t>Act</w:t>
      </w:r>
      <w:r w:rsidRPr="00673C9B">
        <w:rPr>
          <w:rFonts w:ascii="Arial" w:hAnsi="Arial" w:cs="Arial"/>
        </w:rPr>
        <w:t xml:space="preserve"> measures are likely to be directly discriminatory within the meaning of the Equality Act 2010 as they apply equally to all </w:t>
      </w:r>
      <w:r>
        <w:rPr>
          <w:rFonts w:ascii="Arial" w:hAnsi="Arial" w:cs="Arial"/>
        </w:rPr>
        <w:t>claimants and defendants in personal injury cases, including whiplash</w:t>
      </w:r>
      <w:r w:rsidRPr="00673C9B">
        <w:rPr>
          <w:rFonts w:ascii="Arial" w:hAnsi="Arial" w:cs="Arial"/>
        </w:rPr>
        <w:t xml:space="preserve">; we do not consider that the proposals would result in people being treated less favourably on account of any protected characteristic. </w:t>
      </w:r>
    </w:p>
    <w:p w14:paraId="05DDDCF4" w14:textId="77777777" w:rsidR="000669F4" w:rsidRPr="00673C9B" w:rsidRDefault="000669F4" w:rsidP="00586ECB">
      <w:pPr>
        <w:spacing w:after="120" w:line="280" w:lineRule="atLeast"/>
        <w:rPr>
          <w:rFonts w:ascii="Arial" w:hAnsi="Arial" w:cs="Arial"/>
          <w:i/>
        </w:rPr>
      </w:pPr>
      <w:r w:rsidRPr="00673C9B">
        <w:rPr>
          <w:rFonts w:ascii="Arial" w:hAnsi="Arial" w:cs="Arial"/>
          <w:i/>
        </w:rPr>
        <w:t>Indirect discrimination</w:t>
      </w:r>
    </w:p>
    <w:p w14:paraId="2B7226E7" w14:textId="77777777" w:rsidR="000669F4" w:rsidRPr="00673C9B" w:rsidRDefault="000669F4" w:rsidP="00586ECB">
      <w:pPr>
        <w:numPr>
          <w:ilvl w:val="0"/>
          <w:numId w:val="10"/>
        </w:numPr>
        <w:spacing w:after="120" w:line="280" w:lineRule="atLeast"/>
        <w:ind w:left="357" w:hanging="357"/>
        <w:rPr>
          <w:rFonts w:ascii="Arial" w:hAnsi="Arial" w:cs="Arial"/>
        </w:rPr>
      </w:pPr>
      <w:r w:rsidRPr="00FD4733">
        <w:rPr>
          <w:rFonts w:ascii="Arial" w:hAnsi="Arial" w:cs="Arial"/>
        </w:rPr>
        <w:t xml:space="preserve">Overall, as indicated in the accompanying equality statements, we recognise that </w:t>
      </w:r>
      <w:r w:rsidR="00766F00">
        <w:rPr>
          <w:rFonts w:ascii="Arial" w:hAnsi="Arial" w:cs="Arial"/>
        </w:rPr>
        <w:t xml:space="preserve">among </w:t>
      </w:r>
      <w:r w:rsidRPr="00FD4733">
        <w:rPr>
          <w:rFonts w:ascii="Arial" w:hAnsi="Arial" w:cs="Arial"/>
        </w:rPr>
        <w:t>personal injury claimants</w:t>
      </w:r>
      <w:r w:rsidR="00766F00">
        <w:rPr>
          <w:rFonts w:ascii="Arial" w:hAnsi="Arial" w:cs="Arial"/>
        </w:rPr>
        <w:t>, those</w:t>
      </w:r>
      <w:r w:rsidRPr="00FD4733">
        <w:rPr>
          <w:rFonts w:ascii="Arial" w:hAnsi="Arial" w:cs="Arial"/>
        </w:rPr>
        <w:t xml:space="preserve"> with </w:t>
      </w:r>
      <w:r w:rsidR="00766F00">
        <w:rPr>
          <w:rFonts w:ascii="Arial" w:hAnsi="Arial" w:cs="Arial"/>
        </w:rPr>
        <w:t xml:space="preserve">some </w:t>
      </w:r>
      <w:r w:rsidRPr="00FD4733">
        <w:rPr>
          <w:rFonts w:ascii="Arial" w:hAnsi="Arial" w:cs="Arial"/>
        </w:rPr>
        <w:t xml:space="preserve">protected characteristics are likely to be over-represented when compared to the general population. We do not, however, consider </w:t>
      </w:r>
      <w:r w:rsidRPr="00FD4733">
        <w:rPr>
          <w:rFonts w:ascii="Arial" w:hAnsi="Arial" w:cs="Arial"/>
        </w:rPr>
        <w:lastRenderedPageBreak/>
        <w:t xml:space="preserve">that the reforms will amount to indirect discrimination within the meaning of the Act, since the resulting changes are unlikely to result in anyone sharing a protected characteristic being put at a particular disadvantage. </w:t>
      </w:r>
      <w:r w:rsidRPr="00673C9B">
        <w:rPr>
          <w:rFonts w:ascii="Arial" w:hAnsi="Arial" w:cs="Arial"/>
        </w:rPr>
        <w:t>To the extent that th</w:t>
      </w:r>
      <w:r>
        <w:rPr>
          <w:rFonts w:ascii="Arial" w:hAnsi="Arial" w:cs="Arial"/>
        </w:rPr>
        <w:t>e reforms could</w:t>
      </w:r>
      <w:r w:rsidRPr="00673C9B">
        <w:rPr>
          <w:rFonts w:ascii="Arial" w:hAnsi="Arial" w:cs="Arial"/>
        </w:rPr>
        <w:t xml:space="preserve"> be </w:t>
      </w:r>
      <w:r>
        <w:rPr>
          <w:rFonts w:ascii="Arial" w:hAnsi="Arial" w:cs="Arial"/>
        </w:rPr>
        <w:t xml:space="preserve">considered to result in </w:t>
      </w:r>
      <w:r w:rsidRPr="00673C9B">
        <w:rPr>
          <w:rFonts w:ascii="Arial" w:hAnsi="Arial" w:cs="Arial"/>
        </w:rPr>
        <w:t>a particular disadvantage, our assessment is that such impacts would be justified as a proportionate means of achieving the legitimate aims of these reforms</w:t>
      </w:r>
      <w:r>
        <w:rPr>
          <w:rFonts w:ascii="Arial" w:hAnsi="Arial" w:cs="Arial"/>
        </w:rPr>
        <w:t xml:space="preserve"> (as given in the policy objectives summary above).</w:t>
      </w:r>
    </w:p>
    <w:p w14:paraId="554B307A" w14:textId="77777777" w:rsidR="000669F4" w:rsidRPr="00673C9B" w:rsidRDefault="000669F4" w:rsidP="00586ECB">
      <w:pPr>
        <w:spacing w:after="120" w:line="240" w:lineRule="atLeast"/>
        <w:rPr>
          <w:rFonts w:ascii="Arial" w:hAnsi="Arial" w:cs="Arial"/>
          <w:i/>
        </w:rPr>
      </w:pPr>
      <w:r w:rsidRPr="00673C9B">
        <w:rPr>
          <w:rFonts w:ascii="Arial" w:hAnsi="Arial" w:cs="Arial"/>
          <w:i/>
        </w:rPr>
        <w:t xml:space="preserve">Discrimination arising from disability and duty to make reasonable adjustments </w:t>
      </w:r>
    </w:p>
    <w:p w14:paraId="408F99E1" w14:textId="77777777" w:rsidR="000669F4" w:rsidRPr="00673C9B" w:rsidRDefault="000669F4" w:rsidP="00586ECB">
      <w:pPr>
        <w:numPr>
          <w:ilvl w:val="0"/>
          <w:numId w:val="10"/>
        </w:numPr>
        <w:spacing w:after="120" w:line="240" w:lineRule="atLeast"/>
        <w:ind w:left="357" w:hanging="357"/>
        <w:rPr>
          <w:rFonts w:ascii="Arial" w:hAnsi="Arial" w:cs="Arial"/>
        </w:rPr>
      </w:pPr>
      <w:r>
        <w:rPr>
          <w:rFonts w:ascii="Arial" w:hAnsi="Arial" w:cs="Arial"/>
        </w:rPr>
        <w:t xml:space="preserve">We </w:t>
      </w:r>
      <w:r w:rsidRPr="00673C9B">
        <w:rPr>
          <w:rFonts w:ascii="Arial" w:hAnsi="Arial" w:cs="Arial"/>
        </w:rPr>
        <w:t xml:space="preserve">recognise that it remains important to continue to make reasonable adjustments for </w:t>
      </w:r>
      <w:r>
        <w:rPr>
          <w:rFonts w:ascii="Arial" w:hAnsi="Arial" w:cs="Arial"/>
        </w:rPr>
        <w:t>claimants, defendants</w:t>
      </w:r>
      <w:r w:rsidRPr="00673C9B">
        <w:rPr>
          <w:rFonts w:ascii="Arial" w:hAnsi="Arial" w:cs="Arial"/>
        </w:rPr>
        <w:t xml:space="preserve">, </w:t>
      </w:r>
      <w:r>
        <w:rPr>
          <w:rFonts w:ascii="Arial" w:hAnsi="Arial" w:cs="Arial"/>
        </w:rPr>
        <w:t xml:space="preserve">court </w:t>
      </w:r>
      <w:r w:rsidRPr="00673C9B">
        <w:rPr>
          <w:rFonts w:ascii="Arial" w:hAnsi="Arial" w:cs="Arial"/>
        </w:rPr>
        <w:t xml:space="preserve">staff, the judiciary, and </w:t>
      </w:r>
      <w:r>
        <w:rPr>
          <w:rFonts w:ascii="Arial" w:hAnsi="Arial" w:cs="Arial"/>
        </w:rPr>
        <w:t xml:space="preserve">other </w:t>
      </w:r>
      <w:r w:rsidRPr="00673C9B">
        <w:rPr>
          <w:rFonts w:ascii="Arial" w:hAnsi="Arial" w:cs="Arial"/>
        </w:rPr>
        <w:t xml:space="preserve">courts and tribunals users </w:t>
      </w:r>
      <w:r>
        <w:rPr>
          <w:rFonts w:ascii="Arial" w:hAnsi="Arial" w:cs="Arial"/>
        </w:rPr>
        <w:t xml:space="preserve">with disabilities </w:t>
      </w:r>
      <w:r w:rsidRPr="00673C9B">
        <w:rPr>
          <w:rFonts w:ascii="Arial" w:hAnsi="Arial" w:cs="Arial"/>
        </w:rPr>
        <w:t xml:space="preserve">to </w:t>
      </w:r>
      <w:r>
        <w:rPr>
          <w:rFonts w:ascii="Arial" w:hAnsi="Arial" w:cs="Arial"/>
        </w:rPr>
        <w:t>help ensure that</w:t>
      </w:r>
      <w:r w:rsidRPr="00673C9B">
        <w:rPr>
          <w:rFonts w:ascii="Arial" w:hAnsi="Arial" w:cs="Arial"/>
        </w:rPr>
        <w:t xml:space="preserve"> appropriate support is given to enable fair access to justice. </w:t>
      </w:r>
    </w:p>
    <w:p w14:paraId="600F133F" w14:textId="77777777" w:rsidR="000669F4" w:rsidRPr="00673C9B" w:rsidRDefault="000669F4" w:rsidP="00586ECB">
      <w:pPr>
        <w:spacing w:after="120" w:line="240" w:lineRule="atLeast"/>
        <w:rPr>
          <w:rFonts w:ascii="Arial" w:hAnsi="Arial" w:cs="Arial"/>
          <w:i/>
        </w:rPr>
      </w:pPr>
      <w:r w:rsidRPr="00673C9B">
        <w:rPr>
          <w:rFonts w:ascii="Arial" w:hAnsi="Arial" w:cs="Arial"/>
          <w:i/>
        </w:rPr>
        <w:t>Advancing equality of opportunity</w:t>
      </w:r>
    </w:p>
    <w:p w14:paraId="3D622ECE" w14:textId="77777777" w:rsidR="000669F4" w:rsidRDefault="000669F4" w:rsidP="00586ECB">
      <w:pPr>
        <w:numPr>
          <w:ilvl w:val="0"/>
          <w:numId w:val="10"/>
        </w:numPr>
        <w:spacing w:after="120" w:line="240" w:lineRule="atLeast"/>
        <w:rPr>
          <w:rFonts w:ascii="Arial" w:hAnsi="Arial" w:cs="Arial"/>
        </w:rPr>
      </w:pPr>
      <w:r w:rsidRPr="00DB5CA9">
        <w:rPr>
          <w:rFonts w:ascii="Arial" w:hAnsi="Arial" w:cs="Arial"/>
        </w:rPr>
        <w:t>We have considered this limb of the duty and our overall assessment is that there will be some me</w:t>
      </w:r>
      <w:r w:rsidRPr="006A0D37">
        <w:rPr>
          <w:rFonts w:ascii="Arial" w:hAnsi="Arial" w:cs="Arial"/>
        </w:rPr>
        <w:t xml:space="preserve">asures within the </w:t>
      </w:r>
      <w:r w:rsidR="00336309">
        <w:rPr>
          <w:rFonts w:ascii="Arial" w:hAnsi="Arial" w:cs="Arial"/>
        </w:rPr>
        <w:t>Act</w:t>
      </w:r>
      <w:r w:rsidRPr="006A0D37">
        <w:rPr>
          <w:rFonts w:ascii="Arial" w:hAnsi="Arial" w:cs="Arial"/>
        </w:rPr>
        <w:t xml:space="preserve"> that are likely to advance equality of opportunity</w:t>
      </w:r>
      <w:r>
        <w:rPr>
          <w:rFonts w:ascii="Arial" w:hAnsi="Arial" w:cs="Arial"/>
        </w:rPr>
        <w:t xml:space="preserve"> for claimants with protected characteristics</w:t>
      </w:r>
      <w:r w:rsidRPr="006A0D37">
        <w:rPr>
          <w:rFonts w:ascii="Arial" w:hAnsi="Arial" w:cs="Arial"/>
        </w:rPr>
        <w:t xml:space="preserve">. </w:t>
      </w:r>
    </w:p>
    <w:p w14:paraId="7AAA6348" w14:textId="77777777" w:rsidR="000669F4" w:rsidRPr="00673C9B" w:rsidRDefault="000669F4" w:rsidP="00586ECB">
      <w:pPr>
        <w:spacing w:after="120" w:line="240" w:lineRule="atLeast"/>
        <w:rPr>
          <w:rFonts w:ascii="Arial" w:hAnsi="Arial" w:cs="Arial"/>
          <w:i/>
        </w:rPr>
      </w:pPr>
      <w:r w:rsidRPr="00673C9B">
        <w:rPr>
          <w:rFonts w:ascii="Arial" w:hAnsi="Arial" w:cs="Arial"/>
          <w:i/>
        </w:rPr>
        <w:t>Fostering good relations</w:t>
      </w:r>
    </w:p>
    <w:p w14:paraId="75AFC82D" w14:textId="77777777" w:rsidR="000669F4" w:rsidRPr="00BA7508" w:rsidRDefault="000669F4" w:rsidP="00586ECB">
      <w:pPr>
        <w:numPr>
          <w:ilvl w:val="0"/>
          <w:numId w:val="10"/>
        </w:numPr>
        <w:spacing w:after="120" w:line="240" w:lineRule="atLeast"/>
        <w:rPr>
          <w:rFonts w:ascii="Arial" w:hAnsi="Arial" w:cs="Arial"/>
        </w:rPr>
      </w:pPr>
      <w:r w:rsidRPr="00F216F8">
        <w:rPr>
          <w:rFonts w:ascii="Arial" w:hAnsi="Arial" w:cs="Arial"/>
        </w:rPr>
        <w:t>We consider it unlikely that there will be a</w:t>
      </w:r>
      <w:r>
        <w:rPr>
          <w:rFonts w:ascii="Arial" w:hAnsi="Arial" w:cs="Arial"/>
        </w:rPr>
        <w:t>ny</w:t>
      </w:r>
      <w:r w:rsidRPr="00F216F8">
        <w:rPr>
          <w:rFonts w:ascii="Arial" w:hAnsi="Arial" w:cs="Arial"/>
        </w:rPr>
        <w:t xml:space="preserve"> </w:t>
      </w:r>
      <w:r>
        <w:rPr>
          <w:rFonts w:ascii="Arial" w:hAnsi="Arial" w:cs="Arial"/>
        </w:rPr>
        <w:t>implications</w:t>
      </w:r>
      <w:r w:rsidRPr="00F216F8">
        <w:rPr>
          <w:rFonts w:ascii="Arial" w:hAnsi="Arial" w:cs="Arial"/>
        </w:rPr>
        <w:t xml:space="preserve"> on fostering good relations from these </w:t>
      </w:r>
      <w:r w:rsidR="00336309">
        <w:rPr>
          <w:rFonts w:ascii="Arial" w:hAnsi="Arial" w:cs="Arial"/>
        </w:rPr>
        <w:t>legislative measures</w:t>
      </w:r>
      <w:r w:rsidRPr="00F216F8">
        <w:rPr>
          <w:rFonts w:ascii="Arial" w:hAnsi="Arial" w:cs="Arial"/>
        </w:rPr>
        <w:t xml:space="preserve">. </w:t>
      </w:r>
    </w:p>
    <w:p w14:paraId="6FF533A8" w14:textId="77777777" w:rsidR="00586ECB" w:rsidRDefault="00586ECB" w:rsidP="00586ECB">
      <w:pPr>
        <w:spacing w:after="0" w:line="240" w:lineRule="atLeast"/>
        <w:rPr>
          <w:rFonts w:ascii="Arial" w:hAnsi="Arial" w:cs="Arial"/>
          <w:b/>
          <w:u w:val="single"/>
        </w:rPr>
      </w:pPr>
    </w:p>
    <w:p w14:paraId="4145ADFA" w14:textId="778622E2" w:rsidR="000669F4" w:rsidRPr="005F633D" w:rsidRDefault="000669F4" w:rsidP="00586ECB">
      <w:pPr>
        <w:spacing w:after="0" w:line="240" w:lineRule="atLeast"/>
        <w:rPr>
          <w:rFonts w:ascii="Arial" w:hAnsi="Arial" w:cs="Arial"/>
          <w:b/>
          <w:u w:val="single"/>
        </w:rPr>
      </w:pPr>
      <w:r w:rsidRPr="005F633D">
        <w:rPr>
          <w:rFonts w:ascii="Arial" w:hAnsi="Arial" w:cs="Arial"/>
          <w:b/>
          <w:u w:val="single"/>
        </w:rPr>
        <w:t>Welsh language</w:t>
      </w:r>
    </w:p>
    <w:p w14:paraId="29301894" w14:textId="77777777" w:rsidR="000669F4" w:rsidRDefault="000669F4" w:rsidP="00586ECB">
      <w:pPr>
        <w:numPr>
          <w:ilvl w:val="0"/>
          <w:numId w:val="10"/>
        </w:numPr>
        <w:spacing w:after="120" w:line="240" w:lineRule="atLeast"/>
        <w:ind w:left="357" w:hanging="357"/>
        <w:rPr>
          <w:rFonts w:ascii="Arial" w:hAnsi="Arial" w:cs="Arial"/>
        </w:rPr>
      </w:pPr>
      <w:r w:rsidRPr="00673C9B">
        <w:rPr>
          <w:rFonts w:ascii="Arial" w:hAnsi="Arial" w:cs="Arial"/>
        </w:rPr>
        <w:t xml:space="preserve">We have considered the implications for Welsh language in the development of the </w:t>
      </w:r>
      <w:r w:rsidR="00336309">
        <w:rPr>
          <w:rFonts w:ascii="Arial" w:hAnsi="Arial" w:cs="Arial"/>
        </w:rPr>
        <w:t>Act</w:t>
      </w:r>
      <w:r w:rsidRPr="00673C9B">
        <w:rPr>
          <w:rFonts w:ascii="Arial" w:hAnsi="Arial" w:cs="Arial"/>
        </w:rPr>
        <w:t xml:space="preserve"> and </w:t>
      </w:r>
      <w:r w:rsidR="00E570FA">
        <w:rPr>
          <w:rFonts w:ascii="Arial" w:hAnsi="Arial" w:cs="Arial"/>
        </w:rPr>
        <w:t xml:space="preserve">will </w:t>
      </w:r>
      <w:r w:rsidRPr="00673C9B">
        <w:rPr>
          <w:rFonts w:ascii="Arial" w:hAnsi="Arial" w:cs="Arial"/>
        </w:rPr>
        <w:t xml:space="preserve">publish a summary of </w:t>
      </w:r>
      <w:r w:rsidR="00E570FA">
        <w:rPr>
          <w:rFonts w:ascii="Arial" w:hAnsi="Arial" w:cs="Arial"/>
        </w:rPr>
        <w:t xml:space="preserve">the content of </w:t>
      </w:r>
      <w:r w:rsidR="0005517E">
        <w:rPr>
          <w:rFonts w:ascii="Arial" w:hAnsi="Arial" w:cs="Arial"/>
        </w:rPr>
        <w:t>the Act</w:t>
      </w:r>
      <w:r>
        <w:rPr>
          <w:rFonts w:ascii="Arial" w:hAnsi="Arial" w:cs="Arial"/>
        </w:rPr>
        <w:t>.</w:t>
      </w:r>
    </w:p>
    <w:p w14:paraId="66C7B87E" w14:textId="77777777" w:rsidR="004410E9" w:rsidRPr="00566381" w:rsidRDefault="004410E9" w:rsidP="00586ECB">
      <w:pPr>
        <w:pStyle w:val="EBBullet"/>
        <w:keepNext/>
        <w:numPr>
          <w:ilvl w:val="0"/>
          <w:numId w:val="19"/>
        </w:numPr>
        <w:spacing w:line="240" w:lineRule="atLeast"/>
        <w:ind w:left="357" w:hanging="357"/>
        <w:jc w:val="both"/>
        <w:rPr>
          <w:b/>
          <w:sz w:val="28"/>
          <w:szCs w:val="28"/>
        </w:rPr>
      </w:pPr>
      <w:r w:rsidRPr="00566381">
        <w:rPr>
          <w:b/>
          <w:sz w:val="28"/>
          <w:szCs w:val="28"/>
        </w:rPr>
        <w:t>Implementation</w:t>
      </w:r>
    </w:p>
    <w:p w14:paraId="16FDA5AC" w14:textId="77777777" w:rsidR="004410E9" w:rsidRDefault="004410E9" w:rsidP="00586ECB">
      <w:pPr>
        <w:pStyle w:val="EBBullet"/>
        <w:keepNext/>
        <w:numPr>
          <w:ilvl w:val="0"/>
          <w:numId w:val="10"/>
        </w:numPr>
        <w:spacing w:line="280" w:lineRule="atLeast"/>
        <w:ind w:left="357" w:hanging="357"/>
        <w:jc w:val="both"/>
      </w:pPr>
      <w:r>
        <w:t xml:space="preserve">The IAs for each of the </w:t>
      </w:r>
      <w:r w:rsidR="00336309">
        <w:t>legislative measures</w:t>
      </w:r>
      <w:r>
        <w:t xml:space="preserve"> described in this document provide more information about how the </w:t>
      </w:r>
      <w:r w:rsidR="00766F00">
        <w:t>they will</w:t>
      </w:r>
      <w:r>
        <w:t xml:space="preserve"> be implemented.</w:t>
      </w:r>
    </w:p>
    <w:p w14:paraId="05B2468A" w14:textId="77777777" w:rsidR="004410E9" w:rsidRPr="00566381" w:rsidRDefault="004410E9" w:rsidP="00586ECB">
      <w:pPr>
        <w:pStyle w:val="EBBullet"/>
        <w:keepNext/>
        <w:numPr>
          <w:ilvl w:val="0"/>
          <w:numId w:val="19"/>
        </w:numPr>
        <w:spacing w:line="280" w:lineRule="atLeast"/>
        <w:ind w:left="357" w:hanging="357"/>
        <w:jc w:val="both"/>
        <w:rPr>
          <w:b/>
          <w:sz w:val="28"/>
          <w:szCs w:val="28"/>
        </w:rPr>
      </w:pPr>
      <w:r w:rsidRPr="00566381">
        <w:rPr>
          <w:b/>
          <w:sz w:val="28"/>
          <w:szCs w:val="28"/>
        </w:rPr>
        <w:t>Monitoring &amp; Evaluation</w:t>
      </w:r>
    </w:p>
    <w:p w14:paraId="2348BCCE" w14:textId="77777777" w:rsidR="004410E9" w:rsidRPr="00283764" w:rsidRDefault="004410E9" w:rsidP="00586ECB">
      <w:pPr>
        <w:pStyle w:val="EBBullet"/>
        <w:keepNext/>
        <w:numPr>
          <w:ilvl w:val="0"/>
          <w:numId w:val="10"/>
        </w:numPr>
        <w:spacing w:line="280" w:lineRule="atLeast"/>
        <w:ind w:left="357" w:hanging="357"/>
        <w:jc w:val="both"/>
      </w:pPr>
      <w:r>
        <w:t xml:space="preserve">The IAs for each of the </w:t>
      </w:r>
      <w:r w:rsidR="00336309">
        <w:t>legisl</w:t>
      </w:r>
      <w:bookmarkStart w:id="25" w:name="_GoBack"/>
      <w:bookmarkEnd w:id="25"/>
      <w:r w:rsidR="00336309">
        <w:t xml:space="preserve">ative </w:t>
      </w:r>
      <w:r>
        <w:t xml:space="preserve">described in this document provide more information about how </w:t>
      </w:r>
      <w:r w:rsidR="00766F00">
        <w:t>they will</w:t>
      </w:r>
      <w:r>
        <w:t xml:space="preserve"> be monitored and evaluated.</w:t>
      </w:r>
    </w:p>
    <w:sectPr w:rsidR="004410E9" w:rsidRPr="0028376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6F6B" w14:textId="77777777" w:rsidR="00D679F9" w:rsidRDefault="00D679F9" w:rsidP="00770C6F">
      <w:pPr>
        <w:spacing w:after="0" w:line="240" w:lineRule="auto"/>
      </w:pPr>
      <w:r>
        <w:separator/>
      </w:r>
    </w:p>
  </w:endnote>
  <w:endnote w:type="continuationSeparator" w:id="0">
    <w:p w14:paraId="21C7A5C9" w14:textId="77777777" w:rsidR="00D679F9" w:rsidRDefault="00D679F9" w:rsidP="00770C6F">
      <w:pPr>
        <w:spacing w:after="0" w:line="240" w:lineRule="auto"/>
      </w:pPr>
      <w:r>
        <w:continuationSeparator/>
      </w:r>
    </w:p>
  </w:endnote>
  <w:endnote w:type="continuationNotice" w:id="1">
    <w:p w14:paraId="5C06BE50" w14:textId="77777777" w:rsidR="00D679F9" w:rsidRDefault="00D67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2915" w14:textId="6AD7465A" w:rsidR="0046783F" w:rsidRPr="00EB43FD" w:rsidRDefault="0046783F" w:rsidP="001C142D">
    <w:pPr>
      <w:pStyle w:val="Footer"/>
    </w:pPr>
    <w:r w:rsidRPr="00EB43FD">
      <w:rPr>
        <w:rStyle w:val="PageNumber"/>
        <w:rFonts w:eastAsia="SimSun"/>
        <w:b/>
        <w:szCs w:val="18"/>
      </w:rPr>
      <w:fldChar w:fldCharType="begin"/>
    </w:r>
    <w:r w:rsidRPr="00EB43FD">
      <w:rPr>
        <w:rStyle w:val="PageNumber"/>
        <w:rFonts w:eastAsia="SimSun"/>
        <w:szCs w:val="18"/>
      </w:rPr>
      <w:instrText xml:space="preserve"> PAGE </w:instrText>
    </w:r>
    <w:r w:rsidRPr="00EB43FD">
      <w:rPr>
        <w:rStyle w:val="PageNumber"/>
        <w:rFonts w:eastAsia="SimSun"/>
        <w:b/>
        <w:szCs w:val="18"/>
      </w:rPr>
      <w:fldChar w:fldCharType="separate"/>
    </w:r>
    <w:r w:rsidR="0001269D">
      <w:rPr>
        <w:rStyle w:val="PageNumber"/>
        <w:rFonts w:eastAsia="SimSun"/>
        <w:noProof/>
        <w:szCs w:val="18"/>
      </w:rPr>
      <w:t>1</w:t>
    </w:r>
    <w:r w:rsidRPr="00EB43FD">
      <w:rPr>
        <w:rStyle w:val="PageNumber"/>
        <w:rFonts w:eastAsia="SimSun"/>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461C" w14:textId="1FDB8926" w:rsidR="0046783F" w:rsidRPr="00EB43FD" w:rsidRDefault="0046783F" w:rsidP="00E97387">
    <w:pPr>
      <w:pStyle w:val="Footer"/>
    </w:pPr>
    <w:r w:rsidRPr="00EB43FD">
      <w:rPr>
        <w:rStyle w:val="PageNumber"/>
        <w:rFonts w:eastAsia="SimSun"/>
        <w:b/>
        <w:szCs w:val="18"/>
      </w:rPr>
      <w:fldChar w:fldCharType="begin"/>
    </w:r>
    <w:r w:rsidRPr="00EB43FD">
      <w:rPr>
        <w:rStyle w:val="PageNumber"/>
        <w:rFonts w:eastAsia="SimSun"/>
        <w:szCs w:val="18"/>
      </w:rPr>
      <w:instrText xml:space="preserve"> PAGE </w:instrText>
    </w:r>
    <w:r w:rsidRPr="00EB43FD">
      <w:rPr>
        <w:rStyle w:val="PageNumber"/>
        <w:rFonts w:eastAsia="SimSun"/>
        <w:b/>
        <w:szCs w:val="18"/>
      </w:rPr>
      <w:fldChar w:fldCharType="separate"/>
    </w:r>
    <w:r w:rsidR="0001269D">
      <w:rPr>
        <w:rStyle w:val="PageNumber"/>
        <w:rFonts w:eastAsia="SimSun"/>
        <w:noProof/>
        <w:szCs w:val="18"/>
      </w:rPr>
      <w:t>2</w:t>
    </w:r>
    <w:r w:rsidRPr="00EB43FD">
      <w:rPr>
        <w:rStyle w:val="PageNumber"/>
        <w:rFonts w:eastAsia="SimSun"/>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6901" w14:textId="308E9D96" w:rsidR="0046783F" w:rsidRDefault="0046783F">
    <w:pPr>
      <w:pStyle w:val="Footer"/>
      <w:jc w:val="center"/>
    </w:pPr>
    <w:r>
      <w:fldChar w:fldCharType="begin"/>
    </w:r>
    <w:r>
      <w:instrText xml:space="preserve"> PAGE   \* MERGEFORMAT </w:instrText>
    </w:r>
    <w:r>
      <w:fldChar w:fldCharType="separate"/>
    </w:r>
    <w:r w:rsidR="00586ECB">
      <w:rPr>
        <w:noProof/>
      </w:rPr>
      <w:t>16</w:t>
    </w:r>
    <w:r>
      <w:rPr>
        <w:noProof/>
      </w:rPr>
      <w:fldChar w:fldCharType="end"/>
    </w:r>
  </w:p>
  <w:p w14:paraId="709717CA" w14:textId="77777777" w:rsidR="0046783F" w:rsidRDefault="0046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CD80" w14:textId="77777777" w:rsidR="00D679F9" w:rsidRDefault="00D679F9" w:rsidP="00770C6F">
      <w:pPr>
        <w:spacing w:after="0" w:line="240" w:lineRule="auto"/>
      </w:pPr>
      <w:r>
        <w:separator/>
      </w:r>
    </w:p>
  </w:footnote>
  <w:footnote w:type="continuationSeparator" w:id="0">
    <w:p w14:paraId="5822D885" w14:textId="77777777" w:rsidR="00D679F9" w:rsidRDefault="00D679F9" w:rsidP="00770C6F">
      <w:pPr>
        <w:spacing w:after="0" w:line="240" w:lineRule="auto"/>
      </w:pPr>
      <w:r>
        <w:continuationSeparator/>
      </w:r>
    </w:p>
  </w:footnote>
  <w:footnote w:type="continuationNotice" w:id="1">
    <w:p w14:paraId="68AA2E43" w14:textId="77777777" w:rsidR="00D679F9" w:rsidRDefault="00D67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91A2" w14:textId="77777777" w:rsidR="0046783F" w:rsidRDefault="0046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D918" w14:textId="77777777" w:rsidR="0046783F" w:rsidRDefault="0046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9A3"/>
    <w:multiLevelType w:val="hybridMultilevel"/>
    <w:tmpl w:val="DF7C2CEE"/>
    <w:lvl w:ilvl="0" w:tplc="08090005">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 w15:restartNumberingAfterBreak="0">
    <w:nsid w:val="025C3CD9"/>
    <w:multiLevelType w:val="hybridMultilevel"/>
    <w:tmpl w:val="7640EE1C"/>
    <w:lvl w:ilvl="0" w:tplc="D05043FC">
      <w:start w:val="1"/>
      <w:numFmt w:val="decimal"/>
      <w:lvlText w:val="%1."/>
      <w:lvlJc w:val="left"/>
      <w:pPr>
        <w:ind w:left="36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25A0"/>
    <w:multiLevelType w:val="hybridMultilevel"/>
    <w:tmpl w:val="01D6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B83"/>
    <w:multiLevelType w:val="hybridMultilevel"/>
    <w:tmpl w:val="2656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1363C"/>
    <w:multiLevelType w:val="hybridMultilevel"/>
    <w:tmpl w:val="A24E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1A78"/>
    <w:multiLevelType w:val="hybridMultilevel"/>
    <w:tmpl w:val="354AC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3835B2"/>
    <w:multiLevelType w:val="hybridMultilevel"/>
    <w:tmpl w:val="3D1E2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64E172A"/>
    <w:multiLevelType w:val="hybridMultilevel"/>
    <w:tmpl w:val="5F4A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4598A"/>
    <w:multiLevelType w:val="hybridMultilevel"/>
    <w:tmpl w:val="B06252F4"/>
    <w:lvl w:ilvl="0" w:tplc="CE32E634">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73F4"/>
    <w:multiLevelType w:val="hybridMultilevel"/>
    <w:tmpl w:val="202CA5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D134F46"/>
    <w:multiLevelType w:val="hybridMultilevel"/>
    <w:tmpl w:val="F236A1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color w:val="auto"/>
        <w:sz w:val="22"/>
        <w:szCs w:val="22"/>
      </w:rPr>
    </w:lvl>
    <w:lvl w:ilvl="1" w:tplc="FFFFFFFF">
      <w:start w:val="1"/>
      <w:numFmt w:val="lowerLetter"/>
      <w:lvlText w:val="%2)"/>
      <w:lvlJc w:val="left"/>
      <w:pPr>
        <w:tabs>
          <w:tab w:val="num" w:pos="1440"/>
        </w:tabs>
        <w:ind w:left="1440" w:hanging="360"/>
      </w:pPr>
      <w:rPr>
        <w:b w:val="0"/>
        <w:i w:val="0"/>
        <w:sz w:val="22"/>
        <w:szCs w:val="22"/>
      </w:rPr>
    </w:lvl>
    <w:lvl w:ilvl="2" w:tplc="FFFFFFFF">
      <w:start w:val="1"/>
      <w:numFmt w:val="decimal"/>
      <w:lvlText w:val="%3."/>
      <w:lvlJc w:val="left"/>
      <w:pPr>
        <w:tabs>
          <w:tab w:val="num" w:pos="2340"/>
        </w:tabs>
        <w:ind w:left="2340" w:hanging="360"/>
      </w:pPr>
      <w:rPr>
        <w:b w:val="0"/>
        <w:i w:val="0"/>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E1E413D"/>
    <w:multiLevelType w:val="hybridMultilevel"/>
    <w:tmpl w:val="425AC4BC"/>
    <w:lvl w:ilvl="0" w:tplc="5222439C">
      <w:start w:val="3"/>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3F02118"/>
    <w:multiLevelType w:val="hybridMultilevel"/>
    <w:tmpl w:val="5BC63F9C"/>
    <w:lvl w:ilvl="0" w:tplc="08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48E704FE"/>
    <w:multiLevelType w:val="hybridMultilevel"/>
    <w:tmpl w:val="3DE853D2"/>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488"/>
    <w:multiLevelType w:val="hybridMultilevel"/>
    <w:tmpl w:val="7C90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95992"/>
    <w:multiLevelType w:val="hybridMultilevel"/>
    <w:tmpl w:val="9F866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E76FA"/>
    <w:multiLevelType w:val="multilevel"/>
    <w:tmpl w:val="77743F4A"/>
    <w:lvl w:ilvl="0">
      <w:start w:val="1"/>
      <w:numFmt w:val="decimal"/>
      <w:lvlText w:val="%1."/>
      <w:lvlJc w:val="left"/>
      <w:pPr>
        <w:ind w:left="720" w:hanging="360"/>
      </w:pPr>
      <w:rPr>
        <w:rFonts w:hint="default"/>
        <w:sz w:val="22"/>
        <w:szCs w:val="22"/>
      </w:rPr>
    </w:lvl>
    <w:lvl w:ilvl="1">
      <w:start w:val="1"/>
      <w:numFmt w:val="decimal"/>
      <w:isLgl/>
      <w:lvlText w:val="%2."/>
      <w:lvlJc w:val="left"/>
      <w:pPr>
        <w:ind w:left="737" w:hanging="377"/>
      </w:pPr>
      <w:rPr>
        <w:rFonts w:ascii="Arial" w:eastAsia="Times New Roman" w:hAnsi="Arial" w:cs="Arial"/>
        <w:i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7B2928A6"/>
    <w:multiLevelType w:val="hybridMultilevel"/>
    <w:tmpl w:val="484CED78"/>
    <w:lvl w:ilvl="0" w:tplc="DFB00C36">
      <w:start w:val="1"/>
      <w:numFmt w:val="decimal"/>
      <w:lvlText w:val="%1."/>
      <w:lvlJc w:val="left"/>
      <w:pPr>
        <w:ind w:left="360" w:hanging="360"/>
      </w:pPr>
      <w:rPr>
        <w:rFonts w:ascii="Arial" w:hAnsi="Arial" w:cs="Arial" w:hint="default"/>
        <w:b w:val="0"/>
        <w:i w:val="0"/>
        <w:sz w:val="22"/>
        <w:szCs w:val="22"/>
      </w:rPr>
    </w:lvl>
    <w:lvl w:ilvl="1" w:tplc="08090001">
      <w:start w:val="1"/>
      <w:numFmt w:val="bullet"/>
      <w:lvlText w:val=""/>
      <w:lvlJc w:val="left"/>
      <w:pPr>
        <w:ind w:left="-3806" w:hanging="360"/>
      </w:pPr>
      <w:rPr>
        <w:rFonts w:ascii="Symbol" w:hAnsi="Symbol" w:hint="default"/>
      </w:rPr>
    </w:lvl>
    <w:lvl w:ilvl="2" w:tplc="0809001B" w:tentative="1">
      <w:start w:val="1"/>
      <w:numFmt w:val="lowerRoman"/>
      <w:lvlText w:val="%3."/>
      <w:lvlJc w:val="right"/>
      <w:pPr>
        <w:ind w:left="-3086" w:hanging="180"/>
      </w:pPr>
    </w:lvl>
    <w:lvl w:ilvl="3" w:tplc="0809000F" w:tentative="1">
      <w:start w:val="1"/>
      <w:numFmt w:val="decimal"/>
      <w:lvlText w:val="%4."/>
      <w:lvlJc w:val="left"/>
      <w:pPr>
        <w:ind w:left="-2366" w:hanging="360"/>
      </w:pPr>
    </w:lvl>
    <w:lvl w:ilvl="4" w:tplc="08090019" w:tentative="1">
      <w:start w:val="1"/>
      <w:numFmt w:val="lowerLetter"/>
      <w:lvlText w:val="%5."/>
      <w:lvlJc w:val="left"/>
      <w:pPr>
        <w:ind w:left="-1646" w:hanging="360"/>
      </w:pPr>
    </w:lvl>
    <w:lvl w:ilvl="5" w:tplc="0809001B" w:tentative="1">
      <w:start w:val="1"/>
      <w:numFmt w:val="lowerRoman"/>
      <w:lvlText w:val="%6."/>
      <w:lvlJc w:val="right"/>
      <w:pPr>
        <w:ind w:left="-926" w:hanging="180"/>
      </w:pPr>
    </w:lvl>
    <w:lvl w:ilvl="6" w:tplc="0809000F" w:tentative="1">
      <w:start w:val="1"/>
      <w:numFmt w:val="decimal"/>
      <w:lvlText w:val="%7."/>
      <w:lvlJc w:val="left"/>
      <w:pPr>
        <w:ind w:left="-206" w:hanging="360"/>
      </w:pPr>
    </w:lvl>
    <w:lvl w:ilvl="7" w:tplc="08090019" w:tentative="1">
      <w:start w:val="1"/>
      <w:numFmt w:val="lowerLetter"/>
      <w:lvlText w:val="%8."/>
      <w:lvlJc w:val="left"/>
      <w:pPr>
        <w:ind w:left="514" w:hanging="360"/>
      </w:pPr>
    </w:lvl>
    <w:lvl w:ilvl="8" w:tplc="0809001B" w:tentative="1">
      <w:start w:val="1"/>
      <w:numFmt w:val="lowerRoman"/>
      <w:lvlText w:val="%9."/>
      <w:lvlJc w:val="right"/>
      <w:pPr>
        <w:ind w:left="1234" w:hanging="180"/>
      </w:pPr>
    </w:lvl>
  </w:abstractNum>
  <w:abstractNum w:abstractNumId="19"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7"/>
  </w:num>
  <w:num w:numId="2">
    <w:abstractNumId w:val="19"/>
  </w:num>
  <w:num w:numId="3">
    <w:abstractNumId w:val="12"/>
  </w:num>
  <w:num w:numId="4">
    <w:abstractNumId w:val="9"/>
  </w:num>
  <w:num w:numId="5">
    <w:abstractNumId w:val="13"/>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num>
  <w:num w:numId="11">
    <w:abstractNumId w:val="8"/>
  </w:num>
  <w:num w:numId="12">
    <w:abstractNumId w:val="0"/>
  </w:num>
  <w:num w:numId="13">
    <w:abstractNumId w:val="15"/>
  </w:num>
  <w:num w:numId="14">
    <w:abstractNumId w:val="3"/>
  </w:num>
  <w:num w:numId="15">
    <w:abstractNumId w:val="10"/>
  </w:num>
  <w:num w:numId="16">
    <w:abstractNumId w:val="17"/>
  </w:num>
  <w:num w:numId="17">
    <w:abstractNumId w:val="4"/>
  </w:num>
  <w:num w:numId="18">
    <w:abstractNumId w:val="18"/>
  </w:num>
  <w:num w:numId="19">
    <w:abstractNumId w:val="14"/>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6F"/>
    <w:rsid w:val="00001657"/>
    <w:rsid w:val="00003F3A"/>
    <w:rsid w:val="0000417C"/>
    <w:rsid w:val="00004D6F"/>
    <w:rsid w:val="00010594"/>
    <w:rsid w:val="00010B62"/>
    <w:rsid w:val="0001269D"/>
    <w:rsid w:val="00014EE1"/>
    <w:rsid w:val="00015D9B"/>
    <w:rsid w:val="00017DF8"/>
    <w:rsid w:val="000207C6"/>
    <w:rsid w:val="0002094E"/>
    <w:rsid w:val="000221D4"/>
    <w:rsid w:val="000239F6"/>
    <w:rsid w:val="000332A7"/>
    <w:rsid w:val="000335D5"/>
    <w:rsid w:val="00033C07"/>
    <w:rsid w:val="00034BE9"/>
    <w:rsid w:val="00036C10"/>
    <w:rsid w:val="000375BB"/>
    <w:rsid w:val="00040D49"/>
    <w:rsid w:val="00042588"/>
    <w:rsid w:val="00042E18"/>
    <w:rsid w:val="00043334"/>
    <w:rsid w:val="00043A8F"/>
    <w:rsid w:val="00047DF9"/>
    <w:rsid w:val="00051B23"/>
    <w:rsid w:val="00051BD8"/>
    <w:rsid w:val="00051CB7"/>
    <w:rsid w:val="00053FA9"/>
    <w:rsid w:val="0005517E"/>
    <w:rsid w:val="00056E7A"/>
    <w:rsid w:val="0006132F"/>
    <w:rsid w:val="00061D6F"/>
    <w:rsid w:val="00061DA2"/>
    <w:rsid w:val="0006682B"/>
    <w:rsid w:val="000669F4"/>
    <w:rsid w:val="00070AA5"/>
    <w:rsid w:val="00080679"/>
    <w:rsid w:val="000806B8"/>
    <w:rsid w:val="00081E18"/>
    <w:rsid w:val="00082215"/>
    <w:rsid w:val="00083B0C"/>
    <w:rsid w:val="00083F42"/>
    <w:rsid w:val="00083FC4"/>
    <w:rsid w:val="000859E7"/>
    <w:rsid w:val="00090C8A"/>
    <w:rsid w:val="00090E1F"/>
    <w:rsid w:val="000911F0"/>
    <w:rsid w:val="0009137F"/>
    <w:rsid w:val="00094A79"/>
    <w:rsid w:val="0009740C"/>
    <w:rsid w:val="0009799F"/>
    <w:rsid w:val="00097EDD"/>
    <w:rsid w:val="00097F19"/>
    <w:rsid w:val="000A1609"/>
    <w:rsid w:val="000A2A4E"/>
    <w:rsid w:val="000B324A"/>
    <w:rsid w:val="000B411E"/>
    <w:rsid w:val="000B4877"/>
    <w:rsid w:val="000B599A"/>
    <w:rsid w:val="000C1846"/>
    <w:rsid w:val="000C2577"/>
    <w:rsid w:val="000C35A0"/>
    <w:rsid w:val="000C48DB"/>
    <w:rsid w:val="000C5A43"/>
    <w:rsid w:val="000D2227"/>
    <w:rsid w:val="000D3873"/>
    <w:rsid w:val="000D4C31"/>
    <w:rsid w:val="000E20EC"/>
    <w:rsid w:val="000E2AF2"/>
    <w:rsid w:val="000E4C3A"/>
    <w:rsid w:val="000E5330"/>
    <w:rsid w:val="000E7510"/>
    <w:rsid w:val="000E7FF2"/>
    <w:rsid w:val="000F0CED"/>
    <w:rsid w:val="000F182F"/>
    <w:rsid w:val="000F263D"/>
    <w:rsid w:val="000F27C7"/>
    <w:rsid w:val="000F3363"/>
    <w:rsid w:val="000F5637"/>
    <w:rsid w:val="001045B1"/>
    <w:rsid w:val="00105F2E"/>
    <w:rsid w:val="001069D3"/>
    <w:rsid w:val="00106A1E"/>
    <w:rsid w:val="00110EB2"/>
    <w:rsid w:val="00111325"/>
    <w:rsid w:val="00112943"/>
    <w:rsid w:val="00112D6D"/>
    <w:rsid w:val="00116A6E"/>
    <w:rsid w:val="00117F37"/>
    <w:rsid w:val="00123A1D"/>
    <w:rsid w:val="00125070"/>
    <w:rsid w:val="001255F5"/>
    <w:rsid w:val="00127B04"/>
    <w:rsid w:val="001301E8"/>
    <w:rsid w:val="00136B25"/>
    <w:rsid w:val="00136B5E"/>
    <w:rsid w:val="00136F17"/>
    <w:rsid w:val="001416F4"/>
    <w:rsid w:val="00145B1F"/>
    <w:rsid w:val="00145F6B"/>
    <w:rsid w:val="00146ABD"/>
    <w:rsid w:val="0014762F"/>
    <w:rsid w:val="00147E6A"/>
    <w:rsid w:val="00154B73"/>
    <w:rsid w:val="00157A6D"/>
    <w:rsid w:val="0016130C"/>
    <w:rsid w:val="00163CB1"/>
    <w:rsid w:val="00164E2C"/>
    <w:rsid w:val="00165463"/>
    <w:rsid w:val="0016566B"/>
    <w:rsid w:val="00166C93"/>
    <w:rsid w:val="001702C8"/>
    <w:rsid w:val="00170DE3"/>
    <w:rsid w:val="00171317"/>
    <w:rsid w:val="00172CD6"/>
    <w:rsid w:val="0017564A"/>
    <w:rsid w:val="00176A56"/>
    <w:rsid w:val="00176B46"/>
    <w:rsid w:val="00177EE4"/>
    <w:rsid w:val="00180EFB"/>
    <w:rsid w:val="001825B5"/>
    <w:rsid w:val="00183021"/>
    <w:rsid w:val="00184FD1"/>
    <w:rsid w:val="0018786A"/>
    <w:rsid w:val="0019069A"/>
    <w:rsid w:val="00191722"/>
    <w:rsid w:val="00192897"/>
    <w:rsid w:val="00192D2B"/>
    <w:rsid w:val="001942BF"/>
    <w:rsid w:val="00195ED6"/>
    <w:rsid w:val="001977A4"/>
    <w:rsid w:val="001A2804"/>
    <w:rsid w:val="001A34B7"/>
    <w:rsid w:val="001A456C"/>
    <w:rsid w:val="001A6021"/>
    <w:rsid w:val="001B34E5"/>
    <w:rsid w:val="001B37AA"/>
    <w:rsid w:val="001B3984"/>
    <w:rsid w:val="001C05AF"/>
    <w:rsid w:val="001C12CE"/>
    <w:rsid w:val="001C142D"/>
    <w:rsid w:val="001C746F"/>
    <w:rsid w:val="001D343E"/>
    <w:rsid w:val="001D46A2"/>
    <w:rsid w:val="001D49E9"/>
    <w:rsid w:val="001D5936"/>
    <w:rsid w:val="001D64DC"/>
    <w:rsid w:val="001D6ACA"/>
    <w:rsid w:val="001D6E4F"/>
    <w:rsid w:val="001E02E2"/>
    <w:rsid w:val="001E1EBA"/>
    <w:rsid w:val="001E3F9A"/>
    <w:rsid w:val="001E422E"/>
    <w:rsid w:val="001F1C1A"/>
    <w:rsid w:val="001F291F"/>
    <w:rsid w:val="001F3FCE"/>
    <w:rsid w:val="001F4067"/>
    <w:rsid w:val="001F4FDB"/>
    <w:rsid w:val="00200207"/>
    <w:rsid w:val="00202865"/>
    <w:rsid w:val="002031E7"/>
    <w:rsid w:val="00203FED"/>
    <w:rsid w:val="00204409"/>
    <w:rsid w:val="00205BFD"/>
    <w:rsid w:val="00207EC4"/>
    <w:rsid w:val="002103F7"/>
    <w:rsid w:val="00211CE0"/>
    <w:rsid w:val="00213CEB"/>
    <w:rsid w:val="00214836"/>
    <w:rsid w:val="00214DA7"/>
    <w:rsid w:val="002235B6"/>
    <w:rsid w:val="00227109"/>
    <w:rsid w:val="0023048B"/>
    <w:rsid w:val="002327F2"/>
    <w:rsid w:val="002329E4"/>
    <w:rsid w:val="002335C4"/>
    <w:rsid w:val="002352FE"/>
    <w:rsid w:val="00236667"/>
    <w:rsid w:val="00240221"/>
    <w:rsid w:val="00244C5F"/>
    <w:rsid w:val="00245BDE"/>
    <w:rsid w:val="002470E6"/>
    <w:rsid w:val="00247565"/>
    <w:rsid w:val="00252BBA"/>
    <w:rsid w:val="00254EC8"/>
    <w:rsid w:val="00257291"/>
    <w:rsid w:val="002579CB"/>
    <w:rsid w:val="0026310D"/>
    <w:rsid w:val="00263971"/>
    <w:rsid w:val="00265A0B"/>
    <w:rsid w:val="00267768"/>
    <w:rsid w:val="002712B7"/>
    <w:rsid w:val="00272298"/>
    <w:rsid w:val="0027289F"/>
    <w:rsid w:val="00275042"/>
    <w:rsid w:val="00275BC3"/>
    <w:rsid w:val="0027640F"/>
    <w:rsid w:val="002771C4"/>
    <w:rsid w:val="00277C10"/>
    <w:rsid w:val="00280188"/>
    <w:rsid w:val="0028122E"/>
    <w:rsid w:val="00283764"/>
    <w:rsid w:val="0028380A"/>
    <w:rsid w:val="0028549F"/>
    <w:rsid w:val="00290BFE"/>
    <w:rsid w:val="00290DDE"/>
    <w:rsid w:val="00294042"/>
    <w:rsid w:val="002965E0"/>
    <w:rsid w:val="00297043"/>
    <w:rsid w:val="002A01ED"/>
    <w:rsid w:val="002A0DF7"/>
    <w:rsid w:val="002A29B8"/>
    <w:rsid w:val="002A4114"/>
    <w:rsid w:val="002A555B"/>
    <w:rsid w:val="002A6B1C"/>
    <w:rsid w:val="002B0AF8"/>
    <w:rsid w:val="002B14AC"/>
    <w:rsid w:val="002B4ADE"/>
    <w:rsid w:val="002B5A5D"/>
    <w:rsid w:val="002B68DC"/>
    <w:rsid w:val="002B7487"/>
    <w:rsid w:val="002C0794"/>
    <w:rsid w:val="002C3ECA"/>
    <w:rsid w:val="002C75F0"/>
    <w:rsid w:val="002C7AB1"/>
    <w:rsid w:val="002D3BE2"/>
    <w:rsid w:val="002D5122"/>
    <w:rsid w:val="002D5629"/>
    <w:rsid w:val="002D683C"/>
    <w:rsid w:val="002E0275"/>
    <w:rsid w:val="002E34AE"/>
    <w:rsid w:val="002E4C01"/>
    <w:rsid w:val="002E5C55"/>
    <w:rsid w:val="002E76D0"/>
    <w:rsid w:val="002E78ED"/>
    <w:rsid w:val="002F17F7"/>
    <w:rsid w:val="002F474A"/>
    <w:rsid w:val="002F627C"/>
    <w:rsid w:val="0030105F"/>
    <w:rsid w:val="0030109C"/>
    <w:rsid w:val="00302122"/>
    <w:rsid w:val="00306B9B"/>
    <w:rsid w:val="00315FCA"/>
    <w:rsid w:val="00317151"/>
    <w:rsid w:val="00317337"/>
    <w:rsid w:val="0032120E"/>
    <w:rsid w:val="0032323C"/>
    <w:rsid w:val="003260FE"/>
    <w:rsid w:val="00332B1F"/>
    <w:rsid w:val="00333AFE"/>
    <w:rsid w:val="00334188"/>
    <w:rsid w:val="00336309"/>
    <w:rsid w:val="00337CF0"/>
    <w:rsid w:val="00337DD1"/>
    <w:rsid w:val="00343EB7"/>
    <w:rsid w:val="003443CB"/>
    <w:rsid w:val="00344894"/>
    <w:rsid w:val="00345A35"/>
    <w:rsid w:val="003460E9"/>
    <w:rsid w:val="00346D16"/>
    <w:rsid w:val="00347342"/>
    <w:rsid w:val="003519A6"/>
    <w:rsid w:val="00351D9C"/>
    <w:rsid w:val="00352481"/>
    <w:rsid w:val="003558EA"/>
    <w:rsid w:val="00362934"/>
    <w:rsid w:val="00364939"/>
    <w:rsid w:val="00364AA0"/>
    <w:rsid w:val="00364AA2"/>
    <w:rsid w:val="003662F1"/>
    <w:rsid w:val="003668FC"/>
    <w:rsid w:val="0037150C"/>
    <w:rsid w:val="00371598"/>
    <w:rsid w:val="003733D4"/>
    <w:rsid w:val="00373C2A"/>
    <w:rsid w:val="00374CF2"/>
    <w:rsid w:val="0037503A"/>
    <w:rsid w:val="00387B13"/>
    <w:rsid w:val="00390E5C"/>
    <w:rsid w:val="00391BBD"/>
    <w:rsid w:val="00392C5E"/>
    <w:rsid w:val="0039361F"/>
    <w:rsid w:val="00393D7B"/>
    <w:rsid w:val="003A4EE0"/>
    <w:rsid w:val="003A5142"/>
    <w:rsid w:val="003A5160"/>
    <w:rsid w:val="003B2485"/>
    <w:rsid w:val="003B3131"/>
    <w:rsid w:val="003B3AB1"/>
    <w:rsid w:val="003C05FE"/>
    <w:rsid w:val="003C14DF"/>
    <w:rsid w:val="003C2127"/>
    <w:rsid w:val="003C2DC3"/>
    <w:rsid w:val="003C68EA"/>
    <w:rsid w:val="003D1E84"/>
    <w:rsid w:val="003D3920"/>
    <w:rsid w:val="003D57C5"/>
    <w:rsid w:val="003D6B0D"/>
    <w:rsid w:val="003E0CCE"/>
    <w:rsid w:val="003E1B63"/>
    <w:rsid w:val="003E215C"/>
    <w:rsid w:val="003E7271"/>
    <w:rsid w:val="003E737B"/>
    <w:rsid w:val="003E7F68"/>
    <w:rsid w:val="003F3A92"/>
    <w:rsid w:val="003F46B4"/>
    <w:rsid w:val="003F7E6C"/>
    <w:rsid w:val="00404B2E"/>
    <w:rsid w:val="00412FF8"/>
    <w:rsid w:val="00413DEB"/>
    <w:rsid w:val="00415B71"/>
    <w:rsid w:val="00421498"/>
    <w:rsid w:val="004225F8"/>
    <w:rsid w:val="00422A02"/>
    <w:rsid w:val="00427A50"/>
    <w:rsid w:val="00427DE6"/>
    <w:rsid w:val="0043036E"/>
    <w:rsid w:val="00430BCE"/>
    <w:rsid w:val="00434742"/>
    <w:rsid w:val="00435C9A"/>
    <w:rsid w:val="00435DC2"/>
    <w:rsid w:val="00440C53"/>
    <w:rsid w:val="00440CC5"/>
    <w:rsid w:val="00440FA9"/>
    <w:rsid w:val="004410E9"/>
    <w:rsid w:val="00443F3B"/>
    <w:rsid w:val="00444EFA"/>
    <w:rsid w:val="0044557E"/>
    <w:rsid w:val="00450096"/>
    <w:rsid w:val="0045101B"/>
    <w:rsid w:val="00451BED"/>
    <w:rsid w:val="00452CAD"/>
    <w:rsid w:val="00454B37"/>
    <w:rsid w:val="00455CD5"/>
    <w:rsid w:val="0046044F"/>
    <w:rsid w:val="004604A1"/>
    <w:rsid w:val="004619E3"/>
    <w:rsid w:val="0046336C"/>
    <w:rsid w:val="00463ED4"/>
    <w:rsid w:val="004651CF"/>
    <w:rsid w:val="00465EDB"/>
    <w:rsid w:val="0046656B"/>
    <w:rsid w:val="0046783F"/>
    <w:rsid w:val="00471AA6"/>
    <w:rsid w:val="00471B30"/>
    <w:rsid w:val="00473BA6"/>
    <w:rsid w:val="0047579B"/>
    <w:rsid w:val="0048048D"/>
    <w:rsid w:val="00486815"/>
    <w:rsid w:val="004908D8"/>
    <w:rsid w:val="00490EF7"/>
    <w:rsid w:val="00494B97"/>
    <w:rsid w:val="004953BE"/>
    <w:rsid w:val="0049550D"/>
    <w:rsid w:val="004A0D2C"/>
    <w:rsid w:val="004A11A9"/>
    <w:rsid w:val="004A2D06"/>
    <w:rsid w:val="004A7DF7"/>
    <w:rsid w:val="004B1F9B"/>
    <w:rsid w:val="004B231C"/>
    <w:rsid w:val="004B24AD"/>
    <w:rsid w:val="004B26FB"/>
    <w:rsid w:val="004B36E0"/>
    <w:rsid w:val="004B477A"/>
    <w:rsid w:val="004C141E"/>
    <w:rsid w:val="004C2E33"/>
    <w:rsid w:val="004C4A07"/>
    <w:rsid w:val="004D0967"/>
    <w:rsid w:val="004D2A2C"/>
    <w:rsid w:val="004D2E6D"/>
    <w:rsid w:val="004D37C1"/>
    <w:rsid w:val="004D4943"/>
    <w:rsid w:val="004D4E3B"/>
    <w:rsid w:val="004D727F"/>
    <w:rsid w:val="004D771F"/>
    <w:rsid w:val="004E2263"/>
    <w:rsid w:val="004E2708"/>
    <w:rsid w:val="004E3402"/>
    <w:rsid w:val="004E41EA"/>
    <w:rsid w:val="004E62B0"/>
    <w:rsid w:val="004E632C"/>
    <w:rsid w:val="004E64BE"/>
    <w:rsid w:val="004E7836"/>
    <w:rsid w:val="004E7BE8"/>
    <w:rsid w:val="004E7E50"/>
    <w:rsid w:val="004E7F0E"/>
    <w:rsid w:val="004F308E"/>
    <w:rsid w:val="004F5945"/>
    <w:rsid w:val="004F71B8"/>
    <w:rsid w:val="00502844"/>
    <w:rsid w:val="005039A2"/>
    <w:rsid w:val="00504A8D"/>
    <w:rsid w:val="00510345"/>
    <w:rsid w:val="0051156B"/>
    <w:rsid w:val="00512E4E"/>
    <w:rsid w:val="00514034"/>
    <w:rsid w:val="0051456D"/>
    <w:rsid w:val="005220BC"/>
    <w:rsid w:val="00523F0B"/>
    <w:rsid w:val="0052410D"/>
    <w:rsid w:val="00524334"/>
    <w:rsid w:val="00531369"/>
    <w:rsid w:val="005334C2"/>
    <w:rsid w:val="0053431A"/>
    <w:rsid w:val="0053464F"/>
    <w:rsid w:val="00543E7C"/>
    <w:rsid w:val="0054436C"/>
    <w:rsid w:val="0054710D"/>
    <w:rsid w:val="00547BB1"/>
    <w:rsid w:val="00547D75"/>
    <w:rsid w:val="0055309C"/>
    <w:rsid w:val="00553FE3"/>
    <w:rsid w:val="00555FB4"/>
    <w:rsid w:val="00556CB1"/>
    <w:rsid w:val="0056218B"/>
    <w:rsid w:val="005639FD"/>
    <w:rsid w:val="00564343"/>
    <w:rsid w:val="00565912"/>
    <w:rsid w:val="005707FE"/>
    <w:rsid w:val="00571353"/>
    <w:rsid w:val="005715CA"/>
    <w:rsid w:val="00573B8B"/>
    <w:rsid w:val="00577D08"/>
    <w:rsid w:val="00580670"/>
    <w:rsid w:val="005817BF"/>
    <w:rsid w:val="0058195A"/>
    <w:rsid w:val="00585ED0"/>
    <w:rsid w:val="00586A30"/>
    <w:rsid w:val="00586DBC"/>
    <w:rsid w:val="00586ECB"/>
    <w:rsid w:val="00587F84"/>
    <w:rsid w:val="005904DB"/>
    <w:rsid w:val="005914AD"/>
    <w:rsid w:val="00591A93"/>
    <w:rsid w:val="0059391E"/>
    <w:rsid w:val="00594C4B"/>
    <w:rsid w:val="005950E9"/>
    <w:rsid w:val="005957E1"/>
    <w:rsid w:val="005A0E50"/>
    <w:rsid w:val="005A1DBD"/>
    <w:rsid w:val="005A3353"/>
    <w:rsid w:val="005A551D"/>
    <w:rsid w:val="005B1CE0"/>
    <w:rsid w:val="005B2B93"/>
    <w:rsid w:val="005B2F12"/>
    <w:rsid w:val="005B405A"/>
    <w:rsid w:val="005B4689"/>
    <w:rsid w:val="005B5D89"/>
    <w:rsid w:val="005C0013"/>
    <w:rsid w:val="005C1B01"/>
    <w:rsid w:val="005C52FD"/>
    <w:rsid w:val="005C6A74"/>
    <w:rsid w:val="005D1923"/>
    <w:rsid w:val="005D1FBC"/>
    <w:rsid w:val="005D2260"/>
    <w:rsid w:val="005D4494"/>
    <w:rsid w:val="005D6B66"/>
    <w:rsid w:val="005E2CC8"/>
    <w:rsid w:val="005E42BD"/>
    <w:rsid w:val="005E586C"/>
    <w:rsid w:val="005F136D"/>
    <w:rsid w:val="005F27C4"/>
    <w:rsid w:val="005F2BB8"/>
    <w:rsid w:val="005F4744"/>
    <w:rsid w:val="005F4A2D"/>
    <w:rsid w:val="005F4EC6"/>
    <w:rsid w:val="005F5F27"/>
    <w:rsid w:val="005F633D"/>
    <w:rsid w:val="006016D2"/>
    <w:rsid w:val="0060654B"/>
    <w:rsid w:val="0061043B"/>
    <w:rsid w:val="00611331"/>
    <w:rsid w:val="006135B9"/>
    <w:rsid w:val="0061663E"/>
    <w:rsid w:val="006168B1"/>
    <w:rsid w:val="006209B6"/>
    <w:rsid w:val="00623274"/>
    <w:rsid w:val="00623C46"/>
    <w:rsid w:val="006249D4"/>
    <w:rsid w:val="0062547C"/>
    <w:rsid w:val="006271F7"/>
    <w:rsid w:val="006311E0"/>
    <w:rsid w:val="00631E2D"/>
    <w:rsid w:val="006329A8"/>
    <w:rsid w:val="006371E3"/>
    <w:rsid w:val="006410A2"/>
    <w:rsid w:val="00646275"/>
    <w:rsid w:val="0065157B"/>
    <w:rsid w:val="0065193D"/>
    <w:rsid w:val="00656055"/>
    <w:rsid w:val="00656421"/>
    <w:rsid w:val="00657EB8"/>
    <w:rsid w:val="00660218"/>
    <w:rsid w:val="00664337"/>
    <w:rsid w:val="0067121C"/>
    <w:rsid w:val="006719F6"/>
    <w:rsid w:val="00672D91"/>
    <w:rsid w:val="0067619D"/>
    <w:rsid w:val="006821EF"/>
    <w:rsid w:val="00684414"/>
    <w:rsid w:val="006848D8"/>
    <w:rsid w:val="00685600"/>
    <w:rsid w:val="00685EB5"/>
    <w:rsid w:val="00686045"/>
    <w:rsid w:val="00695D49"/>
    <w:rsid w:val="006A0D37"/>
    <w:rsid w:val="006A260C"/>
    <w:rsid w:val="006A3AB5"/>
    <w:rsid w:val="006A50AD"/>
    <w:rsid w:val="006A77D2"/>
    <w:rsid w:val="006B07B2"/>
    <w:rsid w:val="006B1889"/>
    <w:rsid w:val="006B3670"/>
    <w:rsid w:val="006B4382"/>
    <w:rsid w:val="006C3B12"/>
    <w:rsid w:val="006C3EB3"/>
    <w:rsid w:val="006D04E3"/>
    <w:rsid w:val="006D0597"/>
    <w:rsid w:val="006D0EB0"/>
    <w:rsid w:val="006D25EB"/>
    <w:rsid w:val="006D3E9A"/>
    <w:rsid w:val="006D55E2"/>
    <w:rsid w:val="006D7CAD"/>
    <w:rsid w:val="006E28C0"/>
    <w:rsid w:val="006E35EE"/>
    <w:rsid w:val="006E4C8D"/>
    <w:rsid w:val="006E64D3"/>
    <w:rsid w:val="006F1568"/>
    <w:rsid w:val="006F1FD3"/>
    <w:rsid w:val="006F25DE"/>
    <w:rsid w:val="006F2650"/>
    <w:rsid w:val="006F2C37"/>
    <w:rsid w:val="006F3C0B"/>
    <w:rsid w:val="006F5424"/>
    <w:rsid w:val="006F568F"/>
    <w:rsid w:val="006F56FA"/>
    <w:rsid w:val="006F709A"/>
    <w:rsid w:val="00704647"/>
    <w:rsid w:val="00704887"/>
    <w:rsid w:val="007104D2"/>
    <w:rsid w:val="00710B01"/>
    <w:rsid w:val="00711AE1"/>
    <w:rsid w:val="00712E89"/>
    <w:rsid w:val="007133EC"/>
    <w:rsid w:val="00714D35"/>
    <w:rsid w:val="00715D8A"/>
    <w:rsid w:val="00716585"/>
    <w:rsid w:val="00717448"/>
    <w:rsid w:val="00724A80"/>
    <w:rsid w:val="0072503C"/>
    <w:rsid w:val="00725997"/>
    <w:rsid w:val="00731A3E"/>
    <w:rsid w:val="00735F09"/>
    <w:rsid w:val="00743C09"/>
    <w:rsid w:val="00745583"/>
    <w:rsid w:val="00746457"/>
    <w:rsid w:val="007501CD"/>
    <w:rsid w:val="00751367"/>
    <w:rsid w:val="0075205E"/>
    <w:rsid w:val="0075702E"/>
    <w:rsid w:val="007575FD"/>
    <w:rsid w:val="00762031"/>
    <w:rsid w:val="00763FE6"/>
    <w:rsid w:val="00766F00"/>
    <w:rsid w:val="007676CB"/>
    <w:rsid w:val="00767C0E"/>
    <w:rsid w:val="00770C6F"/>
    <w:rsid w:val="007753E1"/>
    <w:rsid w:val="0077685E"/>
    <w:rsid w:val="00776B7A"/>
    <w:rsid w:val="00787CC7"/>
    <w:rsid w:val="00790CA1"/>
    <w:rsid w:val="007940CD"/>
    <w:rsid w:val="00796501"/>
    <w:rsid w:val="00797B10"/>
    <w:rsid w:val="007A3256"/>
    <w:rsid w:val="007A34AB"/>
    <w:rsid w:val="007A375F"/>
    <w:rsid w:val="007A3AFD"/>
    <w:rsid w:val="007A5053"/>
    <w:rsid w:val="007A726E"/>
    <w:rsid w:val="007B1DAA"/>
    <w:rsid w:val="007B303C"/>
    <w:rsid w:val="007B4378"/>
    <w:rsid w:val="007B4ECF"/>
    <w:rsid w:val="007B5FB4"/>
    <w:rsid w:val="007B6AED"/>
    <w:rsid w:val="007C322F"/>
    <w:rsid w:val="007C5492"/>
    <w:rsid w:val="007D26B7"/>
    <w:rsid w:val="007D2C25"/>
    <w:rsid w:val="007D7172"/>
    <w:rsid w:val="007E0D94"/>
    <w:rsid w:val="007E0E2F"/>
    <w:rsid w:val="007E3AE1"/>
    <w:rsid w:val="007E4C7D"/>
    <w:rsid w:val="007E62FE"/>
    <w:rsid w:val="007F0207"/>
    <w:rsid w:val="007F6C44"/>
    <w:rsid w:val="00804BF9"/>
    <w:rsid w:val="00806388"/>
    <w:rsid w:val="008102D4"/>
    <w:rsid w:val="00810693"/>
    <w:rsid w:val="00811EDA"/>
    <w:rsid w:val="008120EA"/>
    <w:rsid w:val="00813366"/>
    <w:rsid w:val="008133E7"/>
    <w:rsid w:val="0081501B"/>
    <w:rsid w:val="00817160"/>
    <w:rsid w:val="0082111B"/>
    <w:rsid w:val="00821710"/>
    <w:rsid w:val="008232DA"/>
    <w:rsid w:val="00823AED"/>
    <w:rsid w:val="00824BEB"/>
    <w:rsid w:val="00827F57"/>
    <w:rsid w:val="0083071A"/>
    <w:rsid w:val="00834CB6"/>
    <w:rsid w:val="00835695"/>
    <w:rsid w:val="008356E9"/>
    <w:rsid w:val="008363B1"/>
    <w:rsid w:val="00844D65"/>
    <w:rsid w:val="008471ED"/>
    <w:rsid w:val="00847AC0"/>
    <w:rsid w:val="00851E6F"/>
    <w:rsid w:val="008532D0"/>
    <w:rsid w:val="00854778"/>
    <w:rsid w:val="00855945"/>
    <w:rsid w:val="00857569"/>
    <w:rsid w:val="00861081"/>
    <w:rsid w:val="008657CD"/>
    <w:rsid w:val="008660F4"/>
    <w:rsid w:val="00866CD1"/>
    <w:rsid w:val="00870182"/>
    <w:rsid w:val="0087080F"/>
    <w:rsid w:val="00873083"/>
    <w:rsid w:val="00873145"/>
    <w:rsid w:val="008832EC"/>
    <w:rsid w:val="0088426E"/>
    <w:rsid w:val="008842A6"/>
    <w:rsid w:val="00884742"/>
    <w:rsid w:val="0088567A"/>
    <w:rsid w:val="0088723F"/>
    <w:rsid w:val="00887540"/>
    <w:rsid w:val="0089223E"/>
    <w:rsid w:val="0089432B"/>
    <w:rsid w:val="00894AC3"/>
    <w:rsid w:val="008A0CEF"/>
    <w:rsid w:val="008A4C9B"/>
    <w:rsid w:val="008A5312"/>
    <w:rsid w:val="008A67B0"/>
    <w:rsid w:val="008A6865"/>
    <w:rsid w:val="008B0382"/>
    <w:rsid w:val="008B3113"/>
    <w:rsid w:val="008B37DF"/>
    <w:rsid w:val="008B3AF1"/>
    <w:rsid w:val="008B6424"/>
    <w:rsid w:val="008B6FAA"/>
    <w:rsid w:val="008C2EB8"/>
    <w:rsid w:val="008C3559"/>
    <w:rsid w:val="008C6899"/>
    <w:rsid w:val="008D3287"/>
    <w:rsid w:val="008E0357"/>
    <w:rsid w:val="008E0363"/>
    <w:rsid w:val="008E296E"/>
    <w:rsid w:val="008E4193"/>
    <w:rsid w:val="008E5D6A"/>
    <w:rsid w:val="008E69F5"/>
    <w:rsid w:val="008F00BF"/>
    <w:rsid w:val="008F11CA"/>
    <w:rsid w:val="008F52A7"/>
    <w:rsid w:val="008F5A93"/>
    <w:rsid w:val="008F5F58"/>
    <w:rsid w:val="008F7761"/>
    <w:rsid w:val="00901EDA"/>
    <w:rsid w:val="00902154"/>
    <w:rsid w:val="00902382"/>
    <w:rsid w:val="0090261B"/>
    <w:rsid w:val="00904F1B"/>
    <w:rsid w:val="009064F2"/>
    <w:rsid w:val="00912E41"/>
    <w:rsid w:val="0091389D"/>
    <w:rsid w:val="009256D2"/>
    <w:rsid w:val="009267ED"/>
    <w:rsid w:val="0093007A"/>
    <w:rsid w:val="00932383"/>
    <w:rsid w:val="009333AD"/>
    <w:rsid w:val="00934D04"/>
    <w:rsid w:val="009356A2"/>
    <w:rsid w:val="009423F4"/>
    <w:rsid w:val="009435B8"/>
    <w:rsid w:val="00943A44"/>
    <w:rsid w:val="0094439D"/>
    <w:rsid w:val="0094528B"/>
    <w:rsid w:val="00946967"/>
    <w:rsid w:val="00950203"/>
    <w:rsid w:val="009515C1"/>
    <w:rsid w:val="009523EB"/>
    <w:rsid w:val="009607C6"/>
    <w:rsid w:val="00963A42"/>
    <w:rsid w:val="009658B5"/>
    <w:rsid w:val="0097097C"/>
    <w:rsid w:val="009737B6"/>
    <w:rsid w:val="00980DC0"/>
    <w:rsid w:val="0098201F"/>
    <w:rsid w:val="00982639"/>
    <w:rsid w:val="00983DB2"/>
    <w:rsid w:val="00987721"/>
    <w:rsid w:val="00991897"/>
    <w:rsid w:val="0099222A"/>
    <w:rsid w:val="00993AE8"/>
    <w:rsid w:val="00994E3E"/>
    <w:rsid w:val="0099584B"/>
    <w:rsid w:val="0099729C"/>
    <w:rsid w:val="009A1062"/>
    <w:rsid w:val="009A2D38"/>
    <w:rsid w:val="009A53FD"/>
    <w:rsid w:val="009A610D"/>
    <w:rsid w:val="009B0516"/>
    <w:rsid w:val="009B136B"/>
    <w:rsid w:val="009B357C"/>
    <w:rsid w:val="009B6D7D"/>
    <w:rsid w:val="009B71E6"/>
    <w:rsid w:val="009C10CE"/>
    <w:rsid w:val="009C10F4"/>
    <w:rsid w:val="009C396A"/>
    <w:rsid w:val="009C4B27"/>
    <w:rsid w:val="009D15CF"/>
    <w:rsid w:val="009D2A01"/>
    <w:rsid w:val="009D494B"/>
    <w:rsid w:val="009D7E14"/>
    <w:rsid w:val="009E697F"/>
    <w:rsid w:val="009E6FD3"/>
    <w:rsid w:val="009F13D5"/>
    <w:rsid w:val="009F1858"/>
    <w:rsid w:val="00A0567B"/>
    <w:rsid w:val="00A1053E"/>
    <w:rsid w:val="00A10FF7"/>
    <w:rsid w:val="00A1455F"/>
    <w:rsid w:val="00A14878"/>
    <w:rsid w:val="00A15394"/>
    <w:rsid w:val="00A156E6"/>
    <w:rsid w:val="00A17C4C"/>
    <w:rsid w:val="00A21CC4"/>
    <w:rsid w:val="00A2325B"/>
    <w:rsid w:val="00A24214"/>
    <w:rsid w:val="00A3199B"/>
    <w:rsid w:val="00A35871"/>
    <w:rsid w:val="00A404CF"/>
    <w:rsid w:val="00A44276"/>
    <w:rsid w:val="00A46849"/>
    <w:rsid w:val="00A474E6"/>
    <w:rsid w:val="00A501D2"/>
    <w:rsid w:val="00A50D91"/>
    <w:rsid w:val="00A52D41"/>
    <w:rsid w:val="00A5361E"/>
    <w:rsid w:val="00A57EC1"/>
    <w:rsid w:val="00A60D30"/>
    <w:rsid w:val="00A63524"/>
    <w:rsid w:val="00A63CB8"/>
    <w:rsid w:val="00A63FDB"/>
    <w:rsid w:val="00A64080"/>
    <w:rsid w:val="00A6576E"/>
    <w:rsid w:val="00A66379"/>
    <w:rsid w:val="00A66F55"/>
    <w:rsid w:val="00A712BB"/>
    <w:rsid w:val="00A74BCF"/>
    <w:rsid w:val="00A753B0"/>
    <w:rsid w:val="00A76CF7"/>
    <w:rsid w:val="00A806A1"/>
    <w:rsid w:val="00A84D38"/>
    <w:rsid w:val="00A85067"/>
    <w:rsid w:val="00A86A17"/>
    <w:rsid w:val="00A876CC"/>
    <w:rsid w:val="00A90E40"/>
    <w:rsid w:val="00A919F8"/>
    <w:rsid w:val="00A92242"/>
    <w:rsid w:val="00A93A00"/>
    <w:rsid w:val="00A94C50"/>
    <w:rsid w:val="00A9553A"/>
    <w:rsid w:val="00A95BCB"/>
    <w:rsid w:val="00A95D48"/>
    <w:rsid w:val="00AA1637"/>
    <w:rsid w:val="00AA238D"/>
    <w:rsid w:val="00AA7A9B"/>
    <w:rsid w:val="00AA7DE4"/>
    <w:rsid w:val="00AB0E4B"/>
    <w:rsid w:val="00AB3817"/>
    <w:rsid w:val="00AB535E"/>
    <w:rsid w:val="00AB550A"/>
    <w:rsid w:val="00AB752D"/>
    <w:rsid w:val="00AC0B6F"/>
    <w:rsid w:val="00AC1E8D"/>
    <w:rsid w:val="00AC2009"/>
    <w:rsid w:val="00AC24BE"/>
    <w:rsid w:val="00AC3C98"/>
    <w:rsid w:val="00AC50A0"/>
    <w:rsid w:val="00AC5FE3"/>
    <w:rsid w:val="00AC61F4"/>
    <w:rsid w:val="00AC6347"/>
    <w:rsid w:val="00AC71EE"/>
    <w:rsid w:val="00AD09E5"/>
    <w:rsid w:val="00AD1541"/>
    <w:rsid w:val="00AD5493"/>
    <w:rsid w:val="00AD771E"/>
    <w:rsid w:val="00AE0B43"/>
    <w:rsid w:val="00AE1F12"/>
    <w:rsid w:val="00AE237E"/>
    <w:rsid w:val="00AE2C8B"/>
    <w:rsid w:val="00AE7A20"/>
    <w:rsid w:val="00AF5A46"/>
    <w:rsid w:val="00AF678D"/>
    <w:rsid w:val="00B00ADA"/>
    <w:rsid w:val="00B0182A"/>
    <w:rsid w:val="00B03255"/>
    <w:rsid w:val="00B03598"/>
    <w:rsid w:val="00B04132"/>
    <w:rsid w:val="00B047AE"/>
    <w:rsid w:val="00B047B8"/>
    <w:rsid w:val="00B069C9"/>
    <w:rsid w:val="00B07B94"/>
    <w:rsid w:val="00B12C86"/>
    <w:rsid w:val="00B1628E"/>
    <w:rsid w:val="00B17EED"/>
    <w:rsid w:val="00B20569"/>
    <w:rsid w:val="00B22165"/>
    <w:rsid w:val="00B25F63"/>
    <w:rsid w:val="00B26959"/>
    <w:rsid w:val="00B30655"/>
    <w:rsid w:val="00B37B11"/>
    <w:rsid w:val="00B41770"/>
    <w:rsid w:val="00B4350F"/>
    <w:rsid w:val="00B43820"/>
    <w:rsid w:val="00B43A54"/>
    <w:rsid w:val="00B43E2C"/>
    <w:rsid w:val="00B45684"/>
    <w:rsid w:val="00B5044C"/>
    <w:rsid w:val="00B5101C"/>
    <w:rsid w:val="00B530AB"/>
    <w:rsid w:val="00B54987"/>
    <w:rsid w:val="00B54CAB"/>
    <w:rsid w:val="00B6378E"/>
    <w:rsid w:val="00B64006"/>
    <w:rsid w:val="00B6421D"/>
    <w:rsid w:val="00B65219"/>
    <w:rsid w:val="00B66C9B"/>
    <w:rsid w:val="00B70830"/>
    <w:rsid w:val="00B7145E"/>
    <w:rsid w:val="00B738AC"/>
    <w:rsid w:val="00B7789A"/>
    <w:rsid w:val="00B8010D"/>
    <w:rsid w:val="00B8028F"/>
    <w:rsid w:val="00B836A2"/>
    <w:rsid w:val="00B8531D"/>
    <w:rsid w:val="00B8746A"/>
    <w:rsid w:val="00B9505A"/>
    <w:rsid w:val="00B96DAB"/>
    <w:rsid w:val="00B9701D"/>
    <w:rsid w:val="00BA09A0"/>
    <w:rsid w:val="00BA1BDC"/>
    <w:rsid w:val="00BA3CB9"/>
    <w:rsid w:val="00BA7398"/>
    <w:rsid w:val="00BA7508"/>
    <w:rsid w:val="00BB0A24"/>
    <w:rsid w:val="00BB1922"/>
    <w:rsid w:val="00BB1D9A"/>
    <w:rsid w:val="00BB3ED1"/>
    <w:rsid w:val="00BB3F57"/>
    <w:rsid w:val="00BB5B4B"/>
    <w:rsid w:val="00BB6BE0"/>
    <w:rsid w:val="00BB73E9"/>
    <w:rsid w:val="00BC034C"/>
    <w:rsid w:val="00BC070D"/>
    <w:rsid w:val="00BC2104"/>
    <w:rsid w:val="00BC2209"/>
    <w:rsid w:val="00BC23DC"/>
    <w:rsid w:val="00BC2CC2"/>
    <w:rsid w:val="00BC2D24"/>
    <w:rsid w:val="00BC3028"/>
    <w:rsid w:val="00BC7D71"/>
    <w:rsid w:val="00BD0C53"/>
    <w:rsid w:val="00BD1ABD"/>
    <w:rsid w:val="00BD2832"/>
    <w:rsid w:val="00BD379E"/>
    <w:rsid w:val="00BD4A1D"/>
    <w:rsid w:val="00BE0965"/>
    <w:rsid w:val="00BE1427"/>
    <w:rsid w:val="00BE1EB1"/>
    <w:rsid w:val="00BE2B9E"/>
    <w:rsid w:val="00BE6A1B"/>
    <w:rsid w:val="00BE7656"/>
    <w:rsid w:val="00BF214C"/>
    <w:rsid w:val="00BF27A4"/>
    <w:rsid w:val="00BF400E"/>
    <w:rsid w:val="00BF4F02"/>
    <w:rsid w:val="00BF5DB6"/>
    <w:rsid w:val="00BF7F8C"/>
    <w:rsid w:val="00C01994"/>
    <w:rsid w:val="00C03B1B"/>
    <w:rsid w:val="00C10FDC"/>
    <w:rsid w:val="00C11269"/>
    <w:rsid w:val="00C127B1"/>
    <w:rsid w:val="00C138CE"/>
    <w:rsid w:val="00C14843"/>
    <w:rsid w:val="00C1499F"/>
    <w:rsid w:val="00C16806"/>
    <w:rsid w:val="00C168E7"/>
    <w:rsid w:val="00C206DD"/>
    <w:rsid w:val="00C20C68"/>
    <w:rsid w:val="00C24EF2"/>
    <w:rsid w:val="00C25345"/>
    <w:rsid w:val="00C25ABE"/>
    <w:rsid w:val="00C30F8C"/>
    <w:rsid w:val="00C3325B"/>
    <w:rsid w:val="00C36490"/>
    <w:rsid w:val="00C37DEC"/>
    <w:rsid w:val="00C40627"/>
    <w:rsid w:val="00C4142F"/>
    <w:rsid w:val="00C42FB0"/>
    <w:rsid w:val="00C447F2"/>
    <w:rsid w:val="00C451CC"/>
    <w:rsid w:val="00C4565F"/>
    <w:rsid w:val="00C45988"/>
    <w:rsid w:val="00C520D2"/>
    <w:rsid w:val="00C52216"/>
    <w:rsid w:val="00C53E2E"/>
    <w:rsid w:val="00C573B5"/>
    <w:rsid w:val="00C576F6"/>
    <w:rsid w:val="00C62210"/>
    <w:rsid w:val="00C66266"/>
    <w:rsid w:val="00C66D4F"/>
    <w:rsid w:val="00C70AC4"/>
    <w:rsid w:val="00C71C23"/>
    <w:rsid w:val="00C73EE4"/>
    <w:rsid w:val="00C7520F"/>
    <w:rsid w:val="00C75936"/>
    <w:rsid w:val="00C7628B"/>
    <w:rsid w:val="00C80A6B"/>
    <w:rsid w:val="00C812C4"/>
    <w:rsid w:val="00C82D78"/>
    <w:rsid w:val="00C914D9"/>
    <w:rsid w:val="00C91ED2"/>
    <w:rsid w:val="00C9218A"/>
    <w:rsid w:val="00C95CFC"/>
    <w:rsid w:val="00CA17F0"/>
    <w:rsid w:val="00CA2CFA"/>
    <w:rsid w:val="00CA4CFA"/>
    <w:rsid w:val="00CA551F"/>
    <w:rsid w:val="00CA5E8E"/>
    <w:rsid w:val="00CB2C09"/>
    <w:rsid w:val="00CB3ECD"/>
    <w:rsid w:val="00CB624D"/>
    <w:rsid w:val="00CC0280"/>
    <w:rsid w:val="00CC34F8"/>
    <w:rsid w:val="00CC652C"/>
    <w:rsid w:val="00CC672B"/>
    <w:rsid w:val="00CC7945"/>
    <w:rsid w:val="00CD0641"/>
    <w:rsid w:val="00CD39A2"/>
    <w:rsid w:val="00CD3BBB"/>
    <w:rsid w:val="00CD5C25"/>
    <w:rsid w:val="00CD5E41"/>
    <w:rsid w:val="00CD7828"/>
    <w:rsid w:val="00CE2FCE"/>
    <w:rsid w:val="00CE4B7D"/>
    <w:rsid w:val="00CE52CB"/>
    <w:rsid w:val="00CE566B"/>
    <w:rsid w:val="00CE7760"/>
    <w:rsid w:val="00CF1809"/>
    <w:rsid w:val="00CF4350"/>
    <w:rsid w:val="00CF5D53"/>
    <w:rsid w:val="00CF5EDE"/>
    <w:rsid w:val="00D01566"/>
    <w:rsid w:val="00D03A4E"/>
    <w:rsid w:val="00D05611"/>
    <w:rsid w:val="00D15955"/>
    <w:rsid w:val="00D15F2F"/>
    <w:rsid w:val="00D15F7B"/>
    <w:rsid w:val="00D2043C"/>
    <w:rsid w:val="00D205C1"/>
    <w:rsid w:val="00D22909"/>
    <w:rsid w:val="00D23338"/>
    <w:rsid w:val="00D24178"/>
    <w:rsid w:val="00D265ED"/>
    <w:rsid w:val="00D3045C"/>
    <w:rsid w:val="00D31020"/>
    <w:rsid w:val="00D32E51"/>
    <w:rsid w:val="00D356C2"/>
    <w:rsid w:val="00D35FA4"/>
    <w:rsid w:val="00D37E15"/>
    <w:rsid w:val="00D41AAA"/>
    <w:rsid w:val="00D41FF2"/>
    <w:rsid w:val="00D42FB6"/>
    <w:rsid w:val="00D43AE2"/>
    <w:rsid w:val="00D471C9"/>
    <w:rsid w:val="00D50928"/>
    <w:rsid w:val="00D52C14"/>
    <w:rsid w:val="00D5419D"/>
    <w:rsid w:val="00D54E61"/>
    <w:rsid w:val="00D55982"/>
    <w:rsid w:val="00D559DB"/>
    <w:rsid w:val="00D56E4A"/>
    <w:rsid w:val="00D577AB"/>
    <w:rsid w:val="00D6416A"/>
    <w:rsid w:val="00D64B8B"/>
    <w:rsid w:val="00D64CE0"/>
    <w:rsid w:val="00D659DE"/>
    <w:rsid w:val="00D679F9"/>
    <w:rsid w:val="00D70FE3"/>
    <w:rsid w:val="00D71113"/>
    <w:rsid w:val="00D71CF7"/>
    <w:rsid w:val="00D73035"/>
    <w:rsid w:val="00D74ED4"/>
    <w:rsid w:val="00D77B89"/>
    <w:rsid w:val="00D804A3"/>
    <w:rsid w:val="00D81A32"/>
    <w:rsid w:val="00D82139"/>
    <w:rsid w:val="00D83B41"/>
    <w:rsid w:val="00D84FE6"/>
    <w:rsid w:val="00D85634"/>
    <w:rsid w:val="00D85D33"/>
    <w:rsid w:val="00D86C94"/>
    <w:rsid w:val="00D92BDA"/>
    <w:rsid w:val="00D942D5"/>
    <w:rsid w:val="00D94794"/>
    <w:rsid w:val="00D9580D"/>
    <w:rsid w:val="00D96124"/>
    <w:rsid w:val="00DA0007"/>
    <w:rsid w:val="00DB17AF"/>
    <w:rsid w:val="00DB2E2C"/>
    <w:rsid w:val="00DB35B8"/>
    <w:rsid w:val="00DB5655"/>
    <w:rsid w:val="00DB5CA9"/>
    <w:rsid w:val="00DB5CBF"/>
    <w:rsid w:val="00DB6F25"/>
    <w:rsid w:val="00DC19A6"/>
    <w:rsid w:val="00DC1B84"/>
    <w:rsid w:val="00DC377F"/>
    <w:rsid w:val="00DC4CE3"/>
    <w:rsid w:val="00DC6298"/>
    <w:rsid w:val="00DC6BBF"/>
    <w:rsid w:val="00DD26E3"/>
    <w:rsid w:val="00DD30E6"/>
    <w:rsid w:val="00DD6839"/>
    <w:rsid w:val="00DD73AE"/>
    <w:rsid w:val="00DE1238"/>
    <w:rsid w:val="00DE42E3"/>
    <w:rsid w:val="00DF0F56"/>
    <w:rsid w:val="00DF1689"/>
    <w:rsid w:val="00DF20D2"/>
    <w:rsid w:val="00DF383E"/>
    <w:rsid w:val="00DF4745"/>
    <w:rsid w:val="00DF7B42"/>
    <w:rsid w:val="00E10E45"/>
    <w:rsid w:val="00E121B4"/>
    <w:rsid w:val="00E20051"/>
    <w:rsid w:val="00E21E1F"/>
    <w:rsid w:val="00E225CD"/>
    <w:rsid w:val="00E24A00"/>
    <w:rsid w:val="00E24CAC"/>
    <w:rsid w:val="00E26B5D"/>
    <w:rsid w:val="00E31A6A"/>
    <w:rsid w:val="00E3281B"/>
    <w:rsid w:val="00E34CA8"/>
    <w:rsid w:val="00E35548"/>
    <w:rsid w:val="00E3645B"/>
    <w:rsid w:val="00E36B52"/>
    <w:rsid w:val="00E42656"/>
    <w:rsid w:val="00E426FF"/>
    <w:rsid w:val="00E42F79"/>
    <w:rsid w:val="00E50288"/>
    <w:rsid w:val="00E51130"/>
    <w:rsid w:val="00E527AD"/>
    <w:rsid w:val="00E531CF"/>
    <w:rsid w:val="00E570FA"/>
    <w:rsid w:val="00E57796"/>
    <w:rsid w:val="00E631E1"/>
    <w:rsid w:val="00E658E0"/>
    <w:rsid w:val="00E7269C"/>
    <w:rsid w:val="00E72730"/>
    <w:rsid w:val="00E7310B"/>
    <w:rsid w:val="00E755AC"/>
    <w:rsid w:val="00E835D2"/>
    <w:rsid w:val="00E8469A"/>
    <w:rsid w:val="00E860CC"/>
    <w:rsid w:val="00E86F82"/>
    <w:rsid w:val="00E873DD"/>
    <w:rsid w:val="00E915F9"/>
    <w:rsid w:val="00E91FCA"/>
    <w:rsid w:val="00E92BFD"/>
    <w:rsid w:val="00E96E76"/>
    <w:rsid w:val="00E97387"/>
    <w:rsid w:val="00EA1AFD"/>
    <w:rsid w:val="00EA3B79"/>
    <w:rsid w:val="00EA3F83"/>
    <w:rsid w:val="00EA6990"/>
    <w:rsid w:val="00EA7972"/>
    <w:rsid w:val="00EA7DC0"/>
    <w:rsid w:val="00EB02AF"/>
    <w:rsid w:val="00EB6376"/>
    <w:rsid w:val="00EB6418"/>
    <w:rsid w:val="00EC328B"/>
    <w:rsid w:val="00EC71A7"/>
    <w:rsid w:val="00ED0E3F"/>
    <w:rsid w:val="00ED0EC3"/>
    <w:rsid w:val="00ED342E"/>
    <w:rsid w:val="00ED3E99"/>
    <w:rsid w:val="00ED433F"/>
    <w:rsid w:val="00ED5779"/>
    <w:rsid w:val="00ED66A3"/>
    <w:rsid w:val="00ED67CD"/>
    <w:rsid w:val="00ED6F51"/>
    <w:rsid w:val="00EE05B4"/>
    <w:rsid w:val="00EE0648"/>
    <w:rsid w:val="00EE6360"/>
    <w:rsid w:val="00EE7C52"/>
    <w:rsid w:val="00EF1003"/>
    <w:rsid w:val="00EF22A2"/>
    <w:rsid w:val="00EF79A2"/>
    <w:rsid w:val="00F03A68"/>
    <w:rsid w:val="00F040A9"/>
    <w:rsid w:val="00F04110"/>
    <w:rsid w:val="00F04A72"/>
    <w:rsid w:val="00F05F57"/>
    <w:rsid w:val="00F06141"/>
    <w:rsid w:val="00F06185"/>
    <w:rsid w:val="00F06AF0"/>
    <w:rsid w:val="00F06BE8"/>
    <w:rsid w:val="00F148F0"/>
    <w:rsid w:val="00F14DF1"/>
    <w:rsid w:val="00F15A95"/>
    <w:rsid w:val="00F16189"/>
    <w:rsid w:val="00F23109"/>
    <w:rsid w:val="00F2391F"/>
    <w:rsid w:val="00F242AB"/>
    <w:rsid w:val="00F24B01"/>
    <w:rsid w:val="00F24D75"/>
    <w:rsid w:val="00F250E8"/>
    <w:rsid w:val="00F25296"/>
    <w:rsid w:val="00F26299"/>
    <w:rsid w:val="00F36508"/>
    <w:rsid w:val="00F40C1F"/>
    <w:rsid w:val="00F41E13"/>
    <w:rsid w:val="00F4222A"/>
    <w:rsid w:val="00F42DC9"/>
    <w:rsid w:val="00F43756"/>
    <w:rsid w:val="00F44C6B"/>
    <w:rsid w:val="00F45F6E"/>
    <w:rsid w:val="00F468E4"/>
    <w:rsid w:val="00F47F9C"/>
    <w:rsid w:val="00F50820"/>
    <w:rsid w:val="00F5230B"/>
    <w:rsid w:val="00F52331"/>
    <w:rsid w:val="00F66741"/>
    <w:rsid w:val="00F706A7"/>
    <w:rsid w:val="00F724C0"/>
    <w:rsid w:val="00F77950"/>
    <w:rsid w:val="00F8082B"/>
    <w:rsid w:val="00F809FD"/>
    <w:rsid w:val="00F81A11"/>
    <w:rsid w:val="00F900B2"/>
    <w:rsid w:val="00F90756"/>
    <w:rsid w:val="00F91BCE"/>
    <w:rsid w:val="00F91BF8"/>
    <w:rsid w:val="00F91F38"/>
    <w:rsid w:val="00F92304"/>
    <w:rsid w:val="00F93493"/>
    <w:rsid w:val="00F93F99"/>
    <w:rsid w:val="00F942C5"/>
    <w:rsid w:val="00F95771"/>
    <w:rsid w:val="00F97804"/>
    <w:rsid w:val="00FA199A"/>
    <w:rsid w:val="00FA2D84"/>
    <w:rsid w:val="00FA4D77"/>
    <w:rsid w:val="00FA6E32"/>
    <w:rsid w:val="00FB1557"/>
    <w:rsid w:val="00FB1D7B"/>
    <w:rsid w:val="00FB7F2E"/>
    <w:rsid w:val="00FC0C31"/>
    <w:rsid w:val="00FC0DAB"/>
    <w:rsid w:val="00FC2774"/>
    <w:rsid w:val="00FC3942"/>
    <w:rsid w:val="00FC44C8"/>
    <w:rsid w:val="00FC6D61"/>
    <w:rsid w:val="00FC7BB0"/>
    <w:rsid w:val="00FD4A92"/>
    <w:rsid w:val="00FD6492"/>
    <w:rsid w:val="00FD74BC"/>
    <w:rsid w:val="00FD78E1"/>
    <w:rsid w:val="00FE0676"/>
    <w:rsid w:val="00FE0772"/>
    <w:rsid w:val="00FE0CC1"/>
    <w:rsid w:val="00FE2DAC"/>
    <w:rsid w:val="00FE656E"/>
    <w:rsid w:val="00FE6C12"/>
    <w:rsid w:val="00FF0B40"/>
    <w:rsid w:val="00FF2607"/>
    <w:rsid w:val="00FF32FD"/>
    <w:rsid w:val="00FF4660"/>
    <w:rsid w:val="00FF4989"/>
    <w:rsid w:val="00FF4AAB"/>
    <w:rsid w:val="00FF6C9A"/>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4CF0"/>
  <w15:chartTrackingRefBased/>
  <w15:docId w15:val="{C279F2D0-262D-4808-8A98-10040D75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770C6F"/>
    <w:pPr>
      <w:keepNext/>
      <w:tabs>
        <w:tab w:val="right" w:pos="10206"/>
      </w:tabs>
      <w:spacing w:before="240" w:after="60" w:line="240" w:lineRule="auto"/>
      <w:outlineLvl w:val="0"/>
    </w:pPr>
    <w:rPr>
      <w:rFonts w:ascii="Arial Bold" w:eastAsia="Times New Roman" w:hAnsi="Arial Bold" w:cs="Arial"/>
      <w:b/>
      <w:bCs/>
      <w:spacing w:val="-4"/>
      <w:kern w:val="32"/>
      <w:sz w:val="32"/>
      <w:szCs w:val="32"/>
    </w:rPr>
  </w:style>
  <w:style w:type="paragraph" w:styleId="Heading2">
    <w:name w:val="heading 2"/>
    <w:basedOn w:val="Normal"/>
    <w:next w:val="Normal"/>
    <w:link w:val="Heading2Char"/>
    <w:uiPriority w:val="9"/>
    <w:semiHidden/>
    <w:unhideWhenUsed/>
    <w:qFormat/>
    <w:rsid w:val="00D71CF7"/>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770C6F"/>
    <w:rPr>
      <w:rFonts w:ascii="Arial Bold" w:eastAsia="Times New Roman" w:hAnsi="Arial Bold" w:cs="Arial"/>
      <w:b/>
      <w:bCs/>
      <w:spacing w:val="-4"/>
      <w:kern w:val="32"/>
      <w:sz w:val="32"/>
      <w:szCs w:val="32"/>
      <w:lang w:eastAsia="en-US"/>
    </w:rPr>
  </w:style>
  <w:style w:type="paragraph" w:styleId="FootnoteText">
    <w:name w:val="footnote text"/>
    <w:aliases w:val="5_G,Footnote Text Char1,Footnote Text Char Char,Footnote Text Char Char Char,Footnote Text Char Char Char Char Char,Fo,Footnote Text Char Char Char Char Char Char,Footnote Text Char Char1,Footnote Text Char3 Char1 Char1,F"/>
    <w:basedOn w:val="Normal"/>
    <w:link w:val="FootnoteTextChar"/>
    <w:uiPriority w:val="99"/>
    <w:semiHidden/>
    <w:rsid w:val="00770C6F"/>
    <w:pPr>
      <w:spacing w:after="0" w:line="240" w:lineRule="auto"/>
    </w:pPr>
    <w:rPr>
      <w:rFonts w:ascii="Arial" w:eastAsia="SimSun" w:hAnsi="Arial"/>
      <w:sz w:val="16"/>
      <w:szCs w:val="20"/>
      <w:lang w:eastAsia="zh-CN"/>
    </w:rPr>
  </w:style>
  <w:style w:type="character" w:customStyle="1" w:styleId="FootnoteTextChar">
    <w:name w:val="Footnote Text Char"/>
    <w:aliases w:val="5_G Char,Footnote Text Char1 Char,Footnote Text Char Char Char1,Footnote Text Char Char Char Char,Footnote Text Char Char Char Char Char Char1,Fo Char,Footnote Text Char Char Char Char Char Char Char,Footnote Text Char Char1 Char"/>
    <w:link w:val="FootnoteText"/>
    <w:uiPriority w:val="99"/>
    <w:rsid w:val="00770C6F"/>
    <w:rPr>
      <w:rFonts w:ascii="Arial" w:eastAsia="SimSun" w:hAnsi="Arial"/>
      <w:sz w:val="16"/>
      <w:lang w:eastAsia="zh-CN"/>
    </w:rPr>
  </w:style>
  <w:style w:type="character" w:styleId="FootnoteReference">
    <w:name w:val="footnote reference"/>
    <w:aliases w:val="callout,Footnotes refss,4_G,SUPERS,EN Footnote Reference,Footnote symbol,Footnote reference number,Footnote,Times 10 Point,Exposant 3 Point,Ref,de nota al pie,note TESI,stylish"/>
    <w:uiPriority w:val="99"/>
    <w:rsid w:val="00770C6F"/>
    <w:rPr>
      <w:sz w:val="22"/>
      <w:vertAlign w:val="superscript"/>
    </w:rPr>
  </w:style>
  <w:style w:type="character" w:styleId="Hyperlink">
    <w:name w:val="Hyperlink"/>
    <w:uiPriority w:val="99"/>
    <w:rsid w:val="00770C6F"/>
    <w:rPr>
      <w:color w:val="auto"/>
      <w:u w:val="single"/>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770C6F"/>
    <w:pPr>
      <w:spacing w:after="0" w:line="240" w:lineRule="auto"/>
      <w:ind w:left="720"/>
    </w:pPr>
    <w:rPr>
      <w:rFonts w:ascii="Arial" w:eastAsia="Times New Roman" w:hAnsi="Arial"/>
      <w:sz w:val="24"/>
      <w:szCs w:val="24"/>
    </w:rPr>
  </w:style>
  <w:style w:type="paragraph" w:styleId="Caption">
    <w:name w:val="caption"/>
    <w:basedOn w:val="Normal"/>
    <w:next w:val="Normal"/>
    <w:uiPriority w:val="35"/>
    <w:unhideWhenUsed/>
    <w:qFormat/>
    <w:rsid w:val="00770C6F"/>
    <w:pPr>
      <w:spacing w:after="0" w:line="240" w:lineRule="auto"/>
    </w:pPr>
    <w:rPr>
      <w:rFonts w:ascii="Arial" w:eastAsia="Times New Roman" w:hAnsi="Arial"/>
      <w:b/>
      <w:bCs/>
      <w:sz w:val="20"/>
      <w:szCs w:val="20"/>
    </w:rPr>
  </w:style>
  <w:style w:type="character" w:styleId="CommentReference">
    <w:name w:val="annotation reference"/>
    <w:rsid w:val="00770C6F"/>
    <w:rPr>
      <w:rFonts w:cs="Times New Roman"/>
      <w:sz w:val="16"/>
    </w:rPr>
  </w:style>
  <w:style w:type="paragraph" w:styleId="CommentText">
    <w:name w:val="annotation text"/>
    <w:basedOn w:val="Normal"/>
    <w:link w:val="CommentTextChar"/>
    <w:rsid w:val="00770C6F"/>
    <w:pPr>
      <w:spacing w:after="0" w:line="240" w:lineRule="auto"/>
    </w:pPr>
    <w:rPr>
      <w:rFonts w:ascii="Arial" w:eastAsia="Times New Roman" w:hAnsi="Arial"/>
      <w:sz w:val="20"/>
      <w:szCs w:val="20"/>
    </w:rPr>
  </w:style>
  <w:style w:type="character" w:customStyle="1" w:styleId="CommentTextChar">
    <w:name w:val="Comment Text Char"/>
    <w:link w:val="CommentText"/>
    <w:rsid w:val="00770C6F"/>
    <w:rPr>
      <w:rFonts w:ascii="Arial" w:eastAsia="Times New Roman" w:hAnsi="Arial"/>
      <w:lang w:eastAsia="en-US"/>
    </w:rPr>
  </w:style>
  <w:style w:type="paragraph" w:styleId="NoSpacing">
    <w:name w:val="No Spacing"/>
    <w:uiPriority w:val="1"/>
    <w:qFormat/>
    <w:rsid w:val="00770C6F"/>
    <w:rPr>
      <w:sz w:val="22"/>
      <w:szCs w:val="22"/>
      <w:lang w:eastAsia="en-US"/>
    </w:rPr>
  </w:style>
  <w:style w:type="paragraph" w:customStyle="1" w:styleId="Default">
    <w:name w:val="Default"/>
    <w:rsid w:val="00770C6F"/>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70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0C6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6329A8"/>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6329A8"/>
    <w:rPr>
      <w:rFonts w:ascii="Arial" w:eastAsia="Times New Roman" w:hAnsi="Arial"/>
      <w:b/>
      <w:bCs/>
      <w:lang w:eastAsia="en-US"/>
    </w:rPr>
  </w:style>
  <w:style w:type="character" w:customStyle="1" w:styleId="Heading2Char">
    <w:name w:val="Heading 2 Char"/>
    <w:link w:val="Heading2"/>
    <w:uiPriority w:val="9"/>
    <w:semiHidden/>
    <w:rsid w:val="00D71CF7"/>
    <w:rPr>
      <w:rFonts w:ascii="Calibri Light" w:eastAsia="Times New Roman" w:hAnsi="Calibri Light" w:cs="Times New Roman"/>
      <w:b/>
      <w:bCs/>
      <w:i/>
      <w:iCs/>
      <w:sz w:val="28"/>
      <w:szCs w:val="28"/>
      <w:lang w:eastAsia="en-US"/>
    </w:rPr>
  </w:style>
  <w:style w:type="paragraph" w:customStyle="1" w:styleId="Covertitle">
    <w:name w:val="Cover title"/>
    <w:rsid w:val="00D71CF7"/>
    <w:rPr>
      <w:rFonts w:ascii="Arial" w:eastAsia="Times New Roman" w:hAnsi="Arial"/>
      <w:b/>
      <w:sz w:val="52"/>
      <w:lang w:eastAsia="en-GB"/>
    </w:rPr>
  </w:style>
  <w:style w:type="paragraph" w:styleId="TOCHeading">
    <w:name w:val="TOC Heading"/>
    <w:basedOn w:val="Heading1"/>
    <w:next w:val="Normal"/>
    <w:uiPriority w:val="39"/>
    <w:unhideWhenUsed/>
    <w:qFormat/>
    <w:rsid w:val="00763FE6"/>
    <w:pPr>
      <w:keepLines/>
      <w:tabs>
        <w:tab w:val="clear" w:pos="10206"/>
      </w:tabs>
      <w:spacing w:after="0" w:line="259" w:lineRule="auto"/>
      <w:outlineLvl w:val="9"/>
    </w:pPr>
    <w:rPr>
      <w:rFonts w:ascii="Calibri Light" w:hAnsi="Calibri Light" w:cs="Times New Roman"/>
      <w:b w:val="0"/>
      <w:bCs w:val="0"/>
      <w:color w:val="2E74B5"/>
      <w:spacing w:val="0"/>
      <w:kern w:val="0"/>
      <w:lang w:val="en-US"/>
    </w:rPr>
  </w:style>
  <w:style w:type="paragraph" w:styleId="TOC2">
    <w:name w:val="toc 2"/>
    <w:basedOn w:val="Normal"/>
    <w:next w:val="Normal"/>
    <w:autoRedefine/>
    <w:uiPriority w:val="39"/>
    <w:unhideWhenUsed/>
    <w:rsid w:val="00763FE6"/>
    <w:pPr>
      <w:ind w:left="220"/>
    </w:pPr>
  </w:style>
  <w:style w:type="paragraph" w:styleId="TOC1">
    <w:name w:val="toc 1"/>
    <w:basedOn w:val="Normal"/>
    <w:next w:val="Normal"/>
    <w:autoRedefine/>
    <w:uiPriority w:val="39"/>
    <w:unhideWhenUsed/>
    <w:rsid w:val="00763FE6"/>
  </w:style>
  <w:style w:type="paragraph" w:styleId="Header">
    <w:name w:val="header"/>
    <w:basedOn w:val="Normal"/>
    <w:link w:val="HeaderChar"/>
    <w:unhideWhenUsed/>
    <w:rsid w:val="00854778"/>
    <w:pPr>
      <w:tabs>
        <w:tab w:val="center" w:pos="4513"/>
        <w:tab w:val="right" w:pos="9026"/>
      </w:tabs>
    </w:pPr>
  </w:style>
  <w:style w:type="character" w:customStyle="1" w:styleId="HeaderChar">
    <w:name w:val="Header Char"/>
    <w:link w:val="Header"/>
    <w:uiPriority w:val="99"/>
    <w:rsid w:val="00854778"/>
    <w:rPr>
      <w:sz w:val="22"/>
      <w:szCs w:val="22"/>
      <w:lang w:eastAsia="en-US"/>
    </w:rPr>
  </w:style>
  <w:style w:type="paragraph" w:styleId="Footer">
    <w:name w:val="footer"/>
    <w:basedOn w:val="Normal"/>
    <w:link w:val="FooterChar"/>
    <w:unhideWhenUsed/>
    <w:rsid w:val="00854778"/>
    <w:pPr>
      <w:tabs>
        <w:tab w:val="center" w:pos="4513"/>
        <w:tab w:val="right" w:pos="9026"/>
      </w:tabs>
    </w:pPr>
  </w:style>
  <w:style w:type="character" w:customStyle="1" w:styleId="FooterChar">
    <w:name w:val="Footer Char"/>
    <w:link w:val="Footer"/>
    <w:uiPriority w:val="99"/>
    <w:rsid w:val="00854778"/>
    <w:rPr>
      <w:sz w:val="22"/>
      <w:szCs w:val="22"/>
      <w:lang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0221D4"/>
    <w:rPr>
      <w:rFonts w:ascii="Arial" w:eastAsia="Times New Roman" w:hAnsi="Arial"/>
      <w:sz w:val="24"/>
      <w:szCs w:val="24"/>
      <w:lang w:eastAsia="en-US"/>
    </w:rPr>
  </w:style>
  <w:style w:type="paragraph" w:styleId="EndnoteText">
    <w:name w:val="endnote text"/>
    <w:basedOn w:val="Normal"/>
    <w:link w:val="EndnoteTextChar"/>
    <w:uiPriority w:val="99"/>
    <w:semiHidden/>
    <w:unhideWhenUsed/>
    <w:rsid w:val="00C16806"/>
    <w:rPr>
      <w:sz w:val="20"/>
      <w:szCs w:val="20"/>
    </w:rPr>
  </w:style>
  <w:style w:type="character" w:customStyle="1" w:styleId="EndnoteTextChar">
    <w:name w:val="Endnote Text Char"/>
    <w:link w:val="EndnoteText"/>
    <w:uiPriority w:val="99"/>
    <w:semiHidden/>
    <w:rsid w:val="00C16806"/>
    <w:rPr>
      <w:lang w:eastAsia="en-US"/>
    </w:rPr>
  </w:style>
  <w:style w:type="character" w:styleId="EndnoteReference">
    <w:name w:val="endnote reference"/>
    <w:uiPriority w:val="99"/>
    <w:semiHidden/>
    <w:unhideWhenUsed/>
    <w:rsid w:val="00C16806"/>
    <w:rPr>
      <w:vertAlign w:val="superscript"/>
    </w:rPr>
  </w:style>
  <w:style w:type="paragraph" w:customStyle="1" w:styleId="EBBodyPara">
    <w:name w:val="EBBodyPara"/>
    <w:basedOn w:val="BodyText"/>
    <w:link w:val="EBBodyParaChar"/>
    <w:rsid w:val="004410E9"/>
    <w:pPr>
      <w:spacing w:line="240" w:lineRule="auto"/>
    </w:pPr>
    <w:rPr>
      <w:rFonts w:ascii="Arial" w:eastAsia="Times New Roman" w:hAnsi="Arial" w:cs="Arial"/>
      <w:bCs/>
      <w:color w:val="000000"/>
      <w:lang w:eastAsia="en-GB"/>
    </w:rPr>
  </w:style>
  <w:style w:type="character" w:customStyle="1" w:styleId="EBBodyParaChar">
    <w:name w:val="EBBodyPara Char"/>
    <w:link w:val="EBBodyPara"/>
    <w:uiPriority w:val="99"/>
    <w:locked/>
    <w:rsid w:val="004410E9"/>
    <w:rPr>
      <w:rFonts w:ascii="Arial" w:eastAsia="Times New Roman" w:hAnsi="Arial" w:cs="Arial"/>
      <w:bCs/>
      <w:color w:val="000000"/>
      <w:sz w:val="22"/>
      <w:szCs w:val="22"/>
    </w:rPr>
  </w:style>
  <w:style w:type="paragraph" w:customStyle="1" w:styleId="EBNumber">
    <w:name w:val="EBNumber"/>
    <w:basedOn w:val="BodyText"/>
    <w:link w:val="EBNumberCharChar"/>
    <w:rsid w:val="004410E9"/>
    <w:pPr>
      <w:numPr>
        <w:ilvl w:val="1"/>
        <w:numId w:val="2"/>
      </w:numPr>
      <w:spacing w:line="240" w:lineRule="auto"/>
    </w:pPr>
    <w:rPr>
      <w:rFonts w:ascii="Arial" w:eastAsia="Times New Roman" w:hAnsi="Arial" w:cs="Arial"/>
      <w:bCs/>
      <w:color w:val="000000"/>
      <w:lang w:eastAsia="en-GB"/>
    </w:rPr>
  </w:style>
  <w:style w:type="paragraph" w:customStyle="1" w:styleId="EBNumberRestart">
    <w:name w:val="EBNumberRestart"/>
    <w:basedOn w:val="BodyText"/>
    <w:next w:val="EBNumber"/>
    <w:rsid w:val="004410E9"/>
    <w:pPr>
      <w:numPr>
        <w:numId w:val="2"/>
      </w:numPr>
      <w:spacing w:line="240" w:lineRule="auto"/>
      <w:ind w:left="360" w:hanging="360"/>
    </w:pPr>
    <w:rPr>
      <w:rFonts w:ascii="Arial" w:eastAsia="Times New Roman" w:hAnsi="Arial" w:cs="Arial"/>
      <w:bCs/>
      <w:color w:val="000000"/>
      <w:lang w:eastAsia="en-GB"/>
    </w:rPr>
  </w:style>
  <w:style w:type="paragraph" w:customStyle="1" w:styleId="EBBullet">
    <w:name w:val="EBBullet"/>
    <w:basedOn w:val="BodyText"/>
    <w:uiPriority w:val="99"/>
    <w:rsid w:val="004410E9"/>
    <w:pPr>
      <w:numPr>
        <w:numId w:val="1"/>
      </w:numPr>
      <w:tabs>
        <w:tab w:val="clear" w:pos="284"/>
      </w:tabs>
      <w:spacing w:line="240" w:lineRule="auto"/>
      <w:ind w:left="1069" w:hanging="360"/>
    </w:pPr>
    <w:rPr>
      <w:rFonts w:ascii="Arial" w:eastAsia="Times New Roman" w:hAnsi="Arial" w:cs="Arial"/>
      <w:bCs/>
      <w:color w:val="000000"/>
      <w:lang w:eastAsia="en-GB"/>
    </w:rPr>
  </w:style>
  <w:style w:type="paragraph" w:customStyle="1" w:styleId="IAPOQ2">
    <w:name w:val="IAPOQ2"/>
    <w:basedOn w:val="Normal"/>
    <w:link w:val="IAPOQ2Char"/>
    <w:rsid w:val="004410E9"/>
    <w:pPr>
      <w:spacing w:before="50" w:after="50" w:line="240" w:lineRule="auto"/>
      <w:ind w:left="113" w:right="113"/>
    </w:pPr>
    <w:rPr>
      <w:rFonts w:ascii="Arial" w:eastAsia="SimSun" w:hAnsi="Arial"/>
      <w:b/>
      <w:color w:val="000000"/>
      <w:spacing w:val="-5"/>
      <w:sz w:val="20"/>
      <w:szCs w:val="20"/>
      <w:lang w:eastAsia="zh-CN"/>
    </w:rPr>
  </w:style>
  <w:style w:type="character" w:customStyle="1" w:styleId="IAPOQ2Char">
    <w:name w:val="IAPOQ2 Char"/>
    <w:link w:val="IAPOQ2"/>
    <w:locked/>
    <w:rsid w:val="004410E9"/>
    <w:rPr>
      <w:rFonts w:ascii="Arial" w:eastAsia="SimSun" w:hAnsi="Arial"/>
      <w:b/>
      <w:color w:val="000000"/>
      <w:spacing w:val="-5"/>
      <w:lang w:eastAsia="zh-CN"/>
    </w:rPr>
  </w:style>
  <w:style w:type="paragraph" w:customStyle="1" w:styleId="IAPOA4">
    <w:name w:val="IAPOA4"/>
    <w:basedOn w:val="Normal"/>
    <w:rsid w:val="004410E9"/>
    <w:pPr>
      <w:spacing w:after="0" w:line="240" w:lineRule="auto"/>
      <w:ind w:left="113" w:right="113"/>
    </w:pPr>
    <w:rPr>
      <w:rFonts w:ascii="Arial" w:eastAsia="SimSun" w:hAnsi="Arial"/>
      <w:b/>
      <w:color w:val="000000"/>
      <w:spacing w:val="-5"/>
      <w:szCs w:val="20"/>
      <w:lang w:eastAsia="zh-CN"/>
    </w:rPr>
  </w:style>
  <w:style w:type="character" w:customStyle="1" w:styleId="EBNumberCharChar">
    <w:name w:val="EBNumber Char Char"/>
    <w:link w:val="EBNumber"/>
    <w:locked/>
    <w:rsid w:val="004410E9"/>
    <w:rPr>
      <w:rFonts w:ascii="Arial" w:eastAsia="Times New Roman" w:hAnsi="Arial" w:cs="Arial"/>
      <w:bCs/>
      <w:color w:val="000000"/>
      <w:sz w:val="22"/>
      <w:szCs w:val="22"/>
    </w:rPr>
  </w:style>
  <w:style w:type="character" w:customStyle="1" w:styleId="SubmissionnumberedparagraphChar">
    <w:name w:val="Submission numbered paragraph Char"/>
    <w:link w:val="Submissionnumberedparagraph"/>
    <w:uiPriority w:val="99"/>
    <w:locked/>
    <w:rsid w:val="004410E9"/>
    <w:rPr>
      <w:rFonts w:ascii="Arial" w:hAnsi="Arial" w:cs="Arial"/>
    </w:rPr>
  </w:style>
  <w:style w:type="paragraph" w:customStyle="1" w:styleId="Submissionnumberedparagraph">
    <w:name w:val="Submission numbered paragraph"/>
    <w:basedOn w:val="Normal"/>
    <w:link w:val="SubmissionnumberedparagraphChar"/>
    <w:uiPriority w:val="99"/>
    <w:rsid w:val="004410E9"/>
    <w:pPr>
      <w:numPr>
        <w:numId w:val="7"/>
      </w:numPr>
      <w:spacing w:after="240" w:line="280" w:lineRule="exact"/>
    </w:pPr>
    <w:rPr>
      <w:rFonts w:ascii="Arial" w:hAnsi="Arial" w:cs="Arial"/>
      <w:sz w:val="20"/>
      <w:szCs w:val="20"/>
      <w:lang w:eastAsia="en-GB"/>
    </w:rPr>
  </w:style>
  <w:style w:type="paragraph" w:styleId="BodyText">
    <w:name w:val="Body Text"/>
    <w:basedOn w:val="Normal"/>
    <w:link w:val="BodyTextChar"/>
    <w:uiPriority w:val="99"/>
    <w:semiHidden/>
    <w:unhideWhenUsed/>
    <w:rsid w:val="004410E9"/>
    <w:pPr>
      <w:spacing w:after="120"/>
    </w:pPr>
  </w:style>
  <w:style w:type="character" w:customStyle="1" w:styleId="BodyTextChar">
    <w:name w:val="Body Text Char"/>
    <w:link w:val="BodyText"/>
    <w:uiPriority w:val="99"/>
    <w:semiHidden/>
    <w:rsid w:val="004410E9"/>
    <w:rPr>
      <w:sz w:val="22"/>
      <w:szCs w:val="22"/>
      <w:lang w:eastAsia="en-US"/>
    </w:rPr>
  </w:style>
  <w:style w:type="paragraph" w:styleId="Revision">
    <w:name w:val="Revision"/>
    <w:hidden/>
    <w:uiPriority w:val="99"/>
    <w:semiHidden/>
    <w:rsid w:val="00051CB7"/>
    <w:rPr>
      <w:sz w:val="22"/>
      <w:szCs w:val="22"/>
      <w:lang w:eastAsia="en-US"/>
    </w:rPr>
  </w:style>
  <w:style w:type="paragraph" w:styleId="NormalWeb">
    <w:name w:val="Normal (Web)"/>
    <w:basedOn w:val="Normal"/>
    <w:uiPriority w:val="99"/>
    <w:unhideWhenUsed/>
    <w:rsid w:val="0051156B"/>
    <w:pPr>
      <w:spacing w:before="45" w:after="45" w:line="240" w:lineRule="auto"/>
    </w:pPr>
    <w:rPr>
      <w:rFonts w:ascii="Times New Roman" w:eastAsia="Times New Roman" w:hAnsi="Times New Roman"/>
      <w:color w:val="000000"/>
      <w:sz w:val="24"/>
      <w:szCs w:val="24"/>
      <w:lang w:eastAsia="en-GB"/>
    </w:rPr>
  </w:style>
  <w:style w:type="paragraph" w:customStyle="1" w:styleId="IATableLabel">
    <w:name w:val="IATableLabel"/>
    <w:basedOn w:val="Normal"/>
    <w:link w:val="IATableLabelCharChar"/>
    <w:rsid w:val="00547BB1"/>
    <w:pPr>
      <w:spacing w:before="50" w:after="50" w:line="240" w:lineRule="auto"/>
      <w:ind w:left="113" w:right="113"/>
    </w:pPr>
    <w:rPr>
      <w:rFonts w:ascii="Arial" w:eastAsia="SimSun" w:hAnsi="Arial"/>
      <w:b/>
      <w:color w:val="000000"/>
      <w:spacing w:val="-5"/>
      <w:sz w:val="20"/>
      <w:szCs w:val="20"/>
      <w:lang w:eastAsia="zh-CN"/>
    </w:rPr>
  </w:style>
  <w:style w:type="character" w:customStyle="1" w:styleId="IATableLabelCharChar">
    <w:name w:val="IATableLabel Char Char"/>
    <w:link w:val="IATableLabel"/>
    <w:rsid w:val="00547BB1"/>
    <w:rPr>
      <w:rFonts w:ascii="Arial" w:eastAsia="SimSun" w:hAnsi="Arial"/>
      <w:b/>
      <w:color w:val="000000"/>
      <w:spacing w:val="-5"/>
      <w:lang w:eastAsia="zh-CN"/>
    </w:rPr>
  </w:style>
  <w:style w:type="paragraph" w:customStyle="1" w:styleId="IASpacer">
    <w:name w:val="IASpacer"/>
    <w:basedOn w:val="Normal"/>
    <w:rsid w:val="00547BB1"/>
    <w:pPr>
      <w:spacing w:after="0" w:line="80" w:lineRule="exact"/>
    </w:pPr>
    <w:rPr>
      <w:rFonts w:ascii="Arial" w:eastAsia="SimSun" w:hAnsi="Arial"/>
      <w:szCs w:val="24"/>
      <w:lang w:eastAsia="zh-CN"/>
    </w:rPr>
  </w:style>
  <w:style w:type="paragraph" w:customStyle="1" w:styleId="IATableText">
    <w:name w:val="IATableText"/>
    <w:basedOn w:val="IATableLabel"/>
    <w:link w:val="IATableTextChar"/>
    <w:rsid w:val="00547BB1"/>
    <w:rPr>
      <w:b w:val="0"/>
      <w:color w:val="auto"/>
      <w:sz w:val="22"/>
    </w:rPr>
  </w:style>
  <w:style w:type="character" w:customStyle="1" w:styleId="IATableTextChar">
    <w:name w:val="IATableText Char"/>
    <w:link w:val="IATableText"/>
    <w:rsid w:val="00547BB1"/>
    <w:rPr>
      <w:rFonts w:ascii="Arial" w:eastAsia="SimSun" w:hAnsi="Arial"/>
      <w:spacing w:val="-5"/>
      <w:sz w:val="22"/>
      <w:lang w:eastAsia="zh-CN"/>
    </w:rPr>
  </w:style>
  <w:style w:type="paragraph" w:styleId="Title">
    <w:name w:val="Title"/>
    <w:basedOn w:val="Normal"/>
    <w:link w:val="TitleChar"/>
    <w:qFormat/>
    <w:rsid w:val="00547BB1"/>
    <w:pPr>
      <w:spacing w:after="0" w:line="240" w:lineRule="auto"/>
      <w:ind w:left="113"/>
      <w:outlineLvl w:val="0"/>
    </w:pPr>
    <w:rPr>
      <w:rFonts w:ascii="Arial" w:eastAsia="Times New Roman" w:hAnsi="Arial" w:cs="Arial"/>
      <w:bCs/>
      <w:color w:val="FFFFFF"/>
      <w:kern w:val="28"/>
      <w:sz w:val="32"/>
      <w:szCs w:val="32"/>
    </w:rPr>
  </w:style>
  <w:style w:type="character" w:customStyle="1" w:styleId="TitleChar">
    <w:name w:val="Title Char"/>
    <w:link w:val="Title"/>
    <w:rsid w:val="00547BB1"/>
    <w:rPr>
      <w:rFonts w:ascii="Arial" w:eastAsia="Times New Roman" w:hAnsi="Arial" w:cs="Arial"/>
      <w:bCs/>
      <w:color w:val="FFFFFF"/>
      <w:kern w:val="28"/>
      <w:sz w:val="32"/>
      <w:szCs w:val="32"/>
      <w:lang w:eastAsia="en-US"/>
    </w:rPr>
  </w:style>
  <w:style w:type="paragraph" w:customStyle="1" w:styleId="IAHeadLabel">
    <w:name w:val="IAHeadLabel"/>
    <w:basedOn w:val="IATableLabel"/>
    <w:link w:val="IAHeadLabelChar"/>
    <w:rsid w:val="00547BB1"/>
    <w:pPr>
      <w:spacing w:before="110"/>
      <w:ind w:left="0" w:right="0"/>
    </w:pPr>
  </w:style>
  <w:style w:type="character" w:customStyle="1" w:styleId="IAHeadLabelChar">
    <w:name w:val="IAHeadLabel Char"/>
    <w:link w:val="IAHeadLabel"/>
    <w:rsid w:val="00547BB1"/>
    <w:rPr>
      <w:rFonts w:ascii="Arial" w:eastAsia="SimSun" w:hAnsi="Arial"/>
      <w:b/>
      <w:color w:val="000000"/>
      <w:spacing w:val="-5"/>
      <w:lang w:eastAsia="zh-CN"/>
    </w:rPr>
  </w:style>
  <w:style w:type="paragraph" w:customStyle="1" w:styleId="IAHeadTitle">
    <w:name w:val="IAHeadTitle"/>
    <w:basedOn w:val="Normal"/>
    <w:link w:val="IAHeadTitleChar"/>
    <w:rsid w:val="00547BB1"/>
    <w:pPr>
      <w:spacing w:after="0" w:line="240" w:lineRule="auto"/>
      <w:ind w:right="57"/>
    </w:pPr>
    <w:rPr>
      <w:rFonts w:ascii="Arial" w:eastAsia="SimSun" w:hAnsi="Arial"/>
      <w:b/>
      <w:spacing w:val="-6"/>
      <w:sz w:val="28"/>
      <w:szCs w:val="28"/>
      <w:lang w:eastAsia="zh-CN"/>
    </w:rPr>
  </w:style>
  <w:style w:type="paragraph" w:customStyle="1" w:styleId="IASignature">
    <w:name w:val="IA Signature"/>
    <w:basedOn w:val="IATableText"/>
    <w:rsid w:val="00547BB1"/>
    <w:pPr>
      <w:tabs>
        <w:tab w:val="left" w:leader="dot" w:pos="6804"/>
        <w:tab w:val="right" w:leader="dot" w:pos="10206"/>
      </w:tabs>
      <w:spacing w:before="0" w:after="0"/>
      <w:ind w:left="0"/>
    </w:pPr>
  </w:style>
  <w:style w:type="paragraph" w:customStyle="1" w:styleId="IASign-off">
    <w:name w:val="IA Sign-off"/>
    <w:basedOn w:val="IATableText"/>
    <w:rsid w:val="00547BB1"/>
    <w:pPr>
      <w:spacing w:before="0" w:after="0"/>
      <w:ind w:left="0" w:right="284"/>
    </w:pPr>
    <w:rPr>
      <w:b/>
      <w:i/>
    </w:rPr>
  </w:style>
  <w:style w:type="character" w:styleId="PageNumber">
    <w:name w:val="page number"/>
    <w:rsid w:val="00547BB1"/>
  </w:style>
  <w:style w:type="paragraph" w:customStyle="1" w:styleId="IAHeadLabel0">
    <w:name w:val="IAHeadLabel0"/>
    <w:basedOn w:val="IAHeadLabel"/>
    <w:next w:val="IAHeadTitle"/>
    <w:rsid w:val="00547BB1"/>
    <w:pPr>
      <w:spacing w:before="0"/>
    </w:pPr>
  </w:style>
  <w:style w:type="paragraph" w:customStyle="1" w:styleId="IATableLines">
    <w:name w:val="IATableLines"/>
    <w:basedOn w:val="IATableText"/>
    <w:link w:val="IATableLinesChar"/>
    <w:rsid w:val="00547BB1"/>
    <w:pPr>
      <w:spacing w:before="0" w:after="0"/>
    </w:pPr>
  </w:style>
  <w:style w:type="paragraph" w:customStyle="1" w:styleId="IASpacer2">
    <w:name w:val="IASpacer2"/>
    <w:basedOn w:val="IASpacer"/>
    <w:rsid w:val="00547BB1"/>
    <w:pPr>
      <w:spacing w:line="40" w:lineRule="exact"/>
    </w:pPr>
  </w:style>
  <w:style w:type="paragraph" w:customStyle="1" w:styleId="IANo">
    <w:name w:val="IANo"/>
    <w:basedOn w:val="Normal"/>
    <w:link w:val="IANoChar"/>
    <w:rsid w:val="00547BB1"/>
    <w:pPr>
      <w:spacing w:after="0" w:line="240" w:lineRule="auto"/>
      <w:ind w:left="113"/>
    </w:pPr>
    <w:rPr>
      <w:rFonts w:ascii="Arial" w:eastAsia="Times New Roman" w:hAnsi="Arial"/>
      <w:sz w:val="20"/>
    </w:rPr>
  </w:style>
  <w:style w:type="character" w:customStyle="1" w:styleId="IAHeadTitleChar">
    <w:name w:val="IAHeadTitle Char"/>
    <w:link w:val="IAHeadTitle"/>
    <w:rsid w:val="00547BB1"/>
    <w:rPr>
      <w:rFonts w:ascii="Arial" w:eastAsia="SimSun" w:hAnsi="Arial"/>
      <w:b/>
      <w:spacing w:val="-6"/>
      <w:sz w:val="28"/>
      <w:szCs w:val="28"/>
      <w:lang w:eastAsia="zh-CN"/>
    </w:rPr>
  </w:style>
  <w:style w:type="character" w:customStyle="1" w:styleId="IANoChar">
    <w:name w:val="IANo Char"/>
    <w:link w:val="IANo"/>
    <w:rsid w:val="00547BB1"/>
    <w:rPr>
      <w:rFonts w:ascii="Arial" w:eastAsia="Times New Roman" w:hAnsi="Arial"/>
      <w:szCs w:val="22"/>
      <w:lang w:eastAsia="en-US"/>
    </w:rPr>
  </w:style>
  <w:style w:type="paragraph" w:customStyle="1" w:styleId="IADate">
    <w:name w:val="IADate"/>
    <w:basedOn w:val="IATableLabel"/>
    <w:link w:val="IADateChar"/>
    <w:rsid w:val="00547BB1"/>
    <w:rPr>
      <w:b w:val="0"/>
      <w:sz w:val="22"/>
      <w:szCs w:val="22"/>
    </w:rPr>
  </w:style>
  <w:style w:type="paragraph" w:customStyle="1" w:styleId="IAStage">
    <w:name w:val="IAStage"/>
    <w:basedOn w:val="IATableLabel"/>
    <w:link w:val="IAStageChar"/>
    <w:rsid w:val="00547BB1"/>
    <w:rPr>
      <w:b w:val="0"/>
      <w:sz w:val="22"/>
    </w:rPr>
  </w:style>
  <w:style w:type="paragraph" w:customStyle="1" w:styleId="IASOI">
    <w:name w:val="IASOI"/>
    <w:basedOn w:val="IATableLabel"/>
    <w:link w:val="IASOIChar"/>
    <w:rsid w:val="00547BB1"/>
    <w:rPr>
      <w:b w:val="0"/>
      <w:sz w:val="22"/>
    </w:rPr>
  </w:style>
  <w:style w:type="paragraph" w:customStyle="1" w:styleId="IATOM">
    <w:name w:val="IATOM"/>
    <w:basedOn w:val="IATableLabel"/>
    <w:link w:val="IATOMChar"/>
    <w:rsid w:val="00547BB1"/>
    <w:rPr>
      <w:b w:val="0"/>
      <w:sz w:val="22"/>
    </w:rPr>
  </w:style>
  <w:style w:type="paragraph" w:customStyle="1" w:styleId="IACOE">
    <w:name w:val="IACOE"/>
    <w:basedOn w:val="Normal"/>
    <w:link w:val="IACOEChar"/>
    <w:autoRedefine/>
    <w:rsid w:val="00547BB1"/>
    <w:pPr>
      <w:spacing w:after="0" w:line="240" w:lineRule="auto"/>
    </w:pPr>
    <w:rPr>
      <w:rFonts w:ascii="Arial" w:eastAsia="SimSun" w:hAnsi="Arial"/>
      <w:spacing w:val="-5"/>
      <w:sz w:val="20"/>
      <w:szCs w:val="24"/>
      <w:lang w:eastAsia="zh-CN"/>
    </w:rPr>
  </w:style>
  <w:style w:type="paragraph" w:customStyle="1" w:styleId="IARPC">
    <w:name w:val="IARPC"/>
    <w:basedOn w:val="Title"/>
    <w:link w:val="IARPCChar"/>
    <w:rsid w:val="00547BB1"/>
    <w:rPr>
      <w:rFonts w:eastAsia="SimSun"/>
      <w:color w:val="000000"/>
      <w:sz w:val="24"/>
      <w:szCs w:val="24"/>
    </w:rPr>
  </w:style>
  <w:style w:type="paragraph" w:customStyle="1" w:styleId="IAIIOTNPV">
    <w:name w:val="IAIIOTNPV"/>
    <w:basedOn w:val="IATableLabel"/>
    <w:rsid w:val="00547BB1"/>
    <w:pPr>
      <w:spacing w:before="0" w:after="0"/>
      <w:jc w:val="both"/>
    </w:pPr>
    <w:rPr>
      <w:b w:val="0"/>
      <w:sz w:val="22"/>
      <w:szCs w:val="22"/>
    </w:rPr>
  </w:style>
  <w:style w:type="paragraph" w:customStyle="1" w:styleId="IAIOBNPV">
    <w:name w:val="IAIOBNPV"/>
    <w:basedOn w:val="IATableLabel"/>
    <w:rsid w:val="00547BB1"/>
    <w:pPr>
      <w:spacing w:before="0" w:after="0"/>
    </w:pPr>
    <w:rPr>
      <w:b w:val="0"/>
      <w:sz w:val="22"/>
      <w:szCs w:val="22"/>
    </w:rPr>
  </w:style>
  <w:style w:type="paragraph" w:customStyle="1" w:styleId="IAIONCTBPY">
    <w:name w:val="IAIONCTBPY"/>
    <w:basedOn w:val="IATableLabel"/>
    <w:rsid w:val="00547BB1"/>
    <w:pPr>
      <w:spacing w:before="0" w:after="0"/>
    </w:pPr>
    <w:rPr>
      <w:b w:val="0"/>
      <w:sz w:val="22"/>
      <w:szCs w:val="22"/>
    </w:rPr>
  </w:style>
  <w:style w:type="paragraph" w:customStyle="1" w:styleId="IAIOInScopeInOut">
    <w:name w:val="IAIOInScopeInOut"/>
    <w:basedOn w:val="IATableLabel"/>
    <w:rsid w:val="00547BB1"/>
    <w:pPr>
      <w:spacing w:before="0" w:after="0"/>
    </w:pPr>
    <w:rPr>
      <w:b w:val="0"/>
      <w:sz w:val="22"/>
      <w:szCs w:val="22"/>
    </w:rPr>
  </w:style>
  <w:style w:type="paragraph" w:customStyle="1" w:styleId="IAIOPrefMQ">
    <w:name w:val="IAIOPrefMQ"/>
    <w:basedOn w:val="IATableText"/>
    <w:rsid w:val="00547BB1"/>
    <w:pPr>
      <w:spacing w:before="0" w:after="0"/>
    </w:pPr>
    <w:rPr>
      <w:color w:val="000000"/>
      <w:szCs w:val="22"/>
    </w:rPr>
  </w:style>
  <w:style w:type="paragraph" w:customStyle="1" w:styleId="IAIOQ1">
    <w:name w:val="IAIOQ1"/>
    <w:basedOn w:val="IATableLabel"/>
    <w:rsid w:val="00547BB1"/>
  </w:style>
  <w:style w:type="paragraph" w:customStyle="1" w:styleId="IAIOQ2">
    <w:name w:val="IAIOQ2"/>
    <w:basedOn w:val="IATableLabel"/>
    <w:rsid w:val="00547BB1"/>
  </w:style>
  <w:style w:type="paragraph" w:customStyle="1" w:styleId="IAIOQ3">
    <w:name w:val="IAIOQ3"/>
    <w:basedOn w:val="IATableLabel"/>
    <w:rsid w:val="00547BB1"/>
  </w:style>
  <w:style w:type="paragraph" w:customStyle="1" w:styleId="IAIOPolicyReview">
    <w:name w:val="IAIOPolicyReview"/>
    <w:basedOn w:val="IATableLabel"/>
    <w:link w:val="IAIOPolicyReviewChar"/>
    <w:rsid w:val="00547BB1"/>
    <w:rPr>
      <w:b w:val="0"/>
      <w:sz w:val="22"/>
      <w:szCs w:val="22"/>
    </w:rPr>
  </w:style>
  <w:style w:type="character" w:customStyle="1" w:styleId="IAIOPolicyReviewChar">
    <w:name w:val="IAIOPolicyReview Char"/>
    <w:link w:val="IAIOPolicyReview"/>
    <w:rsid w:val="00547BB1"/>
    <w:rPr>
      <w:rFonts w:ascii="Arial" w:eastAsia="SimSun" w:hAnsi="Arial"/>
      <w:color w:val="000000"/>
      <w:spacing w:val="-5"/>
      <w:sz w:val="22"/>
      <w:szCs w:val="22"/>
      <w:lang w:eastAsia="zh-CN"/>
    </w:rPr>
  </w:style>
  <w:style w:type="paragraph" w:customStyle="1" w:styleId="IAIOReviewMonth">
    <w:name w:val="IAIOReviewMonth"/>
    <w:basedOn w:val="IATableLabel"/>
    <w:link w:val="IAIOReviewMonthChar"/>
    <w:rsid w:val="00547BB1"/>
    <w:rPr>
      <w:b w:val="0"/>
      <w:sz w:val="22"/>
      <w:szCs w:val="22"/>
    </w:rPr>
  </w:style>
  <w:style w:type="paragraph" w:customStyle="1" w:styleId="IAIOReviewYear">
    <w:name w:val="IAIOReviewYear"/>
    <w:basedOn w:val="IATableLabel"/>
    <w:link w:val="IAIOReviewYearChar"/>
    <w:rsid w:val="00547BB1"/>
    <w:rPr>
      <w:b w:val="0"/>
      <w:sz w:val="22"/>
      <w:szCs w:val="22"/>
    </w:rPr>
  </w:style>
  <w:style w:type="paragraph" w:customStyle="1" w:styleId="IAIOCheckEU">
    <w:name w:val="IAIOCheckEU"/>
    <w:basedOn w:val="IATableText"/>
    <w:rsid w:val="00547BB1"/>
    <w:pPr>
      <w:spacing w:before="0" w:after="0"/>
    </w:pPr>
    <w:rPr>
      <w:sz w:val="20"/>
    </w:rPr>
  </w:style>
  <w:style w:type="character" w:customStyle="1" w:styleId="IAIOReviewYearChar">
    <w:name w:val="IAIOReviewYear Char"/>
    <w:link w:val="IAIOReviewYear"/>
    <w:rsid w:val="00547BB1"/>
    <w:rPr>
      <w:rFonts w:ascii="Arial" w:eastAsia="SimSun" w:hAnsi="Arial"/>
      <w:color w:val="000000"/>
      <w:spacing w:val="-5"/>
      <w:sz w:val="22"/>
      <w:szCs w:val="22"/>
      <w:lang w:eastAsia="zh-CN"/>
    </w:rPr>
  </w:style>
  <w:style w:type="character" w:customStyle="1" w:styleId="IAIOReviewMonthChar">
    <w:name w:val="IAIOReviewMonth Char"/>
    <w:link w:val="IAIOReviewMonth"/>
    <w:rsid w:val="00547BB1"/>
    <w:rPr>
      <w:rFonts w:ascii="Arial" w:eastAsia="SimSun" w:hAnsi="Arial"/>
      <w:color w:val="000000"/>
      <w:spacing w:val="-5"/>
      <w:sz w:val="22"/>
      <w:szCs w:val="22"/>
      <w:lang w:eastAsia="zh-CN"/>
    </w:rPr>
  </w:style>
  <w:style w:type="paragraph" w:customStyle="1" w:styleId="IAIOCheckMicro">
    <w:name w:val="IAIOCheckMicro"/>
    <w:basedOn w:val="IATableLines"/>
    <w:link w:val="IAIOCheckMicroChar"/>
    <w:rsid w:val="00547BB1"/>
    <w:rPr>
      <w:sz w:val="20"/>
    </w:rPr>
  </w:style>
  <w:style w:type="paragraph" w:customStyle="1" w:styleId="IAIOCheckSmall">
    <w:name w:val="IAIOCheckSmall"/>
    <w:basedOn w:val="IATableLines"/>
    <w:link w:val="IAIOCheckSmallChar"/>
    <w:rsid w:val="00547BB1"/>
    <w:rPr>
      <w:sz w:val="20"/>
    </w:rPr>
  </w:style>
  <w:style w:type="paragraph" w:customStyle="1" w:styleId="IAIOCheckLarge">
    <w:name w:val="IAIOCheckLarge"/>
    <w:basedOn w:val="IATableLines"/>
    <w:link w:val="IAIOCheckLargeChar"/>
    <w:rsid w:val="00547BB1"/>
    <w:rPr>
      <w:sz w:val="20"/>
    </w:rPr>
  </w:style>
  <w:style w:type="paragraph" w:customStyle="1" w:styleId="IAIOCO2Traded">
    <w:name w:val="IAIOCO2Traded"/>
    <w:basedOn w:val="IATableLabel"/>
    <w:link w:val="IAIOCO2TradedChar"/>
    <w:rsid w:val="00547BB1"/>
    <w:rPr>
      <w:b w:val="0"/>
      <w:sz w:val="22"/>
    </w:rPr>
  </w:style>
  <w:style w:type="paragraph" w:customStyle="1" w:styleId="IAIOtextSign">
    <w:name w:val="IAIOtextSign"/>
    <w:basedOn w:val="Normal"/>
    <w:rsid w:val="00547BB1"/>
    <w:pPr>
      <w:spacing w:after="0" w:line="240" w:lineRule="auto"/>
      <w:jc w:val="center"/>
    </w:pPr>
    <w:rPr>
      <w:rFonts w:ascii="Arial" w:eastAsia="Times New Roman" w:hAnsi="Arial"/>
      <w:sz w:val="24"/>
      <w:szCs w:val="24"/>
    </w:rPr>
  </w:style>
  <w:style w:type="paragraph" w:customStyle="1" w:styleId="IAIOSigDate">
    <w:name w:val="IAIOSigDate"/>
    <w:basedOn w:val="Normal"/>
    <w:rsid w:val="00547BB1"/>
    <w:pPr>
      <w:spacing w:after="0" w:line="240" w:lineRule="auto"/>
      <w:jc w:val="center"/>
    </w:pPr>
    <w:rPr>
      <w:rFonts w:ascii="Arial" w:eastAsia="Times New Roman" w:hAnsi="Arial"/>
    </w:rPr>
  </w:style>
  <w:style w:type="character" w:customStyle="1" w:styleId="IADateChar">
    <w:name w:val="IADate Char"/>
    <w:link w:val="IADate"/>
    <w:rsid w:val="00547BB1"/>
    <w:rPr>
      <w:rFonts w:ascii="Arial" w:eastAsia="SimSun" w:hAnsi="Arial"/>
      <w:color w:val="000000"/>
      <w:spacing w:val="-5"/>
      <w:sz w:val="22"/>
      <w:szCs w:val="22"/>
      <w:lang w:eastAsia="zh-CN"/>
    </w:rPr>
  </w:style>
  <w:style w:type="character" w:customStyle="1" w:styleId="IATableLinesChar">
    <w:name w:val="IATableLines Char"/>
    <w:link w:val="IATableLines"/>
    <w:rsid w:val="00547BB1"/>
    <w:rPr>
      <w:rFonts w:ascii="Arial" w:eastAsia="SimSun" w:hAnsi="Arial"/>
      <w:spacing w:val="-5"/>
      <w:sz w:val="22"/>
      <w:lang w:eastAsia="zh-CN"/>
    </w:rPr>
  </w:style>
  <w:style w:type="character" w:customStyle="1" w:styleId="IACOEChar">
    <w:name w:val="IACOE Char"/>
    <w:link w:val="IACOE"/>
    <w:rsid w:val="00547BB1"/>
    <w:rPr>
      <w:rFonts w:ascii="Arial" w:eastAsia="SimSun" w:hAnsi="Arial"/>
      <w:spacing w:val="-5"/>
      <w:szCs w:val="24"/>
      <w:lang w:eastAsia="zh-CN"/>
    </w:rPr>
  </w:style>
  <w:style w:type="character" w:customStyle="1" w:styleId="IAStageChar">
    <w:name w:val="IAStage Char"/>
    <w:link w:val="IAStage"/>
    <w:rsid w:val="00547BB1"/>
    <w:rPr>
      <w:rFonts w:ascii="Arial" w:eastAsia="SimSun" w:hAnsi="Arial"/>
      <w:color w:val="000000"/>
      <w:spacing w:val="-5"/>
      <w:sz w:val="22"/>
      <w:lang w:eastAsia="zh-CN"/>
    </w:rPr>
  </w:style>
  <w:style w:type="character" w:customStyle="1" w:styleId="IASOIChar">
    <w:name w:val="IASOI Char"/>
    <w:link w:val="IASOI"/>
    <w:rsid w:val="00547BB1"/>
    <w:rPr>
      <w:rFonts w:ascii="Arial" w:eastAsia="SimSun" w:hAnsi="Arial"/>
      <w:color w:val="000000"/>
      <w:spacing w:val="-5"/>
      <w:sz w:val="22"/>
      <w:lang w:eastAsia="zh-CN"/>
    </w:rPr>
  </w:style>
  <w:style w:type="character" w:customStyle="1" w:styleId="IATOMChar">
    <w:name w:val="IATOM Char"/>
    <w:link w:val="IATOM"/>
    <w:rsid w:val="00547BB1"/>
    <w:rPr>
      <w:rFonts w:ascii="Arial" w:eastAsia="SimSun" w:hAnsi="Arial"/>
      <w:color w:val="000000"/>
      <w:spacing w:val="-5"/>
      <w:sz w:val="22"/>
      <w:lang w:eastAsia="zh-CN"/>
    </w:rPr>
  </w:style>
  <w:style w:type="character" w:customStyle="1" w:styleId="IARPCChar">
    <w:name w:val="IARPC Char"/>
    <w:link w:val="IARPC"/>
    <w:rsid w:val="00547BB1"/>
    <w:rPr>
      <w:rFonts w:ascii="Arial" w:eastAsia="SimSun" w:hAnsi="Arial" w:cs="Arial"/>
      <w:bCs/>
      <w:color w:val="000000"/>
      <w:kern w:val="28"/>
      <w:sz w:val="24"/>
      <w:szCs w:val="24"/>
      <w:lang w:eastAsia="en-US"/>
    </w:rPr>
  </w:style>
  <w:style w:type="character" w:customStyle="1" w:styleId="IAIOCheckMicroChar">
    <w:name w:val="IAIOCheckMicro Char"/>
    <w:link w:val="IAIOCheckMicro"/>
    <w:rsid w:val="00547BB1"/>
    <w:rPr>
      <w:rFonts w:ascii="Arial" w:eastAsia="SimSun" w:hAnsi="Arial"/>
      <w:spacing w:val="-5"/>
      <w:lang w:eastAsia="zh-CN"/>
    </w:rPr>
  </w:style>
  <w:style w:type="character" w:customStyle="1" w:styleId="IAIOCheckSmallChar">
    <w:name w:val="IAIOCheckSmall Char"/>
    <w:link w:val="IAIOCheckSmall"/>
    <w:rsid w:val="00547BB1"/>
    <w:rPr>
      <w:rFonts w:ascii="Arial" w:eastAsia="SimSun" w:hAnsi="Arial"/>
      <w:spacing w:val="-5"/>
      <w:lang w:eastAsia="zh-CN"/>
    </w:rPr>
  </w:style>
  <w:style w:type="character" w:customStyle="1" w:styleId="IAIOCheckLargeChar">
    <w:name w:val="IAIOCheckLarge Char"/>
    <w:link w:val="IAIOCheckLarge"/>
    <w:rsid w:val="00547BB1"/>
    <w:rPr>
      <w:rFonts w:ascii="Arial" w:eastAsia="SimSun" w:hAnsi="Arial"/>
      <w:spacing w:val="-5"/>
      <w:lang w:eastAsia="zh-CN"/>
    </w:rPr>
  </w:style>
  <w:style w:type="character" w:customStyle="1" w:styleId="IAIOCO2TradedChar">
    <w:name w:val="IAIOCO2Traded Char"/>
    <w:link w:val="IAIOCO2Traded"/>
    <w:rsid w:val="00547BB1"/>
    <w:rPr>
      <w:rFonts w:ascii="Arial" w:eastAsia="SimSun" w:hAnsi="Arial"/>
      <w:color w:val="000000"/>
      <w:spacing w:val="-5"/>
      <w:sz w:val="22"/>
      <w:lang w:eastAsia="zh-CN"/>
    </w:rPr>
  </w:style>
  <w:style w:type="paragraph" w:customStyle="1" w:styleId="IATableNotes">
    <w:name w:val="IATableNotes"/>
    <w:basedOn w:val="Normal"/>
    <w:link w:val="IATableNotesChar"/>
    <w:rsid w:val="00934D04"/>
    <w:pPr>
      <w:spacing w:before="60" w:after="60" w:line="240" w:lineRule="auto"/>
      <w:ind w:left="113" w:right="113"/>
    </w:pPr>
    <w:rPr>
      <w:rFonts w:ascii="Arial" w:eastAsia="SimSun" w:hAnsi="Arial"/>
      <w:sz w:val="18"/>
      <w:szCs w:val="20"/>
      <w:lang w:eastAsia="zh-CN"/>
    </w:rPr>
  </w:style>
  <w:style w:type="character" w:customStyle="1" w:styleId="IATableNotesChar">
    <w:name w:val="IATableNotes Char"/>
    <w:link w:val="IATableNotes"/>
    <w:rsid w:val="00934D04"/>
    <w:rPr>
      <w:rFonts w:ascii="Arial" w:eastAsia="SimSun" w:hAnsi="Arial"/>
      <w:sz w:val="18"/>
      <w:lang w:eastAsia="zh-CN"/>
    </w:rPr>
  </w:style>
  <w:style w:type="paragraph" w:customStyle="1" w:styleId="POPBY">
    <w:name w:val="POPBY"/>
    <w:basedOn w:val="IATableLabel"/>
    <w:rsid w:val="00934D04"/>
  </w:style>
  <w:style w:type="paragraph" w:customStyle="1" w:styleId="POPVBY">
    <w:name w:val="POPVBY"/>
    <w:basedOn w:val="IATableLabel"/>
    <w:rsid w:val="00934D04"/>
  </w:style>
  <w:style w:type="paragraph" w:customStyle="1" w:styleId="POTPY">
    <w:name w:val="POTPY"/>
    <w:basedOn w:val="IATableLabel"/>
    <w:rsid w:val="00934D04"/>
  </w:style>
  <w:style w:type="paragraph" w:customStyle="1" w:styleId="PONBLow">
    <w:name w:val="PONBLow"/>
    <w:basedOn w:val="IATableLabel"/>
    <w:link w:val="PONBLowCharChar"/>
    <w:rsid w:val="00934D04"/>
    <w:rPr>
      <w:b w:val="0"/>
      <w:szCs w:val="22"/>
    </w:rPr>
  </w:style>
  <w:style w:type="character" w:customStyle="1" w:styleId="PONBLowCharChar">
    <w:name w:val="PONBLow Char Char"/>
    <w:link w:val="PONBLow"/>
    <w:rsid w:val="00934D04"/>
    <w:rPr>
      <w:rFonts w:ascii="Arial" w:eastAsia="SimSun" w:hAnsi="Arial"/>
      <w:color w:val="000000"/>
      <w:spacing w:val="-5"/>
      <w:szCs w:val="22"/>
      <w:lang w:eastAsia="zh-CN"/>
    </w:rPr>
  </w:style>
  <w:style w:type="paragraph" w:customStyle="1" w:styleId="PONBHigh">
    <w:name w:val="PONBHigh"/>
    <w:basedOn w:val="IATableLabel"/>
    <w:link w:val="PONBHighChar"/>
    <w:rsid w:val="00934D04"/>
    <w:rPr>
      <w:b w:val="0"/>
      <w:szCs w:val="22"/>
    </w:rPr>
  </w:style>
  <w:style w:type="character" w:customStyle="1" w:styleId="PONBHighChar">
    <w:name w:val="PONBHigh Char"/>
    <w:link w:val="PONBHigh"/>
    <w:rsid w:val="00934D04"/>
    <w:rPr>
      <w:rFonts w:ascii="Arial" w:eastAsia="SimSun" w:hAnsi="Arial"/>
      <w:color w:val="000000"/>
      <w:spacing w:val="-5"/>
      <w:szCs w:val="22"/>
      <w:lang w:eastAsia="zh-CN"/>
    </w:rPr>
  </w:style>
  <w:style w:type="paragraph" w:customStyle="1" w:styleId="PONBBestEst">
    <w:name w:val="PONBBestEst"/>
    <w:basedOn w:val="IATableLabel"/>
    <w:link w:val="PONBBestEstChar"/>
    <w:rsid w:val="00934D04"/>
    <w:rPr>
      <w:b w:val="0"/>
      <w:szCs w:val="22"/>
    </w:rPr>
  </w:style>
  <w:style w:type="character" w:customStyle="1" w:styleId="PONBBestEstChar">
    <w:name w:val="PONBBestEst Char"/>
    <w:link w:val="PONBBestEst"/>
    <w:rsid w:val="00934D04"/>
    <w:rPr>
      <w:rFonts w:ascii="Arial" w:eastAsia="SimSun" w:hAnsi="Arial"/>
      <w:color w:val="000000"/>
      <w:spacing w:val="-5"/>
      <w:szCs w:val="22"/>
      <w:lang w:eastAsia="zh-CN"/>
    </w:rPr>
  </w:style>
  <w:style w:type="paragraph" w:customStyle="1" w:styleId="POTTCostsHigh">
    <w:name w:val="POTTCostsHigh"/>
    <w:basedOn w:val="IATableText"/>
    <w:rsid w:val="00934D04"/>
    <w:pPr>
      <w:jc w:val="right"/>
    </w:pPr>
  </w:style>
  <w:style w:type="paragraph" w:customStyle="1" w:styleId="POTTCostsLow">
    <w:name w:val="POTTCostsLow"/>
    <w:basedOn w:val="POTTCostsHigh"/>
    <w:rsid w:val="00934D04"/>
  </w:style>
  <w:style w:type="paragraph" w:customStyle="1" w:styleId="POTTCostsBest">
    <w:name w:val="POTTCostsBest"/>
    <w:basedOn w:val="IATableText"/>
    <w:rsid w:val="00934D04"/>
    <w:pPr>
      <w:jc w:val="right"/>
    </w:pPr>
  </w:style>
  <w:style w:type="paragraph" w:customStyle="1" w:styleId="POTTCostsYear">
    <w:name w:val="POTTCostsYear"/>
    <w:basedOn w:val="IATableText"/>
    <w:rsid w:val="00934D04"/>
    <w:pPr>
      <w:jc w:val="center"/>
    </w:pPr>
    <w:rPr>
      <w:szCs w:val="18"/>
    </w:rPr>
  </w:style>
  <w:style w:type="paragraph" w:customStyle="1" w:styleId="POTCCostsLow">
    <w:name w:val="POTCCostsLow"/>
    <w:basedOn w:val="IATableText"/>
    <w:rsid w:val="00934D04"/>
    <w:pPr>
      <w:jc w:val="right"/>
    </w:pPr>
    <w:rPr>
      <w:b/>
    </w:rPr>
  </w:style>
  <w:style w:type="paragraph" w:customStyle="1" w:styleId="POTCCostsHigh">
    <w:name w:val="POTCCostsHigh"/>
    <w:basedOn w:val="IATableText"/>
    <w:rsid w:val="00934D04"/>
    <w:pPr>
      <w:jc w:val="right"/>
    </w:pPr>
    <w:rPr>
      <w:b/>
    </w:rPr>
  </w:style>
  <w:style w:type="paragraph" w:customStyle="1" w:styleId="POTCCostsBest">
    <w:name w:val="POTCCostsBest"/>
    <w:basedOn w:val="IATableText"/>
    <w:rsid w:val="00934D04"/>
    <w:pPr>
      <w:jc w:val="right"/>
    </w:pPr>
    <w:rPr>
      <w:b/>
    </w:rPr>
  </w:style>
  <w:style w:type="paragraph" w:customStyle="1" w:styleId="IAPOQ1">
    <w:name w:val="IAPOQ1"/>
    <w:basedOn w:val="IATableLabel"/>
    <w:rsid w:val="00934D04"/>
  </w:style>
  <w:style w:type="paragraph" w:customStyle="1" w:styleId="IAPOA1">
    <w:name w:val="IAPOA1"/>
    <w:basedOn w:val="IATableLines"/>
    <w:rsid w:val="00934D04"/>
  </w:style>
  <w:style w:type="paragraph" w:customStyle="1" w:styleId="POTTBenLow">
    <w:name w:val="POTTBenLow"/>
    <w:basedOn w:val="POTTCostsLow"/>
    <w:rsid w:val="00934D04"/>
  </w:style>
  <w:style w:type="paragraph" w:customStyle="1" w:styleId="POTTBenHigh">
    <w:name w:val="POTTBenHigh"/>
    <w:basedOn w:val="POTTCostsHigh"/>
    <w:rsid w:val="00934D04"/>
  </w:style>
  <w:style w:type="paragraph" w:customStyle="1" w:styleId="POTTBenBest">
    <w:name w:val="POTTBenBest"/>
    <w:basedOn w:val="POTTCostsBest"/>
    <w:rsid w:val="00934D04"/>
  </w:style>
  <w:style w:type="paragraph" w:customStyle="1" w:styleId="POAABenLow">
    <w:name w:val="POAABenLow"/>
    <w:basedOn w:val="Normal"/>
    <w:rsid w:val="00934D04"/>
    <w:pPr>
      <w:spacing w:before="50" w:after="50" w:line="240" w:lineRule="auto"/>
      <w:ind w:left="113" w:right="113"/>
      <w:jc w:val="right"/>
    </w:pPr>
    <w:rPr>
      <w:rFonts w:ascii="Arial" w:eastAsia="SimSun" w:hAnsi="Arial"/>
      <w:spacing w:val="-5"/>
      <w:szCs w:val="20"/>
      <w:lang w:eastAsia="zh-CN"/>
    </w:rPr>
  </w:style>
  <w:style w:type="paragraph" w:customStyle="1" w:styleId="POAABenHigh">
    <w:name w:val="POAABenHigh"/>
    <w:basedOn w:val="POAABenLow"/>
    <w:rsid w:val="00934D04"/>
  </w:style>
  <w:style w:type="paragraph" w:customStyle="1" w:styleId="POAABenBest">
    <w:name w:val="POAABenBest"/>
    <w:basedOn w:val="POAABenHigh"/>
    <w:rsid w:val="00934D04"/>
  </w:style>
  <w:style w:type="paragraph" w:customStyle="1" w:styleId="POTBBenLow">
    <w:name w:val="POTBBenLow"/>
    <w:basedOn w:val="POTCCostsLow"/>
    <w:rsid w:val="00934D04"/>
  </w:style>
  <w:style w:type="paragraph" w:customStyle="1" w:styleId="POTBBenHigh">
    <w:name w:val="POTBBenHigh"/>
    <w:basedOn w:val="POTBBenLow"/>
    <w:rsid w:val="00934D04"/>
  </w:style>
  <w:style w:type="paragraph" w:customStyle="1" w:styleId="POTBBenBest">
    <w:name w:val="POTBBenBest"/>
    <w:basedOn w:val="POTBBenHigh"/>
    <w:rsid w:val="00934D04"/>
  </w:style>
  <w:style w:type="paragraph" w:customStyle="1" w:styleId="IPPOQ3">
    <w:name w:val="IPPOQ3"/>
    <w:basedOn w:val="IAPOQ2"/>
    <w:link w:val="IPPOQ3Char"/>
    <w:rsid w:val="00934D04"/>
  </w:style>
  <w:style w:type="paragraph" w:customStyle="1" w:styleId="IAPOQ4">
    <w:name w:val="IAPOQ4"/>
    <w:basedOn w:val="IPPOQ3"/>
    <w:link w:val="IAPOQ4Char"/>
    <w:rsid w:val="00934D04"/>
  </w:style>
  <w:style w:type="paragraph" w:customStyle="1" w:styleId="IAPOA3">
    <w:name w:val="IAPOA3"/>
    <w:basedOn w:val="Normal"/>
    <w:rsid w:val="00934D04"/>
    <w:pPr>
      <w:spacing w:after="0" w:line="240" w:lineRule="auto"/>
      <w:ind w:left="113" w:right="113"/>
    </w:pPr>
    <w:rPr>
      <w:rFonts w:ascii="Arial" w:eastAsia="SimSun" w:hAnsi="Arial"/>
      <w:spacing w:val="-5"/>
      <w:szCs w:val="20"/>
      <w:lang w:eastAsia="zh-CN"/>
    </w:rPr>
  </w:style>
  <w:style w:type="paragraph" w:customStyle="1" w:styleId="IAPOQ5">
    <w:name w:val="IAPOQ5"/>
    <w:basedOn w:val="IAPOQ4"/>
    <w:link w:val="IAPOQ5Char"/>
    <w:rsid w:val="00934D04"/>
  </w:style>
  <w:style w:type="character" w:customStyle="1" w:styleId="IPPOQ3Char">
    <w:name w:val="IPPOQ3 Char"/>
    <w:link w:val="IPPOQ3"/>
    <w:rsid w:val="00934D04"/>
    <w:rPr>
      <w:rFonts w:ascii="Arial" w:eastAsia="SimSun" w:hAnsi="Arial"/>
      <w:b/>
      <w:color w:val="000000"/>
      <w:spacing w:val="-5"/>
      <w:lang w:eastAsia="zh-CN"/>
    </w:rPr>
  </w:style>
  <w:style w:type="character" w:customStyle="1" w:styleId="IAPOQ4Char">
    <w:name w:val="IAPOQ4 Char"/>
    <w:link w:val="IAPOQ4"/>
    <w:rsid w:val="00934D04"/>
    <w:rPr>
      <w:rFonts w:ascii="Arial" w:eastAsia="SimSun" w:hAnsi="Arial"/>
      <w:b/>
      <w:color w:val="000000"/>
      <w:spacing w:val="-5"/>
      <w:lang w:eastAsia="zh-CN"/>
    </w:rPr>
  </w:style>
  <w:style w:type="character" w:customStyle="1" w:styleId="IAPOQ5Char">
    <w:name w:val="IAPOQ5 Char"/>
    <w:link w:val="IAPOQ5"/>
    <w:rsid w:val="00934D04"/>
    <w:rPr>
      <w:rFonts w:ascii="Arial" w:eastAsia="SimSun" w:hAnsi="Arial"/>
      <w:b/>
      <w:color w:val="000000"/>
      <w:spacing w:val="-5"/>
      <w:lang w:eastAsia="zh-CN"/>
    </w:rPr>
  </w:style>
  <w:style w:type="paragraph" w:customStyle="1" w:styleId="IAPODisRate">
    <w:name w:val="IAPODisRate"/>
    <w:basedOn w:val="IATableLabel"/>
    <w:rsid w:val="00934D04"/>
    <w:pPr>
      <w:ind w:left="0"/>
      <w:jc w:val="center"/>
    </w:pPr>
    <w:rPr>
      <w:b w:val="0"/>
    </w:rPr>
  </w:style>
  <w:style w:type="paragraph" w:customStyle="1" w:styleId="IAPODICost">
    <w:name w:val="IAPODICost"/>
    <w:basedOn w:val="IATableLabel"/>
    <w:link w:val="IAPODICostChar"/>
    <w:rsid w:val="00934D04"/>
    <w:rPr>
      <w:b w:val="0"/>
      <w:sz w:val="22"/>
      <w:szCs w:val="22"/>
    </w:rPr>
  </w:style>
  <w:style w:type="character" w:customStyle="1" w:styleId="IAPODICostChar">
    <w:name w:val="IAPODICost Char"/>
    <w:link w:val="IAPODICost"/>
    <w:rsid w:val="00934D04"/>
    <w:rPr>
      <w:rFonts w:ascii="Arial" w:eastAsia="SimSun" w:hAnsi="Arial"/>
      <w:color w:val="000000"/>
      <w:spacing w:val="-5"/>
      <w:sz w:val="22"/>
      <w:szCs w:val="22"/>
      <w:lang w:eastAsia="zh-CN"/>
    </w:rPr>
  </w:style>
  <w:style w:type="paragraph" w:customStyle="1" w:styleId="IAPODIBen">
    <w:name w:val="IAPODIBen"/>
    <w:basedOn w:val="IATableLabel"/>
    <w:link w:val="IAPODIBenChar"/>
    <w:rsid w:val="00934D04"/>
    <w:rPr>
      <w:b w:val="0"/>
      <w:sz w:val="22"/>
      <w:szCs w:val="22"/>
    </w:rPr>
  </w:style>
  <w:style w:type="paragraph" w:customStyle="1" w:styleId="IAPODINet">
    <w:name w:val="IAPODINet"/>
    <w:basedOn w:val="IATableLabel"/>
    <w:link w:val="IAPODINetChar"/>
    <w:rsid w:val="00934D04"/>
    <w:rPr>
      <w:b w:val="0"/>
      <w:sz w:val="22"/>
      <w:szCs w:val="22"/>
    </w:rPr>
  </w:style>
  <w:style w:type="character" w:customStyle="1" w:styleId="IAPODINetChar">
    <w:name w:val="IAPODINet Char"/>
    <w:link w:val="IAPODINet"/>
    <w:rsid w:val="00934D04"/>
    <w:rPr>
      <w:rFonts w:ascii="Arial" w:eastAsia="SimSun" w:hAnsi="Arial"/>
      <w:color w:val="000000"/>
      <w:spacing w:val="-5"/>
      <w:sz w:val="22"/>
      <w:szCs w:val="22"/>
      <w:lang w:eastAsia="zh-CN"/>
    </w:rPr>
  </w:style>
  <w:style w:type="character" w:customStyle="1" w:styleId="IAPODIBenChar">
    <w:name w:val="IAPODIBen Char"/>
    <w:link w:val="IAPODIBen"/>
    <w:rsid w:val="00934D04"/>
    <w:rPr>
      <w:rFonts w:ascii="Arial" w:eastAsia="SimSun" w:hAnsi="Arial"/>
      <w:color w:val="000000"/>
      <w:spacing w:val="-5"/>
      <w:sz w:val="22"/>
      <w:szCs w:val="22"/>
      <w:lang w:eastAsia="zh-CN"/>
    </w:rPr>
  </w:style>
  <w:style w:type="paragraph" w:customStyle="1" w:styleId="IAPODIMQ">
    <w:name w:val="IAPODIMQ"/>
    <w:basedOn w:val="IATableText"/>
    <w:rsid w:val="00934D04"/>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3596">
      <w:bodyDiv w:val="1"/>
      <w:marLeft w:val="0"/>
      <w:marRight w:val="0"/>
      <w:marTop w:val="0"/>
      <w:marBottom w:val="0"/>
      <w:divBdr>
        <w:top w:val="none" w:sz="0" w:space="0" w:color="auto"/>
        <w:left w:val="none" w:sz="0" w:space="0" w:color="auto"/>
        <w:bottom w:val="none" w:sz="0" w:space="0" w:color="auto"/>
        <w:right w:val="none" w:sz="0" w:space="0" w:color="auto"/>
      </w:divBdr>
    </w:div>
    <w:div w:id="241181392">
      <w:bodyDiv w:val="1"/>
      <w:marLeft w:val="0"/>
      <w:marRight w:val="0"/>
      <w:marTop w:val="0"/>
      <w:marBottom w:val="0"/>
      <w:divBdr>
        <w:top w:val="none" w:sz="0" w:space="0" w:color="auto"/>
        <w:left w:val="none" w:sz="0" w:space="0" w:color="auto"/>
        <w:bottom w:val="none" w:sz="0" w:space="0" w:color="auto"/>
        <w:right w:val="none" w:sz="0" w:space="0" w:color="auto"/>
      </w:divBdr>
    </w:div>
    <w:div w:id="283116546">
      <w:bodyDiv w:val="1"/>
      <w:marLeft w:val="0"/>
      <w:marRight w:val="0"/>
      <w:marTop w:val="0"/>
      <w:marBottom w:val="0"/>
      <w:divBdr>
        <w:top w:val="none" w:sz="0" w:space="0" w:color="auto"/>
        <w:left w:val="none" w:sz="0" w:space="0" w:color="auto"/>
        <w:bottom w:val="none" w:sz="0" w:space="0" w:color="auto"/>
        <w:right w:val="none" w:sz="0" w:space="0" w:color="auto"/>
      </w:divBdr>
    </w:div>
    <w:div w:id="331026250">
      <w:bodyDiv w:val="1"/>
      <w:marLeft w:val="0"/>
      <w:marRight w:val="0"/>
      <w:marTop w:val="0"/>
      <w:marBottom w:val="0"/>
      <w:divBdr>
        <w:top w:val="none" w:sz="0" w:space="0" w:color="auto"/>
        <w:left w:val="none" w:sz="0" w:space="0" w:color="auto"/>
        <w:bottom w:val="none" w:sz="0" w:space="0" w:color="auto"/>
        <w:right w:val="none" w:sz="0" w:space="0" w:color="auto"/>
      </w:divBdr>
    </w:div>
    <w:div w:id="335311021">
      <w:bodyDiv w:val="1"/>
      <w:marLeft w:val="0"/>
      <w:marRight w:val="0"/>
      <w:marTop w:val="0"/>
      <w:marBottom w:val="0"/>
      <w:divBdr>
        <w:top w:val="none" w:sz="0" w:space="0" w:color="auto"/>
        <w:left w:val="none" w:sz="0" w:space="0" w:color="auto"/>
        <w:bottom w:val="none" w:sz="0" w:space="0" w:color="auto"/>
        <w:right w:val="none" w:sz="0" w:space="0" w:color="auto"/>
      </w:divBdr>
    </w:div>
    <w:div w:id="558247829">
      <w:bodyDiv w:val="1"/>
      <w:marLeft w:val="0"/>
      <w:marRight w:val="0"/>
      <w:marTop w:val="0"/>
      <w:marBottom w:val="0"/>
      <w:divBdr>
        <w:top w:val="none" w:sz="0" w:space="0" w:color="auto"/>
        <w:left w:val="none" w:sz="0" w:space="0" w:color="auto"/>
        <w:bottom w:val="none" w:sz="0" w:space="0" w:color="auto"/>
        <w:right w:val="none" w:sz="0" w:space="0" w:color="auto"/>
      </w:divBdr>
    </w:div>
    <w:div w:id="682362557">
      <w:bodyDiv w:val="1"/>
      <w:marLeft w:val="0"/>
      <w:marRight w:val="0"/>
      <w:marTop w:val="0"/>
      <w:marBottom w:val="0"/>
      <w:divBdr>
        <w:top w:val="none" w:sz="0" w:space="0" w:color="auto"/>
        <w:left w:val="none" w:sz="0" w:space="0" w:color="auto"/>
        <w:bottom w:val="none" w:sz="0" w:space="0" w:color="auto"/>
        <w:right w:val="none" w:sz="0" w:space="0" w:color="auto"/>
      </w:divBdr>
    </w:div>
    <w:div w:id="712966433">
      <w:bodyDiv w:val="1"/>
      <w:marLeft w:val="0"/>
      <w:marRight w:val="0"/>
      <w:marTop w:val="0"/>
      <w:marBottom w:val="0"/>
      <w:divBdr>
        <w:top w:val="none" w:sz="0" w:space="0" w:color="auto"/>
        <w:left w:val="none" w:sz="0" w:space="0" w:color="auto"/>
        <w:bottom w:val="none" w:sz="0" w:space="0" w:color="auto"/>
        <w:right w:val="none" w:sz="0" w:space="0" w:color="auto"/>
      </w:divBdr>
    </w:div>
    <w:div w:id="789209280">
      <w:bodyDiv w:val="1"/>
      <w:marLeft w:val="0"/>
      <w:marRight w:val="0"/>
      <w:marTop w:val="0"/>
      <w:marBottom w:val="0"/>
      <w:divBdr>
        <w:top w:val="none" w:sz="0" w:space="0" w:color="auto"/>
        <w:left w:val="none" w:sz="0" w:space="0" w:color="auto"/>
        <w:bottom w:val="none" w:sz="0" w:space="0" w:color="auto"/>
        <w:right w:val="none" w:sz="0" w:space="0" w:color="auto"/>
      </w:divBdr>
    </w:div>
    <w:div w:id="891159771">
      <w:bodyDiv w:val="1"/>
      <w:marLeft w:val="0"/>
      <w:marRight w:val="0"/>
      <w:marTop w:val="0"/>
      <w:marBottom w:val="0"/>
      <w:divBdr>
        <w:top w:val="none" w:sz="0" w:space="0" w:color="auto"/>
        <w:left w:val="none" w:sz="0" w:space="0" w:color="auto"/>
        <w:bottom w:val="none" w:sz="0" w:space="0" w:color="auto"/>
        <w:right w:val="none" w:sz="0" w:space="0" w:color="auto"/>
      </w:divBdr>
    </w:div>
    <w:div w:id="1066339052">
      <w:bodyDiv w:val="1"/>
      <w:marLeft w:val="0"/>
      <w:marRight w:val="0"/>
      <w:marTop w:val="0"/>
      <w:marBottom w:val="0"/>
      <w:divBdr>
        <w:top w:val="none" w:sz="0" w:space="0" w:color="auto"/>
        <w:left w:val="none" w:sz="0" w:space="0" w:color="auto"/>
        <w:bottom w:val="none" w:sz="0" w:space="0" w:color="auto"/>
        <w:right w:val="none" w:sz="0" w:space="0" w:color="auto"/>
      </w:divBdr>
    </w:div>
    <w:div w:id="1174757443">
      <w:bodyDiv w:val="1"/>
      <w:marLeft w:val="0"/>
      <w:marRight w:val="0"/>
      <w:marTop w:val="0"/>
      <w:marBottom w:val="0"/>
      <w:divBdr>
        <w:top w:val="none" w:sz="0" w:space="0" w:color="auto"/>
        <w:left w:val="none" w:sz="0" w:space="0" w:color="auto"/>
        <w:bottom w:val="none" w:sz="0" w:space="0" w:color="auto"/>
        <w:right w:val="none" w:sz="0" w:space="0" w:color="auto"/>
      </w:divBdr>
    </w:div>
    <w:div w:id="1192455953">
      <w:bodyDiv w:val="1"/>
      <w:marLeft w:val="0"/>
      <w:marRight w:val="0"/>
      <w:marTop w:val="0"/>
      <w:marBottom w:val="0"/>
      <w:divBdr>
        <w:top w:val="none" w:sz="0" w:space="0" w:color="auto"/>
        <w:left w:val="none" w:sz="0" w:space="0" w:color="auto"/>
        <w:bottom w:val="none" w:sz="0" w:space="0" w:color="auto"/>
        <w:right w:val="none" w:sz="0" w:space="0" w:color="auto"/>
      </w:divBdr>
    </w:div>
    <w:div w:id="1297564247">
      <w:bodyDiv w:val="1"/>
      <w:marLeft w:val="0"/>
      <w:marRight w:val="0"/>
      <w:marTop w:val="0"/>
      <w:marBottom w:val="0"/>
      <w:divBdr>
        <w:top w:val="none" w:sz="0" w:space="0" w:color="auto"/>
        <w:left w:val="none" w:sz="0" w:space="0" w:color="auto"/>
        <w:bottom w:val="none" w:sz="0" w:space="0" w:color="auto"/>
        <w:right w:val="none" w:sz="0" w:space="0" w:color="auto"/>
      </w:divBdr>
    </w:div>
    <w:div w:id="1324891542">
      <w:bodyDiv w:val="1"/>
      <w:marLeft w:val="0"/>
      <w:marRight w:val="0"/>
      <w:marTop w:val="0"/>
      <w:marBottom w:val="0"/>
      <w:divBdr>
        <w:top w:val="none" w:sz="0" w:space="0" w:color="auto"/>
        <w:left w:val="none" w:sz="0" w:space="0" w:color="auto"/>
        <w:bottom w:val="none" w:sz="0" w:space="0" w:color="auto"/>
        <w:right w:val="none" w:sz="0" w:space="0" w:color="auto"/>
      </w:divBdr>
    </w:div>
    <w:div w:id="1332486102">
      <w:bodyDiv w:val="1"/>
      <w:marLeft w:val="0"/>
      <w:marRight w:val="0"/>
      <w:marTop w:val="0"/>
      <w:marBottom w:val="0"/>
      <w:divBdr>
        <w:top w:val="none" w:sz="0" w:space="0" w:color="auto"/>
        <w:left w:val="none" w:sz="0" w:space="0" w:color="auto"/>
        <w:bottom w:val="none" w:sz="0" w:space="0" w:color="auto"/>
        <w:right w:val="none" w:sz="0" w:space="0" w:color="auto"/>
      </w:divBdr>
    </w:div>
    <w:div w:id="1355694592">
      <w:bodyDiv w:val="1"/>
      <w:marLeft w:val="0"/>
      <w:marRight w:val="0"/>
      <w:marTop w:val="0"/>
      <w:marBottom w:val="0"/>
      <w:divBdr>
        <w:top w:val="none" w:sz="0" w:space="0" w:color="auto"/>
        <w:left w:val="none" w:sz="0" w:space="0" w:color="auto"/>
        <w:bottom w:val="none" w:sz="0" w:space="0" w:color="auto"/>
        <w:right w:val="none" w:sz="0" w:space="0" w:color="auto"/>
      </w:divBdr>
    </w:div>
    <w:div w:id="1483889157">
      <w:bodyDiv w:val="1"/>
      <w:marLeft w:val="0"/>
      <w:marRight w:val="0"/>
      <w:marTop w:val="0"/>
      <w:marBottom w:val="0"/>
      <w:divBdr>
        <w:top w:val="none" w:sz="0" w:space="0" w:color="auto"/>
        <w:left w:val="none" w:sz="0" w:space="0" w:color="auto"/>
        <w:bottom w:val="none" w:sz="0" w:space="0" w:color="auto"/>
        <w:right w:val="none" w:sz="0" w:space="0" w:color="auto"/>
      </w:divBdr>
    </w:div>
    <w:div w:id="1498958025">
      <w:bodyDiv w:val="1"/>
      <w:marLeft w:val="0"/>
      <w:marRight w:val="0"/>
      <w:marTop w:val="0"/>
      <w:marBottom w:val="0"/>
      <w:divBdr>
        <w:top w:val="none" w:sz="0" w:space="0" w:color="auto"/>
        <w:left w:val="none" w:sz="0" w:space="0" w:color="auto"/>
        <w:bottom w:val="none" w:sz="0" w:space="0" w:color="auto"/>
        <w:right w:val="none" w:sz="0" w:space="0" w:color="auto"/>
      </w:divBdr>
    </w:div>
    <w:div w:id="1635017580">
      <w:bodyDiv w:val="1"/>
      <w:marLeft w:val="0"/>
      <w:marRight w:val="0"/>
      <w:marTop w:val="0"/>
      <w:marBottom w:val="0"/>
      <w:divBdr>
        <w:top w:val="none" w:sz="0" w:space="0" w:color="auto"/>
        <w:left w:val="none" w:sz="0" w:space="0" w:color="auto"/>
        <w:bottom w:val="none" w:sz="0" w:space="0" w:color="auto"/>
        <w:right w:val="none" w:sz="0" w:space="0" w:color="auto"/>
      </w:divBdr>
    </w:div>
    <w:div w:id="1642422431">
      <w:bodyDiv w:val="1"/>
      <w:marLeft w:val="0"/>
      <w:marRight w:val="0"/>
      <w:marTop w:val="0"/>
      <w:marBottom w:val="0"/>
      <w:divBdr>
        <w:top w:val="none" w:sz="0" w:space="0" w:color="auto"/>
        <w:left w:val="none" w:sz="0" w:space="0" w:color="auto"/>
        <w:bottom w:val="none" w:sz="0" w:space="0" w:color="auto"/>
        <w:right w:val="none" w:sz="0" w:space="0" w:color="auto"/>
      </w:divBdr>
    </w:div>
    <w:div w:id="1642688543">
      <w:bodyDiv w:val="1"/>
      <w:marLeft w:val="0"/>
      <w:marRight w:val="0"/>
      <w:marTop w:val="0"/>
      <w:marBottom w:val="0"/>
      <w:divBdr>
        <w:top w:val="none" w:sz="0" w:space="0" w:color="auto"/>
        <w:left w:val="none" w:sz="0" w:space="0" w:color="auto"/>
        <w:bottom w:val="none" w:sz="0" w:space="0" w:color="auto"/>
        <w:right w:val="none" w:sz="0" w:space="0" w:color="auto"/>
      </w:divBdr>
    </w:div>
    <w:div w:id="1738431050">
      <w:bodyDiv w:val="1"/>
      <w:marLeft w:val="0"/>
      <w:marRight w:val="0"/>
      <w:marTop w:val="0"/>
      <w:marBottom w:val="0"/>
      <w:divBdr>
        <w:top w:val="none" w:sz="0" w:space="0" w:color="auto"/>
        <w:left w:val="none" w:sz="0" w:space="0" w:color="auto"/>
        <w:bottom w:val="none" w:sz="0" w:space="0" w:color="auto"/>
        <w:right w:val="none" w:sz="0" w:space="0" w:color="auto"/>
      </w:divBdr>
    </w:div>
    <w:div w:id="1781533496">
      <w:bodyDiv w:val="1"/>
      <w:marLeft w:val="0"/>
      <w:marRight w:val="0"/>
      <w:marTop w:val="0"/>
      <w:marBottom w:val="0"/>
      <w:divBdr>
        <w:top w:val="none" w:sz="0" w:space="0" w:color="auto"/>
        <w:left w:val="none" w:sz="0" w:space="0" w:color="auto"/>
        <w:bottom w:val="none" w:sz="0" w:space="0" w:color="auto"/>
        <w:right w:val="none" w:sz="0" w:space="0" w:color="auto"/>
      </w:divBdr>
    </w:div>
    <w:div w:id="1795977856">
      <w:bodyDiv w:val="1"/>
      <w:marLeft w:val="0"/>
      <w:marRight w:val="0"/>
      <w:marTop w:val="0"/>
      <w:marBottom w:val="0"/>
      <w:divBdr>
        <w:top w:val="none" w:sz="0" w:space="0" w:color="auto"/>
        <w:left w:val="none" w:sz="0" w:space="0" w:color="auto"/>
        <w:bottom w:val="none" w:sz="0" w:space="0" w:color="auto"/>
        <w:right w:val="none" w:sz="0" w:space="0" w:color="auto"/>
      </w:divBdr>
    </w:div>
    <w:div w:id="1849558890">
      <w:bodyDiv w:val="1"/>
      <w:marLeft w:val="0"/>
      <w:marRight w:val="0"/>
      <w:marTop w:val="0"/>
      <w:marBottom w:val="0"/>
      <w:divBdr>
        <w:top w:val="none" w:sz="0" w:space="0" w:color="auto"/>
        <w:left w:val="none" w:sz="0" w:space="0" w:color="auto"/>
        <w:bottom w:val="none" w:sz="0" w:space="0" w:color="auto"/>
        <w:right w:val="none" w:sz="0" w:space="0" w:color="auto"/>
      </w:divBdr>
    </w:div>
    <w:div w:id="1873570656">
      <w:bodyDiv w:val="1"/>
      <w:marLeft w:val="0"/>
      <w:marRight w:val="0"/>
      <w:marTop w:val="0"/>
      <w:marBottom w:val="0"/>
      <w:divBdr>
        <w:top w:val="none" w:sz="0" w:space="0" w:color="auto"/>
        <w:left w:val="none" w:sz="0" w:space="0" w:color="auto"/>
        <w:bottom w:val="none" w:sz="0" w:space="0" w:color="auto"/>
        <w:right w:val="none" w:sz="0" w:space="0" w:color="auto"/>
      </w:divBdr>
    </w:div>
    <w:div w:id="1923761609">
      <w:bodyDiv w:val="1"/>
      <w:marLeft w:val="0"/>
      <w:marRight w:val="0"/>
      <w:marTop w:val="0"/>
      <w:marBottom w:val="0"/>
      <w:divBdr>
        <w:top w:val="none" w:sz="0" w:space="0" w:color="auto"/>
        <w:left w:val="none" w:sz="0" w:space="0" w:color="auto"/>
        <w:bottom w:val="none" w:sz="0" w:space="0" w:color="auto"/>
        <w:right w:val="none" w:sz="0" w:space="0" w:color="auto"/>
      </w:divBdr>
    </w:div>
    <w:div w:id="2008055036">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 w:id="20803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eads@justice.gsi.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9929-CF7B-4144-8582-B702BD39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6086</Words>
  <Characters>34693</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40698</CharactersWithSpaces>
  <SharedDoc>false</SharedDoc>
  <HLinks>
    <vt:vector size="6" baseType="variant">
      <vt:variant>
        <vt:i4>5636129</vt:i4>
      </vt:variant>
      <vt:variant>
        <vt:i4>6</vt:i4>
      </vt:variant>
      <vt:variant>
        <vt:i4>0</vt:i4>
      </vt:variant>
      <vt:variant>
        <vt:i4>5</vt:i4>
      </vt:variant>
      <vt:variant>
        <vt:lpwstr>mailto:Andrew.Meads@justice.gsi.gov.uk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Alfred</dc:creator>
  <cp:keywords/>
  <dc:description/>
  <cp:lastModifiedBy>Tubbritt, Scott</cp:lastModifiedBy>
  <cp:revision>2</cp:revision>
  <cp:lastPrinted>2018-06-25T22:50:00Z</cp:lastPrinted>
  <dcterms:created xsi:type="dcterms:W3CDTF">2019-01-14T11:48:00Z</dcterms:created>
  <dcterms:modified xsi:type="dcterms:W3CDTF">2019-01-14T11:48:00Z</dcterms:modified>
</cp:coreProperties>
</file>