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76BF" w14:textId="6D20BADA" w:rsidR="00DA02F8" w:rsidRPr="00DA02F8" w:rsidRDefault="009C41F0" w:rsidP="00DA02F8">
      <w:pPr>
        <w:pStyle w:val="Title"/>
        <w:rPr>
          <w:sz w:val="52"/>
        </w:rPr>
      </w:pPr>
      <w:r w:rsidRPr="009C41F0">
        <w:rPr>
          <w:sz w:val="52"/>
        </w:rPr>
        <w:t>General Regulatory Chamber</w:t>
      </w:r>
      <w:r w:rsidR="00DA02F8" w:rsidRPr="00DA02F8">
        <w:rPr>
          <w:noProof/>
          <w:sz w:val="56"/>
        </w:rPr>
        <w:drawing>
          <wp:anchor distT="0" distB="0" distL="114300" distR="114300" simplePos="0" relativeHeight="251659264" behindDoc="0" locked="0" layoutInCell="1" allowOverlap="1" wp14:anchorId="5CA3EF59" wp14:editId="3342998D">
            <wp:simplePos x="0" y="0"/>
            <wp:positionH relativeFrom="page">
              <wp:posOffset>4660571</wp:posOffset>
            </wp:positionH>
            <wp:positionV relativeFrom="paragraph">
              <wp:posOffset>-8890</wp:posOffset>
            </wp:positionV>
            <wp:extent cx="2100431"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CTS_BLK_SML_A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2097" cy="972321"/>
                    </a:xfrm>
                    <a:prstGeom prst="rect">
                      <a:avLst/>
                    </a:prstGeom>
                  </pic:spPr>
                </pic:pic>
              </a:graphicData>
            </a:graphic>
            <wp14:sizeRelH relativeFrom="page">
              <wp14:pctWidth>0</wp14:pctWidth>
            </wp14:sizeRelH>
            <wp14:sizeRelV relativeFrom="page">
              <wp14:pctHeight>0</wp14:pctHeight>
            </wp14:sizeRelV>
          </wp:anchor>
        </w:drawing>
      </w:r>
    </w:p>
    <w:p w14:paraId="18CE9574" w14:textId="7413A19F" w:rsidR="00545B6C" w:rsidRPr="00DA02F8" w:rsidRDefault="00DA02F8" w:rsidP="00DA02F8">
      <w:pPr>
        <w:pStyle w:val="Title"/>
        <w:rPr>
          <w:sz w:val="52"/>
        </w:rPr>
      </w:pPr>
      <w:r w:rsidRPr="00DA02F8">
        <w:rPr>
          <w:sz w:val="52"/>
        </w:rPr>
        <w:t xml:space="preserve">(HM Courts and Tribunals Service) </w:t>
      </w:r>
    </w:p>
    <w:p w14:paraId="4848496C" w14:textId="006B4D2C" w:rsidR="00B91315" w:rsidRPr="00B21E62" w:rsidRDefault="00E66A89" w:rsidP="00AD05F3">
      <w:pPr>
        <w:pStyle w:val="Subtitle"/>
        <w:rPr>
          <w:sz w:val="44"/>
        </w:rPr>
      </w:pPr>
      <w:r w:rsidRPr="00B21E62">
        <w:rPr>
          <w:sz w:val="44"/>
        </w:rPr>
        <w:t>Records Retention and Disposition Schedule</w:t>
      </w:r>
    </w:p>
    <w:p w14:paraId="12959C9B" w14:textId="77777777" w:rsidR="00E66A89" w:rsidRDefault="00E66A89" w:rsidP="00E66A89">
      <w:pPr>
        <w:pStyle w:val="Heading2"/>
      </w:pPr>
      <w:bookmarkStart w:id="0" w:name="_Toc6321028"/>
      <w:r w:rsidRPr="00E66A89">
        <w:t>Introduction</w:t>
      </w:r>
    </w:p>
    <w:bookmarkEnd w:id="0"/>
    <w:p w14:paraId="036F2DAD" w14:textId="2002E00C" w:rsidR="00E66A89" w:rsidRPr="00E66A89" w:rsidRDefault="00DA02F8" w:rsidP="009C41F0">
      <w:pPr>
        <w:numPr>
          <w:ilvl w:val="0"/>
          <w:numId w:val="6"/>
        </w:numPr>
        <w:spacing w:after="0" w:line="240" w:lineRule="auto"/>
        <w:ind w:left="360"/>
        <w:rPr>
          <w:rFonts w:cs="Arial"/>
          <w:szCs w:val="24"/>
        </w:rPr>
      </w:pPr>
      <w:r w:rsidRPr="00F3756F">
        <w:rPr>
          <w:rFonts w:cs="Arial"/>
          <w:szCs w:val="24"/>
        </w:rPr>
        <w:t xml:space="preserve">This schedule </w:t>
      </w:r>
      <w:r w:rsidR="0045408D">
        <w:rPr>
          <w:rFonts w:cs="Arial"/>
          <w:szCs w:val="24"/>
        </w:rPr>
        <w:t>applies to</w:t>
      </w:r>
      <w:r w:rsidR="0045408D" w:rsidRPr="00F3756F">
        <w:rPr>
          <w:rFonts w:cs="Arial"/>
          <w:szCs w:val="24"/>
        </w:rPr>
        <w:t xml:space="preserve"> </w:t>
      </w:r>
      <w:r w:rsidR="0045408D">
        <w:rPr>
          <w:rFonts w:cs="Arial"/>
          <w:szCs w:val="24"/>
        </w:rPr>
        <w:t xml:space="preserve">the records that are held by </w:t>
      </w:r>
      <w:r w:rsidR="00F3756F" w:rsidRPr="00F3756F">
        <w:rPr>
          <w:rFonts w:cs="Arial"/>
          <w:szCs w:val="24"/>
        </w:rPr>
        <w:t xml:space="preserve">the </w:t>
      </w:r>
      <w:r w:rsidR="009C41F0" w:rsidRPr="009C41F0">
        <w:rPr>
          <w:rFonts w:cs="Arial"/>
          <w:szCs w:val="24"/>
        </w:rPr>
        <w:t xml:space="preserve">General Regulatory Chamber (GRC) </w:t>
      </w:r>
      <w:r w:rsidR="00F3756F" w:rsidRPr="00F3756F">
        <w:rPr>
          <w:rFonts w:cs="Arial"/>
          <w:szCs w:val="24"/>
        </w:rPr>
        <w:t xml:space="preserve">of HM Courts </w:t>
      </w:r>
      <w:r w:rsidR="00F3756F">
        <w:rPr>
          <w:rFonts w:cs="Arial"/>
          <w:szCs w:val="24"/>
        </w:rPr>
        <w:t>&amp;</w:t>
      </w:r>
      <w:r w:rsidR="00F3756F" w:rsidRPr="00F3756F">
        <w:rPr>
          <w:rFonts w:cs="Arial"/>
          <w:szCs w:val="24"/>
        </w:rPr>
        <w:t xml:space="preserve"> Tribunals Service (HMCTS)</w:t>
      </w:r>
      <w:r w:rsidR="0081199E">
        <w:rPr>
          <w:rFonts w:cs="Arial"/>
          <w:szCs w:val="24"/>
        </w:rPr>
        <w:t>.</w:t>
      </w:r>
      <w:r w:rsidR="0081199E" w:rsidRPr="0081199E">
        <w:rPr>
          <w:rFonts w:cs="Arial"/>
          <w:szCs w:val="24"/>
        </w:rPr>
        <w:t xml:space="preserve"> </w:t>
      </w:r>
      <w:r w:rsidR="0081199E">
        <w:rPr>
          <w:rFonts w:cs="Arial"/>
          <w:szCs w:val="24"/>
        </w:rPr>
        <w:t>It has been drawn up following consultation between HMCTS</w:t>
      </w:r>
      <w:r w:rsidR="0081199E" w:rsidRPr="00F3756F">
        <w:rPr>
          <w:rFonts w:cs="Arial"/>
          <w:szCs w:val="24"/>
        </w:rPr>
        <w:t xml:space="preserve"> and staff working for the Departmental Records Officer (DRO) in the Ministry of Justice.</w:t>
      </w:r>
      <w:r w:rsidR="00E66A89" w:rsidRPr="00E66A89">
        <w:rPr>
          <w:rFonts w:cs="Arial"/>
          <w:szCs w:val="24"/>
        </w:rPr>
        <w:br/>
      </w:r>
    </w:p>
    <w:p w14:paraId="1770C957" w14:textId="77777777" w:rsidR="0045408D" w:rsidRPr="00510AA1" w:rsidRDefault="0045408D" w:rsidP="0045408D">
      <w:pPr>
        <w:numPr>
          <w:ilvl w:val="0"/>
          <w:numId w:val="6"/>
        </w:numPr>
        <w:spacing w:after="0" w:line="240" w:lineRule="auto"/>
        <w:ind w:left="360"/>
        <w:rPr>
          <w:rFonts w:cs="Arial"/>
          <w:szCs w:val="24"/>
        </w:rPr>
      </w:pPr>
      <w:bookmarkStart w:id="1" w:name="_Hlk514921578"/>
      <w:r w:rsidRPr="00D12245">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w:t>
      </w:r>
      <w:proofErr w:type="spellStart"/>
      <w:r w:rsidRPr="00D12245">
        <w:rPr>
          <w:rFonts w:cs="Arial"/>
          <w:szCs w:val="24"/>
        </w:rPr>
        <w:t>FoIA</w:t>
      </w:r>
      <w:proofErr w:type="spellEnd"/>
      <w:r w:rsidRPr="00D12245">
        <w:rPr>
          <w:rFonts w:cs="Arial"/>
          <w:szCs w:val="24"/>
        </w:rPr>
        <w:t>) and amending legislation. The MoJ uses Records Retention and Disposition Schedules (RRDS) to manage its compliance with statutory obligations to identify what information and records we hold, how long we keep it and what should happen to these records at the end of that time.</w:t>
      </w:r>
      <w:r w:rsidRPr="00510AA1">
        <w:rPr>
          <w:rFonts w:cs="Arial"/>
          <w:szCs w:val="24"/>
        </w:rPr>
        <w:t xml:space="preserve"> </w:t>
      </w:r>
    </w:p>
    <w:p w14:paraId="0F560074" w14:textId="77777777" w:rsidR="00E66A89" w:rsidRPr="00E66A89" w:rsidRDefault="00E66A89" w:rsidP="00E66A89">
      <w:pPr>
        <w:spacing w:after="0" w:line="240" w:lineRule="auto"/>
        <w:ind w:left="360"/>
        <w:rPr>
          <w:rFonts w:cs="Arial"/>
          <w:szCs w:val="24"/>
        </w:rPr>
      </w:pPr>
    </w:p>
    <w:p w14:paraId="7370A640" w14:textId="77777777" w:rsidR="009C17C6" w:rsidRPr="009C17C6" w:rsidRDefault="009C17C6" w:rsidP="009C17C6">
      <w:pPr>
        <w:numPr>
          <w:ilvl w:val="0"/>
          <w:numId w:val="6"/>
        </w:numPr>
        <w:spacing w:after="0" w:line="240" w:lineRule="auto"/>
        <w:ind w:left="360"/>
        <w:rPr>
          <w:rFonts w:cs="Arial"/>
          <w:szCs w:val="24"/>
        </w:rPr>
      </w:pPr>
      <w:r w:rsidRPr="009C17C6">
        <w:rPr>
          <w:rFonts w:cs="Arial"/>
          <w:szCs w:val="24"/>
        </w:rPr>
        <w:t xml:space="preserve">The GRC's statutory jurisdiction is derived from the Tribunals, Courts and Enforcement Act 2007 and the many pieces of legislation which create the appeal rights determined in the Chamber.  </w:t>
      </w:r>
    </w:p>
    <w:p w14:paraId="0EE7A891" w14:textId="77777777" w:rsidR="009C17C6" w:rsidRDefault="009C17C6" w:rsidP="009C17C6">
      <w:pPr>
        <w:spacing w:after="0" w:line="240" w:lineRule="auto"/>
        <w:ind w:left="360"/>
        <w:rPr>
          <w:rFonts w:cs="Arial"/>
          <w:szCs w:val="24"/>
        </w:rPr>
      </w:pPr>
    </w:p>
    <w:p w14:paraId="331A2FE1" w14:textId="3539211F" w:rsidR="00F3756F" w:rsidRDefault="009C17C6" w:rsidP="009C17C6">
      <w:pPr>
        <w:numPr>
          <w:ilvl w:val="0"/>
          <w:numId w:val="6"/>
        </w:numPr>
        <w:spacing w:after="0" w:line="240" w:lineRule="auto"/>
        <w:ind w:left="360"/>
        <w:rPr>
          <w:rFonts w:cs="Arial"/>
          <w:szCs w:val="24"/>
        </w:rPr>
      </w:pPr>
      <w:r w:rsidRPr="009C17C6">
        <w:rPr>
          <w:rFonts w:cs="Arial"/>
          <w:szCs w:val="24"/>
        </w:rPr>
        <w:t>The GRC's procedure is governed by The Tribunal Procedure (First-tier Tribunal) (General Regulatory Chamber) Rules 2009, as amended from time to time.</w:t>
      </w:r>
    </w:p>
    <w:p w14:paraId="09AB7E28" w14:textId="1E88E5FB" w:rsidR="00F3756F" w:rsidRPr="00F3756F" w:rsidRDefault="00F3756F" w:rsidP="009C17C6">
      <w:pPr>
        <w:spacing w:after="0" w:line="240" w:lineRule="auto"/>
        <w:ind w:left="360"/>
        <w:rPr>
          <w:rFonts w:cs="Arial"/>
          <w:szCs w:val="24"/>
        </w:rPr>
      </w:pPr>
    </w:p>
    <w:p w14:paraId="10FC5921" w14:textId="2E4F0077" w:rsidR="008F39D9" w:rsidRPr="008D55E7" w:rsidRDefault="008F39D9" w:rsidP="00E66A89">
      <w:pPr>
        <w:numPr>
          <w:ilvl w:val="0"/>
          <w:numId w:val="6"/>
        </w:numPr>
        <w:spacing w:after="0" w:line="240" w:lineRule="auto"/>
        <w:ind w:left="360"/>
        <w:rPr>
          <w:rFonts w:cs="Arial"/>
          <w:szCs w:val="24"/>
        </w:rPr>
      </w:pPr>
      <w:r>
        <w:rPr>
          <w:rFonts w:cs="Arial"/>
        </w:rPr>
        <w:t xml:space="preserve">The </w:t>
      </w:r>
      <w:r w:rsidRPr="009C41F0">
        <w:rPr>
          <w:rFonts w:cs="Arial"/>
          <w:szCs w:val="24"/>
        </w:rPr>
        <w:t>General Regulatory Chamber</w:t>
      </w:r>
      <w:r w:rsidRPr="00F3756F">
        <w:rPr>
          <w:rFonts w:cs="Arial"/>
        </w:rPr>
        <w:t xml:space="preserve"> </w:t>
      </w:r>
      <w:r>
        <w:rPr>
          <w:rFonts w:cs="Arial"/>
        </w:rPr>
        <w:t xml:space="preserve">covers </w:t>
      </w:r>
      <w:r w:rsidR="00084A5E">
        <w:rPr>
          <w:rFonts w:cs="Arial"/>
        </w:rPr>
        <w:t xml:space="preserve">any jurisdiction governed by the GRC rules </w:t>
      </w:r>
      <w:r w:rsidR="008D55E7">
        <w:rPr>
          <w:rFonts w:cs="Arial"/>
        </w:rPr>
        <w:t>(and so change from time to time).</w:t>
      </w:r>
    </w:p>
    <w:p w14:paraId="2316D2EC" w14:textId="77777777" w:rsidR="0045408D" w:rsidRPr="00D12245" w:rsidRDefault="0045408D" w:rsidP="0045408D">
      <w:pPr>
        <w:pStyle w:val="Heading2"/>
        <w:rPr>
          <w:sz w:val="24"/>
          <w:szCs w:val="28"/>
        </w:rPr>
      </w:pPr>
      <w:r w:rsidRPr="00D12245">
        <w:rPr>
          <w:sz w:val="24"/>
          <w:szCs w:val="28"/>
        </w:rPr>
        <w:t>More about this schedule</w:t>
      </w:r>
    </w:p>
    <w:p w14:paraId="3DA67D87" w14:textId="77777777" w:rsidR="0045408D" w:rsidRDefault="0045408D" w:rsidP="0045408D">
      <w:pPr>
        <w:numPr>
          <w:ilvl w:val="0"/>
          <w:numId w:val="6"/>
        </w:numPr>
        <w:spacing w:after="0" w:line="240" w:lineRule="auto"/>
        <w:ind w:left="360"/>
        <w:rPr>
          <w:rFonts w:cs="Arial"/>
          <w:szCs w:val="24"/>
        </w:rPr>
      </w:pPr>
      <w:r w:rsidRPr="00510AA1">
        <w:rPr>
          <w:rFonts w:cs="Arial"/>
          <w:szCs w:val="24"/>
        </w:rPr>
        <w:t>None of the records listed below are selected for permanent preservation and transfer to The National Archives (TNA).</w:t>
      </w:r>
    </w:p>
    <w:p w14:paraId="27D1A269" w14:textId="6735C2D7" w:rsidR="008D55E7" w:rsidRDefault="008D55E7" w:rsidP="008D55E7">
      <w:pPr>
        <w:spacing w:after="0" w:line="240" w:lineRule="auto"/>
        <w:ind w:left="360"/>
        <w:rPr>
          <w:rFonts w:cs="Arial"/>
          <w:szCs w:val="24"/>
        </w:rPr>
      </w:pPr>
    </w:p>
    <w:p w14:paraId="14809CBB" w14:textId="3F334455" w:rsidR="009C17C6" w:rsidRDefault="009C17C6" w:rsidP="008D55E7">
      <w:pPr>
        <w:spacing w:after="0" w:line="240" w:lineRule="auto"/>
        <w:ind w:left="360"/>
        <w:rPr>
          <w:rFonts w:cs="Arial"/>
          <w:szCs w:val="24"/>
        </w:rPr>
      </w:pPr>
    </w:p>
    <w:p w14:paraId="2CD14879" w14:textId="73D60A64" w:rsidR="009C17C6" w:rsidRDefault="009C17C6" w:rsidP="008D55E7">
      <w:pPr>
        <w:spacing w:after="0" w:line="240" w:lineRule="auto"/>
        <w:ind w:left="360"/>
        <w:rPr>
          <w:rFonts w:cs="Arial"/>
          <w:szCs w:val="24"/>
        </w:rPr>
      </w:pPr>
    </w:p>
    <w:p w14:paraId="7559A69F" w14:textId="408BFDDB" w:rsidR="009C17C6" w:rsidRDefault="009C17C6" w:rsidP="008D55E7">
      <w:pPr>
        <w:spacing w:after="0" w:line="240" w:lineRule="auto"/>
        <w:ind w:left="360"/>
        <w:rPr>
          <w:rFonts w:cs="Arial"/>
          <w:szCs w:val="24"/>
        </w:rPr>
      </w:pPr>
    </w:p>
    <w:p w14:paraId="5596820A" w14:textId="50B9BBCE" w:rsidR="009C17C6" w:rsidRDefault="009C17C6" w:rsidP="008D55E7">
      <w:pPr>
        <w:spacing w:after="0" w:line="240" w:lineRule="auto"/>
        <w:ind w:left="360"/>
        <w:rPr>
          <w:rFonts w:cs="Arial"/>
          <w:szCs w:val="24"/>
        </w:rPr>
      </w:pPr>
    </w:p>
    <w:p w14:paraId="0066BCE2" w14:textId="77777777" w:rsidR="009C17C6" w:rsidRPr="008F39D9" w:rsidRDefault="009C17C6" w:rsidP="008D55E7">
      <w:pPr>
        <w:spacing w:after="0" w:line="240" w:lineRule="auto"/>
        <w:ind w:left="360"/>
        <w:rPr>
          <w:rFonts w:cs="Arial"/>
          <w:szCs w:val="24"/>
        </w:rPr>
      </w:pPr>
    </w:p>
    <w:bookmarkEnd w:id="1"/>
    <w:p w14:paraId="444AFDB6" w14:textId="73C407DA" w:rsidR="00E66A89" w:rsidRPr="00F3756F" w:rsidRDefault="00E66A89" w:rsidP="00E66A89">
      <w:pPr>
        <w:numPr>
          <w:ilvl w:val="0"/>
          <w:numId w:val="6"/>
        </w:numPr>
        <w:spacing w:after="0" w:line="240" w:lineRule="auto"/>
        <w:ind w:left="360"/>
        <w:rPr>
          <w:rFonts w:cs="Arial"/>
          <w:szCs w:val="24"/>
        </w:rPr>
      </w:pPr>
      <w:r w:rsidRPr="00F3756F">
        <w:rPr>
          <w:rFonts w:cs="Arial"/>
          <w:szCs w:val="24"/>
        </w:rPr>
        <w:lastRenderedPageBreak/>
        <w:t>This schedule is split into</w:t>
      </w:r>
      <w:r w:rsidR="00A51D7C" w:rsidRPr="00F3756F">
        <w:rPr>
          <w:rFonts w:cs="Arial"/>
          <w:szCs w:val="24"/>
        </w:rPr>
        <w:t xml:space="preserve"> </w:t>
      </w:r>
      <w:r w:rsidR="00650168">
        <w:rPr>
          <w:rFonts w:cs="Arial"/>
          <w:szCs w:val="24"/>
        </w:rPr>
        <w:t>three</w:t>
      </w:r>
      <w:r w:rsidR="00A51D7C" w:rsidRPr="00F3756F">
        <w:rPr>
          <w:rFonts w:cs="Arial"/>
          <w:szCs w:val="24"/>
        </w:rPr>
        <w:t xml:space="preserve"> section</w:t>
      </w:r>
      <w:r w:rsidRPr="00F3756F">
        <w:rPr>
          <w:rFonts w:cs="Arial"/>
          <w:szCs w:val="24"/>
        </w:rPr>
        <w:t>s:</w:t>
      </w:r>
    </w:p>
    <w:p w14:paraId="0BF41805" w14:textId="77777777" w:rsidR="00E66A89" w:rsidRPr="00E66A89" w:rsidRDefault="00E66A89" w:rsidP="00E66A89">
      <w:pPr>
        <w:spacing w:after="0" w:line="240" w:lineRule="auto"/>
        <w:ind w:left="360"/>
        <w:rPr>
          <w:rFonts w:cs="Arial"/>
          <w:szCs w:val="24"/>
        </w:rPr>
      </w:pPr>
    </w:p>
    <w:p w14:paraId="5E0FB277" w14:textId="151A750F" w:rsidR="00F3756F" w:rsidRPr="00650168" w:rsidRDefault="00F3756F" w:rsidP="00F3756F">
      <w:pPr>
        <w:numPr>
          <w:ilvl w:val="1"/>
          <w:numId w:val="6"/>
        </w:numPr>
        <w:spacing w:after="0" w:line="240" w:lineRule="auto"/>
        <w:rPr>
          <w:rFonts w:cs="Arial"/>
          <w:szCs w:val="24"/>
        </w:rPr>
      </w:pPr>
      <w:r w:rsidRPr="00650168">
        <w:rPr>
          <w:rFonts w:cs="Arial"/>
          <w:szCs w:val="24"/>
        </w:rPr>
        <w:t xml:space="preserve">Records unique to the </w:t>
      </w:r>
      <w:r w:rsidR="008F39D9" w:rsidRPr="009C41F0">
        <w:rPr>
          <w:rFonts w:cs="Arial"/>
          <w:szCs w:val="24"/>
        </w:rPr>
        <w:t>General Regulatory Chamber</w:t>
      </w:r>
    </w:p>
    <w:p w14:paraId="1B3E5F5E" w14:textId="77777777" w:rsidR="00F3756F" w:rsidRPr="00F3756F" w:rsidRDefault="00F3756F" w:rsidP="00F3756F">
      <w:pPr>
        <w:numPr>
          <w:ilvl w:val="1"/>
          <w:numId w:val="6"/>
        </w:numPr>
        <w:spacing w:after="0" w:line="240" w:lineRule="auto"/>
        <w:rPr>
          <w:rFonts w:cs="Arial"/>
          <w:szCs w:val="24"/>
        </w:rPr>
      </w:pPr>
      <w:r w:rsidRPr="00F3756F">
        <w:rPr>
          <w:rFonts w:cs="Arial"/>
          <w:szCs w:val="24"/>
        </w:rPr>
        <w:t>Records held by various teams within HMCTS where a common retention and disposition policy is applied.</w:t>
      </w:r>
    </w:p>
    <w:p w14:paraId="70209A42" w14:textId="41926011" w:rsidR="00E66A89" w:rsidRDefault="00F3756F" w:rsidP="00A51D7C">
      <w:pPr>
        <w:numPr>
          <w:ilvl w:val="1"/>
          <w:numId w:val="6"/>
        </w:numPr>
        <w:spacing w:after="0" w:line="240" w:lineRule="auto"/>
        <w:rPr>
          <w:rFonts w:cs="Arial"/>
          <w:szCs w:val="24"/>
        </w:rPr>
      </w:pPr>
      <w:r w:rsidRPr="00F3756F">
        <w:rPr>
          <w:rFonts w:cs="Arial"/>
          <w:szCs w:val="24"/>
        </w:rPr>
        <w:t>Records held by various teams within the MoJ and its associated bodies and where a common retention and disposition policy is applied.</w:t>
      </w:r>
    </w:p>
    <w:p w14:paraId="277C4E1C" w14:textId="77777777" w:rsidR="0045408D" w:rsidRPr="00F3756F" w:rsidRDefault="0045408D" w:rsidP="0045408D">
      <w:pPr>
        <w:spacing w:after="0" w:line="240" w:lineRule="auto"/>
        <w:rPr>
          <w:rFonts w:cs="Arial"/>
          <w:szCs w:val="24"/>
        </w:rPr>
      </w:pPr>
    </w:p>
    <w:p w14:paraId="2BD7722A" w14:textId="77777777" w:rsidR="0045408D" w:rsidRPr="00A54C31" w:rsidRDefault="0045408D" w:rsidP="0045408D">
      <w:pPr>
        <w:numPr>
          <w:ilvl w:val="0"/>
          <w:numId w:val="6"/>
        </w:numPr>
        <w:spacing w:after="0" w:line="240" w:lineRule="auto"/>
        <w:ind w:left="360"/>
        <w:rPr>
          <w:rFonts w:cs="Arial"/>
          <w:szCs w:val="24"/>
        </w:rPr>
      </w:pPr>
      <w:bookmarkStart w:id="2" w:name="_Hlk514928352"/>
      <w:bookmarkStart w:id="3" w:name="_Hlk514928334"/>
      <w:r w:rsidRPr="00A54C31">
        <w:rPr>
          <w:rFonts w:cs="Arial"/>
          <w:szCs w:val="24"/>
        </w:rPr>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r w:rsidRPr="00A54C31">
        <w:rPr>
          <w:vertAlign w:val="superscript"/>
        </w:rPr>
        <w:footnoteReference w:id="1"/>
      </w:r>
    </w:p>
    <w:p w14:paraId="2628145F" w14:textId="128F0EAB" w:rsidR="00E54993" w:rsidRPr="00E865EC" w:rsidRDefault="00E54993" w:rsidP="00E54993">
      <w:pPr>
        <w:spacing w:after="0" w:line="240" w:lineRule="auto"/>
        <w:ind w:left="360"/>
        <w:rPr>
          <w:rFonts w:cs="Arial"/>
          <w:color w:val="FF0000"/>
          <w:szCs w:val="24"/>
        </w:rPr>
      </w:pPr>
    </w:p>
    <w:p w14:paraId="12C9411C" w14:textId="77777777" w:rsidR="00E66A89" w:rsidRPr="00E54993" w:rsidRDefault="00E66A89" w:rsidP="00E54993">
      <w:pPr>
        <w:numPr>
          <w:ilvl w:val="0"/>
          <w:numId w:val="6"/>
        </w:numPr>
        <w:spacing w:after="0" w:line="240" w:lineRule="auto"/>
        <w:ind w:left="360"/>
        <w:rPr>
          <w:rFonts w:cs="Arial"/>
        </w:rPr>
      </w:pPr>
      <w:r w:rsidRPr="00E54993">
        <w:rPr>
          <w:rFonts w:cs="Arial"/>
        </w:rPr>
        <w:t xml:space="preserve">While the Independent Inquiry into Child Sexual Abuse (IICSA) continues its investigations, the moratorium on the destruction of records of potential interest to IICSA remains in place. All government departments and their associated bodies (in common with other </w:t>
      </w:r>
      <w:proofErr w:type="gramStart"/>
      <w:r w:rsidRPr="00E54993">
        <w:rPr>
          <w:rFonts w:cs="Arial"/>
        </w:rPr>
        <w:t>public sector</w:t>
      </w:r>
      <w:proofErr w:type="gramEnd"/>
      <w:r w:rsidRPr="00E54993">
        <w:rPr>
          <w:rFonts w:cs="Arial"/>
        </w:rPr>
        <w:t xml:space="preserve"> bodies) are required to comply with the moratorium. All business areas should apply the moratorium to any records covered by the following criteria:</w:t>
      </w:r>
    </w:p>
    <w:bookmarkEnd w:id="2"/>
    <w:p w14:paraId="4DD39A40" w14:textId="77777777" w:rsidR="00E66A89" w:rsidRPr="00E66A89" w:rsidRDefault="00E66A89" w:rsidP="00E66A89">
      <w:pPr>
        <w:spacing w:after="0" w:line="240" w:lineRule="auto"/>
        <w:ind w:left="1440"/>
        <w:rPr>
          <w:rFonts w:cs="Arial"/>
          <w:szCs w:val="24"/>
        </w:rPr>
      </w:pPr>
    </w:p>
    <w:p w14:paraId="49D1633D"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3"/>
    <w:p w14:paraId="00D8FAC6"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1F1928B7"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233BC375"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46C62FB7" w14:textId="77777777" w:rsidR="00E66A89" w:rsidRPr="00E66A89" w:rsidRDefault="00E66A89" w:rsidP="00E66A89">
      <w:pPr>
        <w:spacing w:after="0" w:line="240" w:lineRule="auto"/>
        <w:ind w:left="360"/>
        <w:rPr>
          <w:rFonts w:cs="Arial"/>
          <w:szCs w:val="24"/>
        </w:rPr>
      </w:pPr>
    </w:p>
    <w:p w14:paraId="2DD0EDE5" w14:textId="26A4CAFB" w:rsidR="00E66A89" w:rsidRPr="0061115A" w:rsidRDefault="00E66A89" w:rsidP="00E66A89">
      <w:pPr>
        <w:numPr>
          <w:ilvl w:val="0"/>
          <w:numId w:val="6"/>
        </w:numPr>
        <w:spacing w:after="0" w:line="240" w:lineRule="auto"/>
        <w:ind w:left="360"/>
        <w:rPr>
          <w:rFonts w:cs="Arial"/>
          <w:szCs w:val="24"/>
        </w:rPr>
      </w:pPr>
      <w:r w:rsidRPr="0061115A">
        <w:rPr>
          <w:rFonts w:cs="Arial"/>
          <w:szCs w:val="24"/>
        </w:rPr>
        <w:t xml:space="preserve">As part of its commitment to transparency, this schedule will be published on the MoJ’s webpage: </w:t>
      </w:r>
      <w:hyperlink r:id="rId13" w:history="1">
        <w:r w:rsidRPr="0061115A">
          <w:rPr>
            <w:rStyle w:val="Hyperlink"/>
            <w:rFonts w:cs="Arial"/>
            <w:color w:val="0000CC"/>
            <w:szCs w:val="24"/>
          </w:rPr>
          <w:t>https://www.gov.uk/government/publications/record-retention-and-disposition-schedules</w:t>
        </w:r>
      </w:hyperlink>
      <w:r w:rsidRPr="0061115A">
        <w:rPr>
          <w:rStyle w:val="Hyperlink"/>
          <w:rFonts w:cs="Arial"/>
          <w:szCs w:val="24"/>
        </w:rPr>
        <w:t>.</w:t>
      </w:r>
    </w:p>
    <w:p w14:paraId="32A2B4D9" w14:textId="5D3D9248" w:rsidR="008F39D9" w:rsidRDefault="008F39D9" w:rsidP="00757E87">
      <w:pPr>
        <w:pStyle w:val="BodyText"/>
      </w:pPr>
    </w:p>
    <w:p w14:paraId="5A34438C" w14:textId="77777777" w:rsidR="0061115A" w:rsidRPr="00757E87" w:rsidRDefault="0061115A" w:rsidP="00757E87">
      <w:pPr>
        <w:pStyle w:val="BodyText"/>
      </w:pPr>
    </w:p>
    <w:p w14:paraId="583CED60" w14:textId="79173FD8" w:rsidR="00E66A89" w:rsidRDefault="00B21E62" w:rsidP="00E66A89">
      <w:pPr>
        <w:pStyle w:val="Heading2"/>
      </w:pPr>
      <w:r>
        <w:t>The schedule</w:t>
      </w:r>
    </w:p>
    <w:tbl>
      <w:tblPr>
        <w:tblStyle w:val="TableGrid"/>
        <w:tblW w:w="0" w:type="auto"/>
        <w:tblLook w:val="04A0" w:firstRow="1" w:lastRow="0" w:firstColumn="1" w:lastColumn="0" w:noHBand="0" w:noVBand="1"/>
      </w:tblPr>
      <w:tblGrid>
        <w:gridCol w:w="846"/>
        <w:gridCol w:w="4252"/>
        <w:gridCol w:w="4530"/>
      </w:tblGrid>
      <w:tr w:rsidR="00E66A89" w:rsidRPr="00E66A89" w14:paraId="15D3E8C2" w14:textId="77777777" w:rsidTr="008C36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C0BF52" w14:textId="09D8B41B" w:rsidR="00E66A89" w:rsidRPr="00E66A89" w:rsidRDefault="00E66A89" w:rsidP="00E66A89">
            <w:pPr>
              <w:pStyle w:val="Text"/>
              <w:spacing w:after="0"/>
              <w:jc w:val="center"/>
              <w:rPr>
                <w:sz w:val="24"/>
              </w:rPr>
            </w:pPr>
            <w:r w:rsidRPr="00E66A89">
              <w:rPr>
                <w:sz w:val="24"/>
              </w:rPr>
              <w:t>No.</w:t>
            </w:r>
          </w:p>
        </w:tc>
        <w:tc>
          <w:tcPr>
            <w:tcW w:w="4252" w:type="dxa"/>
            <w:vAlign w:val="center"/>
          </w:tcPr>
          <w:p w14:paraId="0F7887AE" w14:textId="3C0AA512"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4530" w:type="dxa"/>
            <w:vAlign w:val="center"/>
          </w:tcPr>
          <w:p w14:paraId="1DF9DE5A" w14:textId="22B59B4F"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F3756F" w:rsidRPr="00E66A89" w14:paraId="186C9264" w14:textId="77777777" w:rsidTr="00A07715">
        <w:tc>
          <w:tcPr>
            <w:cnfStyle w:val="001000000000" w:firstRow="0" w:lastRow="0" w:firstColumn="1" w:lastColumn="0" w:oddVBand="0" w:evenVBand="0" w:oddHBand="0" w:evenHBand="0" w:firstRowFirstColumn="0" w:firstRowLastColumn="0" w:lastRowFirstColumn="0" w:lastRowLastColumn="0"/>
            <w:tcW w:w="9628" w:type="dxa"/>
            <w:gridSpan w:val="3"/>
          </w:tcPr>
          <w:p w14:paraId="74F1BF7C" w14:textId="77777777" w:rsidR="00F3756F" w:rsidRDefault="00F3756F" w:rsidP="00A07715">
            <w:pPr>
              <w:pStyle w:val="Text"/>
              <w:spacing w:after="0"/>
              <w:jc w:val="center"/>
              <w:rPr>
                <w:sz w:val="24"/>
              </w:rPr>
            </w:pPr>
          </w:p>
          <w:p w14:paraId="794C00F0" w14:textId="74AB70CF" w:rsidR="00F3756F" w:rsidRPr="00F3756F" w:rsidRDefault="00F3756F" w:rsidP="00F3756F">
            <w:pPr>
              <w:pStyle w:val="Text"/>
              <w:spacing w:after="0"/>
              <w:jc w:val="center"/>
              <w:rPr>
                <w:b w:val="0"/>
                <w:sz w:val="24"/>
              </w:rPr>
            </w:pPr>
            <w:r w:rsidRPr="00E66A89">
              <w:rPr>
                <w:sz w:val="24"/>
              </w:rPr>
              <w:t xml:space="preserve">1. </w:t>
            </w:r>
            <w:r>
              <w:rPr>
                <w:sz w:val="24"/>
              </w:rPr>
              <w:t>Unique r</w:t>
            </w:r>
            <w:r w:rsidRPr="00A05B79">
              <w:rPr>
                <w:sz w:val="24"/>
              </w:rPr>
              <w:t>ecords held by</w:t>
            </w:r>
            <w:r>
              <w:rPr>
                <w:sz w:val="24"/>
              </w:rPr>
              <w:t xml:space="preserve"> </w:t>
            </w:r>
            <w:r w:rsidR="00650168">
              <w:rPr>
                <w:sz w:val="24"/>
              </w:rPr>
              <w:t>the Gen</w:t>
            </w:r>
            <w:r w:rsidR="00F44410">
              <w:rPr>
                <w:sz w:val="24"/>
              </w:rPr>
              <w:t>eral Regulatory Chamber</w:t>
            </w:r>
          </w:p>
          <w:p w14:paraId="73CCF1FE" w14:textId="77777777" w:rsidR="00F3756F" w:rsidRPr="00E66A89" w:rsidRDefault="00F3756F" w:rsidP="00A07715">
            <w:pPr>
              <w:pStyle w:val="Text"/>
              <w:spacing w:after="0"/>
              <w:jc w:val="center"/>
              <w:rPr>
                <w:sz w:val="24"/>
              </w:rPr>
            </w:pPr>
          </w:p>
        </w:tc>
      </w:tr>
      <w:tr w:rsidR="00F3756F" w14:paraId="4DF7857F"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2FD4662C" w14:textId="77777777" w:rsidR="00F3756F" w:rsidRDefault="00F3756F" w:rsidP="00F3756F">
            <w:pPr>
              <w:pStyle w:val="Text"/>
              <w:numPr>
                <w:ilvl w:val="0"/>
                <w:numId w:val="11"/>
              </w:numPr>
              <w:spacing w:after="0"/>
            </w:pPr>
          </w:p>
        </w:tc>
        <w:tc>
          <w:tcPr>
            <w:tcW w:w="4252" w:type="dxa"/>
            <w:vAlign w:val="center"/>
          </w:tcPr>
          <w:p w14:paraId="12409B0D" w14:textId="54967642" w:rsidR="00650168" w:rsidRDefault="008F39D9" w:rsidP="00F3756F">
            <w:pPr>
              <w:pStyle w:val="Text"/>
              <w:spacing w:after="0"/>
              <w:cnfStyle w:val="000000000000" w:firstRow="0" w:lastRow="0" w:firstColumn="0" w:lastColumn="0" w:oddVBand="0" w:evenVBand="0" w:oddHBand="0" w:evenHBand="0" w:firstRowFirstColumn="0" w:firstRowLastColumn="0" w:lastRowFirstColumn="0" w:lastRowLastColumn="0"/>
            </w:pPr>
            <w:r>
              <w:t>GRC cases, including:</w:t>
            </w:r>
          </w:p>
          <w:p w14:paraId="1BA605A2" w14:textId="77777777" w:rsidR="008F39D9" w:rsidRDefault="008F39D9" w:rsidP="008F39D9">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Information Notice Appeals</w:t>
            </w:r>
          </w:p>
          <w:p w14:paraId="2B43B3B8" w14:textId="70BF9D10" w:rsidR="008F39D9" w:rsidRDefault="008F39D9" w:rsidP="008F39D9">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Enforcement Notice Appeals</w:t>
            </w:r>
          </w:p>
          <w:p w14:paraId="02607DCE" w14:textId="66F344F9" w:rsidR="0014645B" w:rsidRPr="008D55E7" w:rsidRDefault="008D55E7" w:rsidP="00F3756F">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Possible appeals</w:t>
            </w:r>
          </w:p>
        </w:tc>
        <w:tc>
          <w:tcPr>
            <w:tcW w:w="4530" w:type="dxa"/>
            <w:vAlign w:val="center"/>
          </w:tcPr>
          <w:p w14:paraId="5BD65CF9" w14:textId="3811402A" w:rsidR="008D55E7" w:rsidRDefault="008D55E7" w:rsidP="00F3756F">
            <w:pPr>
              <w:pStyle w:val="Text"/>
              <w:spacing w:after="0"/>
              <w:cnfStyle w:val="000000000000" w:firstRow="0" w:lastRow="0" w:firstColumn="0" w:lastColumn="0" w:oddVBand="0" w:evenVBand="0" w:oddHBand="0" w:evenHBand="0" w:firstRowFirstColumn="0" w:firstRowLastColumn="0" w:lastRowFirstColumn="0" w:lastRowLastColumn="0"/>
            </w:pPr>
          </w:p>
          <w:p w14:paraId="50E0A4E7" w14:textId="460B2684" w:rsidR="009E184E" w:rsidRPr="009E184E" w:rsidRDefault="0072693A" w:rsidP="00F3756F">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Unless directed by a judge</w:t>
            </w:r>
            <w:r w:rsidR="0045408D">
              <w:t xml:space="preserve"> to keep the record for longer</w:t>
            </w:r>
            <w:r>
              <w:t xml:space="preserve">, </w:t>
            </w:r>
            <w:r w:rsidR="0045408D">
              <w:t xml:space="preserve">keep for </w:t>
            </w:r>
            <w:r w:rsidR="0045408D">
              <w:rPr>
                <w:b/>
              </w:rPr>
              <w:t xml:space="preserve">two years </w:t>
            </w:r>
            <w:r w:rsidR="0045408D">
              <w:t>from date of disposal and then destroy.</w:t>
            </w:r>
          </w:p>
          <w:p w14:paraId="4AC6F6D1" w14:textId="5687A8A9" w:rsidR="00F3756F" w:rsidRDefault="00F3756F" w:rsidP="00F3756F">
            <w:pPr>
              <w:pStyle w:val="Text"/>
              <w:spacing w:after="0"/>
              <w:cnfStyle w:val="000000000000" w:firstRow="0" w:lastRow="0" w:firstColumn="0" w:lastColumn="0" w:oddVBand="0" w:evenVBand="0" w:oddHBand="0" w:evenHBand="0" w:firstRowFirstColumn="0" w:firstRowLastColumn="0" w:lastRowFirstColumn="0" w:lastRowLastColumn="0"/>
            </w:pPr>
          </w:p>
        </w:tc>
      </w:tr>
      <w:tr w:rsidR="00AD69EB" w14:paraId="7068AFE7" w14:textId="77777777" w:rsidTr="00A07715">
        <w:tc>
          <w:tcPr>
            <w:cnfStyle w:val="001000000000" w:firstRow="0" w:lastRow="0" w:firstColumn="1" w:lastColumn="0" w:oddVBand="0" w:evenVBand="0" w:oddHBand="0" w:evenHBand="0" w:firstRowFirstColumn="0" w:firstRowLastColumn="0" w:lastRowFirstColumn="0" w:lastRowLastColumn="0"/>
            <w:tcW w:w="846" w:type="dxa"/>
            <w:vAlign w:val="center"/>
          </w:tcPr>
          <w:p w14:paraId="1D0D69FC" w14:textId="77777777" w:rsidR="00AD69EB" w:rsidRDefault="00AD69EB" w:rsidP="00AD69EB">
            <w:pPr>
              <w:pStyle w:val="Text"/>
              <w:numPr>
                <w:ilvl w:val="0"/>
                <w:numId w:val="11"/>
              </w:numPr>
              <w:spacing w:after="0"/>
            </w:pPr>
          </w:p>
        </w:tc>
        <w:tc>
          <w:tcPr>
            <w:tcW w:w="4252" w:type="dxa"/>
            <w:vAlign w:val="center"/>
          </w:tcPr>
          <w:p w14:paraId="0B0C3BAA" w14:textId="77777777" w:rsidR="007339EE" w:rsidRDefault="007339EE" w:rsidP="00A07715">
            <w:pPr>
              <w:pStyle w:val="Text"/>
              <w:spacing w:after="0"/>
              <w:cnfStyle w:val="000000000000" w:firstRow="0" w:lastRow="0" w:firstColumn="0" w:lastColumn="0" w:oddVBand="0" w:evenVBand="0" w:oddHBand="0" w:evenHBand="0" w:firstRowFirstColumn="0" w:firstRowLastColumn="0" w:lastRowFirstColumn="0" w:lastRowLastColumn="0"/>
            </w:pPr>
          </w:p>
          <w:p w14:paraId="26A79B46" w14:textId="300753BC" w:rsidR="00AD69EB" w:rsidRDefault="007339EE" w:rsidP="00A07715">
            <w:pPr>
              <w:pStyle w:val="Text"/>
              <w:spacing w:after="0"/>
              <w:cnfStyle w:val="000000000000" w:firstRow="0" w:lastRow="0" w:firstColumn="0" w:lastColumn="0" w:oddVBand="0" w:evenVBand="0" w:oddHBand="0" w:evenHBand="0" w:firstRowFirstColumn="0" w:firstRowLastColumn="0" w:lastRowFirstColumn="0" w:lastRowLastColumn="0"/>
            </w:pPr>
            <w:r w:rsidRPr="007339EE">
              <w:t xml:space="preserve">Caseload </w:t>
            </w:r>
            <w:r w:rsidR="008773F1">
              <w:t>management</w:t>
            </w:r>
          </w:p>
          <w:p w14:paraId="255858AE" w14:textId="77777777" w:rsidR="00AD69EB" w:rsidRDefault="00AD69EB" w:rsidP="008F39D9">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494ED5B0" w14:textId="246F849C" w:rsidR="00AD69EB" w:rsidRDefault="0045408D" w:rsidP="00A07715">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two years </w:t>
            </w:r>
            <w:r>
              <w:t>from date of disposal and then destroy.</w:t>
            </w:r>
          </w:p>
        </w:tc>
      </w:tr>
      <w:tr w:rsidR="008F39D9" w14:paraId="28D3990A"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24A8C961" w14:textId="77777777" w:rsidR="008F39D9" w:rsidRDefault="008F39D9" w:rsidP="00AD69EB">
            <w:pPr>
              <w:pStyle w:val="Text"/>
              <w:numPr>
                <w:ilvl w:val="0"/>
                <w:numId w:val="11"/>
              </w:numPr>
              <w:spacing w:after="0"/>
            </w:pPr>
          </w:p>
        </w:tc>
        <w:tc>
          <w:tcPr>
            <w:tcW w:w="4252" w:type="dxa"/>
            <w:vAlign w:val="center"/>
          </w:tcPr>
          <w:p w14:paraId="3557C75F" w14:textId="77777777" w:rsidR="008F39D9" w:rsidRDefault="008F39D9" w:rsidP="00F3756F">
            <w:pPr>
              <w:pStyle w:val="Text"/>
              <w:spacing w:after="0"/>
              <w:cnfStyle w:val="000000000000" w:firstRow="0" w:lastRow="0" w:firstColumn="0" w:lastColumn="0" w:oddVBand="0" w:evenVBand="0" w:oddHBand="0" w:evenHBand="0" w:firstRowFirstColumn="0" w:firstRowLastColumn="0" w:lastRowFirstColumn="0" w:lastRowLastColumn="0"/>
            </w:pPr>
          </w:p>
          <w:p w14:paraId="56F81BC8" w14:textId="158FF713" w:rsidR="007339EE" w:rsidRDefault="007339EE" w:rsidP="00F3756F">
            <w:pPr>
              <w:pStyle w:val="Text"/>
              <w:spacing w:after="0"/>
              <w:cnfStyle w:val="000000000000" w:firstRow="0" w:lastRow="0" w:firstColumn="0" w:lastColumn="0" w:oddVBand="0" w:evenVBand="0" w:oddHBand="0" w:evenHBand="0" w:firstRowFirstColumn="0" w:firstRowLastColumn="0" w:lastRowFirstColumn="0" w:lastRowLastColumn="0"/>
            </w:pPr>
            <w:r w:rsidRPr="007339EE">
              <w:t>National Security Appeals Panel Cases</w:t>
            </w:r>
            <w:r w:rsidR="00286C2E">
              <w:t xml:space="preserve"> transfers</w:t>
            </w:r>
          </w:p>
          <w:p w14:paraId="7A426261" w14:textId="5F08281F" w:rsidR="007339EE" w:rsidRDefault="007339EE" w:rsidP="00F3756F">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5FC522C4" w14:textId="5FCD2617" w:rsidR="007027B7" w:rsidRPr="00D12DED" w:rsidRDefault="0045408D" w:rsidP="00F3756F">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two years </w:t>
            </w:r>
            <w:r>
              <w:t>from date of disposal and then destroy.</w:t>
            </w:r>
          </w:p>
        </w:tc>
      </w:tr>
      <w:tr w:rsidR="0045408D" w14:paraId="0A0D6332" w14:textId="77777777" w:rsidTr="004C139D">
        <w:tc>
          <w:tcPr>
            <w:cnfStyle w:val="001000000000" w:firstRow="0" w:lastRow="0" w:firstColumn="1" w:lastColumn="0" w:oddVBand="0" w:evenVBand="0" w:oddHBand="0" w:evenHBand="0" w:firstRowFirstColumn="0" w:firstRowLastColumn="0" w:lastRowFirstColumn="0" w:lastRowLastColumn="0"/>
            <w:tcW w:w="846" w:type="dxa"/>
            <w:vAlign w:val="center"/>
          </w:tcPr>
          <w:p w14:paraId="482EF3BF" w14:textId="77777777" w:rsidR="0045408D" w:rsidRDefault="0045408D" w:rsidP="0045408D">
            <w:pPr>
              <w:pStyle w:val="Text"/>
              <w:numPr>
                <w:ilvl w:val="0"/>
                <w:numId w:val="11"/>
              </w:numPr>
              <w:spacing w:after="0"/>
            </w:pPr>
          </w:p>
        </w:tc>
        <w:tc>
          <w:tcPr>
            <w:tcW w:w="4252" w:type="dxa"/>
            <w:vAlign w:val="center"/>
          </w:tcPr>
          <w:p w14:paraId="4C49BE6D" w14:textId="77777777" w:rsidR="0045408D" w:rsidRDefault="0045408D" w:rsidP="004C139D">
            <w:pPr>
              <w:pStyle w:val="Text"/>
              <w:spacing w:after="0"/>
              <w:cnfStyle w:val="000000000000" w:firstRow="0" w:lastRow="0" w:firstColumn="0" w:lastColumn="0" w:oddVBand="0" w:evenVBand="0" w:oddHBand="0" w:evenHBand="0" w:firstRowFirstColumn="0" w:firstRowLastColumn="0" w:lastRowFirstColumn="0" w:lastRowLastColumn="0"/>
            </w:pPr>
          </w:p>
          <w:p w14:paraId="441B45D9" w14:textId="77777777" w:rsidR="0045408D" w:rsidRDefault="0045408D" w:rsidP="004C139D">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GRC records covering p</w:t>
            </w:r>
            <w:r w:rsidRPr="0061522B">
              <w:rPr>
                <w:rFonts w:cs="Arial"/>
              </w:rPr>
              <w:t xml:space="preserve">olicy, </w:t>
            </w:r>
            <w:r>
              <w:rPr>
                <w:rFonts w:cs="Arial"/>
              </w:rPr>
              <w:t>l</w:t>
            </w:r>
            <w:r w:rsidRPr="0061522B">
              <w:rPr>
                <w:rFonts w:cs="Arial"/>
              </w:rPr>
              <w:t xml:space="preserve">egislation, </w:t>
            </w:r>
            <w:r>
              <w:rPr>
                <w:rFonts w:cs="Arial"/>
              </w:rPr>
              <w:t>d</w:t>
            </w:r>
            <w:r w:rsidRPr="0061522B">
              <w:rPr>
                <w:rFonts w:cs="Arial"/>
              </w:rPr>
              <w:t xml:space="preserve">evelopment and </w:t>
            </w:r>
            <w:r>
              <w:rPr>
                <w:rFonts w:cs="Arial"/>
              </w:rPr>
              <w:t>e</w:t>
            </w:r>
            <w:r w:rsidRPr="0061522B">
              <w:rPr>
                <w:rFonts w:cs="Arial"/>
              </w:rPr>
              <w:t>xpansion</w:t>
            </w:r>
          </w:p>
          <w:p w14:paraId="65535F09" w14:textId="77777777" w:rsidR="0045408D" w:rsidRDefault="0045408D" w:rsidP="004C139D">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4A71C7DE" w14:textId="77777777" w:rsidR="0045408D" w:rsidRPr="00EA393C" w:rsidRDefault="0045408D" w:rsidP="004C139D">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five years</w:t>
            </w:r>
            <w:r>
              <w:t xml:space="preserve"> from date of last action and then destroy.</w:t>
            </w:r>
          </w:p>
        </w:tc>
      </w:tr>
      <w:tr w:rsidR="00E66A89" w:rsidRPr="00E66A89" w14:paraId="14C56001" w14:textId="77777777" w:rsidTr="001B4363">
        <w:tc>
          <w:tcPr>
            <w:cnfStyle w:val="001000000000" w:firstRow="0" w:lastRow="0" w:firstColumn="1" w:lastColumn="0" w:oddVBand="0" w:evenVBand="0" w:oddHBand="0" w:evenHBand="0" w:firstRowFirstColumn="0" w:firstRowLastColumn="0" w:lastRowFirstColumn="0" w:lastRowLastColumn="0"/>
            <w:tcW w:w="9628" w:type="dxa"/>
            <w:gridSpan w:val="3"/>
          </w:tcPr>
          <w:p w14:paraId="570458FA" w14:textId="77777777" w:rsidR="00E66A89" w:rsidRDefault="00E66A89" w:rsidP="00E66A89">
            <w:pPr>
              <w:pStyle w:val="Text"/>
              <w:spacing w:after="0"/>
              <w:jc w:val="center"/>
              <w:rPr>
                <w:sz w:val="24"/>
              </w:rPr>
            </w:pPr>
          </w:p>
          <w:p w14:paraId="451A17EE" w14:textId="77777777" w:rsidR="002A1861" w:rsidRDefault="002A1861" w:rsidP="002A1861">
            <w:pPr>
              <w:pStyle w:val="Text"/>
              <w:spacing w:after="0"/>
              <w:jc w:val="center"/>
              <w:rPr>
                <w:rFonts w:cs="Arial"/>
                <w:sz w:val="24"/>
                <w:szCs w:val="24"/>
              </w:rPr>
            </w:pPr>
            <w:r>
              <w:rPr>
                <w:sz w:val="24"/>
              </w:rPr>
              <w:t xml:space="preserve">2. </w:t>
            </w:r>
            <w:r w:rsidRPr="005D5334">
              <w:rPr>
                <w:rFonts w:cs="Arial"/>
                <w:sz w:val="24"/>
                <w:szCs w:val="24"/>
              </w:rPr>
              <w:t>Records managed by a common retention and disposition policy</w:t>
            </w:r>
            <w:r>
              <w:rPr>
                <w:rFonts w:cs="Arial"/>
                <w:sz w:val="24"/>
                <w:szCs w:val="24"/>
              </w:rPr>
              <w:t xml:space="preserve"> </w:t>
            </w:r>
          </w:p>
          <w:p w14:paraId="021F63AE" w14:textId="5E93E889" w:rsidR="002A1861" w:rsidRPr="00A05B79" w:rsidRDefault="002A1861" w:rsidP="002A1861">
            <w:pPr>
              <w:pStyle w:val="Text"/>
              <w:spacing w:after="0"/>
              <w:jc w:val="center"/>
              <w:rPr>
                <w:b w:val="0"/>
                <w:sz w:val="24"/>
              </w:rPr>
            </w:pPr>
            <w:r>
              <w:rPr>
                <w:rFonts w:cs="Arial"/>
                <w:sz w:val="24"/>
                <w:szCs w:val="24"/>
              </w:rPr>
              <w:t>across HMCTS (applies to all jurisdictions)</w:t>
            </w:r>
          </w:p>
          <w:p w14:paraId="0AD47CD3" w14:textId="21AF29F2" w:rsidR="00E66A89" w:rsidRPr="00E66A89" w:rsidRDefault="00E66A89" w:rsidP="00E66A89">
            <w:pPr>
              <w:pStyle w:val="Text"/>
              <w:spacing w:after="0"/>
              <w:jc w:val="center"/>
              <w:rPr>
                <w:sz w:val="24"/>
              </w:rPr>
            </w:pPr>
          </w:p>
        </w:tc>
      </w:tr>
      <w:tr w:rsidR="00650168" w14:paraId="0B2F7DE9"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1BEFC963" w14:textId="77777777" w:rsidR="00650168" w:rsidRDefault="00650168" w:rsidP="0045408D">
            <w:pPr>
              <w:pStyle w:val="Text"/>
              <w:numPr>
                <w:ilvl w:val="0"/>
                <w:numId w:val="11"/>
              </w:numPr>
              <w:spacing w:after="0"/>
            </w:pPr>
          </w:p>
        </w:tc>
        <w:tc>
          <w:tcPr>
            <w:tcW w:w="4252" w:type="dxa"/>
            <w:vAlign w:val="center"/>
          </w:tcPr>
          <w:p w14:paraId="590DA4D8" w14:textId="2243AF1D" w:rsidR="00F76C3E" w:rsidRPr="00204BBB" w:rsidRDefault="00650168" w:rsidP="00BD6812">
            <w:pPr>
              <w:pStyle w:val="Text"/>
              <w:spacing w:after="0"/>
              <w:cnfStyle w:val="000000000000" w:firstRow="0" w:lastRow="0" w:firstColumn="0" w:lastColumn="0" w:oddVBand="0" w:evenVBand="0" w:oddHBand="0" w:evenHBand="0" w:firstRowFirstColumn="0" w:firstRowLastColumn="0" w:lastRowFirstColumn="0" w:lastRowLastColumn="0"/>
            </w:pPr>
            <w:r w:rsidRPr="0061522B">
              <w:rPr>
                <w:rFonts w:cs="Arial"/>
              </w:rPr>
              <w:t>Tribunal Decisions</w:t>
            </w:r>
            <w:r w:rsidR="00BD6812">
              <w:rPr>
                <w:rStyle w:val="FootnoteReference"/>
                <w:rFonts w:cs="Arial"/>
              </w:rPr>
              <w:footnoteReference w:id="2"/>
            </w:r>
          </w:p>
        </w:tc>
        <w:tc>
          <w:tcPr>
            <w:tcW w:w="4530" w:type="dxa"/>
            <w:vAlign w:val="center"/>
          </w:tcPr>
          <w:p w14:paraId="4C746DBD" w14:textId="77777777" w:rsidR="008D55E7" w:rsidRDefault="008D55E7" w:rsidP="008D55E7">
            <w:pPr>
              <w:pStyle w:val="Text"/>
              <w:spacing w:after="0"/>
              <w:cnfStyle w:val="000000000000" w:firstRow="0" w:lastRow="0" w:firstColumn="0" w:lastColumn="0" w:oddVBand="0" w:evenVBand="0" w:oddHBand="0" w:evenHBand="0" w:firstRowFirstColumn="0" w:firstRowLastColumn="0" w:lastRowFirstColumn="0" w:lastRowLastColumn="0"/>
              <w:rPr>
                <w:b/>
              </w:rPr>
            </w:pPr>
          </w:p>
          <w:p w14:paraId="0D72D730" w14:textId="7C7E8B75" w:rsidR="008D55E7" w:rsidRDefault="008D55E7" w:rsidP="008D55E7">
            <w:pPr>
              <w:pStyle w:val="Text"/>
              <w:spacing w:after="0"/>
              <w:cnfStyle w:val="000000000000" w:firstRow="0" w:lastRow="0" w:firstColumn="0" w:lastColumn="0" w:oddVBand="0" w:evenVBand="0" w:oddHBand="0" w:evenHBand="0" w:firstRowFirstColumn="0" w:firstRowLastColumn="0" w:lastRowFirstColumn="0" w:lastRowLastColumn="0"/>
            </w:pPr>
            <w:r>
              <w:t>Keep permanently</w:t>
            </w:r>
            <w:r w:rsidR="007027B7">
              <w:t xml:space="preserve"> in the Chamber</w:t>
            </w:r>
          </w:p>
          <w:p w14:paraId="7B79D00D" w14:textId="5F15CA0B" w:rsidR="00650168" w:rsidRPr="00204BBB" w:rsidRDefault="00650168" w:rsidP="00757E87">
            <w:pPr>
              <w:pStyle w:val="Text"/>
              <w:spacing w:after="0"/>
              <w:cnfStyle w:val="000000000000" w:firstRow="0" w:lastRow="0" w:firstColumn="0" w:lastColumn="0" w:oddVBand="0" w:evenVBand="0" w:oddHBand="0" w:evenHBand="0" w:firstRowFirstColumn="0" w:firstRowLastColumn="0" w:lastRowFirstColumn="0" w:lastRowLastColumn="0"/>
            </w:pPr>
          </w:p>
        </w:tc>
      </w:tr>
      <w:tr w:rsidR="00021C74" w14:paraId="5E7D3304"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29B3EBCD" w14:textId="77777777" w:rsidR="00021C74" w:rsidRDefault="00021C74" w:rsidP="00021C74">
            <w:pPr>
              <w:pStyle w:val="Text"/>
              <w:numPr>
                <w:ilvl w:val="0"/>
                <w:numId w:val="11"/>
              </w:numPr>
              <w:spacing w:after="0"/>
            </w:pPr>
          </w:p>
        </w:tc>
        <w:tc>
          <w:tcPr>
            <w:tcW w:w="4252" w:type="dxa"/>
            <w:vAlign w:val="center"/>
          </w:tcPr>
          <w:p w14:paraId="7669D9C8" w14:textId="724698DD" w:rsidR="00021C74" w:rsidRDefault="00021C74" w:rsidP="00021C7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3C2920">
              <w:rPr>
                <w:rFonts w:cs="Arial"/>
              </w:rPr>
              <w:t>Recordings of hearings</w:t>
            </w:r>
          </w:p>
        </w:tc>
        <w:tc>
          <w:tcPr>
            <w:tcW w:w="4530" w:type="dxa"/>
            <w:vAlign w:val="center"/>
          </w:tcPr>
          <w:p w14:paraId="19634E3F" w14:textId="77777777" w:rsidR="00021C74" w:rsidRPr="003C2920" w:rsidRDefault="00021C74" w:rsidP="00021C74">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11BD9963" w14:textId="77777777" w:rsidR="00021C74" w:rsidRPr="003C2920" w:rsidRDefault="00021C74" w:rsidP="00021C74">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3C2920">
              <w:rPr>
                <w:rFonts w:cs="Arial"/>
                <w:b/>
              </w:rPr>
              <w:t>Recordings held on the DARTS system</w:t>
            </w:r>
            <w:r w:rsidRPr="003C2920">
              <w:rPr>
                <w:rFonts w:cs="Arial"/>
              </w:rPr>
              <w:t xml:space="preserve">: Keep for </w:t>
            </w:r>
            <w:r w:rsidRPr="003C2920">
              <w:rPr>
                <w:rFonts w:cs="Arial"/>
                <w:b/>
              </w:rPr>
              <w:t>seven years</w:t>
            </w:r>
            <w:r w:rsidRPr="003C2920">
              <w:rPr>
                <w:rFonts w:cs="Arial"/>
              </w:rPr>
              <w:t xml:space="preserve"> and then destroy</w:t>
            </w:r>
          </w:p>
          <w:p w14:paraId="31B21DEB" w14:textId="77777777" w:rsidR="00021C74" w:rsidRPr="003C2920" w:rsidRDefault="00021C74" w:rsidP="00021C74">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193287A1" w14:textId="77777777" w:rsidR="00021C74" w:rsidRPr="003C2920" w:rsidRDefault="00021C74" w:rsidP="00021C74">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3C2920">
              <w:rPr>
                <w:rFonts w:cs="Arial"/>
                <w:b/>
              </w:rPr>
              <w:t>Recordings held on any other legacy system</w:t>
            </w:r>
            <w:r w:rsidRPr="003C2920">
              <w:rPr>
                <w:rFonts w:cs="Arial"/>
              </w:rPr>
              <w:t>: Keep for the same period as the case papers (or case files) and then destroy</w:t>
            </w:r>
          </w:p>
          <w:p w14:paraId="55D4C457" w14:textId="77777777" w:rsidR="00021C74" w:rsidRDefault="00021C74" w:rsidP="00021C74">
            <w:pPr>
              <w:pStyle w:val="Text"/>
              <w:spacing w:after="0"/>
              <w:cnfStyle w:val="000000000000" w:firstRow="0" w:lastRow="0" w:firstColumn="0" w:lastColumn="0" w:oddVBand="0" w:evenVBand="0" w:oddHBand="0" w:evenHBand="0" w:firstRowFirstColumn="0" w:firstRowLastColumn="0" w:lastRowFirstColumn="0" w:lastRowLastColumn="0"/>
            </w:pPr>
          </w:p>
        </w:tc>
      </w:tr>
      <w:tr w:rsidR="00AD69EB" w14:paraId="11A9F276"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2B72590C" w14:textId="77777777" w:rsidR="00AD69EB" w:rsidRDefault="00AD69EB" w:rsidP="0045408D">
            <w:pPr>
              <w:pStyle w:val="Text"/>
              <w:numPr>
                <w:ilvl w:val="0"/>
                <w:numId w:val="11"/>
              </w:numPr>
              <w:spacing w:after="0"/>
            </w:pPr>
          </w:p>
        </w:tc>
        <w:tc>
          <w:tcPr>
            <w:tcW w:w="4252" w:type="dxa"/>
            <w:vAlign w:val="center"/>
          </w:tcPr>
          <w:p w14:paraId="6CB57F9D" w14:textId="77777777" w:rsidR="00AD69EB" w:rsidRDefault="00AD69EB" w:rsidP="00AD69EB">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p w14:paraId="0A0E1064" w14:textId="30867BE6" w:rsidR="00AD69EB" w:rsidRPr="0061522B" w:rsidRDefault="00AD69EB" w:rsidP="00AD69EB">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61522B">
              <w:rPr>
                <w:rFonts w:cs="Arial"/>
              </w:rPr>
              <w:t xml:space="preserve">Listings, </w:t>
            </w:r>
            <w:r>
              <w:rPr>
                <w:rFonts w:cs="Arial"/>
              </w:rPr>
              <w:t>b</w:t>
            </w:r>
            <w:r w:rsidRPr="0061522B">
              <w:rPr>
                <w:rFonts w:cs="Arial"/>
              </w:rPr>
              <w:t xml:space="preserve">ookings, and similar operational </w:t>
            </w:r>
            <w:r>
              <w:rPr>
                <w:rFonts w:cs="Arial"/>
              </w:rPr>
              <w:t>records</w:t>
            </w:r>
          </w:p>
          <w:p w14:paraId="5CCEEC70" w14:textId="77777777" w:rsidR="00AD69EB" w:rsidRPr="00204BBB" w:rsidRDefault="00AD69EB" w:rsidP="00757E87">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09515EAE" w14:textId="30F3BDA1" w:rsidR="00AD69EB" w:rsidRPr="00AD69EB" w:rsidRDefault="00AD69EB" w:rsidP="00757E8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7027B7" w:rsidRPr="0045408D">
              <w:rPr>
                <w:b/>
              </w:rPr>
              <w:t>two</w:t>
            </w:r>
            <w:r w:rsidRPr="0045408D">
              <w:rPr>
                <w:b/>
              </w:rPr>
              <w:t xml:space="preserve"> </w:t>
            </w:r>
            <w:r>
              <w:rPr>
                <w:b/>
              </w:rPr>
              <w:t>year</w:t>
            </w:r>
            <w:r w:rsidR="008B1F46">
              <w:rPr>
                <w:b/>
              </w:rPr>
              <w:t>s</w:t>
            </w:r>
            <w:r>
              <w:t xml:space="preserve"> from date of </w:t>
            </w:r>
            <w:r w:rsidR="0045408D">
              <w:t xml:space="preserve">disposal </w:t>
            </w:r>
            <w:r>
              <w:t>and then destroy</w:t>
            </w:r>
          </w:p>
        </w:tc>
      </w:tr>
      <w:tr w:rsidR="00757E87" w14:paraId="10B036AF"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7300C66D" w14:textId="77777777" w:rsidR="00757E87" w:rsidRDefault="00757E87" w:rsidP="0045408D">
            <w:pPr>
              <w:pStyle w:val="Text"/>
              <w:numPr>
                <w:ilvl w:val="0"/>
                <w:numId w:val="11"/>
              </w:numPr>
              <w:spacing w:after="0"/>
            </w:pPr>
          </w:p>
        </w:tc>
        <w:tc>
          <w:tcPr>
            <w:tcW w:w="4252" w:type="dxa"/>
            <w:vAlign w:val="center"/>
          </w:tcPr>
          <w:p w14:paraId="7FC9290C" w14:textId="4C684ED4" w:rsidR="00757E87" w:rsidRDefault="00757E87" w:rsidP="00757E87">
            <w:pPr>
              <w:pStyle w:val="Text"/>
              <w:spacing w:after="0"/>
              <w:cnfStyle w:val="000000000000" w:firstRow="0" w:lastRow="0" w:firstColumn="0" w:lastColumn="0" w:oddVBand="0" w:evenVBand="0" w:oddHBand="0" w:evenHBand="0" w:firstRowFirstColumn="0" w:firstRowLastColumn="0" w:lastRowFirstColumn="0" w:lastRowLastColumn="0"/>
            </w:pPr>
            <w:r>
              <w:t>Bundles</w:t>
            </w:r>
          </w:p>
        </w:tc>
        <w:tc>
          <w:tcPr>
            <w:tcW w:w="4530" w:type="dxa"/>
            <w:vAlign w:val="center"/>
          </w:tcPr>
          <w:p w14:paraId="51927F66" w14:textId="77777777" w:rsidR="00757E87" w:rsidRPr="00CD463E" w:rsidRDefault="00757E87" w:rsidP="00757E87">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1EC6D7AD" w14:textId="08FF4E67" w:rsidR="00757E87" w:rsidRDefault="00F76C3E" w:rsidP="00F76C3E">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7027B7" w:rsidRPr="0045408D">
              <w:rPr>
                <w:b/>
              </w:rPr>
              <w:t xml:space="preserve">six </w:t>
            </w:r>
            <w:r>
              <w:rPr>
                <w:b/>
              </w:rPr>
              <w:t xml:space="preserve">months </w:t>
            </w:r>
            <w:r w:rsidRPr="00F76C3E">
              <w:t xml:space="preserve">from the </w:t>
            </w:r>
            <w:r>
              <w:t xml:space="preserve">date of </w:t>
            </w:r>
            <w:r w:rsidR="0045408D">
              <w:t>disposal</w:t>
            </w:r>
            <w:r w:rsidRPr="00F76C3E">
              <w:t>, unless the decision is appealed to U</w:t>
            </w:r>
            <w:r>
              <w:t>pper Tribunal (in which case the bundle is transferred)</w:t>
            </w:r>
          </w:p>
          <w:p w14:paraId="6338AF76" w14:textId="576D7FA6" w:rsidR="00F76C3E" w:rsidRPr="00CD463E" w:rsidRDefault="00F76C3E" w:rsidP="00F76C3E">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r>
      <w:tr w:rsidR="0045408D" w14:paraId="555873B3"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34A6CBD6" w14:textId="77777777" w:rsidR="0045408D" w:rsidRDefault="0045408D" w:rsidP="0045408D">
            <w:pPr>
              <w:pStyle w:val="Text"/>
              <w:numPr>
                <w:ilvl w:val="0"/>
                <w:numId w:val="11"/>
              </w:numPr>
              <w:spacing w:after="0"/>
            </w:pPr>
          </w:p>
        </w:tc>
        <w:tc>
          <w:tcPr>
            <w:tcW w:w="4252" w:type="dxa"/>
            <w:vAlign w:val="center"/>
          </w:tcPr>
          <w:p w14:paraId="07759C3C" w14:textId="77777777" w:rsidR="0045408D"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p w14:paraId="45F7704E" w14:textId="77777777" w:rsidR="0045408D" w:rsidRPr="00B653CD"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262EE7">
              <w:t>Records created as part of governance and assurance processes including</w:t>
            </w:r>
            <w:r>
              <w:t>:</w:t>
            </w:r>
          </w:p>
          <w:p w14:paraId="409C3741" w14:textId="77777777" w:rsidR="0045408D" w:rsidRDefault="0045408D" w:rsidP="0045408D">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rPr>
                <w:b/>
              </w:rPr>
            </w:pPr>
            <w:r w:rsidRPr="00262EE7">
              <w:t xml:space="preserve">Key Control Check Sheets (KCCS) </w:t>
            </w:r>
          </w:p>
          <w:p w14:paraId="44008710" w14:textId="77777777" w:rsidR="0045408D" w:rsidRDefault="0045408D" w:rsidP="0045408D">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rPr>
                <w:b/>
              </w:rPr>
            </w:pPr>
            <w:r w:rsidRPr="00262EE7">
              <w:t>Standard Operating Controls (SOC</w:t>
            </w:r>
            <w:r>
              <w:t>)</w:t>
            </w:r>
          </w:p>
          <w:p w14:paraId="634A5178" w14:textId="77777777" w:rsidR="0045408D" w:rsidRDefault="0045408D" w:rsidP="0045408D">
            <w:pPr>
              <w:pStyle w:val="Text"/>
              <w:numPr>
                <w:ilvl w:val="0"/>
                <w:numId w:val="16"/>
              </w:numPr>
              <w:spacing w:after="0"/>
              <w:cnfStyle w:val="000000000000" w:firstRow="0" w:lastRow="0" w:firstColumn="0" w:lastColumn="0" w:oddVBand="0" w:evenVBand="0" w:oddHBand="0" w:evenHBand="0" w:firstRowFirstColumn="0" w:firstRowLastColumn="0" w:lastRowFirstColumn="0" w:lastRowLastColumn="0"/>
              <w:rPr>
                <w:b/>
              </w:rPr>
            </w:pPr>
            <w:r>
              <w:t>P</w:t>
            </w:r>
            <w:r w:rsidRPr="00262EE7">
              <w:t>revious equivalents</w:t>
            </w:r>
          </w:p>
          <w:p w14:paraId="7DE6AB7A" w14:textId="77777777" w:rsidR="0045408D"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154D6640" w14:textId="4CE7190B" w:rsidR="0045408D"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pPr>
            <w:r w:rsidRPr="00262EE7">
              <w:t>Destroy in line with the HMCTS Governance and Assurance RRDS</w:t>
            </w:r>
          </w:p>
        </w:tc>
      </w:tr>
      <w:tr w:rsidR="0045408D" w14:paraId="66930A70"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3DC2349A" w14:textId="77777777" w:rsidR="0045408D" w:rsidRDefault="0045408D" w:rsidP="0045408D">
            <w:pPr>
              <w:pStyle w:val="Text"/>
              <w:numPr>
                <w:ilvl w:val="0"/>
                <w:numId w:val="11"/>
              </w:numPr>
              <w:spacing w:after="0"/>
            </w:pPr>
          </w:p>
        </w:tc>
        <w:tc>
          <w:tcPr>
            <w:tcW w:w="4252" w:type="dxa"/>
            <w:vAlign w:val="center"/>
          </w:tcPr>
          <w:p w14:paraId="58B8AB50" w14:textId="77777777" w:rsidR="0045408D"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p w14:paraId="3F91009E" w14:textId="77777777" w:rsidR="0045408D" w:rsidRPr="008F090E"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pPr>
            <w:r w:rsidRPr="008F090E">
              <w:t>Case management system records needed for statistical purposes</w:t>
            </w:r>
          </w:p>
          <w:p w14:paraId="5E68D095" w14:textId="77777777" w:rsidR="0045408D" w:rsidRDefault="0045408D" w:rsidP="0045408D">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7616DFC2" w14:textId="1503CBD0" w:rsidR="0045408D" w:rsidRDefault="0045408D" w:rsidP="00841F0C">
            <w:pPr>
              <w:pStyle w:val="Text"/>
              <w:spacing w:after="0"/>
              <w:cnfStyle w:val="000000000000" w:firstRow="0" w:lastRow="0" w:firstColumn="0" w:lastColumn="0" w:oddVBand="0" w:evenVBand="0" w:oddHBand="0" w:evenHBand="0" w:firstRowFirstColumn="0" w:firstRowLastColumn="0" w:lastRowFirstColumn="0" w:lastRowLastColumn="0"/>
            </w:pPr>
            <w:r w:rsidRPr="008F090E">
              <w:t>Copied and transferred to HMCTS Analysts at regular intervals under the terms of the Data Privacy Impact Assessment</w:t>
            </w:r>
          </w:p>
        </w:tc>
      </w:tr>
      <w:tr w:rsidR="00E66A89" w14:paraId="14180BF1" w14:textId="77777777" w:rsidTr="00C71D5F">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70C5BE67" w14:textId="77777777" w:rsidR="00E66A89" w:rsidRPr="00E66A89" w:rsidRDefault="00E66A89" w:rsidP="00E66A89">
            <w:pPr>
              <w:pStyle w:val="Text"/>
              <w:spacing w:after="0"/>
              <w:jc w:val="center"/>
              <w:rPr>
                <w:sz w:val="24"/>
              </w:rPr>
            </w:pPr>
          </w:p>
          <w:p w14:paraId="6D266296" w14:textId="47290392" w:rsidR="00E66A89" w:rsidRPr="00E66A89" w:rsidRDefault="00E54993" w:rsidP="00E66A89">
            <w:pPr>
              <w:pStyle w:val="Text"/>
              <w:spacing w:after="0"/>
              <w:jc w:val="center"/>
              <w:rPr>
                <w:sz w:val="24"/>
              </w:rPr>
            </w:pPr>
            <w:r>
              <w:rPr>
                <w:sz w:val="24"/>
              </w:rPr>
              <w:t>3</w:t>
            </w:r>
            <w:r w:rsidR="00E66A89" w:rsidRPr="00E66A89">
              <w:rPr>
                <w:sz w:val="24"/>
              </w:rPr>
              <w:t>. Records managed by a common retention and disposition policy</w:t>
            </w:r>
          </w:p>
          <w:p w14:paraId="4534C28A" w14:textId="77777777" w:rsidR="00E66A89" w:rsidRDefault="00E66A89" w:rsidP="00E66A89">
            <w:pPr>
              <w:pStyle w:val="Text"/>
              <w:spacing w:after="0"/>
              <w:jc w:val="center"/>
            </w:pPr>
          </w:p>
        </w:tc>
      </w:tr>
      <w:tr w:rsidR="002A1861" w:rsidRPr="002A1861" w14:paraId="18EBFF89"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2A567691" w14:textId="77777777" w:rsidR="00E66A89" w:rsidRPr="002A1861" w:rsidRDefault="00E66A89" w:rsidP="0045408D">
            <w:pPr>
              <w:pStyle w:val="Text"/>
              <w:numPr>
                <w:ilvl w:val="0"/>
                <w:numId w:val="11"/>
              </w:numPr>
              <w:spacing w:after="0"/>
            </w:pPr>
          </w:p>
        </w:tc>
        <w:tc>
          <w:tcPr>
            <w:tcW w:w="4252" w:type="dxa"/>
            <w:vAlign w:val="center"/>
          </w:tcPr>
          <w:p w14:paraId="0229BE9D" w14:textId="77777777" w:rsidR="00E66A89" w:rsidRPr="002A1861"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168240AA" w14:textId="77777777" w:rsidR="00E66A89" w:rsidRPr="002A1861"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2A1861">
              <w:rPr>
                <w:lang w:eastAsia="en-US"/>
              </w:rPr>
              <w:t>HR information (held by line managers)</w:t>
            </w:r>
          </w:p>
          <w:p w14:paraId="520F5BE3" w14:textId="77777777" w:rsidR="00E66A89" w:rsidRPr="002A1861"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3244EAAF" w14:textId="060E0AFC" w:rsidR="00E66A89" w:rsidRPr="002A1861"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sidRPr="002A1861">
              <w:rPr>
                <w:lang w:eastAsia="en-US"/>
              </w:rPr>
              <w:t xml:space="preserve">Destroy in line with the </w:t>
            </w:r>
            <w:r w:rsidRPr="002A1861">
              <w:rPr>
                <w:i/>
                <w:lang w:eastAsia="en-US"/>
              </w:rPr>
              <w:t>What to keep</w:t>
            </w:r>
            <w:r w:rsidRPr="002A1861">
              <w:rPr>
                <w:rStyle w:val="FootnoteReference"/>
                <w:lang w:eastAsia="en-US"/>
              </w:rPr>
              <w:footnoteReference w:id="3"/>
            </w:r>
            <w:r w:rsidR="008C363E">
              <w:rPr>
                <w:lang w:eastAsia="en-US"/>
              </w:rPr>
              <w:t xml:space="preserve"> </w:t>
            </w:r>
            <w:r w:rsidRPr="002A1861">
              <w:rPr>
                <w:lang w:eastAsia="en-US"/>
              </w:rPr>
              <w:t>guidance</w:t>
            </w:r>
          </w:p>
        </w:tc>
      </w:tr>
      <w:tr w:rsidR="00CD463E" w:rsidRPr="002A1861" w14:paraId="32D9A11C"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37545C1C" w14:textId="77777777" w:rsidR="00CD463E" w:rsidRPr="002A1861" w:rsidRDefault="00CD463E" w:rsidP="00CD463E">
            <w:pPr>
              <w:pStyle w:val="Text"/>
              <w:numPr>
                <w:ilvl w:val="0"/>
                <w:numId w:val="11"/>
              </w:numPr>
              <w:spacing w:after="0"/>
            </w:pPr>
          </w:p>
        </w:tc>
        <w:tc>
          <w:tcPr>
            <w:tcW w:w="4252" w:type="dxa"/>
            <w:vAlign w:val="center"/>
          </w:tcPr>
          <w:p w14:paraId="3FDB18AA"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534E05AD"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r w:rsidRPr="003E4CE8">
              <w:t>Responses to Subject Access Requests</w:t>
            </w:r>
          </w:p>
          <w:p w14:paraId="3A5E8101" w14:textId="77777777" w:rsidR="00CD463E" w:rsidRPr="002A1861"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4530" w:type="dxa"/>
            <w:vAlign w:val="center"/>
          </w:tcPr>
          <w:p w14:paraId="733CA878"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bookmarkStart w:id="4" w:name="_Hlk26272304"/>
          </w:p>
          <w:p w14:paraId="7917EFA3"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r w:rsidRPr="003E4CE8">
              <w:t xml:space="preserve">Keep for </w:t>
            </w:r>
            <w:r w:rsidRPr="003E4CE8">
              <w:rPr>
                <w:b/>
              </w:rPr>
              <w:t>nine months</w:t>
            </w:r>
            <w:r w:rsidRPr="003E4CE8">
              <w:t xml:space="preserve"> and then destroy. </w:t>
            </w:r>
          </w:p>
          <w:bookmarkEnd w:id="4"/>
          <w:p w14:paraId="5687CD3E" w14:textId="77777777" w:rsidR="00CD463E" w:rsidRPr="002A1861"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r>
      <w:tr w:rsidR="00CD463E" w:rsidRPr="002A1861" w14:paraId="37BDFEB3"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2A0E24C3" w14:textId="77777777" w:rsidR="00CD463E" w:rsidRPr="002A1861" w:rsidRDefault="00CD463E" w:rsidP="00CD463E">
            <w:pPr>
              <w:pStyle w:val="Text"/>
              <w:numPr>
                <w:ilvl w:val="0"/>
                <w:numId w:val="11"/>
              </w:numPr>
              <w:spacing w:after="0"/>
            </w:pPr>
          </w:p>
        </w:tc>
        <w:tc>
          <w:tcPr>
            <w:tcW w:w="4252" w:type="dxa"/>
            <w:vAlign w:val="center"/>
          </w:tcPr>
          <w:p w14:paraId="2F78526A"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p>
          <w:p w14:paraId="35FE683A"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3E4CE8">
              <w:t>Background information (</w:t>
            </w:r>
            <w:r w:rsidRPr="003E4CE8">
              <w:rPr>
                <w:rFonts w:cs="Arial"/>
              </w:rPr>
              <w:t xml:space="preserve">held by business) </w:t>
            </w:r>
            <w:r>
              <w:t>for responses to i</w:t>
            </w:r>
            <w:r w:rsidRPr="003E4CE8">
              <w:t xml:space="preserve">nformation requests </w:t>
            </w:r>
            <w:r w:rsidRPr="003E4CE8">
              <w:rPr>
                <w:rFonts w:cs="Arial"/>
              </w:rPr>
              <w:t xml:space="preserve">made under: </w:t>
            </w:r>
          </w:p>
          <w:p w14:paraId="7BF149FD" w14:textId="77777777" w:rsidR="00CD463E" w:rsidRPr="003E4CE8" w:rsidRDefault="00CD463E" w:rsidP="00CD463E">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rPr>
                <w:rFonts w:cs="Arial"/>
              </w:rPr>
            </w:pPr>
            <w:r w:rsidRPr="003E4CE8">
              <w:rPr>
                <w:rFonts w:cs="Arial"/>
              </w:rPr>
              <w:t>Freedom of Information Act</w:t>
            </w:r>
            <w:r w:rsidRPr="003E4CE8">
              <w:rPr>
                <w:rStyle w:val="FootnoteReference"/>
                <w:rFonts w:cs="Arial"/>
              </w:rPr>
              <w:footnoteReference w:id="4"/>
            </w:r>
          </w:p>
          <w:p w14:paraId="72B075B4" w14:textId="77777777" w:rsidR="00CD463E" w:rsidRPr="003E4CE8" w:rsidRDefault="00CD463E" w:rsidP="00CD463E">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rsidRPr="003E4CE8">
              <w:rPr>
                <w:rFonts w:cs="Arial"/>
              </w:rPr>
              <w:t>Environmental Information Regulations</w:t>
            </w:r>
          </w:p>
          <w:p w14:paraId="76A071E6"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p>
          <w:p w14:paraId="043E79F9"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r w:rsidRPr="003E4CE8">
              <w:rPr>
                <w:b/>
              </w:rPr>
              <w:t>NB.</w:t>
            </w:r>
            <w:r w:rsidRPr="003E4CE8">
              <w:t xml:space="preserve"> See footnotes showing where the answers to these requests are held</w:t>
            </w:r>
          </w:p>
          <w:p w14:paraId="7BA51990" w14:textId="35238A2B" w:rsidR="00CD463E" w:rsidRPr="002A1861"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5A5CB03B"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p>
          <w:p w14:paraId="30E1A9E4" w14:textId="77777777" w:rsidR="00CD463E" w:rsidRPr="003E4CE8"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r w:rsidRPr="003E4CE8">
              <w:t xml:space="preserve">Keep for </w:t>
            </w:r>
            <w:r w:rsidRPr="003E4CE8">
              <w:rPr>
                <w:b/>
              </w:rPr>
              <w:t>one year</w:t>
            </w:r>
            <w:r w:rsidRPr="003E4CE8">
              <w:t xml:space="preserve"> and then review:</w:t>
            </w:r>
          </w:p>
          <w:p w14:paraId="5C3F5D3A" w14:textId="77777777" w:rsidR="00CD463E" w:rsidRDefault="00CD463E" w:rsidP="00CD463E">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3E4CE8">
              <w:t xml:space="preserve">Where operationally relevant, keep for </w:t>
            </w:r>
            <w:r w:rsidRPr="003E4CE8">
              <w:rPr>
                <w:b/>
              </w:rPr>
              <w:t>another</w:t>
            </w:r>
            <w:r w:rsidRPr="003E4CE8">
              <w:t xml:space="preserve"> </w:t>
            </w:r>
            <w:r w:rsidRPr="003E4CE8">
              <w:rPr>
                <w:b/>
              </w:rPr>
              <w:t>year</w:t>
            </w:r>
            <w:r w:rsidRPr="003E4CE8">
              <w:t xml:space="preserve"> and then repeat the process until the item is no longer needed.</w:t>
            </w:r>
          </w:p>
          <w:p w14:paraId="05E86C44" w14:textId="77777777" w:rsidR="00CD463E" w:rsidRPr="003E4CE8" w:rsidRDefault="00CD463E" w:rsidP="00CD463E">
            <w:pPr>
              <w:pStyle w:val="Text"/>
              <w:numPr>
                <w:ilvl w:val="0"/>
                <w:numId w:val="19"/>
              </w:numPr>
              <w:spacing w:after="0"/>
              <w:cnfStyle w:val="000000000000" w:firstRow="0" w:lastRow="0" w:firstColumn="0" w:lastColumn="0" w:oddVBand="0" w:evenVBand="0" w:oddHBand="0" w:evenHBand="0" w:firstRowFirstColumn="0" w:firstRowLastColumn="0" w:lastRowFirstColumn="0" w:lastRowLastColumn="0"/>
            </w:pPr>
            <w:r w:rsidRPr="003E4CE8">
              <w:t>Where no longer needed, destroy immediately.</w:t>
            </w:r>
          </w:p>
          <w:p w14:paraId="07D2A985" w14:textId="77777777" w:rsidR="00CD463E" w:rsidRPr="002A1861" w:rsidRDefault="00CD463E" w:rsidP="00CD463E">
            <w:pPr>
              <w:pStyle w:val="Text"/>
              <w:spacing w:after="0"/>
              <w:cnfStyle w:val="000000000000" w:firstRow="0" w:lastRow="0" w:firstColumn="0" w:lastColumn="0" w:oddVBand="0" w:evenVBand="0" w:oddHBand="0" w:evenHBand="0" w:firstRowFirstColumn="0" w:firstRowLastColumn="0" w:lastRowFirstColumn="0" w:lastRowLastColumn="0"/>
            </w:pPr>
          </w:p>
        </w:tc>
      </w:tr>
      <w:tr w:rsidR="008C363E" w:rsidRPr="008C363E" w14:paraId="3191920F"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7DC423CB" w14:textId="77777777" w:rsidR="00E66A89" w:rsidRPr="008C363E" w:rsidRDefault="00E66A89" w:rsidP="0045408D">
            <w:pPr>
              <w:pStyle w:val="Text"/>
              <w:numPr>
                <w:ilvl w:val="0"/>
                <w:numId w:val="11"/>
              </w:numPr>
              <w:spacing w:after="0"/>
            </w:pPr>
          </w:p>
        </w:tc>
        <w:tc>
          <w:tcPr>
            <w:tcW w:w="4252" w:type="dxa"/>
            <w:vAlign w:val="center"/>
          </w:tcPr>
          <w:p w14:paraId="253F72FF" w14:textId="77777777"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0E2B7682" w14:textId="2BEA6C22"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sidRPr="008C363E">
              <w:t>Finance and risk management</w:t>
            </w:r>
            <w:r w:rsidR="00CD463E">
              <w:t xml:space="preserve"> information</w:t>
            </w:r>
          </w:p>
          <w:p w14:paraId="689E20A0" w14:textId="77777777"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346E12D9" w14:textId="77777777"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p w14:paraId="1077553D" w14:textId="095E4B44"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sidRPr="008C363E">
              <w:t xml:space="preserve">Keep for </w:t>
            </w:r>
            <w:r w:rsidRPr="008C363E">
              <w:rPr>
                <w:b/>
              </w:rPr>
              <w:t>seven years</w:t>
            </w:r>
            <w:r w:rsidRPr="008C363E">
              <w:t xml:space="preserve"> and then destroy.</w:t>
            </w:r>
          </w:p>
          <w:p w14:paraId="155679F6" w14:textId="77777777"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p>
        </w:tc>
      </w:tr>
      <w:tr w:rsidR="008C363E" w:rsidRPr="008C363E" w14:paraId="31D367FF" w14:textId="77777777" w:rsidTr="008C363E">
        <w:tc>
          <w:tcPr>
            <w:cnfStyle w:val="001000000000" w:firstRow="0" w:lastRow="0" w:firstColumn="1" w:lastColumn="0" w:oddVBand="0" w:evenVBand="0" w:oddHBand="0" w:evenHBand="0" w:firstRowFirstColumn="0" w:firstRowLastColumn="0" w:lastRowFirstColumn="0" w:lastRowLastColumn="0"/>
            <w:tcW w:w="846" w:type="dxa"/>
            <w:vAlign w:val="center"/>
          </w:tcPr>
          <w:p w14:paraId="5C40F1EA" w14:textId="77777777" w:rsidR="00E66A89" w:rsidRPr="008C363E" w:rsidRDefault="00E66A89" w:rsidP="0045408D">
            <w:pPr>
              <w:pStyle w:val="Text"/>
              <w:numPr>
                <w:ilvl w:val="0"/>
                <w:numId w:val="11"/>
              </w:numPr>
              <w:spacing w:after="0"/>
            </w:pPr>
          </w:p>
        </w:tc>
        <w:tc>
          <w:tcPr>
            <w:tcW w:w="4252" w:type="dxa"/>
            <w:vAlign w:val="center"/>
          </w:tcPr>
          <w:p w14:paraId="406769A1" w14:textId="77777777" w:rsidR="0094393B" w:rsidRDefault="0094393B" w:rsidP="000F2AE1">
            <w:pPr>
              <w:pStyle w:val="Text"/>
              <w:spacing w:after="0"/>
              <w:cnfStyle w:val="000000000000" w:firstRow="0" w:lastRow="0" w:firstColumn="0" w:lastColumn="0" w:oddVBand="0" w:evenVBand="0" w:oddHBand="0" w:evenHBand="0" w:firstRowFirstColumn="0" w:firstRowLastColumn="0" w:lastRowFirstColumn="0" w:lastRowLastColumn="0"/>
            </w:pPr>
          </w:p>
          <w:p w14:paraId="724338B1" w14:textId="77777777" w:rsidR="00E66A89" w:rsidRDefault="00E66A89" w:rsidP="000F2AE1">
            <w:pPr>
              <w:pStyle w:val="Text"/>
              <w:spacing w:after="0"/>
              <w:cnfStyle w:val="000000000000" w:firstRow="0" w:lastRow="0" w:firstColumn="0" w:lastColumn="0" w:oddVBand="0" w:evenVBand="0" w:oddHBand="0" w:evenHBand="0" w:firstRowFirstColumn="0" w:firstRowLastColumn="0" w:lastRowFirstColumn="0" w:lastRowLastColumn="0"/>
            </w:pPr>
            <w:r w:rsidRPr="008C363E">
              <w:t>All other types of record not specified above, including copies of records which are owned by other business areas</w:t>
            </w:r>
            <w:r w:rsidRPr="008C363E">
              <w:rPr>
                <w:rStyle w:val="FootnoteReference"/>
              </w:rPr>
              <w:footnoteReference w:id="5"/>
            </w:r>
          </w:p>
          <w:p w14:paraId="428D8928" w14:textId="23258A9C" w:rsidR="0094393B" w:rsidRPr="008C363E" w:rsidRDefault="0094393B" w:rsidP="000F2AE1">
            <w:pPr>
              <w:pStyle w:val="Text"/>
              <w:spacing w:after="0"/>
              <w:cnfStyle w:val="000000000000" w:firstRow="0" w:lastRow="0" w:firstColumn="0" w:lastColumn="0" w:oddVBand="0" w:evenVBand="0" w:oddHBand="0" w:evenHBand="0" w:firstRowFirstColumn="0" w:firstRowLastColumn="0" w:lastRowFirstColumn="0" w:lastRowLastColumn="0"/>
            </w:pPr>
          </w:p>
        </w:tc>
        <w:tc>
          <w:tcPr>
            <w:tcW w:w="4530" w:type="dxa"/>
            <w:vAlign w:val="center"/>
          </w:tcPr>
          <w:p w14:paraId="4AD393A1" w14:textId="091CBC44" w:rsidR="00E66A89" w:rsidRPr="008C363E" w:rsidRDefault="00E66A89" w:rsidP="00E66A89">
            <w:pPr>
              <w:pStyle w:val="Text"/>
              <w:spacing w:after="0"/>
              <w:cnfStyle w:val="000000000000" w:firstRow="0" w:lastRow="0" w:firstColumn="0" w:lastColumn="0" w:oddVBand="0" w:evenVBand="0" w:oddHBand="0" w:evenHBand="0" w:firstRowFirstColumn="0" w:firstRowLastColumn="0" w:lastRowFirstColumn="0" w:lastRowLastColumn="0"/>
            </w:pPr>
            <w:r w:rsidRPr="008C363E">
              <w:t xml:space="preserve">Keep for </w:t>
            </w:r>
            <w:r w:rsidRPr="008C363E">
              <w:rPr>
                <w:b/>
              </w:rPr>
              <w:t>three years</w:t>
            </w:r>
            <w:r w:rsidRPr="008C363E">
              <w:t xml:space="preserve"> and then destroy.</w:t>
            </w:r>
          </w:p>
        </w:tc>
      </w:tr>
    </w:tbl>
    <w:p w14:paraId="0B902433" w14:textId="37588614" w:rsidR="00E66A89" w:rsidRDefault="00E66A89" w:rsidP="00526855">
      <w:pPr>
        <w:pStyle w:val="BodyText"/>
      </w:pPr>
    </w:p>
    <w:p w14:paraId="4A172B17" w14:textId="78ABA762" w:rsidR="00E66A89" w:rsidRPr="00B5193A" w:rsidRDefault="00E66A89" w:rsidP="00E66A89">
      <w:pPr>
        <w:spacing w:after="0"/>
        <w:rPr>
          <w:rFonts w:cs="Arial"/>
          <w:szCs w:val="24"/>
        </w:rPr>
      </w:pPr>
      <w:r w:rsidRPr="00B5193A">
        <w:rPr>
          <w:rFonts w:cs="Arial"/>
          <w:szCs w:val="24"/>
        </w:rPr>
        <w:t>Phil</w:t>
      </w:r>
      <w:r w:rsidR="002F4839">
        <w:rPr>
          <w:rFonts w:cs="Arial"/>
          <w:szCs w:val="24"/>
        </w:rPr>
        <w:t>l</w:t>
      </w:r>
      <w:r w:rsidRPr="00B5193A">
        <w:rPr>
          <w:rFonts w:cs="Arial"/>
          <w:szCs w:val="24"/>
        </w:rPr>
        <w:t xml:space="preserve">ip </w:t>
      </w:r>
      <w:r w:rsidR="002F4839">
        <w:rPr>
          <w:rFonts w:cs="Arial"/>
          <w:szCs w:val="24"/>
        </w:rPr>
        <w:t>Crowcroft</w:t>
      </w:r>
    </w:p>
    <w:p w14:paraId="75DCF096" w14:textId="00408D3B" w:rsidR="00E66A89" w:rsidRPr="00B5193A" w:rsidRDefault="002F4839" w:rsidP="00E66A89">
      <w:pPr>
        <w:pStyle w:val="NormalWeb"/>
        <w:spacing w:before="0" w:beforeAutospacing="0" w:after="0" w:afterAutospacing="0"/>
        <w:rPr>
          <w:rFonts w:ascii="Arial" w:hAnsi="Arial" w:cs="Arial"/>
        </w:rPr>
      </w:pPr>
      <w:r>
        <w:rPr>
          <w:rFonts w:ascii="Arial" w:hAnsi="Arial" w:cs="Arial"/>
          <w:color w:val="000000"/>
        </w:rPr>
        <w:t xml:space="preserve">Deputy </w:t>
      </w:r>
      <w:r w:rsidR="00E66A89" w:rsidRPr="00B5193A">
        <w:rPr>
          <w:rFonts w:ascii="Arial" w:hAnsi="Arial" w:cs="Arial"/>
          <w:color w:val="000000"/>
        </w:rPr>
        <w:t>Departmental Records Officer</w:t>
      </w:r>
      <w:r w:rsidR="00E66A89" w:rsidRPr="00B5193A">
        <w:rPr>
          <w:rFonts w:ascii="Arial" w:hAnsi="Arial" w:cs="Arial"/>
        </w:rPr>
        <w:t xml:space="preserve"> </w:t>
      </w:r>
      <w:r w:rsidR="00E66A89" w:rsidRPr="00B5193A">
        <w:rPr>
          <w:rFonts w:ascii="Arial" w:hAnsi="Arial" w:cs="Arial"/>
        </w:rPr>
        <w:br/>
      </w:r>
      <w:r w:rsidR="00E66A89" w:rsidRPr="00B5193A">
        <w:rPr>
          <w:rFonts w:ascii="Arial" w:hAnsi="Arial" w:cs="Arial"/>
          <w:color w:val="000000"/>
        </w:rPr>
        <w:t>Ministry of Justice</w:t>
      </w:r>
      <w:r w:rsidR="00E66A89" w:rsidRPr="00B5193A">
        <w:rPr>
          <w:rFonts w:ascii="Arial" w:hAnsi="Arial" w:cs="Arial"/>
        </w:rPr>
        <w:t xml:space="preserve"> </w:t>
      </w:r>
      <w:r w:rsidR="00E66A89" w:rsidRPr="00B5193A">
        <w:rPr>
          <w:rFonts w:ascii="Arial" w:hAnsi="Arial" w:cs="Arial"/>
        </w:rPr>
        <w:br/>
      </w:r>
      <w:r w:rsidR="00E66A89" w:rsidRPr="00B5193A">
        <w:rPr>
          <w:rFonts w:ascii="Arial" w:hAnsi="Arial" w:cs="Arial"/>
          <w:color w:val="000000"/>
        </w:rPr>
        <w:t>102 Petty France</w:t>
      </w:r>
      <w:r w:rsidR="00E66A89" w:rsidRPr="00B5193A">
        <w:rPr>
          <w:rFonts w:ascii="Arial" w:hAnsi="Arial" w:cs="Arial"/>
        </w:rPr>
        <w:t xml:space="preserve"> </w:t>
      </w:r>
      <w:r w:rsidR="00E66A89" w:rsidRPr="00B5193A">
        <w:rPr>
          <w:rFonts w:ascii="Arial" w:hAnsi="Arial" w:cs="Arial"/>
        </w:rPr>
        <w:br/>
      </w:r>
      <w:r w:rsidR="00E66A89" w:rsidRPr="00B5193A">
        <w:rPr>
          <w:rFonts w:ascii="Arial" w:hAnsi="Arial" w:cs="Arial"/>
          <w:color w:val="000000"/>
        </w:rPr>
        <w:t>London SW1H 9AJ</w:t>
      </w:r>
    </w:p>
    <w:p w14:paraId="1050C989" w14:textId="77777777" w:rsidR="008C363E" w:rsidRPr="00B5193A" w:rsidRDefault="008C363E" w:rsidP="00E66A89">
      <w:pPr>
        <w:pStyle w:val="NormalWeb"/>
        <w:spacing w:before="0" w:beforeAutospacing="0" w:after="0" w:afterAutospacing="0"/>
        <w:rPr>
          <w:rFonts w:ascii="Arial" w:hAnsi="Arial" w:cs="Arial"/>
        </w:rPr>
      </w:pPr>
    </w:p>
    <w:p w14:paraId="3806A586" w14:textId="61F375C7" w:rsidR="00E66A89" w:rsidRPr="00B5193A" w:rsidRDefault="00E66A89" w:rsidP="00E66A89">
      <w:pPr>
        <w:pStyle w:val="NormalWeb"/>
        <w:spacing w:before="0" w:beforeAutospacing="0" w:after="0" w:afterAutospacing="0"/>
        <w:rPr>
          <w:rFonts w:ascii="Arial" w:hAnsi="Arial" w:cs="Arial"/>
          <w:b/>
          <w:szCs w:val="22"/>
        </w:rPr>
      </w:pPr>
      <w:r w:rsidRPr="00B5193A">
        <w:rPr>
          <w:rFonts w:ascii="Arial" w:hAnsi="Arial" w:cs="Arial"/>
          <w:b/>
          <w:szCs w:val="22"/>
        </w:rPr>
        <w:t xml:space="preserve">Signed: </w:t>
      </w:r>
      <w:r w:rsidR="007D17E7">
        <w:rPr>
          <w:rFonts w:ascii="Arial" w:hAnsi="Arial" w:cs="Arial"/>
          <w:b/>
          <w:szCs w:val="22"/>
        </w:rPr>
        <w:t>18</w:t>
      </w:r>
      <w:r w:rsidRPr="00B5193A">
        <w:rPr>
          <w:rFonts w:ascii="Arial" w:hAnsi="Arial" w:cs="Arial"/>
          <w:b/>
          <w:szCs w:val="22"/>
        </w:rPr>
        <w:t xml:space="preserve"> </w:t>
      </w:r>
      <w:r w:rsidR="007D17E7">
        <w:rPr>
          <w:rFonts w:ascii="Arial" w:hAnsi="Arial" w:cs="Arial"/>
          <w:b/>
          <w:szCs w:val="22"/>
        </w:rPr>
        <w:t>August</w:t>
      </w:r>
      <w:r w:rsidRPr="00B5193A">
        <w:rPr>
          <w:rFonts w:ascii="Arial" w:hAnsi="Arial" w:cs="Arial"/>
          <w:b/>
          <w:szCs w:val="22"/>
        </w:rPr>
        <w:t xml:space="preserve"> 20</w:t>
      </w:r>
      <w:r w:rsidR="007D17E7">
        <w:rPr>
          <w:rFonts w:ascii="Arial" w:hAnsi="Arial" w:cs="Arial"/>
          <w:b/>
          <w:szCs w:val="22"/>
        </w:rPr>
        <w:t>20</w:t>
      </w:r>
      <w:bookmarkStart w:id="5" w:name="_GoBack"/>
      <w:bookmarkEnd w:id="5"/>
    </w:p>
    <w:p w14:paraId="7208E968" w14:textId="77777777" w:rsidR="00E66A89" w:rsidRPr="00B5193A" w:rsidRDefault="00E66A89" w:rsidP="00E66A89">
      <w:pPr>
        <w:pStyle w:val="Text"/>
        <w:spacing w:after="0"/>
        <w:rPr>
          <w:sz w:val="24"/>
        </w:rPr>
      </w:pPr>
    </w:p>
    <w:p w14:paraId="255AD705" w14:textId="3C4425AC" w:rsidR="00E66A89" w:rsidRDefault="00E66A89" w:rsidP="00E66A89">
      <w:pPr>
        <w:spacing w:after="0"/>
        <w:rPr>
          <w:rFonts w:cs="Arial"/>
        </w:rPr>
      </w:pPr>
      <w:r>
        <w:rPr>
          <w:rFonts w:cs="Arial"/>
        </w:rPr>
        <w:t xml:space="preserve">Date of Original Issue of RRDS: </w:t>
      </w:r>
      <w:r>
        <w:rPr>
          <w:rFonts w:cs="Arial"/>
        </w:rPr>
        <w:tab/>
      </w:r>
      <w:r w:rsidR="00CE6A89">
        <w:rPr>
          <w:rFonts w:cs="Arial"/>
        </w:rPr>
        <w:t>July 2015</w:t>
      </w:r>
    </w:p>
    <w:p w14:paraId="28F79BB5" w14:textId="5E44535F" w:rsidR="00E66A89" w:rsidRDefault="00E66A89" w:rsidP="00E66A89">
      <w:pPr>
        <w:spacing w:after="0"/>
        <w:rPr>
          <w:rFonts w:cs="Arial"/>
        </w:rPr>
      </w:pPr>
      <w:r>
        <w:rPr>
          <w:rFonts w:cs="Arial"/>
        </w:rPr>
        <w:tab/>
      </w:r>
      <w:r>
        <w:rPr>
          <w:rFonts w:cs="Arial"/>
        </w:rPr>
        <w:tab/>
      </w:r>
    </w:p>
    <w:p w14:paraId="09804022" w14:textId="4B1B75E5" w:rsidR="00E66A89" w:rsidRDefault="00E66A89" w:rsidP="00526855">
      <w:pPr>
        <w:pStyle w:val="BodyText"/>
      </w:pPr>
    </w:p>
    <w:p w14:paraId="7786BDEF" w14:textId="77777777" w:rsidR="00515316" w:rsidRDefault="00515316" w:rsidP="00526855">
      <w:pPr>
        <w:pStyle w:val="BodyText"/>
      </w:pPr>
    </w:p>
    <w:sectPr w:rsidR="00515316"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7D2D" w14:textId="77777777" w:rsidR="00B91315" w:rsidRDefault="00B91315" w:rsidP="00B91315">
      <w:pPr>
        <w:spacing w:after="0" w:line="240" w:lineRule="auto"/>
      </w:pPr>
      <w:r>
        <w:separator/>
      </w:r>
    </w:p>
  </w:endnote>
  <w:endnote w:type="continuationSeparator" w:id="0">
    <w:p w14:paraId="242277F7" w14:textId="77777777" w:rsidR="00B91315" w:rsidRDefault="00B91315"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18A7CD73" w:rsidR="009A1CE1" w:rsidRDefault="00990242">
    <w:pPr>
      <w:pStyle w:val="Footer"/>
    </w:pPr>
    <w:r>
      <w:fldChar w:fldCharType="begin"/>
    </w:r>
    <w:r>
      <w:instrText xml:space="preserve"> PAGE   \* MERGEFORMAT </w:instrText>
    </w:r>
    <w:r>
      <w:fldChar w:fldCharType="separate"/>
    </w:r>
    <w:r w:rsidR="007D17E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B2D" w14:textId="77777777" w:rsidR="00B91315" w:rsidRDefault="00B91315" w:rsidP="00B91315">
      <w:pPr>
        <w:spacing w:after="0" w:line="240" w:lineRule="auto"/>
      </w:pPr>
      <w:r>
        <w:separator/>
      </w:r>
    </w:p>
  </w:footnote>
  <w:footnote w:type="continuationSeparator" w:id="0">
    <w:p w14:paraId="5698187E" w14:textId="77777777" w:rsidR="00B91315" w:rsidRDefault="00B91315" w:rsidP="00B91315">
      <w:pPr>
        <w:spacing w:after="0" w:line="240" w:lineRule="auto"/>
      </w:pPr>
      <w:r>
        <w:continuationSeparator/>
      </w:r>
    </w:p>
  </w:footnote>
  <w:footnote w:id="1">
    <w:p w14:paraId="4F3AA1C2" w14:textId="1483309A" w:rsidR="0045408D" w:rsidRPr="001474E3" w:rsidRDefault="0045408D" w:rsidP="0045408D">
      <w:pPr>
        <w:pStyle w:val="FootnoteText"/>
        <w:spacing w:after="0"/>
        <w:rPr>
          <w:sz w:val="18"/>
          <w:szCs w:val="18"/>
        </w:rPr>
      </w:pPr>
      <w:r w:rsidRPr="001474E3">
        <w:rPr>
          <w:rStyle w:val="FootnoteReference"/>
          <w:sz w:val="18"/>
          <w:szCs w:val="18"/>
        </w:rPr>
        <w:footnoteRef/>
      </w:r>
      <w:r w:rsidRPr="001474E3">
        <w:rPr>
          <w:sz w:val="18"/>
          <w:szCs w:val="18"/>
        </w:rPr>
        <w:t xml:space="preserve"> See rows</w:t>
      </w:r>
      <w:r>
        <w:rPr>
          <w:sz w:val="18"/>
          <w:szCs w:val="18"/>
        </w:rPr>
        <w:t xml:space="preserve"> </w:t>
      </w:r>
      <w:r w:rsidR="00CD463E">
        <w:rPr>
          <w:sz w:val="18"/>
          <w:szCs w:val="18"/>
        </w:rPr>
        <w:t>1</w:t>
      </w:r>
      <w:r w:rsidR="00D83A54">
        <w:rPr>
          <w:sz w:val="18"/>
          <w:szCs w:val="18"/>
        </w:rPr>
        <w:t>2</w:t>
      </w:r>
      <w:r>
        <w:rPr>
          <w:sz w:val="18"/>
          <w:szCs w:val="18"/>
        </w:rPr>
        <w:t xml:space="preserve"> and </w:t>
      </w:r>
      <w:r w:rsidR="00CD463E">
        <w:rPr>
          <w:sz w:val="18"/>
          <w:szCs w:val="18"/>
        </w:rPr>
        <w:t>1</w:t>
      </w:r>
      <w:r w:rsidR="00D83A54">
        <w:rPr>
          <w:sz w:val="18"/>
          <w:szCs w:val="18"/>
        </w:rPr>
        <w:t>3</w:t>
      </w:r>
      <w:r w:rsidRPr="001474E3">
        <w:rPr>
          <w:sz w:val="18"/>
          <w:szCs w:val="18"/>
        </w:rPr>
        <w:t xml:space="preserve"> for maximum retention period</w:t>
      </w:r>
    </w:p>
  </w:footnote>
  <w:footnote w:id="2">
    <w:p w14:paraId="5D884BB5" w14:textId="7681BD4C" w:rsidR="00BD6812" w:rsidRPr="00CD463E" w:rsidRDefault="00BD6812" w:rsidP="00CD463E">
      <w:pPr>
        <w:pStyle w:val="FootnoteText"/>
        <w:spacing w:after="0"/>
        <w:rPr>
          <w:sz w:val="18"/>
          <w:szCs w:val="18"/>
        </w:rPr>
      </w:pPr>
      <w:r w:rsidRPr="00CD463E">
        <w:rPr>
          <w:rStyle w:val="FootnoteReference"/>
          <w:sz w:val="18"/>
          <w:szCs w:val="18"/>
        </w:rPr>
        <w:footnoteRef/>
      </w:r>
      <w:r w:rsidRPr="00CD463E">
        <w:rPr>
          <w:sz w:val="18"/>
          <w:szCs w:val="18"/>
        </w:rPr>
        <w:t xml:space="preserve"> Some decisions are published. Links to the different decisions are found at: </w:t>
      </w:r>
      <w:hyperlink r:id="rId1" w:history="1">
        <w:r w:rsidRPr="00CD463E">
          <w:rPr>
            <w:rStyle w:val="Hyperlink"/>
            <w:color w:val="0000CC"/>
            <w:sz w:val="18"/>
            <w:szCs w:val="18"/>
          </w:rPr>
          <w:t>https://www.gov.uk/guidance/general-regulatory-chamber-tribunal-hearings-and-decisions</w:t>
        </w:r>
      </w:hyperlink>
    </w:p>
  </w:footnote>
  <w:footnote w:id="3">
    <w:p w14:paraId="3903D584" w14:textId="77777777" w:rsidR="00E66A89" w:rsidRPr="00CD463E" w:rsidRDefault="00E66A89" w:rsidP="00CD463E">
      <w:pPr>
        <w:pStyle w:val="FootnoteText"/>
        <w:spacing w:after="0"/>
        <w:rPr>
          <w:sz w:val="18"/>
          <w:szCs w:val="18"/>
        </w:rPr>
      </w:pPr>
      <w:r w:rsidRPr="00CD463E">
        <w:rPr>
          <w:rStyle w:val="FootnoteReference"/>
          <w:sz w:val="18"/>
          <w:szCs w:val="18"/>
        </w:rPr>
        <w:footnoteRef/>
      </w:r>
      <w:r w:rsidRPr="00CD463E">
        <w:rPr>
          <w:sz w:val="18"/>
          <w:szCs w:val="18"/>
        </w:rPr>
        <w:t xml:space="preserve"> </w:t>
      </w:r>
      <w:r w:rsidRPr="00CD463E">
        <w:rPr>
          <w:i/>
          <w:sz w:val="18"/>
          <w:szCs w:val="18"/>
        </w:rPr>
        <w:t>What to keep</w:t>
      </w:r>
      <w:r w:rsidRPr="00CD463E">
        <w:rPr>
          <w:sz w:val="18"/>
          <w:szCs w:val="18"/>
        </w:rPr>
        <w:t xml:space="preserve"> is available at: </w:t>
      </w:r>
      <w:hyperlink r:id="rId2" w:history="1">
        <w:r w:rsidRPr="00CD463E">
          <w:rPr>
            <w:rStyle w:val="Hyperlink"/>
            <w:color w:val="0000CC"/>
            <w:sz w:val="18"/>
            <w:szCs w:val="18"/>
          </w:rPr>
          <w:t>https://www.gov.uk/government/publications/record-retention-and-disposition-schedules</w:t>
        </w:r>
      </w:hyperlink>
      <w:r w:rsidRPr="00CD463E">
        <w:rPr>
          <w:sz w:val="18"/>
          <w:szCs w:val="18"/>
        </w:rPr>
        <w:t xml:space="preserve"> </w:t>
      </w:r>
    </w:p>
  </w:footnote>
  <w:footnote w:id="4">
    <w:p w14:paraId="6BD9EAD8" w14:textId="77777777" w:rsidR="00CD463E" w:rsidRPr="00107AB2" w:rsidRDefault="00CD463E" w:rsidP="00CD463E">
      <w:pPr>
        <w:pStyle w:val="FootnoteText"/>
        <w:spacing w:after="0"/>
        <w:rPr>
          <w:sz w:val="18"/>
          <w:szCs w:val="18"/>
        </w:rPr>
      </w:pPr>
      <w:r w:rsidRPr="00107AB2">
        <w:rPr>
          <w:rStyle w:val="FootnoteReference"/>
          <w:sz w:val="18"/>
          <w:szCs w:val="18"/>
        </w:rPr>
        <w:footnoteRef/>
      </w:r>
      <w:r w:rsidRPr="00107AB2">
        <w:rPr>
          <w:sz w:val="18"/>
          <w:szCs w:val="18"/>
        </w:rPr>
        <w:t xml:space="preserve"> The answers to these requests are held by Disclosure (see row 40 of the MoJ HQ schedule)</w:t>
      </w:r>
    </w:p>
  </w:footnote>
  <w:footnote w:id="5">
    <w:p w14:paraId="55DDAD0F" w14:textId="77777777" w:rsidR="00E66A89" w:rsidRPr="00734BCB" w:rsidRDefault="00E66A89" w:rsidP="00CD463E">
      <w:pPr>
        <w:pStyle w:val="FootnoteText"/>
        <w:spacing w:after="0"/>
        <w:rPr>
          <w:sz w:val="18"/>
        </w:rPr>
      </w:pPr>
      <w:r w:rsidRPr="00734BCB">
        <w:rPr>
          <w:rStyle w:val="FootnoteReference"/>
          <w:sz w:val="18"/>
        </w:rPr>
        <w:footnoteRef/>
      </w:r>
      <w:r w:rsidRPr="00734BCB">
        <w:rPr>
          <w:sz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F507D8" w:rsidRDefault="0028397F">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69C3FD0"/>
    <w:multiLevelType w:val="hybridMultilevel"/>
    <w:tmpl w:val="99D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B0D05"/>
    <w:multiLevelType w:val="hybridMultilevel"/>
    <w:tmpl w:val="D5F6B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809F7"/>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70F61A5"/>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21765"/>
    <w:multiLevelType w:val="hybridMultilevel"/>
    <w:tmpl w:val="B58A2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82D90"/>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907B61"/>
    <w:multiLevelType w:val="hybridMultilevel"/>
    <w:tmpl w:val="C12E8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823CEB"/>
    <w:multiLevelType w:val="hybridMultilevel"/>
    <w:tmpl w:val="8A66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541A9A"/>
    <w:multiLevelType w:val="hybridMultilevel"/>
    <w:tmpl w:val="6512D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4"/>
  </w:num>
  <w:num w:numId="7">
    <w:abstractNumId w:val="7"/>
  </w:num>
  <w:num w:numId="8">
    <w:abstractNumId w:val="5"/>
  </w:num>
  <w:num w:numId="9">
    <w:abstractNumId w:val="8"/>
  </w:num>
  <w:num w:numId="10">
    <w:abstractNumId w:val="12"/>
  </w:num>
  <w:num w:numId="11">
    <w:abstractNumId w:val="13"/>
  </w:num>
  <w:num w:numId="12">
    <w:abstractNumId w:val="16"/>
  </w:num>
  <w:num w:numId="13">
    <w:abstractNumId w:val="6"/>
  </w:num>
  <w:num w:numId="14">
    <w:abstractNumId w:val="11"/>
  </w:num>
  <w:num w:numId="15">
    <w:abstractNumId w:val="3"/>
  </w:num>
  <w:num w:numId="16">
    <w:abstractNumId w:val="15"/>
  </w:num>
  <w:num w:numId="17">
    <w:abstractNumId w:val="1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21C74"/>
    <w:rsid w:val="00022442"/>
    <w:rsid w:val="00084A5E"/>
    <w:rsid w:val="00090E40"/>
    <w:rsid w:val="000E6EEE"/>
    <w:rsid w:val="000F2AE1"/>
    <w:rsid w:val="000F5429"/>
    <w:rsid w:val="00121C76"/>
    <w:rsid w:val="0014645B"/>
    <w:rsid w:val="00152A0B"/>
    <w:rsid w:val="00175D09"/>
    <w:rsid w:val="001A2D64"/>
    <w:rsid w:val="001A445F"/>
    <w:rsid w:val="001A71CD"/>
    <w:rsid w:val="001B20BA"/>
    <w:rsid w:val="00240F37"/>
    <w:rsid w:val="002607AB"/>
    <w:rsid w:val="0028397F"/>
    <w:rsid w:val="00286C2E"/>
    <w:rsid w:val="00293CEB"/>
    <w:rsid w:val="002A1861"/>
    <w:rsid w:val="002F075A"/>
    <w:rsid w:val="002F4839"/>
    <w:rsid w:val="00304682"/>
    <w:rsid w:val="003355F1"/>
    <w:rsid w:val="0035655C"/>
    <w:rsid w:val="00356655"/>
    <w:rsid w:val="003D27AC"/>
    <w:rsid w:val="003F1F7D"/>
    <w:rsid w:val="00433C5D"/>
    <w:rsid w:val="00446A97"/>
    <w:rsid w:val="00446DDB"/>
    <w:rsid w:val="004514F6"/>
    <w:rsid w:val="0045408D"/>
    <w:rsid w:val="0046787C"/>
    <w:rsid w:val="00515316"/>
    <w:rsid w:val="00526855"/>
    <w:rsid w:val="00545B6C"/>
    <w:rsid w:val="005A1D69"/>
    <w:rsid w:val="005E51D0"/>
    <w:rsid w:val="005E7AB4"/>
    <w:rsid w:val="005F45D7"/>
    <w:rsid w:val="0061115A"/>
    <w:rsid w:val="0062433C"/>
    <w:rsid w:val="0062513A"/>
    <w:rsid w:val="00650168"/>
    <w:rsid w:val="00654EB8"/>
    <w:rsid w:val="006B61D2"/>
    <w:rsid w:val="007027B7"/>
    <w:rsid w:val="00717E5B"/>
    <w:rsid w:val="0072693A"/>
    <w:rsid w:val="007339EE"/>
    <w:rsid w:val="00757E87"/>
    <w:rsid w:val="007C4EF0"/>
    <w:rsid w:val="007D17E7"/>
    <w:rsid w:val="007E159E"/>
    <w:rsid w:val="008114F6"/>
    <w:rsid w:val="0081199E"/>
    <w:rsid w:val="0084121C"/>
    <w:rsid w:val="00841F0C"/>
    <w:rsid w:val="00872307"/>
    <w:rsid w:val="008773F1"/>
    <w:rsid w:val="0088335D"/>
    <w:rsid w:val="00891EA4"/>
    <w:rsid w:val="008B1F46"/>
    <w:rsid w:val="008B2C35"/>
    <w:rsid w:val="008C363E"/>
    <w:rsid w:val="008D55E7"/>
    <w:rsid w:val="008F39D9"/>
    <w:rsid w:val="008F6977"/>
    <w:rsid w:val="00916276"/>
    <w:rsid w:val="009179CD"/>
    <w:rsid w:val="00930428"/>
    <w:rsid w:val="00932F7F"/>
    <w:rsid w:val="0094393B"/>
    <w:rsid w:val="00951457"/>
    <w:rsid w:val="00986130"/>
    <w:rsid w:val="00990242"/>
    <w:rsid w:val="009A1CE1"/>
    <w:rsid w:val="009C17C6"/>
    <w:rsid w:val="009C41F0"/>
    <w:rsid w:val="009E184E"/>
    <w:rsid w:val="009E7AE4"/>
    <w:rsid w:val="009F08E1"/>
    <w:rsid w:val="00A5185C"/>
    <w:rsid w:val="00A51D7C"/>
    <w:rsid w:val="00A9091D"/>
    <w:rsid w:val="00AC6247"/>
    <w:rsid w:val="00AD05F3"/>
    <w:rsid w:val="00AD52C7"/>
    <w:rsid w:val="00AD69EB"/>
    <w:rsid w:val="00AE4DF7"/>
    <w:rsid w:val="00B21E62"/>
    <w:rsid w:val="00B4736D"/>
    <w:rsid w:val="00B5193A"/>
    <w:rsid w:val="00B54D37"/>
    <w:rsid w:val="00B91315"/>
    <w:rsid w:val="00BC4DBC"/>
    <w:rsid w:val="00BD6812"/>
    <w:rsid w:val="00BF23EA"/>
    <w:rsid w:val="00BF7DB1"/>
    <w:rsid w:val="00C456C5"/>
    <w:rsid w:val="00CD463E"/>
    <w:rsid w:val="00CD6C47"/>
    <w:rsid w:val="00CE6A89"/>
    <w:rsid w:val="00D12DED"/>
    <w:rsid w:val="00D46E01"/>
    <w:rsid w:val="00D50660"/>
    <w:rsid w:val="00D83A54"/>
    <w:rsid w:val="00DA02F8"/>
    <w:rsid w:val="00E24C00"/>
    <w:rsid w:val="00E33D2A"/>
    <w:rsid w:val="00E40474"/>
    <w:rsid w:val="00E40AEF"/>
    <w:rsid w:val="00E4123E"/>
    <w:rsid w:val="00E46220"/>
    <w:rsid w:val="00E54993"/>
    <w:rsid w:val="00E66A89"/>
    <w:rsid w:val="00E865EC"/>
    <w:rsid w:val="00EA393C"/>
    <w:rsid w:val="00EA72FF"/>
    <w:rsid w:val="00F10EB2"/>
    <w:rsid w:val="00F23D3D"/>
    <w:rsid w:val="00F3756F"/>
    <w:rsid w:val="00F44410"/>
    <w:rsid w:val="00F507D8"/>
    <w:rsid w:val="00F6533F"/>
    <w:rsid w:val="00F76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DA02F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02F8"/>
    <w:rPr>
      <w:rFonts w:ascii="Arial" w:eastAsia="Times New Roman" w:hAnsi="Arial" w:cs="Times New Roman"/>
      <w:b/>
      <w:bCs/>
      <w:sz w:val="20"/>
      <w:szCs w:val="20"/>
    </w:rPr>
  </w:style>
  <w:style w:type="paragraph" w:styleId="NoSpacing">
    <w:name w:val="No Spacing"/>
    <w:uiPriority w:val="1"/>
    <w:qFormat/>
    <w:rsid w:val="00152A0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cord-retention-and-disposition-schedules" TargetMode="External"/><Relationship Id="rId1" Type="http://schemas.openxmlformats.org/officeDocument/2006/relationships/hyperlink" Target="https://www.gov.uk/guidance/general-regulatory-chamber-tribunal-hearings-and-deci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5" ma:contentTypeDescription="Create a new document." ma:contentTypeScope="" ma:versionID="ce6d7a1b6a13be5c5d5ec3c18bee059c">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785cc32a51e478225821991a30794690"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C151-557C-4452-806E-CF0B3261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ECEF1448-CFE7-4B48-AFF8-CCD1266CA1F6}">
  <ds:schemaRefs>
    <ds:schemaRef ds:uri="http://purl.org/dc/elements/1.1/"/>
    <ds:schemaRef ds:uri="http://schemas.microsoft.com/sharepoint/v3"/>
    <ds:schemaRef ds:uri="http://purl.org/dc/terms/"/>
    <ds:schemaRef ds:uri="2332c961-6f67-4d2a-9fad-b382164b977c"/>
    <ds:schemaRef ds:uri="http://purl.org/dc/dcmitype/"/>
    <ds:schemaRef ds:uri="http://schemas.microsoft.com/office/2006/documentManagement/types"/>
    <ds:schemaRef ds:uri="d5354e63-dc31-42f4-b5be-47429dadf32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C211CCA-6FAC-47C3-AC98-5D1B104C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3</cp:revision>
  <dcterms:created xsi:type="dcterms:W3CDTF">2020-08-19T14:31:00Z</dcterms:created>
  <dcterms:modified xsi:type="dcterms:W3CDTF">2020-08-19T14:31:00Z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