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Layout w:type="fixed"/>
        <w:tblCellMar>
          <w:left w:w="0" w:type="dxa"/>
          <w:right w:w="0" w:type="dxa"/>
        </w:tblCellMar>
        <w:tblLook w:val="01E0" w:firstRow="1" w:lastRow="1" w:firstColumn="1" w:lastColumn="1" w:noHBand="0" w:noVBand="0"/>
      </w:tblPr>
      <w:tblGrid>
        <w:gridCol w:w="6521"/>
        <w:gridCol w:w="3119"/>
      </w:tblGrid>
      <w:tr w:rsidR="00555286" w14:paraId="10642DCF" w14:textId="77777777" w:rsidTr="00895BDC">
        <w:trPr>
          <w:trHeight w:val="2979"/>
        </w:trPr>
        <w:tc>
          <w:tcPr>
            <w:tcW w:w="6521" w:type="dxa"/>
          </w:tcPr>
          <w:p w14:paraId="630B29F3" w14:textId="77777777" w:rsidR="00555286" w:rsidRDefault="003E7F1E" w:rsidP="002C5025">
            <w:pPr>
              <w:pStyle w:val="MOJaddress"/>
            </w:pPr>
            <w:r>
              <w:rPr>
                <w:noProof/>
              </w:rPr>
              <w:drawing>
                <wp:inline distT="0" distB="0" distL="0" distR="0" wp14:anchorId="689A5F7F" wp14:editId="054E69ED">
                  <wp:extent cx="974725" cy="758825"/>
                  <wp:effectExtent l="0" t="0" r="0" b="317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758825"/>
                          </a:xfrm>
                          <a:prstGeom prst="rect">
                            <a:avLst/>
                          </a:prstGeom>
                          <a:noFill/>
                          <a:ln>
                            <a:noFill/>
                          </a:ln>
                        </pic:spPr>
                      </pic:pic>
                    </a:graphicData>
                  </a:graphic>
                </wp:inline>
              </w:drawing>
            </w:r>
          </w:p>
          <w:p w14:paraId="3E55284B" w14:textId="77777777" w:rsidR="00555286" w:rsidRDefault="00555286" w:rsidP="002C5025">
            <w:pPr>
              <w:pStyle w:val="MOJaddress"/>
              <w:rPr>
                <w:color w:val="0000CC"/>
                <w:sz w:val="22"/>
                <w:szCs w:val="22"/>
              </w:rPr>
            </w:pPr>
          </w:p>
          <w:p w14:paraId="63F796FE" w14:textId="77777777" w:rsidR="00555286" w:rsidRDefault="00555286" w:rsidP="002C5025">
            <w:pPr>
              <w:pStyle w:val="MOJaddress"/>
              <w:rPr>
                <w:color w:val="0000CC"/>
                <w:sz w:val="22"/>
                <w:szCs w:val="22"/>
              </w:rPr>
            </w:pPr>
          </w:p>
          <w:p w14:paraId="2C686EA2" w14:textId="77777777" w:rsidR="00555286" w:rsidRDefault="00555286" w:rsidP="00365760"/>
        </w:tc>
        <w:tc>
          <w:tcPr>
            <w:tcW w:w="3119" w:type="dxa"/>
          </w:tcPr>
          <w:p w14:paraId="3D6906F5" w14:textId="77777777" w:rsidR="00555286" w:rsidRPr="009C4B46" w:rsidRDefault="00555286" w:rsidP="001F33F4">
            <w:pPr>
              <w:pStyle w:val="MOJaddress"/>
              <w:ind w:left="284"/>
              <w:rPr>
                <w:color w:val="0000CC"/>
                <w:sz w:val="22"/>
                <w:szCs w:val="22"/>
              </w:rPr>
            </w:pPr>
          </w:p>
          <w:p w14:paraId="013CB123" w14:textId="77777777" w:rsidR="00555286" w:rsidRDefault="00AF12A2" w:rsidP="00AF12A2">
            <w:pPr>
              <w:pStyle w:val="MOJaddress"/>
            </w:pPr>
            <w:r>
              <w:rPr>
                <w:rFonts w:cs="Arial"/>
                <w:sz w:val="22"/>
              </w:rPr>
              <w:t>November</w:t>
            </w:r>
            <w:r w:rsidR="00F41DD5" w:rsidRPr="00845E6C">
              <w:rPr>
                <w:rFonts w:cs="Arial"/>
                <w:sz w:val="22"/>
              </w:rPr>
              <w:t xml:space="preserve"> 2017</w:t>
            </w:r>
          </w:p>
        </w:tc>
      </w:tr>
    </w:tbl>
    <w:p w14:paraId="6E3E2A7A" w14:textId="77777777" w:rsidR="00311969" w:rsidRDefault="00311969" w:rsidP="007A3DF8">
      <w:pPr>
        <w:rPr>
          <w:szCs w:val="22"/>
        </w:rPr>
      </w:pPr>
    </w:p>
    <w:p w14:paraId="61F06C36" w14:textId="77777777" w:rsidR="009853E8" w:rsidRDefault="007A3DF8" w:rsidP="009853E8">
      <w:pPr>
        <w:rPr>
          <w:b/>
          <w:color w:val="0000CC"/>
          <w:szCs w:val="22"/>
        </w:rPr>
      </w:pPr>
      <w:r>
        <w:rPr>
          <w:b/>
          <w:szCs w:val="22"/>
        </w:rPr>
        <w:t xml:space="preserve">Freedom of Information Act (FOIA) Request – </w:t>
      </w:r>
      <w:r w:rsidR="00F41DD5" w:rsidRPr="00F41DD5">
        <w:rPr>
          <w:b/>
          <w:szCs w:val="22"/>
        </w:rPr>
        <w:t>171012002</w:t>
      </w:r>
    </w:p>
    <w:p w14:paraId="5F744CC6" w14:textId="77777777" w:rsidR="00555286" w:rsidRDefault="00555286" w:rsidP="002E1BE5">
      <w:pPr>
        <w:spacing w:line="240" w:lineRule="auto"/>
        <w:rPr>
          <w:color w:val="0000CC"/>
          <w:szCs w:val="22"/>
        </w:rPr>
      </w:pPr>
    </w:p>
    <w:p w14:paraId="0BB23D1F" w14:textId="77777777" w:rsidR="009853E8" w:rsidRDefault="00365760" w:rsidP="009853E8">
      <w:pPr>
        <w:rPr>
          <w:b/>
          <w:color w:val="0000CC"/>
          <w:szCs w:val="22"/>
        </w:rPr>
      </w:pPr>
      <w:r>
        <w:rPr>
          <w:rFonts w:cs="Arial"/>
        </w:rPr>
        <w:t>Y</w:t>
      </w:r>
      <w:r w:rsidR="0011478A">
        <w:rPr>
          <w:rFonts w:cs="Arial"/>
        </w:rPr>
        <w:t>ou</w:t>
      </w:r>
      <w:r w:rsidR="0038642F" w:rsidRPr="00561341">
        <w:rPr>
          <w:rFonts w:cs="Arial"/>
        </w:rPr>
        <w:t xml:space="preserve"> asked for the following information</w:t>
      </w:r>
      <w:r w:rsidR="0067585E" w:rsidRPr="00561341">
        <w:rPr>
          <w:rFonts w:cs="Arial"/>
        </w:rPr>
        <w:t xml:space="preserve"> from the Ministry of Justice (MoJ)</w:t>
      </w:r>
      <w:r w:rsidR="0038642F" w:rsidRPr="00561341">
        <w:rPr>
          <w:rFonts w:cs="Arial"/>
        </w:rPr>
        <w:t xml:space="preserve">: </w:t>
      </w:r>
      <w:r w:rsidR="007A3DF8" w:rsidRPr="00561341">
        <w:rPr>
          <w:rFonts w:cs="Arial"/>
        </w:rPr>
        <w:t xml:space="preserve"> </w:t>
      </w:r>
    </w:p>
    <w:p w14:paraId="4FDF8509" w14:textId="77777777" w:rsidR="009853E8" w:rsidRDefault="009853E8" w:rsidP="009853E8">
      <w:pPr>
        <w:rPr>
          <w:b/>
          <w:color w:val="0000CC"/>
          <w:szCs w:val="22"/>
        </w:rPr>
      </w:pPr>
    </w:p>
    <w:p w14:paraId="4CFF7BA4" w14:textId="77777777" w:rsidR="000C5A70" w:rsidRPr="000C5A70" w:rsidRDefault="000C5A70" w:rsidP="000C5A70">
      <w:pPr>
        <w:rPr>
          <w:b/>
          <w:szCs w:val="22"/>
        </w:rPr>
      </w:pPr>
      <w:r w:rsidRPr="000C5A70">
        <w:rPr>
          <w:b/>
          <w:szCs w:val="22"/>
        </w:rPr>
        <w:t>Under the freedom of information act 2000, could you please provide information on the following request:</w:t>
      </w:r>
    </w:p>
    <w:p w14:paraId="00372676" w14:textId="77777777" w:rsidR="000C5A70" w:rsidRPr="000C5A70" w:rsidRDefault="000C5A70" w:rsidP="000C5A70">
      <w:pPr>
        <w:rPr>
          <w:b/>
          <w:szCs w:val="22"/>
        </w:rPr>
      </w:pPr>
    </w:p>
    <w:p w14:paraId="5ECB3536" w14:textId="77777777" w:rsidR="009853E8" w:rsidRPr="000C5A70" w:rsidRDefault="000C5A70" w:rsidP="000C5A70">
      <w:pPr>
        <w:rPr>
          <w:b/>
          <w:szCs w:val="22"/>
        </w:rPr>
      </w:pPr>
      <w:r w:rsidRPr="000C5A70">
        <w:rPr>
          <w:b/>
          <w:szCs w:val="22"/>
        </w:rPr>
        <w:t>How many convictions have been secured for illegal sexual acts with sheep, and bestiality acts in general, since 2007. If you provide information by country, could you please specify how many in England and Wales respectively.</w:t>
      </w:r>
    </w:p>
    <w:p w14:paraId="34C5493D" w14:textId="77777777" w:rsidR="000C5A70" w:rsidRDefault="000C5A70" w:rsidP="000C5A70">
      <w:pPr>
        <w:rPr>
          <w:b/>
          <w:color w:val="0000CC"/>
          <w:szCs w:val="22"/>
        </w:rPr>
      </w:pPr>
      <w:bookmarkStart w:id="0" w:name="_GoBack"/>
      <w:bookmarkEnd w:id="0"/>
    </w:p>
    <w:p w14:paraId="0F976B40" w14:textId="77777777" w:rsidR="009853E8" w:rsidRDefault="007D4761" w:rsidP="009853E8">
      <w:pPr>
        <w:rPr>
          <w:b/>
          <w:color w:val="0000CC"/>
          <w:szCs w:val="22"/>
        </w:rPr>
      </w:pPr>
      <w:r w:rsidRPr="00561341">
        <w:rPr>
          <w:rFonts w:cs="Arial"/>
          <w:szCs w:val="22"/>
        </w:rPr>
        <w:t xml:space="preserve">Your request </w:t>
      </w:r>
      <w:r w:rsidR="002E1BE5">
        <w:rPr>
          <w:rFonts w:cs="Arial"/>
          <w:szCs w:val="22"/>
        </w:rPr>
        <w:t>has been</w:t>
      </w:r>
      <w:r w:rsidRPr="00561341">
        <w:rPr>
          <w:rFonts w:cs="Arial"/>
          <w:szCs w:val="22"/>
        </w:rPr>
        <w:t xml:space="preserve"> handled under the</w:t>
      </w:r>
      <w:r w:rsidR="00561341">
        <w:rPr>
          <w:rFonts w:cs="Arial"/>
          <w:szCs w:val="22"/>
        </w:rPr>
        <w:t xml:space="preserve"> </w:t>
      </w:r>
      <w:r w:rsidRPr="00561341">
        <w:rPr>
          <w:rFonts w:cs="Arial"/>
          <w:szCs w:val="22"/>
        </w:rPr>
        <w:t>FOIA.</w:t>
      </w:r>
    </w:p>
    <w:p w14:paraId="3EFA31AB" w14:textId="77777777" w:rsidR="00B84B83" w:rsidRDefault="00B84B83" w:rsidP="00B84B83">
      <w:pPr>
        <w:spacing w:line="240" w:lineRule="auto"/>
        <w:rPr>
          <w:rFonts w:cs="Arial"/>
          <w:szCs w:val="22"/>
        </w:rPr>
      </w:pPr>
    </w:p>
    <w:p w14:paraId="1F504889" w14:textId="77777777" w:rsidR="00B84B83" w:rsidRDefault="00B84B83" w:rsidP="00B84B83">
      <w:pPr>
        <w:spacing w:line="240" w:lineRule="auto"/>
        <w:rPr>
          <w:rFonts w:cs="Arial"/>
          <w:szCs w:val="22"/>
        </w:rPr>
      </w:pPr>
      <w:r>
        <w:rPr>
          <w:rFonts w:cs="Arial"/>
          <w:szCs w:val="22"/>
        </w:rPr>
        <w:t>I can confirm that the MoJ holds</w:t>
      </w:r>
      <w:r w:rsidRPr="00E22F6A">
        <w:rPr>
          <w:rFonts w:cs="Arial"/>
          <w:szCs w:val="22"/>
        </w:rPr>
        <w:t xml:space="preserve"> all </w:t>
      </w:r>
      <w:r>
        <w:rPr>
          <w:rFonts w:cs="Arial"/>
          <w:szCs w:val="22"/>
        </w:rPr>
        <w:t>of the</w:t>
      </w:r>
      <w:r>
        <w:rPr>
          <w:rFonts w:cs="Arial"/>
          <w:color w:val="0033CC"/>
          <w:szCs w:val="22"/>
        </w:rPr>
        <w:t xml:space="preserve"> </w:t>
      </w:r>
      <w:r>
        <w:rPr>
          <w:rFonts w:cs="Arial"/>
          <w:szCs w:val="22"/>
        </w:rPr>
        <w:t>information that you have requested.</w:t>
      </w:r>
    </w:p>
    <w:p w14:paraId="65FB7A52" w14:textId="77777777" w:rsidR="009853E8" w:rsidRPr="004F6095" w:rsidRDefault="009853E8" w:rsidP="009853E8">
      <w:pPr>
        <w:rPr>
          <w:rFonts w:cs="Arial"/>
          <w:szCs w:val="22"/>
        </w:rPr>
      </w:pPr>
    </w:p>
    <w:p w14:paraId="7B9091B9" w14:textId="77777777" w:rsidR="00BE020D" w:rsidRDefault="004F6095" w:rsidP="009853E8">
      <w:pPr>
        <w:rPr>
          <w:rFonts w:cs="Arial"/>
        </w:rPr>
      </w:pPr>
      <w:r w:rsidRPr="004F6095">
        <w:rPr>
          <w:rFonts w:cs="Arial"/>
          <w:szCs w:val="22"/>
        </w:rPr>
        <w:t xml:space="preserve">Between </w:t>
      </w:r>
      <w:r>
        <w:rPr>
          <w:rFonts w:cs="Arial"/>
          <w:szCs w:val="22"/>
        </w:rPr>
        <w:t>2007 and 2016 (latest currently availa</w:t>
      </w:r>
      <w:r w:rsidR="00346D93">
        <w:rPr>
          <w:rFonts w:cs="Arial"/>
          <w:szCs w:val="22"/>
        </w:rPr>
        <w:t>ble) a total of 27 people have</w:t>
      </w:r>
      <w:r>
        <w:rPr>
          <w:rFonts w:cs="Arial"/>
        </w:rPr>
        <w:t xml:space="preserve"> been convicted of the offence of </w:t>
      </w:r>
      <w:r w:rsidR="00A0083E">
        <w:rPr>
          <w:rFonts w:cs="Arial"/>
        </w:rPr>
        <w:t>having sexual intercourse with an animal contrary to</w:t>
      </w:r>
      <w:r w:rsidR="00346D93">
        <w:rPr>
          <w:rFonts w:cs="Arial"/>
        </w:rPr>
        <w:t xml:space="preserve"> </w:t>
      </w:r>
      <w:r w:rsidR="00B103EA" w:rsidRPr="00B103EA">
        <w:rPr>
          <w:rFonts w:cs="Arial"/>
        </w:rPr>
        <w:t xml:space="preserve">sections 69(1) &amp; (3) and 69(2) &amp; (3) </w:t>
      </w:r>
      <w:r w:rsidR="00A0083E">
        <w:rPr>
          <w:rFonts w:cs="Arial"/>
        </w:rPr>
        <w:t>of the Sexual Offences Act 2003.</w:t>
      </w:r>
      <w:r w:rsidR="00A507EC">
        <w:rPr>
          <w:rFonts w:cs="Arial"/>
        </w:rPr>
        <w:t xml:space="preserve"> </w:t>
      </w:r>
      <w:r w:rsidR="00E04AD0">
        <w:rPr>
          <w:rFonts w:cs="Arial"/>
        </w:rPr>
        <w:t>Of these convictions</w:t>
      </w:r>
      <w:r w:rsidR="008B233F">
        <w:rPr>
          <w:rFonts w:cs="Arial"/>
        </w:rPr>
        <w:t>,</w:t>
      </w:r>
      <w:r w:rsidR="00E04AD0">
        <w:rPr>
          <w:rFonts w:cs="Arial"/>
        </w:rPr>
        <w:t xml:space="preserve"> </w:t>
      </w:r>
      <w:r w:rsidR="00105AEC">
        <w:rPr>
          <w:rFonts w:cs="Arial"/>
        </w:rPr>
        <w:t>25 took place in courts in England and the remaining two occurred in courts in Wales.</w:t>
      </w:r>
    </w:p>
    <w:p w14:paraId="743362A9" w14:textId="77777777" w:rsidR="00D83AF2" w:rsidRDefault="00D83AF2" w:rsidP="009853E8">
      <w:pPr>
        <w:rPr>
          <w:rFonts w:cs="Arial"/>
        </w:rPr>
      </w:pPr>
    </w:p>
    <w:p w14:paraId="725CE25B" w14:textId="77777777" w:rsidR="00BE020D" w:rsidRPr="00D83AF2" w:rsidRDefault="00D83AF2" w:rsidP="009853E8">
      <w:pPr>
        <w:rPr>
          <w:rFonts w:cs="Arial"/>
          <w:szCs w:val="22"/>
        </w:rPr>
      </w:pPr>
      <w:r>
        <w:rPr>
          <w:rFonts w:cs="Arial"/>
          <w:szCs w:val="22"/>
        </w:rPr>
        <w:t>Please note that t</w:t>
      </w:r>
      <w:r w:rsidRPr="00D83AF2">
        <w:rPr>
          <w:rFonts w:cs="Arial"/>
          <w:szCs w:val="22"/>
        </w:rPr>
        <w:t>he</w:t>
      </w:r>
      <w:r>
        <w:rPr>
          <w:rFonts w:cs="Arial"/>
          <w:szCs w:val="22"/>
        </w:rPr>
        <w:t>se</w:t>
      </w:r>
      <w:r w:rsidRPr="00D83AF2">
        <w:rPr>
          <w:rFonts w:cs="Arial"/>
          <w:szCs w:val="22"/>
        </w:rPr>
        <w:t xml:space="preserve"> figures relate to persons for whom these offences were the principal offences for which they were dealt with. When a defendant has been found guilty of two or more offences it is the offence for which the heaviest penalty is imposed. Where the same disposal is imposed for two or more offences, the offence selected is the offence for which the statutory maximum penalty is the most severe.</w:t>
      </w:r>
      <w:r w:rsidRPr="00D83AF2">
        <w:rPr>
          <w:rFonts w:cs="Arial"/>
          <w:szCs w:val="22"/>
        </w:rPr>
        <w:tab/>
      </w:r>
      <w:r w:rsidRPr="00D83AF2">
        <w:rPr>
          <w:rFonts w:cs="Arial"/>
          <w:szCs w:val="22"/>
        </w:rPr>
        <w:tab/>
      </w:r>
      <w:r w:rsidRPr="00D83AF2">
        <w:rPr>
          <w:rFonts w:cs="Arial"/>
          <w:szCs w:val="22"/>
        </w:rPr>
        <w:tab/>
      </w:r>
      <w:r w:rsidRPr="00D83AF2">
        <w:rPr>
          <w:rFonts w:cs="Arial"/>
          <w:szCs w:val="22"/>
        </w:rPr>
        <w:tab/>
      </w:r>
      <w:r w:rsidRPr="00D83AF2">
        <w:rPr>
          <w:rFonts w:cs="Arial"/>
          <w:szCs w:val="22"/>
        </w:rPr>
        <w:tab/>
      </w:r>
      <w:r w:rsidRPr="00D83AF2">
        <w:rPr>
          <w:rFonts w:cs="Arial"/>
          <w:szCs w:val="22"/>
        </w:rPr>
        <w:tab/>
      </w:r>
      <w:r w:rsidRPr="00D83AF2">
        <w:rPr>
          <w:rFonts w:cs="Arial"/>
          <w:szCs w:val="22"/>
        </w:rPr>
        <w:tab/>
      </w:r>
      <w:r w:rsidRPr="00D83AF2">
        <w:rPr>
          <w:rFonts w:cs="Arial"/>
          <w:szCs w:val="22"/>
        </w:rPr>
        <w:tab/>
      </w:r>
      <w:r w:rsidRPr="00D83AF2">
        <w:rPr>
          <w:rFonts w:cs="Arial"/>
          <w:szCs w:val="22"/>
        </w:rPr>
        <w:tab/>
      </w:r>
      <w:r w:rsidRPr="00D83AF2">
        <w:rPr>
          <w:rFonts w:cs="Arial"/>
          <w:szCs w:val="22"/>
        </w:rPr>
        <w:tab/>
      </w:r>
    </w:p>
    <w:p w14:paraId="7064ABBA" w14:textId="77777777" w:rsidR="00270EA1" w:rsidRDefault="00395C6F" w:rsidP="00270EA1">
      <w:pPr>
        <w:spacing w:after="160" w:line="240" w:lineRule="auto"/>
        <w:rPr>
          <w:rFonts w:eastAsia="Calibri" w:cs="Arial"/>
          <w:szCs w:val="22"/>
          <w:lang w:eastAsia="en-US"/>
        </w:rPr>
      </w:pPr>
      <w:r>
        <w:rPr>
          <w:rFonts w:cs="Arial"/>
          <w:szCs w:val="22"/>
        </w:rPr>
        <w:t>T</w:t>
      </w:r>
      <w:r w:rsidR="00555286">
        <w:rPr>
          <w:rFonts w:cs="Arial"/>
          <w:szCs w:val="22"/>
        </w:rPr>
        <w:t>he information</w:t>
      </w:r>
      <w:r>
        <w:rPr>
          <w:rFonts w:cs="Arial"/>
          <w:szCs w:val="22"/>
        </w:rPr>
        <w:t xml:space="preserve"> on the specific type of animal</w:t>
      </w:r>
      <w:r w:rsidR="00555286">
        <w:rPr>
          <w:rFonts w:cs="Arial"/>
          <w:szCs w:val="22"/>
        </w:rPr>
        <w:t xml:space="preserve"> </w:t>
      </w:r>
      <w:r>
        <w:rPr>
          <w:rFonts w:cs="Arial"/>
          <w:szCs w:val="22"/>
        </w:rPr>
        <w:t xml:space="preserve">involved in these cases </w:t>
      </w:r>
      <w:r w:rsidR="00555286">
        <w:rPr>
          <w:rFonts w:cs="Arial"/>
          <w:szCs w:val="22"/>
        </w:rPr>
        <w:t>is exempt from disclosure under section</w:t>
      </w:r>
      <w:r w:rsidR="00555286" w:rsidRPr="00270EA1">
        <w:rPr>
          <w:rFonts w:eastAsia="Calibri" w:cs="Arial"/>
          <w:szCs w:val="22"/>
          <w:lang w:eastAsia="en-US"/>
        </w:rPr>
        <w:t xml:space="preserve"> </w:t>
      </w:r>
      <w:r w:rsidR="00555286">
        <w:rPr>
          <w:rFonts w:eastAsia="Calibri" w:cs="Arial"/>
          <w:szCs w:val="22"/>
          <w:lang w:eastAsia="en-US"/>
        </w:rPr>
        <w:t>32 of the FOIA because it is held in a court record.</w:t>
      </w:r>
      <w:r w:rsidR="00555286">
        <w:rPr>
          <w:rFonts w:eastAsia="Calibri" w:cs="Arial"/>
          <w:szCs w:val="22"/>
          <w:lang w:eastAsia="en-US"/>
        </w:rPr>
        <w:br/>
      </w:r>
      <w:r w:rsidR="00555286">
        <w:rPr>
          <w:rFonts w:eastAsia="Calibri" w:cs="Arial"/>
          <w:szCs w:val="22"/>
          <w:lang w:eastAsia="en-US"/>
        </w:rPr>
        <w:br/>
      </w:r>
      <w:r w:rsidR="00445CA6">
        <w:rPr>
          <w:rFonts w:eastAsia="Calibri" w:cs="Arial"/>
          <w:szCs w:val="22"/>
          <w:lang w:eastAsia="en-US"/>
        </w:rPr>
        <w:t>Under s</w:t>
      </w:r>
      <w:r w:rsidR="00270EA1" w:rsidRPr="00270EA1">
        <w:rPr>
          <w:rFonts w:eastAsia="Calibri" w:cs="Arial"/>
          <w:szCs w:val="22"/>
          <w:lang w:eastAsia="en-US"/>
        </w:rPr>
        <w:t xml:space="preserve">ection 32(1)(c) </w:t>
      </w:r>
      <w:r w:rsidR="00445CA6">
        <w:rPr>
          <w:rFonts w:eastAsia="Calibri" w:cs="Arial"/>
          <w:szCs w:val="22"/>
          <w:lang w:eastAsia="en-US"/>
        </w:rPr>
        <w:t>information is exempt if it is a</w:t>
      </w:r>
      <w:r w:rsidR="00270EA1" w:rsidRPr="00270EA1">
        <w:rPr>
          <w:rFonts w:eastAsia="Calibri" w:cs="Arial"/>
          <w:szCs w:val="22"/>
          <w:lang w:eastAsia="en-US"/>
        </w:rPr>
        <w:t xml:space="preserve"> document created by </w:t>
      </w:r>
      <w:r w:rsidR="00C02084" w:rsidRPr="00B91240">
        <w:rPr>
          <w:rFonts w:eastAsia="Calibri" w:cs="Arial"/>
          <w:szCs w:val="22"/>
          <w:lang w:eastAsia="en-US"/>
        </w:rPr>
        <w:t>(i)</w:t>
      </w:r>
      <w:r w:rsidR="00270EA1" w:rsidRPr="00B91240">
        <w:rPr>
          <w:rFonts w:eastAsia="Calibri" w:cs="Arial"/>
          <w:szCs w:val="22"/>
          <w:lang w:eastAsia="en-US"/>
        </w:rPr>
        <w:t xml:space="preserve">a court </w:t>
      </w:r>
      <w:r w:rsidR="00445CA6" w:rsidRPr="00B91240">
        <w:rPr>
          <w:rFonts w:eastAsia="Calibri" w:cs="Arial"/>
          <w:szCs w:val="22"/>
          <w:lang w:eastAsia="en-US"/>
        </w:rPr>
        <w:t>/</w:t>
      </w:r>
      <w:r w:rsidR="00C02084" w:rsidRPr="00B91240">
        <w:rPr>
          <w:rFonts w:eastAsia="Calibri" w:cs="Arial"/>
          <w:szCs w:val="22"/>
          <w:lang w:eastAsia="en-US"/>
        </w:rPr>
        <w:t xml:space="preserve"> (ii)</w:t>
      </w:r>
      <w:r w:rsidR="00270EA1" w:rsidRPr="00B91240">
        <w:rPr>
          <w:rFonts w:eastAsia="Calibri" w:cs="Arial"/>
          <w:szCs w:val="22"/>
          <w:lang w:eastAsia="en-US"/>
        </w:rPr>
        <w:t>a member of the a</w:t>
      </w:r>
      <w:r w:rsidR="003E7F1E" w:rsidRPr="00B91240">
        <w:rPr>
          <w:rFonts w:eastAsia="Calibri" w:cs="Arial"/>
          <w:szCs w:val="22"/>
          <w:lang w:eastAsia="en-US"/>
        </w:rPr>
        <w:t>dministrative staff of a court</w:t>
      </w:r>
      <w:r w:rsidR="00270EA1" w:rsidRPr="00B91240">
        <w:rPr>
          <w:rFonts w:eastAsia="Calibri" w:cs="Arial"/>
          <w:szCs w:val="22"/>
          <w:lang w:eastAsia="en-US"/>
        </w:rPr>
        <w:t xml:space="preserve"> </w:t>
      </w:r>
      <w:r w:rsidR="00270EA1" w:rsidRPr="00270EA1">
        <w:rPr>
          <w:rFonts w:eastAsia="Calibri" w:cs="Arial"/>
          <w:szCs w:val="22"/>
          <w:lang w:eastAsia="en-US"/>
        </w:rPr>
        <w:t xml:space="preserve">for the purposes of proceedings </w:t>
      </w:r>
      <w:r w:rsidR="00445CA6">
        <w:rPr>
          <w:rFonts w:eastAsia="Calibri" w:cs="Arial"/>
          <w:szCs w:val="22"/>
          <w:lang w:eastAsia="en-US"/>
        </w:rPr>
        <w:t xml:space="preserve">in a </w:t>
      </w:r>
      <w:proofErr w:type="gramStart"/>
      <w:r w:rsidR="00445CA6">
        <w:rPr>
          <w:rFonts w:eastAsia="Calibri" w:cs="Arial"/>
          <w:szCs w:val="22"/>
          <w:lang w:eastAsia="en-US"/>
        </w:rPr>
        <w:t>particular cause</w:t>
      </w:r>
      <w:proofErr w:type="gramEnd"/>
      <w:r w:rsidR="00445CA6">
        <w:rPr>
          <w:rFonts w:eastAsia="Calibri" w:cs="Arial"/>
          <w:szCs w:val="22"/>
          <w:lang w:eastAsia="en-US"/>
        </w:rPr>
        <w:t xml:space="preserve"> or matter.</w:t>
      </w:r>
    </w:p>
    <w:p w14:paraId="611CE359" w14:textId="77777777" w:rsidR="00D95FDA" w:rsidRDefault="00D95FDA" w:rsidP="00571C14">
      <w:pPr>
        <w:spacing w:line="240" w:lineRule="auto"/>
        <w:rPr>
          <w:rFonts w:eastAsia="Calibri" w:cs="Arial"/>
          <w:szCs w:val="22"/>
          <w:lang w:eastAsia="en-US"/>
        </w:rPr>
      </w:pPr>
      <w:r w:rsidRPr="00A766EA">
        <w:t>The reason for section 32 is not to do with the issue of whether information is a public record or not, it is to preserve the courts control over court records. Even if a document may have been made public at the hearing it ceases to be a public record after the hearing and then becomes protected by virtue of section 32. It was not the intention that the FOIA should provide indirect access to court records; the greater public interest was considered to lie in the preservation of the courts' own procedures for considering disclosure.</w:t>
      </w:r>
      <w:r>
        <w:br/>
      </w:r>
    </w:p>
    <w:p w14:paraId="2C4AB303" w14:textId="77777777" w:rsidR="00437F6C" w:rsidRDefault="00571C14" w:rsidP="00270EA1">
      <w:pPr>
        <w:spacing w:line="240" w:lineRule="auto"/>
        <w:rPr>
          <w:rFonts w:eastAsia="Arial" w:cs="Arial"/>
          <w:szCs w:val="22"/>
          <w:lang w:eastAsia="en-US"/>
        </w:rPr>
      </w:pPr>
      <w:r>
        <w:rPr>
          <w:rFonts w:eastAsia="Calibri" w:cs="Arial"/>
          <w:szCs w:val="22"/>
          <w:lang w:eastAsia="en-US"/>
        </w:rPr>
        <w:lastRenderedPageBreak/>
        <w:t>Section 32</w:t>
      </w:r>
      <w:r w:rsidR="00270EA1" w:rsidRPr="00F34801">
        <w:rPr>
          <w:rFonts w:eastAsia="Calibri" w:cs="Arial"/>
          <w:szCs w:val="22"/>
          <w:lang w:eastAsia="en-US"/>
        </w:rPr>
        <w:t xml:space="preserve"> </w:t>
      </w:r>
      <w:r w:rsidR="00C02084">
        <w:rPr>
          <w:rFonts w:eastAsia="Calibri" w:cs="Arial"/>
          <w:szCs w:val="22"/>
          <w:lang w:eastAsia="en-US"/>
        </w:rPr>
        <w:t xml:space="preserve">is </w:t>
      </w:r>
      <w:r w:rsidR="00270EA1" w:rsidRPr="00F34801">
        <w:rPr>
          <w:rFonts w:eastAsia="Calibri" w:cs="Arial"/>
          <w:szCs w:val="22"/>
          <w:lang w:eastAsia="en-US"/>
        </w:rPr>
        <w:t>an absolute exemption and there is no duty to consider the public interest in disclosure.</w:t>
      </w:r>
      <w:r w:rsidR="00270EA1" w:rsidRPr="00F34801">
        <w:rPr>
          <w:rFonts w:eastAsia="Calibri" w:cs="Arial"/>
          <w:szCs w:val="22"/>
          <w:lang w:eastAsia="en-US"/>
        </w:rPr>
        <w:br/>
      </w:r>
    </w:p>
    <w:p w14:paraId="48C24039" w14:textId="77777777" w:rsidR="00F34801" w:rsidRDefault="00D95FDA" w:rsidP="00270EA1">
      <w:pPr>
        <w:spacing w:line="240" w:lineRule="auto"/>
        <w:rPr>
          <w:rFonts w:eastAsia="Arial" w:cs="Arial"/>
          <w:szCs w:val="22"/>
          <w:lang w:eastAsia="en-US"/>
        </w:rPr>
      </w:pPr>
      <w:r>
        <w:rPr>
          <w:rFonts w:eastAsia="Arial" w:cs="Arial"/>
          <w:szCs w:val="22"/>
          <w:lang w:eastAsia="en-US"/>
        </w:rPr>
        <w:t>Y</w:t>
      </w:r>
      <w:r w:rsidR="00571C14">
        <w:rPr>
          <w:rFonts w:eastAsia="Arial" w:cs="Arial"/>
          <w:szCs w:val="22"/>
          <w:lang w:eastAsia="en-US"/>
        </w:rPr>
        <w:t>ou may wish to contact the court directly to apply for access to court documents</w:t>
      </w:r>
      <w:r w:rsidR="00942049">
        <w:rPr>
          <w:rFonts w:eastAsia="Arial" w:cs="Arial"/>
          <w:szCs w:val="22"/>
          <w:lang w:eastAsia="en-US"/>
        </w:rPr>
        <w:t xml:space="preserve"> under the </w:t>
      </w:r>
      <w:r w:rsidR="00212580" w:rsidRPr="00942049">
        <w:rPr>
          <w:rFonts w:eastAsia="Arial" w:cs="Arial"/>
          <w:szCs w:val="22"/>
          <w:lang w:eastAsia="en-US"/>
        </w:rPr>
        <w:t>Criminal Proced</w:t>
      </w:r>
      <w:r w:rsidR="003750AF" w:rsidRPr="00942049">
        <w:rPr>
          <w:rFonts w:eastAsia="Arial" w:cs="Arial"/>
          <w:szCs w:val="22"/>
          <w:lang w:eastAsia="en-US"/>
        </w:rPr>
        <w:t>ure Rules.</w:t>
      </w:r>
      <w:r w:rsidR="003750AF">
        <w:rPr>
          <w:rFonts w:eastAsia="Arial" w:cs="Arial"/>
          <w:color w:val="0000FF"/>
          <w:szCs w:val="22"/>
          <w:lang w:eastAsia="en-US"/>
        </w:rPr>
        <w:t xml:space="preserve"> </w:t>
      </w:r>
      <w:r w:rsidR="00212580">
        <w:rPr>
          <w:rFonts w:eastAsia="Arial" w:cs="Arial"/>
          <w:szCs w:val="22"/>
          <w:lang w:eastAsia="en-US"/>
        </w:rPr>
        <w:t>These</w:t>
      </w:r>
      <w:r w:rsidR="00212580" w:rsidRPr="00270EA1">
        <w:rPr>
          <w:rFonts w:eastAsia="Arial" w:cs="Arial"/>
          <w:szCs w:val="22"/>
          <w:lang w:eastAsia="en-US"/>
        </w:rPr>
        <w:t xml:space="preserve"> are separate and specific regimes for access to information held by courts, designed to give those bodies themselves a measure of control over that information. Rules of court already provide a comprehensive code governing the disclosure of court records and documents served in the course of proceedings.</w:t>
      </w:r>
      <w:r w:rsidR="00212580">
        <w:rPr>
          <w:rFonts w:eastAsia="Arial" w:cs="Arial"/>
          <w:szCs w:val="22"/>
          <w:lang w:eastAsia="en-US"/>
        </w:rPr>
        <w:t xml:space="preserve"> Please note that you will be required to pay a fee as advised by the court.</w:t>
      </w:r>
    </w:p>
    <w:p w14:paraId="5F26A525" w14:textId="77777777" w:rsidR="00561341" w:rsidRDefault="00561341" w:rsidP="002E1BE5">
      <w:pPr>
        <w:spacing w:line="240" w:lineRule="auto"/>
        <w:rPr>
          <w:rFonts w:cs="Arial"/>
          <w:szCs w:val="22"/>
        </w:rPr>
      </w:pPr>
    </w:p>
    <w:sectPr w:rsidR="00561341"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8FBAA" w14:textId="77777777" w:rsidR="006F3176" w:rsidRDefault="006F3176">
      <w:r>
        <w:separator/>
      </w:r>
    </w:p>
  </w:endnote>
  <w:endnote w:type="continuationSeparator" w:id="0">
    <w:p w14:paraId="71108240" w14:textId="77777777" w:rsidR="006F3176" w:rsidRDefault="006F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ungsuh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5189C" w14:textId="77777777"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6576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C9DFF" w14:textId="77777777" w:rsidR="006F3176" w:rsidRDefault="006F3176">
      <w:r>
        <w:separator/>
      </w:r>
    </w:p>
  </w:footnote>
  <w:footnote w:type="continuationSeparator" w:id="0">
    <w:p w14:paraId="49A125BD" w14:textId="77777777" w:rsidR="006F3176" w:rsidRDefault="006F3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CFE"/>
    <w:multiLevelType w:val="hybridMultilevel"/>
    <w:tmpl w:val="57CEE02A"/>
    <w:lvl w:ilvl="0" w:tplc="928C9F30">
      <w:numFmt w:val="bullet"/>
      <w:lvlText w:val=""/>
      <w:lvlJc w:val="left"/>
      <w:pPr>
        <w:tabs>
          <w:tab w:val="num" w:pos="720"/>
        </w:tabs>
        <w:ind w:left="720" w:hanging="360"/>
      </w:pPr>
      <w:rPr>
        <w:rFonts w:ascii="Symbol" w:eastAsia="Times New Roman"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BB2D89"/>
    <w:multiLevelType w:val="hybridMultilevel"/>
    <w:tmpl w:val="3EC69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04B3F82"/>
    <w:multiLevelType w:val="hybridMultilevel"/>
    <w:tmpl w:val="60866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EF787E"/>
    <w:multiLevelType w:val="hybridMultilevel"/>
    <w:tmpl w:val="3F08A940"/>
    <w:lvl w:ilvl="0" w:tplc="48A8AE1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7C7725D4"/>
    <w:multiLevelType w:val="hybridMultilevel"/>
    <w:tmpl w:val="2A6A8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6358B"/>
    <w:rsid w:val="0007380F"/>
    <w:rsid w:val="0008457A"/>
    <w:rsid w:val="0009138F"/>
    <w:rsid w:val="0009754B"/>
    <w:rsid w:val="000A3195"/>
    <w:rsid w:val="000C5A70"/>
    <w:rsid w:val="000D41A3"/>
    <w:rsid w:val="00105AEC"/>
    <w:rsid w:val="00106DEE"/>
    <w:rsid w:val="0011478A"/>
    <w:rsid w:val="00134A2E"/>
    <w:rsid w:val="00146154"/>
    <w:rsid w:val="00152F0C"/>
    <w:rsid w:val="00153E76"/>
    <w:rsid w:val="00154D2E"/>
    <w:rsid w:val="0017541D"/>
    <w:rsid w:val="0019127E"/>
    <w:rsid w:val="00194706"/>
    <w:rsid w:val="001A3A7E"/>
    <w:rsid w:val="001A47E5"/>
    <w:rsid w:val="001A4EE1"/>
    <w:rsid w:val="001B6FB2"/>
    <w:rsid w:val="001C06AD"/>
    <w:rsid w:val="001C54E1"/>
    <w:rsid w:val="001C779E"/>
    <w:rsid w:val="001E0568"/>
    <w:rsid w:val="001E1665"/>
    <w:rsid w:val="001F33F4"/>
    <w:rsid w:val="00212580"/>
    <w:rsid w:val="00255FC6"/>
    <w:rsid w:val="00270EA1"/>
    <w:rsid w:val="00273E23"/>
    <w:rsid w:val="00285A9C"/>
    <w:rsid w:val="002B0ECE"/>
    <w:rsid w:val="002C5025"/>
    <w:rsid w:val="002D5314"/>
    <w:rsid w:val="002E1BE5"/>
    <w:rsid w:val="002E39E4"/>
    <w:rsid w:val="002F24C7"/>
    <w:rsid w:val="002F50F6"/>
    <w:rsid w:val="002F6553"/>
    <w:rsid w:val="003011BD"/>
    <w:rsid w:val="00303661"/>
    <w:rsid w:val="0030433E"/>
    <w:rsid w:val="00311969"/>
    <w:rsid w:val="0031213B"/>
    <w:rsid w:val="00323067"/>
    <w:rsid w:val="003366B3"/>
    <w:rsid w:val="00346D93"/>
    <w:rsid w:val="00365760"/>
    <w:rsid w:val="00365B17"/>
    <w:rsid w:val="003750AF"/>
    <w:rsid w:val="00375DDC"/>
    <w:rsid w:val="00376A97"/>
    <w:rsid w:val="00377D6F"/>
    <w:rsid w:val="0038642F"/>
    <w:rsid w:val="0039521E"/>
    <w:rsid w:val="00395C6F"/>
    <w:rsid w:val="003A633E"/>
    <w:rsid w:val="003B13CA"/>
    <w:rsid w:val="003E2480"/>
    <w:rsid w:val="003E3E27"/>
    <w:rsid w:val="003E7F1E"/>
    <w:rsid w:val="00401CAB"/>
    <w:rsid w:val="00423240"/>
    <w:rsid w:val="004269FC"/>
    <w:rsid w:val="00435D53"/>
    <w:rsid w:val="00437F6C"/>
    <w:rsid w:val="00444869"/>
    <w:rsid w:val="00445AB5"/>
    <w:rsid w:val="00445CA6"/>
    <w:rsid w:val="00453104"/>
    <w:rsid w:val="00457840"/>
    <w:rsid w:val="00471E48"/>
    <w:rsid w:val="0048558F"/>
    <w:rsid w:val="00496E7B"/>
    <w:rsid w:val="004A3822"/>
    <w:rsid w:val="004D58C1"/>
    <w:rsid w:val="004E03C7"/>
    <w:rsid w:val="004E5205"/>
    <w:rsid w:val="004E5CF9"/>
    <w:rsid w:val="004F3A38"/>
    <w:rsid w:val="004F5467"/>
    <w:rsid w:val="004F6095"/>
    <w:rsid w:val="0050006A"/>
    <w:rsid w:val="00524313"/>
    <w:rsid w:val="0053496B"/>
    <w:rsid w:val="00535B60"/>
    <w:rsid w:val="005361B4"/>
    <w:rsid w:val="00555286"/>
    <w:rsid w:val="00561341"/>
    <w:rsid w:val="0056296A"/>
    <w:rsid w:val="00562EE0"/>
    <w:rsid w:val="00566964"/>
    <w:rsid w:val="00571C14"/>
    <w:rsid w:val="005765D4"/>
    <w:rsid w:val="005774F0"/>
    <w:rsid w:val="0059501B"/>
    <w:rsid w:val="005A196C"/>
    <w:rsid w:val="005A1FB5"/>
    <w:rsid w:val="005B1E5F"/>
    <w:rsid w:val="005B28FC"/>
    <w:rsid w:val="005C1749"/>
    <w:rsid w:val="005D21E1"/>
    <w:rsid w:val="005E17C7"/>
    <w:rsid w:val="006045AB"/>
    <w:rsid w:val="00644B57"/>
    <w:rsid w:val="00652228"/>
    <w:rsid w:val="006647E4"/>
    <w:rsid w:val="00673F9E"/>
    <w:rsid w:val="00674BC9"/>
    <w:rsid w:val="0067514B"/>
    <w:rsid w:val="0067585E"/>
    <w:rsid w:val="00680B3A"/>
    <w:rsid w:val="00684760"/>
    <w:rsid w:val="00687093"/>
    <w:rsid w:val="00687276"/>
    <w:rsid w:val="006878E8"/>
    <w:rsid w:val="006B325C"/>
    <w:rsid w:val="006C72DE"/>
    <w:rsid w:val="006E32CA"/>
    <w:rsid w:val="006F3176"/>
    <w:rsid w:val="006F32D9"/>
    <w:rsid w:val="006F41B2"/>
    <w:rsid w:val="0074259E"/>
    <w:rsid w:val="0075513B"/>
    <w:rsid w:val="007A3DF8"/>
    <w:rsid w:val="007B7C57"/>
    <w:rsid w:val="007C5F7B"/>
    <w:rsid w:val="007C771A"/>
    <w:rsid w:val="007D4371"/>
    <w:rsid w:val="007D4761"/>
    <w:rsid w:val="007D5ED2"/>
    <w:rsid w:val="007F4AEE"/>
    <w:rsid w:val="00801B78"/>
    <w:rsid w:val="008031F0"/>
    <w:rsid w:val="00805323"/>
    <w:rsid w:val="00831B94"/>
    <w:rsid w:val="00832C18"/>
    <w:rsid w:val="00837E19"/>
    <w:rsid w:val="00844B67"/>
    <w:rsid w:val="00844D94"/>
    <w:rsid w:val="00845E6C"/>
    <w:rsid w:val="00855B9C"/>
    <w:rsid w:val="008565E0"/>
    <w:rsid w:val="00880411"/>
    <w:rsid w:val="00882334"/>
    <w:rsid w:val="00892055"/>
    <w:rsid w:val="00895BDC"/>
    <w:rsid w:val="008970E9"/>
    <w:rsid w:val="008B21BB"/>
    <w:rsid w:val="008B233F"/>
    <w:rsid w:val="008B36D2"/>
    <w:rsid w:val="008D45DA"/>
    <w:rsid w:val="008D564C"/>
    <w:rsid w:val="008F5EAC"/>
    <w:rsid w:val="00917EC7"/>
    <w:rsid w:val="00942049"/>
    <w:rsid w:val="009521AE"/>
    <w:rsid w:val="009827DD"/>
    <w:rsid w:val="009853E8"/>
    <w:rsid w:val="00985CB8"/>
    <w:rsid w:val="00990F1F"/>
    <w:rsid w:val="009C4B46"/>
    <w:rsid w:val="009D25B1"/>
    <w:rsid w:val="009D5879"/>
    <w:rsid w:val="009E3F91"/>
    <w:rsid w:val="009E6233"/>
    <w:rsid w:val="009E69FE"/>
    <w:rsid w:val="00A0083E"/>
    <w:rsid w:val="00A01200"/>
    <w:rsid w:val="00A173AB"/>
    <w:rsid w:val="00A20BCD"/>
    <w:rsid w:val="00A27D23"/>
    <w:rsid w:val="00A349B1"/>
    <w:rsid w:val="00A40D87"/>
    <w:rsid w:val="00A459D4"/>
    <w:rsid w:val="00A4792D"/>
    <w:rsid w:val="00A507EC"/>
    <w:rsid w:val="00A76AFC"/>
    <w:rsid w:val="00A809DF"/>
    <w:rsid w:val="00AA1B45"/>
    <w:rsid w:val="00AD7505"/>
    <w:rsid w:val="00AE7402"/>
    <w:rsid w:val="00AF12A2"/>
    <w:rsid w:val="00AF2FD9"/>
    <w:rsid w:val="00B01B28"/>
    <w:rsid w:val="00B103EA"/>
    <w:rsid w:val="00B47082"/>
    <w:rsid w:val="00B8050D"/>
    <w:rsid w:val="00B81EF9"/>
    <w:rsid w:val="00B84B83"/>
    <w:rsid w:val="00B9009F"/>
    <w:rsid w:val="00B91240"/>
    <w:rsid w:val="00B95043"/>
    <w:rsid w:val="00BB4B4B"/>
    <w:rsid w:val="00BE020D"/>
    <w:rsid w:val="00BE3E8C"/>
    <w:rsid w:val="00C02084"/>
    <w:rsid w:val="00C56E27"/>
    <w:rsid w:val="00C66BE0"/>
    <w:rsid w:val="00C72245"/>
    <w:rsid w:val="00CB54AB"/>
    <w:rsid w:val="00CB65BF"/>
    <w:rsid w:val="00CC0B65"/>
    <w:rsid w:val="00CC54F9"/>
    <w:rsid w:val="00CE1BFE"/>
    <w:rsid w:val="00CF03AD"/>
    <w:rsid w:val="00CF0E52"/>
    <w:rsid w:val="00D010B0"/>
    <w:rsid w:val="00D04F64"/>
    <w:rsid w:val="00D11B61"/>
    <w:rsid w:val="00D14BA9"/>
    <w:rsid w:val="00D17E97"/>
    <w:rsid w:val="00D25431"/>
    <w:rsid w:val="00D34F07"/>
    <w:rsid w:val="00D354B2"/>
    <w:rsid w:val="00D62050"/>
    <w:rsid w:val="00D64C3E"/>
    <w:rsid w:val="00D66074"/>
    <w:rsid w:val="00D83AF2"/>
    <w:rsid w:val="00D85F7E"/>
    <w:rsid w:val="00D908A9"/>
    <w:rsid w:val="00D95FDA"/>
    <w:rsid w:val="00DD4695"/>
    <w:rsid w:val="00DD5704"/>
    <w:rsid w:val="00DE2E82"/>
    <w:rsid w:val="00DE65A5"/>
    <w:rsid w:val="00DE71AB"/>
    <w:rsid w:val="00E04AD0"/>
    <w:rsid w:val="00E07BB4"/>
    <w:rsid w:val="00E22F6A"/>
    <w:rsid w:val="00E266F0"/>
    <w:rsid w:val="00E51801"/>
    <w:rsid w:val="00E53522"/>
    <w:rsid w:val="00E910E7"/>
    <w:rsid w:val="00E92C99"/>
    <w:rsid w:val="00EA1E9A"/>
    <w:rsid w:val="00EA23BA"/>
    <w:rsid w:val="00EB050F"/>
    <w:rsid w:val="00EB72DE"/>
    <w:rsid w:val="00ED3B30"/>
    <w:rsid w:val="00ED782D"/>
    <w:rsid w:val="00EE2AA6"/>
    <w:rsid w:val="00F012C4"/>
    <w:rsid w:val="00F24423"/>
    <w:rsid w:val="00F34801"/>
    <w:rsid w:val="00F41DD5"/>
    <w:rsid w:val="00F61AFC"/>
    <w:rsid w:val="00F74765"/>
    <w:rsid w:val="00F779B2"/>
    <w:rsid w:val="00F81AD5"/>
    <w:rsid w:val="00F82DB8"/>
    <w:rsid w:val="00F92115"/>
    <w:rsid w:val="00FB0124"/>
    <w:rsid w:val="00FB2D55"/>
    <w:rsid w:val="00FB3ED1"/>
    <w:rsid w:val="00FB5D35"/>
    <w:rsid w:val="00FC5E0E"/>
    <w:rsid w:val="00FD6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4E67E5D"/>
  <w15:chartTrackingRefBased/>
  <w15:docId w15:val="{3EA211C4-1A12-40AC-A991-0C10EFB7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341"/>
    <w:pPr>
      <w:spacing w:line="280" w:lineRule="exact"/>
    </w:pPr>
    <w:rPr>
      <w:rFonts w:ascii="Arial" w:hAnsi="Arial"/>
      <w:sz w:val="22"/>
      <w:szCs w:val="24"/>
    </w:rPr>
  </w:style>
  <w:style w:type="paragraph" w:styleId="Heading1">
    <w:name w:val="heading 1"/>
    <w:basedOn w:val="Normal"/>
    <w:next w:val="Normal"/>
    <w:link w:val="Heading1Char"/>
    <w:qFormat/>
    <w:rsid w:val="00F41D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41DD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869243">
      <w:bodyDiv w:val="1"/>
      <w:marLeft w:val="0"/>
      <w:marRight w:val="0"/>
      <w:marTop w:val="0"/>
      <w:marBottom w:val="0"/>
      <w:divBdr>
        <w:top w:val="none" w:sz="0" w:space="0" w:color="auto"/>
        <w:left w:val="none" w:sz="0" w:space="0" w:color="auto"/>
        <w:bottom w:val="none" w:sz="0" w:space="0" w:color="auto"/>
        <w:right w:val="none" w:sz="0" w:space="0" w:color="auto"/>
      </w:divBdr>
    </w:div>
    <w:div w:id="18079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085E8-BC74-48D5-9DCE-3882A734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1</TotalTime>
  <Pages>2</Pages>
  <Words>492</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FOI 171012002 Bestiality Convictions</vt:lpstr>
    </vt:vector>
  </TitlesOfParts>
  <Manager/>
  <Company>Ministry of Justice</Company>
  <LinksUpToDate>false</LinksUpToDate>
  <CharactersWithSpaces>2904</CharactersWithSpaces>
  <SharedDoc>false</SharedDoc>
  <HLinks>
    <vt:vector size="12" baseType="variant">
      <vt:variant>
        <vt:i4>5636139</vt:i4>
      </vt:variant>
      <vt:variant>
        <vt:i4>3</vt:i4>
      </vt:variant>
      <vt:variant>
        <vt:i4>0</vt:i4>
      </vt:variant>
      <vt:variant>
        <vt:i4>5</vt:i4>
      </vt:variant>
      <vt:variant>
        <vt:lpwstr>mailto:data.access@justice.gsi.gov.uk</vt:lpwstr>
      </vt:variant>
      <vt:variant>
        <vt:lpwstr/>
      </vt: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171012002 Bestiality Convictions</dc:title>
  <dc:subject>FOI Release</dc:subject>
  <dc:creator>MoJ</dc:creator>
  <cp:keywords/>
  <dc:description/>
  <cp:lastModifiedBy>Cox, Allan</cp:lastModifiedBy>
  <cp:revision>2</cp:revision>
  <cp:lastPrinted>2015-07-06T10:35:00Z</cp:lastPrinted>
  <dcterms:created xsi:type="dcterms:W3CDTF">2018-03-27T17:24:00Z</dcterms:created>
  <dcterms:modified xsi:type="dcterms:W3CDTF">2018-03-27T17:24:00Z</dcterms:modified>
  <cp:category/>
</cp:coreProperties>
</file>