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1F27A" w14:textId="77777777" w:rsidR="00390266" w:rsidRDefault="00A7084A" w:rsidP="00A7084A">
      <w:pPr>
        <w:pStyle w:val="PHEbodytextTable"/>
        <w:tabs>
          <w:tab w:val="left" w:pos="1365"/>
        </w:tabs>
        <w:spacing w:before="0" w:after="0"/>
        <w:ind w:left="-851" w:right="-744"/>
        <w:rPr>
          <w:rStyle w:val="PHEBodytextChar"/>
        </w:rPr>
      </w:pPr>
      <w:r>
        <w:rPr>
          <w:rStyle w:val="PHEBodytextChar"/>
        </w:rPr>
        <w:tab/>
      </w:r>
    </w:p>
    <w:p w14:paraId="2A10238A" w14:textId="77777777" w:rsidR="00155021" w:rsidRDefault="00155021" w:rsidP="00D561FE">
      <w:pPr>
        <w:pStyle w:val="PHEbodytextTable"/>
        <w:spacing w:before="0" w:after="0"/>
        <w:ind w:left="-851" w:right="-744"/>
        <w:rPr>
          <w:rStyle w:val="PHEBodytextChar"/>
        </w:rPr>
      </w:pPr>
    </w:p>
    <w:p w14:paraId="1421BDCD" w14:textId="77777777" w:rsidR="00C53F96" w:rsidRDefault="00C53F96" w:rsidP="00D561FE">
      <w:pPr>
        <w:pStyle w:val="PHEbodytextTable"/>
        <w:spacing w:before="0" w:after="0"/>
        <w:ind w:left="-851" w:right="-744"/>
        <w:rPr>
          <w:rStyle w:val="PHEBodytextChar"/>
        </w:rPr>
      </w:pPr>
    </w:p>
    <w:p w14:paraId="6D7B1AB7" w14:textId="77777777" w:rsidR="00C53F96" w:rsidRDefault="00C53F96" w:rsidP="00D561FE">
      <w:pPr>
        <w:pStyle w:val="PHEbodytextTable"/>
        <w:spacing w:before="0" w:after="0"/>
        <w:ind w:left="-851" w:right="-744"/>
        <w:rPr>
          <w:rStyle w:val="PHEBodytextChar"/>
        </w:rPr>
      </w:pPr>
    </w:p>
    <w:p w14:paraId="48302A4B" w14:textId="77777777" w:rsidR="00390266" w:rsidRPr="007153B8" w:rsidRDefault="00390266" w:rsidP="00E074D9">
      <w:pPr>
        <w:pStyle w:val="PHEbodytextTable"/>
        <w:spacing w:before="0" w:after="0"/>
        <w:ind w:left="-284" w:right="-744"/>
        <w:rPr>
          <w:rFonts w:cs="Arial"/>
          <w:noProof/>
          <w:color w:val="98002E"/>
          <w:sz w:val="48"/>
          <w:szCs w:val="48"/>
        </w:rPr>
      </w:pPr>
      <w:r w:rsidRPr="007153B8">
        <w:rPr>
          <w:rFonts w:cs="Arial"/>
          <w:color w:val="98002E"/>
          <w:sz w:val="48"/>
          <w:szCs w:val="48"/>
        </w:rPr>
        <w:t>UK S</w:t>
      </w:r>
      <w:r w:rsidR="00BC42EF" w:rsidRPr="007153B8">
        <w:rPr>
          <w:rFonts w:cs="Arial"/>
          <w:color w:val="98002E"/>
          <w:sz w:val="48"/>
          <w:szCs w:val="48"/>
        </w:rPr>
        <w:t xml:space="preserve">tandards for </w:t>
      </w:r>
      <w:r w:rsidRPr="007153B8">
        <w:rPr>
          <w:rFonts w:cs="Arial"/>
          <w:color w:val="98002E"/>
          <w:sz w:val="48"/>
          <w:szCs w:val="48"/>
        </w:rPr>
        <w:t>Mi</w:t>
      </w:r>
      <w:r w:rsidR="00BC42EF" w:rsidRPr="007153B8">
        <w:rPr>
          <w:rFonts w:cs="Arial"/>
          <w:color w:val="98002E"/>
          <w:sz w:val="48"/>
          <w:szCs w:val="48"/>
        </w:rPr>
        <w:t xml:space="preserve">crobiology </w:t>
      </w:r>
      <w:r w:rsidRPr="007153B8">
        <w:rPr>
          <w:rFonts w:cs="Arial"/>
          <w:color w:val="98002E"/>
          <w:sz w:val="48"/>
          <w:szCs w:val="48"/>
        </w:rPr>
        <w:t>I</w:t>
      </w:r>
      <w:r w:rsidR="00BC42EF" w:rsidRPr="007153B8">
        <w:rPr>
          <w:rFonts w:cs="Arial"/>
          <w:color w:val="98002E"/>
          <w:sz w:val="48"/>
          <w:szCs w:val="48"/>
        </w:rPr>
        <w:t>nvestigations</w:t>
      </w:r>
      <w:r w:rsidR="00BC42EF" w:rsidRPr="007153B8">
        <w:rPr>
          <w:rFonts w:cs="Arial"/>
          <w:noProof/>
          <w:color w:val="98002E"/>
          <w:sz w:val="48"/>
          <w:szCs w:val="48"/>
        </w:rPr>
        <w:t xml:space="preserve"> </w:t>
      </w:r>
    </w:p>
    <w:p w14:paraId="7AD34BD2" w14:textId="77777777" w:rsidR="00D010F9" w:rsidRPr="00C744C8" w:rsidRDefault="00D010F9" w:rsidP="00D561FE">
      <w:pPr>
        <w:pStyle w:val="PHEBodytext"/>
        <w:spacing w:before="0" w:after="0"/>
        <w:ind w:left="-851"/>
        <w:rPr>
          <w:rFonts w:cs="Arial"/>
        </w:rPr>
      </w:pPr>
    </w:p>
    <w:p w14:paraId="1710A98F" w14:textId="77777777" w:rsidR="00BC42EF" w:rsidRDefault="00230080" w:rsidP="00E074D9">
      <w:pPr>
        <w:pStyle w:val="PHEBodytext"/>
        <w:spacing w:before="0" w:after="0"/>
        <w:ind w:left="-284"/>
        <w:rPr>
          <w:rFonts w:cs="Arial"/>
        </w:rPr>
      </w:pPr>
      <w:fldSimple w:instr=" FILLIN  &quot;SMI Title front cover&quot; \d &quot;Type SMI Title front cover here &lt;tab+enter&gt;&quot; \o  \* MERGEFORMAT " w:fldLock="1">
        <w:r w:rsidR="004D06E3" w:rsidRPr="00880DE6">
          <w:rPr>
            <w:rFonts w:cs="Arial"/>
            <w:sz w:val="36"/>
            <w:szCs w:val="36"/>
          </w:rPr>
          <w:t xml:space="preserve">Good practice when performing molecular amplification </w:t>
        </w:r>
        <w:r w:rsidR="004D06E3">
          <w:rPr>
            <w:rFonts w:cs="Arial"/>
            <w:sz w:val="36"/>
            <w:szCs w:val="36"/>
          </w:rPr>
          <w:t>a</w:t>
        </w:r>
        <w:r w:rsidR="004D06E3" w:rsidRPr="00880DE6">
          <w:rPr>
            <w:rFonts w:cs="Arial"/>
            <w:sz w:val="36"/>
            <w:szCs w:val="36"/>
          </w:rPr>
          <w:t>ssays</w:t>
        </w:r>
      </w:fldSimple>
    </w:p>
    <w:p w14:paraId="75458692" w14:textId="77777777" w:rsidR="00E074D9" w:rsidRDefault="00FD61CE" w:rsidP="007153B8">
      <w:pPr>
        <w:pStyle w:val="PHEBodytext"/>
        <w:spacing w:before="0" w:after="0"/>
        <w:ind w:left="-426"/>
        <w:rPr>
          <w:rFonts w:cs="Arial"/>
        </w:rPr>
      </w:pPr>
      <w:r>
        <w:rPr>
          <w:rFonts w:cs="Arial"/>
          <w:noProof/>
        </w:rPr>
        <w:drawing>
          <wp:anchor distT="0" distB="0" distL="114300" distR="114300" simplePos="0" relativeHeight="251661824" behindDoc="1" locked="0" layoutInCell="1" allowOverlap="1" wp14:anchorId="0667D671" wp14:editId="589A52E3">
            <wp:simplePos x="0" y="0"/>
            <wp:positionH relativeFrom="column">
              <wp:posOffset>-833120</wp:posOffset>
            </wp:positionH>
            <wp:positionV relativeFrom="paragraph">
              <wp:posOffset>70485</wp:posOffset>
            </wp:positionV>
            <wp:extent cx="7545705" cy="6035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cover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05" cy="6035040"/>
                    </a:xfrm>
                    <a:prstGeom prst="rect">
                      <a:avLst/>
                    </a:prstGeom>
                  </pic:spPr>
                </pic:pic>
              </a:graphicData>
            </a:graphic>
            <wp14:sizeRelH relativeFrom="page">
              <wp14:pctWidth>0</wp14:pctWidth>
            </wp14:sizeRelH>
            <wp14:sizeRelV relativeFrom="page">
              <wp14:pctHeight>0</wp14:pctHeight>
            </wp14:sizeRelV>
          </wp:anchor>
        </w:drawing>
      </w:r>
    </w:p>
    <w:p w14:paraId="07489504" w14:textId="77777777" w:rsidR="00E074D9" w:rsidRDefault="00E074D9" w:rsidP="007153B8">
      <w:pPr>
        <w:pStyle w:val="PHEBodytext"/>
        <w:spacing w:before="0" w:after="0"/>
        <w:ind w:left="-426"/>
        <w:rPr>
          <w:rFonts w:cs="Arial"/>
        </w:rPr>
      </w:pPr>
    </w:p>
    <w:p w14:paraId="0689653E" w14:textId="77777777" w:rsidR="00E074D9" w:rsidRDefault="00E074D9" w:rsidP="007153B8">
      <w:pPr>
        <w:pStyle w:val="PHEBodytext"/>
        <w:spacing w:before="0" w:after="0"/>
        <w:ind w:left="-426"/>
        <w:rPr>
          <w:rFonts w:cs="Arial"/>
        </w:rPr>
      </w:pPr>
    </w:p>
    <w:p w14:paraId="5FFDA422" w14:textId="77777777" w:rsidR="00E074D9" w:rsidRDefault="00E074D9" w:rsidP="007153B8">
      <w:pPr>
        <w:pStyle w:val="PHEBodytext"/>
        <w:spacing w:before="0" w:after="0"/>
        <w:ind w:left="-426"/>
        <w:rPr>
          <w:rFonts w:cs="Arial"/>
        </w:rPr>
      </w:pPr>
    </w:p>
    <w:p w14:paraId="208E976D" w14:textId="77777777" w:rsidR="00E074D9" w:rsidRDefault="00E074D9" w:rsidP="007153B8">
      <w:pPr>
        <w:pStyle w:val="PHEBodytext"/>
        <w:spacing w:before="0" w:after="0"/>
        <w:ind w:left="-426"/>
        <w:rPr>
          <w:rFonts w:cs="Arial"/>
        </w:rPr>
      </w:pPr>
    </w:p>
    <w:p w14:paraId="1953F9BB" w14:textId="77777777" w:rsidR="00E074D9" w:rsidRDefault="00E074D9" w:rsidP="007153B8">
      <w:pPr>
        <w:pStyle w:val="PHEBodytext"/>
        <w:spacing w:before="0" w:after="0"/>
        <w:ind w:left="-426"/>
        <w:rPr>
          <w:rFonts w:cs="Arial"/>
        </w:rPr>
      </w:pPr>
    </w:p>
    <w:p w14:paraId="45A03933" w14:textId="77777777" w:rsidR="00E074D9" w:rsidRDefault="00E074D9" w:rsidP="007153B8">
      <w:pPr>
        <w:pStyle w:val="PHEBodytext"/>
        <w:spacing w:before="0" w:after="0"/>
        <w:ind w:left="-426"/>
        <w:rPr>
          <w:rFonts w:cs="Arial"/>
        </w:rPr>
      </w:pPr>
    </w:p>
    <w:p w14:paraId="2EBF3132" w14:textId="77777777" w:rsidR="00E074D9" w:rsidRDefault="00E074D9" w:rsidP="007153B8">
      <w:pPr>
        <w:pStyle w:val="PHEBodytext"/>
        <w:spacing w:before="0" w:after="0"/>
        <w:ind w:left="-426"/>
        <w:rPr>
          <w:rFonts w:cs="Arial"/>
        </w:rPr>
      </w:pPr>
    </w:p>
    <w:p w14:paraId="77CF1291" w14:textId="77777777" w:rsidR="00E074D9" w:rsidRDefault="00E074D9" w:rsidP="007153B8">
      <w:pPr>
        <w:pStyle w:val="PHEBodytext"/>
        <w:spacing w:before="0" w:after="0"/>
        <w:ind w:left="-426"/>
        <w:rPr>
          <w:rFonts w:cs="Arial"/>
        </w:rPr>
      </w:pPr>
    </w:p>
    <w:p w14:paraId="5E0848D9" w14:textId="77777777" w:rsidR="00E074D9" w:rsidRDefault="00E074D9" w:rsidP="007153B8">
      <w:pPr>
        <w:pStyle w:val="PHEBodytext"/>
        <w:spacing w:before="0" w:after="0"/>
        <w:ind w:left="-426"/>
        <w:rPr>
          <w:rFonts w:cs="Arial"/>
        </w:rPr>
      </w:pPr>
    </w:p>
    <w:p w14:paraId="7EDF968D" w14:textId="77777777" w:rsidR="00E074D9" w:rsidRDefault="00E074D9" w:rsidP="007153B8">
      <w:pPr>
        <w:pStyle w:val="PHEBodytext"/>
        <w:spacing w:before="0" w:after="0"/>
        <w:ind w:left="-426"/>
        <w:rPr>
          <w:rFonts w:cs="Arial"/>
        </w:rPr>
      </w:pPr>
    </w:p>
    <w:p w14:paraId="629FAABD" w14:textId="77777777" w:rsidR="00E074D9" w:rsidRDefault="00E074D9" w:rsidP="007153B8">
      <w:pPr>
        <w:pStyle w:val="PHEBodytext"/>
        <w:spacing w:before="0" w:after="0"/>
        <w:ind w:left="-426"/>
        <w:rPr>
          <w:rFonts w:cs="Arial"/>
        </w:rPr>
      </w:pPr>
    </w:p>
    <w:p w14:paraId="2265F6E5" w14:textId="77777777" w:rsidR="00E074D9" w:rsidRDefault="00E074D9" w:rsidP="007153B8">
      <w:pPr>
        <w:pStyle w:val="PHEBodytext"/>
        <w:spacing w:before="0" w:after="0"/>
        <w:ind w:left="-426"/>
        <w:rPr>
          <w:rFonts w:cs="Arial"/>
        </w:rPr>
      </w:pPr>
    </w:p>
    <w:p w14:paraId="3CBD67B0" w14:textId="77777777" w:rsidR="00E074D9" w:rsidRDefault="00E074D9" w:rsidP="007153B8">
      <w:pPr>
        <w:pStyle w:val="PHEBodytext"/>
        <w:spacing w:before="0" w:after="0"/>
        <w:ind w:left="-426"/>
        <w:rPr>
          <w:rFonts w:cs="Arial"/>
        </w:rPr>
      </w:pPr>
    </w:p>
    <w:p w14:paraId="493FA321" w14:textId="77777777" w:rsidR="00E074D9" w:rsidRDefault="00E074D9" w:rsidP="007153B8">
      <w:pPr>
        <w:pStyle w:val="PHEBodytext"/>
        <w:spacing w:before="0" w:after="0"/>
        <w:ind w:left="-426"/>
        <w:rPr>
          <w:rFonts w:cs="Arial"/>
        </w:rPr>
      </w:pPr>
    </w:p>
    <w:p w14:paraId="2961FAD0" w14:textId="77777777" w:rsidR="00E074D9" w:rsidRDefault="00E074D9" w:rsidP="007153B8">
      <w:pPr>
        <w:pStyle w:val="PHEBodytext"/>
        <w:spacing w:before="0" w:after="0"/>
        <w:ind w:left="-426"/>
        <w:rPr>
          <w:rFonts w:cs="Arial"/>
        </w:rPr>
      </w:pPr>
    </w:p>
    <w:p w14:paraId="2EDFBE87" w14:textId="77777777" w:rsidR="00E074D9" w:rsidRDefault="00E074D9" w:rsidP="007153B8">
      <w:pPr>
        <w:pStyle w:val="PHEBodytext"/>
        <w:spacing w:before="0" w:after="0"/>
        <w:ind w:left="-426"/>
        <w:rPr>
          <w:rFonts w:cs="Arial"/>
        </w:rPr>
      </w:pPr>
    </w:p>
    <w:p w14:paraId="589D0706" w14:textId="77777777" w:rsidR="00E074D9" w:rsidRDefault="00E074D9" w:rsidP="007153B8">
      <w:pPr>
        <w:pStyle w:val="PHEBodytext"/>
        <w:spacing w:before="0" w:after="0"/>
        <w:ind w:left="-426"/>
        <w:rPr>
          <w:rFonts w:cs="Arial"/>
        </w:rPr>
      </w:pPr>
    </w:p>
    <w:p w14:paraId="1B23640C" w14:textId="77777777" w:rsidR="00E074D9" w:rsidRDefault="00E074D9" w:rsidP="007153B8">
      <w:pPr>
        <w:pStyle w:val="PHEBodytext"/>
        <w:spacing w:before="0" w:after="0"/>
        <w:ind w:left="-426"/>
        <w:rPr>
          <w:rFonts w:cs="Arial"/>
        </w:rPr>
      </w:pPr>
    </w:p>
    <w:p w14:paraId="37C1E54B" w14:textId="77777777" w:rsidR="00E074D9" w:rsidRDefault="00E074D9" w:rsidP="007153B8">
      <w:pPr>
        <w:pStyle w:val="PHEBodytext"/>
        <w:spacing w:before="0" w:after="0"/>
        <w:ind w:left="-426"/>
        <w:rPr>
          <w:rFonts w:cs="Arial"/>
        </w:rPr>
      </w:pPr>
    </w:p>
    <w:p w14:paraId="24864C48" w14:textId="77777777" w:rsidR="00E074D9" w:rsidRDefault="00E074D9" w:rsidP="007153B8">
      <w:pPr>
        <w:pStyle w:val="PHEBodytext"/>
        <w:spacing w:before="0" w:after="0"/>
        <w:ind w:left="-426"/>
        <w:rPr>
          <w:rFonts w:cs="Arial"/>
        </w:rPr>
      </w:pPr>
    </w:p>
    <w:p w14:paraId="4F293E6C" w14:textId="77777777" w:rsidR="00E074D9" w:rsidRDefault="00E074D9" w:rsidP="007153B8">
      <w:pPr>
        <w:pStyle w:val="PHEBodytext"/>
        <w:spacing w:before="0" w:after="0"/>
        <w:ind w:left="-426"/>
        <w:rPr>
          <w:rFonts w:cs="Arial"/>
        </w:rPr>
      </w:pPr>
    </w:p>
    <w:p w14:paraId="7C4C8E05" w14:textId="77777777" w:rsidR="00E074D9" w:rsidRDefault="00E074D9" w:rsidP="007153B8">
      <w:pPr>
        <w:pStyle w:val="PHEBodytext"/>
        <w:spacing w:before="0" w:after="0"/>
        <w:ind w:left="-426"/>
        <w:rPr>
          <w:rFonts w:cs="Arial"/>
        </w:rPr>
      </w:pPr>
    </w:p>
    <w:p w14:paraId="1FF15F63" w14:textId="77777777" w:rsidR="00E074D9" w:rsidRDefault="00E074D9" w:rsidP="007153B8">
      <w:pPr>
        <w:pStyle w:val="PHEBodytext"/>
        <w:spacing w:before="0" w:after="0"/>
        <w:ind w:left="-426"/>
        <w:rPr>
          <w:rFonts w:cs="Arial"/>
        </w:rPr>
      </w:pPr>
    </w:p>
    <w:p w14:paraId="09E51F53" w14:textId="77777777" w:rsidR="00E074D9" w:rsidRDefault="00E074D9" w:rsidP="007153B8">
      <w:pPr>
        <w:pStyle w:val="PHEBodytext"/>
        <w:spacing w:before="0" w:after="0"/>
        <w:ind w:left="-426"/>
        <w:rPr>
          <w:rFonts w:cs="Arial"/>
        </w:rPr>
      </w:pPr>
    </w:p>
    <w:p w14:paraId="35EF7C22" w14:textId="77777777" w:rsidR="00E074D9" w:rsidRDefault="00E074D9" w:rsidP="007153B8">
      <w:pPr>
        <w:pStyle w:val="PHEBodytext"/>
        <w:spacing w:before="0" w:after="0"/>
        <w:ind w:left="-426"/>
        <w:rPr>
          <w:rFonts w:cs="Arial"/>
        </w:rPr>
      </w:pPr>
    </w:p>
    <w:p w14:paraId="3F79FB0B" w14:textId="77777777" w:rsidR="00E074D9" w:rsidRDefault="00E074D9" w:rsidP="007153B8">
      <w:pPr>
        <w:pStyle w:val="PHEBodytext"/>
        <w:spacing w:before="0" w:after="0"/>
        <w:ind w:left="-426"/>
        <w:rPr>
          <w:rFonts w:cs="Arial"/>
        </w:rPr>
      </w:pPr>
    </w:p>
    <w:p w14:paraId="45A0B4E7" w14:textId="77777777" w:rsidR="00E074D9" w:rsidRDefault="00E074D9" w:rsidP="007153B8">
      <w:pPr>
        <w:pStyle w:val="PHEBodytext"/>
        <w:spacing w:before="0" w:after="0"/>
        <w:ind w:left="-426"/>
        <w:rPr>
          <w:rFonts w:cs="Arial"/>
        </w:rPr>
      </w:pPr>
    </w:p>
    <w:p w14:paraId="4148EEF0" w14:textId="77777777" w:rsidR="00E074D9" w:rsidRDefault="00E074D9" w:rsidP="007153B8">
      <w:pPr>
        <w:pStyle w:val="PHEBodytext"/>
        <w:spacing w:before="0" w:after="0"/>
        <w:ind w:left="-426"/>
        <w:rPr>
          <w:rFonts w:cs="Arial"/>
        </w:rPr>
      </w:pPr>
    </w:p>
    <w:p w14:paraId="2603520B" w14:textId="77777777" w:rsidR="00E074D9" w:rsidRDefault="00E074D9" w:rsidP="007153B8">
      <w:pPr>
        <w:pStyle w:val="PHEBodytext"/>
        <w:spacing w:before="0" w:after="0"/>
        <w:ind w:left="-426"/>
        <w:rPr>
          <w:rFonts w:cs="Arial"/>
        </w:rPr>
      </w:pPr>
    </w:p>
    <w:p w14:paraId="686F3634" w14:textId="77777777" w:rsidR="00E074D9" w:rsidRDefault="00E074D9" w:rsidP="007153B8">
      <w:pPr>
        <w:pStyle w:val="PHEBodytext"/>
        <w:spacing w:before="0" w:after="0"/>
        <w:ind w:left="-426"/>
        <w:rPr>
          <w:rFonts w:cs="Arial"/>
        </w:rPr>
      </w:pPr>
    </w:p>
    <w:p w14:paraId="0D7F4A4D" w14:textId="77777777" w:rsidR="00E074D9" w:rsidRDefault="00E074D9" w:rsidP="007153B8">
      <w:pPr>
        <w:pStyle w:val="PHEBodytext"/>
        <w:spacing w:before="0" w:after="0"/>
        <w:ind w:left="-426"/>
        <w:rPr>
          <w:rFonts w:cs="Arial"/>
        </w:rPr>
      </w:pPr>
    </w:p>
    <w:p w14:paraId="6752248B" w14:textId="77777777" w:rsidR="00E074D9" w:rsidRDefault="00E074D9" w:rsidP="007153B8">
      <w:pPr>
        <w:pStyle w:val="PHEBodytext"/>
        <w:spacing w:before="0" w:after="0"/>
        <w:ind w:left="-426"/>
        <w:rPr>
          <w:rFonts w:cs="Arial"/>
        </w:rPr>
      </w:pPr>
    </w:p>
    <w:p w14:paraId="5550C7A7" w14:textId="77777777" w:rsidR="00E074D9" w:rsidRDefault="00E074D9" w:rsidP="007153B8">
      <w:pPr>
        <w:pStyle w:val="PHEBodytext"/>
        <w:spacing w:before="0" w:after="0"/>
        <w:ind w:left="-426"/>
        <w:rPr>
          <w:rFonts w:cs="Arial"/>
        </w:rPr>
      </w:pPr>
    </w:p>
    <w:p w14:paraId="170845BC" w14:textId="77777777" w:rsidR="00910DEA" w:rsidRDefault="00910DEA" w:rsidP="00910DEA">
      <w:pPr>
        <w:pStyle w:val="PHEBodytext"/>
      </w:pPr>
    </w:p>
    <w:p w14:paraId="3367FEA3" w14:textId="77777777" w:rsidR="00DE2F0C" w:rsidRPr="009C2360" w:rsidRDefault="00DE2F0C" w:rsidP="00D561FE">
      <w:pPr>
        <w:pStyle w:val="PHEreportHeading1"/>
      </w:pPr>
      <w:bookmarkStart w:id="0" w:name="_Toc506805745"/>
      <w:r w:rsidRPr="009C2360">
        <w:lastRenderedPageBreak/>
        <w:t>Acknowledgments</w:t>
      </w:r>
      <w:bookmarkEnd w:id="0"/>
    </w:p>
    <w:p w14:paraId="37A075AD" w14:textId="77777777" w:rsidR="004D06E3" w:rsidRPr="009C2360" w:rsidRDefault="004D06E3" w:rsidP="004D06E3">
      <w:pPr>
        <w:pStyle w:val="PHEBodytext"/>
        <w:rPr>
          <w:rFonts w:cs="Arial"/>
        </w:rPr>
      </w:pPr>
      <w:r w:rsidRPr="009C2360">
        <w:rPr>
          <w:rFonts w:cs="Arial"/>
        </w:rPr>
        <w:t>UK Standards for Microbiology Investigations (</w:t>
      </w:r>
      <w:r>
        <w:rPr>
          <w:rFonts w:cs="Arial"/>
        </w:rPr>
        <w:t xml:space="preserve">UK </w:t>
      </w:r>
      <w:r w:rsidRPr="009C2360">
        <w:rPr>
          <w:rFonts w:cs="Arial"/>
        </w:rPr>
        <w:t xml:space="preserve">SMIs) are developed under the auspices of </w:t>
      </w:r>
      <w:r>
        <w:rPr>
          <w:rFonts w:cs="Arial"/>
        </w:rPr>
        <w:t>Public Health England</w:t>
      </w:r>
      <w:r w:rsidRPr="009C2360">
        <w:rPr>
          <w:rFonts w:cs="Arial"/>
        </w:rPr>
        <w:t xml:space="preserve"> (</w:t>
      </w:r>
      <w:r>
        <w:rPr>
          <w:rFonts w:cs="Arial"/>
        </w:rPr>
        <w:t>PHE</w:t>
      </w:r>
      <w:r w:rsidRPr="009C2360">
        <w:rPr>
          <w:rFonts w:cs="Arial"/>
        </w:rPr>
        <w:t xml:space="preserve">) working in partnership with the National Health Service (NHS), Public Health Wales and with the professional organisations whose logos are displayed below and listed on the website </w:t>
      </w:r>
      <w:hyperlink r:id="rId10" w:history="1">
        <w:r w:rsidRPr="005944E3">
          <w:rPr>
            <w:rStyle w:val="Hyperlink"/>
            <w:sz w:val="24"/>
          </w:rPr>
          <w:t>https://www.gov.uk/uk-standards-for-microbiology-investigations-smi-quality-and-consistency-in-clinical-laboratories</w:t>
        </w:r>
      </w:hyperlink>
      <w:r w:rsidRPr="009C2360">
        <w:rPr>
          <w:rFonts w:cs="Arial"/>
          <w:szCs w:val="24"/>
        </w:rPr>
        <w:t>.</w:t>
      </w:r>
      <w:r w:rsidRPr="009C2360">
        <w:rPr>
          <w:rFonts w:cs="Arial"/>
        </w:rPr>
        <w:t xml:space="preserve"> </w:t>
      </w:r>
      <w:r>
        <w:rPr>
          <w:rFonts w:cs="Arial"/>
        </w:rPr>
        <w:t xml:space="preserve">UK </w:t>
      </w:r>
      <w:r w:rsidRPr="009C2360">
        <w:rPr>
          <w:rFonts w:cs="Arial"/>
        </w:rPr>
        <w:t xml:space="preserve">SMIs are developed, reviewed and revised by various working groups which are overseen by a steering committee (see </w:t>
      </w:r>
      <w:hyperlink r:id="rId11" w:history="1">
        <w:r w:rsidRPr="005944E3">
          <w:rPr>
            <w:rStyle w:val="Hyperlink"/>
            <w:sz w:val="24"/>
          </w:rPr>
          <w:t>https://www.gov.uk/government/groups/standards-for-microbiology-investigations-steering-committee</w:t>
        </w:r>
      </w:hyperlink>
      <w:r w:rsidRPr="009C2360">
        <w:rPr>
          <w:rFonts w:cs="Arial"/>
        </w:rPr>
        <w:t>).</w:t>
      </w:r>
    </w:p>
    <w:p w14:paraId="21CF4C1C" w14:textId="77777777" w:rsidR="004D06E3" w:rsidRPr="009C2360" w:rsidRDefault="004D06E3" w:rsidP="004D06E3">
      <w:pPr>
        <w:pStyle w:val="PHEBodytext"/>
        <w:rPr>
          <w:rFonts w:cs="Arial"/>
        </w:rPr>
      </w:pPr>
      <w:r w:rsidRPr="009C2360">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9C2360">
        <w:rPr>
          <w:rFonts w:cs="Arial"/>
        </w:rPr>
        <w:t xml:space="preserve">edical </w:t>
      </w:r>
      <w:r>
        <w:rPr>
          <w:rFonts w:cs="Arial"/>
        </w:rPr>
        <w:t>e</w:t>
      </w:r>
      <w:r w:rsidRPr="009C2360">
        <w:rPr>
          <w:rFonts w:cs="Arial"/>
        </w:rPr>
        <w:t>ditors for editing the medical content.</w:t>
      </w:r>
    </w:p>
    <w:p w14:paraId="28A794FB" w14:textId="77777777" w:rsidR="00790C2B" w:rsidRPr="009C2360" w:rsidRDefault="00790C2B" w:rsidP="00790C2B">
      <w:pPr>
        <w:pStyle w:val="PHEBodytext"/>
        <w:rPr>
          <w:rFonts w:cs="Arial"/>
        </w:rPr>
      </w:pPr>
      <w:r w:rsidRPr="009C2360">
        <w:rPr>
          <w:rFonts w:cs="Arial"/>
        </w:rPr>
        <w:t>For further information please contact us at:</w:t>
      </w:r>
    </w:p>
    <w:p w14:paraId="400B2D9C" w14:textId="77777777" w:rsidR="00790C2B" w:rsidRDefault="00790C2B" w:rsidP="00790C2B">
      <w:pPr>
        <w:pStyle w:val="PHEBodytext"/>
        <w:spacing w:before="0" w:after="0"/>
        <w:rPr>
          <w:rFonts w:cs="Arial"/>
        </w:rPr>
      </w:pPr>
      <w:r w:rsidRPr="009C2360">
        <w:rPr>
          <w:rFonts w:cs="Arial"/>
        </w:rPr>
        <w:t>Standards Unit</w:t>
      </w:r>
    </w:p>
    <w:p w14:paraId="07E19E01" w14:textId="77777777" w:rsidR="001635E1" w:rsidRPr="001635E1" w:rsidRDefault="004D06E3" w:rsidP="00790C2B">
      <w:pPr>
        <w:pStyle w:val="PHEBodytext"/>
        <w:spacing w:before="0" w:after="0"/>
        <w:rPr>
          <w:rFonts w:cs="Arial"/>
        </w:rPr>
      </w:pPr>
      <w:r w:rsidRPr="004D06E3">
        <w:rPr>
          <w:rFonts w:cs="Arial"/>
        </w:rPr>
        <w:t xml:space="preserve">National Infection </w:t>
      </w:r>
      <w:r>
        <w:rPr>
          <w:rFonts w:cs="Arial"/>
        </w:rPr>
        <w:t>S</w:t>
      </w:r>
      <w:r w:rsidRPr="004D06E3">
        <w:rPr>
          <w:rFonts w:cs="Arial"/>
        </w:rPr>
        <w:t>ervice</w:t>
      </w:r>
    </w:p>
    <w:p w14:paraId="75774827" w14:textId="77777777" w:rsidR="00790C2B" w:rsidRPr="009C2360" w:rsidRDefault="009C2360" w:rsidP="00790C2B">
      <w:pPr>
        <w:pStyle w:val="PHEBodytext"/>
        <w:spacing w:before="0" w:after="0"/>
        <w:rPr>
          <w:rFonts w:cs="Arial"/>
        </w:rPr>
      </w:pPr>
      <w:r w:rsidRPr="009C2360">
        <w:rPr>
          <w:rFonts w:cs="Arial"/>
        </w:rPr>
        <w:t>Public Health England</w:t>
      </w:r>
    </w:p>
    <w:p w14:paraId="7C17FE6B" w14:textId="77777777" w:rsidR="00790C2B" w:rsidRPr="009C2360" w:rsidRDefault="00790C2B" w:rsidP="00790C2B">
      <w:pPr>
        <w:pStyle w:val="PHEBodytext"/>
        <w:spacing w:before="0" w:after="0"/>
        <w:rPr>
          <w:rFonts w:cs="Arial"/>
        </w:rPr>
      </w:pPr>
      <w:r w:rsidRPr="009C2360">
        <w:rPr>
          <w:rFonts w:cs="Arial"/>
        </w:rPr>
        <w:t>61 Colindale Avenue</w:t>
      </w:r>
    </w:p>
    <w:p w14:paraId="3F88519F" w14:textId="77777777" w:rsidR="00790C2B" w:rsidRPr="009C2360" w:rsidRDefault="00790C2B" w:rsidP="00790C2B">
      <w:pPr>
        <w:pStyle w:val="PHEBodytext"/>
        <w:spacing w:before="0" w:after="0"/>
        <w:rPr>
          <w:rFonts w:cs="Arial"/>
        </w:rPr>
      </w:pPr>
      <w:r w:rsidRPr="009C2360">
        <w:rPr>
          <w:rFonts w:cs="Arial"/>
        </w:rPr>
        <w:t>London NW9 5EQ</w:t>
      </w:r>
    </w:p>
    <w:p w14:paraId="6BB01940" w14:textId="77777777" w:rsidR="00790C2B" w:rsidRPr="009C2360" w:rsidRDefault="00790C2B" w:rsidP="00790C2B">
      <w:pPr>
        <w:pStyle w:val="PHEBodytext"/>
        <w:rPr>
          <w:rFonts w:cs="Arial"/>
          <w:lang w:val="en-US"/>
        </w:rPr>
      </w:pPr>
      <w:r w:rsidRPr="009C2360">
        <w:rPr>
          <w:rFonts w:cs="Arial"/>
          <w:lang w:val="en-US"/>
        </w:rPr>
        <w:t xml:space="preserve">E-mail: </w:t>
      </w:r>
      <w:hyperlink r:id="rId12" w:history="1">
        <w:r w:rsidR="009C2360" w:rsidRPr="009C2360">
          <w:rPr>
            <w:rStyle w:val="PHEBodyTextHyperlinkChar"/>
            <w:rFonts w:cs="Arial"/>
          </w:rPr>
          <w:t>standards@phe.gov.uk</w:t>
        </w:r>
      </w:hyperlink>
    </w:p>
    <w:p w14:paraId="5DC599F2" w14:textId="77777777" w:rsidR="00790C2B" w:rsidRDefault="00790C2B" w:rsidP="00790C2B">
      <w:pPr>
        <w:pStyle w:val="PHEBodytext"/>
        <w:rPr>
          <w:rStyle w:val="Hyperlink"/>
          <w:sz w:val="24"/>
        </w:rPr>
      </w:pPr>
      <w:r w:rsidRPr="009C2360">
        <w:rPr>
          <w:rFonts w:cs="Arial"/>
          <w:lang w:val="en-US"/>
        </w:rPr>
        <w:t xml:space="preserve">Website: </w:t>
      </w:r>
      <w:hyperlink r:id="rId13" w:history="1">
        <w:r w:rsidR="004D06E3" w:rsidRPr="005944E3">
          <w:rPr>
            <w:rStyle w:val="Hyperlink"/>
            <w:sz w:val="24"/>
          </w:rPr>
          <w:t>https://www.gov.uk/uk-standards-for-microbiology-investigations-smi-quality-and-consistency-in-clinical-laboratories</w:t>
        </w:r>
      </w:hyperlink>
    </w:p>
    <w:p w14:paraId="00AFAFC3" w14:textId="77777777" w:rsidR="00DB7F7B" w:rsidRPr="009C2360" w:rsidRDefault="00DB7F7B" w:rsidP="00790C2B">
      <w:pPr>
        <w:pStyle w:val="PHEBodytext"/>
        <w:rPr>
          <w:rFonts w:cs="Arial"/>
          <w:lang w:val="en-US"/>
        </w:rPr>
      </w:pPr>
      <w:r w:rsidRPr="00AC7116">
        <w:rPr>
          <w:rStyle w:val="Hyperlink"/>
          <w:color w:val="auto"/>
          <w:sz w:val="24"/>
          <w:u w:val="none"/>
        </w:rPr>
        <w:t xml:space="preserve">PHE </w:t>
      </w:r>
      <w:r>
        <w:rPr>
          <w:rStyle w:val="Hyperlink"/>
          <w:color w:val="auto"/>
          <w:sz w:val="24"/>
          <w:u w:val="none"/>
        </w:rPr>
        <w:t>p</w:t>
      </w:r>
      <w:r w:rsidRPr="00AC7116">
        <w:rPr>
          <w:rStyle w:val="Hyperlink"/>
          <w:color w:val="auto"/>
          <w:sz w:val="24"/>
          <w:u w:val="none"/>
        </w:rPr>
        <w:t>ublications gateway number:</w:t>
      </w:r>
      <w:r w:rsidR="00B80DB8">
        <w:rPr>
          <w:rStyle w:val="Hyperlink"/>
          <w:color w:val="auto"/>
          <w:sz w:val="24"/>
          <w:u w:val="none"/>
        </w:rPr>
        <w:t xml:space="preserve"> </w:t>
      </w:r>
      <w:r w:rsidR="00B80DB8" w:rsidRPr="00B80DB8">
        <w:rPr>
          <w:rStyle w:val="Hyperlink"/>
          <w:color w:val="auto"/>
          <w:sz w:val="24"/>
          <w:u w:val="none"/>
        </w:rPr>
        <w:t>2017274</w:t>
      </w:r>
    </w:p>
    <w:p w14:paraId="6EF66CF5" w14:textId="77777777" w:rsidR="007153B8" w:rsidRDefault="00DE2F0C" w:rsidP="00CA5C5D">
      <w:pPr>
        <w:pStyle w:val="PHEBodytext"/>
        <w:rPr>
          <w:rFonts w:cs="Arial"/>
          <w:noProof/>
          <w:color w:val="221E1F"/>
          <w:sz w:val="28"/>
        </w:rPr>
      </w:pPr>
      <w:r w:rsidRPr="009C2360">
        <w:rPr>
          <w:rFonts w:cs="Arial"/>
        </w:rPr>
        <w:t xml:space="preserve">UK Standards for Microbiology Investigations </w:t>
      </w:r>
      <w:r w:rsidR="00753872" w:rsidRPr="009C2360">
        <w:rPr>
          <w:rFonts w:cs="Arial"/>
        </w:rPr>
        <w:t xml:space="preserve">are </w:t>
      </w:r>
      <w:r w:rsidRPr="009C2360">
        <w:rPr>
          <w:rFonts w:cs="Arial"/>
        </w:rPr>
        <w:t>produced in association with:</w:t>
      </w:r>
      <w:r w:rsidR="00687A07" w:rsidRPr="009C2360">
        <w:rPr>
          <w:rFonts w:cs="Arial"/>
          <w:color w:val="221E1F"/>
          <w:sz w:val="28"/>
        </w:rPr>
        <w:t xml:space="preserve"> </w:t>
      </w:r>
    </w:p>
    <w:p w14:paraId="7EBED7C8" w14:textId="77777777" w:rsidR="00FA2EDB" w:rsidRDefault="004D06E3" w:rsidP="00CA5C5D">
      <w:pPr>
        <w:pStyle w:val="PHEBodytext"/>
        <w:rPr>
          <w:rFonts w:cs="Arial"/>
          <w:noProof/>
          <w:color w:val="221E1F"/>
          <w:sz w:val="28"/>
        </w:rPr>
      </w:pPr>
      <w:r>
        <w:rPr>
          <w:rFonts w:cs="Arial"/>
          <w:noProof/>
          <w:color w:val="221E1F"/>
          <w:sz w:val="28"/>
        </w:rPr>
        <w:drawing>
          <wp:inline distT="0" distB="0" distL="0" distR="0" wp14:anchorId="336AC441" wp14:editId="21F7B9C5">
            <wp:extent cx="3985505" cy="35224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5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6999" cy="3523748"/>
                    </a:xfrm>
                    <a:prstGeom prst="rect">
                      <a:avLst/>
                    </a:prstGeom>
                  </pic:spPr>
                </pic:pic>
              </a:graphicData>
            </a:graphic>
          </wp:inline>
        </w:drawing>
      </w:r>
    </w:p>
    <w:p w14:paraId="7A6904DF" w14:textId="77777777" w:rsidR="002C3610" w:rsidRPr="002C3610" w:rsidRDefault="004D06E3" w:rsidP="00CA5C5D">
      <w:pPr>
        <w:pStyle w:val="PHEBodytext"/>
        <w:rPr>
          <w:rFonts w:cs="Arial"/>
          <w:noProof/>
          <w:color w:val="221E1F"/>
          <w:sz w:val="28"/>
        </w:rPr>
      </w:pPr>
      <w:r w:rsidRPr="00236832">
        <w:rPr>
          <w:noProof/>
          <w:sz w:val="20"/>
        </w:rPr>
        <w:t>Logos correct at time of publishing</w:t>
      </w:r>
      <w:r>
        <w:rPr>
          <w:noProof/>
          <w:sz w:val="20"/>
        </w:rPr>
        <w:t>.</w:t>
      </w:r>
    </w:p>
    <w:p w14:paraId="29ECCA89" w14:textId="77777777" w:rsidR="003E3649" w:rsidRPr="00D307AE" w:rsidRDefault="003E3649" w:rsidP="001C6D47">
      <w:pPr>
        <w:pStyle w:val="HPAContents"/>
        <w:rPr>
          <w:rFonts w:cs="Arial"/>
        </w:rPr>
      </w:pPr>
      <w:r w:rsidRPr="00D307AE">
        <w:rPr>
          <w:rFonts w:cs="Arial"/>
        </w:rPr>
        <w:lastRenderedPageBreak/>
        <w:t>Contents</w:t>
      </w:r>
    </w:p>
    <w:p w14:paraId="0ADA2C2A" w14:textId="77777777" w:rsidR="003B09AB" w:rsidRDefault="003A597E">
      <w:pPr>
        <w:pStyle w:val="TOC1"/>
        <w:rPr>
          <w:rFonts w:asciiTheme="minorHAnsi" w:eastAsiaTheme="minorEastAsia" w:hAnsiTheme="minorHAnsi" w:cstheme="minorBidi"/>
          <w:b w:val="0"/>
          <w:bCs w:val="0"/>
          <w:noProof/>
          <w:szCs w:val="22"/>
        </w:rPr>
      </w:pPr>
      <w:r w:rsidRPr="00D307AE">
        <w:rPr>
          <w:rFonts w:cs="Arial"/>
        </w:rPr>
        <w:fldChar w:fldCharType="begin" w:fldLock="1"/>
      </w:r>
      <w:r w:rsidR="0030332F" w:rsidRPr="00D307AE">
        <w:rPr>
          <w:rFonts w:cs="Arial"/>
        </w:rPr>
        <w:instrText xml:space="preserve"> TOC \o "1-1" \f \t "Heading 2,2,Heading 3,3,</w:instrText>
      </w:r>
      <w:r w:rsidR="0030332F">
        <w:rPr>
          <w:rFonts w:cs="Arial"/>
        </w:rPr>
        <w:instrText>*PHE</w:instrText>
      </w:r>
      <w:r w:rsidR="0030332F" w:rsidRPr="00D307AE">
        <w:rPr>
          <w:rFonts w:cs="Arial"/>
        </w:rPr>
        <w:instrText xml:space="preserve"> report Heading 1,1,</w:instrText>
      </w:r>
      <w:r w:rsidR="0030332F">
        <w:rPr>
          <w:rFonts w:cs="Arial"/>
        </w:rPr>
        <w:instrText>*PHE</w:instrText>
      </w:r>
      <w:r w:rsidR="0030332F" w:rsidRPr="00D307AE">
        <w:rPr>
          <w:rFonts w:cs="Arial"/>
        </w:rPr>
        <w:instrText xml:space="preserve"> report heading 2,2,Sub-heading 2x,2,Sub-heading 3x,3,Sub-heading 4,3" </w:instrText>
      </w:r>
      <w:r w:rsidRPr="00D307AE">
        <w:rPr>
          <w:rFonts w:cs="Arial"/>
        </w:rPr>
        <w:fldChar w:fldCharType="separate"/>
      </w:r>
      <w:r w:rsidR="003B09AB">
        <w:rPr>
          <w:noProof/>
        </w:rPr>
        <w:t>Acknowledgments</w:t>
      </w:r>
      <w:r w:rsidR="003B09AB">
        <w:rPr>
          <w:noProof/>
        </w:rPr>
        <w:tab/>
      </w:r>
      <w:r w:rsidR="003B09AB">
        <w:rPr>
          <w:noProof/>
        </w:rPr>
        <w:fldChar w:fldCharType="begin" w:fldLock="1"/>
      </w:r>
      <w:r w:rsidR="003B09AB">
        <w:rPr>
          <w:noProof/>
        </w:rPr>
        <w:instrText xml:space="preserve"> PAGEREF _Toc506805745 \h </w:instrText>
      </w:r>
      <w:r w:rsidR="003B09AB">
        <w:rPr>
          <w:noProof/>
        </w:rPr>
      </w:r>
      <w:r w:rsidR="003B09AB">
        <w:rPr>
          <w:noProof/>
        </w:rPr>
        <w:fldChar w:fldCharType="separate"/>
      </w:r>
      <w:r w:rsidR="00DD5D95">
        <w:rPr>
          <w:noProof/>
        </w:rPr>
        <w:t>2</w:t>
      </w:r>
      <w:r w:rsidR="003B09AB">
        <w:rPr>
          <w:noProof/>
        </w:rPr>
        <w:fldChar w:fldCharType="end"/>
      </w:r>
    </w:p>
    <w:p w14:paraId="6EDD0D17" w14:textId="77777777" w:rsidR="003B09AB" w:rsidRDefault="003B09AB">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_Toc506805746 \h </w:instrText>
      </w:r>
      <w:r>
        <w:rPr>
          <w:noProof/>
        </w:rPr>
      </w:r>
      <w:r>
        <w:rPr>
          <w:noProof/>
        </w:rPr>
        <w:fldChar w:fldCharType="separate"/>
      </w:r>
      <w:r w:rsidR="00DD5D95">
        <w:rPr>
          <w:noProof/>
        </w:rPr>
        <w:t>4</w:t>
      </w:r>
      <w:r>
        <w:rPr>
          <w:noProof/>
        </w:rPr>
        <w:fldChar w:fldCharType="end"/>
      </w:r>
    </w:p>
    <w:p w14:paraId="314C1049" w14:textId="77777777" w:rsidR="003B09AB" w:rsidRDefault="003B09AB">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_Toc506805747 \h </w:instrText>
      </w:r>
      <w:r>
        <w:rPr>
          <w:noProof/>
        </w:rPr>
      </w:r>
      <w:r>
        <w:rPr>
          <w:noProof/>
        </w:rPr>
        <w:fldChar w:fldCharType="separate"/>
      </w:r>
      <w:r w:rsidR="00DD5D95">
        <w:rPr>
          <w:noProof/>
        </w:rPr>
        <w:t>5</w:t>
      </w:r>
      <w:r>
        <w:rPr>
          <w:noProof/>
        </w:rPr>
        <w:fldChar w:fldCharType="end"/>
      </w:r>
    </w:p>
    <w:p w14:paraId="4E198DC5" w14:textId="77777777" w:rsidR="003B09AB" w:rsidRDefault="003B09AB">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_Toc506805748 \h </w:instrText>
      </w:r>
      <w:r>
        <w:rPr>
          <w:noProof/>
        </w:rPr>
      </w:r>
      <w:r>
        <w:rPr>
          <w:noProof/>
        </w:rPr>
        <w:fldChar w:fldCharType="separate"/>
      </w:r>
      <w:r w:rsidR="00DD5D95">
        <w:rPr>
          <w:noProof/>
        </w:rPr>
        <w:t>8</w:t>
      </w:r>
      <w:r>
        <w:rPr>
          <w:noProof/>
        </w:rPr>
        <w:fldChar w:fldCharType="end"/>
      </w:r>
    </w:p>
    <w:p w14:paraId="4560A2D2" w14:textId="77777777" w:rsidR="003B09AB" w:rsidRDefault="003B09AB">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_Toc506805749 \h </w:instrText>
      </w:r>
      <w:r>
        <w:rPr>
          <w:noProof/>
        </w:rPr>
      </w:r>
      <w:r>
        <w:rPr>
          <w:noProof/>
        </w:rPr>
        <w:fldChar w:fldCharType="separate"/>
      </w:r>
      <w:r w:rsidR="00DD5D95">
        <w:rPr>
          <w:noProof/>
        </w:rPr>
        <w:t>8</w:t>
      </w:r>
      <w:r>
        <w:rPr>
          <w:noProof/>
        </w:rPr>
        <w:fldChar w:fldCharType="end"/>
      </w:r>
    </w:p>
    <w:p w14:paraId="27532D7B" w14:textId="77777777" w:rsidR="003B09AB" w:rsidRDefault="003B09AB">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General considerations</w:t>
      </w:r>
      <w:r>
        <w:rPr>
          <w:noProof/>
        </w:rPr>
        <w:tab/>
      </w:r>
      <w:r>
        <w:rPr>
          <w:noProof/>
        </w:rPr>
        <w:fldChar w:fldCharType="begin" w:fldLock="1"/>
      </w:r>
      <w:r>
        <w:rPr>
          <w:noProof/>
        </w:rPr>
        <w:instrText xml:space="preserve"> PAGEREF _Toc506805750 \h </w:instrText>
      </w:r>
      <w:r>
        <w:rPr>
          <w:noProof/>
        </w:rPr>
      </w:r>
      <w:r>
        <w:rPr>
          <w:noProof/>
        </w:rPr>
        <w:fldChar w:fldCharType="separate"/>
      </w:r>
      <w:r w:rsidR="00DD5D95">
        <w:rPr>
          <w:noProof/>
        </w:rPr>
        <w:t>10</w:t>
      </w:r>
      <w:r>
        <w:rPr>
          <w:noProof/>
        </w:rPr>
        <w:fldChar w:fldCharType="end"/>
      </w:r>
    </w:p>
    <w:p w14:paraId="3D047D55" w14:textId="77777777" w:rsidR="003B09AB" w:rsidRDefault="003B09AB">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processing</w:t>
      </w:r>
      <w:r>
        <w:rPr>
          <w:noProof/>
        </w:rPr>
        <w:tab/>
      </w:r>
      <w:r>
        <w:rPr>
          <w:noProof/>
        </w:rPr>
        <w:fldChar w:fldCharType="begin" w:fldLock="1"/>
      </w:r>
      <w:r>
        <w:rPr>
          <w:noProof/>
        </w:rPr>
        <w:instrText xml:space="preserve"> PAGEREF _Toc506805751 \h </w:instrText>
      </w:r>
      <w:r>
        <w:rPr>
          <w:noProof/>
        </w:rPr>
      </w:r>
      <w:r>
        <w:rPr>
          <w:noProof/>
        </w:rPr>
        <w:fldChar w:fldCharType="separate"/>
      </w:r>
      <w:r w:rsidR="00DD5D95">
        <w:rPr>
          <w:noProof/>
        </w:rPr>
        <w:t>11</w:t>
      </w:r>
      <w:r>
        <w:rPr>
          <w:noProof/>
        </w:rPr>
        <w:fldChar w:fldCharType="end"/>
      </w:r>
    </w:p>
    <w:p w14:paraId="704901D0" w14:textId="77777777" w:rsidR="003B09AB" w:rsidRDefault="003B09AB">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Handling of master mixes</w:t>
      </w:r>
      <w:r>
        <w:rPr>
          <w:noProof/>
        </w:rPr>
        <w:tab/>
      </w:r>
      <w:r>
        <w:rPr>
          <w:noProof/>
        </w:rPr>
        <w:fldChar w:fldCharType="begin" w:fldLock="1"/>
      </w:r>
      <w:r>
        <w:rPr>
          <w:noProof/>
        </w:rPr>
        <w:instrText xml:space="preserve"> PAGEREF _Toc506805752 \h </w:instrText>
      </w:r>
      <w:r>
        <w:rPr>
          <w:noProof/>
        </w:rPr>
      </w:r>
      <w:r>
        <w:rPr>
          <w:noProof/>
        </w:rPr>
        <w:fldChar w:fldCharType="separate"/>
      </w:r>
      <w:r w:rsidR="00DD5D95">
        <w:rPr>
          <w:noProof/>
        </w:rPr>
        <w:t>13</w:t>
      </w:r>
      <w:r>
        <w:rPr>
          <w:noProof/>
        </w:rPr>
        <w:fldChar w:fldCharType="end"/>
      </w:r>
    </w:p>
    <w:p w14:paraId="3BD783E5" w14:textId="77777777" w:rsidR="003B09AB" w:rsidRDefault="003B09AB">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Selection of assay controls</w:t>
      </w:r>
      <w:r>
        <w:rPr>
          <w:noProof/>
        </w:rPr>
        <w:tab/>
      </w:r>
      <w:r>
        <w:rPr>
          <w:noProof/>
        </w:rPr>
        <w:fldChar w:fldCharType="begin" w:fldLock="1"/>
      </w:r>
      <w:r>
        <w:rPr>
          <w:noProof/>
        </w:rPr>
        <w:instrText xml:space="preserve"> PAGEREF _Toc506805753 \h </w:instrText>
      </w:r>
      <w:r>
        <w:rPr>
          <w:noProof/>
        </w:rPr>
      </w:r>
      <w:r>
        <w:rPr>
          <w:noProof/>
        </w:rPr>
        <w:fldChar w:fldCharType="separate"/>
      </w:r>
      <w:r w:rsidR="00DD5D95">
        <w:rPr>
          <w:noProof/>
        </w:rPr>
        <w:t>13</w:t>
      </w:r>
      <w:r>
        <w:rPr>
          <w:noProof/>
        </w:rPr>
        <w:fldChar w:fldCharType="end"/>
      </w:r>
    </w:p>
    <w:p w14:paraId="55EBC148" w14:textId="77777777" w:rsidR="003B09AB" w:rsidRDefault="003B09AB">
      <w:pPr>
        <w:pStyle w:val="TOC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Other considerations to avoid contamination</w:t>
      </w:r>
      <w:r>
        <w:rPr>
          <w:noProof/>
        </w:rPr>
        <w:tab/>
      </w:r>
      <w:r>
        <w:rPr>
          <w:noProof/>
        </w:rPr>
        <w:fldChar w:fldCharType="begin" w:fldLock="1"/>
      </w:r>
      <w:r>
        <w:rPr>
          <w:noProof/>
        </w:rPr>
        <w:instrText xml:space="preserve"> PAGEREF _Toc506805754 \h </w:instrText>
      </w:r>
      <w:r>
        <w:rPr>
          <w:noProof/>
        </w:rPr>
      </w:r>
      <w:r>
        <w:rPr>
          <w:noProof/>
        </w:rPr>
        <w:fldChar w:fldCharType="separate"/>
      </w:r>
      <w:r w:rsidR="00DD5D95">
        <w:rPr>
          <w:noProof/>
        </w:rPr>
        <w:t>14</w:t>
      </w:r>
      <w:r>
        <w:rPr>
          <w:noProof/>
        </w:rPr>
        <w:fldChar w:fldCharType="end"/>
      </w:r>
    </w:p>
    <w:p w14:paraId="5062BFDF" w14:textId="77777777" w:rsidR="003B09AB" w:rsidRDefault="003B09AB">
      <w:pPr>
        <w:pStyle w:val="TOC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Quality assurance</w:t>
      </w:r>
      <w:r>
        <w:rPr>
          <w:noProof/>
        </w:rPr>
        <w:tab/>
      </w:r>
      <w:r>
        <w:rPr>
          <w:noProof/>
        </w:rPr>
        <w:fldChar w:fldCharType="begin" w:fldLock="1"/>
      </w:r>
      <w:r>
        <w:rPr>
          <w:noProof/>
        </w:rPr>
        <w:instrText xml:space="preserve"> PAGEREF _Toc506805755 \h </w:instrText>
      </w:r>
      <w:r>
        <w:rPr>
          <w:noProof/>
        </w:rPr>
      </w:r>
      <w:r>
        <w:rPr>
          <w:noProof/>
        </w:rPr>
        <w:fldChar w:fldCharType="separate"/>
      </w:r>
      <w:r w:rsidR="00DD5D95">
        <w:rPr>
          <w:noProof/>
        </w:rPr>
        <w:t>15</w:t>
      </w:r>
      <w:r>
        <w:rPr>
          <w:noProof/>
        </w:rPr>
        <w:fldChar w:fldCharType="end"/>
      </w:r>
    </w:p>
    <w:p w14:paraId="7767AA3F" w14:textId="19011D73" w:rsidR="003B09AB" w:rsidRDefault="003B09AB">
      <w:pPr>
        <w:pStyle w:val="TOC1"/>
        <w:rPr>
          <w:rFonts w:asciiTheme="minorHAnsi" w:eastAsiaTheme="minorEastAsia" w:hAnsiTheme="minorHAnsi" w:cstheme="minorBidi"/>
          <w:b w:val="0"/>
          <w:bCs w:val="0"/>
          <w:noProof/>
          <w:szCs w:val="22"/>
        </w:rPr>
      </w:pPr>
      <w:r>
        <w:rPr>
          <w:noProof/>
        </w:rPr>
        <w:t>Appendix: Diagram showing workflow in a PCR laboratory</w:t>
      </w:r>
      <w:r>
        <w:rPr>
          <w:noProof/>
        </w:rPr>
        <w:tab/>
      </w:r>
      <w:r>
        <w:rPr>
          <w:noProof/>
        </w:rPr>
        <w:fldChar w:fldCharType="begin" w:fldLock="1"/>
      </w:r>
      <w:r>
        <w:rPr>
          <w:noProof/>
        </w:rPr>
        <w:instrText xml:space="preserve"> PAGEREF _Toc506805756 \h </w:instrText>
      </w:r>
      <w:r>
        <w:rPr>
          <w:noProof/>
        </w:rPr>
      </w:r>
      <w:r>
        <w:rPr>
          <w:noProof/>
        </w:rPr>
        <w:fldChar w:fldCharType="separate"/>
      </w:r>
      <w:r w:rsidR="00DD5D95">
        <w:rPr>
          <w:noProof/>
        </w:rPr>
        <w:t>17</w:t>
      </w:r>
      <w:r>
        <w:rPr>
          <w:noProof/>
        </w:rPr>
        <w:fldChar w:fldCharType="end"/>
      </w:r>
    </w:p>
    <w:p w14:paraId="5EFB23BA" w14:textId="77777777" w:rsidR="003B09AB" w:rsidRDefault="003B09AB">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_Toc506805757 \h </w:instrText>
      </w:r>
      <w:r>
        <w:rPr>
          <w:noProof/>
        </w:rPr>
      </w:r>
      <w:r>
        <w:rPr>
          <w:noProof/>
        </w:rPr>
        <w:fldChar w:fldCharType="separate"/>
      </w:r>
      <w:r w:rsidR="00DD5D95">
        <w:rPr>
          <w:noProof/>
        </w:rPr>
        <w:t>18</w:t>
      </w:r>
      <w:r>
        <w:rPr>
          <w:noProof/>
        </w:rPr>
        <w:fldChar w:fldCharType="end"/>
      </w:r>
    </w:p>
    <w:p w14:paraId="03931060" w14:textId="77777777" w:rsidR="00D307AE" w:rsidRPr="005E0492" w:rsidRDefault="003A597E" w:rsidP="0030332F">
      <w:pPr>
        <w:pStyle w:val="TOC1"/>
        <w:rPr>
          <w:rFonts w:ascii="Calibri" w:hAnsi="Calibri"/>
          <w:b w:val="0"/>
          <w:bCs w:val="0"/>
          <w:caps/>
          <w:noProof/>
          <w:szCs w:val="22"/>
        </w:rPr>
      </w:pPr>
      <w:r w:rsidRPr="00D307AE">
        <w:rPr>
          <w:rFonts w:cs="Arial"/>
        </w:rPr>
        <w:fldChar w:fldCharType="end"/>
      </w:r>
      <w:r w:rsidRPr="00D307AE">
        <w:rPr>
          <w:rFonts w:cs="Arial"/>
          <w:caps/>
        </w:rPr>
        <w:fldChar w:fldCharType="begin" w:fldLock="1"/>
      </w:r>
      <w:r w:rsidR="005B5044" w:rsidRPr="00D307AE">
        <w:rPr>
          <w:rFonts w:cs="Arial"/>
        </w:rPr>
        <w:instrText xml:space="preserve"> TOC \o "1-1" \f \t "Heading 2,2,Heading 3,3,HPA report Heading 1,1,HPA report heading 2,2,Sub-heading 2x,2,Sub-heading 3x,3,Sub-heading 4,3" </w:instrText>
      </w:r>
      <w:r w:rsidRPr="00D307AE">
        <w:rPr>
          <w:rFonts w:cs="Arial"/>
          <w:caps/>
        </w:rPr>
        <w:fldChar w:fldCharType="separate"/>
      </w:r>
    </w:p>
    <w:p w14:paraId="3BE7EE38" w14:textId="77777777" w:rsidR="006671BD" w:rsidRDefault="003A597E" w:rsidP="006671BD">
      <w:pPr>
        <w:pStyle w:val="PHEBodytext"/>
      </w:pPr>
      <w:r w:rsidRPr="00D307AE">
        <w:rPr>
          <w:rFonts w:cs="Arial"/>
        </w:rPr>
        <w:fldChar w:fldCharType="end"/>
      </w:r>
    </w:p>
    <w:p w14:paraId="4BAAAECA" w14:textId="77777777" w:rsidR="00A212E2" w:rsidRDefault="00A212E2" w:rsidP="006671BD">
      <w:pPr>
        <w:pStyle w:val="PHEBodytext"/>
      </w:pPr>
    </w:p>
    <w:p w14:paraId="6E004A0E" w14:textId="77777777" w:rsidR="00A212E2" w:rsidRDefault="00A212E2" w:rsidP="006671BD">
      <w:pPr>
        <w:pStyle w:val="PHEBodytext"/>
      </w:pPr>
    </w:p>
    <w:p w14:paraId="1C25F0A7" w14:textId="77777777" w:rsidR="00BD0CA3" w:rsidRDefault="00BD0CA3" w:rsidP="006671BD">
      <w:pPr>
        <w:pStyle w:val="PHEBodytext"/>
        <w:rPr>
          <w:sz w:val="22"/>
          <w:szCs w:val="22"/>
        </w:rPr>
      </w:pPr>
    </w:p>
    <w:p w14:paraId="768DE9FE" w14:textId="77777777" w:rsidR="00BD0CA3" w:rsidRDefault="00BD0CA3" w:rsidP="006671BD">
      <w:pPr>
        <w:pStyle w:val="PHEBodytext"/>
        <w:rPr>
          <w:sz w:val="22"/>
          <w:szCs w:val="22"/>
        </w:rPr>
      </w:pPr>
    </w:p>
    <w:p w14:paraId="3D569F5F" w14:textId="77777777" w:rsidR="00BD0CA3" w:rsidRDefault="00BD0CA3" w:rsidP="006671BD">
      <w:pPr>
        <w:pStyle w:val="PHEBodytext"/>
        <w:rPr>
          <w:sz w:val="22"/>
          <w:szCs w:val="22"/>
        </w:rPr>
      </w:pPr>
    </w:p>
    <w:p w14:paraId="3F2CE125" w14:textId="77777777" w:rsidR="00BD0CA3" w:rsidRDefault="00BD0CA3" w:rsidP="006671BD">
      <w:pPr>
        <w:pStyle w:val="PHEBodytext"/>
        <w:rPr>
          <w:sz w:val="22"/>
          <w:szCs w:val="22"/>
        </w:rPr>
      </w:pPr>
    </w:p>
    <w:p w14:paraId="37C615EB" w14:textId="77777777" w:rsidR="00BD0CA3" w:rsidRDefault="00BD0CA3" w:rsidP="006671BD">
      <w:pPr>
        <w:pStyle w:val="PHEBodytext"/>
        <w:rPr>
          <w:sz w:val="22"/>
          <w:szCs w:val="22"/>
        </w:rPr>
      </w:pPr>
    </w:p>
    <w:p w14:paraId="4543AB2B" w14:textId="77777777" w:rsidR="00915D07" w:rsidRDefault="00915D07" w:rsidP="006671BD">
      <w:pPr>
        <w:pStyle w:val="PHEBodytext"/>
        <w:rPr>
          <w:sz w:val="22"/>
          <w:szCs w:val="22"/>
        </w:rPr>
      </w:pPr>
    </w:p>
    <w:p w14:paraId="500A5F72" w14:textId="77777777" w:rsidR="00915D07" w:rsidRDefault="00915D07" w:rsidP="006671BD">
      <w:pPr>
        <w:pStyle w:val="PHEBodytext"/>
        <w:rPr>
          <w:sz w:val="22"/>
          <w:szCs w:val="22"/>
        </w:rPr>
      </w:pPr>
    </w:p>
    <w:p w14:paraId="38FC758D" w14:textId="77777777" w:rsidR="00915D07" w:rsidRDefault="00915D07" w:rsidP="006671BD">
      <w:pPr>
        <w:pStyle w:val="PHEBodytext"/>
        <w:rPr>
          <w:sz w:val="22"/>
          <w:szCs w:val="22"/>
        </w:rPr>
      </w:pPr>
    </w:p>
    <w:p w14:paraId="48367398" w14:textId="77777777" w:rsidR="007153B8" w:rsidRDefault="007153B8" w:rsidP="006671BD">
      <w:pPr>
        <w:pStyle w:val="PHEBodytext"/>
        <w:rPr>
          <w:sz w:val="22"/>
          <w:szCs w:val="22"/>
        </w:rPr>
      </w:pPr>
    </w:p>
    <w:p w14:paraId="6BFD7219" w14:textId="77777777" w:rsidR="007153B8" w:rsidRDefault="007153B8" w:rsidP="006671BD">
      <w:pPr>
        <w:pStyle w:val="PHEBodytext"/>
        <w:rPr>
          <w:sz w:val="22"/>
          <w:szCs w:val="22"/>
        </w:rPr>
      </w:pPr>
    </w:p>
    <w:p w14:paraId="750F07CA" w14:textId="77777777" w:rsidR="007153B8" w:rsidRPr="007153B8" w:rsidRDefault="007153B8" w:rsidP="006671BD">
      <w:pPr>
        <w:pStyle w:val="PHEBodytext"/>
        <w:rPr>
          <w:sz w:val="22"/>
          <w:szCs w:val="22"/>
        </w:rPr>
      </w:pPr>
    </w:p>
    <w:p w14:paraId="5CAAC100" w14:textId="77777777" w:rsidR="00BD0CA3" w:rsidRDefault="00BD0CA3" w:rsidP="00BD0CA3">
      <w:pPr>
        <w:ind w:left="0" w:firstLine="0"/>
      </w:pPr>
    </w:p>
    <w:p w14:paraId="1DBAF724" w14:textId="77777777" w:rsidR="00F8458A" w:rsidRDefault="004D06E3" w:rsidP="00F8458A">
      <w:pPr>
        <w:pStyle w:val="PHEBodytext"/>
        <w:rPr>
          <w:sz w:val="22"/>
          <w:szCs w:val="22"/>
        </w:rPr>
      </w:pPr>
      <w:r>
        <w:rPr>
          <w:noProof/>
        </w:rPr>
        <w:drawing>
          <wp:inline distT="0" distB="0" distL="0" distR="0" wp14:anchorId="379E9156" wp14:editId="593A50C1">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14:paraId="28A7E743" w14:textId="77777777" w:rsidR="00DE2F0C" w:rsidRPr="000079C4" w:rsidRDefault="002D3CCE" w:rsidP="00F8458A">
      <w:pPr>
        <w:pStyle w:val="PHEreportHeading1"/>
      </w:pPr>
      <w:r>
        <w:rPr>
          <w:sz w:val="22"/>
          <w:szCs w:val="22"/>
        </w:rPr>
        <w:br w:type="page"/>
      </w:r>
      <w:bookmarkStart w:id="1" w:name="_Toc506805746"/>
      <w:bookmarkStart w:id="2" w:name="_GoBack"/>
      <w:bookmarkEnd w:id="2"/>
      <w:r w:rsidR="00B80DB8">
        <w:lastRenderedPageBreak/>
        <w:t>Amendment t</w:t>
      </w:r>
      <w:r w:rsidR="00DE2F0C" w:rsidRPr="000079C4">
        <w:t>able</w:t>
      </w:r>
      <w:bookmarkEnd w:id="1"/>
    </w:p>
    <w:p w14:paraId="4C5FBE3F" w14:textId="77777777" w:rsidR="00DE2F0C" w:rsidRPr="000079C4" w:rsidRDefault="00DE2F0C" w:rsidP="00DE2F0C">
      <w:pPr>
        <w:pStyle w:val="PHEBodytext"/>
        <w:rPr>
          <w:rFonts w:cs="Arial"/>
        </w:rPr>
      </w:pPr>
      <w:r w:rsidRPr="000079C4">
        <w:rPr>
          <w:rFonts w:cs="Arial"/>
        </w:rPr>
        <w:t xml:space="preserve">Each </w:t>
      </w:r>
      <w:r w:rsidR="004D06E3">
        <w:rPr>
          <w:rFonts w:cs="Arial"/>
        </w:rPr>
        <w:t xml:space="preserve">UK </w:t>
      </w:r>
      <w:r w:rsidRPr="000079C4">
        <w:rPr>
          <w:rFonts w:cs="Arial"/>
        </w:rPr>
        <w:t>SMI method has an individual record of amendments</w:t>
      </w:r>
      <w:r w:rsidR="004066F8" w:rsidRPr="000079C4">
        <w:rPr>
          <w:rFonts w:cs="Arial"/>
        </w:rPr>
        <w:t xml:space="preserve">. </w:t>
      </w:r>
      <w:r w:rsidRPr="000079C4">
        <w:rPr>
          <w:rFonts w:cs="Arial"/>
        </w:rPr>
        <w:t>The current amendments are listed on this page</w:t>
      </w:r>
      <w:r w:rsidR="004066F8" w:rsidRPr="000079C4">
        <w:rPr>
          <w:rFonts w:cs="Arial"/>
        </w:rPr>
        <w:t xml:space="preserve">. </w:t>
      </w:r>
      <w:r w:rsidRPr="000079C4">
        <w:rPr>
          <w:rFonts w:cs="Arial"/>
        </w:rPr>
        <w:t xml:space="preserve">The amendment history is available from </w:t>
      </w:r>
      <w:hyperlink r:id="rId16" w:history="1">
        <w:r w:rsidR="009A2521" w:rsidRPr="00B4128C">
          <w:rPr>
            <w:rStyle w:val="PHEBodyTextHyperlinkChar"/>
          </w:rPr>
          <w:t>standards@phe.gov.uk</w:t>
        </w:r>
      </w:hyperlink>
      <w:r w:rsidRPr="000079C4">
        <w:rPr>
          <w:rFonts w:cs="Arial"/>
        </w:rPr>
        <w:t>.</w:t>
      </w:r>
    </w:p>
    <w:p w14:paraId="1012469D" w14:textId="77777777" w:rsidR="00DE2F0C" w:rsidRPr="000079C4" w:rsidRDefault="00DE2F0C" w:rsidP="00DE2F0C">
      <w:pPr>
        <w:pStyle w:val="PHEBodytext"/>
        <w:rPr>
          <w:rFonts w:cs="Arial"/>
        </w:rPr>
      </w:pPr>
      <w:r w:rsidRPr="000079C4">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4D06E3" w:rsidRPr="000079C4" w14:paraId="79A9D3DB" w14:textId="77777777"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282BB2B4" w14:textId="77777777" w:rsidR="004D06E3" w:rsidRPr="00CB3B85" w:rsidRDefault="004D06E3" w:rsidP="0002112F">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2F7369AD" w14:textId="20A353F5" w:rsidR="004D06E3" w:rsidRPr="007931BE" w:rsidRDefault="0073067B" w:rsidP="00E808A2">
            <w:pPr>
              <w:pStyle w:val="PHEBodytext"/>
              <w:rPr>
                <w:rFonts w:cs="Arial"/>
              </w:rPr>
            </w:pPr>
            <w:r>
              <w:rPr>
                <w:rFonts w:cs="Arial"/>
              </w:rPr>
              <w:t>10/19.02.18</w:t>
            </w:r>
          </w:p>
        </w:tc>
      </w:tr>
      <w:tr w:rsidR="004D06E3" w:rsidRPr="000079C4" w14:paraId="5FE4B58F" w14:textId="77777777"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033179BD" w14:textId="77777777" w:rsidR="004D06E3" w:rsidRPr="00CB3B85" w:rsidRDefault="004D06E3" w:rsidP="0002112F">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1C1800D5" w14:textId="5E519E98" w:rsidR="004D06E3" w:rsidRPr="006C7F93" w:rsidRDefault="0073067B" w:rsidP="00A55C14">
            <w:pPr>
              <w:pStyle w:val="PHEBodytext"/>
              <w:rPr>
                <w:rFonts w:cs="Arial"/>
              </w:rPr>
            </w:pPr>
            <w:r>
              <w:rPr>
                <w:rFonts w:cs="Arial"/>
              </w:rPr>
              <w:t>4.4</w:t>
            </w:r>
          </w:p>
        </w:tc>
      </w:tr>
      <w:tr w:rsidR="004D06E3" w:rsidRPr="000079C4" w14:paraId="2A0457C0" w14:textId="77777777"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6416190C" w14:textId="77777777" w:rsidR="004D06E3" w:rsidRPr="00CB3B85" w:rsidRDefault="004D06E3" w:rsidP="0002112F">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3ECBC2FE" w14:textId="7C3E040F" w:rsidR="004D06E3" w:rsidRPr="006C7F93" w:rsidRDefault="0073067B" w:rsidP="00A55C14">
            <w:pPr>
              <w:pStyle w:val="PHEBodytext"/>
              <w:rPr>
                <w:rFonts w:cs="Arial"/>
              </w:rPr>
            </w:pPr>
            <w:r>
              <w:rPr>
                <w:rFonts w:cs="Arial"/>
              </w:rPr>
              <w:t>5</w:t>
            </w:r>
          </w:p>
        </w:tc>
      </w:tr>
      <w:tr w:rsidR="004D06E3" w:rsidRPr="000079C4" w14:paraId="563126B6" w14:textId="77777777"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14:paraId="03A7338D" w14:textId="77777777" w:rsidR="004D06E3" w:rsidRPr="00CB3B85" w:rsidRDefault="004D06E3" w:rsidP="0002112F">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407150AF" w14:textId="3999DA1F" w:rsidR="004D06E3" w:rsidRPr="006C7F93" w:rsidRDefault="0073067B" w:rsidP="00A55C14">
            <w:pPr>
              <w:pStyle w:val="PHEBodytext"/>
              <w:rPr>
                <w:rFonts w:cs="Arial"/>
              </w:rPr>
            </w:pPr>
            <w:r>
              <w:rPr>
                <w:rFonts w:cs="Arial"/>
              </w:rPr>
              <w:t>19.02.21</w:t>
            </w:r>
          </w:p>
        </w:tc>
      </w:tr>
      <w:tr w:rsidR="00CF2444" w:rsidRPr="000079C4" w14:paraId="22498598" w14:textId="77777777"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36A6E57D" w14:textId="77777777" w:rsidR="00CF2444" w:rsidRPr="007931BE" w:rsidRDefault="00A106A5" w:rsidP="00A106A5">
            <w:pPr>
              <w:pStyle w:val="PHEBodytext"/>
              <w:rPr>
                <w:rFonts w:cs="Arial"/>
                <w:b/>
              </w:rPr>
            </w:pPr>
            <w:r w:rsidRPr="007931B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3BBED04A" w14:textId="77777777" w:rsidR="00CF2444" w:rsidRPr="007931BE" w:rsidRDefault="00CF2444" w:rsidP="006807AA">
            <w:pPr>
              <w:pStyle w:val="PHEBodytext"/>
              <w:rPr>
                <w:rFonts w:cs="Arial"/>
                <w:b/>
              </w:rPr>
            </w:pPr>
            <w:r w:rsidRPr="007931BE">
              <w:rPr>
                <w:rFonts w:cs="Arial"/>
                <w:b/>
              </w:rPr>
              <w:t>Amendment</w:t>
            </w:r>
          </w:p>
        </w:tc>
      </w:tr>
      <w:tr w:rsidR="00CF2444" w:rsidRPr="000079C4" w14:paraId="726D6A52" w14:textId="77777777"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996E278" w14:textId="77777777" w:rsidR="00CF2444" w:rsidRPr="007931BE" w:rsidRDefault="005D2231" w:rsidP="006807AA">
            <w:pPr>
              <w:pStyle w:val="PHEBodytext"/>
              <w:rPr>
                <w:rFonts w:cs="Arial"/>
              </w:rPr>
            </w:pPr>
            <w:r w:rsidRPr="007931BE">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2C7B1606" w14:textId="77777777" w:rsidR="00277D2F" w:rsidRPr="00277D2F" w:rsidRDefault="00277D2F" w:rsidP="00277D2F">
            <w:pPr>
              <w:pStyle w:val="PHEBodytext"/>
              <w:rPr>
                <w:rFonts w:cs="Arial"/>
              </w:rPr>
            </w:pPr>
            <w:r w:rsidRPr="00277D2F">
              <w:rPr>
                <w:rFonts w:cs="Arial"/>
              </w:rPr>
              <w:t>Hyperlinks updated to gov.uk.</w:t>
            </w:r>
          </w:p>
          <w:p w14:paraId="0908A48C" w14:textId="77777777" w:rsidR="00277D2F" w:rsidRPr="00277D2F" w:rsidRDefault="00277D2F" w:rsidP="00277D2F">
            <w:pPr>
              <w:pStyle w:val="PHEBodytext"/>
              <w:rPr>
                <w:rFonts w:cs="Arial"/>
              </w:rPr>
            </w:pPr>
            <w:r w:rsidRPr="00277D2F">
              <w:rPr>
                <w:rFonts w:cs="Arial"/>
              </w:rPr>
              <w:t>Title of the document has been slightly amended.</w:t>
            </w:r>
          </w:p>
          <w:p w14:paraId="2B9D4376" w14:textId="77777777" w:rsidR="00277D2F" w:rsidRPr="00277D2F" w:rsidRDefault="00277D2F" w:rsidP="00277D2F">
            <w:pPr>
              <w:pStyle w:val="PHEBodytext"/>
              <w:rPr>
                <w:rFonts w:cs="Arial"/>
              </w:rPr>
            </w:pPr>
            <w:r w:rsidRPr="00277D2F">
              <w:rPr>
                <w:rFonts w:cs="Arial"/>
              </w:rPr>
              <w:t>Reorganisation of some text.</w:t>
            </w:r>
          </w:p>
          <w:p w14:paraId="4B31CCF9" w14:textId="77777777" w:rsidR="00CF2444" w:rsidRDefault="00277D2F" w:rsidP="00277D2F">
            <w:pPr>
              <w:pStyle w:val="PHEBodytext"/>
              <w:rPr>
                <w:rFonts w:cs="Arial"/>
              </w:rPr>
            </w:pPr>
            <w:r w:rsidRPr="00277D2F">
              <w:rPr>
                <w:rFonts w:cs="Arial"/>
              </w:rPr>
              <w:t>Professional body logos have been reviewed and updated.</w:t>
            </w:r>
          </w:p>
          <w:p w14:paraId="509154C2" w14:textId="77777777" w:rsidR="0095197B" w:rsidRPr="007931BE" w:rsidRDefault="0095197B" w:rsidP="00277D2F">
            <w:pPr>
              <w:pStyle w:val="PHEBodytext"/>
              <w:rPr>
                <w:rFonts w:cs="Arial"/>
              </w:rPr>
            </w:pPr>
            <w:r>
              <w:rPr>
                <w:rFonts w:cs="Arial"/>
              </w:rPr>
              <w:t>Flowchart in the Appendix updated.</w:t>
            </w:r>
          </w:p>
        </w:tc>
      </w:tr>
      <w:tr w:rsidR="00277D2F" w:rsidRPr="000079C4" w14:paraId="68FF64B3" w14:textId="77777777"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14:paraId="6A94AF71" w14:textId="77777777" w:rsidR="00277D2F" w:rsidRPr="007931BE" w:rsidRDefault="00277D2F" w:rsidP="00277D2F">
            <w:pPr>
              <w:pStyle w:val="PHEBodytext"/>
              <w:rPr>
                <w:rFonts w:cs="Arial"/>
              </w:rPr>
            </w:pPr>
            <w:r w:rsidRPr="00277D2F">
              <w:rPr>
                <w:rFonts w:cs="Arial"/>
              </w:rPr>
              <w:t>References.</w:t>
            </w:r>
          </w:p>
        </w:tc>
        <w:tc>
          <w:tcPr>
            <w:tcW w:w="5625" w:type="dxa"/>
            <w:tcBorders>
              <w:top w:val="single" w:sz="12" w:space="0" w:color="auto"/>
              <w:left w:val="single" w:sz="12" w:space="0" w:color="auto"/>
              <w:bottom w:val="single" w:sz="12" w:space="0" w:color="auto"/>
              <w:right w:val="single" w:sz="12" w:space="0" w:color="auto"/>
            </w:tcBorders>
            <w:noWrap/>
            <w:vAlign w:val="center"/>
          </w:tcPr>
          <w:p w14:paraId="651B725E" w14:textId="77777777" w:rsidR="00277D2F" w:rsidRPr="00277D2F" w:rsidRDefault="00D66EF3" w:rsidP="00277D2F">
            <w:pPr>
              <w:pStyle w:val="PHEBodytext"/>
              <w:rPr>
                <w:rFonts w:cs="Arial"/>
              </w:rPr>
            </w:pPr>
            <w:r>
              <w:rPr>
                <w:rFonts w:cs="Arial"/>
              </w:rPr>
              <w:t>R</w:t>
            </w:r>
            <w:r w:rsidR="00277D2F" w:rsidRPr="00277D2F">
              <w:rPr>
                <w:rFonts w:cs="Arial"/>
              </w:rPr>
              <w:t>eferences updated</w:t>
            </w:r>
            <w:r w:rsidR="00277D2F">
              <w:rPr>
                <w:rFonts w:cs="Arial"/>
              </w:rPr>
              <w:t>.</w:t>
            </w:r>
          </w:p>
        </w:tc>
      </w:tr>
    </w:tbl>
    <w:p w14:paraId="28C71E17" w14:textId="77777777" w:rsidR="00CF2444" w:rsidRPr="000079C4" w:rsidRDefault="00CF2444" w:rsidP="00DE2F0C">
      <w:pPr>
        <w:pStyle w:val="PHEBodytext"/>
        <w:rPr>
          <w:rFonts w:cs="Arial"/>
        </w:rPr>
      </w:pPr>
    </w:p>
    <w:p w14:paraId="79DA23E1" w14:textId="77777777" w:rsidR="00DE2F0C" w:rsidRDefault="004D06E3" w:rsidP="00DE2F0C">
      <w:pPr>
        <w:pStyle w:val="PHEBodytext"/>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14:paraId="409F728A" w14:textId="77777777" w:rsidR="00A2224B" w:rsidRDefault="00A2224B" w:rsidP="00DE2F0C">
      <w:pPr>
        <w:pStyle w:val="PHEBodytext"/>
      </w:pPr>
    </w:p>
    <w:p w14:paraId="3FF9DF17" w14:textId="77777777" w:rsidR="000079C4" w:rsidRDefault="000079C4" w:rsidP="00DE2F0C">
      <w:pPr>
        <w:pStyle w:val="PHEBodytext"/>
      </w:pPr>
    </w:p>
    <w:p w14:paraId="6FF04FB7" w14:textId="77777777" w:rsidR="00A2224B" w:rsidRDefault="00A2224B" w:rsidP="00DE2F0C">
      <w:pPr>
        <w:pStyle w:val="PHEBodytext"/>
      </w:pPr>
    </w:p>
    <w:p w14:paraId="712F21EE" w14:textId="77777777" w:rsidR="00A2224B" w:rsidRDefault="00A2224B" w:rsidP="00DE2F0C">
      <w:pPr>
        <w:pStyle w:val="PHEBodytext"/>
      </w:pPr>
    </w:p>
    <w:p w14:paraId="38358A71" w14:textId="77777777" w:rsidR="001568B5" w:rsidRDefault="001568B5" w:rsidP="00DE2F0C">
      <w:pPr>
        <w:pStyle w:val="PHEBodytext"/>
      </w:pPr>
    </w:p>
    <w:p w14:paraId="790CE8F0" w14:textId="77777777" w:rsidR="001568B5" w:rsidRDefault="001568B5" w:rsidP="00DE2F0C">
      <w:pPr>
        <w:pStyle w:val="PHEBodytext"/>
      </w:pPr>
    </w:p>
    <w:p w14:paraId="7F5141DC" w14:textId="77777777" w:rsidR="001568B5" w:rsidRDefault="001568B5" w:rsidP="00DE2F0C">
      <w:pPr>
        <w:pStyle w:val="PHEBodytext"/>
      </w:pPr>
    </w:p>
    <w:p w14:paraId="6B588CBB" w14:textId="77777777" w:rsidR="001568B5" w:rsidRDefault="001568B5" w:rsidP="00DE2F0C">
      <w:pPr>
        <w:pStyle w:val="PHEBodytext"/>
      </w:pPr>
    </w:p>
    <w:p w14:paraId="3F1BCCDB" w14:textId="77777777" w:rsidR="001568B5" w:rsidRDefault="001568B5" w:rsidP="00DE2F0C">
      <w:pPr>
        <w:pStyle w:val="PHEBodytext"/>
      </w:pPr>
    </w:p>
    <w:p w14:paraId="288ECF31" w14:textId="77777777" w:rsidR="001568B5" w:rsidRDefault="001568B5" w:rsidP="00DE2F0C">
      <w:pPr>
        <w:pStyle w:val="PHEBodytext"/>
      </w:pPr>
    </w:p>
    <w:p w14:paraId="09AF5848" w14:textId="77777777" w:rsidR="001568B5" w:rsidRDefault="001568B5" w:rsidP="00DE2F0C">
      <w:pPr>
        <w:pStyle w:val="PHEBodytext"/>
      </w:pPr>
    </w:p>
    <w:p w14:paraId="26DA6E97" w14:textId="77777777" w:rsidR="001568B5" w:rsidRDefault="001568B5" w:rsidP="00DE2F0C">
      <w:pPr>
        <w:pStyle w:val="PHEBodytext"/>
      </w:pPr>
    </w:p>
    <w:p w14:paraId="24D165AF" w14:textId="77777777" w:rsidR="001568B5" w:rsidRDefault="001568B5" w:rsidP="00DE2F0C">
      <w:pPr>
        <w:pStyle w:val="PHEBodytext"/>
      </w:pPr>
    </w:p>
    <w:p w14:paraId="1036A15A" w14:textId="77777777" w:rsidR="001568B5" w:rsidRDefault="001568B5" w:rsidP="00DE2F0C">
      <w:pPr>
        <w:pStyle w:val="PHEBodytext"/>
      </w:pPr>
    </w:p>
    <w:p w14:paraId="1AD8A4B5" w14:textId="77777777" w:rsidR="004D06E3" w:rsidRPr="00CB3B85" w:rsidRDefault="004D06E3" w:rsidP="004D06E3">
      <w:pPr>
        <w:pStyle w:val="PHEreportHeading1"/>
      </w:pPr>
      <w:bookmarkStart w:id="3" w:name="_Toc366068149"/>
      <w:bookmarkStart w:id="4" w:name="_Toc401234811"/>
      <w:bookmarkStart w:id="5" w:name="_Toc486250045"/>
      <w:bookmarkStart w:id="6" w:name="_Toc506805747"/>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3"/>
      <w:bookmarkEnd w:id="4"/>
      <w:bookmarkEnd w:id="5"/>
      <w:bookmarkEnd w:id="6"/>
    </w:p>
    <w:p w14:paraId="04337146" w14:textId="77777777" w:rsidR="004D06E3" w:rsidRPr="00CB3B85" w:rsidRDefault="004D06E3" w:rsidP="004D06E3">
      <w:pPr>
        <w:pStyle w:val="PHEreportHeading2BlueHighlight"/>
      </w:pPr>
      <w:r w:rsidRPr="00CB3B85">
        <w:t xml:space="preserve">Users of </w:t>
      </w:r>
      <w:r>
        <w:t xml:space="preserve">UK </w:t>
      </w:r>
      <w:r w:rsidRPr="00CB3B85">
        <w:t>SMIs</w:t>
      </w:r>
    </w:p>
    <w:p w14:paraId="448D42C7" w14:textId="77777777" w:rsidR="004D06E3" w:rsidRPr="006B29FF" w:rsidRDefault="004D06E3" w:rsidP="004D06E3">
      <w:pPr>
        <w:pStyle w:val="PHEBodytext"/>
        <w:rPr>
          <w:sz w:val="20"/>
          <w:szCs w:val="20"/>
        </w:rPr>
      </w:pPr>
      <w:r w:rsidRPr="00AB3D2E">
        <w:t xml:space="preserve">Primarily, </w:t>
      </w:r>
      <w:r>
        <w:t xml:space="preserve">UK </w:t>
      </w:r>
      <w:r w:rsidRPr="00AB3D2E">
        <w:t xml:space="preserve">SMIs are intended as a general resource for practising professionals operating in the field of laboratory medicine and infection specialties in the UK. </w:t>
      </w:r>
      <w:r>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14:paraId="7A47968B" w14:textId="77777777" w:rsidR="004D06E3" w:rsidRPr="006B29FF" w:rsidRDefault="004D06E3" w:rsidP="004D06E3">
      <w:pPr>
        <w:pStyle w:val="PHEreportHeading2BlueHighlight"/>
      </w:pPr>
      <w:r w:rsidRPr="006B29FF">
        <w:t xml:space="preserve">Background to </w:t>
      </w:r>
      <w:r>
        <w:t xml:space="preserve">UK </w:t>
      </w:r>
      <w:r w:rsidRPr="006B29FF">
        <w:t>SMIs</w:t>
      </w:r>
    </w:p>
    <w:p w14:paraId="276752ED" w14:textId="77777777" w:rsidR="004D06E3" w:rsidRPr="006B29FF" w:rsidRDefault="004D06E3" w:rsidP="004D06E3">
      <w:pPr>
        <w:pStyle w:val="PHEBodytext"/>
      </w:pPr>
      <w:r>
        <w:t xml:space="preserve">UK </w:t>
      </w: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14:paraId="41E50E76" w14:textId="77777777" w:rsidR="004D06E3" w:rsidRPr="006B29FF" w:rsidRDefault="004D06E3" w:rsidP="004D06E3">
      <w:pPr>
        <w:pStyle w:val="PHEBodytext"/>
      </w:pPr>
      <w:r w:rsidRPr="006B29FF">
        <w:t xml:space="preserve">Standardisation of the diagnostic process through the application of </w:t>
      </w:r>
      <w:r>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14:paraId="0B689FD5" w14:textId="77777777" w:rsidR="004D06E3" w:rsidRPr="006B29FF" w:rsidRDefault="004D06E3" w:rsidP="004D06E3">
      <w:pPr>
        <w:pStyle w:val="PHEreportHeading2BlueHighlight"/>
      </w:pPr>
      <w:r w:rsidRPr="006B29FF">
        <w:t xml:space="preserve">Equal </w:t>
      </w:r>
      <w:r>
        <w:t>partnership w</w:t>
      </w:r>
      <w:r w:rsidRPr="006B29FF">
        <w:t>orking</w:t>
      </w:r>
    </w:p>
    <w:p w14:paraId="47C8757C" w14:textId="77777777" w:rsidR="004D06E3" w:rsidRPr="006B29FF" w:rsidRDefault="004D06E3" w:rsidP="004D06E3">
      <w:pPr>
        <w:pStyle w:val="PHEBodytext"/>
      </w:pPr>
      <w:r>
        <w:t xml:space="preserve">UK </w:t>
      </w:r>
      <w:r w:rsidRPr="006B29FF">
        <w:t xml:space="preserve">SMIs are developed in equal partnership with PHE, NHS, Royal College of Pathologists and professional societies. The list of participating societies may be found at </w:t>
      </w:r>
      <w:hyperlink r:id="rId17" w:history="1">
        <w:r w:rsidRPr="005944E3">
          <w:rPr>
            <w:rStyle w:val="Hyperlink"/>
            <w:sz w:val="24"/>
          </w:rPr>
          <w:t>https://www.gov.uk/uk-standards-for-microbiology-investigations-smi-quality-and-consistency-in-clinical-laboratories</w:t>
        </w:r>
      </w:hyperlink>
      <w:hyperlink r:id="rId18" w:history="1"/>
      <w:r w:rsidRPr="006B29FF">
        <w:t xml:space="preserve">. Inclusion of a logo in an </w:t>
      </w:r>
      <w:r>
        <w:t xml:space="preserve">UK </w:t>
      </w:r>
      <w:r w:rsidRPr="006B29FF">
        <w:t xml:space="preserve">SMI indicates participation of the society in equal partnership and support for the objectives and process of preparing </w:t>
      </w:r>
      <w:r>
        <w:t xml:space="preserve">UK </w:t>
      </w:r>
      <w:r w:rsidRPr="006B29FF">
        <w:t>SMIs. Nominees of professional societies are members</w:t>
      </w:r>
      <w:r>
        <w:t xml:space="preserve"> of the Steering Committee and w</w:t>
      </w:r>
      <w:r w:rsidRPr="006B29FF">
        <w:t xml:space="preserve">orking </w:t>
      </w:r>
      <w:r>
        <w:t>g</w:t>
      </w:r>
      <w:r w:rsidRPr="006B29FF">
        <w:t xml:space="preserve">roups which develop </w:t>
      </w:r>
      <w:r>
        <w:t xml:space="preserve">UK </w:t>
      </w:r>
      <w:r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Pr="006B29FF">
        <w:t xml:space="preserve">SMIs are developed, reviewed and updated through a wide consultation process. </w:t>
      </w:r>
    </w:p>
    <w:p w14:paraId="704FFE58" w14:textId="77777777" w:rsidR="004D06E3" w:rsidRPr="006B29FF" w:rsidRDefault="004D06E3" w:rsidP="004D06E3">
      <w:pPr>
        <w:pStyle w:val="PHEreportHeading2BlueHighlight"/>
        <w:ind w:left="0" w:firstLine="0"/>
      </w:pPr>
      <w:r w:rsidRPr="006B29FF">
        <w:t xml:space="preserve">Quality </w:t>
      </w:r>
      <w:r>
        <w:t>a</w:t>
      </w:r>
      <w:r w:rsidRPr="006B29FF">
        <w:t>ssurance</w:t>
      </w:r>
    </w:p>
    <w:p w14:paraId="47DD702D" w14:textId="77777777" w:rsidR="004D06E3" w:rsidRPr="006B29FF" w:rsidRDefault="004D06E3" w:rsidP="004D06E3">
      <w:pPr>
        <w:pStyle w:val="PHEBodytext"/>
      </w:pPr>
      <w:r w:rsidRPr="006B29FF">
        <w:t xml:space="preserve">NICE has accredited the process used by the </w:t>
      </w:r>
      <w:r>
        <w:t xml:space="preserve">UK </w:t>
      </w:r>
      <w:r w:rsidRPr="006B29FF">
        <w:t xml:space="preserve">SMI </w:t>
      </w:r>
      <w:r>
        <w:t>working g</w:t>
      </w:r>
      <w:r w:rsidRPr="006B29FF">
        <w:t xml:space="preserve">roups to produce </w:t>
      </w:r>
      <w:r>
        <w:t xml:space="preserve">UK </w:t>
      </w:r>
      <w:r w:rsidRPr="006B29FF">
        <w:t xml:space="preserve">SMIs. The accreditation is applicable to all guidance produced since October 2009. The process for the development of </w:t>
      </w:r>
      <w:r>
        <w:t xml:space="preserve">UK </w:t>
      </w:r>
      <w:r w:rsidRPr="006B29FF">
        <w:t xml:space="preserve">SMIs is certified to ISO 9001:2008. </w:t>
      </w:r>
      <w:r>
        <w:t xml:space="preserve">UK </w:t>
      </w:r>
      <w:r w:rsidRPr="006B29FF">
        <w:t xml:space="preserve">SMIs represent a good standard of practice to which all clinical and public health microbiology laboratories in the UK are expected to work. </w:t>
      </w:r>
      <w:r>
        <w:t xml:space="preserve">UK </w:t>
      </w:r>
      <w:r w:rsidRPr="006B29FF">
        <w:t xml:space="preserve">SMIs are NICE accredited and represent neither minimum standards of practice nor the highest level </w:t>
      </w:r>
      <w:r w:rsidRPr="006B29FF">
        <w:lastRenderedPageBreak/>
        <w:t xml:space="preserve">of complex laboratory investigation possible. In using </w:t>
      </w:r>
      <w:r>
        <w:t xml:space="preserve">UK </w:t>
      </w:r>
      <w:r w:rsidRPr="006B29FF">
        <w:t xml:space="preserve">SMIs, laboratories should take account of local requirements and undertake additional investigations where appropriate. </w:t>
      </w:r>
      <w:r>
        <w:t xml:space="preserve">UK </w:t>
      </w:r>
      <w:r w:rsidRPr="006B29FF">
        <w:t xml:space="preserve">SMIs help laboratories to meet accreditation requirements by promoting high quality practices which are auditable. </w:t>
      </w:r>
      <w:r>
        <w:t xml:space="preserve">UK </w:t>
      </w:r>
      <w:r w:rsidRPr="006B29FF">
        <w:t xml:space="preserve">SMIs also provide a reference point for method development. The performance of </w:t>
      </w:r>
      <w:r>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14:paraId="15255215" w14:textId="77777777" w:rsidR="004D06E3" w:rsidRPr="006B29FF" w:rsidRDefault="004D06E3" w:rsidP="004D06E3">
      <w:pPr>
        <w:pStyle w:val="PHEreportHeading2BlueHighlight"/>
      </w:pPr>
      <w:r>
        <w:t>Patient and p</w:t>
      </w:r>
      <w:r w:rsidRPr="006B29FF">
        <w:t xml:space="preserve">ublic </w:t>
      </w:r>
      <w:r>
        <w:t>i</w:t>
      </w:r>
      <w:r w:rsidRPr="006B29FF">
        <w:t>nvolvement</w:t>
      </w:r>
    </w:p>
    <w:p w14:paraId="53CA9A0A" w14:textId="77777777" w:rsidR="004D06E3" w:rsidRPr="006B29FF" w:rsidRDefault="004D06E3" w:rsidP="004D06E3">
      <w:pPr>
        <w:pStyle w:val="PHEBodytext"/>
      </w:pPr>
      <w:r w:rsidRPr="006B29FF">
        <w:t xml:space="preserve">The </w:t>
      </w:r>
      <w:r>
        <w:t xml:space="preserve">UK </w:t>
      </w:r>
      <w:r w:rsidRPr="006B29FF">
        <w:t xml:space="preserve">SMI </w:t>
      </w:r>
      <w:r>
        <w:t>working g</w:t>
      </w:r>
      <w:r w:rsidRPr="006B29FF">
        <w:t xml:space="preserve">roups are committed to patient and public involvement in the development of </w:t>
      </w:r>
      <w:r>
        <w:t xml:space="preserve">UK </w:t>
      </w:r>
      <w:r w:rsidRPr="006B29FF">
        <w:t xml:space="preserve">SMIs. By involving the public, health professionals, scientists and voluntary organisations the resulting </w:t>
      </w:r>
      <w:r>
        <w:t xml:space="preserve">UK </w:t>
      </w:r>
      <w:r w:rsidRPr="006B29FF">
        <w:t>SMI will be robust and meet the needs of the user. An opportunity is given to members of the public to contribute to consultations through our open access website.</w:t>
      </w:r>
    </w:p>
    <w:p w14:paraId="1E844422" w14:textId="77777777" w:rsidR="004D06E3" w:rsidRPr="006B29FF" w:rsidRDefault="004D06E3" w:rsidP="004D06E3">
      <w:pPr>
        <w:pStyle w:val="PHEreportHeading2BlueHighlight"/>
      </w:pPr>
      <w:r>
        <w:t>Information governance and e</w:t>
      </w:r>
      <w:r w:rsidRPr="006B29FF">
        <w:t>quality</w:t>
      </w:r>
    </w:p>
    <w:p w14:paraId="53367F4D" w14:textId="77777777" w:rsidR="004D06E3" w:rsidRPr="006B29FF" w:rsidRDefault="004D06E3" w:rsidP="004D06E3">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t xml:space="preserve">UK </w:t>
      </w:r>
      <w:r w:rsidRPr="006B29FF">
        <w:t xml:space="preserve">SMIs </w:t>
      </w:r>
      <w:r>
        <w:t>is</w:t>
      </w:r>
      <w:r w:rsidRPr="006B29FF">
        <w:t xml:space="preserve"> subject to PHE Equality objectives </w:t>
      </w:r>
      <w:hyperlink r:id="rId19" w:history="1">
        <w:r w:rsidRPr="005944E3">
          <w:rPr>
            <w:rStyle w:val="Hyperlink"/>
            <w:sz w:val="24"/>
          </w:rPr>
          <w:t>https://www.gov.uk/government/organisations/public-health-england/about/equality-and-diversity</w:t>
        </w:r>
      </w:hyperlink>
      <w:r w:rsidRPr="006B29FF">
        <w:t xml:space="preserve">. </w:t>
      </w:r>
    </w:p>
    <w:p w14:paraId="6CBE9A97" w14:textId="77777777" w:rsidR="004D06E3" w:rsidRPr="006B29FF" w:rsidRDefault="004D06E3" w:rsidP="004D06E3">
      <w:pPr>
        <w:pStyle w:val="PHEBodytext"/>
      </w:pPr>
      <w:r w:rsidRPr="006B29FF">
        <w:t xml:space="preserve">The </w:t>
      </w:r>
      <w:r>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14:paraId="673D8917" w14:textId="77777777" w:rsidR="004D06E3" w:rsidRPr="006B29FF" w:rsidRDefault="004D06E3" w:rsidP="004D06E3">
      <w:pPr>
        <w:pStyle w:val="PHEreportHeading2BlueHighlight"/>
      </w:pPr>
      <w:r w:rsidRPr="006B29FF">
        <w:t xml:space="preserve">Legal </w:t>
      </w:r>
      <w:r>
        <w:t>s</w:t>
      </w:r>
      <w:r w:rsidRPr="006B29FF">
        <w:t>tatement</w:t>
      </w:r>
    </w:p>
    <w:p w14:paraId="3EC12979" w14:textId="77777777" w:rsidR="004D06E3" w:rsidRDefault="004D06E3" w:rsidP="004D06E3">
      <w:pPr>
        <w:pStyle w:val="PHEBodytext"/>
      </w:pPr>
      <w: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14:paraId="1360D2F0" w14:textId="77777777" w:rsidR="004D06E3" w:rsidRDefault="004D06E3" w:rsidP="004D06E3">
      <w:pPr>
        <w:pStyle w:val="PHEBodytext"/>
      </w:pPr>
      <w: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14:paraId="0488FBB6" w14:textId="77777777" w:rsidR="00804039" w:rsidRPr="00D511B2" w:rsidRDefault="004D06E3" w:rsidP="004D06E3">
      <w:pPr>
        <w:pStyle w:val="PHEBodytext"/>
      </w:pPr>
      <w:r>
        <w:t>UK SMIs are Crown copyright which should be acknowledged where appropriate.</w:t>
      </w:r>
    </w:p>
    <w:p w14:paraId="162D2347" w14:textId="77777777" w:rsidR="00F5351F" w:rsidRPr="009C2360" w:rsidRDefault="004D06E3" w:rsidP="00F5351F">
      <w:pPr>
        <w:pStyle w:val="PHEreportHeading2BlueHighlight"/>
      </w:pPr>
      <w:r>
        <w:t>Suggested citation for this d</w:t>
      </w:r>
      <w:r w:rsidR="00F5351F" w:rsidRPr="009C2360">
        <w:t>ocument</w:t>
      </w:r>
    </w:p>
    <w:p w14:paraId="5CAF0A12" w14:textId="104E74E4" w:rsidR="00042418" w:rsidRPr="00042418" w:rsidRDefault="00F5351F" w:rsidP="00042418">
      <w:pPr>
        <w:pStyle w:val="PHEBodytext"/>
      </w:pPr>
      <w:proofErr w:type="gramStart"/>
      <w:r w:rsidRPr="00042418">
        <w:t>Public Health England.</w:t>
      </w:r>
      <w:proofErr w:type="gramEnd"/>
      <w:r w:rsidRPr="00042418">
        <w:t xml:space="preserve"> (</w:t>
      </w:r>
      <w:r w:rsidR="003A597E" w:rsidRPr="00042418">
        <w:rPr>
          <w:rStyle w:val="PHEBodytextChar"/>
        </w:rPr>
        <w:fldChar w:fldCharType="begin" w:fldLock="1"/>
      </w:r>
      <w:r w:rsidRPr="00042418">
        <w:rPr>
          <w:rStyle w:val="PHEBodytextChar"/>
        </w:rPr>
        <w:instrText xml:space="preserve"> </w:instrText>
      </w:r>
      <w:r w:rsidR="003A597E" w:rsidRPr="00042418">
        <w:rPr>
          <w:rStyle w:val="PHEBodytextChar"/>
        </w:rPr>
        <w:fldChar w:fldCharType="begin" w:fldLock="1"/>
      </w:r>
      <w:r w:rsidRPr="00042418">
        <w:rPr>
          <w:rStyle w:val="PHEBodytextChar"/>
        </w:rPr>
        <w:instrText xml:space="preserve">  </w:instrText>
      </w:r>
      <w:r w:rsidR="003A597E" w:rsidRPr="00042418">
        <w:rPr>
          <w:rStyle w:val="PHEBodytextChar"/>
        </w:rPr>
        <w:fldChar w:fldCharType="end"/>
      </w:r>
      <w:r w:rsidRPr="00042418">
        <w:rPr>
          <w:rStyle w:val="PHEBodytextChar"/>
        </w:rPr>
        <w:instrText xml:space="preserve"> </w:instrText>
      </w:r>
      <w:r w:rsidR="003A597E" w:rsidRPr="00042418">
        <w:rPr>
          <w:rStyle w:val="PHEBodytextChar"/>
        </w:rPr>
        <w:fldChar w:fldCharType="end"/>
      </w:r>
      <w:fldSimple w:instr=" FILLIN  &quot;Year of Issue&quot; \d &quot;YYYY &lt;tab+enter&gt;&quot; \o  \* MERGEFORMAT " w:fldLock="1">
        <w:r w:rsidR="003B09AB" w:rsidRPr="003B09AB">
          <w:rPr>
            <w:rStyle w:val="PHEBodytextChar"/>
          </w:rPr>
          <w:t>2018</w:t>
        </w:r>
      </w:fldSimple>
      <w:r w:rsidRPr="00042418">
        <w:t xml:space="preserve">). </w:t>
      </w:r>
      <w:fldSimple w:instr=" REF  SMITitleDocument  \* MERGEFORMAT " w:fldLock="1">
        <w:r w:rsidR="004D06E3" w:rsidRPr="004D06E3">
          <w:rPr>
            <w:rStyle w:val="PHEBodytextChar"/>
          </w:rPr>
          <w:t>Good practice when performing molecular amplification assays</w:t>
        </w:r>
      </w:fldSimple>
      <w:r w:rsidRPr="00042418">
        <w:t xml:space="preserve">. </w:t>
      </w:r>
      <w:proofErr w:type="gramStart"/>
      <w:r w:rsidRPr="00042418">
        <w:t>UK Standards for Microbiology Investigations.</w:t>
      </w:r>
      <w:proofErr w:type="gramEnd"/>
      <w:r w:rsidRPr="00042418">
        <w:t xml:space="preserve"> </w:t>
      </w:r>
      <w:r w:rsidR="003A597E">
        <w:fldChar w:fldCharType="begin" w:fldLock="1"/>
      </w:r>
      <w:r w:rsidR="00503572">
        <w:instrText xml:space="preserve"> REF  SMINumber  \* MERGEFORMAT </w:instrText>
      </w:r>
      <w:r w:rsidR="003A597E">
        <w:fldChar w:fldCharType="separate"/>
      </w:r>
      <w:proofErr w:type="gramStart"/>
      <w:r w:rsidR="00E70B47" w:rsidRPr="00B169EB">
        <w:rPr>
          <w:rStyle w:val="PHEBodytextChar"/>
        </w:rPr>
        <w:t>Q 4</w:t>
      </w:r>
      <w:r w:rsidR="003A597E">
        <w:fldChar w:fldCharType="end"/>
      </w:r>
      <w:r w:rsidRPr="00042418">
        <w:t xml:space="preserve"> Issue </w:t>
      </w:r>
      <w:r w:rsidR="003B09AB">
        <w:t>5</w:t>
      </w:r>
      <w:r w:rsidRPr="00042418">
        <w:t>.</w:t>
      </w:r>
      <w:proofErr w:type="gramEnd"/>
      <w:r w:rsidRPr="00042418">
        <w:t xml:space="preserve"> </w:t>
      </w:r>
      <w:hyperlink r:id="rId20" w:history="1">
        <w:r w:rsidR="004D06E3" w:rsidRPr="005944E3">
          <w:rPr>
            <w:rStyle w:val="Hyperlink"/>
            <w:sz w:val="24"/>
          </w:rPr>
          <w:t>https://www.gov.uk/uk-standards-for-microbiology-investigations-smi-quality-and-consistency-in-clinical-laboratories</w:t>
        </w:r>
      </w:hyperlink>
    </w:p>
    <w:p w14:paraId="422245FB" w14:textId="77777777" w:rsidR="006D7F6F" w:rsidRDefault="00F5351F" w:rsidP="00D17039">
      <w:pPr>
        <w:pStyle w:val="PHEBodytext"/>
        <w:rPr>
          <w:rStyle w:val="PHEBodyTextHyperlinkChar"/>
          <w:b/>
        </w:rPr>
      </w:pPr>
      <w:r w:rsidRPr="00D101F9">
        <w:rPr>
          <w:rStyle w:val="PHEBodyTextHyperlinkChar"/>
          <w:b/>
        </w:rPr>
        <w:t xml:space="preserve"> </w:t>
      </w:r>
    </w:p>
    <w:p w14:paraId="37E3882C" w14:textId="77777777" w:rsidR="00D17039" w:rsidRDefault="00D17039" w:rsidP="00D17039">
      <w:pPr>
        <w:pStyle w:val="PHEBodytext"/>
        <w:rPr>
          <w:rStyle w:val="PHEBodyTextHyperlinkChar"/>
          <w:b/>
        </w:rPr>
      </w:pPr>
    </w:p>
    <w:p w14:paraId="2EEBDF98" w14:textId="77777777" w:rsidR="00D17039" w:rsidRDefault="00D17039" w:rsidP="00D17039">
      <w:pPr>
        <w:pStyle w:val="PHEBodytext"/>
        <w:rPr>
          <w:rStyle w:val="PHEBodyTextHyperlinkChar"/>
          <w:b/>
        </w:rPr>
      </w:pPr>
    </w:p>
    <w:p w14:paraId="29ED9B5E" w14:textId="77777777" w:rsidR="00D17039" w:rsidRDefault="00D17039" w:rsidP="00D17039">
      <w:pPr>
        <w:pStyle w:val="PHEBodytext"/>
        <w:rPr>
          <w:rStyle w:val="PHEBodyTextHyperlinkChar"/>
          <w:b/>
        </w:rPr>
      </w:pPr>
    </w:p>
    <w:p w14:paraId="1B6E3420" w14:textId="77777777" w:rsidR="00D17039" w:rsidRDefault="00D17039" w:rsidP="00D17039">
      <w:pPr>
        <w:pStyle w:val="PHEBodytext"/>
        <w:rPr>
          <w:rStyle w:val="PHEBodyTextHyperlinkChar"/>
          <w:b/>
        </w:rPr>
      </w:pPr>
    </w:p>
    <w:p w14:paraId="6DD27455" w14:textId="77777777" w:rsidR="00D17039" w:rsidRDefault="00D17039" w:rsidP="00D17039">
      <w:pPr>
        <w:pStyle w:val="PHEBodytext"/>
        <w:rPr>
          <w:rStyle w:val="PHEBodyTextHyperlinkChar"/>
          <w:b/>
        </w:rPr>
      </w:pPr>
    </w:p>
    <w:p w14:paraId="3DC5D05F" w14:textId="77777777" w:rsidR="00D17039" w:rsidRDefault="00D17039" w:rsidP="00D17039">
      <w:pPr>
        <w:pStyle w:val="PHEBodytext"/>
        <w:rPr>
          <w:rStyle w:val="PHEBodyTextHyperlinkChar"/>
          <w:b/>
        </w:rPr>
      </w:pPr>
    </w:p>
    <w:p w14:paraId="68D7B123" w14:textId="77777777" w:rsidR="00D17039" w:rsidRDefault="00D17039" w:rsidP="00D17039">
      <w:pPr>
        <w:pStyle w:val="PHEBodytext"/>
        <w:rPr>
          <w:rStyle w:val="PHEBodyTextHyperlinkChar"/>
          <w:b/>
        </w:rPr>
      </w:pPr>
    </w:p>
    <w:p w14:paraId="35B389BF" w14:textId="77777777" w:rsidR="00D17039" w:rsidRDefault="00D17039" w:rsidP="00D17039">
      <w:pPr>
        <w:pStyle w:val="PHEBodytext"/>
        <w:rPr>
          <w:rStyle w:val="PHEBodyTextHyperlinkChar"/>
          <w:b/>
        </w:rPr>
      </w:pPr>
    </w:p>
    <w:p w14:paraId="43B82BCB" w14:textId="77777777" w:rsidR="00D17039" w:rsidRDefault="00D17039" w:rsidP="00D17039">
      <w:pPr>
        <w:pStyle w:val="PHEBodytext"/>
        <w:rPr>
          <w:rStyle w:val="PHEBodyTextHyperlinkChar"/>
          <w:b/>
        </w:rPr>
      </w:pPr>
    </w:p>
    <w:p w14:paraId="0B74E88F" w14:textId="77777777" w:rsidR="00D17039" w:rsidRDefault="00D17039" w:rsidP="00D17039">
      <w:pPr>
        <w:pStyle w:val="PHEBodytext"/>
        <w:rPr>
          <w:rStyle w:val="PHEBodyTextHyperlinkChar"/>
          <w:b/>
        </w:rPr>
      </w:pPr>
    </w:p>
    <w:p w14:paraId="1F0A7950" w14:textId="77777777" w:rsidR="00D17039" w:rsidRDefault="00D17039" w:rsidP="00D17039">
      <w:pPr>
        <w:pStyle w:val="PHEBodytext"/>
        <w:rPr>
          <w:rStyle w:val="PHEBodyTextHyperlinkChar"/>
          <w:b/>
        </w:rPr>
      </w:pPr>
    </w:p>
    <w:p w14:paraId="6FDCB0DA" w14:textId="77777777" w:rsidR="00D17039" w:rsidRDefault="00D17039" w:rsidP="00D17039">
      <w:pPr>
        <w:pStyle w:val="PHEBodytext"/>
        <w:rPr>
          <w:rStyle w:val="PHEBodyTextHyperlinkChar"/>
          <w:b/>
        </w:rPr>
      </w:pPr>
    </w:p>
    <w:p w14:paraId="00797D48" w14:textId="77777777" w:rsidR="00D17039" w:rsidRDefault="00D17039" w:rsidP="00D17039">
      <w:pPr>
        <w:pStyle w:val="PHEBodytext"/>
        <w:rPr>
          <w:rStyle w:val="PHEBodyTextHyperlinkChar"/>
          <w:b/>
        </w:rPr>
      </w:pPr>
    </w:p>
    <w:p w14:paraId="4FC7DDCA" w14:textId="77777777" w:rsidR="00D17039" w:rsidRDefault="00D17039" w:rsidP="00D17039">
      <w:pPr>
        <w:pStyle w:val="PHEBodytext"/>
        <w:rPr>
          <w:rStyle w:val="PHEBodyTextHyperlinkChar"/>
          <w:b/>
        </w:rPr>
      </w:pPr>
    </w:p>
    <w:p w14:paraId="419475C9" w14:textId="77777777" w:rsidR="00D17039" w:rsidRDefault="00D17039" w:rsidP="00295E1D">
      <w:pPr>
        <w:pStyle w:val="PHEBodytext"/>
        <w:tabs>
          <w:tab w:val="left" w:pos="1418"/>
        </w:tabs>
        <w:rPr>
          <w:rStyle w:val="PHEBodyTextHyperlinkChar"/>
          <w:b/>
        </w:rPr>
      </w:pPr>
    </w:p>
    <w:p w14:paraId="7777786F" w14:textId="77777777" w:rsidR="00D17039" w:rsidRDefault="00D17039" w:rsidP="00D17039">
      <w:pPr>
        <w:pStyle w:val="PHEBodytext"/>
        <w:rPr>
          <w:rStyle w:val="PHEBodyTextHyperlinkChar"/>
          <w:b/>
        </w:rPr>
      </w:pPr>
    </w:p>
    <w:p w14:paraId="3D54210D" w14:textId="77777777" w:rsidR="00D17039" w:rsidRDefault="00D17039" w:rsidP="00D17039">
      <w:pPr>
        <w:pStyle w:val="PHEBodytext"/>
        <w:rPr>
          <w:rStyle w:val="PHEBodyTextHyperlinkChar"/>
          <w:b/>
        </w:rPr>
      </w:pPr>
    </w:p>
    <w:p w14:paraId="5F84CAC2" w14:textId="77777777" w:rsidR="00D17039" w:rsidRDefault="00D17039" w:rsidP="00D17039">
      <w:pPr>
        <w:pStyle w:val="PHEBodytext"/>
        <w:rPr>
          <w:rStyle w:val="PHEBodyTextHyperlinkChar"/>
          <w:b/>
        </w:rPr>
      </w:pPr>
    </w:p>
    <w:p w14:paraId="046368EB" w14:textId="77777777" w:rsidR="00D17039" w:rsidRDefault="00D17039" w:rsidP="00D17039">
      <w:pPr>
        <w:pStyle w:val="PHEBodytext"/>
        <w:rPr>
          <w:rStyle w:val="PHEBodyTextHyperlinkChar"/>
          <w:b/>
        </w:rPr>
      </w:pPr>
    </w:p>
    <w:p w14:paraId="74BCBD2F" w14:textId="77777777" w:rsidR="00D17039" w:rsidRDefault="00D17039" w:rsidP="00D17039">
      <w:pPr>
        <w:pStyle w:val="PHEBodytext"/>
        <w:rPr>
          <w:rStyle w:val="PHEBodyTextHyperlinkChar"/>
          <w:b/>
        </w:rPr>
      </w:pPr>
    </w:p>
    <w:p w14:paraId="07B2AEA9" w14:textId="77777777" w:rsidR="00D17039" w:rsidRDefault="00D17039" w:rsidP="00D17039">
      <w:pPr>
        <w:pStyle w:val="PHEBodytext"/>
        <w:rPr>
          <w:rStyle w:val="PHEBodyTextHyperlinkChar"/>
          <w:b/>
        </w:rPr>
      </w:pPr>
    </w:p>
    <w:p w14:paraId="6CE34329" w14:textId="77777777" w:rsidR="00D17039" w:rsidRDefault="00D17039" w:rsidP="00D17039">
      <w:pPr>
        <w:pStyle w:val="PHEBodytext"/>
        <w:rPr>
          <w:rStyle w:val="PHEBodyTextHyperlinkChar"/>
          <w:b/>
        </w:rPr>
      </w:pPr>
    </w:p>
    <w:p w14:paraId="65947DD1" w14:textId="77777777" w:rsidR="00D17039" w:rsidRDefault="00D17039" w:rsidP="00D17039">
      <w:pPr>
        <w:pStyle w:val="PHEBodytext"/>
        <w:rPr>
          <w:rStyle w:val="PHEBodyTextHyperlinkChar"/>
          <w:b/>
        </w:rPr>
      </w:pPr>
    </w:p>
    <w:p w14:paraId="0CABB9EF" w14:textId="77777777" w:rsidR="00D17039" w:rsidRDefault="00D17039" w:rsidP="00D17039">
      <w:pPr>
        <w:pStyle w:val="PHEBodytext"/>
        <w:rPr>
          <w:rStyle w:val="PHEBodyTextHyperlinkChar"/>
          <w:b/>
        </w:rPr>
      </w:pPr>
    </w:p>
    <w:p w14:paraId="3308B4BB" w14:textId="77777777" w:rsidR="00D17039" w:rsidRDefault="00D17039" w:rsidP="00D17039">
      <w:pPr>
        <w:pStyle w:val="PHEBodytext"/>
        <w:rPr>
          <w:rStyle w:val="PHEBodyTextHyperlinkChar"/>
          <w:b/>
        </w:rPr>
      </w:pPr>
    </w:p>
    <w:p w14:paraId="700A3888" w14:textId="77777777" w:rsidR="00D17039" w:rsidRDefault="00D17039" w:rsidP="00D17039">
      <w:pPr>
        <w:pStyle w:val="PHEBodytext"/>
        <w:rPr>
          <w:rStyle w:val="PHEBodyTextHyperlinkChar"/>
          <w:b/>
        </w:rPr>
      </w:pPr>
    </w:p>
    <w:p w14:paraId="5327A800" w14:textId="77777777" w:rsidR="00D17039" w:rsidRDefault="00D17039" w:rsidP="00D17039">
      <w:pPr>
        <w:pStyle w:val="PHEBodytext"/>
        <w:rPr>
          <w:rStyle w:val="PHEBodyTextHyperlinkChar"/>
          <w:b/>
        </w:rPr>
      </w:pPr>
    </w:p>
    <w:p w14:paraId="3364E5BD" w14:textId="77777777" w:rsidR="00D17039" w:rsidRDefault="00D17039" w:rsidP="00D17039">
      <w:pPr>
        <w:pStyle w:val="PHEBodytext"/>
        <w:rPr>
          <w:rStyle w:val="PHEBodyTextHyperlinkChar"/>
          <w:b/>
        </w:rPr>
      </w:pPr>
    </w:p>
    <w:p w14:paraId="40CE400D" w14:textId="77777777" w:rsidR="00D17039" w:rsidRDefault="00D17039" w:rsidP="00D17039">
      <w:pPr>
        <w:pStyle w:val="PHEBodytext"/>
        <w:rPr>
          <w:rStyle w:val="PHEBodyTextHyperlinkChar"/>
          <w:b/>
        </w:rPr>
      </w:pPr>
    </w:p>
    <w:p w14:paraId="437C1BFF" w14:textId="77777777" w:rsidR="004D06E3" w:rsidRDefault="004D06E3" w:rsidP="00D17039">
      <w:pPr>
        <w:pStyle w:val="PHEBodytext"/>
        <w:rPr>
          <w:rStyle w:val="PHEBodyTextHyperlinkChar"/>
          <w:b/>
        </w:rPr>
      </w:pPr>
    </w:p>
    <w:p w14:paraId="0B4AE759" w14:textId="77777777" w:rsidR="00D17039" w:rsidRDefault="00D17039" w:rsidP="00D17039">
      <w:pPr>
        <w:pStyle w:val="PHEBodytext"/>
        <w:rPr>
          <w:rStyle w:val="PHEBodyTextHyperlinkChar"/>
          <w:b/>
        </w:rPr>
      </w:pPr>
    </w:p>
    <w:p w14:paraId="5399EF69" w14:textId="77777777" w:rsidR="00D17039" w:rsidRDefault="00D17039" w:rsidP="00D17039">
      <w:pPr>
        <w:pStyle w:val="PHEBodytext"/>
        <w:rPr>
          <w:rStyle w:val="PHEBodyTextHyperlinkChar"/>
          <w:b/>
        </w:rPr>
      </w:pPr>
    </w:p>
    <w:p w14:paraId="5382842F" w14:textId="77777777" w:rsidR="00D17039" w:rsidRPr="00231E5A" w:rsidRDefault="00D17039" w:rsidP="00D17039">
      <w:pPr>
        <w:pStyle w:val="PHEreportHeading1"/>
      </w:pPr>
      <w:bookmarkStart w:id="7" w:name="_Toc506805748"/>
      <w:r>
        <w:lastRenderedPageBreak/>
        <w:t xml:space="preserve">Scope of </w:t>
      </w:r>
      <w:r w:rsidR="004D06E3">
        <w:t>d</w:t>
      </w:r>
      <w:r>
        <w:t>ocument</w:t>
      </w:r>
      <w:bookmarkEnd w:id="7"/>
    </w:p>
    <w:p w14:paraId="5115CE46" w14:textId="35073DB9" w:rsidR="00BC1BAA" w:rsidRDefault="00CA5C5D" w:rsidP="00231E5A">
      <w:pPr>
        <w:pStyle w:val="PHEBodytext"/>
      </w:pPr>
      <w:r w:rsidRPr="00BC1BAA">
        <w:t xml:space="preserve">This </w:t>
      </w:r>
      <w:r w:rsidR="00C516B4">
        <w:t xml:space="preserve">UK </w:t>
      </w:r>
      <w:r w:rsidRPr="00BC1BAA">
        <w:t xml:space="preserve">SMI describes </w:t>
      </w:r>
      <w:r w:rsidR="00BC1BAA" w:rsidRPr="00AA11F6">
        <w:t>key elements of how to organise facilities for</w:t>
      </w:r>
      <w:r w:rsidR="0000577E">
        <w:t xml:space="preserve"> </w:t>
      </w:r>
      <w:r w:rsidR="00AA753F">
        <w:t>molecular amplification assays</w:t>
      </w:r>
      <w:r w:rsidR="00C516B4">
        <w:t>. This</w:t>
      </w:r>
      <w:r w:rsidR="00BC1BAA" w:rsidRPr="0084587D">
        <w:t xml:space="preserve"> </w:t>
      </w:r>
      <w:r w:rsidR="00BC1BAA" w:rsidRPr="00AA11F6">
        <w:t>inclu</w:t>
      </w:r>
      <w:r w:rsidR="00C516B4">
        <w:t>des</w:t>
      </w:r>
      <w:r w:rsidR="00BC1BAA" w:rsidRPr="00AA11F6">
        <w:t xml:space="preserve"> </w:t>
      </w:r>
      <w:r w:rsidR="00896E73">
        <w:t xml:space="preserve">designated rooms, </w:t>
      </w:r>
      <w:r w:rsidR="00BC1BAA" w:rsidRPr="00AA11F6">
        <w:t>workflow</w:t>
      </w:r>
      <w:r w:rsidR="00C3566C">
        <w:t xml:space="preserve"> plan</w:t>
      </w:r>
      <w:r w:rsidR="00BC1BAA" w:rsidRPr="00AA11F6">
        <w:t>, reagents, consumables and staff within a molecular diagnostic laboratory</w:t>
      </w:r>
      <w:r w:rsidR="00FC3F89">
        <w:fldChar w:fldCharType="begin" w:fldLock="1"/>
      </w:r>
      <w:r w:rsidR="008E13E3">
        <w:instrText xml:space="preserve"> ADDIN EN.CITE &lt;EndNote&gt;&lt;Cite&gt;&lt;Author&gt;TE&lt;/Author&gt;&lt;Year&gt;1995&lt;/Year&gt;&lt;RecNum&gt;9&lt;/RecNum&gt;&lt;DisplayText&gt;&lt;style face="superscript"&gt;1&lt;/style&gt;&lt;/DisplayText&gt;&lt;record&gt;&lt;rec-number&gt;9&lt;/rec-number&gt;&lt;foreign-keys&gt;&lt;key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VI&lt;/style&gt;&lt;/research-notes&gt;&lt;/record&gt;&lt;/Cite&gt;&lt;/EndNote&gt;</w:instrText>
      </w:r>
      <w:r w:rsidR="00FC3F89">
        <w:fldChar w:fldCharType="separate"/>
      </w:r>
      <w:r w:rsidR="00FC3F89" w:rsidRPr="00FC3F89">
        <w:rPr>
          <w:noProof/>
          <w:vertAlign w:val="superscript"/>
        </w:rPr>
        <w:t>1</w:t>
      </w:r>
      <w:r w:rsidR="00FC3F89">
        <w:fldChar w:fldCharType="end"/>
      </w:r>
      <w:r w:rsidR="00BC1BAA">
        <w:t>.</w:t>
      </w:r>
    </w:p>
    <w:p w14:paraId="4C972D0B" w14:textId="77777777" w:rsidR="00CA5C5D" w:rsidRPr="000079C4" w:rsidRDefault="00CA5C5D" w:rsidP="00CA5C5D">
      <w:pPr>
        <w:pStyle w:val="PHEBodytext"/>
        <w:rPr>
          <w:rFonts w:cs="Arial"/>
        </w:rPr>
      </w:pPr>
      <w:r w:rsidRPr="000079C4">
        <w:rPr>
          <w:rFonts w:cs="Arial"/>
        </w:rPr>
        <w:t xml:space="preserve">This </w:t>
      </w:r>
      <w:r w:rsidR="00C516B4">
        <w:rPr>
          <w:rFonts w:cs="Arial"/>
        </w:rPr>
        <w:t xml:space="preserve">UK </w:t>
      </w:r>
      <w:r w:rsidRPr="000079C4">
        <w:rPr>
          <w:rFonts w:cs="Arial"/>
        </w:rPr>
        <w:t xml:space="preserve">SMI should be used in conjunction with other </w:t>
      </w:r>
      <w:r w:rsidR="00C516B4">
        <w:rPr>
          <w:rFonts w:cs="Arial"/>
        </w:rPr>
        <w:t xml:space="preserve">UK </w:t>
      </w:r>
      <w:r w:rsidRPr="000079C4">
        <w:rPr>
          <w:rFonts w:cs="Arial"/>
        </w:rPr>
        <w:t xml:space="preserve">SMIs. </w:t>
      </w:r>
    </w:p>
    <w:p w14:paraId="5EA7E220" w14:textId="77777777" w:rsidR="00751B6F" w:rsidRPr="000079C4" w:rsidRDefault="0090734C" w:rsidP="001C6D47">
      <w:pPr>
        <w:pStyle w:val="PHEreportHeading1"/>
      </w:pPr>
      <w:bookmarkStart w:id="8" w:name="_Toc506805749"/>
      <w:r w:rsidRPr="000079C4">
        <w:t>Introduction</w:t>
      </w:r>
      <w:bookmarkEnd w:id="8"/>
    </w:p>
    <w:p w14:paraId="699ACB60" w14:textId="77777777" w:rsidR="00BE5B8D" w:rsidRPr="00AA11F6" w:rsidRDefault="00BE5B8D" w:rsidP="00231E5A">
      <w:pPr>
        <w:pStyle w:val="PHEBodytext"/>
      </w:pPr>
      <w:bookmarkStart w:id="9" w:name="_Toc14665907"/>
      <w:bookmarkStart w:id="10" w:name="_Toc14665905"/>
      <w:r w:rsidRPr="00AA11F6">
        <w:t xml:space="preserve">The ability of </w:t>
      </w:r>
      <w:r w:rsidR="008808A9">
        <w:t>polymerase chain reaction (</w:t>
      </w:r>
      <w:r w:rsidRPr="00AA11F6">
        <w:t>PCR</w:t>
      </w:r>
      <w:r w:rsidR="008808A9">
        <w:t>)</w:t>
      </w:r>
      <w:r w:rsidRPr="00AA11F6">
        <w:t xml:space="preserve"> to produce large numbers of copies of a target sequence from minute quantities - sometimes single copies of DNA has provided the exquisite sensitivity that makes PCR a powerful diagnostic tool</w:t>
      </w:r>
      <w:r>
        <w:t xml:space="preserve">. </w:t>
      </w:r>
      <w:r w:rsidRPr="00AA11F6">
        <w:t>However, this ability also necessitates that extreme care</w:t>
      </w:r>
      <w:r w:rsidR="00AA753F">
        <w:t xml:space="preserve"> needs to</w:t>
      </w:r>
      <w:r w:rsidRPr="00AA11F6">
        <w:t xml:space="preserve"> be taken to avoid the generation of false</w:t>
      </w:r>
      <w:r w:rsidR="00EE2A52">
        <w:t xml:space="preserve"> </w:t>
      </w:r>
      <w:r w:rsidRPr="00AA11F6">
        <w:t>positive results.</w:t>
      </w:r>
      <w:bookmarkEnd w:id="9"/>
    </w:p>
    <w:p w14:paraId="72791556" w14:textId="7B57FBCC" w:rsidR="00BE5B8D" w:rsidRDefault="00EE2A52" w:rsidP="009F09B1">
      <w:pPr>
        <w:pStyle w:val="PHEBodytext"/>
        <w:rPr>
          <w:rFonts w:cs="Arial"/>
        </w:rPr>
      </w:pPr>
      <w:bookmarkStart w:id="11" w:name="_Toc14665908"/>
      <w:r>
        <w:t xml:space="preserve">False </w:t>
      </w:r>
      <w:r w:rsidR="00BE5B8D" w:rsidRPr="00AA11F6">
        <w:t xml:space="preserve">positive results can </w:t>
      </w:r>
      <w:r w:rsidR="000A0EC5">
        <w:t>occur</w:t>
      </w:r>
      <w:r w:rsidR="000A0EC5" w:rsidRPr="00AA11F6">
        <w:t xml:space="preserve"> </w:t>
      </w:r>
      <w:r w:rsidR="00BE5B8D" w:rsidRPr="00AA11F6">
        <w:t xml:space="preserve">from sample-to-sample contamination and from the carry-over of </w:t>
      </w:r>
      <w:r w:rsidR="00F42B85">
        <w:t>amplicons</w:t>
      </w:r>
      <w:r w:rsidR="00BE5B8D" w:rsidRPr="00AA11F6">
        <w:t xml:space="preserve"> from a previous amplification of the same target</w:t>
      </w:r>
      <w:r w:rsidR="00BE5B8D">
        <w:t xml:space="preserve">. </w:t>
      </w:r>
      <w:r w:rsidR="00C52C54" w:rsidRPr="00C52C54">
        <w:t>Another si</w:t>
      </w:r>
      <w:r w:rsidR="00C52C54">
        <w:t xml:space="preserve">gnificant </w:t>
      </w:r>
      <w:r w:rsidR="00C52C54" w:rsidRPr="00C52C54">
        <w:t>risk is through cross-contamination of different reactions p</w:t>
      </w:r>
      <w:r w:rsidR="00B42FD3">
        <w:t>repared at the same time</w:t>
      </w:r>
      <w:r w:rsidR="006D0DA1">
        <w:t xml:space="preserve"> and </w:t>
      </w:r>
      <w:r w:rsidR="00C52C54" w:rsidRPr="00C52C54">
        <w:t>contamination of master stocks (</w:t>
      </w:r>
      <w:r w:rsidR="002D4549">
        <w:t>for example</w:t>
      </w:r>
      <w:r w:rsidR="00C52C54" w:rsidRPr="00C52C54">
        <w:t xml:space="preserve"> oligonucleotide stocks) by DNA templates </w:t>
      </w:r>
      <w:r w:rsidR="00B42FD3">
        <w:t xml:space="preserve">which </w:t>
      </w:r>
      <w:r w:rsidR="00C52C54" w:rsidRPr="00C52C54">
        <w:t xml:space="preserve">is a major </w:t>
      </w:r>
      <w:r w:rsidR="00F559B3">
        <w:t>risk</w:t>
      </w:r>
      <w:r w:rsidR="00C52C54" w:rsidRPr="00C52C54">
        <w:t xml:space="preserve"> to be considered</w:t>
      </w:r>
      <w:r w:rsidR="00977F3A">
        <w:fldChar w:fldCharType="begin" w:fldLock="1">
          <w:fldData xml:space="preserve">PEVuZE5vdGU+PENpdGU+PEF1dGhvcj5CYW5hc2lrPC9BdXRob3I+PFllYXI+MjAxNjwvWWVhcj48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</w:fldData>
        </w:fldChar>
      </w:r>
      <w:r w:rsidR="008E13E3">
        <w:instrText xml:space="preserve"> ADDIN EN.CITE </w:instrText>
      </w:r>
      <w:r w:rsidR="008E13E3">
        <w:fldChar w:fldCharType="begin" w:fldLock="1">
          <w:fldData xml:space="preserve">PEVuZE5vdGU+PENpdGU+PEF1dGhvcj5CYW5hc2lrPC9BdXRob3I+PFllYXI+MjAxNjwvWWVhcj48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</w:fldData>
        </w:fldChar>
      </w:r>
      <w:r w:rsidR="008E13E3">
        <w:instrText xml:space="preserve"> ADDIN EN.CITE.DATA </w:instrText>
      </w:r>
      <w:r w:rsidR="008E13E3">
        <w:fldChar w:fldCharType="end"/>
      </w:r>
      <w:r w:rsidR="00977F3A">
        <w:fldChar w:fldCharType="separate"/>
      </w:r>
      <w:r w:rsidR="00977F3A" w:rsidRPr="00977F3A">
        <w:rPr>
          <w:noProof/>
          <w:vertAlign w:val="superscript"/>
        </w:rPr>
        <w:t>2</w:t>
      </w:r>
      <w:r w:rsidR="00977F3A">
        <w:fldChar w:fldCharType="end"/>
      </w:r>
      <w:r w:rsidR="00C52C54" w:rsidRPr="00C52C54">
        <w:t>.</w:t>
      </w:r>
      <w:r w:rsidR="00645707">
        <w:t xml:space="preserve"> </w:t>
      </w:r>
      <w:r w:rsidR="00C9747A" w:rsidRPr="00161DBF">
        <w:rPr>
          <w:rFonts w:cs="Arial"/>
        </w:rPr>
        <w:t>In addition to clone</w:t>
      </w:r>
      <w:r w:rsidR="005C5633">
        <w:rPr>
          <w:rFonts w:cs="Arial"/>
        </w:rPr>
        <w:t>d</w:t>
      </w:r>
      <w:r w:rsidR="00C9747A" w:rsidRPr="00161DBF">
        <w:rPr>
          <w:rFonts w:cs="Arial"/>
        </w:rPr>
        <w:t xml:space="preserve"> DNA </w:t>
      </w:r>
      <w:r w:rsidR="00C9747A">
        <w:rPr>
          <w:rFonts w:cs="Arial"/>
        </w:rPr>
        <w:t>and virus cell cultures, microorganis</w:t>
      </w:r>
      <w:r w:rsidR="00C9747A" w:rsidRPr="00161DBF">
        <w:rPr>
          <w:rFonts w:cs="Arial"/>
        </w:rPr>
        <w:t>ms within the environment are a significant source of contamination.</w:t>
      </w:r>
      <w:r w:rsidR="00C52C54" w:rsidRPr="00C52C54">
        <w:rPr>
          <w:szCs w:val="24"/>
        </w:rPr>
        <w:t xml:space="preserve"> </w:t>
      </w:r>
      <w:r w:rsidR="00C52C54" w:rsidRPr="00C52C54">
        <w:rPr>
          <w:rFonts w:cs="Arial"/>
        </w:rPr>
        <w:t>This can be limited by meticulous attention to good laboratory procedures</w:t>
      </w:r>
      <w:r w:rsidR="00C40968">
        <w:rPr>
          <w:rFonts w:cs="Arial"/>
        </w:rPr>
        <w:fldChar w:fldCharType="begin" w:fldLock="1"/>
      </w:r>
      <w:r w:rsidR="008E13E3">
        <w:rPr>
          <w:rFonts w:cs="Arial"/>
        </w:rPr>
        <w:instrText xml:space="preserve"> ADDIN EN.CITE &lt;EndNote&gt;&lt;Cite&gt;&lt;Author&gt;Lo&lt;/Author&gt;&lt;Year&gt;2006&lt;/Year&gt;&lt;RecNum&gt;36&lt;/RecNum&gt;&lt;DisplayText&gt;&lt;style face="superscript"&gt;3&lt;/style&gt;&lt;/DisplayText&gt;&lt;record&gt;&lt;rec-number&gt;36&lt;/rec-number&gt;&lt;foreign-keys&gt;&lt;key app="EN" db-id="pvwvpw2wgszvfietprqxz0d1rrptvr2vrwas" timestamp="1506665413"&gt;36&lt;/key&gt;&lt;/foreign-keys&gt;&lt;ref-type name="Book Section"&gt;5&lt;/ref-type&gt;&lt;contributors&gt;&lt;authors&gt;&lt;author&gt;Lo, Y. M. D.,Chan, K. C. A.,&lt;/author&gt;&lt;/authors&gt;&lt;/contributors&gt;&lt;titles&gt;&lt;title&gt;Setting Up a Polymerase Chain Reaction Laboratory.&lt;/title&gt;&lt;secondary-title&gt;Methods in molecular biology.&lt;/secondary-title&gt;&lt;/titles&gt;&lt;pages&gt;11-18.&lt;/pages&gt;&lt;volume&gt;336&lt;/volume&gt;&lt;section&gt;2&lt;/section&gt;&lt;dates&gt;&lt;year&gt;2006&lt;/year&gt;&lt;/dates&gt;&lt;publisher&gt;HUMANA PRESS&lt;/publisher&gt;&lt;urls&gt;&lt;related-urls&gt;&lt;url&gt;https://rd.springer.com/protocol/10.1385%2F1-59745-074-X%3A11&lt;/url&gt;&lt;/related-urls&gt;&lt;/urls&gt;&lt;research-notes&gt;&lt;style face="bold" font="default" size="100%"&gt;B, III&lt;/style&gt;&lt;/research-notes&gt;&lt;/record&gt;&lt;/Cite&gt;&lt;/EndNote&gt;</w:instrText>
      </w:r>
      <w:r w:rsidR="00C40968">
        <w:rPr>
          <w:rFonts w:cs="Arial"/>
        </w:rPr>
        <w:fldChar w:fldCharType="separate"/>
      </w:r>
      <w:r w:rsidR="00C40968" w:rsidRPr="00C40968">
        <w:rPr>
          <w:rFonts w:cs="Arial"/>
          <w:noProof/>
          <w:vertAlign w:val="superscript"/>
        </w:rPr>
        <w:t>3</w:t>
      </w:r>
      <w:r w:rsidR="00C40968">
        <w:rPr>
          <w:rFonts w:cs="Arial"/>
        </w:rPr>
        <w:fldChar w:fldCharType="end"/>
      </w:r>
      <w:r w:rsidR="00C52C54" w:rsidRPr="00C52C54">
        <w:rPr>
          <w:rFonts w:cs="Arial"/>
        </w:rPr>
        <w:t>.</w:t>
      </w:r>
      <w:r w:rsidR="00C9747A">
        <w:rPr>
          <w:rFonts w:cs="Arial"/>
        </w:rPr>
        <w:t xml:space="preserve"> </w:t>
      </w:r>
      <w:bookmarkEnd w:id="11"/>
    </w:p>
    <w:p w14:paraId="2A3480ED" w14:textId="77777777" w:rsidR="00BE5B8D" w:rsidRPr="009D302B" w:rsidRDefault="003F5A62" w:rsidP="00231E5A">
      <w:pPr>
        <w:pStyle w:val="PHEBodytext"/>
      </w:pPr>
      <w:bookmarkStart w:id="12" w:name="_Toc14665909"/>
      <w:r>
        <w:t>Thought</w:t>
      </w:r>
      <w:r w:rsidR="00BE5B8D" w:rsidRPr="00AA11F6">
        <w:t xml:space="preserve"> should be given to facility design and operation within clinical laboratories in which polymerase chain reactions are performed</w:t>
      </w:r>
      <w:r w:rsidR="00BE5B8D">
        <w:t xml:space="preserve">. </w:t>
      </w:r>
      <w:r w:rsidR="00836D0C" w:rsidRPr="00836D0C">
        <w:t>Laboratories should be designed to prevent exposure of pre-PCR</w:t>
      </w:r>
      <w:r w:rsidR="00F42B85">
        <w:t xml:space="preserve"> reagents and materials to </w:t>
      </w:r>
      <w:r w:rsidR="00836D0C" w:rsidRPr="00836D0C">
        <w:t xml:space="preserve">PCR </w:t>
      </w:r>
      <w:r w:rsidR="00F42B85">
        <w:t>products/</w:t>
      </w:r>
      <w:r w:rsidR="00836D0C" w:rsidRPr="00836D0C">
        <w:t>contaminants.</w:t>
      </w:r>
      <w:r w:rsidR="00836D0C">
        <w:t xml:space="preserve"> </w:t>
      </w:r>
      <w:bookmarkEnd w:id="12"/>
      <w:r>
        <w:t xml:space="preserve">Consideration needs to be given to other activities that could cause contamination such as shared specimens between laboratories as well as handling of “cultured” samples in molecular laboratory workspace. Cultured isolates present a contamination risk that could compromise primary molecular diagnostic assays from primary samples. </w:t>
      </w:r>
      <w:r w:rsidRPr="00AA11F6">
        <w:t xml:space="preserve">This document describes procedures that will help to minimise the carry-over of </w:t>
      </w:r>
      <w:r w:rsidRPr="009D302B">
        <w:t>amplified nucleic acid.</w:t>
      </w:r>
    </w:p>
    <w:p w14:paraId="3B42C12A" w14:textId="1EFC1A24" w:rsidR="00BE5B8D" w:rsidRDefault="009D302B" w:rsidP="00231E5A">
      <w:pPr>
        <w:pStyle w:val="PHEBodytext"/>
      </w:pPr>
      <w:r w:rsidRPr="009D302B">
        <w:t xml:space="preserve">Whilst the guidance concerns the majority of PCR applications, they are most relevant where ‘in-house’ assays are in use and applicable to many modifications of the basic PCR protocol for example nested PCR, although specific details are not provided. The guidance may be less relevant when using commercial kits, or performing other amplification </w:t>
      </w:r>
      <w:r w:rsidRPr="002E061C">
        <w:t xml:space="preserve">procedures. </w:t>
      </w:r>
      <w:bookmarkEnd w:id="10"/>
      <w:r w:rsidR="00BE5B8D" w:rsidRPr="002E061C">
        <w:t xml:space="preserve"> However, the greatest threat of contamination lies in laboratories that practise techniques</w:t>
      </w:r>
      <w:r w:rsidR="00BE5B8D" w:rsidRPr="00AA11F6">
        <w:t xml:space="preserve"> that involve manipulation of amplified product or cloned DNA such as plasmids containing DNA target regions. Laboratories exclusively performing real-time PCR</w:t>
      </w:r>
      <w:r w:rsidR="009F1303">
        <w:t xml:space="preserve"> (qPCR)</w:t>
      </w:r>
      <w:r w:rsidR="00BE5B8D" w:rsidRPr="00AA11F6">
        <w:t xml:space="preserve"> and discarding all amplified product without opening the tubes or sealed plates containing product are less liable to contamination. Further reassurance can be provided in many commercial or in-house systems by the enzymatic anti-contamination features described in section 5. Even in laboratories that avoid manipulation of </w:t>
      </w:r>
      <w:r w:rsidR="00E5001A">
        <w:t xml:space="preserve">PCR </w:t>
      </w:r>
      <w:r w:rsidR="00BE5B8D" w:rsidRPr="00AA11F6">
        <w:t>product</w:t>
      </w:r>
      <w:r w:rsidR="00E5001A">
        <w:t>,</w:t>
      </w:r>
      <w:r w:rsidR="00BE5B8D" w:rsidRPr="00AA11F6">
        <w:t xml:space="preserve"> the good practice described in this document should be standard practice, especially in the clean room. Similar guidelines are available from other </w:t>
      </w:r>
      <w:r w:rsidR="008C7CEB">
        <w:t>organisations</w:t>
      </w:r>
      <w:r w:rsidR="00FC3F89">
        <w:fldChar w:fldCharType="begin" w:fldLock="1"/>
      </w:r>
      <w:r w:rsidR="00C40968">
        <w:instrText xml:space="preserve"> ADDIN EN.CITE &lt;EndNote&gt;&lt;Cite&gt;&lt;Author&gt;Agency&lt;/Author&gt;&lt;Year&gt;2004&lt;/Year&gt;&lt;RecNum&gt;1&lt;/RecNum&gt;&lt;DisplayText&gt;&lt;style face="superscript"&gt;4&lt;/style&gt;&lt;/DisplayText&gt;&lt;record&gt;&lt;rec-number&gt;1&lt;/rec-number&gt;&lt;foreign-keys&gt;&lt;key app="EN" db-id="pvwvpw2wgszvfietprqxz0d1rrptvr2vrwas" timestamp="1493382673"&gt;1&lt;/key&gt;&lt;/foreign-keys&gt;&lt;ref-type name="Report"&gt;27&lt;/ref-type&gt;&lt;contributors&gt;&lt;authors&gt;&lt;author&gt;US Environmental Protection Agency,&lt;/author&gt;&lt;/authors&gt;&lt;/contributors&gt;&lt;titles&gt;&lt;title&gt;Quality Assurance/Quality Control Guidance for Laboratories Performing PCR Analyses on Environmental Samples&lt;/title&gt;&lt;/titles&gt;&lt;keywords&gt;&lt;keyword&gt;control&lt;/keyword&gt;&lt;keyword&gt;Laboratories&lt;/keyword&gt;&lt;keyword&gt;PCR&lt;/keyword&gt;&lt;keyword&gt;Q 4&lt;/keyword&gt;&lt;/keywords&gt;&lt;dates&gt;&lt;year&gt;2004&lt;/year&gt;&lt;pub-dates&gt;&lt;date&gt;10/2004&lt;/date&gt;&lt;/pub-dates&gt;&lt;/dates&gt;&lt;label&gt;35147&lt;/label&gt;&lt;urls&gt;&lt;/urls&gt;&lt;research-notes&gt;&lt;style face="bold" font="default" size="100%"&gt;B, VI&lt;/style&gt;&lt;/research-notes&gt;&lt;/record&gt;&lt;/Cite&gt;&lt;/EndNote&gt;</w:instrText>
      </w:r>
      <w:r w:rsidR="00FC3F89">
        <w:fldChar w:fldCharType="separate"/>
      </w:r>
      <w:r w:rsidR="00C40968" w:rsidRPr="00C40968">
        <w:rPr>
          <w:noProof/>
          <w:vertAlign w:val="superscript"/>
        </w:rPr>
        <w:t>4</w:t>
      </w:r>
      <w:r w:rsidR="00FC3F89">
        <w:fldChar w:fldCharType="end"/>
      </w:r>
      <w:r w:rsidR="00BE5B8D" w:rsidRPr="00AA11F6">
        <w:t>.</w:t>
      </w:r>
    </w:p>
    <w:p w14:paraId="0AF94386" w14:textId="76350899" w:rsidR="00E0446F" w:rsidRDefault="00F26276" w:rsidP="006D0DA1">
      <w:pPr>
        <w:autoSpaceDE w:val="0"/>
        <w:autoSpaceDN w:val="0"/>
        <w:adjustRightInd w:val="0"/>
        <w:ind w:left="0" w:firstLine="0"/>
        <w:rPr>
          <w:rFonts w:cs="Arial"/>
        </w:rPr>
      </w:pPr>
      <w:r w:rsidRPr="00F26276">
        <w:t xml:space="preserve">Next-Generation Sequencing (NGS) </w:t>
      </w:r>
      <w:proofErr w:type="gramStart"/>
      <w:r w:rsidR="008C7CEB">
        <w:t>technology</w:t>
      </w:r>
      <w:r w:rsidR="00CA1D41">
        <w:t xml:space="preserve"> </w:t>
      </w:r>
      <w:r w:rsidRPr="00F26276">
        <w:t>involve</w:t>
      </w:r>
      <w:proofErr w:type="gramEnd"/>
      <w:r w:rsidRPr="00F26276">
        <w:t xml:space="preserve"> one or more PCR amplification steps, so the practices </w:t>
      </w:r>
      <w:r w:rsidRPr="00FA1764">
        <w:t>described also apply to NGS</w:t>
      </w:r>
      <w:r w:rsidR="008C7CEB">
        <w:fldChar w:fldCharType="begin" w:fldLock="1">
          <w:fldData xml:space="preserve">PEVuZE5vdGU+PENpdGU+PEF1dGhvcj5CdWVybWFuczwvQXV0aG9yPjxZZWFyPjIwMTQ8L1llYXI+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</w:fldData>
        </w:fldChar>
      </w:r>
      <w:r w:rsidR="008E13E3">
        <w:instrText xml:space="preserve"> ADDIN EN.CITE </w:instrText>
      </w:r>
      <w:r w:rsidR="008E13E3">
        <w:fldChar w:fldCharType="begin" w:fldLock="1">
          <w:fldData xml:space="preserve">PEVuZE5vdGU+PENpdGU+PEF1dGhvcj5CdWVybWFuczwvQXV0aG9yPjxZZWFyPjIwMTQ8L1llYXI+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</w:fldData>
        </w:fldChar>
      </w:r>
      <w:r w:rsidR="008E13E3">
        <w:instrText xml:space="preserve"> ADDIN EN.CITE.DATA </w:instrText>
      </w:r>
      <w:r w:rsidR="008E13E3">
        <w:fldChar w:fldCharType="end"/>
      </w:r>
      <w:r w:rsidR="008C7CEB">
        <w:fldChar w:fldCharType="separate"/>
      </w:r>
      <w:r w:rsidR="00C40968" w:rsidRPr="00C40968">
        <w:rPr>
          <w:noProof/>
          <w:vertAlign w:val="superscript"/>
        </w:rPr>
        <w:t>5</w:t>
      </w:r>
      <w:r w:rsidR="008C7CEB">
        <w:fldChar w:fldCharType="end"/>
      </w:r>
      <w:r w:rsidRPr="00FA1764">
        <w:t>.</w:t>
      </w:r>
      <w:r w:rsidRPr="00FA1764">
        <w:rPr>
          <w:rFonts w:cs="Arial"/>
        </w:rPr>
        <w:t xml:space="preserve"> Additional contamination risks are present </w:t>
      </w:r>
      <w:r w:rsidR="008C7CEB">
        <w:rPr>
          <w:rFonts w:cs="Arial"/>
        </w:rPr>
        <w:t>in</w:t>
      </w:r>
      <w:r w:rsidRPr="00FA1764">
        <w:rPr>
          <w:rFonts w:cs="Arial"/>
        </w:rPr>
        <w:t xml:space="preserve"> NGS, particularly surrounding the use of </w:t>
      </w:r>
      <w:r w:rsidRPr="00FA1764">
        <w:rPr>
          <w:rFonts w:cs="Arial"/>
        </w:rPr>
        <w:lastRenderedPageBreak/>
        <w:t>adaptor/index molecules throughout an NGS workflow.</w:t>
      </w:r>
      <w:r w:rsidR="00FA1764" w:rsidRPr="00FA1764">
        <w:rPr>
          <w:rFonts w:cs="Arial"/>
        </w:rPr>
        <w:t xml:space="preserve"> </w:t>
      </w:r>
      <w:r w:rsidR="00FA1764" w:rsidRPr="006D0DA1">
        <w:rPr>
          <w:rFonts w:cs="Arial"/>
        </w:rPr>
        <w:t xml:space="preserve">This potential contamination can be </w:t>
      </w:r>
      <w:r w:rsidR="008C7CEB" w:rsidRPr="006D0DA1">
        <w:rPr>
          <w:rFonts w:cs="Arial"/>
        </w:rPr>
        <w:t>due to</w:t>
      </w:r>
      <w:r w:rsidR="00FA1764" w:rsidRPr="00CF5507">
        <w:rPr>
          <w:rFonts w:cs="Arial"/>
        </w:rPr>
        <w:t xml:space="preserve"> a f</w:t>
      </w:r>
      <w:r w:rsidR="00FA1764" w:rsidRPr="006D0DA1">
        <w:rPr>
          <w:rFonts w:cs="Arial"/>
        </w:rPr>
        <w:t>ailure to remove free adapters or primers from prepared libraries which may result in index hopping</w:t>
      </w:r>
      <w:r w:rsidR="005E094A" w:rsidRPr="006D0DA1">
        <w:rPr>
          <w:rFonts w:cs="Arial"/>
        </w:rPr>
        <w:t xml:space="preserve"> (also known as index switching) </w:t>
      </w:r>
      <w:r w:rsidR="00FA1764" w:rsidRPr="006D0DA1">
        <w:rPr>
          <w:rFonts w:cs="Arial"/>
        </w:rPr>
        <w:t xml:space="preserve">and </w:t>
      </w:r>
      <w:proofErr w:type="spellStart"/>
      <w:r w:rsidR="00FA1764" w:rsidRPr="006D0DA1">
        <w:rPr>
          <w:rFonts w:cs="Arial"/>
        </w:rPr>
        <w:t>misassignment</w:t>
      </w:r>
      <w:proofErr w:type="spellEnd"/>
    </w:p>
    <w:p w14:paraId="17A0284D" w14:textId="52E2AAD7" w:rsidR="00D17039" w:rsidRDefault="00FA1764" w:rsidP="006D0DA1">
      <w:pPr>
        <w:autoSpaceDE w:val="0"/>
        <w:autoSpaceDN w:val="0"/>
        <w:adjustRightInd w:val="0"/>
        <w:ind w:left="0" w:firstLine="0"/>
        <w:rPr>
          <w:rFonts w:cs="Arial"/>
        </w:rPr>
      </w:pPr>
      <w:proofErr w:type="gramStart"/>
      <w:r w:rsidRPr="006D0DA1">
        <w:rPr>
          <w:rFonts w:cs="Arial"/>
        </w:rPr>
        <w:t>of</w:t>
      </w:r>
      <w:proofErr w:type="gramEnd"/>
      <w:r w:rsidRPr="006D0DA1">
        <w:rPr>
          <w:rFonts w:cs="Arial"/>
        </w:rPr>
        <w:t xml:space="preserve"> libraries from the expected index to a different index in the pool, leading to misalignment and inaccurate sequencing results.</w:t>
      </w:r>
      <w:r w:rsidR="00F831D9" w:rsidRPr="006D0DA1">
        <w:rPr>
          <w:rFonts w:cs="Arial"/>
        </w:rPr>
        <w:t xml:space="preserve"> However, to reduce the effects of index hopping, it is essential that users adhere to </w:t>
      </w:r>
      <w:r w:rsidR="00AC12AE" w:rsidRPr="006D0DA1">
        <w:rPr>
          <w:rFonts w:cs="Arial"/>
        </w:rPr>
        <w:t xml:space="preserve">sequencing system </w:t>
      </w:r>
      <w:r w:rsidR="00F831D9" w:rsidRPr="006D0DA1">
        <w:rPr>
          <w:rFonts w:cs="Arial"/>
        </w:rPr>
        <w:t>manufacturers’ instructions</w:t>
      </w:r>
      <w:r w:rsidR="00AC12AE" w:rsidRPr="006D0DA1">
        <w:rPr>
          <w:rFonts w:cs="Arial"/>
        </w:rPr>
        <w:t xml:space="preserve"> on best practices, as well as the library preparation workflow</w:t>
      </w:r>
      <w:r w:rsidR="00BB5614" w:rsidRPr="006D0DA1">
        <w:rPr>
          <w:rFonts w:cs="Arial"/>
        </w:rPr>
        <w:fldChar w:fldCharType="begin" w:fldLock="1"/>
      </w:r>
      <w:r w:rsidR="008E13E3">
        <w:rPr>
          <w:rFonts w:cs="Arial"/>
        </w:rPr>
        <w:instrText xml:space="preserve"> ADDIN EN.CITE &lt;EndNote&gt;&lt;Cite&gt;&lt;Author&gt;Kircher&lt;/Author&gt;&lt;Year&gt;2010&lt;/Year&gt;&lt;RecNum&gt;13&lt;/RecNum&gt;&lt;DisplayText&gt;&lt;style face="superscript"&gt;6&lt;/style&gt;&lt;/DisplayText&gt;&lt;record&gt;&lt;rec-number&gt;13&lt;/rec-number&gt;&lt;foreign-keys&gt;&lt;key app="EN" db-id="pvwvpw2wgszvfietprqxz0d1rrptvr2vrwas" timestamp="1504187448"&gt;13&lt;/key&gt;&lt;/foreign-keys&gt;&lt;ref-type name="Journal Article"&gt;17&lt;/ref-type&gt;&lt;contributors&gt;&lt;authors&gt;&lt;author&gt;Kircher, M.&lt;/author&gt;&lt;author&gt;Kelso, J.&lt;/author&gt;&lt;/authors&gt;&lt;/contributors&gt;&lt;auth-address&gt;Department of Evolutionary Genetics, Max Planck Institute for Evolutionary Anthropology, Leipzig, Germany.&lt;/auth-address&gt;&lt;titles&gt;&lt;title&gt;High-throughput DNA sequencing--concepts and limitations&lt;/title&gt;&lt;secondary-title&gt;Bioessays&lt;/secondary-title&gt;&lt;/titles&gt;&lt;periodical&gt;&lt;full-title&gt;Bioessays&lt;/full-title&gt;&lt;/periodical&gt;&lt;pages&gt;524-36&lt;/pages&gt;&lt;volume&gt;32&lt;/volume&gt;&lt;number&gt;6&lt;/number&gt;&lt;keywords&gt;&lt;keyword&gt;Sequence Analysis, DNA/*instrumentation/*methods&lt;/keyword&gt;&lt;/keywords&gt;&lt;dates&gt;&lt;year&gt;2010&lt;/year&gt;&lt;pub-dates&gt;&lt;date&gt;Jun&lt;/date&gt;&lt;/pub-dates&gt;&lt;/dates&gt;&lt;isbn&gt;1521-1878 (Electronic)&amp;#xD;0265-9247 (Linking)&lt;/isbn&gt;&lt;accession-num&gt;20486139&lt;/accession-num&gt;&lt;urls&gt;&lt;related-urls&gt;&lt;url&gt;&lt;style face="underline" font="default" size="100%"&gt;https://www.ncbi.nlm.nih.gov/pubmed/20486139&lt;/style&gt;&lt;/url&gt;&lt;url&gt;&lt;style face="underline" font="default" size="100%"&gt;http://onlinelibrary.wiley.com/doi/10.1002/bies.200900181/abstract&lt;/style&gt;&lt;/url&gt;&lt;/related-urls&gt;&lt;/urls&gt;&lt;electronic-resource-num&gt;10.1002/bies.200900181&lt;/electronic-resource-num&gt;&lt;research-notes&gt;&lt;style face="bold" font="default" size="100%"&gt;B, III&lt;/style&gt;&lt;/research-notes&gt;&lt;/record&gt;&lt;/Cite&gt;&lt;/EndNote&gt;</w:instrText>
      </w:r>
      <w:r w:rsidR="00BB5614" w:rsidRPr="006D0DA1">
        <w:rPr>
          <w:rFonts w:cs="Arial"/>
        </w:rPr>
        <w:fldChar w:fldCharType="separate"/>
      </w:r>
      <w:r w:rsidR="00C40968" w:rsidRPr="00C40968">
        <w:rPr>
          <w:rFonts w:cs="Arial"/>
          <w:noProof/>
          <w:vertAlign w:val="superscript"/>
        </w:rPr>
        <w:t>6</w:t>
      </w:r>
      <w:r w:rsidR="00BB5614" w:rsidRPr="006D0DA1">
        <w:rPr>
          <w:rFonts w:cs="Arial"/>
        </w:rPr>
        <w:fldChar w:fldCharType="end"/>
      </w:r>
      <w:r w:rsidR="00AC12AE" w:rsidRPr="006D0DA1">
        <w:rPr>
          <w:rFonts w:cs="Arial"/>
        </w:rPr>
        <w:t>.</w:t>
      </w:r>
    </w:p>
    <w:p w14:paraId="731614B7" w14:textId="77777777" w:rsidR="00DD5D95" w:rsidRDefault="00DD5D95" w:rsidP="006D0DA1">
      <w:pPr>
        <w:autoSpaceDE w:val="0"/>
        <w:autoSpaceDN w:val="0"/>
        <w:adjustRightInd w:val="0"/>
        <w:ind w:left="0" w:firstLine="0"/>
        <w:rPr>
          <w:rFonts w:cs="Arial"/>
        </w:rPr>
      </w:pPr>
    </w:p>
    <w:p w14:paraId="312596C2" w14:textId="77777777" w:rsidR="00DD5D95" w:rsidRDefault="00DD5D95" w:rsidP="006D0DA1">
      <w:pPr>
        <w:autoSpaceDE w:val="0"/>
        <w:autoSpaceDN w:val="0"/>
        <w:adjustRightInd w:val="0"/>
        <w:ind w:left="0" w:firstLine="0"/>
        <w:rPr>
          <w:rFonts w:cs="Arial"/>
        </w:rPr>
      </w:pPr>
    </w:p>
    <w:p w14:paraId="0A156812" w14:textId="77777777" w:rsidR="00DD5D95" w:rsidRDefault="00DD5D95" w:rsidP="006D0DA1">
      <w:pPr>
        <w:autoSpaceDE w:val="0"/>
        <w:autoSpaceDN w:val="0"/>
        <w:adjustRightInd w:val="0"/>
        <w:ind w:left="0" w:firstLine="0"/>
        <w:rPr>
          <w:rFonts w:cs="Arial"/>
        </w:rPr>
      </w:pPr>
    </w:p>
    <w:p w14:paraId="72463AFA" w14:textId="77777777" w:rsidR="00DD5D95" w:rsidRDefault="00DD5D95" w:rsidP="006D0DA1">
      <w:pPr>
        <w:autoSpaceDE w:val="0"/>
        <w:autoSpaceDN w:val="0"/>
        <w:adjustRightInd w:val="0"/>
        <w:ind w:left="0" w:firstLine="0"/>
        <w:rPr>
          <w:rFonts w:cs="Arial"/>
        </w:rPr>
      </w:pPr>
    </w:p>
    <w:p w14:paraId="0B516AC1" w14:textId="77777777" w:rsidR="00DD5D95" w:rsidRDefault="00DD5D95" w:rsidP="006D0DA1">
      <w:pPr>
        <w:autoSpaceDE w:val="0"/>
        <w:autoSpaceDN w:val="0"/>
        <w:adjustRightInd w:val="0"/>
        <w:ind w:left="0" w:firstLine="0"/>
        <w:rPr>
          <w:rFonts w:cs="Arial"/>
        </w:rPr>
      </w:pPr>
    </w:p>
    <w:p w14:paraId="4D79312C" w14:textId="77777777" w:rsidR="00DD5D95" w:rsidRDefault="00DD5D95" w:rsidP="006D0DA1">
      <w:pPr>
        <w:autoSpaceDE w:val="0"/>
        <w:autoSpaceDN w:val="0"/>
        <w:adjustRightInd w:val="0"/>
        <w:ind w:left="0" w:firstLine="0"/>
        <w:rPr>
          <w:rFonts w:cs="Arial"/>
        </w:rPr>
      </w:pPr>
    </w:p>
    <w:p w14:paraId="3D6054A1" w14:textId="77777777" w:rsidR="00DD5D95" w:rsidRDefault="00DD5D95" w:rsidP="006D0DA1">
      <w:pPr>
        <w:autoSpaceDE w:val="0"/>
        <w:autoSpaceDN w:val="0"/>
        <w:adjustRightInd w:val="0"/>
        <w:ind w:left="0" w:firstLine="0"/>
        <w:rPr>
          <w:rFonts w:cs="Arial"/>
        </w:rPr>
      </w:pPr>
    </w:p>
    <w:p w14:paraId="339B70B1" w14:textId="77777777" w:rsidR="00DD5D95" w:rsidRDefault="00DD5D95" w:rsidP="006D0DA1">
      <w:pPr>
        <w:autoSpaceDE w:val="0"/>
        <w:autoSpaceDN w:val="0"/>
        <w:adjustRightInd w:val="0"/>
        <w:ind w:left="0" w:firstLine="0"/>
        <w:rPr>
          <w:rFonts w:cs="Arial"/>
        </w:rPr>
      </w:pPr>
    </w:p>
    <w:p w14:paraId="6D3F05B9" w14:textId="77777777" w:rsidR="00DD5D95" w:rsidRDefault="00DD5D95" w:rsidP="006D0DA1">
      <w:pPr>
        <w:autoSpaceDE w:val="0"/>
        <w:autoSpaceDN w:val="0"/>
        <w:adjustRightInd w:val="0"/>
        <w:ind w:left="0" w:firstLine="0"/>
        <w:rPr>
          <w:rFonts w:cs="Arial"/>
        </w:rPr>
      </w:pPr>
    </w:p>
    <w:p w14:paraId="25CB78BA" w14:textId="77777777" w:rsidR="00DD5D95" w:rsidRDefault="00DD5D95" w:rsidP="006D0DA1">
      <w:pPr>
        <w:autoSpaceDE w:val="0"/>
        <w:autoSpaceDN w:val="0"/>
        <w:adjustRightInd w:val="0"/>
        <w:ind w:left="0" w:firstLine="0"/>
        <w:rPr>
          <w:rFonts w:cs="Arial"/>
        </w:rPr>
      </w:pPr>
    </w:p>
    <w:p w14:paraId="09E34E6A" w14:textId="77777777" w:rsidR="00DD5D95" w:rsidRDefault="00DD5D95" w:rsidP="006D0DA1">
      <w:pPr>
        <w:autoSpaceDE w:val="0"/>
        <w:autoSpaceDN w:val="0"/>
        <w:adjustRightInd w:val="0"/>
        <w:ind w:left="0" w:firstLine="0"/>
        <w:rPr>
          <w:rFonts w:cs="Arial"/>
        </w:rPr>
      </w:pPr>
    </w:p>
    <w:p w14:paraId="7043FFFD" w14:textId="77777777" w:rsidR="00DD5D95" w:rsidRDefault="00DD5D95" w:rsidP="006D0DA1">
      <w:pPr>
        <w:autoSpaceDE w:val="0"/>
        <w:autoSpaceDN w:val="0"/>
        <w:adjustRightInd w:val="0"/>
        <w:ind w:left="0" w:firstLine="0"/>
        <w:rPr>
          <w:rFonts w:cs="Arial"/>
        </w:rPr>
      </w:pPr>
    </w:p>
    <w:p w14:paraId="7BC071AF" w14:textId="77777777" w:rsidR="00DD5D95" w:rsidRDefault="00DD5D95" w:rsidP="006D0DA1">
      <w:pPr>
        <w:autoSpaceDE w:val="0"/>
        <w:autoSpaceDN w:val="0"/>
        <w:adjustRightInd w:val="0"/>
        <w:ind w:left="0" w:firstLine="0"/>
        <w:rPr>
          <w:rFonts w:cs="Arial"/>
        </w:rPr>
      </w:pPr>
    </w:p>
    <w:p w14:paraId="20D6529E" w14:textId="77777777" w:rsidR="00DD5D95" w:rsidRDefault="00DD5D95" w:rsidP="006D0DA1">
      <w:pPr>
        <w:autoSpaceDE w:val="0"/>
        <w:autoSpaceDN w:val="0"/>
        <w:adjustRightInd w:val="0"/>
        <w:ind w:left="0" w:firstLine="0"/>
        <w:rPr>
          <w:rFonts w:cs="Arial"/>
        </w:rPr>
      </w:pPr>
    </w:p>
    <w:p w14:paraId="592C3D9B" w14:textId="77777777" w:rsidR="00DD5D95" w:rsidRDefault="00DD5D95" w:rsidP="006D0DA1">
      <w:pPr>
        <w:autoSpaceDE w:val="0"/>
        <w:autoSpaceDN w:val="0"/>
        <w:adjustRightInd w:val="0"/>
        <w:ind w:left="0" w:firstLine="0"/>
        <w:rPr>
          <w:rFonts w:cs="Arial"/>
        </w:rPr>
      </w:pPr>
    </w:p>
    <w:p w14:paraId="114444B8" w14:textId="77777777" w:rsidR="00DD5D95" w:rsidRDefault="00DD5D95" w:rsidP="006D0DA1">
      <w:pPr>
        <w:autoSpaceDE w:val="0"/>
        <w:autoSpaceDN w:val="0"/>
        <w:adjustRightInd w:val="0"/>
        <w:ind w:left="0" w:firstLine="0"/>
        <w:rPr>
          <w:rFonts w:cs="Arial"/>
        </w:rPr>
      </w:pPr>
    </w:p>
    <w:p w14:paraId="030CFF6B" w14:textId="77777777" w:rsidR="00DD5D95" w:rsidRDefault="00DD5D95" w:rsidP="006D0DA1">
      <w:pPr>
        <w:autoSpaceDE w:val="0"/>
        <w:autoSpaceDN w:val="0"/>
        <w:adjustRightInd w:val="0"/>
        <w:ind w:left="0" w:firstLine="0"/>
        <w:rPr>
          <w:rFonts w:cs="Arial"/>
        </w:rPr>
      </w:pPr>
    </w:p>
    <w:p w14:paraId="24AF64AB" w14:textId="77777777" w:rsidR="00DD5D95" w:rsidRDefault="00DD5D95" w:rsidP="006D0DA1">
      <w:pPr>
        <w:autoSpaceDE w:val="0"/>
        <w:autoSpaceDN w:val="0"/>
        <w:adjustRightInd w:val="0"/>
        <w:ind w:left="0" w:firstLine="0"/>
        <w:rPr>
          <w:rFonts w:cs="Arial"/>
        </w:rPr>
      </w:pPr>
    </w:p>
    <w:p w14:paraId="77B5C1D2" w14:textId="77777777" w:rsidR="00DD5D95" w:rsidRDefault="00DD5D95" w:rsidP="006D0DA1">
      <w:pPr>
        <w:autoSpaceDE w:val="0"/>
        <w:autoSpaceDN w:val="0"/>
        <w:adjustRightInd w:val="0"/>
        <w:ind w:left="0" w:firstLine="0"/>
        <w:rPr>
          <w:rFonts w:cs="Arial"/>
        </w:rPr>
      </w:pPr>
    </w:p>
    <w:p w14:paraId="12D993FF" w14:textId="77777777" w:rsidR="00DD5D95" w:rsidRDefault="00DD5D95" w:rsidP="006D0DA1">
      <w:pPr>
        <w:autoSpaceDE w:val="0"/>
        <w:autoSpaceDN w:val="0"/>
        <w:adjustRightInd w:val="0"/>
        <w:ind w:left="0" w:firstLine="0"/>
        <w:rPr>
          <w:rFonts w:cs="Arial"/>
        </w:rPr>
      </w:pPr>
    </w:p>
    <w:p w14:paraId="400F571B" w14:textId="77777777" w:rsidR="00DD5D95" w:rsidRDefault="00DD5D95" w:rsidP="006D0DA1">
      <w:pPr>
        <w:autoSpaceDE w:val="0"/>
        <w:autoSpaceDN w:val="0"/>
        <w:adjustRightInd w:val="0"/>
        <w:ind w:left="0" w:firstLine="0"/>
        <w:rPr>
          <w:rFonts w:cs="Arial"/>
        </w:rPr>
      </w:pPr>
    </w:p>
    <w:p w14:paraId="278D8CDD" w14:textId="77777777" w:rsidR="00DD5D95" w:rsidRDefault="00DD5D95" w:rsidP="006D0DA1">
      <w:pPr>
        <w:autoSpaceDE w:val="0"/>
        <w:autoSpaceDN w:val="0"/>
        <w:adjustRightInd w:val="0"/>
        <w:ind w:left="0" w:firstLine="0"/>
        <w:rPr>
          <w:rFonts w:cs="Arial"/>
        </w:rPr>
      </w:pPr>
    </w:p>
    <w:p w14:paraId="7C61BCE5" w14:textId="77777777" w:rsidR="00DD5D95" w:rsidRDefault="00DD5D95" w:rsidP="006D0DA1">
      <w:pPr>
        <w:autoSpaceDE w:val="0"/>
        <w:autoSpaceDN w:val="0"/>
        <w:adjustRightInd w:val="0"/>
        <w:ind w:left="0" w:firstLine="0"/>
        <w:rPr>
          <w:rFonts w:cs="Arial"/>
        </w:rPr>
      </w:pPr>
    </w:p>
    <w:p w14:paraId="4C988963" w14:textId="77777777" w:rsidR="00DD5D95" w:rsidRDefault="00DD5D95" w:rsidP="006D0DA1">
      <w:pPr>
        <w:autoSpaceDE w:val="0"/>
        <w:autoSpaceDN w:val="0"/>
        <w:adjustRightInd w:val="0"/>
        <w:ind w:left="0" w:firstLine="0"/>
        <w:rPr>
          <w:rFonts w:cs="Arial"/>
        </w:rPr>
      </w:pPr>
    </w:p>
    <w:p w14:paraId="12DB7FE5" w14:textId="77777777" w:rsidR="00DD5D95" w:rsidRDefault="00DD5D95" w:rsidP="006D0DA1">
      <w:pPr>
        <w:autoSpaceDE w:val="0"/>
        <w:autoSpaceDN w:val="0"/>
        <w:adjustRightInd w:val="0"/>
        <w:ind w:left="0" w:firstLine="0"/>
        <w:rPr>
          <w:rFonts w:cs="Arial"/>
        </w:rPr>
      </w:pPr>
    </w:p>
    <w:p w14:paraId="09C6415F" w14:textId="77777777" w:rsidR="00DD5D95" w:rsidRDefault="00DD5D95" w:rsidP="006D0DA1">
      <w:pPr>
        <w:autoSpaceDE w:val="0"/>
        <w:autoSpaceDN w:val="0"/>
        <w:adjustRightInd w:val="0"/>
        <w:ind w:left="0" w:firstLine="0"/>
        <w:rPr>
          <w:rFonts w:cs="Arial"/>
        </w:rPr>
      </w:pPr>
    </w:p>
    <w:p w14:paraId="15C69070" w14:textId="77777777" w:rsidR="00DD5D95" w:rsidRDefault="00DD5D95" w:rsidP="006D0DA1">
      <w:pPr>
        <w:autoSpaceDE w:val="0"/>
        <w:autoSpaceDN w:val="0"/>
        <w:adjustRightInd w:val="0"/>
        <w:ind w:left="0" w:firstLine="0"/>
        <w:rPr>
          <w:rFonts w:cs="Arial"/>
        </w:rPr>
      </w:pPr>
    </w:p>
    <w:p w14:paraId="7D9FD1A1" w14:textId="77777777" w:rsidR="00DD5D95" w:rsidRDefault="00DD5D95" w:rsidP="006D0DA1">
      <w:pPr>
        <w:autoSpaceDE w:val="0"/>
        <w:autoSpaceDN w:val="0"/>
        <w:adjustRightInd w:val="0"/>
        <w:ind w:left="0" w:firstLine="0"/>
        <w:rPr>
          <w:rFonts w:cs="Arial"/>
        </w:rPr>
      </w:pPr>
    </w:p>
    <w:p w14:paraId="773A0F7C" w14:textId="77777777" w:rsidR="00DD5D95" w:rsidRDefault="00DD5D95" w:rsidP="006D0DA1">
      <w:pPr>
        <w:autoSpaceDE w:val="0"/>
        <w:autoSpaceDN w:val="0"/>
        <w:adjustRightInd w:val="0"/>
        <w:ind w:left="0" w:firstLine="0"/>
        <w:rPr>
          <w:rFonts w:cs="Arial"/>
        </w:rPr>
      </w:pPr>
    </w:p>
    <w:p w14:paraId="09710DF3" w14:textId="77777777" w:rsidR="00DD5D95" w:rsidRDefault="00DD5D95" w:rsidP="006D0DA1">
      <w:pPr>
        <w:autoSpaceDE w:val="0"/>
        <w:autoSpaceDN w:val="0"/>
        <w:adjustRightInd w:val="0"/>
        <w:ind w:left="0" w:firstLine="0"/>
        <w:rPr>
          <w:rFonts w:cs="Arial"/>
        </w:rPr>
      </w:pPr>
    </w:p>
    <w:p w14:paraId="5130C72B" w14:textId="77777777" w:rsidR="00DD5D95" w:rsidRDefault="00DD5D95" w:rsidP="006D0DA1">
      <w:pPr>
        <w:autoSpaceDE w:val="0"/>
        <w:autoSpaceDN w:val="0"/>
        <w:adjustRightInd w:val="0"/>
        <w:ind w:left="0" w:firstLine="0"/>
        <w:rPr>
          <w:rFonts w:cs="Arial"/>
        </w:rPr>
      </w:pPr>
    </w:p>
    <w:p w14:paraId="575596AF" w14:textId="77777777" w:rsidR="00DD5D95" w:rsidRDefault="00DD5D95" w:rsidP="006D0DA1">
      <w:pPr>
        <w:autoSpaceDE w:val="0"/>
        <w:autoSpaceDN w:val="0"/>
        <w:adjustRightInd w:val="0"/>
        <w:ind w:left="0" w:firstLine="0"/>
        <w:rPr>
          <w:rFonts w:cs="Arial"/>
        </w:rPr>
      </w:pPr>
    </w:p>
    <w:p w14:paraId="09829E28" w14:textId="77777777" w:rsidR="00DD5D95" w:rsidRDefault="00DD5D95" w:rsidP="006D0DA1">
      <w:pPr>
        <w:autoSpaceDE w:val="0"/>
        <w:autoSpaceDN w:val="0"/>
        <w:adjustRightInd w:val="0"/>
        <w:ind w:left="0" w:firstLine="0"/>
        <w:rPr>
          <w:rFonts w:cs="Arial"/>
        </w:rPr>
      </w:pPr>
    </w:p>
    <w:p w14:paraId="72FA0B31" w14:textId="77777777" w:rsidR="00DD5D95" w:rsidRDefault="00DD5D95" w:rsidP="006D0DA1">
      <w:pPr>
        <w:autoSpaceDE w:val="0"/>
        <w:autoSpaceDN w:val="0"/>
        <w:adjustRightInd w:val="0"/>
        <w:ind w:left="0" w:firstLine="0"/>
        <w:rPr>
          <w:rFonts w:cs="Arial"/>
        </w:rPr>
      </w:pPr>
    </w:p>
    <w:p w14:paraId="7D8C4C82" w14:textId="77777777" w:rsidR="00DD5D95" w:rsidRDefault="00DD5D95" w:rsidP="006D0DA1">
      <w:pPr>
        <w:autoSpaceDE w:val="0"/>
        <w:autoSpaceDN w:val="0"/>
        <w:adjustRightInd w:val="0"/>
        <w:ind w:left="0" w:firstLine="0"/>
        <w:rPr>
          <w:rFonts w:cs="Arial"/>
        </w:rPr>
      </w:pPr>
    </w:p>
    <w:p w14:paraId="0A602538" w14:textId="77777777" w:rsidR="00DD5D95" w:rsidRDefault="00DD5D95" w:rsidP="006D0DA1">
      <w:pPr>
        <w:autoSpaceDE w:val="0"/>
        <w:autoSpaceDN w:val="0"/>
        <w:adjustRightInd w:val="0"/>
        <w:ind w:left="0" w:firstLine="0"/>
        <w:rPr>
          <w:rFonts w:cs="Arial"/>
        </w:rPr>
      </w:pPr>
    </w:p>
    <w:p w14:paraId="258090EA" w14:textId="77777777" w:rsidR="00DD5D95" w:rsidRDefault="00DD5D95" w:rsidP="006D0DA1">
      <w:pPr>
        <w:autoSpaceDE w:val="0"/>
        <w:autoSpaceDN w:val="0"/>
        <w:adjustRightInd w:val="0"/>
        <w:ind w:left="0" w:firstLine="0"/>
        <w:rPr>
          <w:rFonts w:cs="Arial"/>
        </w:rPr>
      </w:pPr>
    </w:p>
    <w:p w14:paraId="504423FE" w14:textId="77777777" w:rsidR="00DD5D95" w:rsidRDefault="00DD5D95" w:rsidP="006D0DA1">
      <w:pPr>
        <w:autoSpaceDE w:val="0"/>
        <w:autoSpaceDN w:val="0"/>
        <w:adjustRightInd w:val="0"/>
        <w:ind w:left="0" w:firstLine="0"/>
        <w:rPr>
          <w:rFonts w:cs="Arial"/>
        </w:rPr>
      </w:pPr>
    </w:p>
    <w:p w14:paraId="6125AFF2" w14:textId="77777777" w:rsidR="00DD5D95" w:rsidRDefault="00DD5D95" w:rsidP="006D0DA1">
      <w:pPr>
        <w:autoSpaceDE w:val="0"/>
        <w:autoSpaceDN w:val="0"/>
        <w:adjustRightInd w:val="0"/>
        <w:ind w:left="0" w:firstLine="0"/>
        <w:rPr>
          <w:rFonts w:cs="Arial"/>
        </w:rPr>
      </w:pPr>
    </w:p>
    <w:p w14:paraId="7DDBCD99" w14:textId="77777777" w:rsidR="00DD5D95" w:rsidRDefault="00DD5D95" w:rsidP="006D0DA1">
      <w:pPr>
        <w:autoSpaceDE w:val="0"/>
        <w:autoSpaceDN w:val="0"/>
        <w:adjustRightInd w:val="0"/>
        <w:ind w:left="0" w:firstLine="0"/>
        <w:rPr>
          <w:rFonts w:cs="Arial"/>
        </w:rPr>
      </w:pPr>
    </w:p>
    <w:p w14:paraId="3B9A7217" w14:textId="77777777" w:rsidR="00DD5D95" w:rsidRDefault="00DD5D95" w:rsidP="006D0DA1">
      <w:pPr>
        <w:autoSpaceDE w:val="0"/>
        <w:autoSpaceDN w:val="0"/>
        <w:adjustRightInd w:val="0"/>
        <w:ind w:left="0" w:firstLine="0"/>
        <w:rPr>
          <w:rFonts w:cs="Arial"/>
        </w:rPr>
      </w:pPr>
    </w:p>
    <w:p w14:paraId="2F17ACC1" w14:textId="77777777" w:rsidR="00DD5D95" w:rsidRDefault="00DD5D95" w:rsidP="006D0DA1">
      <w:pPr>
        <w:autoSpaceDE w:val="0"/>
        <w:autoSpaceDN w:val="0"/>
        <w:adjustRightInd w:val="0"/>
        <w:ind w:left="0" w:firstLine="0"/>
        <w:rPr>
          <w:rFonts w:cs="Arial"/>
        </w:rPr>
      </w:pPr>
    </w:p>
    <w:p w14:paraId="3A4B3E22" w14:textId="77777777" w:rsidR="00DD5D95" w:rsidRDefault="00DD5D95" w:rsidP="006D0DA1">
      <w:pPr>
        <w:autoSpaceDE w:val="0"/>
        <w:autoSpaceDN w:val="0"/>
        <w:adjustRightInd w:val="0"/>
        <w:ind w:left="0" w:firstLine="0"/>
        <w:rPr>
          <w:rFonts w:cs="Arial"/>
        </w:rPr>
      </w:pPr>
    </w:p>
    <w:p w14:paraId="739B65E8" w14:textId="77777777" w:rsidR="00DD5D95" w:rsidRPr="006D0DA1" w:rsidRDefault="00DD5D95" w:rsidP="006D0DA1">
      <w:pPr>
        <w:autoSpaceDE w:val="0"/>
        <w:autoSpaceDN w:val="0"/>
        <w:adjustRightInd w:val="0"/>
        <w:ind w:left="0" w:firstLine="0"/>
      </w:pPr>
    </w:p>
    <w:p w14:paraId="7636C36C" w14:textId="77777777" w:rsidR="001954C3" w:rsidRPr="000079C4" w:rsidRDefault="001954C3" w:rsidP="00C739EF">
      <w:pPr>
        <w:pStyle w:val="PHEreportHeading1"/>
      </w:pPr>
      <w:bookmarkStart w:id="13" w:name="_Toc210040703"/>
      <w:bookmarkStart w:id="14" w:name="_Toc506805750"/>
      <w:r w:rsidRPr="000079C4">
        <w:lastRenderedPageBreak/>
        <w:t>1</w:t>
      </w:r>
      <w:r w:rsidRPr="000079C4">
        <w:tab/>
      </w:r>
      <w:bookmarkEnd w:id="13"/>
      <w:r w:rsidR="00BE5B8D">
        <w:t xml:space="preserve">General </w:t>
      </w:r>
      <w:r w:rsidR="00C212FC">
        <w:t>c</w:t>
      </w:r>
      <w:r w:rsidR="00BE5B8D">
        <w:t>onsiderations</w:t>
      </w:r>
      <w:bookmarkEnd w:id="14"/>
      <w:r w:rsidR="00BE5B8D" w:rsidRPr="000079C4">
        <w:t xml:space="preserve"> </w:t>
      </w:r>
    </w:p>
    <w:p w14:paraId="2DF401F1" w14:textId="77777777" w:rsidR="00F93307" w:rsidRPr="005B5A52" w:rsidRDefault="00F93307" w:rsidP="004341FE">
      <w:pPr>
        <w:pStyle w:val="PHEreportHeading2BlueHighlight"/>
      </w:pPr>
      <w:bookmarkStart w:id="15" w:name="_Toc272481286"/>
      <w:bookmarkStart w:id="16" w:name="_Toc119225993"/>
      <w:bookmarkStart w:id="17" w:name="_Toc210040707"/>
      <w:r>
        <w:t>1.1</w:t>
      </w:r>
      <w:r>
        <w:tab/>
        <w:t xml:space="preserve">Organisation of </w:t>
      </w:r>
      <w:r w:rsidR="00C212FC">
        <w:t>w</w:t>
      </w:r>
      <w:r>
        <w:t>ork</w:t>
      </w:r>
      <w:bookmarkEnd w:id="15"/>
      <w:r w:rsidR="00977F3A">
        <w:fldChar w:fldCharType="begin" w:fldLock="1"/>
      </w:r>
      <w:r w:rsidR="00C40968">
        <w:instrText xml:space="preserve"> ADDIN EN.CITE &lt;EndNote&gt;&lt;Cite&gt;&lt;Author&gt;Sheils&lt;/Author&gt;&lt;Year&gt;2003&lt;/Year&gt;&lt;RecNum&gt;34&lt;/RecNum&gt;&lt;DisplayText&gt;&lt;style face="superscript"&gt;7&lt;/style&gt;&lt;/DisplayText&gt;&lt;record&gt;&lt;rec-number&gt;34&lt;/rec-number&gt;&lt;foreign-keys&gt;&lt;key app="EN" db-id="pvwvpw2wgszvfietprqxz0d1rrptvr2vrwas" timestamp="1505832605"&gt;34&lt;/key&gt;&lt;/foreign-keys&gt;&lt;ref-type name="Journal Article"&gt;17&lt;/ref-type&gt;&lt;contributors&gt;&lt;authors&gt;&lt;author&gt;Sheils, OM., Finn, S. and O&amp;apos;Leary, JJ.,&lt;/author&gt;&lt;/authors&gt;&lt;/contributors&gt;&lt;titles&gt;&lt;title&gt;Quality-control issues for PCR-based assays in the molecular laboratory.&lt;/title&gt;&lt;secondary-title&gt;Current Diagnostic Pathology.&lt;/secondary-title&gt;&lt;/titles&gt;&lt;periodical&gt;&lt;full-title&gt;Current Diagnostic Pathology.&lt;/full-title&gt;&lt;/periodical&gt;&lt;pages&gt;165 - 172&lt;/pages&gt;&lt;volume&gt;9&lt;/volume&gt;&lt;dates&gt;&lt;year&gt;2003&lt;/year&gt;&lt;/dates&gt;&lt;urls&gt;&lt;/urls&gt;&lt;research-notes&gt;&lt;style face="bold" font="default" size="100%"&gt;B, III&lt;/style&gt;&lt;/research-notes&gt;&lt;/record&gt;&lt;/Cite&gt;&lt;/EndNote&gt;</w:instrText>
      </w:r>
      <w:r w:rsidR="00977F3A">
        <w:fldChar w:fldCharType="separate"/>
      </w:r>
      <w:r w:rsidR="00C40968" w:rsidRPr="00C40968">
        <w:rPr>
          <w:noProof/>
          <w:vertAlign w:val="superscript"/>
        </w:rPr>
        <w:t>7</w:t>
      </w:r>
      <w:r w:rsidR="00977F3A">
        <w:fldChar w:fldCharType="end"/>
      </w:r>
    </w:p>
    <w:p w14:paraId="04FB5033" w14:textId="77777777" w:rsidR="003424EB" w:rsidRPr="00E032EB" w:rsidRDefault="003424EB" w:rsidP="003424EB">
      <w:pPr>
        <w:pStyle w:val="PHEBodytext"/>
      </w:pPr>
      <w:r w:rsidRPr="00E032EB">
        <w:t xml:space="preserve">For </w:t>
      </w:r>
      <w:r>
        <w:t>reverse transcription (</w:t>
      </w:r>
      <w:r w:rsidRPr="00E032EB">
        <w:t>RT</w:t>
      </w:r>
      <w:r>
        <w:t>)</w:t>
      </w:r>
      <w:r w:rsidRPr="00E032EB">
        <w:t>-PCRs, specific</w:t>
      </w:r>
      <w:r>
        <w:t xml:space="preserve"> local</w:t>
      </w:r>
      <w:r w:rsidRPr="00E032EB">
        <w:t xml:space="preserve"> precautions are necessary to prevent contamination of equipment, consumables and reagents with RN</w:t>
      </w:r>
      <w:r>
        <w:t>a</w:t>
      </w:r>
      <w:r w:rsidRPr="00E032EB">
        <w:t>ses, as these will lead to false</w:t>
      </w:r>
      <w:r>
        <w:t xml:space="preserve"> </w:t>
      </w:r>
      <w:r w:rsidRPr="00E032EB">
        <w:t>negative</w:t>
      </w:r>
      <w:r>
        <w:t xml:space="preserve"> </w:t>
      </w:r>
      <w:r w:rsidRPr="00E032EB">
        <w:t>results.</w:t>
      </w:r>
      <w:r>
        <w:t xml:space="preserve"> </w:t>
      </w:r>
    </w:p>
    <w:p w14:paraId="3840593E" w14:textId="2475BB52" w:rsidR="00836D0C" w:rsidRDefault="00B169EB" w:rsidP="004341FE">
      <w:pPr>
        <w:pStyle w:val="PHEBodytext"/>
      </w:pPr>
      <w:r>
        <w:t xml:space="preserve">A </w:t>
      </w:r>
      <w:r w:rsidR="00836D0C">
        <w:t xml:space="preserve">common cause of contamination is </w:t>
      </w:r>
      <w:r w:rsidR="00095FA5">
        <w:t>poor</w:t>
      </w:r>
      <w:r w:rsidR="00836D0C">
        <w:t xml:space="preserve"> technique by staff</w:t>
      </w:r>
      <w:r w:rsidR="009F1303">
        <w:t>. S</w:t>
      </w:r>
      <w:r w:rsidR="00836D0C">
        <w:t>taff must be trained and signed as competent</w:t>
      </w:r>
      <w:r w:rsidR="00E04A1B">
        <w:t xml:space="preserve"> on local policies </w:t>
      </w:r>
      <w:r w:rsidR="00836D0C">
        <w:t>before performing these procedures</w:t>
      </w:r>
      <w:r w:rsidR="00C40968">
        <w:fldChar w:fldCharType="begin" w:fldLock="1"/>
      </w:r>
      <w:r w:rsidR="008E13E3">
        <w:instrText xml:space="preserve"> ADDIN EN.CITE &lt;EndNote&gt;&lt;Cite&gt;&lt;Author&gt;Khan&lt;/Author&gt;&lt;Year&gt;2011&lt;/Year&gt;&lt;RecNum&gt;35&lt;/RecNum&gt;&lt;DisplayText&gt;&lt;style face="superscript"&gt;8&lt;/style&gt;&lt;/DisplayText&gt;&lt;record&gt;&lt;rec-number&gt;35&lt;/rec-number&gt;&lt;foreign-keys&gt;&lt;key app="EN" db-id="pvwvpw2wgszvfietprqxz0d1rrptvr2vrwas" timestamp="1506665096"&gt;35&lt;/key&gt;&lt;/foreign-keys&gt;&lt;ref-type name="Book Section"&gt;5&lt;/ref-type&gt;&lt;contributors&gt;&lt;authors&gt;&lt;author&gt;Khan, Z,&lt;/author&gt;&lt;author&gt;Park, D.J,&lt;/author&gt;&lt;/authors&gt;&lt;/contributors&gt;&lt;titles&gt;&lt;title&gt;Setup of a PCR laboratory.&lt;/title&gt;&lt;secondary-title&gt;Methods in molecular biology.&lt;/secondary-title&gt;&lt;/titles&gt;&lt;pages&gt;3-14&lt;/pages&gt;&lt;volume&gt;687&lt;/volume&gt;&lt;section&gt;1&lt;/section&gt;&lt;dates&gt;&lt;year&gt;2011&lt;/year&gt;&lt;/dates&gt;&lt;publisher&gt;HUMANA PRESS&lt;/publisher&gt;&lt;urls&gt;&lt;related-urls&gt;&lt;url&gt;&lt;style face="underline" font="default" size="100%"&gt;https://rd.springer.com/protocol/10.1007%2F978-1-60761-944-4_1&lt;/style&gt;&lt;/url&gt;&lt;/related-urls&gt;&lt;/urls&gt;&lt;research-notes&gt;&lt;style face="bold" font="default" size="100%"&gt;B, III&lt;/style&gt;&lt;/research-notes&gt;&lt;/record&gt;&lt;/Cite&gt;&lt;/EndNote&gt;</w:instrText>
      </w:r>
      <w:r w:rsidR="00C40968">
        <w:fldChar w:fldCharType="separate"/>
      </w:r>
      <w:r w:rsidR="00C40968" w:rsidRPr="00C40968">
        <w:rPr>
          <w:noProof/>
          <w:vertAlign w:val="superscript"/>
        </w:rPr>
        <w:t>8</w:t>
      </w:r>
      <w:r w:rsidR="00C40968">
        <w:fldChar w:fldCharType="end"/>
      </w:r>
      <w:r w:rsidR="00836D0C">
        <w:t xml:space="preserve">. </w:t>
      </w:r>
      <w:r w:rsidR="00836D0C" w:rsidRPr="00836D0C">
        <w:t xml:space="preserve">All new members of staff, visitors and students must be trained in </w:t>
      </w:r>
      <w:r w:rsidR="00F42B85">
        <w:t xml:space="preserve">the </w:t>
      </w:r>
      <w:r w:rsidR="00F90704">
        <w:t xml:space="preserve">appropriate </w:t>
      </w:r>
      <w:r w:rsidR="00836D0C" w:rsidRPr="00836D0C">
        <w:t xml:space="preserve">use of the PCR facilities. It is recommended that a formal induction process </w:t>
      </w:r>
      <w:r w:rsidR="00B42FD3">
        <w:t xml:space="preserve">must </w:t>
      </w:r>
      <w:r w:rsidR="00836D0C" w:rsidRPr="00836D0C">
        <w:t>be established for these laboratory workers</w:t>
      </w:r>
      <w:r w:rsidR="00B42FD3">
        <w:t>,</w:t>
      </w:r>
      <w:r w:rsidR="00B42FD3" w:rsidRPr="00B42FD3">
        <w:rPr>
          <w:rFonts w:cs="Arial"/>
        </w:rPr>
        <w:t xml:space="preserve"> </w:t>
      </w:r>
      <w:r w:rsidR="00B42FD3" w:rsidRPr="00161DBF">
        <w:rPr>
          <w:rFonts w:cs="Arial"/>
        </w:rPr>
        <w:t>regardless of prior experience</w:t>
      </w:r>
      <w:r w:rsidR="00836D0C" w:rsidRPr="00836D0C">
        <w:t>.</w:t>
      </w:r>
      <w:r w:rsidR="00836D0C">
        <w:t xml:space="preserve"> </w:t>
      </w:r>
    </w:p>
    <w:p w14:paraId="17AC7984" w14:textId="77777777" w:rsidR="00F93307" w:rsidRPr="00B009C4" w:rsidRDefault="00836D0C" w:rsidP="004341FE">
      <w:pPr>
        <w:pStyle w:val="PHEBodytext"/>
        <w:rPr>
          <w:b/>
        </w:rPr>
      </w:pPr>
      <w:r w:rsidRPr="00104BFD">
        <w:t>G</w:t>
      </w:r>
      <w:r w:rsidR="00F93307" w:rsidRPr="00104BFD">
        <w:t>ood housekeeping policy</w:t>
      </w:r>
      <w:r w:rsidRPr="00104BFD">
        <w:t xml:space="preserve"> must be practised</w:t>
      </w:r>
      <w:r w:rsidR="00F93307" w:rsidRPr="00104BFD">
        <w:t xml:space="preserve"> at all times. </w:t>
      </w:r>
      <w:r w:rsidR="0055236A" w:rsidRPr="00104BFD">
        <w:t>T</w:t>
      </w:r>
      <w:r w:rsidR="00F93307" w:rsidRPr="00B009C4">
        <w:t xml:space="preserve">ubes or reagents </w:t>
      </w:r>
      <w:r w:rsidR="0055236A" w:rsidRPr="00104BFD">
        <w:t xml:space="preserve">should not be kept </w:t>
      </w:r>
      <w:r w:rsidR="00F93307" w:rsidRPr="00B009C4">
        <w:t>any longer than necessary</w:t>
      </w:r>
      <w:r w:rsidR="00F93307" w:rsidRPr="00BB2429">
        <w:t xml:space="preserve">. </w:t>
      </w:r>
      <w:r w:rsidR="00F93307" w:rsidRPr="00B009C4">
        <w:t>All reagents, reaction tubes etc. should be clearly labelled. Records of batch numbers of all reagent batches used in individual assays should be kept.</w:t>
      </w:r>
    </w:p>
    <w:p w14:paraId="4EBE7633" w14:textId="77777777" w:rsidR="00F93307" w:rsidRDefault="0055236A" w:rsidP="004341FE">
      <w:pPr>
        <w:pStyle w:val="PHEBodytext"/>
      </w:pPr>
      <w:r w:rsidRPr="00104BFD">
        <w:t>Entry into</w:t>
      </w:r>
      <w:r w:rsidR="00F93307" w:rsidRPr="00BB2429">
        <w:t xml:space="preserve"> pre-amplification rooms</w:t>
      </w:r>
      <w:r w:rsidR="009F1303" w:rsidRPr="00B009C4">
        <w:t>, in particular those used to prepare/aliquot PCR stock reagents (Pre-PCR room),</w:t>
      </w:r>
      <w:r w:rsidR="008F63D7" w:rsidRPr="00B009C4">
        <w:t xml:space="preserve"> </w:t>
      </w:r>
      <w:r w:rsidR="00F93307" w:rsidRPr="00B009C4">
        <w:t>after working in rooms where products, cloned</w:t>
      </w:r>
      <w:r w:rsidR="00F93307" w:rsidRPr="00B009C4">
        <w:rPr>
          <w:b/>
        </w:rPr>
        <w:t xml:space="preserve"> </w:t>
      </w:r>
      <w:r w:rsidR="00F93307" w:rsidRPr="00B009C4">
        <w:t>materials and virus cultures are handled</w:t>
      </w:r>
      <w:r w:rsidRPr="00104BFD">
        <w:t xml:space="preserve"> should be avoided</w:t>
      </w:r>
      <w:r w:rsidR="00F93307" w:rsidRPr="00B009C4">
        <w:t xml:space="preserve">. </w:t>
      </w:r>
      <w:r w:rsidR="00F93307" w:rsidRPr="00BB2429">
        <w:t xml:space="preserve">If working with these materials is </w:t>
      </w:r>
      <w:r w:rsidR="00F93307" w:rsidRPr="00B009C4">
        <w:t>unavoidable</w:t>
      </w:r>
      <w:r w:rsidR="00494DFF" w:rsidRPr="00B009C4">
        <w:t>,</w:t>
      </w:r>
      <w:r w:rsidR="00F93307" w:rsidRPr="00B009C4">
        <w:t xml:space="preserve"> judicious use of clean laboratory coats, gloves and hand washing is necessary. Gloves should be changed frequently</w:t>
      </w:r>
      <w:r w:rsidR="00B42FD3" w:rsidRPr="00B009C4">
        <w:t xml:space="preserve"> for example in between the processing of individual patient samples or when moving from one room to another such as from extraction room to the Pre-PCR room</w:t>
      </w:r>
      <w:r w:rsidR="00977F3A" w:rsidRPr="00BB2429">
        <w:fldChar w:fldCharType="begin" w:fldLock="1"/>
      </w:r>
      <w:r w:rsidR="00C40968">
        <w:instrText xml:space="preserve"> ADDIN EN.CITE &lt;EndNote&gt;&lt;Cite&gt;&lt;Author&gt;Sheils&lt;/Author&gt;&lt;Year&gt;2003&lt;/Year&gt;&lt;RecNum&gt;34&lt;/RecNum&gt;&lt;DisplayText&gt;&lt;style face="superscript"&gt;7&lt;/style&gt;&lt;/DisplayText&gt;&lt;record&gt;&lt;rec-number&gt;34&lt;/rec-number&gt;&lt;foreign-keys&gt;&lt;key app="EN" db-id="pvwvpw2wgszvfietprqxz0d1rrptvr2vrwas" timestamp="1505832605"&gt;34&lt;/key&gt;&lt;/foreign-keys&gt;&lt;ref-type name="Journal Article"&gt;17&lt;/ref-type&gt;&lt;contributors&gt;&lt;authors&gt;&lt;author&gt;Sheils, OM., Finn, S. and O&amp;apos;Leary, JJ.,&lt;/author&gt;&lt;/authors&gt;&lt;/contributors&gt;&lt;titles&gt;&lt;title&gt;Quality-control issues for PCR-based assays in the molecular laboratory.&lt;/title&gt;&lt;secondary-title&gt;Current Diagnostic Pathology.&lt;/secondary-title&gt;&lt;/titles&gt;&lt;periodical&gt;&lt;full-title&gt;Current Diagnostic Pathology.&lt;/full-title&gt;&lt;/periodical&gt;&lt;pages&gt;165 - 172&lt;/pages&gt;&lt;volume&gt;9&lt;/volume&gt;&lt;dates&gt;&lt;year&gt;2003&lt;/year&gt;&lt;/dates&gt;&lt;urls&gt;&lt;/urls&gt;&lt;research-notes&gt;&lt;style face="bold" font="default" size="100%"&gt;B, III&lt;/style&gt;&lt;/research-notes&gt;&lt;/record&gt;&lt;/Cite&gt;&lt;/EndNote&gt;</w:instrText>
      </w:r>
      <w:r w:rsidR="00977F3A" w:rsidRPr="00BB2429">
        <w:fldChar w:fldCharType="separate"/>
      </w:r>
      <w:r w:rsidR="00C40968" w:rsidRPr="00C40968">
        <w:rPr>
          <w:noProof/>
          <w:vertAlign w:val="superscript"/>
        </w:rPr>
        <w:t>7</w:t>
      </w:r>
      <w:r w:rsidR="00977F3A" w:rsidRPr="00BB2429">
        <w:fldChar w:fldCharType="end"/>
      </w:r>
      <w:r w:rsidR="00F93307" w:rsidRPr="00B009C4">
        <w:t>.</w:t>
      </w:r>
    </w:p>
    <w:p w14:paraId="7BC953AC" w14:textId="77777777" w:rsidR="001A63F7" w:rsidRPr="001A63F7" w:rsidRDefault="001A63F7" w:rsidP="001A63F7">
      <w:pPr>
        <w:pStyle w:val="PHEBodytext"/>
      </w:pPr>
      <w:r w:rsidRPr="001A63F7">
        <w:t>It is important that the area where specimens are received into the testing facility remains PCR 'clean', with no cloned or PCR-amplified material being handled. If such material is received by the testing laboratory, a separate, dedicated area for processing should be available, with its own equipment, lab coats, etc</w:t>
      </w:r>
      <w:r w:rsidR="00977F3A">
        <w:fldChar w:fldCharType="begin" w:fldLock="1"/>
      </w:r>
      <w:r w:rsidR="00C40968">
        <w:instrText xml:space="preserve"> ADDIN EN.CITE &lt;EndNote&gt;&lt;Cite&gt;&lt;Author&gt;Sheils&lt;/Author&gt;&lt;Year&gt;2003&lt;/Year&gt;&lt;RecNum&gt;34&lt;/RecNum&gt;&lt;DisplayText&gt;&lt;style face="superscript"&gt;7&lt;/style&gt;&lt;/DisplayText&gt;&lt;record&gt;&lt;rec-number&gt;34&lt;/rec-number&gt;&lt;foreign-keys&gt;&lt;key app="EN" db-id="pvwvpw2wgszvfietprqxz0d1rrptvr2vrwas" timestamp="1505832605"&gt;34&lt;/key&gt;&lt;/foreign-keys&gt;&lt;ref-type name="Journal Article"&gt;17&lt;/ref-type&gt;&lt;contributors&gt;&lt;authors&gt;&lt;author&gt;Sheils, OM., Finn, S. and O&amp;apos;Leary, JJ.,&lt;/author&gt;&lt;/authors&gt;&lt;/contributors&gt;&lt;titles&gt;&lt;title&gt;Quality-control issues for PCR-based assays in the molecular laboratory.&lt;/title&gt;&lt;secondary-title&gt;Current Diagnostic Pathology.&lt;/secondary-title&gt;&lt;/titles&gt;&lt;periodical&gt;&lt;full-title&gt;Current Diagnostic Pathology.&lt;/full-title&gt;&lt;/periodical&gt;&lt;pages&gt;165 - 172&lt;/pages&gt;&lt;volume&gt;9&lt;/volume&gt;&lt;dates&gt;&lt;year&gt;2003&lt;/year&gt;&lt;/dates&gt;&lt;urls&gt;&lt;/urls&gt;&lt;research-notes&gt;&lt;style face="bold" font="default" size="100%"&gt;B, III&lt;/style&gt;&lt;/research-notes&gt;&lt;/record&gt;&lt;/Cite&gt;&lt;/EndNote&gt;</w:instrText>
      </w:r>
      <w:r w:rsidR="00977F3A">
        <w:fldChar w:fldCharType="separate"/>
      </w:r>
      <w:r w:rsidR="00C40968" w:rsidRPr="00C40968">
        <w:rPr>
          <w:noProof/>
          <w:vertAlign w:val="superscript"/>
        </w:rPr>
        <w:t>7</w:t>
      </w:r>
      <w:r w:rsidR="00977F3A">
        <w:fldChar w:fldCharType="end"/>
      </w:r>
      <w:r w:rsidRPr="001A63F7">
        <w:t>.</w:t>
      </w:r>
    </w:p>
    <w:p w14:paraId="759BE2D2" w14:textId="77777777" w:rsidR="00F93307" w:rsidRDefault="00F93307" w:rsidP="004341FE">
      <w:pPr>
        <w:pStyle w:val="PHEBodytext"/>
      </w:pPr>
      <w:r w:rsidRPr="00E032EB">
        <w:t xml:space="preserve">Ensure that all equipment, including </w:t>
      </w:r>
      <w:r w:rsidR="00F42B85">
        <w:t>documentation</w:t>
      </w:r>
      <w:r w:rsidRPr="00E032EB">
        <w:t>, pens and lab coats are dedicated for use only in that particular laboratory</w:t>
      </w:r>
      <w:r>
        <w:t xml:space="preserve"> </w:t>
      </w:r>
      <w:r w:rsidR="004D06E3">
        <w:t>for example</w:t>
      </w:r>
      <w:r>
        <w:t xml:space="preserve"> a </w:t>
      </w:r>
      <w:r w:rsidR="00494DFF">
        <w:t xml:space="preserve">designated </w:t>
      </w:r>
      <w:r w:rsidRPr="00E032EB">
        <w:t>laboratory coat for each of the PCR rooms</w:t>
      </w:r>
      <w:r w:rsidR="00494DFF">
        <w:t>/section</w:t>
      </w:r>
      <w:r>
        <w:t xml:space="preserve">. </w:t>
      </w:r>
      <w:r w:rsidR="00A55C14">
        <w:t>Any documentation</w:t>
      </w:r>
      <w:r w:rsidRPr="00E032EB">
        <w:t xml:space="preserve"> that have been in contaminated areas </w:t>
      </w:r>
      <w:r w:rsidRPr="00E032EB">
        <w:rPr>
          <w:bCs/>
        </w:rPr>
        <w:t>sh</w:t>
      </w:r>
      <w:r>
        <w:rPr>
          <w:bCs/>
        </w:rPr>
        <w:t>ould</w:t>
      </w:r>
      <w:r w:rsidRPr="00E032EB">
        <w:rPr>
          <w:bCs/>
        </w:rPr>
        <w:t xml:space="preserve"> not be taken into clean PCR areas</w:t>
      </w:r>
      <w:r w:rsidR="00977F3A">
        <w:rPr>
          <w:bCs/>
        </w:rPr>
        <w:fldChar w:fldCharType="begin" w:fldLock="1"/>
      </w:r>
      <w:r w:rsidR="00C40968">
        <w:rPr>
          <w:bCs/>
        </w:rPr>
        <w:instrText xml:space="preserve"> ADDIN EN.CITE &lt;EndNote&gt;&lt;Cite&gt;&lt;Author&gt;Sheils&lt;/Author&gt;&lt;Year&gt;2003&lt;/Year&gt;&lt;RecNum&gt;34&lt;/RecNum&gt;&lt;DisplayText&gt;&lt;style face="superscript"&gt;7&lt;/style&gt;&lt;/DisplayText&gt;&lt;record&gt;&lt;rec-number&gt;34&lt;/rec-number&gt;&lt;foreign-keys&gt;&lt;key app="EN" db-id="pvwvpw2wgszvfietprqxz0d1rrptvr2vrwas" timestamp="1505832605"&gt;34&lt;/key&gt;&lt;/foreign-keys&gt;&lt;ref-type name="Journal Article"&gt;17&lt;/ref-type&gt;&lt;contributors&gt;&lt;authors&gt;&lt;author&gt;Sheils, OM., Finn, S. and O&amp;apos;Leary, JJ.,&lt;/author&gt;&lt;/authors&gt;&lt;/contributors&gt;&lt;titles&gt;&lt;title&gt;Quality-control issues for PCR-based assays in the molecular laboratory.&lt;/title&gt;&lt;secondary-title&gt;Current Diagnostic Pathology.&lt;/secondary-title&gt;&lt;/titles&gt;&lt;periodical&gt;&lt;full-title&gt;Current Diagnostic Pathology.&lt;/full-title&gt;&lt;/periodical&gt;&lt;pages&gt;165 - 172&lt;/pages&gt;&lt;volume&gt;9&lt;/volume&gt;&lt;dates&gt;&lt;year&gt;2003&lt;/year&gt;&lt;/dates&gt;&lt;urls&gt;&lt;/urls&gt;&lt;research-notes&gt;&lt;style face="bold" font="default" size="100%"&gt;B, III&lt;/style&gt;&lt;/research-notes&gt;&lt;/record&gt;&lt;/Cite&gt;&lt;/EndNote&gt;</w:instrText>
      </w:r>
      <w:r w:rsidR="00977F3A">
        <w:rPr>
          <w:bCs/>
        </w:rPr>
        <w:fldChar w:fldCharType="separate"/>
      </w:r>
      <w:r w:rsidR="00C40968" w:rsidRPr="00C40968">
        <w:rPr>
          <w:bCs/>
          <w:noProof/>
          <w:vertAlign w:val="superscript"/>
        </w:rPr>
        <w:t>7</w:t>
      </w:r>
      <w:r w:rsidR="00977F3A">
        <w:rPr>
          <w:bCs/>
        </w:rPr>
        <w:fldChar w:fldCharType="end"/>
      </w:r>
      <w:r w:rsidRPr="00E032EB">
        <w:t>.</w:t>
      </w:r>
    </w:p>
    <w:p w14:paraId="78597D82" w14:textId="00FBB6F7" w:rsidR="00377923" w:rsidRDefault="00E06813" w:rsidP="00B169EB">
      <w:pPr>
        <w:pStyle w:val="PHEBodytext"/>
        <w:tabs>
          <w:tab w:val="left" w:pos="1352"/>
        </w:tabs>
      </w:pPr>
      <w:r>
        <w:t xml:space="preserve">Laboratory equipment such as pipettes should </w:t>
      </w:r>
      <w:r w:rsidR="009F09B1">
        <w:t xml:space="preserve">be </w:t>
      </w:r>
      <w:r w:rsidR="00F42B85">
        <w:t xml:space="preserve">clearly identified to show </w:t>
      </w:r>
      <w:r w:rsidR="009F09B1">
        <w:t>the section that they belong to</w:t>
      </w:r>
      <w:r w:rsidR="00F42B85">
        <w:t xml:space="preserve"> (</w:t>
      </w:r>
      <w:r w:rsidR="004D06E3">
        <w:t>for example</w:t>
      </w:r>
      <w:r w:rsidR="00F42B85">
        <w:t xml:space="preserve"> may be colour coded)</w:t>
      </w:r>
      <w:r w:rsidR="009F09B1">
        <w:t xml:space="preserve"> and </w:t>
      </w:r>
      <w:r w:rsidRPr="00E06813">
        <w:t xml:space="preserve">never </w:t>
      </w:r>
      <w:r>
        <w:t xml:space="preserve">taken from one area to another to avoid cross-contamination and confusion among staff. </w:t>
      </w:r>
      <w:r w:rsidR="009F09B1">
        <w:t xml:space="preserve">In cases in which the equipment is </w:t>
      </w:r>
      <w:r w:rsidR="00F42B85">
        <w:t xml:space="preserve">potentially </w:t>
      </w:r>
      <w:r w:rsidR="009F09B1">
        <w:t xml:space="preserve">contaminated, thorough cleansing or even replacing the equipment may be </w:t>
      </w:r>
      <w:r w:rsidR="00377923">
        <w:t xml:space="preserve">necessary. </w:t>
      </w:r>
    </w:p>
    <w:p w14:paraId="1C30E1BC" w14:textId="77777777" w:rsidR="00F93307" w:rsidRPr="00E032EB" w:rsidRDefault="00377923" w:rsidP="004341FE">
      <w:pPr>
        <w:pStyle w:val="PHEBodytext"/>
      </w:pPr>
      <w:r>
        <w:t>Single</w:t>
      </w:r>
      <w:r w:rsidR="00895198">
        <w:t xml:space="preserve">-use </w:t>
      </w:r>
      <w:r w:rsidR="00F93307" w:rsidRPr="00E032EB">
        <w:t xml:space="preserve">PCR reagents should be aliquoted to avoid excessive freeze-thawing and to protect stock reagents </w:t>
      </w:r>
      <w:r w:rsidR="00F93307">
        <w:t>from contamination</w:t>
      </w:r>
      <w:r w:rsidR="00A31F5B">
        <w:t xml:space="preserve"> as soon as they are received into the laboratory</w:t>
      </w:r>
      <w:r w:rsidR="00F93307" w:rsidRPr="00E032EB">
        <w:t>.</w:t>
      </w:r>
      <w:r w:rsidR="00895198">
        <w:t xml:space="preserve"> </w:t>
      </w:r>
      <w:r w:rsidR="009F09B1">
        <w:t>Where contamination is detected, a</w:t>
      </w:r>
      <w:r w:rsidR="0015526B">
        <w:t>ll diagnostic work should be</w:t>
      </w:r>
      <w:r w:rsidR="009F09B1">
        <w:t xml:space="preserve"> </w:t>
      </w:r>
      <w:r w:rsidR="0015526B">
        <w:t>s</w:t>
      </w:r>
      <w:r w:rsidR="00A55C14">
        <w:t xml:space="preserve">uspended or relocated </w:t>
      </w:r>
      <w:r w:rsidR="0015526B">
        <w:t>until the source of contamination has been eliminated. In many situations,</w:t>
      </w:r>
      <w:r w:rsidR="009F09B1">
        <w:t xml:space="preserve"> </w:t>
      </w:r>
      <w:r w:rsidR="0015526B">
        <w:t xml:space="preserve">discarding all suspected reagents </w:t>
      </w:r>
      <w:r w:rsidR="00F42B85">
        <w:t xml:space="preserve">may be necessary to address the immediate source of potential contamination but a full investigation should be considered to determine why the contamination occurred. </w:t>
      </w:r>
      <w:r w:rsidR="00F93307" w:rsidRPr="00E032EB">
        <w:t xml:space="preserve">Pulse centrifuge tubes </w:t>
      </w:r>
      <w:r w:rsidR="009F1303">
        <w:t>briefly</w:t>
      </w:r>
      <w:r w:rsidR="009F1303" w:rsidRPr="00E032EB">
        <w:t xml:space="preserve"> </w:t>
      </w:r>
      <w:r w:rsidR="00F93307" w:rsidRPr="00E032EB">
        <w:t>before opening the reagents</w:t>
      </w:r>
      <w:r w:rsidR="00F93307">
        <w:t xml:space="preserve">. </w:t>
      </w:r>
      <w:r w:rsidR="00F93307" w:rsidRPr="00E032EB">
        <w:t xml:space="preserve">Uncap and close tubes carefully </w:t>
      </w:r>
      <w:r w:rsidR="007C3F4D">
        <w:t xml:space="preserve">after use </w:t>
      </w:r>
      <w:r w:rsidR="00F93307" w:rsidRPr="00E032EB">
        <w:t>to prevent aerosols.</w:t>
      </w:r>
    </w:p>
    <w:p w14:paraId="1A50A65E" w14:textId="00C7BBD8" w:rsidR="00D91925" w:rsidRDefault="00F93307" w:rsidP="004341FE">
      <w:pPr>
        <w:pStyle w:val="PHEBodytext"/>
      </w:pPr>
      <w:r w:rsidRPr="00E032EB">
        <w:t xml:space="preserve">Bench </w:t>
      </w:r>
      <w:r w:rsidR="00895198">
        <w:t xml:space="preserve">work </w:t>
      </w:r>
      <w:r w:rsidRPr="00E032EB">
        <w:t xml:space="preserve">areas in PCR laboratories should be wiped daily with </w:t>
      </w:r>
      <w:r w:rsidR="00A04BC1">
        <w:t xml:space="preserve">disinfectant </w:t>
      </w:r>
      <w:r w:rsidRPr="00E032EB">
        <w:t xml:space="preserve">solution </w:t>
      </w:r>
      <w:r w:rsidR="00A04BC1">
        <w:t>(</w:t>
      </w:r>
      <w:r w:rsidR="004D06E3">
        <w:t>for example</w:t>
      </w:r>
      <w:r w:rsidR="00A04BC1">
        <w:t xml:space="preserve"> </w:t>
      </w:r>
      <w:r w:rsidR="00A04BC1" w:rsidRPr="00E032EB">
        <w:t>hypochlorite</w:t>
      </w:r>
      <w:r w:rsidR="00A04BC1">
        <w:t xml:space="preserve">) </w:t>
      </w:r>
      <w:r w:rsidR="00A31F5B">
        <w:t>before and after</w:t>
      </w:r>
      <w:r w:rsidRPr="00E032EB">
        <w:t xml:space="preserve"> use</w:t>
      </w:r>
      <w:r w:rsidR="00FC3F89">
        <w:fldChar w:fldCharType="begin" w:fldLock="1"/>
      </w:r>
      <w:r w:rsidR="00C40968">
        <w:instrText xml:space="preserve"> ADDIN EN.CITE &lt;EndNote&gt;&lt;Cite&gt;&lt;Author&gt;AM&lt;/Author&gt;&lt;Year&gt;1992&lt;/Year&gt;&lt;RecNum&gt;2&lt;/RecNum&gt;&lt;DisplayText&gt;&lt;style face="superscript"&gt;9&lt;/style&gt;&lt;/DisplayText&gt;&lt;record&gt;&lt;rec-number&gt;2&lt;/rec-number&gt;&lt;foreign-keys&gt;&lt;key app="EN" db-id="pvwvpw2wgszvfietprqxz0d1rrptvr2vrwas" timestamp="1493382673"&gt;2&lt;/key&gt;&lt;/foreign-keys&gt;&lt;ref-type name="Journal Article"&gt;17&lt;/ref-type&gt;&lt;contributors&gt;&lt;authors&gt;&lt;author&gt;Prince AM,&lt;/author&gt;&lt;author&gt;Andrus L,&lt;/author&gt;&lt;/authors&gt;&lt;/contributors&gt;&lt;titles&gt;&lt;title&gt;PCR: how to kill unwanted DNA&lt;/title&gt;&lt;secondary-title&gt;Biotechniques&lt;/secondary-title&gt;&lt;/titles&gt;&lt;periodical&gt;&lt;full-title&gt;Biotechniques&lt;/full-title&gt;&lt;/periodical&gt;&lt;pages&gt;358-360&lt;/pages&gt;&lt;volume&gt;12&lt;/volume&gt;&lt;reprint-edition&gt;Not in File&lt;/reprint-edition&gt;&lt;keywords&gt;&lt;keyword&gt;Dna&lt;/keyword&gt;&lt;keyword&gt;PCR&lt;/keyword&gt;&lt;keyword&gt;Q 4&lt;/keyword&gt;&lt;/keywords&gt;&lt;dates&gt;&lt;year&gt;1992&lt;/year&gt;&lt;pub-dates&gt;&lt;date&gt;1992&lt;/date&gt;&lt;/pub-dates&gt;&lt;/dates&gt;&lt;label&gt;1973&lt;/label&gt;&lt;urls&gt;&lt;/urls&gt;&lt;research-notes&gt;&lt;style face="bold" font="default" size="100%"&gt;B, II&lt;/style&gt;&lt;/research-notes&gt;&lt;/record&gt;&lt;/Cite&gt;&lt;/EndNote&gt;</w:instrText>
      </w:r>
      <w:r w:rsidR="00FC3F89">
        <w:fldChar w:fldCharType="separate"/>
      </w:r>
      <w:r w:rsidR="00C40968" w:rsidRPr="00C40968">
        <w:rPr>
          <w:noProof/>
          <w:vertAlign w:val="superscript"/>
        </w:rPr>
        <w:t>9</w:t>
      </w:r>
      <w:r w:rsidR="00FC3F89">
        <w:fldChar w:fldCharType="end"/>
      </w:r>
      <w:r>
        <w:t xml:space="preserve">. </w:t>
      </w:r>
      <w:r w:rsidRPr="00E032EB">
        <w:t>Validated chemical or a suitable alternative may be preferred</w:t>
      </w:r>
      <w:r>
        <w:t xml:space="preserve">. </w:t>
      </w:r>
      <w:r w:rsidRPr="00E032EB">
        <w:t xml:space="preserve">Containment areas can additionally be decontaminated </w:t>
      </w:r>
      <w:r w:rsidRPr="00E032EB">
        <w:lastRenderedPageBreak/>
        <w:t xml:space="preserve">using ultra-violet radiation if fitted. </w:t>
      </w:r>
      <w:r w:rsidR="00D91925">
        <w:t>It is of vital importance that w</w:t>
      </w:r>
      <w:r w:rsidR="00D91925" w:rsidRPr="00D91925">
        <w:t xml:space="preserve">eekly monitoring of </w:t>
      </w:r>
      <w:r w:rsidR="00BB5614">
        <w:t xml:space="preserve">UV </w:t>
      </w:r>
      <w:r w:rsidR="00D91925" w:rsidRPr="00D91925">
        <w:t xml:space="preserve">bulb strength is </w:t>
      </w:r>
      <w:r w:rsidR="00D91925">
        <w:t xml:space="preserve">performed </w:t>
      </w:r>
      <w:r w:rsidR="00D91925" w:rsidRPr="00D91925">
        <w:t>to ensure sufficient decontamination effect</w:t>
      </w:r>
      <w:r w:rsidR="00BB5614">
        <w:fldChar w:fldCharType="begin" w:fldLock="1"/>
      </w:r>
      <w:r w:rsidR="008E13E3">
        <w:instrText xml:space="preserve"> ADDIN EN.CITE &lt;EndNote&gt;&lt;Cite&gt;&lt;Author&gt;Miffin TE&lt;/Author&gt;&lt;Year&gt;1995&lt;/Year&gt;&lt;RecNum&gt;9&lt;/RecNum&gt;&lt;DisplayText&gt;&lt;style face="superscript"&gt;1,8&lt;/style&gt;&lt;/DisplayText&gt;&lt;record&gt;&lt;rec-number&gt;9&lt;/rec-number&gt;&lt;foreign-keys&gt;&lt;key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VI&lt;/style&gt;&lt;/research-notes&gt;&lt;/record&gt;&lt;/Cite&gt;&lt;Cite&gt;&lt;Author&gt;Khan&lt;/Author&gt;&lt;Year&gt;2011&lt;/Year&gt;&lt;RecNum&gt;35&lt;/RecNum&gt;&lt;record&gt;&lt;rec-number&gt;35&lt;/rec-number&gt;&lt;foreign-keys&gt;&lt;key app="EN" db-id="pvwvpw2wgszvfietprqxz0d1rrptvr2vrwas" timestamp="1506665096"&gt;35&lt;/key&gt;&lt;/foreign-keys&gt;&lt;ref-type name="Book Section"&gt;5&lt;/ref-type&gt;&lt;contributors&gt;&lt;authors&gt;&lt;author&gt;Khan, Z,&lt;/author&gt;&lt;author&gt;Park, D.J,&lt;/author&gt;&lt;/authors&gt;&lt;/contributors&gt;&lt;titles&gt;&lt;title&gt;Setup of a PCR laboratory.&lt;/title&gt;&lt;secondary-title&gt;Methods in molecular biology.&lt;/secondary-title&gt;&lt;/titles&gt;&lt;pages&gt;3-14&lt;/pages&gt;&lt;volume&gt;687&lt;/volume&gt;&lt;section&gt;1&lt;/section&gt;&lt;dates&gt;&lt;year&gt;2011&lt;/year&gt;&lt;/dates&gt;&lt;publisher&gt;HUMANA PRESS&lt;/publisher&gt;&lt;urls&gt;&lt;related-urls&gt;&lt;url&gt;&lt;style face="underline" font="default" size="100%"&gt;https://rd.springer.com/protocol/10.1007%2F978-1-60761-944-4_1&lt;/style&gt;&lt;/url&gt;&lt;/related-urls&gt;&lt;/urls&gt;&lt;research-notes&gt;&lt;style face="bold" font="default" size="100%"&gt;B, III&lt;/style&gt;&lt;/research-notes&gt;&lt;/record&gt;&lt;/Cite&gt;&lt;/EndNote&gt;</w:instrText>
      </w:r>
      <w:r w:rsidR="00BB5614">
        <w:fldChar w:fldCharType="separate"/>
      </w:r>
      <w:r w:rsidR="00C40968" w:rsidRPr="00C40968">
        <w:rPr>
          <w:noProof/>
          <w:vertAlign w:val="superscript"/>
        </w:rPr>
        <w:t>1,8</w:t>
      </w:r>
      <w:r w:rsidR="00BB5614">
        <w:fldChar w:fldCharType="end"/>
      </w:r>
      <w:r w:rsidR="00D91925">
        <w:t>.</w:t>
      </w:r>
    </w:p>
    <w:p w14:paraId="230B190D" w14:textId="77777777" w:rsidR="001954C3" w:rsidRPr="00F93307" w:rsidRDefault="001954C3" w:rsidP="00D834FB">
      <w:pPr>
        <w:pStyle w:val="PHEreportHeading1"/>
      </w:pPr>
      <w:bookmarkStart w:id="18" w:name="_Toc506805751"/>
      <w:r w:rsidRPr="00F93307">
        <w:t>2</w:t>
      </w:r>
      <w:r w:rsidRPr="00F93307">
        <w:tab/>
      </w:r>
      <w:bookmarkEnd w:id="16"/>
      <w:bookmarkEnd w:id="17"/>
      <w:r w:rsidR="00F93307" w:rsidRPr="00F93307">
        <w:t xml:space="preserve">Specimen </w:t>
      </w:r>
      <w:r w:rsidR="00C212FC">
        <w:t>p</w:t>
      </w:r>
      <w:r w:rsidR="00F93307" w:rsidRPr="00F93307">
        <w:t>rocessing</w:t>
      </w:r>
      <w:bookmarkEnd w:id="18"/>
    </w:p>
    <w:p w14:paraId="7BCCC456" w14:textId="4FE72AFE" w:rsidR="00F93307" w:rsidRDefault="00F93307" w:rsidP="004341FE">
      <w:pPr>
        <w:pStyle w:val="PHEBodytext"/>
      </w:pPr>
      <w:bookmarkStart w:id="19" w:name="_Toc14665913"/>
      <w:bookmarkStart w:id="20" w:name="_Toc119225994"/>
      <w:bookmarkStart w:id="21" w:name="_Toc210040711"/>
      <w:r w:rsidRPr="00E032EB">
        <w:t>All accreditation schemes stipulate some requirements for the storage and retention of specimens and records</w:t>
      </w:r>
      <w:r w:rsidR="00977F3A">
        <w:fldChar w:fldCharType="begin" w:fldLock="1"/>
      </w:r>
      <w:r w:rsidR="008E13E3">
        <w:instrText xml:space="preserve"> ADDIN EN.CITE &lt;EndNote&gt;&lt;Cite&gt;&lt;Author&gt;The Royal College of Pathologists and the Institute of Biomedical Science&lt;/Author&gt;&lt;Year&gt;2015&lt;/Year&gt;&lt;RecNum&gt;33&lt;/RecNum&gt;&lt;DisplayText&gt;&lt;style face="superscript"&gt;10&lt;/style&gt;&lt;/DisplayText&gt;&lt;record&gt;&lt;rec-number&gt;33&lt;/rec-number&gt;&lt;foreign-keys&gt;&lt;key app="EN" db-id="pvwvpw2wgszvfietprqxz0d1rrptvr2vrwas" timestamp="1505832175"&gt;33&lt;/key&gt;&lt;/foreign-keys&gt;&lt;ref-type name="Standard"&gt;58&lt;/ref-type&gt;&lt;contributors&gt;&lt;authors&gt;&lt;author&gt;The Royal College of Pathologists and the Institute of Biomedical Science,&lt;/author&gt;&lt;/authors&gt;&lt;/contributors&gt;&lt;titles&gt;&lt;title&gt;The retention and storage of pathological records and specimens (5th edition).&lt;/title&gt;&lt;/titles&gt;&lt;pages&gt;1-59&lt;/pages&gt;&lt;dates&gt;&lt;year&gt;2015&lt;/year&gt;&lt;/dates&gt;&lt;publisher&gt;The Royal College of Pathologists&lt;/publisher&gt;&lt;isbn&gt;G031&lt;/isbn&gt;&lt;urls&gt;&lt;/urls&gt;&lt;research-notes&gt;&lt;style face="bold" font="default" size="100%"&gt;A, V&lt;/style&gt;&lt;/research-notes&gt;&lt;/record&gt;&lt;/Cite&gt;&lt;/EndNote&gt;</w:instrText>
      </w:r>
      <w:r w:rsidR="00977F3A">
        <w:fldChar w:fldCharType="separate"/>
      </w:r>
      <w:r w:rsidR="00C40968" w:rsidRPr="00C40968">
        <w:rPr>
          <w:noProof/>
          <w:vertAlign w:val="superscript"/>
        </w:rPr>
        <w:t>10</w:t>
      </w:r>
      <w:r w:rsidR="00977F3A">
        <w:fldChar w:fldCharType="end"/>
      </w:r>
      <w:r w:rsidRPr="00E032EB">
        <w:t>.</w:t>
      </w:r>
      <w:bookmarkEnd w:id="19"/>
    </w:p>
    <w:p w14:paraId="7995156B" w14:textId="77777777" w:rsidR="00F93307" w:rsidRDefault="00F93307" w:rsidP="004341FE">
      <w:pPr>
        <w:pStyle w:val="PHEBodytext"/>
      </w:pPr>
      <w:bookmarkStart w:id="22" w:name="_Toc14665914"/>
      <w:r w:rsidRPr="00E032EB">
        <w:t>Avoid molecular contaminatio</w:t>
      </w:r>
      <w:r>
        <w:t xml:space="preserve">n problems of PCR through </w:t>
      </w:r>
      <w:r w:rsidR="007C3F4D">
        <w:t>g</w:t>
      </w:r>
      <w:r>
        <w:t xml:space="preserve">ood </w:t>
      </w:r>
      <w:r w:rsidR="007C3F4D">
        <w:t>housekeeping p</w:t>
      </w:r>
      <w:r>
        <w:t>ractice</w:t>
      </w:r>
      <w:r w:rsidRPr="00E032EB">
        <w:t xml:space="preserve"> and following the unidirectional workflow</w:t>
      </w:r>
      <w:r w:rsidR="00FC3F89">
        <w:fldChar w:fldCharType="begin" w:fldLock="1"/>
      </w:r>
      <w:r w:rsidR="00C40968">
        <w:instrText xml:space="preserve"> ADDIN EN.CITE &lt;EndNote&gt;&lt;Cite&gt;&lt;Author&gt;BJ&lt;/Author&gt;&lt;Year&gt;1993&lt;/Year&gt;&lt;RecNum&gt;3&lt;/RecNum&gt;&lt;DisplayText&gt;&lt;style face="superscript"&gt;11&lt;/style&gt;&lt;/DisplayText&gt;&lt;record&gt;&lt;rec-number&gt;3&lt;/rec-number&gt;&lt;foreign-keys&gt;&lt;key app="EN" db-id="pvwvpw2wgszvfietprqxz0d1rrptvr2vrwas" timestamp="1493382673"&gt;3&lt;/key&gt;&lt;/foreign-keys&gt;&lt;ref-type name="Book Section"&gt;5&lt;/ref-type&gt;&lt;contributors&gt;&lt;authors&gt;&lt;author&gt;McCreedy BJ,&lt;/author&gt;&lt;author&gt;Callaway TH,&lt;/author&gt;&lt;/authors&gt;&lt;secondary-authors&gt;&lt;author&gt;Persing DH,&lt;/author&gt;&lt;author&gt;Smith TF,&lt;/author&gt;&lt;author&gt;Tenover FC,&lt;/author&gt;&lt;author&gt;White TJ,&lt;/author&gt;&lt;/secondary-authors&gt;&lt;/contributors&gt;&lt;titles&gt;&lt;title&gt;Laboratory design and workflow&lt;/title&gt;&lt;secondary-title&gt;Diagnostic Molecular Microbiology- Principles and Applications&lt;/secondary-title&gt;&lt;/titles&gt;&lt;pages&gt;149-159&lt;/pages&gt;&lt;reprint-edition&gt;Not in File&lt;/reprint-edition&gt;&lt;keywords&gt;&lt;keyword&gt;Laboratories&lt;/keyword&gt;&lt;keyword&gt;microbiology&lt;/keyword&gt;&lt;keyword&gt;Q 4&lt;/keyword&gt;&lt;/keywords&gt;&lt;dates&gt;&lt;year&gt;1993&lt;/year&gt;&lt;pub-dates&gt;&lt;date&gt;1993&lt;/date&gt;&lt;/pub-dates&gt;&lt;/dates&gt;&lt;pub-location&gt;Washington DC&lt;/pub-location&gt;&lt;publisher&gt;American Society for Microbiology&lt;/publisher&gt;&lt;label&gt;1967&lt;/label&gt;&lt;urls&gt;&lt;/urls&gt;&lt;research-notes&gt;&lt;style face="bold" font="default" size="100%"&gt;B, VI&lt;/style&gt;&lt;/research-notes&gt;&lt;/record&gt;&lt;/Cite&gt;&lt;/EndNote&gt;</w:instrText>
      </w:r>
      <w:r w:rsidR="00FC3F89">
        <w:fldChar w:fldCharType="separate"/>
      </w:r>
      <w:r w:rsidR="00C40968" w:rsidRPr="00C40968">
        <w:rPr>
          <w:noProof/>
          <w:vertAlign w:val="superscript"/>
        </w:rPr>
        <w:t>11</w:t>
      </w:r>
      <w:r w:rsidR="00FC3F89">
        <w:fldChar w:fldCharType="end"/>
      </w:r>
      <w:r w:rsidRPr="00E032EB">
        <w:t>.</w:t>
      </w:r>
      <w:bookmarkEnd w:id="22"/>
    </w:p>
    <w:p w14:paraId="6763A593" w14:textId="49F3BEB7" w:rsidR="006C17C3" w:rsidRDefault="006C17C3" w:rsidP="006C17C3">
      <w:pPr>
        <w:pStyle w:val="PHEreportHeading2BlueHighlight"/>
      </w:pPr>
      <w:r>
        <w:t>2.1</w:t>
      </w:r>
      <w:r>
        <w:tab/>
        <w:t>The unidirectional workflow</w:t>
      </w:r>
      <w:r>
        <w:fldChar w:fldCharType="begin" w:fldLock="1">
          <w:fldData xml:space="preserve">PEVuZE5vdGU+PENpdGU+PEF1dGhvcj5NQzwvQXV0aG9yPjxZZWFyPjE5OTA8L1llYXI+PFJlY051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</w:fldData>
        </w:fldChar>
      </w:r>
      <w:r w:rsidR="008E13E3">
        <w:instrText xml:space="preserve"> ADDIN EN.CITE </w:instrText>
      </w:r>
      <w:r w:rsidR="008E13E3">
        <w:fldChar w:fldCharType="begin" w:fldLock="1">
          <w:fldData xml:space="preserve">PEVuZE5vdGU+PENpdGU+PEF1dGhvcj5NQzwvQXV0aG9yPjxZZWFyPjE5OTA8L1llYXI+PFJlY051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</w:fldData>
        </w:fldChar>
      </w:r>
      <w:r w:rsidR="008E13E3">
        <w:instrText xml:space="preserve"> ADDIN EN.CITE.DATA </w:instrText>
      </w:r>
      <w:r w:rsidR="008E13E3">
        <w:fldChar w:fldCharType="end"/>
      </w:r>
      <w:r>
        <w:fldChar w:fldCharType="separate"/>
      </w:r>
      <w:r w:rsidR="00C40968" w:rsidRPr="00C40968">
        <w:rPr>
          <w:noProof/>
          <w:vertAlign w:val="superscript"/>
        </w:rPr>
        <w:t>12,13</w:t>
      </w:r>
      <w:r>
        <w:fldChar w:fldCharType="end"/>
      </w:r>
    </w:p>
    <w:p w14:paraId="74D3F468" w14:textId="77777777" w:rsidR="006C17C3" w:rsidRPr="00462F10" w:rsidRDefault="006C17C3" w:rsidP="006C17C3">
      <w:pPr>
        <w:pStyle w:val="PHEBodytext"/>
      </w:pPr>
      <w:r>
        <w:t>According to WHO Good Laboratory Practice p</w:t>
      </w:r>
      <w:r w:rsidRPr="00462F10">
        <w:t>rinciples</w:t>
      </w:r>
      <w:r>
        <w:t xml:space="preserve">, it </w:t>
      </w:r>
      <w:r w:rsidRPr="00462F10">
        <w:t>emphasise</w:t>
      </w:r>
      <w:r>
        <w:t>s</w:t>
      </w:r>
      <w:r w:rsidRPr="00462F10">
        <w:t xml:space="preserve"> that facilities and equipment must be sufficient</w:t>
      </w:r>
      <w:r>
        <w:t xml:space="preserve">, </w:t>
      </w:r>
      <w:r w:rsidRPr="00462F10">
        <w:t>adequate</w:t>
      </w:r>
      <w:r>
        <w:t xml:space="preserve"> and </w:t>
      </w:r>
      <w:r w:rsidRPr="00462F10">
        <w:t>spacious enough to avoid problems</w:t>
      </w:r>
      <w:r>
        <w:t xml:space="preserve"> </w:t>
      </w:r>
      <w:r w:rsidRPr="00462F10">
        <w:t>such as overcrowding, cross contamination or confusi</w:t>
      </w:r>
      <w:r>
        <w:t>on between projects</w:t>
      </w:r>
      <w:r>
        <w:fldChar w:fldCharType="begin" w:fldLock="1"/>
      </w:r>
      <w:r w:rsidR="00C40968">
        <w:instrText xml:space="preserve"> ADDIN EN.CITE &lt;EndNote&gt;&lt;Cite&gt;&lt;Author&gt;World Health Organization&lt;/Author&gt;&lt;Year&gt;2009&lt;/Year&gt;&lt;RecNum&gt;11&lt;/RecNum&gt;&lt;DisplayText&gt;&lt;style face="superscript"&gt;14,15&lt;/style&gt;&lt;/DisplayText&gt;&lt;record&gt;&lt;rec-number&gt;11&lt;/rec-number&gt;&lt;foreign-keys&gt;&lt;key app="EN" db-id="pvwvpw2wgszvfietprqxz0d1rrptvr2vrwas" timestamp="1498646018"&gt;11&lt;/key&gt;&lt;/foreign-keys&gt;&lt;ref-type name="Report"&gt;27&lt;/ref-type&gt;&lt;contributors&gt;&lt;authors&gt;&lt;author&gt;World Health Organization, &lt;/author&gt;&lt;/authors&gt;&lt;/contributors&gt;&lt;titles&gt;&lt;title&gt;Good Laboratory Practice (GLP): Quality practices for regulated non- clinical research and development. 2nd Edition&lt;/title&gt;&lt;/titles&gt;&lt;pages&gt;1- 328&lt;/pages&gt;&lt;dates&gt;&lt;year&gt;2009&lt;/year&gt;&lt;/dates&gt;&lt;pub-location&gt;Switzerland&lt;/pub-location&gt;&lt;publisher&gt;World Health Organization on behalf of the Special Programme for Research and Training in Tropical Diseases 2009&lt;/publisher&gt;&lt;urls&gt;&lt;/urls&gt;&lt;research-notes&gt;&lt;style face="bold" font="default" size="100%"&gt;A, V&lt;/style&gt;&lt;/research-notes&gt;&lt;/record&gt;&lt;/Cite&gt;&lt;Cite&gt;&lt;Author&gt;World Health Organization&lt;/Author&gt;&lt;Year&gt;2009&lt;/Year&gt;&lt;RecNum&gt;12&lt;/RecNum&gt;&lt;record&gt;&lt;rec-number&gt;12&lt;/rec-number&gt;&lt;foreign-keys&gt;&lt;key app="EN" db-id="pvwvpw2wgszvfietprqxz0d1rrptvr2vrwas" timestamp="1498646673"&gt;12&lt;/key&gt;&lt;/foreign-keys&gt;&lt;ref-type name="Report"&gt;27&lt;/ref-type&gt;&lt;contributors&gt;&lt;authors&gt;&lt;author&gt;World Health Organization,&lt;/author&gt;&lt;/authors&gt;&lt;/contributors&gt;&lt;titles&gt;&lt;title&gt;Good Clinical Laboratory Practice (GCLP).&lt;/title&gt;&lt;/titles&gt;&lt;pages&gt;1-28&lt;/pages&gt;&lt;dates&gt;&lt;year&gt;2009&lt;/year&gt;&lt;/dates&gt;&lt;publisher&gt;World Health Organization on behalf of the Special Programme for Research and Training in Tropical Diseases, 2009.&lt;/publisher&gt;&lt;urls&gt;&lt;/urls&gt;&lt;research-notes&gt;&lt;style face="bold" font="default" size="100%"&gt;A, V&lt;/style&gt;&lt;/research-notes&gt;&lt;/record&gt;&lt;/Cite&gt;&lt;/EndNote&gt;</w:instrText>
      </w:r>
      <w:r>
        <w:fldChar w:fldCharType="separate"/>
      </w:r>
      <w:r w:rsidR="00C40968" w:rsidRPr="00C40968">
        <w:rPr>
          <w:noProof/>
          <w:vertAlign w:val="superscript"/>
        </w:rPr>
        <w:t>14,15</w:t>
      </w:r>
      <w:r>
        <w:fldChar w:fldCharType="end"/>
      </w:r>
      <w:r>
        <w:t xml:space="preserve">. </w:t>
      </w:r>
    </w:p>
    <w:p w14:paraId="02542B3A" w14:textId="77777777" w:rsidR="006C17C3" w:rsidRDefault="006C17C3" w:rsidP="006C17C3">
      <w:pPr>
        <w:pStyle w:val="PHEBodytext"/>
      </w:pPr>
      <w:r>
        <w:t xml:space="preserve">A laboratory workflow plan consists of the sequential processes: pre-examination, examination and post-examination and their respective sequential sub-processes. Laboratories follow these processes to deliver the laboratory’s services. </w:t>
      </w:r>
      <w:r w:rsidRPr="00473AA5">
        <w:t>Where possible PCR facilities should be organised into four discrete areas/rooms as described below</w:t>
      </w:r>
      <w:r>
        <w:t xml:space="preserve">. </w:t>
      </w:r>
      <w:r w:rsidRPr="00473AA5">
        <w:t>Requirements may vary with the assay format and platform</w:t>
      </w:r>
      <w:r>
        <w:t xml:space="preserve">. </w:t>
      </w:r>
      <w:r w:rsidRPr="00473AA5">
        <w:t>For example, for real-time PCRs only 3 areas may be required as post-PCR analysis is not required</w:t>
      </w:r>
      <w:r>
        <w:t xml:space="preserve">. </w:t>
      </w:r>
      <w:r w:rsidRPr="00473AA5">
        <w:t>However, for nested PCR assays, the additional steps require that four rooms/areas are available.</w:t>
      </w:r>
    </w:p>
    <w:p w14:paraId="720B03D8" w14:textId="605B0DAB" w:rsidR="006C17C3" w:rsidRDefault="006C17C3" w:rsidP="006C17C3">
      <w:pPr>
        <w:pStyle w:val="PHEBodytext"/>
      </w:pPr>
      <w:r w:rsidRPr="00473AA5">
        <w:t>Workflow between these room</w:t>
      </w:r>
      <w:r>
        <w:t>s/areas must be unidirectional, that is,</w:t>
      </w:r>
      <w:r w:rsidRPr="00473AA5">
        <w:t xml:space="preserve"> from clean areas to contaminated areas, but not from</w:t>
      </w:r>
      <w:r>
        <w:t xml:space="preserve"> </w:t>
      </w:r>
      <w:r w:rsidRPr="00473AA5">
        <w:t>contaminated</w:t>
      </w:r>
      <w:r>
        <w:t xml:space="preserve"> </w:t>
      </w:r>
      <w:r w:rsidRPr="00473AA5">
        <w:t>areas</w:t>
      </w:r>
      <w:r>
        <w:t xml:space="preserve"> </w:t>
      </w:r>
      <w:r w:rsidRPr="00473AA5">
        <w:t>to</w:t>
      </w:r>
      <w:r>
        <w:t xml:space="preserve"> </w:t>
      </w:r>
      <w:r w:rsidRPr="00473AA5">
        <w:t>clean</w:t>
      </w:r>
      <w:r>
        <w:t xml:space="preserve"> </w:t>
      </w:r>
      <w:r w:rsidRPr="00473AA5">
        <w:t>labs</w:t>
      </w:r>
      <w:r>
        <w:t xml:space="preserve">. See </w:t>
      </w:r>
      <w:r w:rsidR="00230080">
        <w:t>appendix</w:t>
      </w:r>
      <w:r>
        <w:t xml:space="preserve">. </w:t>
      </w:r>
      <w:r w:rsidRPr="00473AA5">
        <w:t>Dedicated laboratory coats sh</w:t>
      </w:r>
      <w:r w:rsidR="00992D8F">
        <w:t>ould</w:t>
      </w:r>
      <w:r w:rsidRPr="00473AA5">
        <w:t xml:space="preserve"> be supplied for each area and gloves sh</w:t>
      </w:r>
      <w:r w:rsidR="00992D8F">
        <w:t xml:space="preserve">ould </w:t>
      </w:r>
      <w:r w:rsidRPr="00473AA5">
        <w:t>be changed between areas</w:t>
      </w:r>
      <w:r>
        <w:t>. Staff will have to leave product analysis areas and go back to the earlier rooms eventually. It is here that rigid adherence to good practice is most essential. Laboratory coats, gloves and any other personal protective equipment should be changed, and hands washed. No working materials can be brought back to earlier stages, not even notebooks or pens, ideally all qPCR machines will be remotely connected to the laboratory reporting systems. If this is not possible it may be necessary to take memory sticks and worksheets back to areas for result reporting. However, this should not be</w:t>
      </w:r>
      <w:r w:rsidR="00B009C4">
        <w:t xml:space="preserve"> into</w:t>
      </w:r>
      <w:r>
        <w:t xml:space="preserve"> clean areas.</w:t>
      </w:r>
    </w:p>
    <w:p w14:paraId="2B9F6305" w14:textId="77777777" w:rsidR="00F93307" w:rsidRDefault="00F93307" w:rsidP="004341FE">
      <w:pPr>
        <w:pStyle w:val="PHEreportHeading2BlueHighlight"/>
      </w:pPr>
      <w:bookmarkStart w:id="23" w:name="_Toc14665915"/>
      <w:bookmarkStart w:id="24" w:name="_Toc272481288"/>
      <w:r>
        <w:t>2.</w:t>
      </w:r>
      <w:r w:rsidR="006C17C3">
        <w:t>2</w:t>
      </w:r>
      <w:r>
        <w:tab/>
      </w:r>
      <w:r w:rsidR="00104BFD">
        <w:t>S</w:t>
      </w:r>
      <w:r>
        <w:t xml:space="preserve">eparation of </w:t>
      </w:r>
      <w:r w:rsidR="00C212FC">
        <w:t>p</w:t>
      </w:r>
      <w:r>
        <w:t xml:space="preserve">re-PCR and </w:t>
      </w:r>
      <w:r w:rsidR="00C212FC">
        <w:t>p</w:t>
      </w:r>
      <w:r>
        <w:t xml:space="preserve">ost-PCR </w:t>
      </w:r>
      <w:r w:rsidR="00C212FC">
        <w:t>a</w:t>
      </w:r>
      <w:r>
        <w:t xml:space="preserve">ssay </w:t>
      </w:r>
      <w:r w:rsidR="00C212FC">
        <w:t>s</w:t>
      </w:r>
      <w:r>
        <w:t>tages</w:t>
      </w:r>
      <w:bookmarkEnd w:id="23"/>
      <w:bookmarkEnd w:id="24"/>
    </w:p>
    <w:p w14:paraId="1CA67070" w14:textId="72806DE5" w:rsidR="001755C0" w:rsidRDefault="00F93307" w:rsidP="004341FE">
      <w:pPr>
        <w:pStyle w:val="PHEBodytext"/>
      </w:pPr>
      <w:r w:rsidRPr="00E032EB">
        <w:t>To prevent carry-over of amplified DNA sequences, PCR reactions should be set up in a separate room or containment area (‘PCR workstation’ cabinet) from that u</w:t>
      </w:r>
      <w:r>
        <w:t>sed for post-PCR manipulations</w:t>
      </w:r>
      <w:r w:rsidR="00C212FC">
        <w:fldChar w:fldCharType="begin" w:fldLock="1"/>
      </w:r>
      <w:r w:rsidR="00C40968">
        <w:instrText xml:space="preserve"> ADDIN EN.CITE &lt;EndNote&gt;&lt;Cite&gt;&lt;Author&gt;S&lt;/Author&gt;&lt;Year&gt;1990&lt;/Year&gt;&lt;RecNum&gt;8&lt;/RecNum&gt;&lt;DisplayText&gt;&lt;style face="superscript"&gt;16&lt;/style&gt;&lt;/DisplayText&gt;&lt;record&gt;&lt;rec-number&gt;8&lt;/rec-number&gt;&lt;foreign-keys&gt;&lt;key app="EN" db-id="pvwvpw2wgszvfietprqxz0d1rrptvr2vrwas" timestamp="1493382673"&gt;8&lt;/key&gt;&lt;/foreign-keys&gt;&lt;ref-type name="Book Section"&gt;5&lt;/ref-type&gt;&lt;contributors&gt;&lt;authors&gt;&lt;author&gt;Kwok S,&lt;/author&gt;&lt;/authors&gt;&lt;secondary-authors&gt;&lt;author&gt;Innis MA,&lt;/author&gt;&lt;author&gt;Gelfand DH,&lt;/author&gt;&lt;author&gt;Sninsky JJ,&lt;/author&gt;&lt;author&gt;White TJ,&lt;/author&gt;&lt;/secondary-authors&gt;&lt;/contributors&gt;&lt;titles&gt;&lt;title&gt;Procedures to minimize PCR product carry over&lt;/title&gt;&lt;secondary-title&gt;PCR Protocols: A guide to methods and applications&lt;/secondary-title&gt;&lt;/titles&gt;&lt;pages&gt;142-145&lt;/pages&gt;&lt;reprint-edition&gt;Not in File&lt;/reprint-edition&gt;&lt;keywords&gt;&lt;keyword&gt;methods&lt;/keyword&gt;&lt;keyword&gt;PCR&lt;/keyword&gt;&lt;keyword&gt;Q 4&lt;/keyword&gt;&lt;/keywords&gt;&lt;dates&gt;&lt;year&gt;1990&lt;/year&gt;&lt;pub-dates&gt;&lt;date&gt;1990&lt;/date&gt;&lt;/pub-dates&gt;&lt;/dates&gt;&lt;pub-location&gt;San Diego&lt;/pub-location&gt;&lt;publisher&gt;Academic Press Inc&lt;/publisher&gt;&lt;label&gt;1975&lt;/label&gt;&lt;urls&gt;&lt;/urls&gt;&lt;research-notes&gt;&lt;style face="bold" font="default" size="100%"&gt;B, VI&lt;/style&gt;&lt;/research-notes&gt;&lt;/record&gt;&lt;/Cite&gt;&lt;/EndNote&gt;</w:instrText>
      </w:r>
      <w:r w:rsidR="00C212FC">
        <w:fldChar w:fldCharType="separate"/>
      </w:r>
      <w:r w:rsidR="00C40968" w:rsidRPr="00C40968">
        <w:rPr>
          <w:noProof/>
          <w:vertAlign w:val="superscript"/>
        </w:rPr>
        <w:t>16</w:t>
      </w:r>
      <w:r w:rsidR="00C212FC">
        <w:fldChar w:fldCharType="end"/>
      </w:r>
      <w:r>
        <w:t>.</w:t>
      </w:r>
      <w:r w:rsidR="00F953D5">
        <w:t xml:space="preserve"> However, it should be noted that t</w:t>
      </w:r>
      <w:r w:rsidR="001755C0">
        <w:t xml:space="preserve">here </w:t>
      </w:r>
      <w:r w:rsidR="00F953D5">
        <w:t xml:space="preserve">are </w:t>
      </w:r>
      <w:r w:rsidR="00F953D5" w:rsidRPr="00D06B42">
        <w:rPr>
          <w:rFonts w:cs="Arial"/>
        </w:rPr>
        <w:t>newer molecular working set ups where to</w:t>
      </w:r>
      <w:r w:rsidR="00F953D5">
        <w:rPr>
          <w:rFonts w:cs="Arial"/>
        </w:rPr>
        <w:t>tal enclosed automated platform systems</w:t>
      </w:r>
      <w:r w:rsidR="00F953D5" w:rsidRPr="00D06B42">
        <w:rPr>
          <w:rFonts w:cs="Arial"/>
        </w:rPr>
        <w:t xml:space="preserve"> </w:t>
      </w:r>
      <w:r w:rsidR="00F953D5">
        <w:rPr>
          <w:rFonts w:cs="Arial"/>
        </w:rPr>
        <w:t xml:space="preserve">are </w:t>
      </w:r>
      <w:r w:rsidR="00F953D5" w:rsidRPr="00D06B42">
        <w:rPr>
          <w:rFonts w:cs="Arial"/>
        </w:rPr>
        <w:t xml:space="preserve">utilised in a unidirectional way from specimen processing, extraction to PCR set </w:t>
      </w:r>
      <w:r w:rsidR="00997ED3">
        <w:rPr>
          <w:rFonts w:cs="Arial"/>
        </w:rPr>
        <w:t xml:space="preserve">up </w:t>
      </w:r>
      <w:r w:rsidR="00F953D5">
        <w:rPr>
          <w:rFonts w:cs="Arial"/>
        </w:rPr>
        <w:t xml:space="preserve">as they </w:t>
      </w:r>
      <w:r w:rsidR="00F953D5" w:rsidRPr="00D06B42">
        <w:rPr>
          <w:rFonts w:cs="Arial"/>
        </w:rPr>
        <w:t xml:space="preserve">are </w:t>
      </w:r>
      <w:r w:rsidR="001755C0" w:rsidRPr="001755C0">
        <w:t>becoming commonplace in molecular UK laboratories</w:t>
      </w:r>
      <w:r w:rsidR="00BB5614">
        <w:fldChar w:fldCharType="begin" w:fldLock="1">
          <w:fldData xml:space="preserve">PEVuZE5vdGU+PENpdGU+PEF1dGhvcj5GZWxkZXI8L0F1dGhvcj48WWVhcj4yMDE0PC9ZZWFyPjxS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</w:fldData>
        </w:fldChar>
      </w:r>
      <w:r w:rsidR="008E13E3">
        <w:instrText xml:space="preserve"> ADDIN EN.CITE </w:instrText>
      </w:r>
      <w:r w:rsidR="008E13E3">
        <w:fldChar w:fldCharType="begin" w:fldLock="1">
          <w:fldData xml:space="preserve">PEVuZE5vdGU+PENpdGU+PEF1dGhvcj5GZWxkZXI8L0F1dGhvcj48WWVhcj4yMDE0PC9ZZWFyPjxS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</w:fldData>
        </w:fldChar>
      </w:r>
      <w:r w:rsidR="008E13E3">
        <w:instrText xml:space="preserve"> ADDIN EN.CITE.DATA </w:instrText>
      </w:r>
      <w:r w:rsidR="008E13E3">
        <w:fldChar w:fldCharType="end"/>
      </w:r>
      <w:r w:rsidR="00BB5614">
        <w:fldChar w:fldCharType="separate"/>
      </w:r>
      <w:r w:rsidR="00C40968" w:rsidRPr="00C40968">
        <w:rPr>
          <w:noProof/>
          <w:vertAlign w:val="superscript"/>
        </w:rPr>
        <w:t>17</w:t>
      </w:r>
      <w:r w:rsidR="00BB5614">
        <w:fldChar w:fldCharType="end"/>
      </w:r>
      <w:r w:rsidR="00F953D5">
        <w:t>.</w:t>
      </w:r>
    </w:p>
    <w:p w14:paraId="38344650" w14:textId="77777777" w:rsidR="00F93307" w:rsidRDefault="00F93307" w:rsidP="004341FE">
      <w:pPr>
        <w:pStyle w:val="PHEBodytext"/>
      </w:pPr>
      <w:r w:rsidRPr="00E032EB">
        <w:t>A complete separate set of necessary laboratory equipment, consumables, and laboratory coats should be dedicated for the specific use of pre</w:t>
      </w:r>
      <w:r>
        <w:t xml:space="preserve"> </w:t>
      </w:r>
      <w:r w:rsidRPr="00E032EB">
        <w:t>- or post-PCR manipulations according to the area designation</w:t>
      </w:r>
      <w:r>
        <w:t xml:space="preserve">. </w:t>
      </w:r>
      <w:r w:rsidRPr="00E032EB">
        <w:t xml:space="preserve">Care must be taken to ensure that amplified DNA, virus cultures or DNA clones other than low copy number control material do not enter the </w:t>
      </w:r>
      <w:r>
        <w:t>‘Pre-PCR area’.</w:t>
      </w:r>
    </w:p>
    <w:p w14:paraId="487A4BCB" w14:textId="77777777" w:rsidR="00F93307" w:rsidRDefault="00F93307" w:rsidP="004341FE">
      <w:pPr>
        <w:pStyle w:val="PHEBodytext"/>
        <w:rPr>
          <w:rFonts w:cs="Arial"/>
        </w:rPr>
      </w:pPr>
      <w:r w:rsidRPr="00FE4B33">
        <w:t xml:space="preserve">Reagents and supplies should be taken directly from (clean) storage into the </w:t>
      </w:r>
      <w:r>
        <w:t>pre</w:t>
      </w:r>
      <w:r w:rsidRPr="00FE4B33">
        <w:t xml:space="preserve">-PCR area and should never be taken or shared with areas in which post-PCR analyses are </w:t>
      </w:r>
      <w:r w:rsidRPr="00FE4B33">
        <w:lastRenderedPageBreak/>
        <w:t>being performed</w:t>
      </w:r>
      <w:r>
        <w:t xml:space="preserve">. </w:t>
      </w:r>
      <w:r w:rsidRPr="00FE4B33">
        <w:t>Simil</w:t>
      </w:r>
      <w:r>
        <w:t>arly, equipment such as pipette</w:t>
      </w:r>
      <w:r w:rsidRPr="00FE4B33">
        <w:t>s should never be taken into the containment area after use with amplified material</w:t>
      </w:r>
      <w:r w:rsidRPr="00E032EB">
        <w:rPr>
          <w:rFonts w:cs="Arial"/>
        </w:rPr>
        <w:t>.</w:t>
      </w:r>
    </w:p>
    <w:p w14:paraId="16BA97B2" w14:textId="77777777" w:rsidR="00526801" w:rsidRDefault="00824584" w:rsidP="00526801">
      <w:pPr>
        <w:pStyle w:val="PHEreportHeading2BlueHighlight"/>
      </w:pPr>
      <w:r>
        <w:t>2.3</w:t>
      </w:r>
      <w:r>
        <w:tab/>
        <w:t xml:space="preserve">Reagent </w:t>
      </w:r>
      <w:r w:rsidR="00C212FC">
        <w:t>p</w:t>
      </w:r>
      <w:r>
        <w:t xml:space="preserve">reparation </w:t>
      </w:r>
      <w:r w:rsidR="006C17C3">
        <w:t xml:space="preserve">and PCR setup </w:t>
      </w:r>
      <w:r w:rsidR="00C212FC">
        <w:t>c</w:t>
      </w:r>
      <w:r w:rsidR="00454C30">
        <w:t xml:space="preserve">lean </w:t>
      </w:r>
      <w:r w:rsidR="00C212FC">
        <w:t>r</w:t>
      </w:r>
      <w:r w:rsidR="00526801">
        <w:t xml:space="preserve">oom </w:t>
      </w:r>
    </w:p>
    <w:p w14:paraId="0F5A3F30" w14:textId="77777777" w:rsidR="00526801" w:rsidRPr="00FE4B33" w:rsidRDefault="00526801" w:rsidP="00526801">
      <w:pPr>
        <w:pStyle w:val="PHEBodytext"/>
      </w:pPr>
      <w:r>
        <w:t xml:space="preserve">This room is also known as </w:t>
      </w:r>
      <w:r w:rsidRPr="00A55C14">
        <w:t>the “Pre-PCR room”.</w:t>
      </w:r>
      <w:r>
        <w:t xml:space="preserve"> </w:t>
      </w:r>
      <w:r w:rsidRPr="00FE4B33">
        <w:t xml:space="preserve">In this </w:t>
      </w:r>
      <w:r>
        <w:t>room/area</w:t>
      </w:r>
      <w:r w:rsidRPr="00FE4B33">
        <w:t>, PCR reagents are stored</w:t>
      </w:r>
      <w:r>
        <w:t xml:space="preserve">. </w:t>
      </w:r>
      <w:r w:rsidRPr="00FE4B33">
        <w:t>It is important to keep this room/area free of any biological material (this includes DNA/RNA extracts, samples, clon</w:t>
      </w:r>
      <w:r>
        <w:t>ed materials and PCR products).</w:t>
      </w:r>
    </w:p>
    <w:p w14:paraId="1436DEC5" w14:textId="77777777" w:rsidR="00526801" w:rsidRDefault="00526801" w:rsidP="00526801">
      <w:pPr>
        <w:pStyle w:val="PHEBodytext"/>
      </w:pPr>
      <w:r w:rsidRPr="00FE4B33">
        <w:t xml:space="preserve">Procedures carried out in this area include preparation and </w:t>
      </w:r>
      <w:proofErr w:type="spellStart"/>
      <w:r w:rsidRPr="00FE4B33">
        <w:t>aliquoting</w:t>
      </w:r>
      <w:proofErr w:type="spellEnd"/>
      <w:r w:rsidRPr="00FE4B33">
        <w:t xml:space="preserve"> of reagent stocks and preparation of reaction mixes prior to the addition of the clinical nucleic acid (which takes place in the nucleic acid extraction room or, in the second round of a nested PCR, in the PCR </w:t>
      </w:r>
      <w:r w:rsidR="006C17C3">
        <w:t xml:space="preserve">amplification </w:t>
      </w:r>
      <w:r w:rsidRPr="00FE4B33">
        <w:t>room)</w:t>
      </w:r>
      <w:r>
        <w:t xml:space="preserve">. </w:t>
      </w:r>
      <w:proofErr w:type="spellStart"/>
      <w:r w:rsidRPr="00FE4B33">
        <w:t>Aliquoting</w:t>
      </w:r>
      <w:proofErr w:type="spellEnd"/>
      <w:r w:rsidRPr="00FE4B33">
        <w:t xml:space="preserve"> of primers and other reagents is recommended to minimise any consequence of contamination and reduce assay downtime.</w:t>
      </w:r>
      <w:r w:rsidR="00CC0CA6" w:rsidRPr="00CC0CA6">
        <w:rPr>
          <w:rFonts w:cs="Arial"/>
        </w:rPr>
        <w:t xml:space="preserve"> </w:t>
      </w:r>
      <w:r w:rsidR="00CC0CA6">
        <w:rPr>
          <w:rFonts w:cs="Arial"/>
        </w:rPr>
        <w:t xml:space="preserve">It may be useful </w:t>
      </w:r>
      <w:r w:rsidR="00CC0CA6" w:rsidRPr="009764F8">
        <w:rPr>
          <w:rFonts w:cs="Arial"/>
        </w:rPr>
        <w:t>to clean the workspace</w:t>
      </w:r>
      <w:r w:rsidR="003F6105">
        <w:rPr>
          <w:rFonts w:cs="Arial"/>
        </w:rPr>
        <w:t>/surface</w:t>
      </w:r>
      <w:r w:rsidR="00CC0CA6" w:rsidRPr="009764F8">
        <w:rPr>
          <w:rFonts w:cs="Arial"/>
        </w:rPr>
        <w:t xml:space="preserve"> when changing between different primers and other reagents.</w:t>
      </w:r>
    </w:p>
    <w:p w14:paraId="180CE63D" w14:textId="77777777" w:rsidR="00DD315D" w:rsidRPr="00DD315D" w:rsidRDefault="00DD315D" w:rsidP="00DD315D">
      <w:pPr>
        <w:autoSpaceDE w:val="0"/>
        <w:autoSpaceDN w:val="0"/>
        <w:adjustRightInd w:val="0"/>
        <w:ind w:left="0" w:firstLine="0"/>
        <w:rPr>
          <w:rFonts w:cs="Arial"/>
        </w:rPr>
      </w:pPr>
      <w:r>
        <w:rPr>
          <w:rFonts w:cs="Arial"/>
          <w:iCs/>
        </w:rPr>
        <w:t>It should be noted that m</w:t>
      </w:r>
      <w:r w:rsidRPr="00DD315D">
        <w:rPr>
          <w:rFonts w:cs="Arial"/>
          <w:iCs/>
        </w:rPr>
        <w:t>aterials from other rooms (including amplified, template, and target nucleic acid or</w:t>
      </w:r>
      <w:r>
        <w:rPr>
          <w:rFonts w:cs="Arial"/>
          <w:iCs/>
        </w:rPr>
        <w:t xml:space="preserve"> </w:t>
      </w:r>
      <w:r w:rsidRPr="00DD315D">
        <w:rPr>
          <w:rFonts w:cs="Arial"/>
          <w:iCs/>
        </w:rPr>
        <w:t xml:space="preserve">positive controls, </w:t>
      </w:r>
      <w:r w:rsidR="00BB2429">
        <w:rPr>
          <w:rFonts w:cs="Arial"/>
          <w:iCs/>
        </w:rPr>
        <w:t xml:space="preserve">reagents, </w:t>
      </w:r>
      <w:r w:rsidRPr="00DD315D">
        <w:rPr>
          <w:rFonts w:cs="Arial"/>
          <w:iCs/>
        </w:rPr>
        <w:t xml:space="preserve">supplies, or equipment) should </w:t>
      </w:r>
      <w:r w:rsidRPr="00DD315D">
        <w:rPr>
          <w:rFonts w:cs="Arial"/>
          <w:bCs/>
          <w:iCs/>
        </w:rPr>
        <w:t>not</w:t>
      </w:r>
      <w:r w:rsidRPr="00DD315D">
        <w:rPr>
          <w:rFonts w:cs="Arial"/>
          <w:b/>
          <w:bCs/>
          <w:iCs/>
        </w:rPr>
        <w:t xml:space="preserve"> </w:t>
      </w:r>
      <w:r w:rsidRPr="00DD315D">
        <w:rPr>
          <w:rFonts w:cs="Arial"/>
          <w:iCs/>
        </w:rPr>
        <w:t>be brought into the reagent preparation room</w:t>
      </w:r>
      <w:r w:rsidRPr="00DD315D">
        <w:rPr>
          <w:rFonts w:cs="Arial"/>
          <w:i/>
          <w:iCs/>
        </w:rPr>
        <w:t>.</w:t>
      </w:r>
    </w:p>
    <w:p w14:paraId="41E96E41" w14:textId="77777777" w:rsidR="00CF0959" w:rsidRPr="00CF0959" w:rsidRDefault="00CF0959" w:rsidP="00CF0959">
      <w:pPr>
        <w:pStyle w:val="PHEBodytext"/>
      </w:pPr>
      <w:r>
        <w:t>There should be retrievable</w:t>
      </w:r>
      <w:r w:rsidR="00E934C7">
        <w:t xml:space="preserve"> documentation records</w:t>
      </w:r>
      <w:r>
        <w:t xml:space="preserve"> for the preparation of PCR </w:t>
      </w:r>
      <w:r w:rsidR="00165A9C">
        <w:t xml:space="preserve">reagents </w:t>
      </w:r>
      <w:r>
        <w:t xml:space="preserve">stock. </w:t>
      </w:r>
      <w:r w:rsidRPr="00CF0959">
        <w:t xml:space="preserve">The </w:t>
      </w:r>
      <w:r>
        <w:t xml:space="preserve">records </w:t>
      </w:r>
      <w:r w:rsidRPr="00CF0959">
        <w:t xml:space="preserve">should </w:t>
      </w:r>
      <w:r>
        <w:t>include the following</w:t>
      </w:r>
      <w:r w:rsidRPr="00CF0959">
        <w:t>:</w:t>
      </w:r>
    </w:p>
    <w:p w14:paraId="33378104" w14:textId="77777777" w:rsidR="00CF0959" w:rsidRPr="00CF0959" w:rsidRDefault="00C212FC" w:rsidP="00202439">
      <w:pPr>
        <w:pStyle w:val="PHEBodytext"/>
        <w:numPr>
          <w:ilvl w:val="0"/>
          <w:numId w:val="23"/>
        </w:numPr>
      </w:pPr>
      <w:r>
        <w:t>m</w:t>
      </w:r>
      <w:r w:rsidR="00CF0959" w:rsidRPr="00CF0959">
        <w:t>anufacturer’s name</w:t>
      </w:r>
      <w:r w:rsidR="00202439">
        <w:t xml:space="preserve"> and d</w:t>
      </w:r>
      <w:r w:rsidR="00CF0959">
        <w:t>ate of despatch</w:t>
      </w:r>
    </w:p>
    <w:p w14:paraId="735D4247" w14:textId="77777777" w:rsidR="00CF0959" w:rsidRPr="00CF0959" w:rsidRDefault="00C212FC" w:rsidP="00E934C7">
      <w:pPr>
        <w:pStyle w:val="PHEBodytext"/>
        <w:numPr>
          <w:ilvl w:val="0"/>
          <w:numId w:val="23"/>
        </w:numPr>
      </w:pPr>
      <w:r>
        <w:t>n</w:t>
      </w:r>
      <w:r w:rsidR="00CF0959" w:rsidRPr="00CF0959">
        <w:t xml:space="preserve">umber of containers, type, and amount of </w:t>
      </w:r>
      <w:r w:rsidR="00CF0959">
        <w:t xml:space="preserve">reagent </w:t>
      </w:r>
      <w:r w:rsidR="00CF0959" w:rsidRPr="00CF0959">
        <w:t>contents</w:t>
      </w:r>
      <w:r w:rsidR="00CF0959">
        <w:t xml:space="preserve"> received</w:t>
      </w:r>
    </w:p>
    <w:p w14:paraId="5BC4971A" w14:textId="77777777" w:rsidR="00CF0959" w:rsidRDefault="00C212FC" w:rsidP="00E934C7">
      <w:pPr>
        <w:pStyle w:val="PHEBodytext"/>
        <w:numPr>
          <w:ilvl w:val="0"/>
          <w:numId w:val="23"/>
        </w:numPr>
      </w:pPr>
      <w:r>
        <w:t>b</w:t>
      </w:r>
      <w:r w:rsidR="00CF0959">
        <w:t>atch number(s)</w:t>
      </w:r>
    </w:p>
    <w:p w14:paraId="1FE59D49" w14:textId="77777777" w:rsidR="00CF0959" w:rsidRDefault="00C212FC" w:rsidP="00E934C7">
      <w:pPr>
        <w:pStyle w:val="PHEBodytext"/>
        <w:numPr>
          <w:ilvl w:val="0"/>
          <w:numId w:val="22"/>
        </w:numPr>
      </w:pPr>
      <w:r>
        <w:t>n</w:t>
      </w:r>
      <w:r w:rsidR="00CF0959">
        <w:t>umber of aliquots prepared and date prepared</w:t>
      </w:r>
    </w:p>
    <w:p w14:paraId="46CFAF05" w14:textId="77777777" w:rsidR="002707B9" w:rsidRPr="00CF0959" w:rsidRDefault="00C212FC" w:rsidP="00E934C7">
      <w:pPr>
        <w:pStyle w:val="PHEBodytext"/>
        <w:numPr>
          <w:ilvl w:val="0"/>
          <w:numId w:val="22"/>
        </w:numPr>
      </w:pPr>
      <w:r>
        <w:t>r</w:t>
      </w:r>
      <w:r w:rsidR="002707B9">
        <w:t>eagent expiry date</w:t>
      </w:r>
    </w:p>
    <w:p w14:paraId="287A20D2" w14:textId="77777777" w:rsidR="00CF0959" w:rsidRPr="00FE4B33" w:rsidRDefault="00CF0959" w:rsidP="00CF0959">
      <w:pPr>
        <w:pStyle w:val="PHEBodytext"/>
      </w:pPr>
      <w:r>
        <w:t>The prepared aliquots should be clearly labelled with the reagent name</w:t>
      </w:r>
      <w:r w:rsidR="00CF5507">
        <w:t xml:space="preserve"> with concentration if appropriate</w:t>
      </w:r>
      <w:r>
        <w:t xml:space="preserve"> and date prepared</w:t>
      </w:r>
      <w:r w:rsidR="00CF5507">
        <w:fldChar w:fldCharType="begin" w:fldLock="1"/>
      </w:r>
      <w:r w:rsidR="00C40968">
        <w:instrText xml:space="preserve"> ADDIN EN.CITE &lt;EndNote&gt;&lt;Cite&gt;&lt;Author&gt;Department of Health&lt;/Author&gt;&lt;Year&gt;1999&lt;/Year&gt;&lt;RecNum&gt;17&lt;/RecNum&gt;&lt;DisplayText&gt;&lt;style face="superscript"&gt;18&lt;/style&gt;&lt;/DisplayText&gt;&lt;record&gt;&lt;rec-number&gt;17&lt;/rec-number&gt;&lt;foreign-keys&gt;&lt;key app="EN" db-id="pvwvpw2wgszvfietprqxz0d1rrptvr2vrwas" timestamp="1504262557"&gt;17&lt;/key&gt;&lt;/foreign-keys&gt;&lt;ref-type name="Legal Rule or Regulation"&gt;50&lt;/ref-type&gt;&lt;contributors&gt;&lt;authors&gt;&lt;author&gt;Department of Health,&lt;/author&gt;&lt;/authors&gt;&lt;/contributors&gt;&lt;titles&gt;&lt;title&gt;Health and Safety; The Good Laboratory Practice Regulations 1999,&lt;/title&gt;&lt;/titles&gt;&lt;pages&gt;1-28&lt;/pages&gt;&lt;dates&gt;&lt;year&gt;1999&lt;/year&gt;&lt;/dates&gt;&lt;pub-location&gt;United Kingdom&lt;/pub-location&gt;&lt;publisher&gt;The Stationery Office Limited&lt;/publisher&gt;&lt;isbn&gt;1999 No. 3106&lt;/isbn&gt;&lt;urls&gt;&lt;/urls&gt;&lt;research-notes&gt;&lt;style face="bold" font="default" size="100%"&gt;A, V&lt;/style&gt;&lt;/research-notes&gt;&lt;/record&gt;&lt;/Cite&gt;&lt;/EndNote&gt;</w:instrText>
      </w:r>
      <w:r w:rsidR="00CF5507">
        <w:fldChar w:fldCharType="separate"/>
      </w:r>
      <w:r w:rsidR="00C40968" w:rsidRPr="00C40968">
        <w:rPr>
          <w:noProof/>
          <w:vertAlign w:val="superscript"/>
        </w:rPr>
        <w:t>18</w:t>
      </w:r>
      <w:r w:rsidR="00CF5507">
        <w:fldChar w:fldCharType="end"/>
      </w:r>
      <w:r>
        <w:t>. The other consumables used in the preparation of the reagents such as sterile water bottles should also be labelled with the date opened.</w:t>
      </w:r>
    </w:p>
    <w:p w14:paraId="7049CF22" w14:textId="77777777" w:rsidR="00F93307" w:rsidRDefault="00F93307" w:rsidP="004341FE">
      <w:pPr>
        <w:pStyle w:val="PHEreportHeading2BlueHighlight"/>
      </w:pPr>
      <w:bookmarkStart w:id="25" w:name="_Toc14665918"/>
      <w:bookmarkStart w:id="26" w:name="_Toc272481291"/>
      <w:r>
        <w:t>2.4</w:t>
      </w:r>
      <w:r>
        <w:tab/>
        <w:t xml:space="preserve">The </w:t>
      </w:r>
      <w:r w:rsidR="00C212FC">
        <w:t>nucleic acid extraction r</w:t>
      </w:r>
      <w:r>
        <w:t>oom</w:t>
      </w:r>
      <w:bookmarkEnd w:id="25"/>
      <w:bookmarkEnd w:id="26"/>
    </w:p>
    <w:p w14:paraId="5A9C4A0E" w14:textId="77777777" w:rsidR="00202439" w:rsidRDefault="00E50EE4" w:rsidP="004341FE">
      <w:pPr>
        <w:pStyle w:val="PHEBodytext"/>
      </w:pPr>
      <w:r>
        <w:t>Ideally, laboratories should have separate rooms for DNA extraction</w:t>
      </w:r>
      <w:r w:rsidRPr="00E50EE4">
        <w:t xml:space="preserve"> of the clinical specimens</w:t>
      </w:r>
      <w:r>
        <w:t xml:space="preserve"> and addition of DNA extracts to molecular mixes, however </w:t>
      </w:r>
      <w:r w:rsidRPr="00E50EE4">
        <w:t>due to lack of laboratory space</w:t>
      </w:r>
      <w:r>
        <w:t>, m</w:t>
      </w:r>
      <w:r w:rsidRPr="00E50EE4">
        <w:t xml:space="preserve">ost laboratories will perform both </w:t>
      </w:r>
      <w:r>
        <w:t>stages in the same room but at s</w:t>
      </w:r>
      <w:r w:rsidRPr="00E50EE4">
        <w:t>eparate areas of the room.</w:t>
      </w:r>
    </w:p>
    <w:p w14:paraId="38D1DAEC" w14:textId="77777777" w:rsidR="00F93307" w:rsidRDefault="00F93307" w:rsidP="004341FE">
      <w:pPr>
        <w:pStyle w:val="PHEBodytext"/>
      </w:pPr>
      <w:r w:rsidRPr="00D64AB9">
        <w:t xml:space="preserve">Extraction of nucleic acid from clinical samples must be performed in areas where PCR products and </w:t>
      </w:r>
      <w:r>
        <w:t xml:space="preserve">stocks of </w:t>
      </w:r>
      <w:r w:rsidRPr="00D64AB9">
        <w:t>cloned materials have not been handled</w:t>
      </w:r>
      <w:r>
        <w:t xml:space="preserve">. </w:t>
      </w:r>
      <w:r w:rsidRPr="00D64AB9">
        <w:t xml:space="preserve">A second clean area is </w:t>
      </w:r>
      <w:r>
        <w:t>therefore</w:t>
      </w:r>
      <w:r w:rsidRPr="00D64AB9">
        <w:t xml:space="preserve"> required for this purpose</w:t>
      </w:r>
      <w:r>
        <w:t xml:space="preserve">. </w:t>
      </w:r>
      <w:r w:rsidRPr="00D64AB9">
        <w:t xml:space="preserve">The second area is where the samples are processed, the reverse transcriptase step of RT-PCRs is performed and where the extracted DNA or </w:t>
      </w:r>
      <w:r>
        <w:t>cloned DNA</w:t>
      </w:r>
      <w:r w:rsidRPr="00D64AB9">
        <w:t xml:space="preserve"> </w:t>
      </w:r>
      <w:r>
        <w:t xml:space="preserve">and positive control </w:t>
      </w:r>
      <w:r w:rsidRPr="00D64AB9">
        <w:t>is added to the PCR reaction mixes (previously prepared in</w:t>
      </w:r>
      <w:r>
        <w:t xml:space="preserve"> the reagent preparation room).</w:t>
      </w:r>
    </w:p>
    <w:p w14:paraId="65C84F6C" w14:textId="77777777" w:rsidR="00F93307" w:rsidRDefault="00F93307" w:rsidP="004341FE">
      <w:pPr>
        <w:pStyle w:val="PHEBodytext"/>
      </w:pPr>
      <w:r w:rsidRPr="00D64AB9">
        <w:t>Specimens for PCR should come directly from the specimen rece</w:t>
      </w:r>
      <w:r w:rsidR="002707B9">
        <w:t xml:space="preserve">ption </w:t>
      </w:r>
      <w:r w:rsidRPr="00D64AB9">
        <w:t xml:space="preserve">into the extraction laboratory; the samples should </w:t>
      </w:r>
      <w:r w:rsidRPr="00363456">
        <w:t>never enter</w:t>
      </w:r>
      <w:r w:rsidRPr="00D64AB9">
        <w:t xml:space="preserve"> rooms where PCR products and cloned DNA are present.</w:t>
      </w:r>
    </w:p>
    <w:p w14:paraId="7AC13899" w14:textId="77777777" w:rsidR="00C274EE" w:rsidRDefault="00C274EE" w:rsidP="004341FE">
      <w:pPr>
        <w:pStyle w:val="PHEBodytext"/>
      </w:pPr>
    </w:p>
    <w:p w14:paraId="509BCB35" w14:textId="77777777" w:rsidR="00F93307" w:rsidRDefault="00F93307" w:rsidP="004341FE">
      <w:pPr>
        <w:pStyle w:val="PHEreportHeading2BlueHighlight"/>
      </w:pPr>
      <w:bookmarkStart w:id="27" w:name="_Toc14665919"/>
      <w:bookmarkStart w:id="28" w:name="_Toc272481292"/>
      <w:r>
        <w:lastRenderedPageBreak/>
        <w:t>2.5</w:t>
      </w:r>
      <w:r>
        <w:tab/>
        <w:t xml:space="preserve">The </w:t>
      </w:r>
      <w:r w:rsidR="00C212FC">
        <w:t>a</w:t>
      </w:r>
      <w:r>
        <w:t xml:space="preserve">mplification </w:t>
      </w:r>
      <w:r w:rsidR="00C212FC">
        <w:t>r</w:t>
      </w:r>
      <w:r>
        <w:t>oom</w:t>
      </w:r>
      <w:bookmarkEnd w:id="27"/>
      <w:bookmarkEnd w:id="28"/>
    </w:p>
    <w:p w14:paraId="03CF9C74" w14:textId="77777777" w:rsidR="00F93307" w:rsidRPr="00D64AB9" w:rsidRDefault="00F93307" w:rsidP="004341FE">
      <w:pPr>
        <w:pStyle w:val="PHEBodytext"/>
      </w:pPr>
      <w:r w:rsidRPr="00D64AB9">
        <w:t>The amplification room is the area in which the PCR machines are housed</w:t>
      </w:r>
      <w:r>
        <w:t xml:space="preserve">. </w:t>
      </w:r>
      <w:r w:rsidRPr="00D64AB9">
        <w:t>It may also contain a containment area in which, for nested PCRs, the second round reaction mixes are inoculated with the primary reaction product</w:t>
      </w:r>
      <w:r>
        <w:t xml:space="preserve">. </w:t>
      </w:r>
      <w:r w:rsidRPr="00D64AB9">
        <w:t>Cloned DNAs should not be brought into this area.</w:t>
      </w:r>
    </w:p>
    <w:p w14:paraId="4EB1CCB5" w14:textId="77777777" w:rsidR="00F93307" w:rsidRPr="00D64AB9" w:rsidRDefault="0078659C" w:rsidP="004341FE">
      <w:pPr>
        <w:pStyle w:val="PHEBodytext"/>
      </w:pPr>
      <w:r>
        <w:t>Ideally, w</w:t>
      </w:r>
      <w:r w:rsidR="00F93307" w:rsidRPr="00D64AB9">
        <w:t>here PCR machines are shared, a clear booking system is recommended to provide a cohesive system for the assays</w:t>
      </w:r>
      <w:r>
        <w:t xml:space="preserve"> as there could be variations in workload at times</w:t>
      </w:r>
      <w:r w:rsidR="00F93307">
        <w:t xml:space="preserve">. </w:t>
      </w:r>
      <w:r w:rsidR="00F93307" w:rsidRPr="00D64AB9">
        <w:t>Individual users’ PCR programs in the thermocyclers should not be edited by other users (even temporarily) without notification to the program owner.</w:t>
      </w:r>
    </w:p>
    <w:p w14:paraId="160708EF" w14:textId="77777777" w:rsidR="00F93307" w:rsidRDefault="00F93307" w:rsidP="004341FE">
      <w:pPr>
        <w:pStyle w:val="PHEreportHeading2BlueHighlight"/>
      </w:pPr>
      <w:bookmarkStart w:id="29" w:name="_Toc14665920"/>
      <w:bookmarkStart w:id="30" w:name="_Toc272481293"/>
      <w:r>
        <w:t>2.6</w:t>
      </w:r>
      <w:r>
        <w:tab/>
        <w:t xml:space="preserve">The </w:t>
      </w:r>
      <w:r w:rsidR="00C212FC">
        <w:t>product analysis r</w:t>
      </w:r>
      <w:r>
        <w:t>oom</w:t>
      </w:r>
      <w:bookmarkEnd w:id="29"/>
      <w:r>
        <w:t>s</w:t>
      </w:r>
      <w:bookmarkEnd w:id="30"/>
    </w:p>
    <w:p w14:paraId="26EE6FC0" w14:textId="77777777" w:rsidR="00F93307" w:rsidRDefault="00F93307" w:rsidP="004341FE">
      <w:pPr>
        <w:pStyle w:val="PHEBodytext"/>
      </w:pPr>
      <w:r w:rsidRPr="00A55C14">
        <w:t xml:space="preserve">This </w:t>
      </w:r>
      <w:r w:rsidR="00202439" w:rsidRPr="00A55C14">
        <w:t>is known as the post-PCR room</w:t>
      </w:r>
      <w:r w:rsidR="00E06813" w:rsidRPr="00A55C14">
        <w:t>. This</w:t>
      </w:r>
      <w:r w:rsidR="00E06813">
        <w:t xml:space="preserve"> </w:t>
      </w:r>
      <w:r w:rsidRPr="00D64AB9">
        <w:t>is the room in which post-PCR manipulations are performed</w:t>
      </w:r>
      <w:r>
        <w:t xml:space="preserve"> </w:t>
      </w:r>
      <w:r w:rsidR="002707B9">
        <w:t>(</w:t>
      </w:r>
      <w:r w:rsidR="005C5C1E">
        <w:t>for example</w:t>
      </w:r>
      <w:r>
        <w:t xml:space="preserve"> </w:t>
      </w:r>
      <w:r w:rsidRPr="00D64AB9">
        <w:t>agarose gel electrophoresis of products, PCR-ELISA detection systems</w:t>
      </w:r>
      <w:r w:rsidR="002707B9">
        <w:t>,</w:t>
      </w:r>
      <w:r w:rsidR="002707B9" w:rsidRPr="002707B9">
        <w:t xml:space="preserve"> </w:t>
      </w:r>
      <w:r w:rsidR="002707B9">
        <w:t>sequencing, nested PCR testing)</w:t>
      </w:r>
      <w:r>
        <w:t xml:space="preserve">. </w:t>
      </w:r>
      <w:r w:rsidRPr="00D64AB9">
        <w:t>This is a contaminated area and therefore no reagents, equipment, laboratory coats etc. from this room should be used in any of the other PCR areas.</w:t>
      </w:r>
    </w:p>
    <w:p w14:paraId="2441D1B3" w14:textId="77777777" w:rsidR="001954C3" w:rsidRPr="000079C4" w:rsidRDefault="001954C3" w:rsidP="001C6D47">
      <w:pPr>
        <w:pStyle w:val="PHEreportHeading1"/>
      </w:pPr>
      <w:bookmarkStart w:id="31" w:name="_Toc506805752"/>
      <w:r w:rsidRPr="000079C4">
        <w:t>3</w:t>
      </w:r>
      <w:r w:rsidRPr="000079C4">
        <w:tab/>
      </w:r>
      <w:bookmarkEnd w:id="20"/>
      <w:bookmarkEnd w:id="21"/>
      <w:r w:rsidR="00F93307">
        <w:t xml:space="preserve">Handling of </w:t>
      </w:r>
      <w:r w:rsidR="00C212FC">
        <w:t xml:space="preserve">master </w:t>
      </w:r>
      <w:r w:rsidR="00F93307">
        <w:t>mixes</w:t>
      </w:r>
      <w:bookmarkEnd w:id="31"/>
    </w:p>
    <w:p w14:paraId="0C16754E" w14:textId="77777777" w:rsidR="005971DD" w:rsidRPr="00C212FC" w:rsidRDefault="005971DD" w:rsidP="00C212FC">
      <w:pPr>
        <w:pStyle w:val="PHEBodytext"/>
      </w:pPr>
      <w:bookmarkStart w:id="32" w:name="_Toc119225995"/>
      <w:bookmarkStart w:id="33" w:name="_Toc210040714"/>
      <w:r w:rsidRPr="00C212FC">
        <w:t>Master</w:t>
      </w:r>
      <w:r w:rsidR="00824584" w:rsidRPr="00C212FC">
        <w:t xml:space="preserve"> </w:t>
      </w:r>
      <w:r w:rsidRPr="00C212FC">
        <w:t>mixes should be aliquoted in appropriate volumes for the usage requirement of an assay and to minimise t</w:t>
      </w:r>
      <w:r w:rsidR="00811512" w:rsidRPr="00C212FC">
        <w:t>he number of freeze-thaw cycles</w:t>
      </w:r>
      <w:r w:rsidR="00C212FC">
        <w:t>.</w:t>
      </w:r>
    </w:p>
    <w:p w14:paraId="549EEA6E" w14:textId="77777777" w:rsidR="002707B9" w:rsidRPr="00C212FC" w:rsidRDefault="005971DD" w:rsidP="00C212FC">
      <w:pPr>
        <w:pStyle w:val="PHEBodytext"/>
      </w:pPr>
      <w:r w:rsidRPr="00C212FC">
        <w:t>Master</w:t>
      </w:r>
      <w:r w:rsidR="00824584" w:rsidRPr="00C212FC">
        <w:t xml:space="preserve"> </w:t>
      </w:r>
      <w:r w:rsidRPr="00C212FC">
        <w:t>mixes should be subjected to minimal thawing and</w:t>
      </w:r>
      <w:r w:rsidR="00811512" w:rsidRPr="00C212FC">
        <w:t xml:space="preserve"> </w:t>
      </w:r>
      <w:r w:rsidR="002707B9" w:rsidRPr="00C212FC">
        <w:t>ideally should be thermostable</w:t>
      </w:r>
      <w:r w:rsidR="0032194A">
        <w:t xml:space="preserve"> (handled as per manufacturer instructions). </w:t>
      </w:r>
      <w:r w:rsidR="002707B9" w:rsidRPr="00C212FC">
        <w:t>If this is not the case, then all master mix reagents should be handled using a cold block rather than using ice, as that is a potential source of contamination</w:t>
      </w:r>
      <w:r w:rsidR="00C212FC">
        <w:t>.</w:t>
      </w:r>
      <w:r w:rsidR="002707B9" w:rsidRPr="00C212FC" w:rsidDel="002707B9">
        <w:t xml:space="preserve"> </w:t>
      </w:r>
    </w:p>
    <w:p w14:paraId="6F946788" w14:textId="77777777" w:rsidR="005971DD" w:rsidRPr="00C212FC" w:rsidRDefault="005971DD" w:rsidP="00C212FC">
      <w:pPr>
        <w:pStyle w:val="PHEBodytext"/>
      </w:pPr>
      <w:r w:rsidRPr="00C212FC">
        <w:t>Master</w:t>
      </w:r>
      <w:r w:rsidR="00824584" w:rsidRPr="00C212FC">
        <w:t xml:space="preserve"> </w:t>
      </w:r>
      <w:r w:rsidRPr="00C212FC">
        <w:t>mixes containing either fluorophores, as in probe-based assays, or DNA-binding dyes, such as SYBR Green, should not be exposed to excessive light in order to prevent</w:t>
      </w:r>
      <w:r w:rsidR="00811512" w:rsidRPr="00C212FC">
        <w:t xml:space="preserve"> degradation by photo-bleaching</w:t>
      </w:r>
      <w:r w:rsidR="00FC3F89" w:rsidRPr="00C212FC">
        <w:rPr>
          <w:vertAlign w:val="superscript"/>
        </w:rPr>
        <w:fldChar w:fldCharType="begin" w:fldLock="1"/>
      </w:r>
      <w:r w:rsidR="00CE7678">
        <w:rPr>
          <w:vertAlign w:val="superscript"/>
        </w:rPr>
        <w:instrText xml:space="preserve"> ADDIN EN.CITE &lt;EndNote&gt;&lt;Cite&gt;&lt;Author&gt;J&lt;/Author&gt;&lt;Year&gt;2009&lt;/Year&gt;&lt;RecNum&gt;6&lt;/RecNum&gt;&lt;DisplayText&gt;&lt;style face="superscript"&gt;19&lt;/style&gt;&lt;/DisplayText&gt;&lt;record&gt;&lt;rec-number&gt;6&lt;/rec-number&gt;&lt;foreign-keys&gt;&lt;key app="EN" db-id="pvwvpw2wgszvfietprqxz0d1rrptvr2vrwas" timestamp="1493382673"&gt;6&lt;/key&gt;&lt;/foreign-keys&gt;&lt;ref-type name="Book Section"&gt;5&lt;/ref-type&gt;&lt;contributors&gt;&lt;authors&gt;&lt;author&gt;Logan J, Edwards K, Saunders N,&lt;/author&gt;&lt;/authors&gt;&lt;secondary-authors&gt;&lt;author&gt;Lee MA,&lt;/author&gt;&lt;/secondary-authors&gt;&lt;/contributors&gt;&lt;titles&gt;&lt;title&gt;Homogeneous fluorescent chemistries for real-time PCR&lt;/title&gt;&lt;secondary-title&gt;Current Technology and Applications&lt;/secondary-title&gt;&lt;/titles&gt;&lt;pages&gt;27&lt;/pages&gt;&lt;reprint-edition&gt;Not in File&lt;/reprint-edition&gt;&lt;keywords&gt;&lt;keyword&gt;Chemistry&lt;/keyword&gt;&lt;keyword&gt;PCR&lt;/keyword&gt;&lt;keyword&gt;Q 4&lt;/keyword&gt;&lt;/keywords&gt;&lt;dates&gt;&lt;year&gt;2009&lt;/year&gt;&lt;pub-dates&gt;&lt;date&gt;2009&lt;/date&gt;&lt;/pub-dates&gt;&lt;/dates&gt;&lt;pub-location&gt;Norfolk&lt;/pub-location&gt;&lt;publisher&gt;Caister Academic Press&lt;/publisher&gt;&lt;label&gt;35110&lt;/label&gt;&lt;urls&gt;&lt;/urls&gt;&lt;research-notes&gt;&lt;style face="bold" font="default" size="100%"&gt;B, VI&lt;/style&gt;&lt;/research-notes&gt;&lt;/record&gt;&lt;/Cite&gt;&lt;/EndNote&gt;</w:instrText>
      </w:r>
      <w:r w:rsidR="00FC3F89" w:rsidRPr="00C212FC">
        <w:rPr>
          <w:vertAlign w:val="superscript"/>
        </w:rPr>
        <w:fldChar w:fldCharType="separate"/>
      </w:r>
      <w:r w:rsidR="00C40968">
        <w:rPr>
          <w:noProof/>
          <w:vertAlign w:val="superscript"/>
        </w:rPr>
        <w:t>19</w:t>
      </w:r>
      <w:r w:rsidR="00FC3F89" w:rsidRPr="00C212FC">
        <w:rPr>
          <w:vertAlign w:val="superscript"/>
        </w:rPr>
        <w:fldChar w:fldCharType="end"/>
      </w:r>
      <w:r w:rsidR="00C212FC" w:rsidRPr="00C212FC">
        <w:t>.</w:t>
      </w:r>
    </w:p>
    <w:p w14:paraId="2B54C9FD" w14:textId="77777777" w:rsidR="002D6545" w:rsidRPr="00C212FC" w:rsidRDefault="002D6545" w:rsidP="00C212FC">
      <w:pPr>
        <w:pStyle w:val="PHEBodytext"/>
      </w:pPr>
      <w:r w:rsidRPr="00C212FC">
        <w:t xml:space="preserve">Different batches of </w:t>
      </w:r>
      <w:r w:rsidR="00781D13">
        <w:t>m</w:t>
      </w:r>
      <w:r w:rsidRPr="00C212FC">
        <w:t>aster</w:t>
      </w:r>
      <w:r w:rsidR="00824584" w:rsidRPr="00C212FC">
        <w:t xml:space="preserve"> </w:t>
      </w:r>
      <w:r w:rsidRPr="00C212FC">
        <w:t>mixes should never be mixed and used together for setting up molecular assays. This is so as to allow traceability of any problems that may arise with any molecular assay at any time</w:t>
      </w:r>
      <w:r w:rsidR="00C212FC">
        <w:t>.</w:t>
      </w:r>
    </w:p>
    <w:p w14:paraId="6ED5B2DE" w14:textId="77777777" w:rsidR="00D71F75" w:rsidRPr="002D6545" w:rsidRDefault="00D71F75" w:rsidP="00C212FC">
      <w:pPr>
        <w:pStyle w:val="PHEBodytext"/>
        <w:rPr>
          <w:b/>
        </w:rPr>
      </w:pPr>
      <w:r w:rsidRPr="00377923">
        <w:rPr>
          <w:b/>
        </w:rPr>
        <w:t>Note</w:t>
      </w:r>
      <w:r w:rsidRPr="00C212FC">
        <w:rPr>
          <w:b/>
        </w:rPr>
        <w:t xml:space="preserve">: </w:t>
      </w:r>
      <w:r w:rsidR="00824584">
        <w:t>Laboratories looking to use in-house molecular assays should ensure that during v</w:t>
      </w:r>
      <w:r>
        <w:t xml:space="preserve">alidation of </w:t>
      </w:r>
      <w:r w:rsidR="00824584">
        <w:t>these a</w:t>
      </w:r>
      <w:r w:rsidRPr="00D71F75">
        <w:t>ssays</w:t>
      </w:r>
      <w:r w:rsidR="00824584">
        <w:t xml:space="preserve">, </w:t>
      </w:r>
      <w:r w:rsidRPr="00D71F75">
        <w:t>stability studies associate</w:t>
      </w:r>
      <w:r>
        <w:t xml:space="preserve">d with the </w:t>
      </w:r>
      <w:proofErr w:type="spellStart"/>
      <w:r>
        <w:t>aliquoting</w:t>
      </w:r>
      <w:proofErr w:type="spellEnd"/>
      <w:r>
        <w:t xml:space="preserve"> of master</w:t>
      </w:r>
      <w:r w:rsidR="00824584">
        <w:t xml:space="preserve"> </w:t>
      </w:r>
      <w:r w:rsidRPr="00D71F75">
        <w:t>mixes</w:t>
      </w:r>
      <w:r w:rsidR="00824584">
        <w:t xml:space="preserve"> must be included.</w:t>
      </w:r>
    </w:p>
    <w:p w14:paraId="173BE530" w14:textId="77777777" w:rsidR="000079C4" w:rsidRPr="000079C4" w:rsidRDefault="001954C3" w:rsidP="000079C4">
      <w:pPr>
        <w:pStyle w:val="PHEreportHeading1"/>
      </w:pPr>
      <w:bookmarkStart w:id="34" w:name="_Toc506805753"/>
      <w:r w:rsidRPr="000079C4">
        <w:t>4</w:t>
      </w:r>
      <w:r w:rsidRPr="000079C4">
        <w:tab/>
      </w:r>
      <w:bookmarkStart w:id="35" w:name="_Toc119225996"/>
      <w:bookmarkStart w:id="36" w:name="_Toc210040722"/>
      <w:bookmarkEnd w:id="32"/>
      <w:bookmarkEnd w:id="33"/>
      <w:r w:rsidR="00BA6C61">
        <w:t xml:space="preserve">Selection of </w:t>
      </w:r>
      <w:r w:rsidR="00C212FC">
        <w:t>assay c</w:t>
      </w:r>
      <w:r w:rsidR="00BA6C61">
        <w:t>ontrols</w:t>
      </w:r>
      <w:bookmarkEnd w:id="34"/>
    </w:p>
    <w:bookmarkEnd w:id="35"/>
    <w:bookmarkEnd w:id="36"/>
    <w:p w14:paraId="6FD423B3" w14:textId="77777777" w:rsidR="00BA6C61" w:rsidRDefault="00BA6C61" w:rsidP="004341FE">
      <w:pPr>
        <w:pStyle w:val="PHEBodytext"/>
      </w:pPr>
      <w:r w:rsidRPr="00D64AB9">
        <w:t>Assay controls are included according to the individual assay protocol</w:t>
      </w:r>
      <w:r w:rsidR="002707B9" w:rsidRPr="002707B9">
        <w:t xml:space="preserve"> that will be specific to the pathogen targeted</w:t>
      </w:r>
      <w:r>
        <w:t xml:space="preserve">. </w:t>
      </w:r>
      <w:r w:rsidRPr="00D64AB9">
        <w:t>However, as general guidelines, the follow</w:t>
      </w:r>
      <w:r w:rsidR="005C5C1E">
        <w:t>ing are suggested.</w:t>
      </w:r>
    </w:p>
    <w:p w14:paraId="386A6BE2" w14:textId="77777777" w:rsidR="00BA6C61" w:rsidRPr="005C5C1E" w:rsidRDefault="00BA6C61" w:rsidP="005C5C1E">
      <w:pPr>
        <w:pStyle w:val="PHEBodytext"/>
      </w:pPr>
      <w:r w:rsidRPr="005C5C1E">
        <w:t xml:space="preserve">A positive amplification control: this should normally be an extract that amplifies weakly but consistently within an acceptable </w:t>
      </w:r>
      <w:r w:rsidR="00A93D73">
        <w:t xml:space="preserve">defined </w:t>
      </w:r>
      <w:r w:rsidRPr="005C5C1E">
        <w:t xml:space="preserve">range. </w:t>
      </w:r>
      <w:r w:rsidR="00031A81" w:rsidRPr="003F064E">
        <w:rPr>
          <w:rFonts w:cs="Arial"/>
        </w:rPr>
        <w:t xml:space="preserve">A decline in assay performance may not be detected when using a high copy-number positive as this may still give a signal. </w:t>
      </w:r>
      <w:r w:rsidRPr="005C5C1E">
        <w:t>Use of a strong positive is an unnecessary risk as it can be a possib</w:t>
      </w:r>
      <w:r w:rsidR="00811512" w:rsidRPr="005C5C1E">
        <w:t>le reservoir of contamination</w:t>
      </w:r>
      <w:r w:rsidR="005C5C1E">
        <w:t>.</w:t>
      </w:r>
      <w:r w:rsidR="000766B1" w:rsidRPr="000766B1">
        <w:t xml:space="preserve"> </w:t>
      </w:r>
      <w:r w:rsidR="000766B1">
        <w:t>Positive control should be a whole process control.</w:t>
      </w:r>
    </w:p>
    <w:p w14:paraId="65B99FA1" w14:textId="77777777" w:rsidR="00BA6C61" w:rsidRPr="005C5C1E" w:rsidRDefault="00BA6C61" w:rsidP="005C5C1E">
      <w:pPr>
        <w:pStyle w:val="PHEBodytext"/>
      </w:pPr>
      <w:r w:rsidRPr="005C5C1E">
        <w:lastRenderedPageBreak/>
        <w:t>A positive amplification control derived from a plasmid should always be diluted to give a detection endpoin</w:t>
      </w:r>
      <w:r w:rsidR="00811512" w:rsidRPr="005C5C1E">
        <w:t>t expected from a weak positive</w:t>
      </w:r>
      <w:r w:rsidR="005C5C1E">
        <w:t>.</w:t>
      </w:r>
    </w:p>
    <w:p w14:paraId="1D2DDE39" w14:textId="77777777" w:rsidR="00BA6C61" w:rsidRPr="005C5C1E" w:rsidRDefault="00BA6C61" w:rsidP="005C5C1E">
      <w:pPr>
        <w:pStyle w:val="PHEBodytext"/>
      </w:pPr>
      <w:r w:rsidRPr="005C5C1E">
        <w:t xml:space="preserve">A negative or “no template” amplification control, </w:t>
      </w:r>
      <w:r w:rsidR="00C212FC" w:rsidRPr="005C5C1E">
        <w:t>for example</w:t>
      </w:r>
      <w:r w:rsidRPr="005C5C1E">
        <w:t xml:space="preserve"> nuclease free water, should always be included</w:t>
      </w:r>
      <w:r w:rsidR="0078659C">
        <w:t xml:space="preserve"> </w:t>
      </w:r>
      <w:r w:rsidRPr="005C5C1E">
        <w:t>t</w:t>
      </w:r>
      <w:r w:rsidR="00811512" w:rsidRPr="005C5C1E">
        <w:t>o control the reagent master</w:t>
      </w:r>
      <w:r w:rsidR="00824584" w:rsidRPr="005C5C1E">
        <w:t xml:space="preserve"> </w:t>
      </w:r>
      <w:r w:rsidR="00811512" w:rsidRPr="005C5C1E">
        <w:t>mix</w:t>
      </w:r>
      <w:r w:rsidR="0078659C">
        <w:t xml:space="preserve"> during the whole process</w:t>
      </w:r>
      <w:r w:rsidR="005C5C1E">
        <w:t>.</w:t>
      </w:r>
    </w:p>
    <w:p w14:paraId="03B2F86B" w14:textId="77777777" w:rsidR="00BA6C61" w:rsidRDefault="00BA6C61" w:rsidP="005C5C1E">
      <w:pPr>
        <w:pStyle w:val="PHEBodytext"/>
      </w:pPr>
      <w:r w:rsidRPr="005C5C1E">
        <w:t xml:space="preserve">Extraction </w:t>
      </w:r>
      <w:r w:rsidR="001230FB">
        <w:t xml:space="preserve">run </w:t>
      </w:r>
      <w:r w:rsidRPr="005C5C1E">
        <w:t xml:space="preserve">controls: known positive and negative specimens for an assay may be extracted and tested to act, respectively, as a </w:t>
      </w:r>
      <w:r w:rsidR="00684AA8">
        <w:t xml:space="preserve">process </w:t>
      </w:r>
      <w:r w:rsidRPr="005C5C1E">
        <w:t>control for successful nucleic acid extraction and a check on contamination du</w:t>
      </w:r>
      <w:r w:rsidR="00811512" w:rsidRPr="005C5C1E">
        <w:t>ring extraction</w:t>
      </w:r>
      <w:r w:rsidR="002707B9" w:rsidRPr="005C5C1E">
        <w:t xml:space="preserve"> respectively</w:t>
      </w:r>
      <w:r w:rsidR="002707B9" w:rsidRPr="00B009C4">
        <w:t>. Positive controls can be contrived specimens containing clinical relevant amounts of target (quantified organism or nucleic acid)</w:t>
      </w:r>
      <w:r w:rsidR="00CE0385">
        <w:t xml:space="preserve"> </w:t>
      </w:r>
      <w:r w:rsidR="002707B9" w:rsidRPr="00CE0385">
        <w:t>specific to the disease and specimen tested</w:t>
      </w:r>
      <w:r w:rsidR="00CE0385">
        <w:t xml:space="preserve"> as well as commutable</w:t>
      </w:r>
      <w:r w:rsidR="005C5C1E" w:rsidRPr="00CE0385">
        <w:t>.</w:t>
      </w:r>
    </w:p>
    <w:p w14:paraId="03F0CDD5" w14:textId="43E65190" w:rsidR="00BA6C61" w:rsidRPr="005C5C1E" w:rsidRDefault="00BA6C61" w:rsidP="005C5C1E">
      <w:pPr>
        <w:pStyle w:val="PHEBodytext"/>
      </w:pPr>
      <w:r w:rsidRPr="005C5C1E">
        <w:t xml:space="preserve">Internal </w:t>
      </w:r>
      <w:r w:rsidR="0078659C">
        <w:t xml:space="preserve">amplification </w:t>
      </w:r>
      <w:r w:rsidRPr="005C5C1E">
        <w:t xml:space="preserve">controls: these should be used to control for inhibitors of the PCR process and for failures of extraction or the PCR process including potential technical errors, for example failure to add the extracted sample to the PCR reaction. Internal </w:t>
      </w:r>
      <w:r w:rsidR="001230FB">
        <w:t xml:space="preserve">amplification </w:t>
      </w:r>
      <w:r w:rsidRPr="005C5C1E">
        <w:t xml:space="preserve">controls should ideally be </w:t>
      </w:r>
      <w:r w:rsidR="001230FB">
        <w:t xml:space="preserve">added to the primary extraction reagent at the same time as the test sample, so that they are </w:t>
      </w:r>
      <w:r w:rsidRPr="005C5C1E">
        <w:t>used to control the whole process of sample extraction and PCR amplification.</w:t>
      </w:r>
      <w:r w:rsidR="00DF7040" w:rsidRPr="005C5C1E">
        <w:t xml:space="preserve"> In this scenario, the internal </w:t>
      </w:r>
      <w:r w:rsidR="001230FB">
        <w:t xml:space="preserve">amplification </w:t>
      </w:r>
      <w:r w:rsidR="00DF7040" w:rsidRPr="005C5C1E">
        <w:t xml:space="preserve">control could be used in place of a positive control provided the concentration of internal </w:t>
      </w:r>
      <w:r w:rsidR="001230FB">
        <w:t xml:space="preserve">amplification </w:t>
      </w:r>
      <w:r w:rsidR="00DF7040" w:rsidRPr="005C5C1E">
        <w:t xml:space="preserve">control is of similar concentration to the positive control. </w:t>
      </w:r>
      <w:r w:rsidRPr="005C5C1E">
        <w:t xml:space="preserve">Demonstration of the internal </w:t>
      </w:r>
      <w:r w:rsidR="001230FB">
        <w:t xml:space="preserve">amplification </w:t>
      </w:r>
      <w:r w:rsidRPr="005C5C1E">
        <w:t xml:space="preserve">control sequence by PCR in a </w:t>
      </w:r>
      <w:r w:rsidR="00CB0AA4">
        <w:t>multi</w:t>
      </w:r>
      <w:r w:rsidRPr="005C5C1E">
        <w:t>plexed reaction with the target sequence can therefore confirm potential to amplify the target sequence and validate a negative result. They should ideally represent the target organism as closely as possible</w:t>
      </w:r>
      <w:r w:rsidR="00DF7040" w:rsidRPr="005C5C1E">
        <w:t>, providing a quantification cycle (</w:t>
      </w:r>
      <w:proofErr w:type="spellStart"/>
      <w:proofErr w:type="gramStart"/>
      <w:r w:rsidR="00DF7040" w:rsidRPr="005C5C1E">
        <w:t>Cq</w:t>
      </w:r>
      <w:proofErr w:type="spellEnd"/>
      <w:proofErr w:type="gramEnd"/>
      <w:r w:rsidR="00DF7040" w:rsidRPr="005C5C1E">
        <w:t>) value that would be typically encountered in a positive clinical sample</w:t>
      </w:r>
      <w:r w:rsidRPr="005C5C1E">
        <w:t>. For RNA targets detected through reverse-transcriptase PCR, an RNA control should be used to control for this step. A range of approaches have been used including addition of bacteriophages such as MS2 or lambda phage or addition of DNA or RNA transcripts. Where human DNA or RNA is co-purified with the target organism</w:t>
      </w:r>
      <w:r w:rsidR="00480536" w:rsidRPr="005C5C1E">
        <w:t>,</w:t>
      </w:r>
      <w:r w:rsidRPr="005C5C1E">
        <w:t xml:space="preserve"> detection of human gene targets especially ‘house-keeping genes’ such as β-globin have been used as internal </w:t>
      </w:r>
      <w:r w:rsidR="001230FB">
        <w:t xml:space="preserve">amplification </w:t>
      </w:r>
      <w:r w:rsidRPr="005C5C1E">
        <w:t>controls. This has an added advantage of controlling for the adequacy of the sample, although assessments of partial inhibition are more difficult where expected le</w:t>
      </w:r>
      <w:r w:rsidR="00811512" w:rsidRPr="005C5C1E">
        <w:t>vels of human DNA are not known</w:t>
      </w:r>
      <w:r w:rsidR="00DF7040" w:rsidRPr="005C5C1E">
        <w:t xml:space="preserve"> and </w:t>
      </w:r>
      <w:proofErr w:type="spellStart"/>
      <w:proofErr w:type="gramStart"/>
      <w:r w:rsidR="00DF7040" w:rsidRPr="005C5C1E">
        <w:t>Cq</w:t>
      </w:r>
      <w:proofErr w:type="spellEnd"/>
      <w:proofErr w:type="gramEnd"/>
      <w:r w:rsidR="00DF7040" w:rsidRPr="005C5C1E">
        <w:t xml:space="preserve"> values will be inconsistent and no reference </w:t>
      </w:r>
      <w:proofErr w:type="spellStart"/>
      <w:r w:rsidR="00DF7040" w:rsidRPr="005C5C1E">
        <w:t>Cq</w:t>
      </w:r>
      <w:proofErr w:type="spellEnd"/>
      <w:r w:rsidR="00DF7040" w:rsidRPr="005C5C1E">
        <w:t xml:space="preserve"> value will be available for comparison. Samples containing potentially large amounts of human material and subsequent DNA (for example, </w:t>
      </w:r>
      <w:proofErr w:type="spellStart"/>
      <w:r w:rsidR="008E13E3" w:rsidRPr="005C5C1E">
        <w:t>b</w:t>
      </w:r>
      <w:r w:rsidR="00DF7040" w:rsidRPr="005C5C1E">
        <w:t>ronchoalveolar</w:t>
      </w:r>
      <w:proofErr w:type="spellEnd"/>
      <w:r w:rsidR="00DF7040" w:rsidRPr="005C5C1E">
        <w:t xml:space="preserve"> lavage) can be inhibitory to PCR amplification of the target sequence</w:t>
      </w:r>
      <w:r w:rsidR="005C5C1E">
        <w:t>.</w:t>
      </w:r>
    </w:p>
    <w:p w14:paraId="48151741" w14:textId="77777777" w:rsidR="00BA6C61" w:rsidRPr="005C5C1E" w:rsidRDefault="00BA6C61" w:rsidP="005C5C1E">
      <w:pPr>
        <w:pStyle w:val="PHEBodytext"/>
      </w:pPr>
      <w:r w:rsidRPr="005C5C1E">
        <w:t>Internal</w:t>
      </w:r>
      <w:r w:rsidR="001230FB">
        <w:t xml:space="preserve"> amplification </w:t>
      </w:r>
      <w:r w:rsidRPr="005C5C1E">
        <w:t>controls added at the PCR stage will control for inhibitors in the PCR but will not</w:t>
      </w:r>
      <w:r w:rsidR="00811512" w:rsidRPr="005C5C1E">
        <w:t xml:space="preserve"> control for sample extraction</w:t>
      </w:r>
      <w:r w:rsidR="005C5C1E">
        <w:t>.</w:t>
      </w:r>
    </w:p>
    <w:p w14:paraId="6C29FF43" w14:textId="5483FA6A" w:rsidR="00BA6C61" w:rsidRDefault="00BA6C61" w:rsidP="00BA6C61">
      <w:pPr>
        <w:pStyle w:val="PHEreportHeading1"/>
      </w:pPr>
      <w:bookmarkStart w:id="37" w:name="_Toc506805754"/>
      <w:bookmarkStart w:id="38" w:name="_Toc343868380"/>
      <w:r>
        <w:t>5</w:t>
      </w:r>
      <w:r>
        <w:tab/>
        <w:t xml:space="preserve">Other </w:t>
      </w:r>
      <w:r w:rsidR="000C171C">
        <w:t>considerations to avoid con</w:t>
      </w:r>
      <w:r>
        <w:t>tamination</w:t>
      </w:r>
      <w:bookmarkEnd w:id="37"/>
      <w:r>
        <w:t xml:space="preserve"> </w:t>
      </w:r>
      <w:bookmarkEnd w:id="38"/>
    </w:p>
    <w:p w14:paraId="2232A7B3" w14:textId="77777777" w:rsidR="007E3EDA" w:rsidRDefault="00BA6C61" w:rsidP="00C212FC">
      <w:pPr>
        <w:pStyle w:val="PHEBodytext"/>
      </w:pPr>
      <w:bookmarkStart w:id="39" w:name="_Toc14665923"/>
      <w:r w:rsidRPr="00C212FC">
        <w:t>A number of additional measures and procedures can be included in an assay protocol to minimise further the likelihood of contamination, the most common of which is the use of Uracil-DNA Glycosylase</w:t>
      </w:r>
      <w:r w:rsidR="007E3EDA">
        <w:t xml:space="preserve"> (UDG)</w:t>
      </w:r>
      <w:r w:rsidR="00FC3F89" w:rsidRPr="00C212FC">
        <w:rPr>
          <w:vertAlign w:val="superscript"/>
        </w:rPr>
        <w:fldChar w:fldCharType="begin" w:fldLock="1"/>
      </w:r>
      <w:r w:rsidR="00C40968">
        <w:rPr>
          <w:vertAlign w:val="superscript"/>
        </w:rPr>
        <w:instrText xml:space="preserve"> ADDIN EN.CITE &lt;EndNote&gt;&lt;Cite&gt;&lt;Author&gt;Longo MC&lt;/Author&gt;&lt;Year&gt;1990&lt;/Year&gt;&lt;RecNum&gt;7&lt;/RecNum&gt;&lt;DisplayText&gt;&lt;style face="superscript"&gt;12&lt;/style&gt;&lt;/DisplayText&gt;&lt;record&gt;&lt;rec-number&gt;7&lt;/rec-number&gt;&lt;foreign-keys&gt;&lt;key app="EN" db-id="pvwvpw2wgszvfietprqxz0d1rrptvr2vrwas" timestamp="1493382673"&gt;7&lt;/key&gt;&lt;/foreign-keys&gt;&lt;ref-type name="Journal Article"&gt;17&lt;/ref-type&gt;&lt;contributors&gt;&lt;authors&gt;&lt;author&gt;Longo MC,&lt;/author&gt;&lt;author&gt;Berninger MS,&lt;/author&gt;&lt;author&gt;Hartley JL,&lt;/author&gt;&lt;/authors&gt;&lt;/contributors&gt;&lt;titles&gt;&lt;title&gt;Use of uracil DNA glycosylase to control carry over contamination in polymerase chain reactions&lt;/title&gt;&lt;secondary-title&gt;Gene&lt;/secondary-title&gt;&lt;/titles&gt;&lt;periodical&gt;&lt;full-title&gt;Gene&lt;/full-title&gt;&lt;/periodical&gt;&lt;pages&gt;125-128&lt;/pages&gt;&lt;volume&gt;93&lt;/volume&gt;&lt;reprint-edition&gt;Not in File&lt;/reprint-edition&gt;&lt;keywords&gt;&lt;keyword&gt;control&lt;/keyword&gt;&lt;keyword&gt;Dna&lt;/keyword&gt;&lt;keyword&gt;Polymerase Chain Reaction&lt;/keyword&gt;&lt;keyword&gt;Q 4&lt;/keyword&gt;&lt;/keywords&gt;&lt;dates&gt;&lt;year&gt;1990&lt;/year&gt;&lt;pub-dates&gt;&lt;date&gt;1990&lt;/date&gt;&lt;/pub-dates&gt;&lt;/dates&gt;&lt;label&gt;1985&lt;/label&gt;&lt;urls&gt;&lt;/urls&gt;&lt;research-notes&gt;&lt;style face="bold" font="default" size="100%"&gt;B, III&lt;/style&gt;&lt;/research-notes&gt;&lt;/record&gt;&lt;/Cite&gt;&lt;/EndNote&gt;</w:instrText>
      </w:r>
      <w:r w:rsidR="00FC3F89" w:rsidRPr="00C212FC">
        <w:rPr>
          <w:vertAlign w:val="superscript"/>
        </w:rPr>
        <w:fldChar w:fldCharType="separate"/>
      </w:r>
      <w:r w:rsidR="00C40968">
        <w:rPr>
          <w:noProof/>
          <w:vertAlign w:val="superscript"/>
        </w:rPr>
        <w:t>12</w:t>
      </w:r>
      <w:r w:rsidR="00FC3F89" w:rsidRPr="00C212FC">
        <w:rPr>
          <w:vertAlign w:val="superscript"/>
        </w:rPr>
        <w:fldChar w:fldCharType="end"/>
      </w:r>
      <w:r w:rsidRPr="00C212FC">
        <w:t>. While use of such measures is recommended (as per assay protocol), it is to be noted that these are used in addition to the good practices outlined above, not as an alternative</w:t>
      </w:r>
      <w:bookmarkEnd w:id="39"/>
      <w:r w:rsidR="007E3EDA">
        <w:t xml:space="preserve"> as these have their own limitations.</w:t>
      </w:r>
      <w:r w:rsidR="007E3EDA" w:rsidRPr="007E3EDA">
        <w:rPr>
          <w:rFonts w:cs="Arial"/>
        </w:rPr>
        <w:t xml:space="preserve"> </w:t>
      </w:r>
      <w:r w:rsidR="007E3EDA">
        <w:rPr>
          <w:rFonts w:cs="Arial"/>
        </w:rPr>
        <w:t>I</w:t>
      </w:r>
      <w:r w:rsidR="007E3EDA" w:rsidRPr="00E00F52">
        <w:rPr>
          <w:rFonts w:cs="Arial"/>
        </w:rPr>
        <w:t xml:space="preserve">nclusion of UDG may reduce amplification efficiency and thereby delay or prevent detection, when only one or a few target </w:t>
      </w:r>
      <w:r w:rsidR="007E3EDA">
        <w:rPr>
          <w:rFonts w:cs="Arial"/>
        </w:rPr>
        <w:t xml:space="preserve">DNA </w:t>
      </w:r>
      <w:r w:rsidR="007E3EDA" w:rsidRPr="00E00F52">
        <w:rPr>
          <w:rFonts w:cs="Arial"/>
        </w:rPr>
        <w:t>molecules are present. Heat-labile forms of the enzyme are available to minimise residual UDG activity after PCR.</w:t>
      </w:r>
      <w:bookmarkStart w:id="40" w:name="_Toc14665924"/>
    </w:p>
    <w:p w14:paraId="0C584955" w14:textId="77777777" w:rsidR="00BA6C61" w:rsidRPr="00C212FC" w:rsidRDefault="00BA6C61" w:rsidP="00C212FC">
      <w:pPr>
        <w:pStyle w:val="PHEBodytext"/>
      </w:pPr>
      <w:r w:rsidRPr="00C212FC">
        <w:lastRenderedPageBreak/>
        <w:t>Decontamination is performed using UV-irradiation,</w:t>
      </w:r>
      <w:r w:rsidR="00BB5614">
        <w:t xml:space="preserve"> 10%</w:t>
      </w:r>
      <w:r w:rsidRPr="00C212FC">
        <w:t xml:space="preserve"> sodium hypochlorite or 1M HCl</w:t>
      </w:r>
      <w:bookmarkEnd w:id="40"/>
      <w:r w:rsidR="00FC3F89" w:rsidRPr="00C212FC">
        <w:rPr>
          <w:vertAlign w:val="superscript"/>
        </w:rPr>
        <w:fldChar w:fldCharType="begin" w:fldLock="1">
          <w:fldData xml:space="preserve">PEVuZE5vdGU+PENpdGU+PEF1dGhvcj5DWTwvQXV0aG9yPjxZZWFyPjE5OTE8L1llYXI+PFJlY051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</w:fldData>
        </w:fldChar>
      </w:r>
      <w:r w:rsidR="00C40968">
        <w:rPr>
          <w:vertAlign w:val="superscript"/>
        </w:rPr>
        <w:instrText xml:space="preserve"> ADDIN EN.CITE </w:instrText>
      </w:r>
      <w:r w:rsidR="00C40968">
        <w:rPr>
          <w:vertAlign w:val="superscript"/>
        </w:rPr>
        <w:fldChar w:fldCharType="begin" w:fldLock="1">
          <w:fldData xml:space="preserve">PEVuZE5vdGU+PENpdGU+PEF1dGhvcj5DWTwvQXV0aG9yPjxZZWFyPjE5OTE8L1llYXI+PFJlY051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</w:fldData>
        </w:fldChar>
      </w:r>
      <w:r w:rsidR="00C40968">
        <w:rPr>
          <w:vertAlign w:val="superscript"/>
        </w:rPr>
        <w:instrText xml:space="preserve"> ADDIN EN.CITE.DATA </w:instrText>
      </w:r>
      <w:r w:rsidR="00C40968">
        <w:rPr>
          <w:vertAlign w:val="superscript"/>
        </w:rPr>
      </w:r>
      <w:r w:rsidR="00C40968">
        <w:rPr>
          <w:vertAlign w:val="superscript"/>
        </w:rPr>
        <w:fldChar w:fldCharType="end"/>
      </w:r>
      <w:r w:rsidR="00FC3F89" w:rsidRPr="00C212FC">
        <w:rPr>
          <w:vertAlign w:val="superscript"/>
        </w:rPr>
      </w:r>
      <w:r w:rsidR="00FC3F89" w:rsidRPr="00C212FC">
        <w:rPr>
          <w:vertAlign w:val="superscript"/>
        </w:rPr>
        <w:fldChar w:fldCharType="separate"/>
      </w:r>
      <w:r w:rsidR="00C40968">
        <w:rPr>
          <w:noProof/>
          <w:vertAlign w:val="superscript"/>
        </w:rPr>
        <w:t>7,9,20</w:t>
      </w:r>
      <w:r w:rsidR="00FC3F89" w:rsidRPr="00C212FC">
        <w:rPr>
          <w:vertAlign w:val="superscript"/>
        </w:rPr>
        <w:fldChar w:fldCharType="end"/>
      </w:r>
      <w:r w:rsidR="00C212FC" w:rsidRPr="00C212FC">
        <w:t>.</w:t>
      </w:r>
    </w:p>
    <w:p w14:paraId="32020A69" w14:textId="77777777" w:rsidR="00BA6C61" w:rsidRPr="00C212FC" w:rsidRDefault="00BA6C61" w:rsidP="00C212FC">
      <w:pPr>
        <w:pStyle w:val="PHEBodytext"/>
      </w:pPr>
      <w:r w:rsidRPr="00C212FC">
        <w:t>Regular environmental</w:t>
      </w:r>
      <w:r w:rsidR="009058D3" w:rsidRPr="00C212FC">
        <w:t xml:space="preserve"> monitoring</w:t>
      </w:r>
      <w:r w:rsidRPr="00C212FC">
        <w:t xml:space="preserve"> of </w:t>
      </w:r>
      <w:r w:rsidR="005B3CF6">
        <w:t xml:space="preserve">work </w:t>
      </w:r>
      <w:r w:rsidRPr="00C212FC">
        <w:t xml:space="preserve">areas </w:t>
      </w:r>
      <w:r w:rsidR="0040467A">
        <w:t>for example swabbing may be considered</w:t>
      </w:r>
      <w:r w:rsidR="00C212FC">
        <w:t>.</w:t>
      </w:r>
    </w:p>
    <w:p w14:paraId="13563165" w14:textId="5BC58E6F" w:rsidR="00B40BF5" w:rsidRPr="00C212FC" w:rsidRDefault="00B40BF5" w:rsidP="00C212FC">
      <w:pPr>
        <w:pStyle w:val="PHEBodytext"/>
      </w:pPr>
      <w:r w:rsidRPr="00C212FC">
        <w:t xml:space="preserve">The use of </w:t>
      </w:r>
      <w:r w:rsidR="00920350" w:rsidRPr="00C212FC">
        <w:t>aerosol-</w:t>
      </w:r>
      <w:r w:rsidRPr="00C212FC">
        <w:t xml:space="preserve">barrier pipette tips </w:t>
      </w:r>
      <w:r w:rsidR="007E3EDA">
        <w:t xml:space="preserve">(preferably </w:t>
      </w:r>
      <w:r w:rsidR="00F559B3">
        <w:rPr>
          <w:rFonts w:cs="Arial"/>
        </w:rPr>
        <w:t>DNase- and RNa</w:t>
      </w:r>
      <w:r w:rsidR="007E3EDA" w:rsidRPr="00161DBF">
        <w:rPr>
          <w:rFonts w:cs="Arial"/>
        </w:rPr>
        <w:t>se-free</w:t>
      </w:r>
      <w:r w:rsidR="007E3EDA">
        <w:rPr>
          <w:rFonts w:cs="Arial"/>
        </w:rPr>
        <w:t>)</w:t>
      </w:r>
      <w:r w:rsidRPr="00C212FC">
        <w:t xml:space="preserve"> during preparation of molecular assays will  help prevent reintroduction of aerosols of a sample into other samples being </w:t>
      </w:r>
      <w:r w:rsidR="0040467A" w:rsidRPr="00C212FC">
        <w:t>processed</w:t>
      </w:r>
      <w:r w:rsidRPr="00C212FC">
        <w:t xml:space="preserve"> at the same time</w:t>
      </w:r>
      <w:r w:rsidR="00FC3F89" w:rsidRPr="00C212FC">
        <w:rPr>
          <w:vertAlign w:val="superscript"/>
        </w:rPr>
        <w:fldChar w:fldCharType="begin" w:fldLock="1"/>
      </w:r>
      <w:r w:rsidR="008E13E3">
        <w:rPr>
          <w:vertAlign w:val="superscript"/>
        </w:rPr>
        <w:instrText xml:space="preserve"> ADDIN EN.CITE &lt;EndNote&gt;&lt;Cite&gt;&lt;Author&gt;Miffin TE&lt;/Author&gt;&lt;Year&gt;1995&lt;/Year&gt;&lt;RecNum&gt;9&lt;/RecNum&gt;&lt;DisplayText&gt;&lt;style face="superscript"&gt;1&lt;/style&gt;&lt;/DisplayText&gt;&lt;record&gt;&lt;rec-number&gt;9&lt;/rec-number&gt;&lt;foreign-keys&gt;&lt;key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VI&lt;/style&gt;&lt;/research-notes&gt;&lt;/record&gt;&lt;/Cite&gt;&lt;/EndNote&gt;</w:instrText>
      </w:r>
      <w:r w:rsidR="00FC3F89" w:rsidRPr="00C212FC">
        <w:rPr>
          <w:vertAlign w:val="superscript"/>
        </w:rPr>
        <w:fldChar w:fldCharType="separate"/>
      </w:r>
      <w:r w:rsidR="00FC3F89" w:rsidRPr="00C212FC">
        <w:rPr>
          <w:noProof/>
          <w:vertAlign w:val="superscript"/>
        </w:rPr>
        <w:t>1</w:t>
      </w:r>
      <w:r w:rsidR="00FC3F89" w:rsidRPr="00C212FC">
        <w:rPr>
          <w:vertAlign w:val="superscript"/>
        </w:rPr>
        <w:fldChar w:fldCharType="end"/>
      </w:r>
      <w:r w:rsidR="00C212FC" w:rsidRPr="00C212FC">
        <w:t>.</w:t>
      </w:r>
    </w:p>
    <w:p w14:paraId="6CB19B99" w14:textId="5AC5A585" w:rsidR="000A6D0E" w:rsidRPr="00C212FC" w:rsidRDefault="0070567E" w:rsidP="00C212FC">
      <w:pPr>
        <w:pStyle w:val="PHEBodytext"/>
      </w:pPr>
      <w:r w:rsidRPr="00C212FC">
        <w:t>Equipment used should be periodically inspected, cleaned, maintained, and calibrated, as appropriate. Any equipment that is out of use for any reason should be clearly identified as such</w:t>
      </w:r>
      <w:r w:rsidR="00FC3F89" w:rsidRPr="00C212FC">
        <w:rPr>
          <w:vertAlign w:val="superscript"/>
        </w:rPr>
        <w:fldChar w:fldCharType="begin" w:fldLock="1"/>
      </w:r>
      <w:r w:rsidR="008E13E3">
        <w:rPr>
          <w:vertAlign w:val="superscript"/>
        </w:rPr>
        <w:instrText xml:space="preserve"> ADDIN EN.CITE &lt;EndNote&gt;&lt;Cite&gt;&lt;Author&gt;World Health Organization&lt;/Author&gt;&lt;Year&gt;2009&lt;/Year&gt;&lt;RecNum&gt;12&lt;/RecNum&gt;&lt;DisplayText&gt;&lt;style face="superscript"&gt;8,15&lt;/style&gt;&lt;/DisplayText&gt;&lt;record&gt;&lt;rec-number&gt;12&lt;/rec-number&gt;&lt;foreign-keys&gt;&lt;key app="EN" db-id="pvwvpw2wgszvfietprqxz0d1rrptvr2vrwas" timestamp="1498646673"&gt;12&lt;/key&gt;&lt;/foreign-keys&gt;&lt;ref-type name="Report"&gt;27&lt;/ref-type&gt;&lt;contributors&gt;&lt;authors&gt;&lt;author&gt;World Health Organization,&lt;/author&gt;&lt;/authors&gt;&lt;/contributors&gt;&lt;titles&gt;&lt;title&gt;Good Clinical Laboratory Practice (GCLP).&lt;/title&gt;&lt;/titles&gt;&lt;pages&gt;1-28&lt;/pages&gt;&lt;dates&gt;&lt;year&gt;2009&lt;/year&gt;&lt;/dates&gt;&lt;publisher&gt;World Health Organization on behalf of the Special Programme for Research and Training in Tropical Diseases, 2009.&lt;/publisher&gt;&lt;urls&gt;&lt;/urls&gt;&lt;research-notes&gt;&lt;style face="bold" font="default" size="100%"&gt;A, V&lt;/style&gt;&lt;/research-notes&gt;&lt;/record&gt;&lt;/Cite&gt;&lt;Cite&gt;&lt;Author&gt;Khan&lt;/Author&gt;&lt;Year&gt;2011&lt;/Year&gt;&lt;RecNum&gt;35&lt;/RecNum&gt;&lt;record&gt;&lt;rec-number&gt;35&lt;/rec-number&gt;&lt;foreign-keys&gt;&lt;key app="EN" db-id="pvwvpw2wgszvfietprqxz0d1rrptvr2vrwas" timestamp="1506665096"&gt;35&lt;/key&gt;&lt;/foreign-keys&gt;&lt;ref-type name="Book Section"&gt;5&lt;/ref-type&gt;&lt;contributors&gt;&lt;authors&gt;&lt;author&gt;Khan, Z,&lt;/author&gt;&lt;author&gt;Park, D.J,&lt;/author&gt;&lt;/authors&gt;&lt;/contributors&gt;&lt;titles&gt;&lt;title&gt;Setup of a PCR laboratory.&lt;/title&gt;&lt;secondary-title&gt;Methods in molecular biology.&lt;/secondary-title&gt;&lt;/titles&gt;&lt;pages&gt;3-14&lt;/pages&gt;&lt;volume&gt;687&lt;/volume&gt;&lt;section&gt;1&lt;/section&gt;&lt;dates&gt;&lt;year&gt;2011&lt;/year&gt;&lt;/dates&gt;&lt;publisher&gt;HUMANA PRESS&lt;/publisher&gt;&lt;urls&gt;&lt;related-urls&gt;&lt;url&gt;&lt;style face="underline" font="default" size="100%"&gt;https://rd.springer.com/protocol/10.1007%2F978-1-60761-944-4_1&lt;/style&gt;&lt;/url&gt;&lt;/related-urls&gt;&lt;/urls&gt;&lt;research-notes&gt;&lt;style face="bold" font="default" size="100%"&gt;B, III&lt;/style&gt;&lt;/research-notes&gt;&lt;/record&gt;&lt;/Cite&gt;&lt;/EndNote&gt;</w:instrText>
      </w:r>
      <w:r w:rsidR="00FC3F89" w:rsidRPr="00C212FC">
        <w:rPr>
          <w:vertAlign w:val="superscript"/>
        </w:rPr>
        <w:fldChar w:fldCharType="separate"/>
      </w:r>
      <w:r w:rsidR="00C40968">
        <w:rPr>
          <w:noProof/>
          <w:vertAlign w:val="superscript"/>
        </w:rPr>
        <w:t>8,15</w:t>
      </w:r>
      <w:r w:rsidR="00FC3F89" w:rsidRPr="00C212FC">
        <w:rPr>
          <w:vertAlign w:val="superscript"/>
        </w:rPr>
        <w:fldChar w:fldCharType="end"/>
      </w:r>
      <w:r w:rsidRPr="001F1EF2">
        <w:rPr>
          <w:szCs w:val="24"/>
        </w:rPr>
        <w:t>.</w:t>
      </w:r>
      <w:r w:rsidRPr="00C212FC">
        <w:t xml:space="preserve"> </w:t>
      </w:r>
    </w:p>
    <w:p w14:paraId="74AB275A" w14:textId="322DB2AE" w:rsidR="006E4CBF" w:rsidRPr="00C212FC" w:rsidRDefault="006E4CBF" w:rsidP="00C212FC">
      <w:pPr>
        <w:pStyle w:val="PHEBodytext"/>
      </w:pPr>
      <w:r w:rsidRPr="00C212FC">
        <w:t>Laboratory coats should be cleaned regularly to reduce the possibility of contamination of the designated workspace and the PCR reaction</w:t>
      </w:r>
      <w:r w:rsidR="00FC3F89" w:rsidRPr="00C212FC">
        <w:rPr>
          <w:vertAlign w:val="superscript"/>
        </w:rPr>
        <w:fldChar w:fldCharType="begin" w:fldLock="1"/>
      </w:r>
      <w:r w:rsidR="008E13E3">
        <w:rPr>
          <w:vertAlign w:val="superscript"/>
        </w:rPr>
        <w:instrText xml:space="preserve"> ADDIN EN.CITE &lt;EndNote&gt;&lt;Cite&gt;&lt;Author&gt;US Environmental Protection Agency&lt;/Author&gt;&lt;Year&gt;2004&lt;/Year&gt;&lt;RecNum&gt;1&lt;/RecNum&gt;&lt;DisplayText&gt;&lt;style face="superscript"&gt;4,8&lt;/style&gt;&lt;/DisplayText&gt;&lt;record&gt;&lt;rec-number&gt;1&lt;/rec-number&gt;&lt;foreign-keys&gt;&lt;key app="EN" db-id="pvwvpw2wgszvfietprqxz0d1rrptvr2vrwas" timestamp="1493382673"&gt;1&lt;/key&gt;&lt;/foreign-keys&gt;&lt;ref-type name="Report"&gt;27&lt;/ref-type&gt;&lt;contributors&gt;&lt;authors&gt;&lt;author&gt;US Environmental Protection Agency,&lt;/author&gt;&lt;/authors&gt;&lt;/contributors&gt;&lt;titles&gt;&lt;title&gt;Quality Assurance/Quality Control Guidance for Laboratories Performing PCR Analyses on Environmental Samples&lt;/title&gt;&lt;/titles&gt;&lt;keywords&gt;&lt;keyword&gt;control&lt;/keyword&gt;&lt;keyword&gt;Laboratories&lt;/keyword&gt;&lt;keyword&gt;PCR&lt;/keyword&gt;&lt;keyword&gt;Q 4&lt;/keyword&gt;&lt;/keywords&gt;&lt;dates&gt;&lt;year&gt;2004&lt;/year&gt;&lt;pub-dates&gt;&lt;date&gt;10/2004&lt;/date&gt;&lt;/pub-dates&gt;&lt;/dates&gt;&lt;label&gt;35147&lt;/label&gt;&lt;urls&gt;&lt;/urls&gt;&lt;research-notes&gt;&lt;style face="bold" font="default" size="100%"&gt;B, VI&lt;/style&gt;&lt;/research-notes&gt;&lt;/record&gt;&lt;/Cite&gt;&lt;Cite&gt;&lt;Author&gt;Khan&lt;/Author&gt;&lt;Year&gt;2011&lt;/Year&gt;&lt;RecNum&gt;35&lt;/RecNum&gt;&lt;record&gt;&lt;rec-number&gt;35&lt;/rec-number&gt;&lt;foreign-keys&gt;&lt;key app="EN" db-id="pvwvpw2wgszvfietprqxz0d1rrptvr2vrwas" timestamp="1506665096"&gt;35&lt;/key&gt;&lt;/foreign-keys&gt;&lt;ref-type name="Book Section"&gt;5&lt;/ref-type&gt;&lt;contributors&gt;&lt;authors&gt;&lt;author&gt;Khan, Z,&lt;/author&gt;&lt;author&gt;Park, D.J,&lt;/author&gt;&lt;/authors&gt;&lt;/contributors&gt;&lt;titles&gt;&lt;title&gt;Setup of a PCR laboratory.&lt;/title&gt;&lt;secondary-title&gt;Methods in molecular biology.&lt;/secondary-title&gt;&lt;/titles&gt;&lt;pages&gt;3-14&lt;/pages&gt;&lt;volume&gt;687&lt;/volume&gt;&lt;section&gt;1&lt;/section&gt;&lt;dates&gt;&lt;year&gt;2011&lt;/year&gt;&lt;/dates&gt;&lt;publisher&gt;HUMANA PRESS&lt;/publisher&gt;&lt;urls&gt;&lt;related-urls&gt;&lt;url&gt;&lt;style face="underline" font="default" size="100%"&gt;https://rd.springer.com/protocol/10.1007%2F978-1-60761-944-4_1&lt;/style&gt;&lt;/url&gt;&lt;/related-urls&gt;&lt;/urls&gt;&lt;research-notes&gt;&lt;style face="bold" font="default" size="100%"&gt;B, III&lt;/style&gt;&lt;/research-notes&gt;&lt;/record&gt;&lt;/Cite&gt;&lt;/EndNote&gt;</w:instrText>
      </w:r>
      <w:r w:rsidR="00FC3F89" w:rsidRPr="00C212FC">
        <w:rPr>
          <w:vertAlign w:val="superscript"/>
        </w:rPr>
        <w:fldChar w:fldCharType="separate"/>
      </w:r>
      <w:r w:rsidR="00C40968">
        <w:rPr>
          <w:noProof/>
          <w:vertAlign w:val="superscript"/>
        </w:rPr>
        <w:t>4,8</w:t>
      </w:r>
      <w:r w:rsidR="00FC3F89" w:rsidRPr="00C212FC">
        <w:rPr>
          <w:vertAlign w:val="superscript"/>
        </w:rPr>
        <w:fldChar w:fldCharType="end"/>
      </w:r>
      <w:r w:rsidR="00C212FC" w:rsidRPr="00C212FC">
        <w:t>.</w:t>
      </w:r>
    </w:p>
    <w:p w14:paraId="6511A1C0" w14:textId="77777777" w:rsidR="00BA6C61" w:rsidRPr="00C212FC" w:rsidRDefault="00BA6C61" w:rsidP="00C212FC">
      <w:pPr>
        <w:pStyle w:val="PHEBodytext"/>
      </w:pPr>
      <w:r w:rsidRPr="00C212FC">
        <w:t xml:space="preserve">Staff awareness of these issues and how they play an important role in </w:t>
      </w:r>
      <w:r w:rsidR="00EE2A52" w:rsidRPr="00C212FC">
        <w:t>the prevention of contamination</w:t>
      </w:r>
      <w:r w:rsidR="005B5551">
        <w:t xml:space="preserve"> is essential</w:t>
      </w:r>
      <w:r w:rsidR="00C212FC">
        <w:t>.</w:t>
      </w:r>
    </w:p>
    <w:p w14:paraId="70773EE7" w14:textId="77777777" w:rsidR="00E04A1B" w:rsidRPr="00C212FC" w:rsidRDefault="00E04A1B" w:rsidP="00C212FC">
      <w:pPr>
        <w:pStyle w:val="PHEBodytext"/>
      </w:pPr>
      <w:r w:rsidRPr="00C212FC">
        <w:t xml:space="preserve">Ensuring that standard operating procedures (SOPs) used by staff in the laboratory </w:t>
      </w:r>
      <w:r w:rsidR="0070567E" w:rsidRPr="00C212FC">
        <w:t>are up to</w:t>
      </w:r>
      <w:r w:rsidRPr="00C212FC">
        <w:t xml:space="preserve"> date and are the most current</w:t>
      </w:r>
      <w:r w:rsidR="00C212FC">
        <w:t>.</w:t>
      </w:r>
      <w:r w:rsidR="00066759">
        <w:t xml:space="preserve"> </w:t>
      </w:r>
      <w:r w:rsidR="005605F9">
        <w:t>It should be noted that t</w:t>
      </w:r>
      <w:r w:rsidR="00066759">
        <w:t>hese SOPs should have been approved and authorised by management prior to being used in the laboratory for work.</w:t>
      </w:r>
    </w:p>
    <w:p w14:paraId="29B5234C" w14:textId="77777777" w:rsidR="00EE6FE9" w:rsidRDefault="00EE6FE9" w:rsidP="00C212FC">
      <w:pPr>
        <w:pStyle w:val="PHEBodytext"/>
      </w:pPr>
      <w:r w:rsidRPr="00C212FC">
        <w:t xml:space="preserve">Reviewing staff competency through internal audits or participation in external quality assessment schemes also ensure that staff are following the local </w:t>
      </w:r>
      <w:r w:rsidR="00E04A1B" w:rsidRPr="00C212FC">
        <w:t xml:space="preserve">SOPs </w:t>
      </w:r>
      <w:r w:rsidRPr="00C212FC">
        <w:t>that are in place hence avoiding any contamination issues</w:t>
      </w:r>
      <w:r w:rsidR="00C212FC">
        <w:t>.</w:t>
      </w:r>
    </w:p>
    <w:p w14:paraId="2517EC5C" w14:textId="77777777" w:rsidR="00BA6C61" w:rsidRPr="00270AC2" w:rsidRDefault="00BA6C61" w:rsidP="004341FE">
      <w:pPr>
        <w:pStyle w:val="PHEreportHeading1"/>
      </w:pPr>
      <w:bookmarkStart w:id="41" w:name="_Toc343868381"/>
      <w:bookmarkStart w:id="42" w:name="_Toc506805755"/>
      <w:bookmarkStart w:id="43" w:name="_Toc285103697"/>
      <w:r>
        <w:t>6</w:t>
      </w:r>
      <w:r>
        <w:tab/>
        <w:t xml:space="preserve">Quality </w:t>
      </w:r>
      <w:r w:rsidR="00C212FC">
        <w:t>a</w:t>
      </w:r>
      <w:r w:rsidR="002D6545">
        <w:t>ssurance</w:t>
      </w:r>
      <w:bookmarkEnd w:id="41"/>
      <w:bookmarkEnd w:id="42"/>
    </w:p>
    <w:p w14:paraId="21D33F6B" w14:textId="77777777" w:rsidR="009F6CD2" w:rsidRDefault="009F6CD2" w:rsidP="004341FE">
      <w:pPr>
        <w:pStyle w:val="PHEBodytext"/>
      </w:pPr>
      <w:r w:rsidRPr="009F6CD2">
        <w:t>Contamination is a potential threat when using sensitive nucleic acid amplification techniques and regular environmental monitoring serves as a useful indicator of potential problems. Many commercial systems now recommend environmental monitoring as part of the housekeeping and maintenance procedures but this should also be carried out for in-house assays.</w:t>
      </w:r>
      <w:r w:rsidR="007E3EDA">
        <w:t xml:space="preserve"> In the event of major laboratory disruption, for example during </w:t>
      </w:r>
      <w:r w:rsidR="007E3EDA" w:rsidRPr="007E3EDA">
        <w:t>emergency evacuations</w:t>
      </w:r>
      <w:r w:rsidR="007E3EDA">
        <w:t>, servicing of equipment by external contractors</w:t>
      </w:r>
      <w:r w:rsidR="007E3EDA" w:rsidRPr="007E3EDA">
        <w:t xml:space="preserve"> or the entrance of building contractors into the PCR suite</w:t>
      </w:r>
      <w:r w:rsidR="007E3EDA">
        <w:t>,</w:t>
      </w:r>
      <w:r w:rsidR="000917C9" w:rsidRPr="000917C9">
        <w:rPr>
          <w:rFonts w:cs="Arial"/>
        </w:rPr>
        <w:t xml:space="preserve"> </w:t>
      </w:r>
      <w:r w:rsidR="000917C9" w:rsidRPr="00161DBF">
        <w:rPr>
          <w:rFonts w:cs="Arial"/>
        </w:rPr>
        <w:t xml:space="preserve">'deep clean' decontamination procedures </w:t>
      </w:r>
      <w:r w:rsidR="00DB662C">
        <w:rPr>
          <w:rFonts w:cs="Arial"/>
        </w:rPr>
        <w:t xml:space="preserve">should </w:t>
      </w:r>
      <w:r w:rsidR="000917C9" w:rsidRPr="00161DBF">
        <w:rPr>
          <w:rFonts w:cs="Arial"/>
        </w:rPr>
        <w:t>be put in place and employed</w:t>
      </w:r>
      <w:r w:rsidR="00DB662C">
        <w:t>.</w:t>
      </w:r>
    </w:p>
    <w:p w14:paraId="4034B5FA" w14:textId="1DC96232" w:rsidR="00BA6C61" w:rsidRPr="004341FE" w:rsidRDefault="00BA6C61" w:rsidP="004341FE">
      <w:pPr>
        <w:pStyle w:val="PHEBodytext"/>
      </w:pPr>
      <w:r w:rsidRPr="004341FE">
        <w:t xml:space="preserve">It is important to demonstrate that assays are performing consistently and that results reported are reliable and accurate. </w:t>
      </w:r>
      <w:r w:rsidR="00DB662C">
        <w:t xml:space="preserve">Methodology will be dependent on platform or assays used. </w:t>
      </w:r>
      <w:r w:rsidRPr="004341FE">
        <w:t>Where available it is advisable to run external controls for commercial and in-house based assays</w:t>
      </w:r>
      <w:r w:rsidR="002A4610">
        <w:fldChar w:fldCharType="begin" w:fldLock="1">
          <w:fldData xml:space="preserve">PEVuZE5vdGU+PENpdGU+PEF1dGhvcj5LYWxsZTwvQXV0aG9yPjxZZWFyPjIwMTM8L1llYXI+PFJl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</w:fldData>
        </w:fldChar>
      </w:r>
      <w:r w:rsidR="008E13E3">
        <w:instrText xml:space="preserve"> ADDIN EN.CITE </w:instrText>
      </w:r>
      <w:r w:rsidR="008E13E3">
        <w:fldChar w:fldCharType="begin" w:fldLock="1">
          <w:fldData xml:space="preserve">PEVuZE5vdGU+PENpdGU+PEF1dGhvcj5LYWxsZTwvQXV0aG9yPjxZZWFyPjIwMTM8L1llYXI+PFJl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</w:fldData>
        </w:fldChar>
      </w:r>
      <w:r w:rsidR="008E13E3">
        <w:instrText xml:space="preserve"> ADDIN EN.CITE.DATA </w:instrText>
      </w:r>
      <w:r w:rsidR="008E13E3">
        <w:fldChar w:fldCharType="end"/>
      </w:r>
      <w:r w:rsidR="002A4610">
        <w:fldChar w:fldCharType="separate"/>
      </w:r>
      <w:r w:rsidR="00C40968" w:rsidRPr="00C40968">
        <w:rPr>
          <w:noProof/>
          <w:vertAlign w:val="superscript"/>
        </w:rPr>
        <w:t>7,21</w:t>
      </w:r>
      <w:r w:rsidR="002A4610">
        <w:fldChar w:fldCharType="end"/>
      </w:r>
      <w:r w:rsidRPr="004341FE">
        <w:t>. For many viral targets</w:t>
      </w:r>
      <w:r w:rsidR="009058D3">
        <w:t>,</w:t>
      </w:r>
      <w:r w:rsidRPr="004341FE">
        <w:t xml:space="preserve"> quantitated controls can be obtained from commercial and other sources (</w:t>
      </w:r>
      <w:r w:rsidR="005C5C1E">
        <w:t>for example</w:t>
      </w:r>
      <w:r w:rsidRPr="004341FE">
        <w:t xml:space="preserve"> </w:t>
      </w:r>
      <w:r w:rsidR="00B04721">
        <w:rPr>
          <w:sz w:val="23"/>
          <w:szCs w:val="23"/>
        </w:rPr>
        <w:t>National Institute for Biological Standards and Control (</w:t>
      </w:r>
      <w:r w:rsidRPr="004341FE">
        <w:t>NIBSC</w:t>
      </w:r>
      <w:r w:rsidR="00B04721">
        <w:t>)</w:t>
      </w:r>
      <w:r w:rsidRPr="004341FE">
        <w:t>). Keeping a regular record of these results will help to identify problems at an early stage.</w:t>
      </w:r>
    </w:p>
    <w:p w14:paraId="413603F3" w14:textId="77777777" w:rsidR="00BA6C61" w:rsidRPr="004341FE" w:rsidRDefault="00BA6C61" w:rsidP="004341FE">
      <w:pPr>
        <w:pStyle w:val="PHEBodytext"/>
      </w:pPr>
      <w:r w:rsidRPr="004341FE">
        <w:t xml:space="preserve">Assays should be appropriately validated before introduction into routine use (see </w:t>
      </w:r>
      <w:r w:rsidR="00480536">
        <w:t xml:space="preserve">UK </w:t>
      </w:r>
      <w:r w:rsidR="00A476EB">
        <w:t xml:space="preserve">SMI </w:t>
      </w:r>
      <w:hyperlink r:id="rId21" w:anchor="quality-related-guidance" w:history="1">
        <w:r w:rsidR="00EE2A52" w:rsidRPr="005C5C1E">
          <w:rPr>
            <w:rStyle w:val="Hyperlink"/>
            <w:sz w:val="24"/>
          </w:rPr>
          <w:t>Q 1</w:t>
        </w:r>
        <w:r w:rsidR="005C5C1E">
          <w:rPr>
            <w:rStyle w:val="Hyperlink"/>
            <w:sz w:val="24"/>
          </w:rPr>
          <w:t xml:space="preserve"> </w:t>
        </w:r>
        <w:r w:rsidR="009058D3" w:rsidRPr="005C5C1E">
          <w:rPr>
            <w:rStyle w:val="Hyperlink"/>
            <w:sz w:val="24"/>
          </w:rPr>
          <w:t xml:space="preserve">- </w:t>
        </w:r>
        <w:r w:rsidR="00A476EB" w:rsidRPr="005C5C1E">
          <w:rPr>
            <w:rStyle w:val="Hyperlink"/>
            <w:sz w:val="24"/>
            <w:szCs w:val="24"/>
            <w:lang w:val="en"/>
          </w:rPr>
          <w:t>Evaluations, validations and verifications of diagnostic tests</w:t>
        </w:r>
      </w:hyperlink>
      <w:r w:rsidRPr="004341FE">
        <w:t>). Note that the validation of an in house assay (as for a CE marked assay) is a validation of the total process. Any change in that process, be it in extraction procedure, reagents, cycling parameters, introduction of internal controls for inhibition, will necessitate a documented revalidation of the whole process.</w:t>
      </w:r>
    </w:p>
    <w:p w14:paraId="504249BB" w14:textId="77777777" w:rsidR="00BA6C61" w:rsidRPr="004341FE" w:rsidRDefault="00BA6C61" w:rsidP="004341FE">
      <w:pPr>
        <w:pStyle w:val="PHEBodytext"/>
      </w:pPr>
      <w:r w:rsidRPr="004341FE">
        <w:lastRenderedPageBreak/>
        <w:t xml:space="preserve">New batches of reagents </w:t>
      </w:r>
      <w:r w:rsidR="005C5C1E">
        <w:t>for example</w:t>
      </w:r>
      <w:r w:rsidRPr="004341FE">
        <w:t xml:space="preserve"> primers, probes PCR mix </w:t>
      </w:r>
      <w:proofErr w:type="spellStart"/>
      <w:r w:rsidRPr="004341FE">
        <w:t>etc</w:t>
      </w:r>
      <w:proofErr w:type="spellEnd"/>
      <w:r w:rsidRPr="004341FE">
        <w:t xml:space="preserve"> need to be assessed for performance against such well characteri</w:t>
      </w:r>
      <w:r w:rsidR="009058D3">
        <w:t>s</w:t>
      </w:r>
      <w:r w:rsidRPr="004341FE">
        <w:t>ed control material and recorded as an auditable record</w:t>
      </w:r>
      <w:r w:rsidR="00DF7040">
        <w:t xml:space="preserve"> (acceptance testing</w:t>
      </w:r>
      <w:r w:rsidR="001929FE">
        <w:t>)</w:t>
      </w:r>
      <w:r w:rsidRPr="004341FE">
        <w:t>.</w:t>
      </w:r>
    </w:p>
    <w:p w14:paraId="1A137D94" w14:textId="77777777" w:rsidR="00A55C14" w:rsidRDefault="00BA6C61" w:rsidP="00A55C14">
      <w:pPr>
        <w:pStyle w:val="PHEBodytext"/>
      </w:pPr>
      <w:r w:rsidRPr="004341FE">
        <w:t xml:space="preserve">Participation in quality assurance programmes is essential if a scheme exists </w:t>
      </w:r>
      <w:r w:rsidR="005C5C1E">
        <w:t>for example</w:t>
      </w:r>
      <w:r w:rsidRPr="004341FE">
        <w:t xml:space="preserve"> </w:t>
      </w:r>
      <w:r w:rsidR="009058D3">
        <w:t xml:space="preserve">United Kingdom </w:t>
      </w:r>
      <w:r w:rsidRPr="004341FE">
        <w:t>National External Quality Ass</w:t>
      </w:r>
      <w:r w:rsidR="00B009C4">
        <w:t>essment</w:t>
      </w:r>
      <w:r w:rsidRPr="004341FE">
        <w:t xml:space="preserve"> Scheme (</w:t>
      </w:r>
      <w:r w:rsidR="009058D3">
        <w:t xml:space="preserve">UK </w:t>
      </w:r>
      <w:r w:rsidRPr="004341FE">
        <w:t xml:space="preserve">NEQAS) and Quality Control for Molecular Diagnostics (QCMD). </w:t>
      </w:r>
      <w:r w:rsidR="00B04721">
        <w:t>However</w:t>
      </w:r>
      <w:r w:rsidR="009F6CD2">
        <w:t xml:space="preserve">, where </w:t>
      </w:r>
      <w:r w:rsidRPr="004341FE">
        <w:t>no scheme exists</w:t>
      </w:r>
      <w:r w:rsidR="009058D3">
        <w:t>,</w:t>
      </w:r>
      <w:r w:rsidRPr="004341FE">
        <w:t xml:space="preserve"> </w:t>
      </w:r>
      <w:r w:rsidR="00B04721" w:rsidRPr="00B04721">
        <w:rPr>
          <w:szCs w:val="24"/>
        </w:rPr>
        <w:t xml:space="preserve">section 5.6.3.2 of ISO 15189:2012 recommends </w:t>
      </w:r>
      <w:proofErr w:type="spellStart"/>
      <w:r w:rsidRPr="004341FE">
        <w:t>interlaboratory</w:t>
      </w:r>
      <w:proofErr w:type="spellEnd"/>
      <w:r w:rsidRPr="004341FE">
        <w:t xml:space="preserve"> collaboration for the exchange of samples to ensure that the test is performing correctly</w:t>
      </w:r>
      <w:r w:rsidR="00FC3F89">
        <w:fldChar w:fldCharType="begin" w:fldLock="1"/>
      </w:r>
      <w:r w:rsidR="00C40968">
        <w:instrText xml:space="preserve"> ADDIN EN.CITE &lt;EndNote&gt;&lt;Cite&gt;&lt;Author&gt;British Standards Institution&lt;/Author&gt;&lt;Year&gt;2012&lt;/Year&gt;&lt;RecNum&gt;10&lt;/RecNum&gt;&lt;DisplayText&gt;&lt;style face="superscript"&gt;22&lt;/style&gt;&lt;/DisplayText&gt;&lt;record&gt;&lt;rec-number&gt;10&lt;/rec-number&gt;&lt;foreign-keys&gt;&lt;key app="EN" db-id="pvwvpw2wgszvfietprqxz0d1rrptvr2vrwas" timestamp="1497013788"&gt;10&lt;/key&gt;&lt;/foreign-keys&gt;&lt;ref-type name="Report"&gt;27&lt;/ref-type&gt;&lt;contributors&gt;&lt;authors&gt;&lt;author&gt;British Standards Institution,&lt;/author&gt;&lt;/authors&gt;&lt;/contributors&gt;&lt;titles&gt;&lt;title&gt;Medical laboratories - Requirements for quality and competence (ISO 15189:2012)&lt;/title&gt;&lt;/titles&gt;&lt;pages&gt;1-50&lt;/pages&gt;&lt;dates&gt;&lt;year&gt;2012&lt;/year&gt;&lt;pub-dates&gt;&lt;date&gt;November 2012&lt;/date&gt;&lt;/pub-dates&gt;&lt;/dates&gt;&lt;publisher&gt;BSI Standards Limited&lt;/publisher&gt;&lt;urls&gt;&lt;/urls&gt;&lt;research-notes&gt;&lt;style face="bold" font="default" size="100%"&gt;A, V&lt;/style&gt;&lt;/research-notes&gt;&lt;/record&gt;&lt;/Cite&gt;&lt;/EndNote&gt;</w:instrText>
      </w:r>
      <w:r w:rsidR="00FC3F89">
        <w:fldChar w:fldCharType="separate"/>
      </w:r>
      <w:r w:rsidR="00C40968" w:rsidRPr="00C40968">
        <w:rPr>
          <w:noProof/>
          <w:vertAlign w:val="superscript"/>
        </w:rPr>
        <w:t>22</w:t>
      </w:r>
      <w:r w:rsidR="00FC3F89">
        <w:fldChar w:fldCharType="end"/>
      </w:r>
      <w:r w:rsidRPr="004341FE">
        <w:t>.</w:t>
      </w:r>
      <w:r w:rsidR="00A55C14" w:rsidRPr="00A55C14">
        <w:t xml:space="preserve"> </w:t>
      </w:r>
      <w:r w:rsidR="00A55C14">
        <w:t>For PCR methods s</w:t>
      </w:r>
      <w:r w:rsidR="00A55C14" w:rsidRPr="00A55C14">
        <w:t>pecifically</w:t>
      </w:r>
      <w:r w:rsidR="00A55C14">
        <w:t xml:space="preserve"> targeting fungal disease,</w:t>
      </w:r>
      <w:r w:rsidR="00A55C14" w:rsidRPr="00A55C14">
        <w:t xml:space="preserve"> </w:t>
      </w:r>
      <w:r w:rsidR="00A55C14">
        <w:t xml:space="preserve">the Fungal PCR initiative (formerly the European </w:t>
      </w:r>
      <w:r w:rsidR="00A55C14">
        <w:rPr>
          <w:i/>
        </w:rPr>
        <w:t>Aspergillus</w:t>
      </w:r>
      <w:r w:rsidR="00A55C14">
        <w:t xml:space="preserve"> PCR initiative) has been formed to standardise methods for fungal PCR through quality control evaluations (</w:t>
      </w:r>
      <w:hyperlink r:id="rId22" w:history="1">
        <w:r w:rsidR="00A55C14" w:rsidRPr="00A335E9">
          <w:rPr>
            <w:rStyle w:val="Hyperlink"/>
            <w:sz w:val="24"/>
          </w:rPr>
          <w:t>www.eapcri.eu</w:t>
        </w:r>
      </w:hyperlink>
      <w:r w:rsidR="00A55C14">
        <w:t xml:space="preserve">). </w:t>
      </w:r>
    </w:p>
    <w:p w14:paraId="78C546CB" w14:textId="77777777" w:rsidR="00943806" w:rsidRDefault="00943806">
      <w:pPr>
        <w:ind w:left="0" w:firstLine="0"/>
        <w:rPr>
          <w:rFonts w:cs="Arial"/>
          <w:b/>
          <w:color w:val="000000"/>
          <w:sz w:val="36"/>
          <w:szCs w:val="28"/>
          <w:lang w:val="en-US" w:eastAsia="en-US"/>
        </w:rPr>
      </w:pPr>
      <w:r>
        <w:br w:type="page"/>
      </w:r>
    </w:p>
    <w:p w14:paraId="4339C425" w14:textId="4162F719" w:rsidR="00CC4414" w:rsidRPr="001F7E55" w:rsidRDefault="00CC4414" w:rsidP="001F7E55">
      <w:pPr>
        <w:pStyle w:val="PHEreportHeading1"/>
      </w:pPr>
      <w:bookmarkStart w:id="44" w:name="_Toc506805756"/>
      <w:r w:rsidRPr="001F7E55">
        <w:lastRenderedPageBreak/>
        <w:t>Appendix</w:t>
      </w:r>
      <w:r w:rsidR="001F7E55" w:rsidRPr="001F7E55">
        <w:t xml:space="preserve">: </w:t>
      </w:r>
      <w:r w:rsidR="001F7E55" w:rsidRPr="001F7E55">
        <w:rPr>
          <w:rStyle w:val="HPABodyTextHyperlinkChar0"/>
          <w:rFonts w:ascii="Arial" w:hAnsi="Arial" w:cs="Arial"/>
          <w:color w:val="000000"/>
          <w:sz w:val="36"/>
          <w:u w:val="none"/>
        </w:rPr>
        <w:t xml:space="preserve">Diagram </w:t>
      </w:r>
      <w:r w:rsidR="005C5C1E">
        <w:rPr>
          <w:rStyle w:val="HPABodyTextHyperlinkChar0"/>
          <w:rFonts w:ascii="Arial" w:hAnsi="Arial" w:cs="Arial"/>
          <w:color w:val="000000"/>
          <w:sz w:val="36"/>
          <w:u w:val="none"/>
        </w:rPr>
        <w:t>s</w:t>
      </w:r>
      <w:r w:rsidR="001F7E55" w:rsidRPr="001F7E55">
        <w:rPr>
          <w:rStyle w:val="HPABodyTextHyperlinkChar0"/>
          <w:rFonts w:ascii="Arial" w:hAnsi="Arial" w:cs="Arial"/>
          <w:color w:val="000000"/>
          <w:sz w:val="36"/>
          <w:u w:val="none"/>
        </w:rPr>
        <w:t xml:space="preserve">howing </w:t>
      </w:r>
      <w:r w:rsidR="005C5C1E">
        <w:rPr>
          <w:rStyle w:val="HPABodyTextHyperlinkChar0"/>
          <w:rFonts w:ascii="Arial" w:hAnsi="Arial" w:cs="Arial"/>
          <w:color w:val="000000"/>
          <w:sz w:val="36"/>
          <w:u w:val="none"/>
        </w:rPr>
        <w:t>w</w:t>
      </w:r>
      <w:r w:rsidR="001F7E55" w:rsidRPr="001F7E55">
        <w:rPr>
          <w:rStyle w:val="HPABodyTextHyperlinkChar0"/>
          <w:rFonts w:ascii="Arial" w:hAnsi="Arial" w:cs="Arial"/>
          <w:color w:val="000000"/>
          <w:sz w:val="36"/>
          <w:u w:val="none"/>
        </w:rPr>
        <w:t xml:space="preserve">orkflow in a PCR </w:t>
      </w:r>
      <w:r w:rsidR="005C5C1E">
        <w:rPr>
          <w:rStyle w:val="HPABodyTextHyperlinkChar0"/>
          <w:rFonts w:ascii="Arial" w:hAnsi="Arial" w:cs="Arial"/>
          <w:color w:val="000000"/>
          <w:sz w:val="36"/>
          <w:u w:val="none"/>
        </w:rPr>
        <w:t>l</w:t>
      </w:r>
      <w:r w:rsidR="001F7E55" w:rsidRPr="001F7E55">
        <w:rPr>
          <w:rStyle w:val="HPABodyTextHyperlinkChar0"/>
          <w:rFonts w:ascii="Arial" w:hAnsi="Arial" w:cs="Arial"/>
          <w:color w:val="000000"/>
          <w:sz w:val="36"/>
          <w:u w:val="none"/>
        </w:rPr>
        <w:t>aboratory</w:t>
      </w:r>
      <w:bookmarkEnd w:id="44"/>
    </w:p>
    <w:p w14:paraId="1A269696" w14:textId="6526CB0F" w:rsidR="001F7E55" w:rsidRDefault="004D7FEC" w:rsidP="001F7E55">
      <w:pPr>
        <w:pStyle w:val="HPABodytext"/>
      </w:pPr>
      <w:r>
        <w:object w:dxaOrig="13351" w:dyaOrig="8536" w14:anchorId="2D38E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pt;height:293.6pt" o:ole="">
            <v:imagedata r:id="rId23" o:title=""/>
          </v:shape>
          <o:OLEObject Type="Embed" ProgID="Visio.Drawing.15" ShapeID="_x0000_i1025" DrawAspect="Content" ObjectID="_1580551780" r:id="rId24"/>
        </w:object>
      </w:r>
    </w:p>
    <w:p w14:paraId="556BB57C" w14:textId="77777777" w:rsidR="009A0B74" w:rsidRDefault="009A0B74" w:rsidP="001F7E55">
      <w:pPr>
        <w:pStyle w:val="PHEBodytext"/>
        <w:rPr>
          <w:b/>
        </w:rPr>
      </w:pPr>
    </w:p>
    <w:p w14:paraId="201E2A58" w14:textId="77777777" w:rsidR="001F7E55" w:rsidRDefault="001F7E55" w:rsidP="001F7E55">
      <w:pPr>
        <w:pStyle w:val="PHEBodytext"/>
      </w:pPr>
      <w:r w:rsidRPr="00811512">
        <w:rPr>
          <w:b/>
        </w:rPr>
        <w:t>Note:</w:t>
      </w:r>
      <w:r>
        <w:t xml:space="preserve"> Although four rooms are ideal, many laboratories only have two rooms available. </w:t>
      </w:r>
    </w:p>
    <w:p w14:paraId="404B32B5" w14:textId="77777777" w:rsidR="001F7E55" w:rsidRDefault="001F7E55" w:rsidP="001F7E55">
      <w:pPr>
        <w:pStyle w:val="PHEBodytext"/>
      </w:pPr>
      <w:r>
        <w:t xml:space="preserve">Pre-PCR and extraction are therefore carried out within defined areas of a larger laboratory </w:t>
      </w:r>
      <w:r w:rsidR="009058D3">
        <w:t xml:space="preserve">while </w:t>
      </w:r>
      <w:r>
        <w:t>amplification and product analysis are in a second laboratory.</w:t>
      </w:r>
    </w:p>
    <w:p w14:paraId="1FE52133" w14:textId="77777777" w:rsidR="004B526E" w:rsidRPr="009A2521" w:rsidRDefault="004B526E" w:rsidP="001F7E55">
      <w:pPr>
        <w:ind w:left="0" w:firstLine="0"/>
        <w:sectPr w:rsidR="004B526E" w:rsidRPr="009A2521" w:rsidSect="00155021">
          <w:headerReference w:type="default" r:id="rId25"/>
          <w:footerReference w:type="default" r:id="rId26"/>
          <w:headerReference w:type="first" r:id="rId27"/>
          <w:footerReference w:type="first" r:id="rId28"/>
          <w:pgSz w:w="11906" w:h="16838" w:code="9"/>
          <w:pgMar w:top="567" w:right="1287" w:bottom="1440" w:left="1440" w:header="709" w:footer="709" w:gutter="0"/>
          <w:pgNumType w:start="1"/>
          <w:cols w:space="708"/>
          <w:titlePg/>
          <w:docGrid w:linePitch="360"/>
        </w:sectPr>
      </w:pPr>
    </w:p>
    <w:p w14:paraId="34375408" w14:textId="77777777" w:rsidR="00FC3F89" w:rsidRDefault="00D32B1A" w:rsidP="00177750">
      <w:pPr>
        <w:pStyle w:val="PHEreportHeading1"/>
      </w:pPr>
      <w:bookmarkStart w:id="49" w:name="_Toc506805757"/>
      <w:bookmarkEnd w:id="43"/>
      <w:r w:rsidRPr="000079C4">
        <w:lastRenderedPageBreak/>
        <w:t>References</w:t>
      </w:r>
      <w:bookmarkEnd w:id="49"/>
    </w:p>
    <w:p w14:paraId="499F7AB7" w14:textId="77777777" w:rsidR="00781D13" w:rsidRPr="005919BD" w:rsidRDefault="00781D13" w:rsidP="00781D13">
      <w:pPr>
        <w:ind w:left="0" w:firstLine="0"/>
        <w:rPr>
          <w:b/>
        </w:rPr>
      </w:pPr>
      <w:r w:rsidRPr="005919BD">
        <w:rPr>
          <w:b/>
        </w:rPr>
        <w:t>Modified GRADE table used by UK SMIs when assessing references</w:t>
      </w:r>
    </w:p>
    <w:p w14:paraId="0633A716" w14:textId="77777777" w:rsidR="00781D13" w:rsidRDefault="00781D13" w:rsidP="00781D13">
      <w:pPr>
        <w:ind w:left="0" w:firstLine="0"/>
      </w:pPr>
    </w:p>
    <w:p w14:paraId="069D99FD" w14:textId="77777777" w:rsidR="00781D13" w:rsidRDefault="00781D13" w:rsidP="00781D13">
      <w:pPr>
        <w:pStyle w:val="PHEBodytext"/>
        <w:spacing w:before="0" w:after="0"/>
      </w:pPr>
      <w:r w:rsidRPr="00585CFD">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14:paraId="67292BB7" w14:textId="77777777" w:rsidR="00781D13" w:rsidRDefault="00781D13" w:rsidP="00781D13">
      <w:pPr>
        <w:pStyle w:val="PHEBodytext"/>
        <w:spacing w:before="0" w:after="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781D13" w:rsidRPr="00C66EBE" w14:paraId="6D48000E" w14:textId="77777777" w:rsidTr="0002112F">
        <w:tc>
          <w:tcPr>
            <w:tcW w:w="4219" w:type="dxa"/>
          </w:tcPr>
          <w:p w14:paraId="317EFD26" w14:textId="77777777" w:rsidR="00781D13" w:rsidRDefault="00781D13" w:rsidP="0002112F">
            <w:pPr>
              <w:widowControl w:val="0"/>
              <w:overflowPunct w:val="0"/>
              <w:autoSpaceDE w:val="0"/>
              <w:autoSpaceDN w:val="0"/>
              <w:adjustRightInd w:val="0"/>
              <w:jc w:val="both"/>
              <w:textAlignment w:val="baseline"/>
              <w:rPr>
                <w:b/>
              </w:rPr>
            </w:pPr>
          </w:p>
          <w:p w14:paraId="6FC26355" w14:textId="77777777" w:rsidR="00781D13" w:rsidRPr="00585CFD" w:rsidRDefault="00781D13" w:rsidP="0002112F">
            <w:pPr>
              <w:widowControl w:val="0"/>
              <w:overflowPunct w:val="0"/>
              <w:autoSpaceDE w:val="0"/>
              <w:autoSpaceDN w:val="0"/>
              <w:adjustRightInd w:val="0"/>
              <w:jc w:val="both"/>
              <w:textAlignment w:val="baseline"/>
              <w:rPr>
                <w:b/>
              </w:rPr>
            </w:pPr>
            <w:r w:rsidRPr="00585CFD">
              <w:rPr>
                <w:b/>
              </w:rPr>
              <w:t>Strength of recommendation</w:t>
            </w:r>
          </w:p>
        </w:tc>
        <w:tc>
          <w:tcPr>
            <w:tcW w:w="4251" w:type="dxa"/>
          </w:tcPr>
          <w:p w14:paraId="0F69AD7E" w14:textId="77777777" w:rsidR="00781D13" w:rsidRDefault="00781D13" w:rsidP="0002112F">
            <w:pPr>
              <w:widowControl w:val="0"/>
              <w:overflowPunct w:val="0"/>
              <w:autoSpaceDE w:val="0"/>
              <w:autoSpaceDN w:val="0"/>
              <w:adjustRightInd w:val="0"/>
              <w:jc w:val="both"/>
              <w:textAlignment w:val="baseline"/>
              <w:rPr>
                <w:b/>
              </w:rPr>
            </w:pPr>
          </w:p>
          <w:p w14:paraId="643166C1" w14:textId="77777777" w:rsidR="00781D13" w:rsidRDefault="00781D13" w:rsidP="0002112F">
            <w:pPr>
              <w:widowControl w:val="0"/>
              <w:overflowPunct w:val="0"/>
              <w:autoSpaceDE w:val="0"/>
              <w:autoSpaceDN w:val="0"/>
              <w:adjustRightInd w:val="0"/>
              <w:jc w:val="both"/>
              <w:textAlignment w:val="baseline"/>
              <w:rPr>
                <w:b/>
              </w:rPr>
            </w:pPr>
            <w:r w:rsidRPr="00585CFD">
              <w:rPr>
                <w:b/>
              </w:rPr>
              <w:t>Quality of evidence</w:t>
            </w:r>
          </w:p>
          <w:p w14:paraId="563FEBDA" w14:textId="77777777" w:rsidR="00781D13" w:rsidRPr="00585CFD" w:rsidRDefault="00781D13" w:rsidP="0002112F">
            <w:pPr>
              <w:widowControl w:val="0"/>
              <w:overflowPunct w:val="0"/>
              <w:autoSpaceDE w:val="0"/>
              <w:autoSpaceDN w:val="0"/>
              <w:adjustRightInd w:val="0"/>
              <w:jc w:val="both"/>
              <w:textAlignment w:val="baseline"/>
              <w:rPr>
                <w:b/>
              </w:rPr>
            </w:pPr>
          </w:p>
        </w:tc>
      </w:tr>
      <w:tr w:rsidR="00781D13" w:rsidRPr="00C66EBE" w14:paraId="53A3E3AF" w14:textId="77777777" w:rsidTr="0002112F">
        <w:tc>
          <w:tcPr>
            <w:tcW w:w="4219" w:type="dxa"/>
          </w:tcPr>
          <w:p w14:paraId="7E370E92" w14:textId="77777777" w:rsidR="00781D13" w:rsidRPr="006B41F1" w:rsidRDefault="00781D13" w:rsidP="0002112F">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14:paraId="2136F00D" w14:textId="77777777" w:rsidR="00781D13" w:rsidRPr="006B41F1" w:rsidRDefault="00781D13" w:rsidP="0002112F">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781D13" w:rsidRPr="00C66EBE" w14:paraId="3969A718" w14:textId="77777777" w:rsidTr="0002112F">
        <w:tc>
          <w:tcPr>
            <w:tcW w:w="4219" w:type="dxa"/>
          </w:tcPr>
          <w:p w14:paraId="51629CEB" w14:textId="77777777" w:rsidR="00781D13" w:rsidRPr="006B41F1" w:rsidRDefault="00781D13" w:rsidP="0002112F">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14:paraId="4F2AD63C" w14:textId="77777777" w:rsidR="00781D13" w:rsidRPr="006B41F1" w:rsidRDefault="00781D13" w:rsidP="0002112F">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781D13" w:rsidRPr="00C66EBE" w14:paraId="6BF27F07" w14:textId="77777777" w:rsidTr="0002112F">
        <w:tc>
          <w:tcPr>
            <w:tcW w:w="4219" w:type="dxa"/>
          </w:tcPr>
          <w:p w14:paraId="253C21C1" w14:textId="77777777" w:rsidR="00781D13" w:rsidRPr="006B41F1" w:rsidRDefault="00781D13" w:rsidP="0002112F">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14:paraId="0EE7C162" w14:textId="77777777" w:rsidR="00781D13" w:rsidRPr="006B41F1" w:rsidRDefault="00781D13" w:rsidP="0002112F">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781D13" w:rsidRPr="00C66EBE" w14:paraId="3848F927" w14:textId="77777777" w:rsidTr="0002112F">
        <w:trPr>
          <w:trHeight w:val="765"/>
        </w:trPr>
        <w:tc>
          <w:tcPr>
            <w:tcW w:w="4219" w:type="dxa"/>
          </w:tcPr>
          <w:p w14:paraId="510012BF" w14:textId="77777777" w:rsidR="00781D13" w:rsidRPr="006B41F1" w:rsidRDefault="00781D13" w:rsidP="0002112F">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14:paraId="0ADC161C" w14:textId="77777777" w:rsidR="00781D13" w:rsidRPr="006B41F1" w:rsidRDefault="00781D13" w:rsidP="0002112F">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781D13" w:rsidRPr="00C66EBE" w14:paraId="7DD34808" w14:textId="77777777" w:rsidTr="0002112F">
        <w:trPr>
          <w:trHeight w:val="330"/>
        </w:trPr>
        <w:tc>
          <w:tcPr>
            <w:tcW w:w="4219" w:type="dxa"/>
          </w:tcPr>
          <w:p w14:paraId="628B23DC" w14:textId="77777777" w:rsidR="00781D13" w:rsidRPr="006B41F1" w:rsidRDefault="00781D13" w:rsidP="0002112F">
            <w:pPr>
              <w:widowControl w:val="0"/>
              <w:overflowPunct w:val="0"/>
              <w:autoSpaceDE w:val="0"/>
              <w:autoSpaceDN w:val="0"/>
              <w:adjustRightInd w:val="0"/>
              <w:jc w:val="both"/>
              <w:textAlignment w:val="baseline"/>
              <w:rPr>
                <w:b/>
              </w:rPr>
            </w:pPr>
          </w:p>
        </w:tc>
        <w:tc>
          <w:tcPr>
            <w:tcW w:w="4251" w:type="dxa"/>
          </w:tcPr>
          <w:p w14:paraId="0EEB8ED5" w14:textId="77777777" w:rsidR="00781D13" w:rsidRDefault="00781D13" w:rsidP="0002112F">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781D13" w:rsidRPr="00C66EBE" w14:paraId="6D6F4F86" w14:textId="77777777" w:rsidTr="0002112F">
        <w:tc>
          <w:tcPr>
            <w:tcW w:w="4219" w:type="dxa"/>
          </w:tcPr>
          <w:p w14:paraId="2D7F6620" w14:textId="77777777" w:rsidR="00781D13" w:rsidRPr="006B41F1" w:rsidRDefault="00781D13" w:rsidP="0002112F">
            <w:pPr>
              <w:widowControl w:val="0"/>
              <w:overflowPunct w:val="0"/>
              <w:autoSpaceDE w:val="0"/>
              <w:autoSpaceDN w:val="0"/>
              <w:adjustRightInd w:val="0"/>
              <w:jc w:val="both"/>
              <w:textAlignment w:val="baseline"/>
              <w:rPr>
                <w:b/>
              </w:rPr>
            </w:pPr>
          </w:p>
        </w:tc>
        <w:tc>
          <w:tcPr>
            <w:tcW w:w="4251" w:type="dxa"/>
          </w:tcPr>
          <w:p w14:paraId="0B7D9FFC" w14:textId="77777777" w:rsidR="00781D13" w:rsidRPr="006B41F1" w:rsidRDefault="00781D13" w:rsidP="0002112F">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14:paraId="624AC4BC" w14:textId="77777777" w:rsidR="00781D13" w:rsidRPr="009A2521" w:rsidRDefault="00781D13" w:rsidP="00781D13">
      <w:pPr>
        <w:pStyle w:val="PHEBodyTextReferences"/>
        <w:rPr>
          <w:rFonts w:cs="Arial"/>
        </w:rPr>
      </w:pPr>
    </w:p>
    <w:p w14:paraId="2580C294" w14:textId="77777777" w:rsidR="008E13E3" w:rsidRPr="008E13E3" w:rsidRDefault="00FC3F89" w:rsidP="008E13E3">
      <w:pPr>
        <w:pStyle w:val="EndNoteBibliography"/>
        <w:ind w:left="720" w:hanging="720"/>
      </w:pPr>
      <w:r>
        <w:fldChar w:fldCharType="begin" w:fldLock="1"/>
      </w:r>
      <w:r>
        <w:instrText xml:space="preserve"> ADDIN EN.REFLIST </w:instrText>
      </w:r>
      <w:r>
        <w:fldChar w:fldCharType="separate"/>
      </w:r>
      <w:r w:rsidR="008E13E3" w:rsidRPr="008E13E3">
        <w:rPr>
          <w:sz w:val="20"/>
        </w:rPr>
        <w:t>1.</w:t>
      </w:r>
      <w:r w:rsidR="008E13E3" w:rsidRPr="008E13E3">
        <w:rPr>
          <w:sz w:val="20"/>
        </w:rPr>
        <w:tab/>
        <w:t xml:space="preserve">Miffin TE. Setting up a PCR Laboratory. In: Newton CR, editor. PCR: Essential Data. New York: John Wiley and Sons Inc; 1995. p. 5-14. </w:t>
      </w:r>
      <w:r w:rsidR="008E13E3" w:rsidRPr="008E13E3">
        <w:rPr>
          <w:b/>
          <w:sz w:val="20"/>
        </w:rPr>
        <w:t>B, VI</w:t>
      </w:r>
    </w:p>
    <w:p w14:paraId="640704DB" w14:textId="77777777" w:rsidR="008E13E3" w:rsidRPr="008E13E3" w:rsidRDefault="008E13E3" w:rsidP="008E13E3">
      <w:pPr>
        <w:pStyle w:val="EndNoteBibliography"/>
        <w:ind w:left="0" w:firstLine="0"/>
      </w:pPr>
    </w:p>
    <w:p w14:paraId="4EA2F778" w14:textId="77777777" w:rsidR="008E13E3" w:rsidRPr="008E13E3" w:rsidRDefault="008E13E3" w:rsidP="008E13E3">
      <w:pPr>
        <w:pStyle w:val="EndNoteBibliography"/>
        <w:ind w:left="720" w:hanging="720"/>
      </w:pPr>
      <w:r w:rsidRPr="008E13E3">
        <w:rPr>
          <w:sz w:val="20"/>
        </w:rPr>
        <w:t>2.</w:t>
      </w:r>
      <w:r w:rsidRPr="008E13E3">
        <w:rPr>
          <w:sz w:val="20"/>
        </w:rPr>
        <w:tab/>
        <w:t>Banasik M, Stanislawska-Sachadyn A, Sachadyn P. A simple modification of PCR thermal profile applied to evade persisting contamination. J Appl Genet 2016;57:409-15.</w:t>
      </w:r>
      <w:r w:rsidRPr="008E13E3">
        <w:t xml:space="preserve"> </w:t>
      </w:r>
      <w:r w:rsidRPr="008E13E3">
        <w:rPr>
          <w:b/>
          <w:sz w:val="20"/>
        </w:rPr>
        <w:t>B, II</w:t>
      </w:r>
    </w:p>
    <w:p w14:paraId="632362A1" w14:textId="77777777" w:rsidR="008E13E3" w:rsidRPr="008E13E3" w:rsidRDefault="008E13E3" w:rsidP="008E13E3">
      <w:pPr>
        <w:pStyle w:val="EndNoteBibliography"/>
        <w:ind w:left="0" w:firstLine="0"/>
      </w:pPr>
    </w:p>
    <w:p w14:paraId="0A589A16" w14:textId="77777777" w:rsidR="008E13E3" w:rsidRPr="008E13E3" w:rsidRDefault="008E13E3" w:rsidP="008E13E3">
      <w:pPr>
        <w:pStyle w:val="EndNoteBibliography"/>
        <w:ind w:left="720" w:hanging="720"/>
      </w:pPr>
      <w:r w:rsidRPr="008E13E3">
        <w:rPr>
          <w:sz w:val="20"/>
        </w:rPr>
        <w:t>3.</w:t>
      </w:r>
      <w:r w:rsidRPr="008E13E3">
        <w:rPr>
          <w:sz w:val="20"/>
        </w:rPr>
        <w:tab/>
        <w:t xml:space="preserve">Lo YMD, Chan, K. C. A.,. Setting Up a Polymerase Chain Reaction Laboratory. Methods in molecular biologyVol 336: HUMANA PRESS; 2006. p. 11-8. </w:t>
      </w:r>
      <w:r w:rsidRPr="008E13E3">
        <w:rPr>
          <w:b/>
          <w:sz w:val="20"/>
        </w:rPr>
        <w:t>B, III</w:t>
      </w:r>
    </w:p>
    <w:p w14:paraId="3EC09DA1" w14:textId="77777777" w:rsidR="008E13E3" w:rsidRPr="008E13E3" w:rsidRDefault="008E13E3" w:rsidP="008E13E3">
      <w:pPr>
        <w:pStyle w:val="EndNoteBibliography"/>
        <w:ind w:left="0" w:firstLine="0"/>
      </w:pPr>
    </w:p>
    <w:p w14:paraId="37F5DA13" w14:textId="77777777" w:rsidR="008E13E3" w:rsidRPr="008E13E3" w:rsidRDefault="008E13E3" w:rsidP="008E13E3">
      <w:pPr>
        <w:pStyle w:val="EndNoteBibliography"/>
        <w:ind w:left="720" w:hanging="720"/>
      </w:pPr>
      <w:r w:rsidRPr="008E13E3">
        <w:rPr>
          <w:sz w:val="20"/>
        </w:rPr>
        <w:t>4.</w:t>
      </w:r>
      <w:r w:rsidRPr="008E13E3">
        <w:rPr>
          <w:sz w:val="20"/>
        </w:rPr>
        <w:tab/>
        <w:t xml:space="preserve">US Environmental Protection Agency. Quality Assurance/Quality Control Guidance for Laboratories Performing PCR Analyses on Environmental Samples 2004. </w:t>
      </w:r>
      <w:r w:rsidRPr="008E13E3">
        <w:rPr>
          <w:b/>
          <w:sz w:val="20"/>
        </w:rPr>
        <w:t>B, VI</w:t>
      </w:r>
    </w:p>
    <w:p w14:paraId="59FB98F2" w14:textId="77777777" w:rsidR="008E13E3" w:rsidRPr="008E13E3" w:rsidRDefault="008E13E3" w:rsidP="008E13E3">
      <w:pPr>
        <w:pStyle w:val="EndNoteBibliography"/>
        <w:ind w:left="0" w:firstLine="0"/>
      </w:pPr>
    </w:p>
    <w:p w14:paraId="433E21CD" w14:textId="77777777" w:rsidR="008E13E3" w:rsidRPr="008E13E3" w:rsidRDefault="008E13E3" w:rsidP="008E13E3">
      <w:pPr>
        <w:pStyle w:val="EndNoteBibliography"/>
        <w:ind w:left="720" w:hanging="720"/>
      </w:pPr>
      <w:r w:rsidRPr="008E13E3">
        <w:rPr>
          <w:sz w:val="20"/>
        </w:rPr>
        <w:t>5.</w:t>
      </w:r>
      <w:r w:rsidRPr="008E13E3">
        <w:rPr>
          <w:sz w:val="20"/>
        </w:rPr>
        <w:tab/>
        <w:t>Buermans HP, den Dunnen JT. Next generation sequencing technology: Advances and applications. Biochim Biophys Acta 2014;1842:1932-41.</w:t>
      </w:r>
      <w:r w:rsidRPr="008E13E3">
        <w:t xml:space="preserve"> </w:t>
      </w:r>
      <w:r w:rsidRPr="008E13E3">
        <w:rPr>
          <w:b/>
          <w:sz w:val="20"/>
        </w:rPr>
        <w:t>B, III</w:t>
      </w:r>
    </w:p>
    <w:p w14:paraId="38E936D1" w14:textId="77777777" w:rsidR="008E13E3" w:rsidRPr="008E13E3" w:rsidRDefault="008E13E3" w:rsidP="008E13E3">
      <w:pPr>
        <w:pStyle w:val="EndNoteBibliography"/>
        <w:ind w:left="0" w:firstLine="0"/>
      </w:pPr>
    </w:p>
    <w:p w14:paraId="2BAE771D" w14:textId="77777777" w:rsidR="008E13E3" w:rsidRPr="008E13E3" w:rsidRDefault="008E13E3" w:rsidP="008E13E3">
      <w:pPr>
        <w:pStyle w:val="EndNoteBibliography"/>
        <w:ind w:left="720" w:hanging="720"/>
      </w:pPr>
      <w:r w:rsidRPr="008E13E3">
        <w:rPr>
          <w:sz w:val="20"/>
        </w:rPr>
        <w:t>6.</w:t>
      </w:r>
      <w:r w:rsidRPr="008E13E3">
        <w:rPr>
          <w:sz w:val="20"/>
        </w:rPr>
        <w:tab/>
        <w:t>Kircher M, Kelso J. High-throughput DNA sequencing--concepts and limitations. Bioessays 2010;32:524-36.</w:t>
      </w:r>
      <w:r w:rsidRPr="008E13E3">
        <w:t xml:space="preserve"> </w:t>
      </w:r>
      <w:r w:rsidRPr="008E13E3">
        <w:rPr>
          <w:b/>
          <w:sz w:val="20"/>
        </w:rPr>
        <w:t>B, III</w:t>
      </w:r>
    </w:p>
    <w:p w14:paraId="5E49C851" w14:textId="77777777" w:rsidR="008E13E3" w:rsidRPr="008E13E3" w:rsidRDefault="008E13E3" w:rsidP="008E13E3">
      <w:pPr>
        <w:pStyle w:val="EndNoteBibliography"/>
        <w:ind w:left="0" w:firstLine="0"/>
      </w:pPr>
    </w:p>
    <w:p w14:paraId="367D14B1" w14:textId="77777777" w:rsidR="008E13E3" w:rsidRPr="008E13E3" w:rsidRDefault="008E13E3" w:rsidP="008E13E3">
      <w:pPr>
        <w:pStyle w:val="EndNoteBibliography"/>
        <w:ind w:left="720" w:hanging="720"/>
      </w:pPr>
      <w:r w:rsidRPr="008E13E3">
        <w:rPr>
          <w:sz w:val="20"/>
        </w:rPr>
        <w:t>7.</w:t>
      </w:r>
      <w:r w:rsidRPr="008E13E3">
        <w:rPr>
          <w:sz w:val="20"/>
        </w:rPr>
        <w:tab/>
        <w:t>Sheils O, Finn, S. and O'Leary, JJ.,. Quality-control issues for PCR-based assays in the molecular laboratory. Current Diagnostic Pathology 2003;9:165 - 72.</w:t>
      </w:r>
      <w:r w:rsidRPr="008E13E3">
        <w:t xml:space="preserve"> </w:t>
      </w:r>
      <w:r w:rsidRPr="008E13E3">
        <w:rPr>
          <w:b/>
          <w:sz w:val="20"/>
        </w:rPr>
        <w:t>B, III</w:t>
      </w:r>
    </w:p>
    <w:p w14:paraId="5B9056A6" w14:textId="77777777" w:rsidR="008E13E3" w:rsidRPr="008E13E3" w:rsidRDefault="008E13E3" w:rsidP="008E13E3">
      <w:pPr>
        <w:pStyle w:val="EndNoteBibliography"/>
        <w:ind w:left="0" w:firstLine="0"/>
      </w:pPr>
    </w:p>
    <w:p w14:paraId="2E76BDA6" w14:textId="77777777" w:rsidR="008E13E3" w:rsidRPr="008E13E3" w:rsidRDefault="008E13E3" w:rsidP="008E13E3">
      <w:pPr>
        <w:pStyle w:val="EndNoteBibliography"/>
        <w:ind w:left="720" w:hanging="720"/>
      </w:pPr>
      <w:r w:rsidRPr="008E13E3">
        <w:rPr>
          <w:sz w:val="20"/>
        </w:rPr>
        <w:lastRenderedPageBreak/>
        <w:t>8.</w:t>
      </w:r>
      <w:r w:rsidRPr="008E13E3">
        <w:rPr>
          <w:sz w:val="20"/>
        </w:rPr>
        <w:tab/>
        <w:t xml:space="preserve">Khan Z, Park DJ. Setup of a PCR laboratory. Methods in molecular biologyVol 687: HUMANA PRESS; 2011. p. 3-14. </w:t>
      </w:r>
      <w:r w:rsidRPr="008E13E3">
        <w:rPr>
          <w:b/>
          <w:sz w:val="20"/>
        </w:rPr>
        <w:t>B, III</w:t>
      </w:r>
    </w:p>
    <w:p w14:paraId="39994EF1" w14:textId="77777777" w:rsidR="008E13E3" w:rsidRPr="008E13E3" w:rsidRDefault="008E13E3" w:rsidP="008E13E3">
      <w:pPr>
        <w:pStyle w:val="EndNoteBibliography"/>
        <w:ind w:left="0" w:firstLine="0"/>
      </w:pPr>
    </w:p>
    <w:p w14:paraId="58BD9B6F" w14:textId="77777777" w:rsidR="008E13E3" w:rsidRPr="008E13E3" w:rsidRDefault="008E13E3" w:rsidP="008E13E3">
      <w:pPr>
        <w:pStyle w:val="EndNoteBibliography"/>
        <w:ind w:left="720" w:hanging="720"/>
      </w:pPr>
      <w:r w:rsidRPr="008E13E3">
        <w:rPr>
          <w:sz w:val="20"/>
        </w:rPr>
        <w:t>9.</w:t>
      </w:r>
      <w:r w:rsidRPr="008E13E3">
        <w:rPr>
          <w:sz w:val="20"/>
        </w:rPr>
        <w:tab/>
        <w:t>Prince AM, Andrus L. PCR: how to kill unwanted DNA. Biotechniques 1992;12:358-60.</w:t>
      </w:r>
      <w:r w:rsidRPr="008E13E3">
        <w:t xml:space="preserve"> </w:t>
      </w:r>
      <w:r w:rsidRPr="008E13E3">
        <w:rPr>
          <w:b/>
          <w:sz w:val="20"/>
        </w:rPr>
        <w:t>B, II</w:t>
      </w:r>
    </w:p>
    <w:p w14:paraId="22455E85" w14:textId="77777777" w:rsidR="008E13E3" w:rsidRPr="008E13E3" w:rsidRDefault="008E13E3" w:rsidP="008E13E3">
      <w:pPr>
        <w:pStyle w:val="EndNoteBibliography"/>
        <w:ind w:left="0" w:firstLine="0"/>
      </w:pPr>
    </w:p>
    <w:p w14:paraId="65673E9B" w14:textId="77777777" w:rsidR="008E13E3" w:rsidRPr="008E13E3" w:rsidRDefault="008E13E3" w:rsidP="008E13E3">
      <w:pPr>
        <w:pStyle w:val="EndNoteBibliography"/>
        <w:ind w:left="720" w:hanging="720"/>
      </w:pPr>
      <w:r w:rsidRPr="008E13E3">
        <w:rPr>
          <w:sz w:val="20"/>
        </w:rPr>
        <w:t>10.</w:t>
      </w:r>
      <w:r w:rsidRPr="008E13E3">
        <w:rPr>
          <w:sz w:val="20"/>
        </w:rPr>
        <w:tab/>
        <w:t xml:space="preserve"> The retention and storage of pathological records and specimens (5th edition). The Royal College of Pathologists; 2015. p. 1-59. </w:t>
      </w:r>
      <w:r w:rsidRPr="008E13E3">
        <w:rPr>
          <w:b/>
          <w:sz w:val="20"/>
        </w:rPr>
        <w:t>A, V</w:t>
      </w:r>
    </w:p>
    <w:p w14:paraId="6D2BFC41" w14:textId="77777777" w:rsidR="008E13E3" w:rsidRPr="008E13E3" w:rsidRDefault="008E13E3" w:rsidP="008E13E3">
      <w:pPr>
        <w:pStyle w:val="EndNoteBibliography"/>
        <w:ind w:left="0" w:firstLine="0"/>
      </w:pPr>
    </w:p>
    <w:p w14:paraId="57447EAD" w14:textId="77777777" w:rsidR="008E13E3" w:rsidRPr="008E13E3" w:rsidRDefault="008E13E3" w:rsidP="008E13E3">
      <w:pPr>
        <w:pStyle w:val="EndNoteBibliography"/>
        <w:ind w:left="720" w:hanging="720"/>
      </w:pPr>
      <w:r w:rsidRPr="008E13E3">
        <w:rPr>
          <w:sz w:val="20"/>
        </w:rPr>
        <w:t>11.</w:t>
      </w:r>
      <w:r w:rsidRPr="008E13E3">
        <w:rPr>
          <w:sz w:val="20"/>
        </w:rPr>
        <w:tab/>
        <w:t xml:space="preserve">McCreedy BJ, Callaway TH. Laboratory design and workflow. In: Persing DH, Smith TF, Tenover FC, White TJ, editors. Diagnostic Molecular Microbiology- Principles and Applications. Washington DC: American Society for Microbiology; 1993. p. 149-59. </w:t>
      </w:r>
      <w:r w:rsidRPr="008E13E3">
        <w:rPr>
          <w:b/>
          <w:sz w:val="20"/>
        </w:rPr>
        <w:t>B, VI</w:t>
      </w:r>
    </w:p>
    <w:p w14:paraId="50DE5413" w14:textId="77777777" w:rsidR="008E13E3" w:rsidRPr="008E13E3" w:rsidRDefault="008E13E3" w:rsidP="008E13E3">
      <w:pPr>
        <w:pStyle w:val="EndNoteBibliography"/>
        <w:ind w:left="0" w:firstLine="0"/>
      </w:pPr>
    </w:p>
    <w:p w14:paraId="0273E9F1" w14:textId="77777777" w:rsidR="008E13E3" w:rsidRPr="008E13E3" w:rsidRDefault="008E13E3" w:rsidP="008E13E3">
      <w:pPr>
        <w:pStyle w:val="EndNoteBibliography"/>
        <w:ind w:left="720" w:hanging="720"/>
      </w:pPr>
      <w:r w:rsidRPr="008E13E3">
        <w:rPr>
          <w:sz w:val="20"/>
        </w:rPr>
        <w:t>12.</w:t>
      </w:r>
      <w:r w:rsidRPr="008E13E3">
        <w:rPr>
          <w:sz w:val="20"/>
        </w:rPr>
        <w:tab/>
        <w:t>Longo MC, Berninger MS, Hartley JL. Use of uracil DNA glycosylase to control carry over contamination in polymerase chain reactions. Gene 1990;93:125-8.</w:t>
      </w:r>
      <w:r w:rsidRPr="008E13E3">
        <w:t xml:space="preserve"> </w:t>
      </w:r>
      <w:r w:rsidRPr="008E13E3">
        <w:rPr>
          <w:b/>
          <w:sz w:val="20"/>
        </w:rPr>
        <w:t>B, III</w:t>
      </w:r>
    </w:p>
    <w:p w14:paraId="0EEE3DB7" w14:textId="77777777" w:rsidR="008E13E3" w:rsidRPr="008E13E3" w:rsidRDefault="008E13E3" w:rsidP="008E13E3">
      <w:pPr>
        <w:pStyle w:val="EndNoteBibliography"/>
        <w:ind w:left="0" w:firstLine="0"/>
      </w:pPr>
    </w:p>
    <w:p w14:paraId="0ED15585" w14:textId="77777777" w:rsidR="008E13E3" w:rsidRPr="008E13E3" w:rsidRDefault="008E13E3" w:rsidP="008E13E3">
      <w:pPr>
        <w:pStyle w:val="EndNoteBibliography"/>
        <w:ind w:left="720" w:hanging="720"/>
      </w:pPr>
      <w:r w:rsidRPr="008E13E3">
        <w:rPr>
          <w:sz w:val="20"/>
        </w:rPr>
        <w:t>13.</w:t>
      </w:r>
      <w:r w:rsidRPr="008E13E3">
        <w:rPr>
          <w:sz w:val="20"/>
        </w:rPr>
        <w:tab/>
        <w:t xml:space="preserve">McDonagh S, Bartlett J. M. S, Stirling D. Equipping and Establishing a PCR Laboratory. Methods in molecular biologyVol 226: HUMANA PRESS; 2003. p. 15-20. </w:t>
      </w:r>
      <w:r w:rsidRPr="008E13E3">
        <w:rPr>
          <w:b/>
          <w:sz w:val="20"/>
        </w:rPr>
        <w:t>B, III</w:t>
      </w:r>
    </w:p>
    <w:p w14:paraId="6980DAF7" w14:textId="77777777" w:rsidR="008E13E3" w:rsidRPr="008E13E3" w:rsidRDefault="008E13E3" w:rsidP="008E13E3">
      <w:pPr>
        <w:pStyle w:val="EndNoteBibliography"/>
        <w:ind w:left="0" w:firstLine="0"/>
      </w:pPr>
    </w:p>
    <w:p w14:paraId="7861D89B" w14:textId="77777777" w:rsidR="008E13E3" w:rsidRPr="008E13E3" w:rsidRDefault="008E13E3" w:rsidP="008E13E3">
      <w:pPr>
        <w:pStyle w:val="EndNoteBibliography"/>
        <w:ind w:left="720" w:hanging="720"/>
      </w:pPr>
      <w:r w:rsidRPr="008E13E3">
        <w:rPr>
          <w:sz w:val="20"/>
        </w:rPr>
        <w:t>14.</w:t>
      </w:r>
      <w:r w:rsidRPr="008E13E3">
        <w:rPr>
          <w:sz w:val="20"/>
        </w:rPr>
        <w:tab/>
        <w:t xml:space="preserve">World Health Organization. Good Laboratory Practice (GLP): Quality practices for regulated non- clinical research and development. 2nd Edition. Switzerland 2009. 1- 328. </w:t>
      </w:r>
      <w:r w:rsidRPr="008E13E3">
        <w:rPr>
          <w:b/>
          <w:sz w:val="20"/>
        </w:rPr>
        <w:t>A, V</w:t>
      </w:r>
    </w:p>
    <w:p w14:paraId="3E2AF6FB" w14:textId="77777777" w:rsidR="008E13E3" w:rsidRPr="008E13E3" w:rsidRDefault="008E13E3" w:rsidP="008E13E3">
      <w:pPr>
        <w:pStyle w:val="EndNoteBibliography"/>
        <w:ind w:left="0" w:firstLine="0"/>
      </w:pPr>
    </w:p>
    <w:p w14:paraId="08555C29" w14:textId="77777777" w:rsidR="008E13E3" w:rsidRPr="008E13E3" w:rsidRDefault="008E13E3" w:rsidP="008E13E3">
      <w:pPr>
        <w:pStyle w:val="EndNoteBibliography"/>
        <w:ind w:left="720" w:hanging="720"/>
      </w:pPr>
      <w:r w:rsidRPr="008E13E3">
        <w:rPr>
          <w:sz w:val="20"/>
        </w:rPr>
        <w:t>15.</w:t>
      </w:r>
      <w:r w:rsidRPr="008E13E3">
        <w:rPr>
          <w:sz w:val="20"/>
        </w:rPr>
        <w:tab/>
        <w:t xml:space="preserve">World Health Organization. Good Clinical Laboratory Practice (GCLP). 2009. 1-28. </w:t>
      </w:r>
      <w:r w:rsidRPr="008E13E3">
        <w:rPr>
          <w:b/>
          <w:sz w:val="20"/>
        </w:rPr>
        <w:t>A, V</w:t>
      </w:r>
    </w:p>
    <w:p w14:paraId="72C38D5C" w14:textId="77777777" w:rsidR="008E13E3" w:rsidRPr="008E13E3" w:rsidRDefault="008E13E3" w:rsidP="008E13E3">
      <w:pPr>
        <w:pStyle w:val="EndNoteBibliography"/>
        <w:ind w:left="0" w:firstLine="0"/>
      </w:pPr>
    </w:p>
    <w:p w14:paraId="0CE2CBAB" w14:textId="77777777" w:rsidR="008E13E3" w:rsidRPr="008E13E3" w:rsidRDefault="008E13E3" w:rsidP="008E13E3">
      <w:pPr>
        <w:pStyle w:val="EndNoteBibliography"/>
        <w:ind w:left="720" w:hanging="720"/>
      </w:pPr>
      <w:r w:rsidRPr="008E13E3">
        <w:rPr>
          <w:sz w:val="20"/>
        </w:rPr>
        <w:t>16.</w:t>
      </w:r>
      <w:r w:rsidRPr="008E13E3">
        <w:rPr>
          <w:sz w:val="20"/>
        </w:rPr>
        <w:tab/>
        <w:t xml:space="preserve">Kwok S. Procedures to minimize PCR product carry over. In: Innis MA, Gelfand DH, Sninsky JJ, White TJ, editors. PCR Protocols: A guide to methods and applications. San Diego: Academic Press Inc; 1990. p. 142-5. </w:t>
      </w:r>
      <w:r w:rsidRPr="008E13E3">
        <w:rPr>
          <w:b/>
          <w:sz w:val="20"/>
        </w:rPr>
        <w:t>B, VI</w:t>
      </w:r>
    </w:p>
    <w:p w14:paraId="2C43BE64" w14:textId="77777777" w:rsidR="008E13E3" w:rsidRPr="008E13E3" w:rsidRDefault="008E13E3" w:rsidP="008E13E3">
      <w:pPr>
        <w:pStyle w:val="EndNoteBibliography"/>
        <w:ind w:left="0" w:firstLine="0"/>
      </w:pPr>
    </w:p>
    <w:p w14:paraId="6FB1B79A" w14:textId="77777777" w:rsidR="008E13E3" w:rsidRPr="008E13E3" w:rsidRDefault="008E13E3" w:rsidP="008E13E3">
      <w:pPr>
        <w:pStyle w:val="EndNoteBibliography"/>
        <w:ind w:left="720" w:hanging="720"/>
      </w:pPr>
      <w:r w:rsidRPr="008E13E3">
        <w:rPr>
          <w:sz w:val="20"/>
        </w:rPr>
        <w:t>17.</w:t>
      </w:r>
      <w:r w:rsidRPr="008E13E3">
        <w:rPr>
          <w:sz w:val="20"/>
        </w:rPr>
        <w:tab/>
        <w:t>Felder RA, Jackson KD, Walter AM. Process evaluation of an open architecture real-time molecular laboratory platform. J Lab Autom 2014;19:468-73.</w:t>
      </w:r>
      <w:r w:rsidRPr="008E13E3">
        <w:t xml:space="preserve"> </w:t>
      </w:r>
      <w:r w:rsidRPr="008E13E3">
        <w:rPr>
          <w:b/>
          <w:sz w:val="20"/>
        </w:rPr>
        <w:t>B, II</w:t>
      </w:r>
    </w:p>
    <w:p w14:paraId="3F093629" w14:textId="77777777" w:rsidR="008E13E3" w:rsidRPr="008E13E3" w:rsidRDefault="008E13E3" w:rsidP="008E13E3">
      <w:pPr>
        <w:pStyle w:val="EndNoteBibliography"/>
        <w:ind w:left="0" w:firstLine="0"/>
      </w:pPr>
    </w:p>
    <w:p w14:paraId="599FF5AA" w14:textId="77777777" w:rsidR="008E13E3" w:rsidRPr="008E13E3" w:rsidRDefault="008E13E3" w:rsidP="008E13E3">
      <w:pPr>
        <w:pStyle w:val="EndNoteBibliography"/>
        <w:ind w:left="720" w:hanging="720"/>
      </w:pPr>
      <w:r w:rsidRPr="008E13E3">
        <w:rPr>
          <w:sz w:val="20"/>
        </w:rPr>
        <w:t>18.</w:t>
      </w:r>
      <w:r w:rsidRPr="008E13E3">
        <w:rPr>
          <w:sz w:val="20"/>
        </w:rPr>
        <w:tab/>
        <w:t xml:space="preserve"> Health and Safety; The Good Laboratory Practice Regulations 1999, United Kingdom: The Stationery Office Limited; 1999. p. 1-28. </w:t>
      </w:r>
      <w:r w:rsidRPr="008E13E3">
        <w:rPr>
          <w:b/>
          <w:sz w:val="20"/>
        </w:rPr>
        <w:t>A, V</w:t>
      </w:r>
    </w:p>
    <w:p w14:paraId="6A8F5B1B" w14:textId="77777777" w:rsidR="008E13E3" w:rsidRPr="008E13E3" w:rsidRDefault="008E13E3" w:rsidP="008E13E3">
      <w:pPr>
        <w:pStyle w:val="EndNoteBibliography"/>
        <w:ind w:left="0" w:firstLine="0"/>
      </w:pPr>
    </w:p>
    <w:p w14:paraId="6677EEDA" w14:textId="77777777" w:rsidR="008E13E3" w:rsidRPr="008E13E3" w:rsidRDefault="008E13E3" w:rsidP="008E13E3">
      <w:pPr>
        <w:pStyle w:val="EndNoteBibliography"/>
        <w:ind w:left="720" w:hanging="720"/>
      </w:pPr>
      <w:r w:rsidRPr="008E13E3">
        <w:rPr>
          <w:sz w:val="20"/>
        </w:rPr>
        <w:t>19.</w:t>
      </w:r>
      <w:r w:rsidRPr="008E13E3">
        <w:rPr>
          <w:sz w:val="20"/>
        </w:rPr>
        <w:tab/>
        <w:t xml:space="preserve">Logan J EK, Saunders N,. Homogeneous fluorescent chemistries for real-time PCR. In: Lee MA, editor. Current Technology and Applications. Norfolk: Caister Academic Press; 2009. p. 27. </w:t>
      </w:r>
      <w:r w:rsidRPr="008E13E3">
        <w:rPr>
          <w:b/>
          <w:sz w:val="20"/>
        </w:rPr>
        <w:t>B, VI</w:t>
      </w:r>
    </w:p>
    <w:p w14:paraId="51CFE4EB" w14:textId="77777777" w:rsidR="008E13E3" w:rsidRPr="008E13E3" w:rsidRDefault="008E13E3" w:rsidP="008E13E3">
      <w:pPr>
        <w:pStyle w:val="EndNoteBibliography"/>
        <w:ind w:left="0" w:firstLine="0"/>
      </w:pPr>
    </w:p>
    <w:p w14:paraId="700CCD55" w14:textId="77777777" w:rsidR="008E13E3" w:rsidRPr="008E13E3" w:rsidRDefault="008E13E3" w:rsidP="008E13E3">
      <w:pPr>
        <w:pStyle w:val="EndNoteBibliography"/>
        <w:ind w:left="720" w:hanging="720"/>
      </w:pPr>
      <w:r w:rsidRPr="008E13E3">
        <w:rPr>
          <w:sz w:val="20"/>
        </w:rPr>
        <w:t>20.</w:t>
      </w:r>
      <w:r w:rsidRPr="008E13E3">
        <w:rPr>
          <w:sz w:val="20"/>
        </w:rPr>
        <w:tab/>
        <w:t>Ou CY, Moore JL, Schochetman G. Use of UV irradiation to reduce false positivity in polymerase chain reaction. Biotechniques 1991;10:442-6.</w:t>
      </w:r>
      <w:r w:rsidRPr="008E13E3">
        <w:t xml:space="preserve"> </w:t>
      </w:r>
      <w:r w:rsidRPr="008E13E3">
        <w:rPr>
          <w:b/>
          <w:sz w:val="20"/>
        </w:rPr>
        <w:t>B, II</w:t>
      </w:r>
    </w:p>
    <w:p w14:paraId="22907B66" w14:textId="77777777" w:rsidR="008E13E3" w:rsidRPr="008E13E3" w:rsidRDefault="008E13E3" w:rsidP="008E13E3">
      <w:pPr>
        <w:pStyle w:val="EndNoteBibliography"/>
        <w:ind w:left="0" w:firstLine="0"/>
      </w:pPr>
    </w:p>
    <w:p w14:paraId="3346004A" w14:textId="77777777" w:rsidR="008E13E3" w:rsidRPr="008E13E3" w:rsidRDefault="008E13E3" w:rsidP="008E13E3">
      <w:pPr>
        <w:pStyle w:val="EndNoteBibliography"/>
        <w:ind w:left="720" w:hanging="720"/>
      </w:pPr>
      <w:r w:rsidRPr="008E13E3">
        <w:rPr>
          <w:sz w:val="20"/>
        </w:rPr>
        <w:t>21.</w:t>
      </w:r>
      <w:r w:rsidRPr="008E13E3">
        <w:rPr>
          <w:sz w:val="20"/>
        </w:rPr>
        <w:tab/>
        <w:t>Kalle E, Gulevich A, Rensing C. External and semi-internal controls for PCR amplification of homologous sequences in mixed templates. J Microbiol Methods 2013;95:285-94.</w:t>
      </w:r>
      <w:r w:rsidRPr="008E13E3">
        <w:t xml:space="preserve"> </w:t>
      </w:r>
      <w:r w:rsidRPr="008E13E3">
        <w:rPr>
          <w:b/>
          <w:sz w:val="20"/>
        </w:rPr>
        <w:t>B, I</w:t>
      </w:r>
    </w:p>
    <w:p w14:paraId="6E517352" w14:textId="77777777" w:rsidR="008E13E3" w:rsidRPr="008E13E3" w:rsidRDefault="008E13E3" w:rsidP="008E13E3">
      <w:pPr>
        <w:pStyle w:val="EndNoteBibliography"/>
        <w:ind w:left="0" w:firstLine="0"/>
      </w:pPr>
    </w:p>
    <w:p w14:paraId="3CFF40E4" w14:textId="77777777" w:rsidR="008E13E3" w:rsidRPr="008E13E3" w:rsidRDefault="008E13E3" w:rsidP="008E13E3">
      <w:pPr>
        <w:pStyle w:val="EndNoteBibliography"/>
        <w:ind w:left="720" w:hanging="720"/>
      </w:pPr>
      <w:r w:rsidRPr="008E13E3">
        <w:rPr>
          <w:sz w:val="20"/>
        </w:rPr>
        <w:t>22.</w:t>
      </w:r>
      <w:r w:rsidRPr="008E13E3">
        <w:rPr>
          <w:sz w:val="20"/>
        </w:rPr>
        <w:tab/>
        <w:t xml:space="preserve">British Standards Institution. Medical laboratories - Requirements for quality and competence (ISO 15189:2012) 2012. 1-50. </w:t>
      </w:r>
      <w:r w:rsidRPr="008E13E3">
        <w:rPr>
          <w:b/>
          <w:sz w:val="20"/>
        </w:rPr>
        <w:t>A, V</w:t>
      </w:r>
    </w:p>
    <w:p w14:paraId="0C6246F6" w14:textId="77777777" w:rsidR="008E13E3" w:rsidRPr="008E13E3" w:rsidRDefault="008E13E3" w:rsidP="008E13E3">
      <w:pPr>
        <w:pStyle w:val="EndNoteBibliography"/>
        <w:ind w:left="0" w:firstLine="0"/>
      </w:pPr>
    </w:p>
    <w:p w14:paraId="60A71F47" w14:textId="19BCA936" w:rsidR="00811512" w:rsidRDefault="00FC3F89" w:rsidP="00FC3F89">
      <w:pPr>
        <w:pStyle w:val="PHEreportHeading1"/>
        <w:pBdr>
          <w:bottom w:val="none" w:sz="0" w:space="0" w:color="auto"/>
        </w:pBdr>
      </w:pPr>
      <w:r>
        <w:fldChar w:fldCharType="end"/>
      </w:r>
    </w:p>
    <w:sectPr w:rsidR="00811512" w:rsidSect="003F6234">
      <w:headerReference w:type="even" r:id="rId29"/>
      <w:headerReference w:type="first" r:id="rId30"/>
      <w:footerReference w:type="first" r:id="rId31"/>
      <w:pgSz w:w="11906" w:h="16838" w:code="9"/>
      <w:pgMar w:top="1440" w:right="1287"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738C3F" w15:done="0"/>
  <w15:commentEx w15:paraId="08D828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7427F" w14:textId="77777777" w:rsidR="00FA2D4A" w:rsidRDefault="00FA2D4A" w:rsidP="003E0911">
      <w:pPr>
        <w:pStyle w:val="TOC2"/>
      </w:pPr>
      <w:r>
        <w:separator/>
      </w:r>
    </w:p>
  </w:endnote>
  <w:endnote w:type="continuationSeparator" w:id="0">
    <w:p w14:paraId="6197DFD3" w14:textId="77777777" w:rsidR="00FA2D4A" w:rsidRDefault="00FA2D4A"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3D671" w14:textId="13823DBF" w:rsidR="00A55C14" w:rsidRPr="00A7084A" w:rsidRDefault="00A55C14" w:rsidP="00B4128C">
    <w:pPr>
      <w:pStyle w:val="PHEBodytext"/>
      <w:ind w:left="-284" w:right="-61"/>
      <w:outlineLvl w:val="0"/>
      <w:rPr>
        <w:rStyle w:val="PageNumber"/>
        <w:rFonts w:cs="Arial"/>
      </w:rPr>
    </w:pPr>
    <w:r w:rsidRPr="00A7084A">
      <w:rPr>
        <w:rFonts w:cs="Arial"/>
      </w:rPr>
      <w:t xml:space="preserve">Quality Guidance | </w:t>
    </w:r>
    <w:r w:rsidR="001960DD">
      <w:fldChar w:fldCharType="begin" w:fldLock="1"/>
    </w:r>
    <w:r w:rsidR="001960DD">
      <w:instrText xml:space="preserve"> REF  SMINumber  \* MERGEFORMAT </w:instrText>
    </w:r>
    <w:r w:rsidR="001960DD">
      <w:fldChar w:fldCharType="separate"/>
    </w:r>
    <w:r w:rsidRPr="00880DE6">
      <w:rPr>
        <w:rFonts w:cs="Arial"/>
        <w:bCs/>
        <w:lang w:val="en-US"/>
      </w:rPr>
      <w:t>Q 4</w:t>
    </w:r>
    <w:r w:rsidR="001960DD">
      <w:rPr>
        <w:rFonts w:cs="Arial"/>
        <w:bCs/>
        <w:lang w:val="en-US"/>
      </w:rPr>
      <w:fldChar w:fldCharType="end"/>
    </w:r>
    <w:r w:rsidRPr="00A7084A">
      <w:rPr>
        <w:rFonts w:cs="Arial"/>
      </w:rPr>
      <w:t xml:space="preserve"> | Issue no: </w:t>
    </w:r>
    <w:fldSimple w:instr=" REF  NewIssueNumber  \* MERGEFORMAT " w:fldLock="1">
      <w:r w:rsidR="003B09AB">
        <w:rPr>
          <w:rFonts w:cs="Arial"/>
        </w:rPr>
        <w:t>5</w:t>
      </w:r>
    </w:fldSimple>
    <w:r w:rsidR="00E75913">
      <w:t xml:space="preserve"> </w:t>
    </w:r>
    <w:r w:rsidRPr="00A7084A">
      <w:rPr>
        <w:rFonts w:cs="Arial"/>
      </w:rPr>
      <w:t xml:space="preserve">| Issue date: </w:t>
    </w:r>
    <w:fldSimple w:instr=" REF  NewIssueDate  \* MERGEFORMAT " w:fldLock="1">
      <w:r w:rsidR="003B09AB">
        <w:rPr>
          <w:rFonts w:cs="Arial"/>
        </w:rPr>
        <w:t>19.02.18</w:t>
      </w:r>
    </w:fldSimple>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1960DD">
      <w:rPr>
        <w:rStyle w:val="PageNumber"/>
        <w:rFonts w:cs="Arial"/>
        <w:noProof/>
      </w:rPr>
      <w:t>19</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1960DD">
      <w:rPr>
        <w:rStyle w:val="PageNumber"/>
        <w:rFonts w:cs="Arial"/>
        <w:noProof/>
      </w:rPr>
      <w:t>19</w:t>
    </w:r>
    <w:r w:rsidRPr="00A7084A">
      <w:rPr>
        <w:rStyle w:val="PageNumber"/>
        <w:rFonts w:cs="Arial"/>
      </w:rPr>
      <w:fldChar w:fldCharType="end"/>
    </w:r>
    <w:r w:rsidRPr="00A7084A">
      <w:rPr>
        <w:rStyle w:val="PageNumber"/>
        <w:rFonts w:cs="Arial"/>
      </w:rPr>
      <w:t xml:space="preserve">   </w:t>
    </w:r>
  </w:p>
  <w:p w14:paraId="68465B5B" w14:textId="77777777" w:rsidR="00A55C14" w:rsidRPr="00A7084A" w:rsidRDefault="00A55C14" w:rsidP="00B4128C">
    <w:pPr>
      <w:pStyle w:val="PHEBodytext"/>
      <w:ind w:left="-284" w:right="-743"/>
      <w:outlineLvl w:val="0"/>
      <w:rPr>
        <w:rFonts w:cs="Arial"/>
        <w:sz w:val="16"/>
        <w:szCs w:val="16"/>
      </w:rPr>
    </w:pPr>
    <w:r w:rsidRPr="00A7084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93DC3" w14:textId="77777777" w:rsidR="00A55C14" w:rsidRPr="00A7084A" w:rsidRDefault="00A55C14" w:rsidP="00E074D9">
    <w:pPr>
      <w:pStyle w:val="PHEBodytext"/>
      <w:ind w:left="-284"/>
      <w:outlineLvl w:val="0"/>
      <w:rPr>
        <w:rFonts w:cs="Arial"/>
      </w:rPr>
    </w:pPr>
    <w:r w:rsidRPr="00A7084A">
      <w:rPr>
        <w:rFonts w:cs="Arial"/>
      </w:rPr>
      <w:t xml:space="preserve">Issued by the </w:t>
    </w:r>
    <w:r>
      <w:rPr>
        <w:rFonts w:cs="Arial"/>
      </w:rPr>
      <w:t xml:space="preserve">Standards Unit, </w:t>
    </w:r>
    <w:r w:rsidR="002D4549">
      <w:rPr>
        <w:rFonts w:cs="Arial"/>
      </w:rPr>
      <w:t>National Infection Service</w:t>
    </w:r>
    <w:r>
      <w:rPr>
        <w:rFonts w:cs="Arial"/>
      </w:rPr>
      <w:t>, PHE</w:t>
    </w:r>
  </w:p>
  <w:p w14:paraId="57630594" w14:textId="6BEA1874" w:rsidR="00A55C14" w:rsidRDefault="00A55C14" w:rsidP="00E074D9">
    <w:pPr>
      <w:pStyle w:val="PHEBodytext"/>
      <w:ind w:left="-284"/>
      <w:outlineLvl w:val="0"/>
      <w:rPr>
        <w:rStyle w:val="PageNumber"/>
        <w:rFonts w:cs="Arial"/>
      </w:rPr>
    </w:pPr>
    <w:r>
      <w:rPr>
        <w:rFonts w:cs="Arial"/>
      </w:rPr>
      <w:t xml:space="preserve">Quality Guidance | </w:t>
    </w:r>
    <w:bookmarkStart w:id="46" w:name="SMINumber"/>
    <w:r w:rsidRPr="00A7084A">
      <w:rPr>
        <w:rFonts w:cs="Arial"/>
      </w:rPr>
      <w:fldChar w:fldCharType="begin" w:fldLock="1"/>
    </w:r>
    <w:r w:rsidRPr="00A7084A">
      <w:rPr>
        <w:rFonts w:cs="Arial"/>
      </w:rPr>
      <w:instrText xml:space="preserve"> FILLIN  "SMI #" \d "# &lt;tab+enter&gt;" \o  \* MERGEFORMAT </w:instrText>
    </w:r>
    <w:r w:rsidRPr="00A7084A">
      <w:rPr>
        <w:rFonts w:cs="Arial"/>
      </w:rPr>
      <w:fldChar w:fldCharType="separate"/>
    </w:r>
    <w:r>
      <w:rPr>
        <w:rFonts w:cs="Arial"/>
      </w:rPr>
      <w:t>Q 4</w:t>
    </w:r>
    <w:r w:rsidRPr="00A7084A">
      <w:rPr>
        <w:rFonts w:cs="Arial"/>
      </w:rPr>
      <w:fldChar w:fldCharType="end"/>
    </w:r>
    <w:bookmarkEnd w:id="46"/>
    <w:r w:rsidRPr="00A7084A">
      <w:rPr>
        <w:rFonts w:cs="Arial"/>
      </w:rPr>
      <w:t xml:space="preserve"> | Issue no: </w:t>
    </w:r>
    <w:bookmarkStart w:id="47" w:name="NewIssueNumber"/>
    <w:r w:rsidR="003B09AB" w:rsidRPr="0003395D">
      <w:rPr>
        <w:rFonts w:cs="Arial"/>
      </w:rPr>
      <w:fldChar w:fldCharType="begin" w:fldLock="1"/>
    </w:r>
    <w:r w:rsidR="003B09AB" w:rsidRPr="0003395D">
      <w:rPr>
        <w:rFonts w:cs="Arial"/>
      </w:rPr>
      <w:instrText xml:space="preserve"> FILLIN  "New Issue No." \d "#.# &lt;tab+enter&gt;"  \* MERGEFORMAT </w:instrText>
    </w:r>
    <w:r w:rsidR="003B09AB" w:rsidRPr="0003395D">
      <w:rPr>
        <w:rFonts w:cs="Arial"/>
      </w:rPr>
      <w:fldChar w:fldCharType="separate"/>
    </w:r>
    <w:r w:rsidR="003B09AB">
      <w:rPr>
        <w:rFonts w:cs="Arial"/>
      </w:rPr>
      <w:t>5</w:t>
    </w:r>
    <w:r w:rsidR="003B09AB" w:rsidRPr="0003395D">
      <w:rPr>
        <w:rFonts w:cs="Arial"/>
      </w:rPr>
      <w:fldChar w:fldCharType="end"/>
    </w:r>
    <w:bookmarkEnd w:id="47"/>
    <w:r w:rsidR="002D4549">
      <w:rPr>
        <w:rFonts w:cs="Arial"/>
      </w:rPr>
      <w:t xml:space="preserve"> |</w:t>
    </w:r>
    <w:r w:rsidRPr="00A7084A">
      <w:rPr>
        <w:rFonts w:cs="Arial"/>
      </w:rPr>
      <w:t xml:space="preserve"> Issue date: </w:t>
    </w:r>
    <w:bookmarkStart w:id="48" w:name="NewIssueDate"/>
    <w:r w:rsidR="003B09AB" w:rsidRPr="00A7084A">
      <w:rPr>
        <w:rFonts w:cs="Arial"/>
      </w:rPr>
      <w:fldChar w:fldCharType="begin" w:fldLock="1"/>
    </w:r>
    <w:r w:rsidR="003B09AB" w:rsidRPr="00A7084A">
      <w:rPr>
        <w:rFonts w:cs="Arial"/>
      </w:rPr>
      <w:instrText xml:space="preserve"> FILLIN  "New Issue Date" \d "dd.mm.yy &lt;tab+enter&gt;"  \* MERGEFORMAT </w:instrText>
    </w:r>
    <w:r w:rsidR="003B09AB" w:rsidRPr="00A7084A">
      <w:rPr>
        <w:rFonts w:cs="Arial"/>
      </w:rPr>
      <w:fldChar w:fldCharType="separate"/>
    </w:r>
    <w:r w:rsidR="003B09AB">
      <w:rPr>
        <w:rFonts w:cs="Arial"/>
      </w:rPr>
      <w:t>19.02.18</w:t>
    </w:r>
    <w:r w:rsidR="003B09AB" w:rsidRPr="00A7084A">
      <w:rPr>
        <w:rFonts w:cs="Arial"/>
      </w:rPr>
      <w:fldChar w:fldCharType="end"/>
    </w:r>
    <w:bookmarkEnd w:id="48"/>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1960DD">
      <w:rPr>
        <w:rStyle w:val="PageNumber"/>
        <w:rFonts w:cs="Arial"/>
        <w:noProof/>
      </w:rPr>
      <w:t>1</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1960DD">
      <w:rPr>
        <w:rStyle w:val="PageNumber"/>
        <w:rFonts w:cs="Arial"/>
        <w:noProof/>
      </w:rPr>
      <w:t>19</w:t>
    </w:r>
    <w:r w:rsidRPr="00A7084A">
      <w:rPr>
        <w:rStyle w:val="PageNumber"/>
        <w:rFonts w:cs="Arial"/>
      </w:rPr>
      <w:fldChar w:fldCharType="end"/>
    </w:r>
    <w:r w:rsidRPr="00A7084A">
      <w:rPr>
        <w:rStyle w:val="PageNumber"/>
        <w:rFonts w:cs="Arial"/>
      </w:rPr>
      <w:t xml:space="preserve">   </w:t>
    </w:r>
  </w:p>
  <w:p w14:paraId="0CD9F142" w14:textId="172F7BA2" w:rsidR="00A55C14" w:rsidRPr="00BD0CA3" w:rsidRDefault="00A55C14" w:rsidP="00B4128C">
    <w:pPr>
      <w:pStyle w:val="PHEBodytext"/>
      <w:ind w:left="-284" w:right="-744"/>
      <w:jc w:val="right"/>
      <w:outlineLvl w:val="0"/>
      <w:rPr>
        <w:rFonts w:cs="Arial"/>
        <w:sz w:val="16"/>
        <w:szCs w:val="16"/>
      </w:rPr>
    </w:pPr>
    <w:r w:rsidRPr="00BD0CA3">
      <w:rPr>
        <w:rStyle w:val="PageNumber"/>
        <w:rFonts w:cs="Arial"/>
        <w:sz w:val="16"/>
        <w:szCs w:val="16"/>
      </w:rPr>
      <w:t>© Crown copyright 201</w:t>
    </w:r>
    <w:r w:rsidR="008E13E3">
      <w:rPr>
        <w:rStyle w:val="PageNumber"/>
        <w:rFonts w:cs="Arial"/>
        <w:sz w:val="16"/>
        <w:szCs w:val="16"/>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91233" w14:textId="77777777" w:rsidR="00A55C14" w:rsidRPr="00747555" w:rsidRDefault="00A55C14" w:rsidP="0074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29867" w14:textId="77777777" w:rsidR="00FA2D4A" w:rsidRDefault="00FA2D4A" w:rsidP="003E0911">
      <w:pPr>
        <w:pStyle w:val="TOC2"/>
      </w:pPr>
      <w:r>
        <w:separator/>
      </w:r>
    </w:p>
  </w:footnote>
  <w:footnote w:type="continuationSeparator" w:id="0">
    <w:p w14:paraId="3BED3243" w14:textId="77777777" w:rsidR="00FA2D4A" w:rsidRDefault="00FA2D4A" w:rsidP="003E0911">
      <w:pPr>
        <w:pStyle w:val="TOC2"/>
      </w:pPr>
      <w:r>
        <w:continuationSeparator/>
      </w:r>
    </w:p>
  </w:footnote>
  <w:footnote w:id="1">
    <w:p w14:paraId="1F06B423" w14:textId="77777777" w:rsidR="004D06E3" w:rsidRDefault="004D06E3" w:rsidP="004D06E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5" w:name="SMITitleDocument"/>
  <w:p w14:paraId="681B774C" w14:textId="77777777" w:rsidR="00A55C14" w:rsidRPr="00A7084A" w:rsidRDefault="00CE7678"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00A55C14" w:rsidRPr="00880DE6">
      <w:rPr>
        <w:rFonts w:cs="Arial"/>
      </w:rPr>
      <w:t xml:space="preserve">Good </w:t>
    </w:r>
    <w:r w:rsidR="004D06E3" w:rsidRPr="00880DE6">
      <w:rPr>
        <w:rFonts w:cs="Arial"/>
      </w:rPr>
      <w:t>practice when performing molecular amplification</w:t>
    </w:r>
    <w:r w:rsidR="004D06E3">
      <w:t xml:space="preserve"> a</w:t>
    </w:r>
    <w:r w:rsidR="00A55C14">
      <w:t>ssays</w:t>
    </w:r>
    <w:r>
      <w:fldChar w:fldCharType="end"/>
    </w:r>
    <w:bookmarkEnd w:id="45"/>
  </w:p>
  <w:p w14:paraId="00BC7F1F" w14:textId="77777777" w:rsidR="00A55C14" w:rsidRPr="0084587D" w:rsidRDefault="00A55C14"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88E6B" w14:textId="77777777" w:rsidR="00A55C14" w:rsidRDefault="00A55C14">
    <w:pPr>
      <w:pStyle w:val="Header"/>
    </w:pPr>
    <w:r>
      <w:rPr>
        <w:noProof/>
      </w:rPr>
      <w:drawing>
        <wp:anchor distT="0" distB="0" distL="114300" distR="114300" simplePos="0" relativeHeight="251657728" behindDoc="1" locked="0" layoutInCell="1" allowOverlap="1" wp14:anchorId="287BE8C5" wp14:editId="349DA66F">
          <wp:simplePos x="0" y="0"/>
          <wp:positionH relativeFrom="column">
            <wp:posOffset>-914400</wp:posOffset>
          </wp:positionH>
          <wp:positionV relativeFrom="paragraph">
            <wp:posOffset>-438150</wp:posOffset>
          </wp:positionV>
          <wp:extent cx="7545070" cy="1454785"/>
          <wp:effectExtent l="19050" t="0" r="0" b="0"/>
          <wp:wrapTight wrapText="bothSides">
            <wp:wrapPolygon edited="0">
              <wp:start x="-55" y="0"/>
              <wp:lineTo x="-55" y="21213"/>
              <wp:lineTo x="21596" y="21213"/>
              <wp:lineTo x="21596" y="0"/>
              <wp:lineTo x="-55"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D239B" w14:textId="77777777" w:rsidR="00A55C14" w:rsidRDefault="00A55C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94AA4" w14:textId="77777777" w:rsidR="00A55C14" w:rsidRDefault="00A55C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713C8"/>
    <w:multiLevelType w:val="hybridMultilevel"/>
    <w:tmpl w:val="17C8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D7D7E89"/>
    <w:multiLevelType w:val="hybridMultilevel"/>
    <w:tmpl w:val="70D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DE5D51"/>
    <w:multiLevelType w:val="hybridMultilevel"/>
    <w:tmpl w:val="655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602A7"/>
    <w:multiLevelType w:val="hybridMultilevel"/>
    <w:tmpl w:val="CFD2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AD7A3B"/>
    <w:multiLevelType w:val="hybridMultilevel"/>
    <w:tmpl w:val="B0F8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9355D0"/>
    <w:multiLevelType w:val="hybridMultilevel"/>
    <w:tmpl w:val="60E2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632187"/>
    <w:multiLevelType w:val="hybridMultilevel"/>
    <w:tmpl w:val="E33881D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1B4B0F"/>
    <w:multiLevelType w:val="hybridMultilevel"/>
    <w:tmpl w:val="5DC8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8FA0AF6"/>
    <w:multiLevelType w:val="hybridMultilevel"/>
    <w:tmpl w:val="7A8490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136A61"/>
    <w:multiLevelType w:val="hybridMultilevel"/>
    <w:tmpl w:val="59B6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8"/>
  </w:num>
  <w:num w:numId="5">
    <w:abstractNumId w:val="7"/>
  </w:num>
  <w:num w:numId="6">
    <w:abstractNumId w:val="4"/>
  </w:num>
  <w:num w:numId="7">
    <w:abstractNumId w:val="16"/>
  </w:num>
  <w:num w:numId="8">
    <w:abstractNumId w:val="19"/>
  </w:num>
  <w:num w:numId="9">
    <w:abstractNumId w:val="21"/>
  </w:num>
  <w:num w:numId="10">
    <w:abstractNumId w:val="10"/>
  </w:num>
  <w:num w:numId="11">
    <w:abstractNumId w:val="1"/>
  </w:num>
  <w:num w:numId="12">
    <w:abstractNumId w:val="9"/>
  </w:num>
  <w:num w:numId="13">
    <w:abstractNumId w:val="6"/>
  </w:num>
  <w:num w:numId="14">
    <w:abstractNumId w:val="11"/>
  </w:num>
  <w:num w:numId="15">
    <w:abstractNumId w:val="23"/>
  </w:num>
  <w:num w:numId="16">
    <w:abstractNumId w:val="8"/>
  </w:num>
  <w:num w:numId="17">
    <w:abstractNumId w:val="2"/>
  </w:num>
  <w:num w:numId="18">
    <w:abstractNumId w:val="12"/>
  </w:num>
  <w:num w:numId="19">
    <w:abstractNumId w:val="22"/>
  </w:num>
  <w:num w:numId="20">
    <w:abstractNumId w:val="14"/>
  </w:num>
  <w:num w:numId="21">
    <w:abstractNumId w:val="17"/>
  </w:num>
  <w:num w:numId="22">
    <w:abstractNumId w:val="13"/>
  </w:num>
  <w:num w:numId="23">
    <w:abstractNumId w:val="15"/>
  </w:num>
  <w:num w:numId="24">
    <w:abstractNumId w:val="20"/>
  </w:num>
  <w:num w:numId="25">
    <w:abstractNumId w:val="2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yshree Dave">
    <w15:presenceInfo w15:providerId="AD" w15:userId="S-1-5-21-3685816821-1215056363-1987234180-53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wvpw2wgszvfietprqxz0d1rrptvr2vrwas&quot;&gt;My EndNote Library&lt;record-ids&gt;&lt;item&gt;1&lt;/item&gt;&lt;item&gt;2&lt;/item&gt;&lt;item&gt;3&lt;/item&gt;&lt;item&gt;4&lt;/item&gt;&lt;item&gt;6&lt;/item&gt;&lt;item&gt;7&lt;/item&gt;&lt;item&gt;8&lt;/item&gt;&lt;item&gt;9&lt;/item&gt;&lt;item&gt;10&lt;/item&gt;&lt;item&gt;11&lt;/item&gt;&lt;item&gt;12&lt;/item&gt;&lt;item&gt;13&lt;/item&gt;&lt;item&gt;14&lt;/item&gt;&lt;item&gt;16&lt;/item&gt;&lt;item&gt;17&lt;/item&gt;&lt;item&gt;18&lt;/item&gt;&lt;item&gt;19&lt;/item&gt;&lt;item&gt;33&lt;/item&gt;&lt;item&gt;34&lt;/item&gt;&lt;item&gt;35&lt;/item&gt;&lt;item&gt;36&lt;/item&gt;&lt;item&gt;37&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880DE6"/>
    <w:rsid w:val="000001AE"/>
    <w:rsid w:val="00000EB3"/>
    <w:rsid w:val="00001074"/>
    <w:rsid w:val="0000210A"/>
    <w:rsid w:val="0000306A"/>
    <w:rsid w:val="00003478"/>
    <w:rsid w:val="0000369D"/>
    <w:rsid w:val="00003832"/>
    <w:rsid w:val="0000577E"/>
    <w:rsid w:val="00006395"/>
    <w:rsid w:val="00006BD6"/>
    <w:rsid w:val="000079C4"/>
    <w:rsid w:val="00007B6B"/>
    <w:rsid w:val="000101FD"/>
    <w:rsid w:val="0001059D"/>
    <w:rsid w:val="00010DFA"/>
    <w:rsid w:val="00011CD9"/>
    <w:rsid w:val="00012015"/>
    <w:rsid w:val="00012D1A"/>
    <w:rsid w:val="00014BCD"/>
    <w:rsid w:val="00015926"/>
    <w:rsid w:val="0001665F"/>
    <w:rsid w:val="000171FA"/>
    <w:rsid w:val="00020469"/>
    <w:rsid w:val="00020CD5"/>
    <w:rsid w:val="0002112F"/>
    <w:rsid w:val="00021298"/>
    <w:rsid w:val="00021702"/>
    <w:rsid w:val="000310FA"/>
    <w:rsid w:val="0003168A"/>
    <w:rsid w:val="00031A7C"/>
    <w:rsid w:val="00031A81"/>
    <w:rsid w:val="0003209C"/>
    <w:rsid w:val="00032A70"/>
    <w:rsid w:val="00034613"/>
    <w:rsid w:val="00034EAF"/>
    <w:rsid w:val="00035932"/>
    <w:rsid w:val="00037DC7"/>
    <w:rsid w:val="00037E06"/>
    <w:rsid w:val="000400C6"/>
    <w:rsid w:val="00042418"/>
    <w:rsid w:val="0004447D"/>
    <w:rsid w:val="000448BE"/>
    <w:rsid w:val="0004515D"/>
    <w:rsid w:val="000458E2"/>
    <w:rsid w:val="00047746"/>
    <w:rsid w:val="00050256"/>
    <w:rsid w:val="00052D6F"/>
    <w:rsid w:val="00053B60"/>
    <w:rsid w:val="00054617"/>
    <w:rsid w:val="00055454"/>
    <w:rsid w:val="00055864"/>
    <w:rsid w:val="0005799D"/>
    <w:rsid w:val="00060D6F"/>
    <w:rsid w:val="00061F73"/>
    <w:rsid w:val="00062EA0"/>
    <w:rsid w:val="000655C6"/>
    <w:rsid w:val="00065A26"/>
    <w:rsid w:val="00066759"/>
    <w:rsid w:val="00066B73"/>
    <w:rsid w:val="00066F9C"/>
    <w:rsid w:val="0006785F"/>
    <w:rsid w:val="0007106C"/>
    <w:rsid w:val="000729F1"/>
    <w:rsid w:val="00074AAA"/>
    <w:rsid w:val="000766B1"/>
    <w:rsid w:val="00077530"/>
    <w:rsid w:val="000803A8"/>
    <w:rsid w:val="000808E0"/>
    <w:rsid w:val="0008132A"/>
    <w:rsid w:val="00083EBD"/>
    <w:rsid w:val="00084D9A"/>
    <w:rsid w:val="0008573C"/>
    <w:rsid w:val="00086202"/>
    <w:rsid w:val="00090DAF"/>
    <w:rsid w:val="00091268"/>
    <w:rsid w:val="000917C9"/>
    <w:rsid w:val="00095FA5"/>
    <w:rsid w:val="000A0EC5"/>
    <w:rsid w:val="000A20A3"/>
    <w:rsid w:val="000A323A"/>
    <w:rsid w:val="000A38FE"/>
    <w:rsid w:val="000A4C46"/>
    <w:rsid w:val="000A4F9D"/>
    <w:rsid w:val="000A5331"/>
    <w:rsid w:val="000A61CE"/>
    <w:rsid w:val="000A6D0E"/>
    <w:rsid w:val="000A793E"/>
    <w:rsid w:val="000A7C8F"/>
    <w:rsid w:val="000A7D72"/>
    <w:rsid w:val="000B0541"/>
    <w:rsid w:val="000B0F38"/>
    <w:rsid w:val="000B6429"/>
    <w:rsid w:val="000B66EB"/>
    <w:rsid w:val="000B6794"/>
    <w:rsid w:val="000B6BF3"/>
    <w:rsid w:val="000B6C05"/>
    <w:rsid w:val="000B79EF"/>
    <w:rsid w:val="000C171C"/>
    <w:rsid w:val="000C31D4"/>
    <w:rsid w:val="000C3632"/>
    <w:rsid w:val="000C4010"/>
    <w:rsid w:val="000C4624"/>
    <w:rsid w:val="000C48F0"/>
    <w:rsid w:val="000C4A20"/>
    <w:rsid w:val="000C596E"/>
    <w:rsid w:val="000C7719"/>
    <w:rsid w:val="000D2DFA"/>
    <w:rsid w:val="000D48BC"/>
    <w:rsid w:val="000D7130"/>
    <w:rsid w:val="000E4847"/>
    <w:rsid w:val="000E5A5A"/>
    <w:rsid w:val="000F24FB"/>
    <w:rsid w:val="000F2C3C"/>
    <w:rsid w:val="000F340B"/>
    <w:rsid w:val="000F41AB"/>
    <w:rsid w:val="000F41FF"/>
    <w:rsid w:val="000F4934"/>
    <w:rsid w:val="000F5C82"/>
    <w:rsid w:val="001008F1"/>
    <w:rsid w:val="00101A0D"/>
    <w:rsid w:val="001022F1"/>
    <w:rsid w:val="0010450F"/>
    <w:rsid w:val="00104BFD"/>
    <w:rsid w:val="00107177"/>
    <w:rsid w:val="001124DD"/>
    <w:rsid w:val="00113419"/>
    <w:rsid w:val="0011369C"/>
    <w:rsid w:val="001145B3"/>
    <w:rsid w:val="00114BDF"/>
    <w:rsid w:val="00114FD4"/>
    <w:rsid w:val="0012156D"/>
    <w:rsid w:val="00121D20"/>
    <w:rsid w:val="00122792"/>
    <w:rsid w:val="001230FB"/>
    <w:rsid w:val="001237AB"/>
    <w:rsid w:val="00126850"/>
    <w:rsid w:val="00126AFD"/>
    <w:rsid w:val="00127FC6"/>
    <w:rsid w:val="00134722"/>
    <w:rsid w:val="001353F4"/>
    <w:rsid w:val="00135472"/>
    <w:rsid w:val="00135C10"/>
    <w:rsid w:val="001364A6"/>
    <w:rsid w:val="00136832"/>
    <w:rsid w:val="001375DF"/>
    <w:rsid w:val="00140F5D"/>
    <w:rsid w:val="0014193A"/>
    <w:rsid w:val="00146F36"/>
    <w:rsid w:val="00147DD9"/>
    <w:rsid w:val="00147E32"/>
    <w:rsid w:val="0015079B"/>
    <w:rsid w:val="00150AC1"/>
    <w:rsid w:val="00152705"/>
    <w:rsid w:val="001529FA"/>
    <w:rsid w:val="00154B9D"/>
    <w:rsid w:val="00155021"/>
    <w:rsid w:val="0015526B"/>
    <w:rsid w:val="001568B5"/>
    <w:rsid w:val="0015763B"/>
    <w:rsid w:val="001608C2"/>
    <w:rsid w:val="001624B8"/>
    <w:rsid w:val="00162989"/>
    <w:rsid w:val="00162C5F"/>
    <w:rsid w:val="001635E1"/>
    <w:rsid w:val="00163A9D"/>
    <w:rsid w:val="00163C25"/>
    <w:rsid w:val="001646D7"/>
    <w:rsid w:val="00164A9B"/>
    <w:rsid w:val="00164B70"/>
    <w:rsid w:val="00164DCE"/>
    <w:rsid w:val="00165A9C"/>
    <w:rsid w:val="00165B98"/>
    <w:rsid w:val="001666C9"/>
    <w:rsid w:val="001707D3"/>
    <w:rsid w:val="00171B10"/>
    <w:rsid w:val="00171C49"/>
    <w:rsid w:val="0017368E"/>
    <w:rsid w:val="001755C0"/>
    <w:rsid w:val="00177278"/>
    <w:rsid w:val="00177750"/>
    <w:rsid w:val="00177855"/>
    <w:rsid w:val="0018099E"/>
    <w:rsid w:val="00180D2D"/>
    <w:rsid w:val="0018369B"/>
    <w:rsid w:val="00183711"/>
    <w:rsid w:val="00183A62"/>
    <w:rsid w:val="00183C00"/>
    <w:rsid w:val="001847C9"/>
    <w:rsid w:val="00185CEE"/>
    <w:rsid w:val="0018726E"/>
    <w:rsid w:val="001876A0"/>
    <w:rsid w:val="00187900"/>
    <w:rsid w:val="001908BC"/>
    <w:rsid w:val="00190B73"/>
    <w:rsid w:val="00190BB8"/>
    <w:rsid w:val="00190D8B"/>
    <w:rsid w:val="00190F41"/>
    <w:rsid w:val="001910B6"/>
    <w:rsid w:val="001915B9"/>
    <w:rsid w:val="00192078"/>
    <w:rsid w:val="001929FE"/>
    <w:rsid w:val="00192DF9"/>
    <w:rsid w:val="00193AC1"/>
    <w:rsid w:val="001949FA"/>
    <w:rsid w:val="001954C3"/>
    <w:rsid w:val="00195AAD"/>
    <w:rsid w:val="001960DD"/>
    <w:rsid w:val="00196A88"/>
    <w:rsid w:val="001A063C"/>
    <w:rsid w:val="001A0B81"/>
    <w:rsid w:val="001A22E2"/>
    <w:rsid w:val="001A2350"/>
    <w:rsid w:val="001A507A"/>
    <w:rsid w:val="001A5FBA"/>
    <w:rsid w:val="001A6158"/>
    <w:rsid w:val="001A63F7"/>
    <w:rsid w:val="001B00A4"/>
    <w:rsid w:val="001B14A7"/>
    <w:rsid w:val="001B1D5C"/>
    <w:rsid w:val="001B2A63"/>
    <w:rsid w:val="001B3584"/>
    <w:rsid w:val="001B3C4E"/>
    <w:rsid w:val="001B3D67"/>
    <w:rsid w:val="001B3EEB"/>
    <w:rsid w:val="001B46BA"/>
    <w:rsid w:val="001B50AA"/>
    <w:rsid w:val="001B6EAC"/>
    <w:rsid w:val="001C1B9F"/>
    <w:rsid w:val="001C3CD7"/>
    <w:rsid w:val="001C4EC0"/>
    <w:rsid w:val="001C508E"/>
    <w:rsid w:val="001C6D47"/>
    <w:rsid w:val="001D197B"/>
    <w:rsid w:val="001D1F10"/>
    <w:rsid w:val="001D28E5"/>
    <w:rsid w:val="001D35A3"/>
    <w:rsid w:val="001D3B2D"/>
    <w:rsid w:val="001D4622"/>
    <w:rsid w:val="001D4C88"/>
    <w:rsid w:val="001D71C9"/>
    <w:rsid w:val="001E1022"/>
    <w:rsid w:val="001E17B2"/>
    <w:rsid w:val="001E2911"/>
    <w:rsid w:val="001E2B10"/>
    <w:rsid w:val="001E2C43"/>
    <w:rsid w:val="001E3269"/>
    <w:rsid w:val="001E43A0"/>
    <w:rsid w:val="001E4DB0"/>
    <w:rsid w:val="001E7C87"/>
    <w:rsid w:val="001F16AB"/>
    <w:rsid w:val="001F1EF2"/>
    <w:rsid w:val="001F327F"/>
    <w:rsid w:val="001F334B"/>
    <w:rsid w:val="001F3668"/>
    <w:rsid w:val="001F3E1F"/>
    <w:rsid w:val="001F75BE"/>
    <w:rsid w:val="001F7E55"/>
    <w:rsid w:val="002001E8"/>
    <w:rsid w:val="002011C4"/>
    <w:rsid w:val="00202439"/>
    <w:rsid w:val="00202E65"/>
    <w:rsid w:val="00203BDF"/>
    <w:rsid w:val="00204747"/>
    <w:rsid w:val="00205525"/>
    <w:rsid w:val="00205891"/>
    <w:rsid w:val="002116CF"/>
    <w:rsid w:val="0021216B"/>
    <w:rsid w:val="00212502"/>
    <w:rsid w:val="002175AE"/>
    <w:rsid w:val="002178F3"/>
    <w:rsid w:val="00221AD9"/>
    <w:rsid w:val="0022296D"/>
    <w:rsid w:val="00222FF6"/>
    <w:rsid w:val="00223097"/>
    <w:rsid w:val="002243BD"/>
    <w:rsid w:val="002243F2"/>
    <w:rsid w:val="002259C8"/>
    <w:rsid w:val="00230080"/>
    <w:rsid w:val="00230D9D"/>
    <w:rsid w:val="00231E5A"/>
    <w:rsid w:val="002320A8"/>
    <w:rsid w:val="002322F3"/>
    <w:rsid w:val="00233CEE"/>
    <w:rsid w:val="00233EEA"/>
    <w:rsid w:val="002357C9"/>
    <w:rsid w:val="00236423"/>
    <w:rsid w:val="002432C7"/>
    <w:rsid w:val="002440A4"/>
    <w:rsid w:val="00244DD3"/>
    <w:rsid w:val="00245DF5"/>
    <w:rsid w:val="0024602E"/>
    <w:rsid w:val="00250FB1"/>
    <w:rsid w:val="00251543"/>
    <w:rsid w:val="002543B7"/>
    <w:rsid w:val="002555E7"/>
    <w:rsid w:val="00256CF2"/>
    <w:rsid w:val="002602F5"/>
    <w:rsid w:val="0026094E"/>
    <w:rsid w:val="0026204F"/>
    <w:rsid w:val="00262328"/>
    <w:rsid w:val="002623CD"/>
    <w:rsid w:val="002645BE"/>
    <w:rsid w:val="00264DDB"/>
    <w:rsid w:val="002664C7"/>
    <w:rsid w:val="0026798E"/>
    <w:rsid w:val="002707B9"/>
    <w:rsid w:val="002724B6"/>
    <w:rsid w:val="00273CBA"/>
    <w:rsid w:val="002741E5"/>
    <w:rsid w:val="0027747F"/>
    <w:rsid w:val="00277D1D"/>
    <w:rsid w:val="00277D2F"/>
    <w:rsid w:val="00280058"/>
    <w:rsid w:val="00280450"/>
    <w:rsid w:val="00280481"/>
    <w:rsid w:val="00280BBE"/>
    <w:rsid w:val="00282747"/>
    <w:rsid w:val="00282A2B"/>
    <w:rsid w:val="002833C7"/>
    <w:rsid w:val="00283DF6"/>
    <w:rsid w:val="002846A7"/>
    <w:rsid w:val="00284C95"/>
    <w:rsid w:val="00284D8A"/>
    <w:rsid w:val="00287325"/>
    <w:rsid w:val="002874AC"/>
    <w:rsid w:val="002875D4"/>
    <w:rsid w:val="0029063B"/>
    <w:rsid w:val="00290E63"/>
    <w:rsid w:val="00291676"/>
    <w:rsid w:val="002928DB"/>
    <w:rsid w:val="002933F2"/>
    <w:rsid w:val="002950A8"/>
    <w:rsid w:val="002956C0"/>
    <w:rsid w:val="00295AFB"/>
    <w:rsid w:val="00295E1D"/>
    <w:rsid w:val="00297F0C"/>
    <w:rsid w:val="002A4610"/>
    <w:rsid w:val="002A59E3"/>
    <w:rsid w:val="002A5BE0"/>
    <w:rsid w:val="002A7362"/>
    <w:rsid w:val="002B5FE7"/>
    <w:rsid w:val="002B6BD5"/>
    <w:rsid w:val="002B6D53"/>
    <w:rsid w:val="002C0E8C"/>
    <w:rsid w:val="002C2CF5"/>
    <w:rsid w:val="002C35CD"/>
    <w:rsid w:val="002C3610"/>
    <w:rsid w:val="002C4EC1"/>
    <w:rsid w:val="002C5DB4"/>
    <w:rsid w:val="002C609B"/>
    <w:rsid w:val="002C6A39"/>
    <w:rsid w:val="002C7E87"/>
    <w:rsid w:val="002D06B1"/>
    <w:rsid w:val="002D23AF"/>
    <w:rsid w:val="002D3867"/>
    <w:rsid w:val="002D3CCE"/>
    <w:rsid w:val="002D4549"/>
    <w:rsid w:val="002D5241"/>
    <w:rsid w:val="002D6545"/>
    <w:rsid w:val="002D6EB8"/>
    <w:rsid w:val="002D7A4B"/>
    <w:rsid w:val="002D7F8F"/>
    <w:rsid w:val="002E061C"/>
    <w:rsid w:val="002E659F"/>
    <w:rsid w:val="002E663D"/>
    <w:rsid w:val="002E6816"/>
    <w:rsid w:val="002F3A22"/>
    <w:rsid w:val="002F50E7"/>
    <w:rsid w:val="002F6E96"/>
    <w:rsid w:val="002F79CD"/>
    <w:rsid w:val="0030010A"/>
    <w:rsid w:val="0030332F"/>
    <w:rsid w:val="00303939"/>
    <w:rsid w:val="00303A4B"/>
    <w:rsid w:val="00304B88"/>
    <w:rsid w:val="00304F67"/>
    <w:rsid w:val="00305367"/>
    <w:rsid w:val="003104EB"/>
    <w:rsid w:val="00310C50"/>
    <w:rsid w:val="003114F2"/>
    <w:rsid w:val="00316C19"/>
    <w:rsid w:val="00317FCA"/>
    <w:rsid w:val="00320BF2"/>
    <w:rsid w:val="0032194A"/>
    <w:rsid w:val="00322456"/>
    <w:rsid w:val="00324E19"/>
    <w:rsid w:val="00325112"/>
    <w:rsid w:val="00326CD2"/>
    <w:rsid w:val="00327876"/>
    <w:rsid w:val="00327936"/>
    <w:rsid w:val="00331409"/>
    <w:rsid w:val="00333974"/>
    <w:rsid w:val="00337B82"/>
    <w:rsid w:val="00341000"/>
    <w:rsid w:val="003424EB"/>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70B8C"/>
    <w:rsid w:val="00371354"/>
    <w:rsid w:val="00375DB1"/>
    <w:rsid w:val="00377923"/>
    <w:rsid w:val="00377D50"/>
    <w:rsid w:val="00384C3C"/>
    <w:rsid w:val="0038514E"/>
    <w:rsid w:val="003855A6"/>
    <w:rsid w:val="003876CE"/>
    <w:rsid w:val="00390266"/>
    <w:rsid w:val="00390E2A"/>
    <w:rsid w:val="003911CB"/>
    <w:rsid w:val="0039278C"/>
    <w:rsid w:val="0039593B"/>
    <w:rsid w:val="00396215"/>
    <w:rsid w:val="0039675E"/>
    <w:rsid w:val="003A0920"/>
    <w:rsid w:val="003A10F6"/>
    <w:rsid w:val="003A2318"/>
    <w:rsid w:val="003A26D8"/>
    <w:rsid w:val="003A26ED"/>
    <w:rsid w:val="003A3C76"/>
    <w:rsid w:val="003A58BE"/>
    <w:rsid w:val="003A597E"/>
    <w:rsid w:val="003A5FA9"/>
    <w:rsid w:val="003A6ABC"/>
    <w:rsid w:val="003A6D01"/>
    <w:rsid w:val="003A758C"/>
    <w:rsid w:val="003A7C2A"/>
    <w:rsid w:val="003B09AB"/>
    <w:rsid w:val="003B1C0E"/>
    <w:rsid w:val="003B1F6B"/>
    <w:rsid w:val="003B25BF"/>
    <w:rsid w:val="003B2603"/>
    <w:rsid w:val="003B2BEF"/>
    <w:rsid w:val="003B3E31"/>
    <w:rsid w:val="003B4850"/>
    <w:rsid w:val="003B63FA"/>
    <w:rsid w:val="003B6C54"/>
    <w:rsid w:val="003C2189"/>
    <w:rsid w:val="003C48C2"/>
    <w:rsid w:val="003C4D94"/>
    <w:rsid w:val="003C4E00"/>
    <w:rsid w:val="003C58F5"/>
    <w:rsid w:val="003C5904"/>
    <w:rsid w:val="003C6EC7"/>
    <w:rsid w:val="003C7A70"/>
    <w:rsid w:val="003D35E8"/>
    <w:rsid w:val="003D42BA"/>
    <w:rsid w:val="003D5279"/>
    <w:rsid w:val="003D6E61"/>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520D"/>
    <w:rsid w:val="003F5A62"/>
    <w:rsid w:val="003F6105"/>
    <w:rsid w:val="003F6234"/>
    <w:rsid w:val="003F7A21"/>
    <w:rsid w:val="00402AC1"/>
    <w:rsid w:val="00403D33"/>
    <w:rsid w:val="0040441D"/>
    <w:rsid w:val="0040467A"/>
    <w:rsid w:val="00404E87"/>
    <w:rsid w:val="004055B9"/>
    <w:rsid w:val="00405A51"/>
    <w:rsid w:val="004066F8"/>
    <w:rsid w:val="00406E9D"/>
    <w:rsid w:val="0040709A"/>
    <w:rsid w:val="00407944"/>
    <w:rsid w:val="00407B7A"/>
    <w:rsid w:val="00412764"/>
    <w:rsid w:val="0041430A"/>
    <w:rsid w:val="00415A6A"/>
    <w:rsid w:val="00421842"/>
    <w:rsid w:val="004229AF"/>
    <w:rsid w:val="00422C74"/>
    <w:rsid w:val="004231D5"/>
    <w:rsid w:val="0042452D"/>
    <w:rsid w:val="004254C5"/>
    <w:rsid w:val="00426F70"/>
    <w:rsid w:val="004313B7"/>
    <w:rsid w:val="004313CA"/>
    <w:rsid w:val="00431934"/>
    <w:rsid w:val="00432339"/>
    <w:rsid w:val="004341FE"/>
    <w:rsid w:val="00434314"/>
    <w:rsid w:val="0043708D"/>
    <w:rsid w:val="00437DCF"/>
    <w:rsid w:val="00440779"/>
    <w:rsid w:val="004428C6"/>
    <w:rsid w:val="0044375A"/>
    <w:rsid w:val="004446B0"/>
    <w:rsid w:val="00444D0F"/>
    <w:rsid w:val="0044590D"/>
    <w:rsid w:val="00446360"/>
    <w:rsid w:val="00450795"/>
    <w:rsid w:val="004510DE"/>
    <w:rsid w:val="00451296"/>
    <w:rsid w:val="004539B2"/>
    <w:rsid w:val="00453C1C"/>
    <w:rsid w:val="00454C0B"/>
    <w:rsid w:val="00454C30"/>
    <w:rsid w:val="00454F37"/>
    <w:rsid w:val="004603BD"/>
    <w:rsid w:val="00460409"/>
    <w:rsid w:val="00462F10"/>
    <w:rsid w:val="004632B3"/>
    <w:rsid w:val="00463456"/>
    <w:rsid w:val="00463908"/>
    <w:rsid w:val="00465B46"/>
    <w:rsid w:val="00466F44"/>
    <w:rsid w:val="00470730"/>
    <w:rsid w:val="00470D0E"/>
    <w:rsid w:val="0047194E"/>
    <w:rsid w:val="00475314"/>
    <w:rsid w:val="0047584E"/>
    <w:rsid w:val="00477E2F"/>
    <w:rsid w:val="00480536"/>
    <w:rsid w:val="00480E51"/>
    <w:rsid w:val="00483F26"/>
    <w:rsid w:val="004843D2"/>
    <w:rsid w:val="00485898"/>
    <w:rsid w:val="0048694D"/>
    <w:rsid w:val="004873E8"/>
    <w:rsid w:val="00494CD7"/>
    <w:rsid w:val="00494D8F"/>
    <w:rsid w:val="00494DFF"/>
    <w:rsid w:val="00495BF5"/>
    <w:rsid w:val="00496E74"/>
    <w:rsid w:val="00497129"/>
    <w:rsid w:val="00497822"/>
    <w:rsid w:val="004A0ECA"/>
    <w:rsid w:val="004A20D4"/>
    <w:rsid w:val="004A254A"/>
    <w:rsid w:val="004A49C1"/>
    <w:rsid w:val="004A583A"/>
    <w:rsid w:val="004A5E0D"/>
    <w:rsid w:val="004A5F9D"/>
    <w:rsid w:val="004A6BD0"/>
    <w:rsid w:val="004A7623"/>
    <w:rsid w:val="004A76A7"/>
    <w:rsid w:val="004B17A3"/>
    <w:rsid w:val="004B2840"/>
    <w:rsid w:val="004B49F4"/>
    <w:rsid w:val="004B526E"/>
    <w:rsid w:val="004C037F"/>
    <w:rsid w:val="004C1820"/>
    <w:rsid w:val="004C1F59"/>
    <w:rsid w:val="004C3049"/>
    <w:rsid w:val="004C37A3"/>
    <w:rsid w:val="004C4B3C"/>
    <w:rsid w:val="004C60C3"/>
    <w:rsid w:val="004D02D9"/>
    <w:rsid w:val="004D06E3"/>
    <w:rsid w:val="004D0F08"/>
    <w:rsid w:val="004D1B4E"/>
    <w:rsid w:val="004D371E"/>
    <w:rsid w:val="004D3BF1"/>
    <w:rsid w:val="004D4B22"/>
    <w:rsid w:val="004D5D7B"/>
    <w:rsid w:val="004D657A"/>
    <w:rsid w:val="004D7B43"/>
    <w:rsid w:val="004D7FEC"/>
    <w:rsid w:val="004E023D"/>
    <w:rsid w:val="004E0F49"/>
    <w:rsid w:val="004E23E1"/>
    <w:rsid w:val="004E3A0E"/>
    <w:rsid w:val="004E4E2E"/>
    <w:rsid w:val="004E508A"/>
    <w:rsid w:val="004E53D5"/>
    <w:rsid w:val="004E55C9"/>
    <w:rsid w:val="004E56F8"/>
    <w:rsid w:val="004F00DA"/>
    <w:rsid w:val="004F1E1A"/>
    <w:rsid w:val="004F2B6D"/>
    <w:rsid w:val="004F3779"/>
    <w:rsid w:val="004F666D"/>
    <w:rsid w:val="004F6D2F"/>
    <w:rsid w:val="004F7333"/>
    <w:rsid w:val="004F7427"/>
    <w:rsid w:val="005019F1"/>
    <w:rsid w:val="00501E13"/>
    <w:rsid w:val="005023E8"/>
    <w:rsid w:val="0050249C"/>
    <w:rsid w:val="00502585"/>
    <w:rsid w:val="00502631"/>
    <w:rsid w:val="00502A11"/>
    <w:rsid w:val="00503572"/>
    <w:rsid w:val="00503D46"/>
    <w:rsid w:val="00506761"/>
    <w:rsid w:val="00507A3C"/>
    <w:rsid w:val="0051166C"/>
    <w:rsid w:val="00511B45"/>
    <w:rsid w:val="00513731"/>
    <w:rsid w:val="00513ADA"/>
    <w:rsid w:val="00514465"/>
    <w:rsid w:val="005160F0"/>
    <w:rsid w:val="00517A5D"/>
    <w:rsid w:val="005207CF"/>
    <w:rsid w:val="00520964"/>
    <w:rsid w:val="0052243E"/>
    <w:rsid w:val="0052369C"/>
    <w:rsid w:val="005265DF"/>
    <w:rsid w:val="00526801"/>
    <w:rsid w:val="005300E2"/>
    <w:rsid w:val="00530588"/>
    <w:rsid w:val="00530ABB"/>
    <w:rsid w:val="00530AFF"/>
    <w:rsid w:val="005313BD"/>
    <w:rsid w:val="00535745"/>
    <w:rsid w:val="0053632D"/>
    <w:rsid w:val="00537A66"/>
    <w:rsid w:val="005407AA"/>
    <w:rsid w:val="0054081C"/>
    <w:rsid w:val="00543304"/>
    <w:rsid w:val="0054421E"/>
    <w:rsid w:val="00545C0E"/>
    <w:rsid w:val="00545D40"/>
    <w:rsid w:val="0054746E"/>
    <w:rsid w:val="00547CA0"/>
    <w:rsid w:val="005502E0"/>
    <w:rsid w:val="00550E7C"/>
    <w:rsid w:val="00550FEF"/>
    <w:rsid w:val="005514C5"/>
    <w:rsid w:val="0055236A"/>
    <w:rsid w:val="0055255F"/>
    <w:rsid w:val="00553948"/>
    <w:rsid w:val="00554308"/>
    <w:rsid w:val="005547B0"/>
    <w:rsid w:val="005563C9"/>
    <w:rsid w:val="005565EB"/>
    <w:rsid w:val="00556851"/>
    <w:rsid w:val="00556949"/>
    <w:rsid w:val="005605F9"/>
    <w:rsid w:val="00561B47"/>
    <w:rsid w:val="00562E60"/>
    <w:rsid w:val="00566393"/>
    <w:rsid w:val="00567B89"/>
    <w:rsid w:val="00570597"/>
    <w:rsid w:val="00570973"/>
    <w:rsid w:val="00570A9A"/>
    <w:rsid w:val="00571488"/>
    <w:rsid w:val="005745CD"/>
    <w:rsid w:val="00576359"/>
    <w:rsid w:val="00577225"/>
    <w:rsid w:val="00577993"/>
    <w:rsid w:val="00582148"/>
    <w:rsid w:val="005850E2"/>
    <w:rsid w:val="00585778"/>
    <w:rsid w:val="005865FF"/>
    <w:rsid w:val="005878A4"/>
    <w:rsid w:val="00587F4C"/>
    <w:rsid w:val="005910E2"/>
    <w:rsid w:val="0059120C"/>
    <w:rsid w:val="0059241E"/>
    <w:rsid w:val="0059417B"/>
    <w:rsid w:val="005949A0"/>
    <w:rsid w:val="00595AC3"/>
    <w:rsid w:val="00595BEB"/>
    <w:rsid w:val="00595F2C"/>
    <w:rsid w:val="005971DD"/>
    <w:rsid w:val="00597BDB"/>
    <w:rsid w:val="005A0F4C"/>
    <w:rsid w:val="005A10A1"/>
    <w:rsid w:val="005A2357"/>
    <w:rsid w:val="005A2529"/>
    <w:rsid w:val="005A313F"/>
    <w:rsid w:val="005A470B"/>
    <w:rsid w:val="005A47FE"/>
    <w:rsid w:val="005A6053"/>
    <w:rsid w:val="005A657B"/>
    <w:rsid w:val="005A78B2"/>
    <w:rsid w:val="005A7EC6"/>
    <w:rsid w:val="005B037C"/>
    <w:rsid w:val="005B05A5"/>
    <w:rsid w:val="005B0D4D"/>
    <w:rsid w:val="005B2640"/>
    <w:rsid w:val="005B38F7"/>
    <w:rsid w:val="005B3CF6"/>
    <w:rsid w:val="005B427A"/>
    <w:rsid w:val="005B5044"/>
    <w:rsid w:val="005B509E"/>
    <w:rsid w:val="005B5551"/>
    <w:rsid w:val="005B66BB"/>
    <w:rsid w:val="005C026F"/>
    <w:rsid w:val="005C0A5B"/>
    <w:rsid w:val="005C2E4E"/>
    <w:rsid w:val="005C4F67"/>
    <w:rsid w:val="005C514B"/>
    <w:rsid w:val="005C5633"/>
    <w:rsid w:val="005C5C1E"/>
    <w:rsid w:val="005C609A"/>
    <w:rsid w:val="005C6790"/>
    <w:rsid w:val="005C67D5"/>
    <w:rsid w:val="005C6BF3"/>
    <w:rsid w:val="005C6FED"/>
    <w:rsid w:val="005C71BE"/>
    <w:rsid w:val="005D2231"/>
    <w:rsid w:val="005D2E09"/>
    <w:rsid w:val="005D734B"/>
    <w:rsid w:val="005E0492"/>
    <w:rsid w:val="005E094A"/>
    <w:rsid w:val="005E1AF3"/>
    <w:rsid w:val="005E31BF"/>
    <w:rsid w:val="005E32C2"/>
    <w:rsid w:val="005E38C2"/>
    <w:rsid w:val="005E4BB4"/>
    <w:rsid w:val="005E570F"/>
    <w:rsid w:val="005E5DFE"/>
    <w:rsid w:val="005E6372"/>
    <w:rsid w:val="005E7315"/>
    <w:rsid w:val="005F033D"/>
    <w:rsid w:val="005F06E1"/>
    <w:rsid w:val="005F2A8A"/>
    <w:rsid w:val="005F358E"/>
    <w:rsid w:val="005F4321"/>
    <w:rsid w:val="005F5D87"/>
    <w:rsid w:val="005F664D"/>
    <w:rsid w:val="005F6867"/>
    <w:rsid w:val="005F74D1"/>
    <w:rsid w:val="00600F05"/>
    <w:rsid w:val="00603A99"/>
    <w:rsid w:val="00603CB7"/>
    <w:rsid w:val="00603E9F"/>
    <w:rsid w:val="00605BF8"/>
    <w:rsid w:val="0060709D"/>
    <w:rsid w:val="00607164"/>
    <w:rsid w:val="00607ED0"/>
    <w:rsid w:val="00607FCE"/>
    <w:rsid w:val="00610289"/>
    <w:rsid w:val="0061211A"/>
    <w:rsid w:val="00612F7A"/>
    <w:rsid w:val="0061328B"/>
    <w:rsid w:val="00614ED9"/>
    <w:rsid w:val="00617354"/>
    <w:rsid w:val="00617F6D"/>
    <w:rsid w:val="00622B86"/>
    <w:rsid w:val="00622BE2"/>
    <w:rsid w:val="00626836"/>
    <w:rsid w:val="00626FEC"/>
    <w:rsid w:val="00627ECB"/>
    <w:rsid w:val="006339AA"/>
    <w:rsid w:val="00634D5B"/>
    <w:rsid w:val="006376D8"/>
    <w:rsid w:val="0064038F"/>
    <w:rsid w:val="0064072B"/>
    <w:rsid w:val="00640C18"/>
    <w:rsid w:val="00641EC9"/>
    <w:rsid w:val="00643557"/>
    <w:rsid w:val="00645707"/>
    <w:rsid w:val="0064739E"/>
    <w:rsid w:val="00650BA2"/>
    <w:rsid w:val="006518ED"/>
    <w:rsid w:val="0065239B"/>
    <w:rsid w:val="00652F41"/>
    <w:rsid w:val="00654B44"/>
    <w:rsid w:val="00656562"/>
    <w:rsid w:val="00656A92"/>
    <w:rsid w:val="0066350A"/>
    <w:rsid w:val="00664EA6"/>
    <w:rsid w:val="006671BD"/>
    <w:rsid w:val="00673534"/>
    <w:rsid w:val="00673A72"/>
    <w:rsid w:val="006741BF"/>
    <w:rsid w:val="00674CD8"/>
    <w:rsid w:val="0067586B"/>
    <w:rsid w:val="00677F5C"/>
    <w:rsid w:val="006807AA"/>
    <w:rsid w:val="00682431"/>
    <w:rsid w:val="0068303C"/>
    <w:rsid w:val="00683FAA"/>
    <w:rsid w:val="00684AA8"/>
    <w:rsid w:val="0068554B"/>
    <w:rsid w:val="006865EA"/>
    <w:rsid w:val="00687A07"/>
    <w:rsid w:val="00687A54"/>
    <w:rsid w:val="006905CC"/>
    <w:rsid w:val="00691B26"/>
    <w:rsid w:val="0069203E"/>
    <w:rsid w:val="006922F1"/>
    <w:rsid w:val="00692CB9"/>
    <w:rsid w:val="00692D27"/>
    <w:rsid w:val="00692FCF"/>
    <w:rsid w:val="00693218"/>
    <w:rsid w:val="00697738"/>
    <w:rsid w:val="00697B09"/>
    <w:rsid w:val="00697BD0"/>
    <w:rsid w:val="006A0C3B"/>
    <w:rsid w:val="006A0F6C"/>
    <w:rsid w:val="006A149F"/>
    <w:rsid w:val="006A1DAE"/>
    <w:rsid w:val="006A2926"/>
    <w:rsid w:val="006A37AD"/>
    <w:rsid w:val="006A4C64"/>
    <w:rsid w:val="006A53BB"/>
    <w:rsid w:val="006A62A0"/>
    <w:rsid w:val="006A7CBB"/>
    <w:rsid w:val="006A7FC6"/>
    <w:rsid w:val="006B17C7"/>
    <w:rsid w:val="006B21AE"/>
    <w:rsid w:val="006B33DB"/>
    <w:rsid w:val="006B5053"/>
    <w:rsid w:val="006B528F"/>
    <w:rsid w:val="006B69E1"/>
    <w:rsid w:val="006C17C3"/>
    <w:rsid w:val="006C3A82"/>
    <w:rsid w:val="006C4BED"/>
    <w:rsid w:val="006C5270"/>
    <w:rsid w:val="006C76D2"/>
    <w:rsid w:val="006C7F93"/>
    <w:rsid w:val="006D0AB7"/>
    <w:rsid w:val="006D0B1D"/>
    <w:rsid w:val="006D0DA1"/>
    <w:rsid w:val="006D47F2"/>
    <w:rsid w:val="006D48A4"/>
    <w:rsid w:val="006D4CF6"/>
    <w:rsid w:val="006D592A"/>
    <w:rsid w:val="006D5D7F"/>
    <w:rsid w:val="006D7427"/>
    <w:rsid w:val="006D7F6F"/>
    <w:rsid w:val="006E0878"/>
    <w:rsid w:val="006E19B3"/>
    <w:rsid w:val="006E2253"/>
    <w:rsid w:val="006E3621"/>
    <w:rsid w:val="006E370C"/>
    <w:rsid w:val="006E4CBF"/>
    <w:rsid w:val="006E663A"/>
    <w:rsid w:val="006E70CE"/>
    <w:rsid w:val="006F0574"/>
    <w:rsid w:val="006F127A"/>
    <w:rsid w:val="006F4C16"/>
    <w:rsid w:val="006F4FAC"/>
    <w:rsid w:val="006F537D"/>
    <w:rsid w:val="006F540C"/>
    <w:rsid w:val="006F5910"/>
    <w:rsid w:val="006F63C2"/>
    <w:rsid w:val="006F64D3"/>
    <w:rsid w:val="006F74E3"/>
    <w:rsid w:val="00701034"/>
    <w:rsid w:val="0070108D"/>
    <w:rsid w:val="007016A1"/>
    <w:rsid w:val="007026ED"/>
    <w:rsid w:val="00702C40"/>
    <w:rsid w:val="00702F69"/>
    <w:rsid w:val="00704367"/>
    <w:rsid w:val="0070567E"/>
    <w:rsid w:val="00706AF7"/>
    <w:rsid w:val="0071000A"/>
    <w:rsid w:val="00710545"/>
    <w:rsid w:val="00710CA0"/>
    <w:rsid w:val="00712E00"/>
    <w:rsid w:val="007153B8"/>
    <w:rsid w:val="0071591F"/>
    <w:rsid w:val="00716F88"/>
    <w:rsid w:val="00717109"/>
    <w:rsid w:val="00720622"/>
    <w:rsid w:val="00720D98"/>
    <w:rsid w:val="00722C5D"/>
    <w:rsid w:val="00723FFB"/>
    <w:rsid w:val="00724070"/>
    <w:rsid w:val="007242DD"/>
    <w:rsid w:val="007258EE"/>
    <w:rsid w:val="007262E0"/>
    <w:rsid w:val="00726B53"/>
    <w:rsid w:val="007303A2"/>
    <w:rsid w:val="0073067B"/>
    <w:rsid w:val="00732EEC"/>
    <w:rsid w:val="007349B6"/>
    <w:rsid w:val="00734C98"/>
    <w:rsid w:val="00735B53"/>
    <w:rsid w:val="00735E08"/>
    <w:rsid w:val="00736237"/>
    <w:rsid w:val="007364CA"/>
    <w:rsid w:val="007423B2"/>
    <w:rsid w:val="007435C4"/>
    <w:rsid w:val="00744859"/>
    <w:rsid w:val="00744AF0"/>
    <w:rsid w:val="00744BEF"/>
    <w:rsid w:val="00745685"/>
    <w:rsid w:val="00745804"/>
    <w:rsid w:val="007472E1"/>
    <w:rsid w:val="007473EC"/>
    <w:rsid w:val="00747555"/>
    <w:rsid w:val="0075049A"/>
    <w:rsid w:val="0075055E"/>
    <w:rsid w:val="0075112C"/>
    <w:rsid w:val="00751B6F"/>
    <w:rsid w:val="00752EEA"/>
    <w:rsid w:val="00753872"/>
    <w:rsid w:val="00754461"/>
    <w:rsid w:val="00754E6F"/>
    <w:rsid w:val="00756127"/>
    <w:rsid w:val="00760CAB"/>
    <w:rsid w:val="0076135F"/>
    <w:rsid w:val="0076286A"/>
    <w:rsid w:val="0076341C"/>
    <w:rsid w:val="00763A78"/>
    <w:rsid w:val="007653E8"/>
    <w:rsid w:val="007662B9"/>
    <w:rsid w:val="00766F22"/>
    <w:rsid w:val="007673DA"/>
    <w:rsid w:val="00767DEB"/>
    <w:rsid w:val="00770F21"/>
    <w:rsid w:val="007717E9"/>
    <w:rsid w:val="00772675"/>
    <w:rsid w:val="00772F51"/>
    <w:rsid w:val="00773C49"/>
    <w:rsid w:val="0077481E"/>
    <w:rsid w:val="00774ADE"/>
    <w:rsid w:val="00776D7E"/>
    <w:rsid w:val="0078141D"/>
    <w:rsid w:val="00781CB5"/>
    <w:rsid w:val="00781D13"/>
    <w:rsid w:val="0078329B"/>
    <w:rsid w:val="007844AE"/>
    <w:rsid w:val="00784D38"/>
    <w:rsid w:val="0078614B"/>
    <w:rsid w:val="0078659C"/>
    <w:rsid w:val="00786D3F"/>
    <w:rsid w:val="00787E44"/>
    <w:rsid w:val="00790C2B"/>
    <w:rsid w:val="0079102C"/>
    <w:rsid w:val="007931BE"/>
    <w:rsid w:val="007942EF"/>
    <w:rsid w:val="00794411"/>
    <w:rsid w:val="007950BC"/>
    <w:rsid w:val="00797858"/>
    <w:rsid w:val="007A080A"/>
    <w:rsid w:val="007A442A"/>
    <w:rsid w:val="007B0ADE"/>
    <w:rsid w:val="007B1473"/>
    <w:rsid w:val="007B4E90"/>
    <w:rsid w:val="007B4FD3"/>
    <w:rsid w:val="007B5503"/>
    <w:rsid w:val="007B7525"/>
    <w:rsid w:val="007B7932"/>
    <w:rsid w:val="007B79AB"/>
    <w:rsid w:val="007B7DFC"/>
    <w:rsid w:val="007C04CB"/>
    <w:rsid w:val="007C17AB"/>
    <w:rsid w:val="007C1BC2"/>
    <w:rsid w:val="007C3992"/>
    <w:rsid w:val="007C3F4D"/>
    <w:rsid w:val="007C4912"/>
    <w:rsid w:val="007C4E1E"/>
    <w:rsid w:val="007C5F9D"/>
    <w:rsid w:val="007C633D"/>
    <w:rsid w:val="007C6731"/>
    <w:rsid w:val="007C7D36"/>
    <w:rsid w:val="007D3821"/>
    <w:rsid w:val="007D3A57"/>
    <w:rsid w:val="007D3B1C"/>
    <w:rsid w:val="007D3BD8"/>
    <w:rsid w:val="007D42EC"/>
    <w:rsid w:val="007D4A47"/>
    <w:rsid w:val="007D50F2"/>
    <w:rsid w:val="007D750E"/>
    <w:rsid w:val="007D7612"/>
    <w:rsid w:val="007D7A1B"/>
    <w:rsid w:val="007D7C0B"/>
    <w:rsid w:val="007E0D2F"/>
    <w:rsid w:val="007E189C"/>
    <w:rsid w:val="007E27EE"/>
    <w:rsid w:val="007E2CE1"/>
    <w:rsid w:val="007E3EDA"/>
    <w:rsid w:val="007E6EB8"/>
    <w:rsid w:val="007E7474"/>
    <w:rsid w:val="007F08ED"/>
    <w:rsid w:val="007F0AA3"/>
    <w:rsid w:val="007F0ED6"/>
    <w:rsid w:val="007F2EEF"/>
    <w:rsid w:val="007F3C46"/>
    <w:rsid w:val="007F4FE6"/>
    <w:rsid w:val="007F7066"/>
    <w:rsid w:val="007F75A3"/>
    <w:rsid w:val="00804039"/>
    <w:rsid w:val="008040CB"/>
    <w:rsid w:val="008045B5"/>
    <w:rsid w:val="0080798C"/>
    <w:rsid w:val="0081119B"/>
    <w:rsid w:val="00811512"/>
    <w:rsid w:val="00811592"/>
    <w:rsid w:val="00811B5D"/>
    <w:rsid w:val="00812677"/>
    <w:rsid w:val="00814424"/>
    <w:rsid w:val="00814CC3"/>
    <w:rsid w:val="0081529C"/>
    <w:rsid w:val="0081601F"/>
    <w:rsid w:val="008163F2"/>
    <w:rsid w:val="0081794D"/>
    <w:rsid w:val="008208AA"/>
    <w:rsid w:val="00824584"/>
    <w:rsid w:val="00824921"/>
    <w:rsid w:val="00825E62"/>
    <w:rsid w:val="00826BB7"/>
    <w:rsid w:val="00826FE2"/>
    <w:rsid w:val="0083056C"/>
    <w:rsid w:val="00830F80"/>
    <w:rsid w:val="00831E1D"/>
    <w:rsid w:val="008325D1"/>
    <w:rsid w:val="00833AD1"/>
    <w:rsid w:val="00836D0C"/>
    <w:rsid w:val="00840012"/>
    <w:rsid w:val="00840D98"/>
    <w:rsid w:val="00841F3A"/>
    <w:rsid w:val="00842FC1"/>
    <w:rsid w:val="008434B0"/>
    <w:rsid w:val="008438C9"/>
    <w:rsid w:val="00843984"/>
    <w:rsid w:val="00844681"/>
    <w:rsid w:val="0084485F"/>
    <w:rsid w:val="008457BC"/>
    <w:rsid w:val="0084587D"/>
    <w:rsid w:val="00845C50"/>
    <w:rsid w:val="008469EC"/>
    <w:rsid w:val="008478BF"/>
    <w:rsid w:val="00850433"/>
    <w:rsid w:val="008510E7"/>
    <w:rsid w:val="00853263"/>
    <w:rsid w:val="00854C2C"/>
    <w:rsid w:val="008553D3"/>
    <w:rsid w:val="00855C24"/>
    <w:rsid w:val="0085724E"/>
    <w:rsid w:val="008576AF"/>
    <w:rsid w:val="00860168"/>
    <w:rsid w:val="00860241"/>
    <w:rsid w:val="00860B23"/>
    <w:rsid w:val="00860DC3"/>
    <w:rsid w:val="00863746"/>
    <w:rsid w:val="008637B1"/>
    <w:rsid w:val="008640B7"/>
    <w:rsid w:val="0086413A"/>
    <w:rsid w:val="00864275"/>
    <w:rsid w:val="00865BA3"/>
    <w:rsid w:val="00870B35"/>
    <w:rsid w:val="00872450"/>
    <w:rsid w:val="00873A2F"/>
    <w:rsid w:val="008768A7"/>
    <w:rsid w:val="0088014F"/>
    <w:rsid w:val="008808A9"/>
    <w:rsid w:val="00880DE6"/>
    <w:rsid w:val="00883ED5"/>
    <w:rsid w:val="0088426F"/>
    <w:rsid w:val="0088660F"/>
    <w:rsid w:val="00887723"/>
    <w:rsid w:val="00891039"/>
    <w:rsid w:val="0089169F"/>
    <w:rsid w:val="00892570"/>
    <w:rsid w:val="008925B3"/>
    <w:rsid w:val="00895198"/>
    <w:rsid w:val="008969FD"/>
    <w:rsid w:val="00896E73"/>
    <w:rsid w:val="008A13E3"/>
    <w:rsid w:val="008A1CF9"/>
    <w:rsid w:val="008A222F"/>
    <w:rsid w:val="008A2741"/>
    <w:rsid w:val="008A2A27"/>
    <w:rsid w:val="008A2A56"/>
    <w:rsid w:val="008A3106"/>
    <w:rsid w:val="008A3362"/>
    <w:rsid w:val="008A489D"/>
    <w:rsid w:val="008A5897"/>
    <w:rsid w:val="008A7B00"/>
    <w:rsid w:val="008B0976"/>
    <w:rsid w:val="008B0C84"/>
    <w:rsid w:val="008B0D51"/>
    <w:rsid w:val="008B2762"/>
    <w:rsid w:val="008B2A8F"/>
    <w:rsid w:val="008B37CC"/>
    <w:rsid w:val="008B4307"/>
    <w:rsid w:val="008B54B9"/>
    <w:rsid w:val="008C3E17"/>
    <w:rsid w:val="008C7447"/>
    <w:rsid w:val="008C76A4"/>
    <w:rsid w:val="008C7CEB"/>
    <w:rsid w:val="008D0BC3"/>
    <w:rsid w:val="008D1F24"/>
    <w:rsid w:val="008D27E1"/>
    <w:rsid w:val="008D43E0"/>
    <w:rsid w:val="008D4AA2"/>
    <w:rsid w:val="008D4E5D"/>
    <w:rsid w:val="008D587E"/>
    <w:rsid w:val="008D79E3"/>
    <w:rsid w:val="008E07BD"/>
    <w:rsid w:val="008E13E3"/>
    <w:rsid w:val="008E1E57"/>
    <w:rsid w:val="008E31FE"/>
    <w:rsid w:val="008E3330"/>
    <w:rsid w:val="008E4E82"/>
    <w:rsid w:val="008E4FBE"/>
    <w:rsid w:val="008E6A24"/>
    <w:rsid w:val="008E6EF4"/>
    <w:rsid w:val="008F04FC"/>
    <w:rsid w:val="008F1ABF"/>
    <w:rsid w:val="008F23E9"/>
    <w:rsid w:val="008F26B0"/>
    <w:rsid w:val="008F2CC5"/>
    <w:rsid w:val="008F3929"/>
    <w:rsid w:val="008F3B73"/>
    <w:rsid w:val="008F4FCC"/>
    <w:rsid w:val="008F52E3"/>
    <w:rsid w:val="008F59A7"/>
    <w:rsid w:val="008F63D7"/>
    <w:rsid w:val="008F640B"/>
    <w:rsid w:val="008F77DE"/>
    <w:rsid w:val="0090063C"/>
    <w:rsid w:val="00900AC6"/>
    <w:rsid w:val="009014A4"/>
    <w:rsid w:val="00902724"/>
    <w:rsid w:val="0090282E"/>
    <w:rsid w:val="00903328"/>
    <w:rsid w:val="009058B3"/>
    <w:rsid w:val="009058D3"/>
    <w:rsid w:val="0090599F"/>
    <w:rsid w:val="00905B88"/>
    <w:rsid w:val="009060F1"/>
    <w:rsid w:val="0090734C"/>
    <w:rsid w:val="00910DEA"/>
    <w:rsid w:val="00911E8C"/>
    <w:rsid w:val="00914F95"/>
    <w:rsid w:val="00915D07"/>
    <w:rsid w:val="00915DD2"/>
    <w:rsid w:val="00917C37"/>
    <w:rsid w:val="00920350"/>
    <w:rsid w:val="00920FA6"/>
    <w:rsid w:val="00925707"/>
    <w:rsid w:val="00925828"/>
    <w:rsid w:val="00925C2A"/>
    <w:rsid w:val="00926FCE"/>
    <w:rsid w:val="00927DEF"/>
    <w:rsid w:val="00931C4B"/>
    <w:rsid w:val="00933BF6"/>
    <w:rsid w:val="00934170"/>
    <w:rsid w:val="009351D9"/>
    <w:rsid w:val="00935BF7"/>
    <w:rsid w:val="009367C9"/>
    <w:rsid w:val="009376DF"/>
    <w:rsid w:val="0093772B"/>
    <w:rsid w:val="00941457"/>
    <w:rsid w:val="0094209B"/>
    <w:rsid w:val="00942390"/>
    <w:rsid w:val="009423EB"/>
    <w:rsid w:val="0094280C"/>
    <w:rsid w:val="00942BE0"/>
    <w:rsid w:val="00943806"/>
    <w:rsid w:val="00944FD5"/>
    <w:rsid w:val="00945F70"/>
    <w:rsid w:val="0094621D"/>
    <w:rsid w:val="00946BAB"/>
    <w:rsid w:val="009515C0"/>
    <w:rsid w:val="0095197B"/>
    <w:rsid w:val="009521EB"/>
    <w:rsid w:val="0095363F"/>
    <w:rsid w:val="009542BD"/>
    <w:rsid w:val="009543E8"/>
    <w:rsid w:val="00955C0B"/>
    <w:rsid w:val="00957A89"/>
    <w:rsid w:val="00957E56"/>
    <w:rsid w:val="00963102"/>
    <w:rsid w:val="00964884"/>
    <w:rsid w:val="00965665"/>
    <w:rsid w:val="00965D10"/>
    <w:rsid w:val="00966466"/>
    <w:rsid w:val="00967E23"/>
    <w:rsid w:val="00970728"/>
    <w:rsid w:val="0097164E"/>
    <w:rsid w:val="009717E4"/>
    <w:rsid w:val="009732C2"/>
    <w:rsid w:val="009737B8"/>
    <w:rsid w:val="0097497D"/>
    <w:rsid w:val="009758F0"/>
    <w:rsid w:val="009765D5"/>
    <w:rsid w:val="00977F3A"/>
    <w:rsid w:val="00980E0E"/>
    <w:rsid w:val="00982754"/>
    <w:rsid w:val="009829C5"/>
    <w:rsid w:val="00982DB6"/>
    <w:rsid w:val="009834FE"/>
    <w:rsid w:val="00983A58"/>
    <w:rsid w:val="00983AA1"/>
    <w:rsid w:val="009842F1"/>
    <w:rsid w:val="009849C8"/>
    <w:rsid w:val="0098539D"/>
    <w:rsid w:val="009904B4"/>
    <w:rsid w:val="009923CB"/>
    <w:rsid w:val="00992448"/>
    <w:rsid w:val="0099287C"/>
    <w:rsid w:val="00992C9E"/>
    <w:rsid w:val="00992D8F"/>
    <w:rsid w:val="00994512"/>
    <w:rsid w:val="0099562D"/>
    <w:rsid w:val="00995A14"/>
    <w:rsid w:val="009976BE"/>
    <w:rsid w:val="00997725"/>
    <w:rsid w:val="00997ED3"/>
    <w:rsid w:val="009A02AA"/>
    <w:rsid w:val="009A055C"/>
    <w:rsid w:val="009A0B74"/>
    <w:rsid w:val="009A134A"/>
    <w:rsid w:val="009A2521"/>
    <w:rsid w:val="009A41CB"/>
    <w:rsid w:val="009A4224"/>
    <w:rsid w:val="009A666D"/>
    <w:rsid w:val="009A6C34"/>
    <w:rsid w:val="009A6E8F"/>
    <w:rsid w:val="009A7863"/>
    <w:rsid w:val="009B06A1"/>
    <w:rsid w:val="009B08C6"/>
    <w:rsid w:val="009B2272"/>
    <w:rsid w:val="009B4A09"/>
    <w:rsid w:val="009B5447"/>
    <w:rsid w:val="009B60C0"/>
    <w:rsid w:val="009B7D76"/>
    <w:rsid w:val="009C03A1"/>
    <w:rsid w:val="009C1449"/>
    <w:rsid w:val="009C17FB"/>
    <w:rsid w:val="009C1E7E"/>
    <w:rsid w:val="009C2360"/>
    <w:rsid w:val="009C4BFE"/>
    <w:rsid w:val="009C5C01"/>
    <w:rsid w:val="009C5D45"/>
    <w:rsid w:val="009C6F4A"/>
    <w:rsid w:val="009D0679"/>
    <w:rsid w:val="009D302B"/>
    <w:rsid w:val="009D483D"/>
    <w:rsid w:val="009D7F3B"/>
    <w:rsid w:val="009E104A"/>
    <w:rsid w:val="009E3E0D"/>
    <w:rsid w:val="009E3FB8"/>
    <w:rsid w:val="009E5D4D"/>
    <w:rsid w:val="009E5ED1"/>
    <w:rsid w:val="009E6430"/>
    <w:rsid w:val="009E6C7A"/>
    <w:rsid w:val="009E7168"/>
    <w:rsid w:val="009E7716"/>
    <w:rsid w:val="009E7B15"/>
    <w:rsid w:val="009F09B1"/>
    <w:rsid w:val="009F0BA8"/>
    <w:rsid w:val="009F1303"/>
    <w:rsid w:val="009F3923"/>
    <w:rsid w:val="009F5AF0"/>
    <w:rsid w:val="009F5ECC"/>
    <w:rsid w:val="009F6CD2"/>
    <w:rsid w:val="009F7F2D"/>
    <w:rsid w:val="00A00693"/>
    <w:rsid w:val="00A011F3"/>
    <w:rsid w:val="00A022D1"/>
    <w:rsid w:val="00A0236B"/>
    <w:rsid w:val="00A0273B"/>
    <w:rsid w:val="00A04BC1"/>
    <w:rsid w:val="00A0652C"/>
    <w:rsid w:val="00A06E70"/>
    <w:rsid w:val="00A06F6C"/>
    <w:rsid w:val="00A103DD"/>
    <w:rsid w:val="00A106A5"/>
    <w:rsid w:val="00A11117"/>
    <w:rsid w:val="00A113D1"/>
    <w:rsid w:val="00A13BB4"/>
    <w:rsid w:val="00A15031"/>
    <w:rsid w:val="00A17EB7"/>
    <w:rsid w:val="00A212E2"/>
    <w:rsid w:val="00A21850"/>
    <w:rsid w:val="00A21D17"/>
    <w:rsid w:val="00A2224B"/>
    <w:rsid w:val="00A224B2"/>
    <w:rsid w:val="00A22940"/>
    <w:rsid w:val="00A234F0"/>
    <w:rsid w:val="00A24804"/>
    <w:rsid w:val="00A2597A"/>
    <w:rsid w:val="00A27469"/>
    <w:rsid w:val="00A30B42"/>
    <w:rsid w:val="00A31F50"/>
    <w:rsid w:val="00A31F5B"/>
    <w:rsid w:val="00A3341A"/>
    <w:rsid w:val="00A33777"/>
    <w:rsid w:val="00A34D34"/>
    <w:rsid w:val="00A35F5B"/>
    <w:rsid w:val="00A37B0E"/>
    <w:rsid w:val="00A37E7C"/>
    <w:rsid w:val="00A44DCB"/>
    <w:rsid w:val="00A45D36"/>
    <w:rsid w:val="00A476EB"/>
    <w:rsid w:val="00A47B55"/>
    <w:rsid w:val="00A505CB"/>
    <w:rsid w:val="00A50641"/>
    <w:rsid w:val="00A5207E"/>
    <w:rsid w:val="00A53402"/>
    <w:rsid w:val="00A53502"/>
    <w:rsid w:val="00A5409D"/>
    <w:rsid w:val="00A55B36"/>
    <w:rsid w:val="00A55C14"/>
    <w:rsid w:val="00A57D0C"/>
    <w:rsid w:val="00A61A96"/>
    <w:rsid w:val="00A6252A"/>
    <w:rsid w:val="00A62958"/>
    <w:rsid w:val="00A63835"/>
    <w:rsid w:val="00A65384"/>
    <w:rsid w:val="00A658A1"/>
    <w:rsid w:val="00A66320"/>
    <w:rsid w:val="00A7084A"/>
    <w:rsid w:val="00A70B6C"/>
    <w:rsid w:val="00A70BFC"/>
    <w:rsid w:val="00A70F1F"/>
    <w:rsid w:val="00A710AE"/>
    <w:rsid w:val="00A716FE"/>
    <w:rsid w:val="00A72761"/>
    <w:rsid w:val="00A73F9C"/>
    <w:rsid w:val="00A75301"/>
    <w:rsid w:val="00A766F2"/>
    <w:rsid w:val="00A77328"/>
    <w:rsid w:val="00A81286"/>
    <w:rsid w:val="00A8556F"/>
    <w:rsid w:val="00A85A06"/>
    <w:rsid w:val="00A86B31"/>
    <w:rsid w:val="00A901E0"/>
    <w:rsid w:val="00A90364"/>
    <w:rsid w:val="00A91217"/>
    <w:rsid w:val="00A91585"/>
    <w:rsid w:val="00A930F3"/>
    <w:rsid w:val="00A93D73"/>
    <w:rsid w:val="00A941FB"/>
    <w:rsid w:val="00A94274"/>
    <w:rsid w:val="00A958CF"/>
    <w:rsid w:val="00A95A2E"/>
    <w:rsid w:val="00A95FFE"/>
    <w:rsid w:val="00A9664B"/>
    <w:rsid w:val="00A9703A"/>
    <w:rsid w:val="00AA0402"/>
    <w:rsid w:val="00AA1739"/>
    <w:rsid w:val="00AA2688"/>
    <w:rsid w:val="00AA2DC8"/>
    <w:rsid w:val="00AA2E98"/>
    <w:rsid w:val="00AA5BE7"/>
    <w:rsid w:val="00AA5F76"/>
    <w:rsid w:val="00AA6DD5"/>
    <w:rsid w:val="00AA6E20"/>
    <w:rsid w:val="00AA6F88"/>
    <w:rsid w:val="00AA753F"/>
    <w:rsid w:val="00AA7D4E"/>
    <w:rsid w:val="00AA7F65"/>
    <w:rsid w:val="00AB0C54"/>
    <w:rsid w:val="00AB1A91"/>
    <w:rsid w:val="00AB201A"/>
    <w:rsid w:val="00AB3B8F"/>
    <w:rsid w:val="00AB3DD0"/>
    <w:rsid w:val="00AB411E"/>
    <w:rsid w:val="00AB4A1F"/>
    <w:rsid w:val="00AB5E38"/>
    <w:rsid w:val="00AC12AE"/>
    <w:rsid w:val="00AC2756"/>
    <w:rsid w:val="00AC4B3E"/>
    <w:rsid w:val="00AC6059"/>
    <w:rsid w:val="00AC6647"/>
    <w:rsid w:val="00AC682D"/>
    <w:rsid w:val="00AC7850"/>
    <w:rsid w:val="00AD063E"/>
    <w:rsid w:val="00AD130F"/>
    <w:rsid w:val="00AD302D"/>
    <w:rsid w:val="00AD3AFC"/>
    <w:rsid w:val="00AD7A6C"/>
    <w:rsid w:val="00AE375E"/>
    <w:rsid w:val="00AE4127"/>
    <w:rsid w:val="00AE556A"/>
    <w:rsid w:val="00AE5A1A"/>
    <w:rsid w:val="00AE6568"/>
    <w:rsid w:val="00AF120A"/>
    <w:rsid w:val="00AF3986"/>
    <w:rsid w:val="00AF65D3"/>
    <w:rsid w:val="00AF6AD7"/>
    <w:rsid w:val="00AF74E2"/>
    <w:rsid w:val="00AF7624"/>
    <w:rsid w:val="00AF7F0B"/>
    <w:rsid w:val="00B009C4"/>
    <w:rsid w:val="00B01219"/>
    <w:rsid w:val="00B025BC"/>
    <w:rsid w:val="00B037CC"/>
    <w:rsid w:val="00B04721"/>
    <w:rsid w:val="00B06301"/>
    <w:rsid w:val="00B0693A"/>
    <w:rsid w:val="00B06B22"/>
    <w:rsid w:val="00B06EFF"/>
    <w:rsid w:val="00B10B6C"/>
    <w:rsid w:val="00B119E0"/>
    <w:rsid w:val="00B12256"/>
    <w:rsid w:val="00B169EB"/>
    <w:rsid w:val="00B20429"/>
    <w:rsid w:val="00B20637"/>
    <w:rsid w:val="00B20CA6"/>
    <w:rsid w:val="00B211A5"/>
    <w:rsid w:val="00B21237"/>
    <w:rsid w:val="00B21C7A"/>
    <w:rsid w:val="00B21FEA"/>
    <w:rsid w:val="00B22AC4"/>
    <w:rsid w:val="00B22ACC"/>
    <w:rsid w:val="00B23A41"/>
    <w:rsid w:val="00B25438"/>
    <w:rsid w:val="00B258B1"/>
    <w:rsid w:val="00B2665A"/>
    <w:rsid w:val="00B2680F"/>
    <w:rsid w:val="00B30058"/>
    <w:rsid w:val="00B301E3"/>
    <w:rsid w:val="00B3174B"/>
    <w:rsid w:val="00B32E57"/>
    <w:rsid w:val="00B3360A"/>
    <w:rsid w:val="00B3377F"/>
    <w:rsid w:val="00B353BA"/>
    <w:rsid w:val="00B36977"/>
    <w:rsid w:val="00B370EB"/>
    <w:rsid w:val="00B378FF"/>
    <w:rsid w:val="00B40BF5"/>
    <w:rsid w:val="00B4128C"/>
    <w:rsid w:val="00B42028"/>
    <w:rsid w:val="00B42E98"/>
    <w:rsid w:val="00B42FD3"/>
    <w:rsid w:val="00B472F8"/>
    <w:rsid w:val="00B52333"/>
    <w:rsid w:val="00B5305B"/>
    <w:rsid w:val="00B53682"/>
    <w:rsid w:val="00B5403C"/>
    <w:rsid w:val="00B55B34"/>
    <w:rsid w:val="00B55D3C"/>
    <w:rsid w:val="00B55F51"/>
    <w:rsid w:val="00B5658C"/>
    <w:rsid w:val="00B569F2"/>
    <w:rsid w:val="00B56B01"/>
    <w:rsid w:val="00B6035D"/>
    <w:rsid w:val="00B625D4"/>
    <w:rsid w:val="00B644F6"/>
    <w:rsid w:val="00B665B8"/>
    <w:rsid w:val="00B70C71"/>
    <w:rsid w:val="00B70E4A"/>
    <w:rsid w:val="00B72053"/>
    <w:rsid w:val="00B72D1A"/>
    <w:rsid w:val="00B74ACC"/>
    <w:rsid w:val="00B74B70"/>
    <w:rsid w:val="00B80DB8"/>
    <w:rsid w:val="00B812C6"/>
    <w:rsid w:val="00B81B10"/>
    <w:rsid w:val="00B8244A"/>
    <w:rsid w:val="00B83788"/>
    <w:rsid w:val="00B85464"/>
    <w:rsid w:val="00B8601D"/>
    <w:rsid w:val="00B86808"/>
    <w:rsid w:val="00B87856"/>
    <w:rsid w:val="00B932DA"/>
    <w:rsid w:val="00B93F80"/>
    <w:rsid w:val="00B97B52"/>
    <w:rsid w:val="00BA02BF"/>
    <w:rsid w:val="00BA0F61"/>
    <w:rsid w:val="00BA286B"/>
    <w:rsid w:val="00BA3BC5"/>
    <w:rsid w:val="00BA562B"/>
    <w:rsid w:val="00BA60F1"/>
    <w:rsid w:val="00BA6C61"/>
    <w:rsid w:val="00BA743C"/>
    <w:rsid w:val="00BA7513"/>
    <w:rsid w:val="00BA787E"/>
    <w:rsid w:val="00BA7C6D"/>
    <w:rsid w:val="00BB0780"/>
    <w:rsid w:val="00BB0EE9"/>
    <w:rsid w:val="00BB2429"/>
    <w:rsid w:val="00BB3F19"/>
    <w:rsid w:val="00BB4546"/>
    <w:rsid w:val="00BB4725"/>
    <w:rsid w:val="00BB48A8"/>
    <w:rsid w:val="00BB5614"/>
    <w:rsid w:val="00BB5F89"/>
    <w:rsid w:val="00BB6577"/>
    <w:rsid w:val="00BB753C"/>
    <w:rsid w:val="00BB7CD2"/>
    <w:rsid w:val="00BC0DB0"/>
    <w:rsid w:val="00BC17C2"/>
    <w:rsid w:val="00BC1ADC"/>
    <w:rsid w:val="00BC1BAA"/>
    <w:rsid w:val="00BC2EBD"/>
    <w:rsid w:val="00BC3415"/>
    <w:rsid w:val="00BC3DFF"/>
    <w:rsid w:val="00BC42EF"/>
    <w:rsid w:val="00BC4372"/>
    <w:rsid w:val="00BC5769"/>
    <w:rsid w:val="00BC7479"/>
    <w:rsid w:val="00BD0CA3"/>
    <w:rsid w:val="00BD0DD3"/>
    <w:rsid w:val="00BD147D"/>
    <w:rsid w:val="00BD1CED"/>
    <w:rsid w:val="00BD297A"/>
    <w:rsid w:val="00BD2988"/>
    <w:rsid w:val="00BD345A"/>
    <w:rsid w:val="00BD4BC0"/>
    <w:rsid w:val="00BD59F1"/>
    <w:rsid w:val="00BD5A95"/>
    <w:rsid w:val="00BD60DD"/>
    <w:rsid w:val="00BE28D5"/>
    <w:rsid w:val="00BE31D4"/>
    <w:rsid w:val="00BE5B8D"/>
    <w:rsid w:val="00BE650E"/>
    <w:rsid w:val="00BF0625"/>
    <w:rsid w:val="00BF0941"/>
    <w:rsid w:val="00BF1738"/>
    <w:rsid w:val="00BF222B"/>
    <w:rsid w:val="00BF497A"/>
    <w:rsid w:val="00BF4CB0"/>
    <w:rsid w:val="00BF4F02"/>
    <w:rsid w:val="00BF5F7B"/>
    <w:rsid w:val="00BF7D70"/>
    <w:rsid w:val="00C0017A"/>
    <w:rsid w:val="00C02685"/>
    <w:rsid w:val="00C03BEE"/>
    <w:rsid w:val="00C03D12"/>
    <w:rsid w:val="00C03D6A"/>
    <w:rsid w:val="00C04AEA"/>
    <w:rsid w:val="00C04BCB"/>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2FC"/>
    <w:rsid w:val="00C21A6A"/>
    <w:rsid w:val="00C21C80"/>
    <w:rsid w:val="00C23007"/>
    <w:rsid w:val="00C26654"/>
    <w:rsid w:val="00C26C19"/>
    <w:rsid w:val="00C26FE8"/>
    <w:rsid w:val="00C274EE"/>
    <w:rsid w:val="00C27783"/>
    <w:rsid w:val="00C31D0E"/>
    <w:rsid w:val="00C31F21"/>
    <w:rsid w:val="00C32171"/>
    <w:rsid w:val="00C32A7D"/>
    <w:rsid w:val="00C3323F"/>
    <w:rsid w:val="00C33534"/>
    <w:rsid w:val="00C340BD"/>
    <w:rsid w:val="00C3566C"/>
    <w:rsid w:val="00C377C4"/>
    <w:rsid w:val="00C40779"/>
    <w:rsid w:val="00C40968"/>
    <w:rsid w:val="00C41170"/>
    <w:rsid w:val="00C413E7"/>
    <w:rsid w:val="00C43880"/>
    <w:rsid w:val="00C44CD3"/>
    <w:rsid w:val="00C47158"/>
    <w:rsid w:val="00C5010F"/>
    <w:rsid w:val="00C50885"/>
    <w:rsid w:val="00C50BBC"/>
    <w:rsid w:val="00C516B4"/>
    <w:rsid w:val="00C51A26"/>
    <w:rsid w:val="00C51CE9"/>
    <w:rsid w:val="00C52C54"/>
    <w:rsid w:val="00C52D02"/>
    <w:rsid w:val="00C53053"/>
    <w:rsid w:val="00C53230"/>
    <w:rsid w:val="00C53BC6"/>
    <w:rsid w:val="00C53F96"/>
    <w:rsid w:val="00C557FF"/>
    <w:rsid w:val="00C558B6"/>
    <w:rsid w:val="00C5603B"/>
    <w:rsid w:val="00C56DAF"/>
    <w:rsid w:val="00C576D2"/>
    <w:rsid w:val="00C6084A"/>
    <w:rsid w:val="00C60C3C"/>
    <w:rsid w:val="00C6410D"/>
    <w:rsid w:val="00C64676"/>
    <w:rsid w:val="00C646AD"/>
    <w:rsid w:val="00C647AB"/>
    <w:rsid w:val="00C64F32"/>
    <w:rsid w:val="00C653E9"/>
    <w:rsid w:val="00C65698"/>
    <w:rsid w:val="00C67097"/>
    <w:rsid w:val="00C671E0"/>
    <w:rsid w:val="00C677B8"/>
    <w:rsid w:val="00C70242"/>
    <w:rsid w:val="00C70E21"/>
    <w:rsid w:val="00C723CB"/>
    <w:rsid w:val="00C72732"/>
    <w:rsid w:val="00C72D41"/>
    <w:rsid w:val="00C739EF"/>
    <w:rsid w:val="00C744C8"/>
    <w:rsid w:val="00C777B9"/>
    <w:rsid w:val="00C804A0"/>
    <w:rsid w:val="00C80AE3"/>
    <w:rsid w:val="00C81683"/>
    <w:rsid w:val="00C82757"/>
    <w:rsid w:val="00C83CB7"/>
    <w:rsid w:val="00C841DA"/>
    <w:rsid w:val="00C845F7"/>
    <w:rsid w:val="00C84688"/>
    <w:rsid w:val="00C85F53"/>
    <w:rsid w:val="00C8630E"/>
    <w:rsid w:val="00C87D3B"/>
    <w:rsid w:val="00C92535"/>
    <w:rsid w:val="00C94994"/>
    <w:rsid w:val="00C9722B"/>
    <w:rsid w:val="00C9747A"/>
    <w:rsid w:val="00C974E5"/>
    <w:rsid w:val="00CA0A4D"/>
    <w:rsid w:val="00CA0EAF"/>
    <w:rsid w:val="00CA13E8"/>
    <w:rsid w:val="00CA1D41"/>
    <w:rsid w:val="00CA1F1A"/>
    <w:rsid w:val="00CA2A6F"/>
    <w:rsid w:val="00CA2E0A"/>
    <w:rsid w:val="00CA358C"/>
    <w:rsid w:val="00CA4263"/>
    <w:rsid w:val="00CA5C5D"/>
    <w:rsid w:val="00CA6198"/>
    <w:rsid w:val="00CA6669"/>
    <w:rsid w:val="00CA6C7A"/>
    <w:rsid w:val="00CB07C0"/>
    <w:rsid w:val="00CB0AA4"/>
    <w:rsid w:val="00CB11E9"/>
    <w:rsid w:val="00CB12EA"/>
    <w:rsid w:val="00CB17C5"/>
    <w:rsid w:val="00CB19EF"/>
    <w:rsid w:val="00CB1EB2"/>
    <w:rsid w:val="00CB34B7"/>
    <w:rsid w:val="00CB3BD8"/>
    <w:rsid w:val="00CB3C84"/>
    <w:rsid w:val="00CB3FAE"/>
    <w:rsid w:val="00CB506F"/>
    <w:rsid w:val="00CB5262"/>
    <w:rsid w:val="00CB58D5"/>
    <w:rsid w:val="00CB5C6F"/>
    <w:rsid w:val="00CC0761"/>
    <w:rsid w:val="00CC0CA6"/>
    <w:rsid w:val="00CC169D"/>
    <w:rsid w:val="00CC1784"/>
    <w:rsid w:val="00CC18DD"/>
    <w:rsid w:val="00CC23A0"/>
    <w:rsid w:val="00CC4414"/>
    <w:rsid w:val="00CC73C8"/>
    <w:rsid w:val="00CC73E9"/>
    <w:rsid w:val="00CD135E"/>
    <w:rsid w:val="00CD137F"/>
    <w:rsid w:val="00CD1B78"/>
    <w:rsid w:val="00CD407B"/>
    <w:rsid w:val="00CD4198"/>
    <w:rsid w:val="00CD4A2D"/>
    <w:rsid w:val="00CD5AC4"/>
    <w:rsid w:val="00CD6056"/>
    <w:rsid w:val="00CD68BF"/>
    <w:rsid w:val="00CD6F8F"/>
    <w:rsid w:val="00CD70A7"/>
    <w:rsid w:val="00CE0385"/>
    <w:rsid w:val="00CE1109"/>
    <w:rsid w:val="00CE20F5"/>
    <w:rsid w:val="00CE2237"/>
    <w:rsid w:val="00CE3A22"/>
    <w:rsid w:val="00CE4D5C"/>
    <w:rsid w:val="00CE580A"/>
    <w:rsid w:val="00CE5D1C"/>
    <w:rsid w:val="00CE601E"/>
    <w:rsid w:val="00CE623E"/>
    <w:rsid w:val="00CE7678"/>
    <w:rsid w:val="00CF0474"/>
    <w:rsid w:val="00CF0959"/>
    <w:rsid w:val="00CF16B5"/>
    <w:rsid w:val="00CF19B2"/>
    <w:rsid w:val="00CF1D0A"/>
    <w:rsid w:val="00CF22E8"/>
    <w:rsid w:val="00CF2444"/>
    <w:rsid w:val="00CF2798"/>
    <w:rsid w:val="00CF2C16"/>
    <w:rsid w:val="00CF342C"/>
    <w:rsid w:val="00CF37A5"/>
    <w:rsid w:val="00CF3ADE"/>
    <w:rsid w:val="00CF4EE9"/>
    <w:rsid w:val="00CF5507"/>
    <w:rsid w:val="00CF5898"/>
    <w:rsid w:val="00CF6A6F"/>
    <w:rsid w:val="00CF6F1C"/>
    <w:rsid w:val="00CF75BF"/>
    <w:rsid w:val="00CF779D"/>
    <w:rsid w:val="00CF7F19"/>
    <w:rsid w:val="00D0083B"/>
    <w:rsid w:val="00D010F9"/>
    <w:rsid w:val="00D0168E"/>
    <w:rsid w:val="00D02473"/>
    <w:rsid w:val="00D0668D"/>
    <w:rsid w:val="00D06E48"/>
    <w:rsid w:val="00D06FF6"/>
    <w:rsid w:val="00D0711C"/>
    <w:rsid w:val="00D101F9"/>
    <w:rsid w:val="00D10D4B"/>
    <w:rsid w:val="00D141ED"/>
    <w:rsid w:val="00D14B12"/>
    <w:rsid w:val="00D14D40"/>
    <w:rsid w:val="00D15F95"/>
    <w:rsid w:val="00D16CAB"/>
    <w:rsid w:val="00D17039"/>
    <w:rsid w:val="00D1793C"/>
    <w:rsid w:val="00D208E6"/>
    <w:rsid w:val="00D20D9B"/>
    <w:rsid w:val="00D222DF"/>
    <w:rsid w:val="00D24681"/>
    <w:rsid w:val="00D252C7"/>
    <w:rsid w:val="00D259EB"/>
    <w:rsid w:val="00D25E93"/>
    <w:rsid w:val="00D2604E"/>
    <w:rsid w:val="00D26131"/>
    <w:rsid w:val="00D26EB9"/>
    <w:rsid w:val="00D30398"/>
    <w:rsid w:val="00D307AE"/>
    <w:rsid w:val="00D32B1A"/>
    <w:rsid w:val="00D334A1"/>
    <w:rsid w:val="00D34702"/>
    <w:rsid w:val="00D41834"/>
    <w:rsid w:val="00D424ED"/>
    <w:rsid w:val="00D43CC3"/>
    <w:rsid w:val="00D44E67"/>
    <w:rsid w:val="00D45A0E"/>
    <w:rsid w:val="00D45E64"/>
    <w:rsid w:val="00D507BE"/>
    <w:rsid w:val="00D524A5"/>
    <w:rsid w:val="00D5504E"/>
    <w:rsid w:val="00D561FE"/>
    <w:rsid w:val="00D57CF3"/>
    <w:rsid w:val="00D6032A"/>
    <w:rsid w:val="00D6048A"/>
    <w:rsid w:val="00D6088A"/>
    <w:rsid w:val="00D62553"/>
    <w:rsid w:val="00D63469"/>
    <w:rsid w:val="00D63BB5"/>
    <w:rsid w:val="00D655A5"/>
    <w:rsid w:val="00D65998"/>
    <w:rsid w:val="00D66EF3"/>
    <w:rsid w:val="00D678C2"/>
    <w:rsid w:val="00D70321"/>
    <w:rsid w:val="00D70408"/>
    <w:rsid w:val="00D70A3F"/>
    <w:rsid w:val="00D715DE"/>
    <w:rsid w:val="00D71AC3"/>
    <w:rsid w:val="00D71F75"/>
    <w:rsid w:val="00D71FCB"/>
    <w:rsid w:val="00D73C6D"/>
    <w:rsid w:val="00D74197"/>
    <w:rsid w:val="00D74E24"/>
    <w:rsid w:val="00D756A9"/>
    <w:rsid w:val="00D75772"/>
    <w:rsid w:val="00D75E9E"/>
    <w:rsid w:val="00D76B42"/>
    <w:rsid w:val="00D77F78"/>
    <w:rsid w:val="00D82598"/>
    <w:rsid w:val="00D834FB"/>
    <w:rsid w:val="00D8465B"/>
    <w:rsid w:val="00D85635"/>
    <w:rsid w:val="00D865DC"/>
    <w:rsid w:val="00D87B33"/>
    <w:rsid w:val="00D87E82"/>
    <w:rsid w:val="00D90995"/>
    <w:rsid w:val="00D91925"/>
    <w:rsid w:val="00D91E49"/>
    <w:rsid w:val="00D922A2"/>
    <w:rsid w:val="00D93C81"/>
    <w:rsid w:val="00D954F4"/>
    <w:rsid w:val="00D96092"/>
    <w:rsid w:val="00D96265"/>
    <w:rsid w:val="00D971A6"/>
    <w:rsid w:val="00D976A0"/>
    <w:rsid w:val="00D97F14"/>
    <w:rsid w:val="00DA0AF4"/>
    <w:rsid w:val="00DA1AC6"/>
    <w:rsid w:val="00DA1C7B"/>
    <w:rsid w:val="00DA2435"/>
    <w:rsid w:val="00DA2B59"/>
    <w:rsid w:val="00DA2E62"/>
    <w:rsid w:val="00DA549B"/>
    <w:rsid w:val="00DA5B9F"/>
    <w:rsid w:val="00DA5F1A"/>
    <w:rsid w:val="00DA6275"/>
    <w:rsid w:val="00DA64CB"/>
    <w:rsid w:val="00DA6716"/>
    <w:rsid w:val="00DB0930"/>
    <w:rsid w:val="00DB0C19"/>
    <w:rsid w:val="00DB194C"/>
    <w:rsid w:val="00DB2CC1"/>
    <w:rsid w:val="00DB2FED"/>
    <w:rsid w:val="00DB3B7B"/>
    <w:rsid w:val="00DB4721"/>
    <w:rsid w:val="00DB662C"/>
    <w:rsid w:val="00DB6B84"/>
    <w:rsid w:val="00DB7651"/>
    <w:rsid w:val="00DB7662"/>
    <w:rsid w:val="00DB7C29"/>
    <w:rsid w:val="00DB7F7B"/>
    <w:rsid w:val="00DC0BB4"/>
    <w:rsid w:val="00DC0FEA"/>
    <w:rsid w:val="00DC1859"/>
    <w:rsid w:val="00DC1DA0"/>
    <w:rsid w:val="00DC220A"/>
    <w:rsid w:val="00DC3151"/>
    <w:rsid w:val="00DC49F6"/>
    <w:rsid w:val="00DC4D43"/>
    <w:rsid w:val="00DC75DC"/>
    <w:rsid w:val="00DD21EB"/>
    <w:rsid w:val="00DD315D"/>
    <w:rsid w:val="00DD39A8"/>
    <w:rsid w:val="00DD493B"/>
    <w:rsid w:val="00DD4CAA"/>
    <w:rsid w:val="00DD54E8"/>
    <w:rsid w:val="00DD5D95"/>
    <w:rsid w:val="00DD5E74"/>
    <w:rsid w:val="00DD6B4A"/>
    <w:rsid w:val="00DD7104"/>
    <w:rsid w:val="00DE0EA2"/>
    <w:rsid w:val="00DE12CB"/>
    <w:rsid w:val="00DE15D6"/>
    <w:rsid w:val="00DE1B19"/>
    <w:rsid w:val="00DE2F0C"/>
    <w:rsid w:val="00DE307C"/>
    <w:rsid w:val="00DE323D"/>
    <w:rsid w:val="00DE4110"/>
    <w:rsid w:val="00DE518C"/>
    <w:rsid w:val="00DE75AE"/>
    <w:rsid w:val="00DF0509"/>
    <w:rsid w:val="00DF39D7"/>
    <w:rsid w:val="00DF59F7"/>
    <w:rsid w:val="00DF5CF5"/>
    <w:rsid w:val="00DF6D40"/>
    <w:rsid w:val="00DF7040"/>
    <w:rsid w:val="00DF7371"/>
    <w:rsid w:val="00E004F4"/>
    <w:rsid w:val="00E02AEE"/>
    <w:rsid w:val="00E034FF"/>
    <w:rsid w:val="00E03A92"/>
    <w:rsid w:val="00E03E13"/>
    <w:rsid w:val="00E040AD"/>
    <w:rsid w:val="00E0446F"/>
    <w:rsid w:val="00E04A1B"/>
    <w:rsid w:val="00E05C7E"/>
    <w:rsid w:val="00E06813"/>
    <w:rsid w:val="00E074D9"/>
    <w:rsid w:val="00E13227"/>
    <w:rsid w:val="00E1723D"/>
    <w:rsid w:val="00E20FA8"/>
    <w:rsid w:val="00E2125D"/>
    <w:rsid w:val="00E21B7F"/>
    <w:rsid w:val="00E22687"/>
    <w:rsid w:val="00E244DF"/>
    <w:rsid w:val="00E27285"/>
    <w:rsid w:val="00E30806"/>
    <w:rsid w:val="00E3116A"/>
    <w:rsid w:val="00E35689"/>
    <w:rsid w:val="00E378B7"/>
    <w:rsid w:val="00E424AC"/>
    <w:rsid w:val="00E42872"/>
    <w:rsid w:val="00E42995"/>
    <w:rsid w:val="00E43379"/>
    <w:rsid w:val="00E44650"/>
    <w:rsid w:val="00E44C52"/>
    <w:rsid w:val="00E472CB"/>
    <w:rsid w:val="00E5001A"/>
    <w:rsid w:val="00E50A4D"/>
    <w:rsid w:val="00E50EE4"/>
    <w:rsid w:val="00E5270D"/>
    <w:rsid w:val="00E53691"/>
    <w:rsid w:val="00E5413D"/>
    <w:rsid w:val="00E5508A"/>
    <w:rsid w:val="00E55E8D"/>
    <w:rsid w:val="00E56984"/>
    <w:rsid w:val="00E604EC"/>
    <w:rsid w:val="00E60EFC"/>
    <w:rsid w:val="00E61B4A"/>
    <w:rsid w:val="00E62250"/>
    <w:rsid w:val="00E638DD"/>
    <w:rsid w:val="00E63C02"/>
    <w:rsid w:val="00E650F3"/>
    <w:rsid w:val="00E674B6"/>
    <w:rsid w:val="00E70453"/>
    <w:rsid w:val="00E70B47"/>
    <w:rsid w:val="00E70CAE"/>
    <w:rsid w:val="00E71338"/>
    <w:rsid w:val="00E72EE7"/>
    <w:rsid w:val="00E7377F"/>
    <w:rsid w:val="00E73F31"/>
    <w:rsid w:val="00E749BD"/>
    <w:rsid w:val="00E751DD"/>
    <w:rsid w:val="00E75654"/>
    <w:rsid w:val="00E75913"/>
    <w:rsid w:val="00E760E7"/>
    <w:rsid w:val="00E761CD"/>
    <w:rsid w:val="00E76BB8"/>
    <w:rsid w:val="00E77D8F"/>
    <w:rsid w:val="00E808A2"/>
    <w:rsid w:val="00E815D1"/>
    <w:rsid w:val="00E81B9D"/>
    <w:rsid w:val="00E81D40"/>
    <w:rsid w:val="00E827C1"/>
    <w:rsid w:val="00E83ED8"/>
    <w:rsid w:val="00E83F57"/>
    <w:rsid w:val="00E8450E"/>
    <w:rsid w:val="00E8494C"/>
    <w:rsid w:val="00E85877"/>
    <w:rsid w:val="00E87DC8"/>
    <w:rsid w:val="00E92D0C"/>
    <w:rsid w:val="00E934C7"/>
    <w:rsid w:val="00E9457F"/>
    <w:rsid w:val="00E945DD"/>
    <w:rsid w:val="00E954AF"/>
    <w:rsid w:val="00E968AF"/>
    <w:rsid w:val="00EA19C2"/>
    <w:rsid w:val="00EA1BB4"/>
    <w:rsid w:val="00EA3A56"/>
    <w:rsid w:val="00EA3D54"/>
    <w:rsid w:val="00EA3FBA"/>
    <w:rsid w:val="00EA4404"/>
    <w:rsid w:val="00EA4675"/>
    <w:rsid w:val="00EA5F87"/>
    <w:rsid w:val="00EA72A9"/>
    <w:rsid w:val="00EB0BE3"/>
    <w:rsid w:val="00EB1B5C"/>
    <w:rsid w:val="00EB497A"/>
    <w:rsid w:val="00EB5880"/>
    <w:rsid w:val="00EC0394"/>
    <w:rsid w:val="00EC0F0C"/>
    <w:rsid w:val="00EC25F2"/>
    <w:rsid w:val="00EC4239"/>
    <w:rsid w:val="00EC46DF"/>
    <w:rsid w:val="00EC5F0D"/>
    <w:rsid w:val="00EC7890"/>
    <w:rsid w:val="00EC7C20"/>
    <w:rsid w:val="00ED1218"/>
    <w:rsid w:val="00ED13C6"/>
    <w:rsid w:val="00ED13FA"/>
    <w:rsid w:val="00ED36DF"/>
    <w:rsid w:val="00ED46AE"/>
    <w:rsid w:val="00ED57D0"/>
    <w:rsid w:val="00ED7FA5"/>
    <w:rsid w:val="00EE11D8"/>
    <w:rsid w:val="00EE21F5"/>
    <w:rsid w:val="00EE2A52"/>
    <w:rsid w:val="00EE2E9D"/>
    <w:rsid w:val="00EE3B65"/>
    <w:rsid w:val="00EE4B1C"/>
    <w:rsid w:val="00EE5D19"/>
    <w:rsid w:val="00EE65C1"/>
    <w:rsid w:val="00EE6FE9"/>
    <w:rsid w:val="00EF07E8"/>
    <w:rsid w:val="00EF0AD6"/>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92B"/>
    <w:rsid w:val="00F15A39"/>
    <w:rsid w:val="00F16560"/>
    <w:rsid w:val="00F1706E"/>
    <w:rsid w:val="00F20236"/>
    <w:rsid w:val="00F2078E"/>
    <w:rsid w:val="00F21445"/>
    <w:rsid w:val="00F21AFF"/>
    <w:rsid w:val="00F21EA3"/>
    <w:rsid w:val="00F222CD"/>
    <w:rsid w:val="00F222E4"/>
    <w:rsid w:val="00F22F83"/>
    <w:rsid w:val="00F231F5"/>
    <w:rsid w:val="00F232AF"/>
    <w:rsid w:val="00F238FB"/>
    <w:rsid w:val="00F249AF"/>
    <w:rsid w:val="00F25431"/>
    <w:rsid w:val="00F26276"/>
    <w:rsid w:val="00F26E40"/>
    <w:rsid w:val="00F31152"/>
    <w:rsid w:val="00F314A4"/>
    <w:rsid w:val="00F32A62"/>
    <w:rsid w:val="00F33745"/>
    <w:rsid w:val="00F34CA5"/>
    <w:rsid w:val="00F34D89"/>
    <w:rsid w:val="00F372D4"/>
    <w:rsid w:val="00F3757A"/>
    <w:rsid w:val="00F41231"/>
    <w:rsid w:val="00F41330"/>
    <w:rsid w:val="00F414E7"/>
    <w:rsid w:val="00F41653"/>
    <w:rsid w:val="00F41760"/>
    <w:rsid w:val="00F4242E"/>
    <w:rsid w:val="00F42B85"/>
    <w:rsid w:val="00F43BD6"/>
    <w:rsid w:val="00F43CE0"/>
    <w:rsid w:val="00F44498"/>
    <w:rsid w:val="00F44BAF"/>
    <w:rsid w:val="00F4597E"/>
    <w:rsid w:val="00F46F42"/>
    <w:rsid w:val="00F473B8"/>
    <w:rsid w:val="00F475A3"/>
    <w:rsid w:val="00F47FFD"/>
    <w:rsid w:val="00F50699"/>
    <w:rsid w:val="00F50833"/>
    <w:rsid w:val="00F51F6B"/>
    <w:rsid w:val="00F52576"/>
    <w:rsid w:val="00F52C17"/>
    <w:rsid w:val="00F5351F"/>
    <w:rsid w:val="00F54A86"/>
    <w:rsid w:val="00F559B3"/>
    <w:rsid w:val="00F56301"/>
    <w:rsid w:val="00F572CE"/>
    <w:rsid w:val="00F57312"/>
    <w:rsid w:val="00F57FC9"/>
    <w:rsid w:val="00F61484"/>
    <w:rsid w:val="00F62601"/>
    <w:rsid w:val="00F644E8"/>
    <w:rsid w:val="00F70034"/>
    <w:rsid w:val="00F707C0"/>
    <w:rsid w:val="00F714AA"/>
    <w:rsid w:val="00F7194C"/>
    <w:rsid w:val="00F71D93"/>
    <w:rsid w:val="00F7375F"/>
    <w:rsid w:val="00F73998"/>
    <w:rsid w:val="00F74986"/>
    <w:rsid w:val="00F755E4"/>
    <w:rsid w:val="00F75AE8"/>
    <w:rsid w:val="00F80B8D"/>
    <w:rsid w:val="00F80DE0"/>
    <w:rsid w:val="00F8158D"/>
    <w:rsid w:val="00F82220"/>
    <w:rsid w:val="00F831D9"/>
    <w:rsid w:val="00F84140"/>
    <w:rsid w:val="00F8458A"/>
    <w:rsid w:val="00F90704"/>
    <w:rsid w:val="00F916A9"/>
    <w:rsid w:val="00F918C1"/>
    <w:rsid w:val="00F93307"/>
    <w:rsid w:val="00F937CB"/>
    <w:rsid w:val="00F9406E"/>
    <w:rsid w:val="00F953D5"/>
    <w:rsid w:val="00F9687A"/>
    <w:rsid w:val="00F9726F"/>
    <w:rsid w:val="00F9751B"/>
    <w:rsid w:val="00F979BE"/>
    <w:rsid w:val="00FA1764"/>
    <w:rsid w:val="00FA1E33"/>
    <w:rsid w:val="00FA2D4A"/>
    <w:rsid w:val="00FA2EDB"/>
    <w:rsid w:val="00FA4393"/>
    <w:rsid w:val="00FA5DE3"/>
    <w:rsid w:val="00FA639A"/>
    <w:rsid w:val="00FA65A6"/>
    <w:rsid w:val="00FA74BE"/>
    <w:rsid w:val="00FB03BA"/>
    <w:rsid w:val="00FB1607"/>
    <w:rsid w:val="00FB1E11"/>
    <w:rsid w:val="00FB301E"/>
    <w:rsid w:val="00FB4442"/>
    <w:rsid w:val="00FB450E"/>
    <w:rsid w:val="00FB46CF"/>
    <w:rsid w:val="00FB5587"/>
    <w:rsid w:val="00FB6774"/>
    <w:rsid w:val="00FB72DE"/>
    <w:rsid w:val="00FC0712"/>
    <w:rsid w:val="00FC3F89"/>
    <w:rsid w:val="00FC43B5"/>
    <w:rsid w:val="00FC448D"/>
    <w:rsid w:val="00FC5197"/>
    <w:rsid w:val="00FC6E34"/>
    <w:rsid w:val="00FC77E3"/>
    <w:rsid w:val="00FD0C16"/>
    <w:rsid w:val="00FD1C1F"/>
    <w:rsid w:val="00FD233B"/>
    <w:rsid w:val="00FD4D0F"/>
    <w:rsid w:val="00FD61CE"/>
    <w:rsid w:val="00FD6C08"/>
    <w:rsid w:val="00FD6F35"/>
    <w:rsid w:val="00FE0E6F"/>
    <w:rsid w:val="00FE12ED"/>
    <w:rsid w:val="00FE181D"/>
    <w:rsid w:val="00FE2C70"/>
    <w:rsid w:val="00FE4A95"/>
    <w:rsid w:val="00FE6347"/>
    <w:rsid w:val="00FE63A6"/>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DBC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D06E3"/>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D06E3"/>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BC1BAA"/>
    <w:pPr>
      <w:autoSpaceDE w:val="0"/>
      <w:autoSpaceDN w:val="0"/>
      <w:adjustRightInd w:val="0"/>
      <w:spacing w:before="60" w:after="120"/>
      <w:ind w:left="0" w:firstLine="0"/>
    </w:pPr>
    <w:rPr>
      <w:rFonts w:ascii="PraxisEF-Light" w:hAnsi="PraxisEF-Light"/>
      <w:szCs w:val="28"/>
    </w:rPr>
  </w:style>
  <w:style w:type="character" w:customStyle="1" w:styleId="HPABodytextChar">
    <w:name w:val="HPA Body text Char"/>
    <w:link w:val="HPABodytext"/>
    <w:rsid w:val="00BC1BAA"/>
    <w:rPr>
      <w:rFonts w:ascii="PraxisEF-Light" w:hAnsi="PraxisEF-Light" w:cs="PraxisEF-Light"/>
      <w:sz w:val="24"/>
      <w:szCs w:val="28"/>
    </w:rPr>
  </w:style>
  <w:style w:type="paragraph" w:customStyle="1" w:styleId="HPAreportHeading2BlueHighlight">
    <w:name w:val="HPA report Heading 2 Blue Highlight"/>
    <w:basedOn w:val="HPAreportheading2"/>
    <w:rsid w:val="00F93307"/>
    <w:pPr>
      <w:shd w:val="clear" w:color="auto" w:fill="99CCFF"/>
    </w:pPr>
    <w:rPr>
      <w:rFonts w:ascii="PraxisEF Light" w:hAnsi="PraxisEF Light" w:cs="Arial"/>
    </w:rPr>
  </w:style>
  <w:style w:type="paragraph" w:customStyle="1" w:styleId="HPAreportHeading1">
    <w:name w:val="HPA report Heading 1"/>
    <w:basedOn w:val="Normal"/>
    <w:rsid w:val="00F9330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Hyperlink">
    <w:name w:val="HPA Body Text Hyperlink"/>
    <w:basedOn w:val="HPABodytext"/>
    <w:link w:val="HPABodyTextHyperlinkChar0"/>
    <w:qFormat/>
    <w:rsid w:val="00BA6C61"/>
    <w:rPr>
      <w:color w:val="0000FF"/>
      <w:u w:val="single"/>
    </w:rPr>
  </w:style>
  <w:style w:type="character" w:customStyle="1" w:styleId="HPABodyTextHyperlinkChar0">
    <w:name w:val="HPA Body Text Hyperlink Char"/>
    <w:link w:val="HPABodyTextHyperlink"/>
    <w:rsid w:val="00BA6C61"/>
    <w:rPr>
      <w:rFonts w:ascii="PraxisEF-Light" w:hAnsi="PraxisEF-Light" w:cs="PraxisEF-Light"/>
      <w:color w:val="0000FF"/>
      <w:sz w:val="24"/>
      <w:szCs w:val="28"/>
      <w:u w:val="single"/>
    </w:rPr>
  </w:style>
  <w:style w:type="paragraph" w:customStyle="1" w:styleId="HPABodyTextReferences">
    <w:name w:val="HPA Body Text References"/>
    <w:basedOn w:val="HPABodytext"/>
    <w:qFormat/>
    <w:rsid w:val="00251543"/>
    <w:pPr>
      <w:ind w:left="709" w:hanging="709"/>
    </w:pPr>
    <w:rPr>
      <w:sz w:val="20"/>
    </w:rPr>
  </w:style>
  <w:style w:type="paragraph" w:customStyle="1" w:styleId="EndNoteBibliographyTitle">
    <w:name w:val="EndNote Bibliography Title"/>
    <w:basedOn w:val="Normal"/>
    <w:link w:val="EndNoteBibliographyTitleChar"/>
    <w:rsid w:val="00DF7371"/>
    <w:pPr>
      <w:jc w:val="center"/>
    </w:pPr>
    <w:rPr>
      <w:rFonts w:cs="Arial"/>
      <w:noProof/>
    </w:rPr>
  </w:style>
  <w:style w:type="character" w:customStyle="1" w:styleId="EndNoteBibliographyTitleChar">
    <w:name w:val="EndNote Bibliography Title Char"/>
    <w:basedOn w:val="DefaultParagraphFont"/>
    <w:link w:val="EndNoteBibliographyTitle"/>
    <w:rsid w:val="00DF7371"/>
    <w:rPr>
      <w:rFonts w:ascii="Arial" w:hAnsi="Arial" w:cs="Arial"/>
      <w:noProof/>
      <w:sz w:val="24"/>
      <w:szCs w:val="24"/>
    </w:rPr>
  </w:style>
  <w:style w:type="paragraph" w:customStyle="1" w:styleId="EndNoteBibliography">
    <w:name w:val="EndNote Bibliography"/>
    <w:basedOn w:val="Normal"/>
    <w:link w:val="EndNoteBibliographyChar"/>
    <w:rsid w:val="00DF7371"/>
    <w:rPr>
      <w:rFonts w:cs="Arial"/>
      <w:noProof/>
    </w:rPr>
  </w:style>
  <w:style w:type="character" w:customStyle="1" w:styleId="EndNoteBibliographyChar">
    <w:name w:val="EndNote Bibliography Char"/>
    <w:basedOn w:val="DefaultParagraphFont"/>
    <w:link w:val="EndNoteBibliography"/>
    <w:rsid w:val="00DF7371"/>
    <w:rPr>
      <w:rFonts w:ascii="Arial" w:hAnsi="Arial" w:cs="Arial"/>
      <w:noProof/>
      <w:sz w:val="24"/>
      <w:szCs w:val="24"/>
    </w:rPr>
  </w:style>
  <w:style w:type="character" w:styleId="CommentReference">
    <w:name w:val="annotation reference"/>
    <w:basedOn w:val="DefaultParagraphFont"/>
    <w:rsid w:val="00277D2F"/>
    <w:rPr>
      <w:sz w:val="16"/>
      <w:szCs w:val="16"/>
    </w:rPr>
  </w:style>
  <w:style w:type="paragraph" w:styleId="CommentText">
    <w:name w:val="annotation text"/>
    <w:basedOn w:val="Normal"/>
    <w:link w:val="CommentTextChar"/>
    <w:rsid w:val="00277D2F"/>
    <w:rPr>
      <w:sz w:val="20"/>
      <w:szCs w:val="20"/>
    </w:rPr>
  </w:style>
  <w:style w:type="character" w:customStyle="1" w:styleId="CommentTextChar">
    <w:name w:val="Comment Text Char"/>
    <w:basedOn w:val="DefaultParagraphFont"/>
    <w:link w:val="CommentText"/>
    <w:rsid w:val="00277D2F"/>
    <w:rPr>
      <w:rFonts w:ascii="Arial" w:hAnsi="Arial"/>
    </w:rPr>
  </w:style>
  <w:style w:type="paragraph" w:styleId="CommentSubject">
    <w:name w:val="annotation subject"/>
    <w:basedOn w:val="CommentText"/>
    <w:next w:val="CommentText"/>
    <w:link w:val="CommentSubjectChar"/>
    <w:rsid w:val="00277D2F"/>
    <w:rPr>
      <w:b/>
      <w:bCs/>
    </w:rPr>
  </w:style>
  <w:style w:type="character" w:customStyle="1" w:styleId="CommentSubjectChar">
    <w:name w:val="Comment Subject Char"/>
    <w:basedOn w:val="CommentTextChar"/>
    <w:link w:val="CommentSubject"/>
    <w:rsid w:val="00277D2F"/>
    <w:rPr>
      <w:rFonts w:ascii="Arial" w:hAnsi="Arial"/>
      <w:b/>
      <w:bCs/>
    </w:rPr>
  </w:style>
  <w:style w:type="paragraph" w:customStyle="1" w:styleId="HPAbodytextTable">
    <w:name w:val="HPA body text Table"/>
    <w:basedOn w:val="Normal"/>
    <w:qFormat/>
    <w:rsid w:val="004D06E3"/>
    <w:pPr>
      <w:autoSpaceDE w:val="0"/>
      <w:autoSpaceDN w:val="0"/>
      <w:adjustRightInd w:val="0"/>
      <w:spacing w:before="60" w:after="120"/>
      <w:ind w:left="0" w:firstLine="0"/>
    </w:pPr>
    <w:rPr>
      <w:rFonts w:ascii="PraxisEF-Light" w:hAnsi="PraxisEF-Light"/>
      <w:sz w:val="2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D06E3"/>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D06E3"/>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BC1BAA"/>
    <w:pPr>
      <w:autoSpaceDE w:val="0"/>
      <w:autoSpaceDN w:val="0"/>
      <w:adjustRightInd w:val="0"/>
      <w:spacing w:before="60" w:after="120"/>
      <w:ind w:left="0" w:firstLine="0"/>
    </w:pPr>
    <w:rPr>
      <w:rFonts w:ascii="PraxisEF-Light" w:hAnsi="PraxisEF-Light"/>
      <w:szCs w:val="28"/>
    </w:rPr>
  </w:style>
  <w:style w:type="character" w:customStyle="1" w:styleId="HPABodytextChar">
    <w:name w:val="HPA Body text Char"/>
    <w:link w:val="HPABodytext"/>
    <w:rsid w:val="00BC1BAA"/>
    <w:rPr>
      <w:rFonts w:ascii="PraxisEF-Light" w:hAnsi="PraxisEF-Light" w:cs="PraxisEF-Light"/>
      <w:sz w:val="24"/>
      <w:szCs w:val="28"/>
    </w:rPr>
  </w:style>
  <w:style w:type="paragraph" w:customStyle="1" w:styleId="HPAreportHeading2BlueHighlight">
    <w:name w:val="HPA report Heading 2 Blue Highlight"/>
    <w:basedOn w:val="HPAreportheading2"/>
    <w:rsid w:val="00F93307"/>
    <w:pPr>
      <w:shd w:val="clear" w:color="auto" w:fill="99CCFF"/>
    </w:pPr>
    <w:rPr>
      <w:rFonts w:ascii="PraxisEF Light" w:hAnsi="PraxisEF Light" w:cs="Arial"/>
    </w:rPr>
  </w:style>
  <w:style w:type="paragraph" w:customStyle="1" w:styleId="HPAreportHeading1">
    <w:name w:val="HPA report Heading 1"/>
    <w:basedOn w:val="Normal"/>
    <w:rsid w:val="00F9330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Hyperlink">
    <w:name w:val="HPA Body Text Hyperlink"/>
    <w:basedOn w:val="HPABodytext"/>
    <w:link w:val="HPABodyTextHyperlinkChar0"/>
    <w:qFormat/>
    <w:rsid w:val="00BA6C61"/>
    <w:rPr>
      <w:color w:val="0000FF"/>
      <w:u w:val="single"/>
    </w:rPr>
  </w:style>
  <w:style w:type="character" w:customStyle="1" w:styleId="HPABodyTextHyperlinkChar0">
    <w:name w:val="HPA Body Text Hyperlink Char"/>
    <w:link w:val="HPABodyTextHyperlink"/>
    <w:rsid w:val="00BA6C61"/>
    <w:rPr>
      <w:rFonts w:ascii="PraxisEF-Light" w:hAnsi="PraxisEF-Light" w:cs="PraxisEF-Light"/>
      <w:color w:val="0000FF"/>
      <w:sz w:val="24"/>
      <w:szCs w:val="28"/>
      <w:u w:val="single"/>
    </w:rPr>
  </w:style>
  <w:style w:type="paragraph" w:customStyle="1" w:styleId="HPABodyTextReferences">
    <w:name w:val="HPA Body Text References"/>
    <w:basedOn w:val="HPABodytext"/>
    <w:qFormat/>
    <w:rsid w:val="00251543"/>
    <w:pPr>
      <w:ind w:left="709" w:hanging="709"/>
    </w:pPr>
    <w:rPr>
      <w:sz w:val="20"/>
    </w:rPr>
  </w:style>
  <w:style w:type="paragraph" w:customStyle="1" w:styleId="EndNoteBibliographyTitle">
    <w:name w:val="EndNote Bibliography Title"/>
    <w:basedOn w:val="Normal"/>
    <w:link w:val="EndNoteBibliographyTitleChar"/>
    <w:rsid w:val="00DF7371"/>
    <w:pPr>
      <w:jc w:val="center"/>
    </w:pPr>
    <w:rPr>
      <w:rFonts w:cs="Arial"/>
      <w:noProof/>
    </w:rPr>
  </w:style>
  <w:style w:type="character" w:customStyle="1" w:styleId="EndNoteBibliographyTitleChar">
    <w:name w:val="EndNote Bibliography Title Char"/>
    <w:basedOn w:val="DefaultParagraphFont"/>
    <w:link w:val="EndNoteBibliographyTitle"/>
    <w:rsid w:val="00DF7371"/>
    <w:rPr>
      <w:rFonts w:ascii="Arial" w:hAnsi="Arial" w:cs="Arial"/>
      <w:noProof/>
      <w:sz w:val="24"/>
      <w:szCs w:val="24"/>
    </w:rPr>
  </w:style>
  <w:style w:type="paragraph" w:customStyle="1" w:styleId="EndNoteBibliography">
    <w:name w:val="EndNote Bibliography"/>
    <w:basedOn w:val="Normal"/>
    <w:link w:val="EndNoteBibliographyChar"/>
    <w:rsid w:val="00DF7371"/>
    <w:rPr>
      <w:rFonts w:cs="Arial"/>
      <w:noProof/>
    </w:rPr>
  </w:style>
  <w:style w:type="character" w:customStyle="1" w:styleId="EndNoteBibliographyChar">
    <w:name w:val="EndNote Bibliography Char"/>
    <w:basedOn w:val="DefaultParagraphFont"/>
    <w:link w:val="EndNoteBibliography"/>
    <w:rsid w:val="00DF7371"/>
    <w:rPr>
      <w:rFonts w:ascii="Arial" w:hAnsi="Arial" w:cs="Arial"/>
      <w:noProof/>
      <w:sz w:val="24"/>
      <w:szCs w:val="24"/>
    </w:rPr>
  </w:style>
  <w:style w:type="character" w:styleId="CommentReference">
    <w:name w:val="annotation reference"/>
    <w:basedOn w:val="DefaultParagraphFont"/>
    <w:rsid w:val="00277D2F"/>
    <w:rPr>
      <w:sz w:val="16"/>
      <w:szCs w:val="16"/>
    </w:rPr>
  </w:style>
  <w:style w:type="paragraph" w:styleId="CommentText">
    <w:name w:val="annotation text"/>
    <w:basedOn w:val="Normal"/>
    <w:link w:val="CommentTextChar"/>
    <w:rsid w:val="00277D2F"/>
    <w:rPr>
      <w:sz w:val="20"/>
      <w:szCs w:val="20"/>
    </w:rPr>
  </w:style>
  <w:style w:type="character" w:customStyle="1" w:styleId="CommentTextChar">
    <w:name w:val="Comment Text Char"/>
    <w:basedOn w:val="DefaultParagraphFont"/>
    <w:link w:val="CommentText"/>
    <w:rsid w:val="00277D2F"/>
    <w:rPr>
      <w:rFonts w:ascii="Arial" w:hAnsi="Arial"/>
    </w:rPr>
  </w:style>
  <w:style w:type="paragraph" w:styleId="CommentSubject">
    <w:name w:val="annotation subject"/>
    <w:basedOn w:val="CommentText"/>
    <w:next w:val="CommentText"/>
    <w:link w:val="CommentSubjectChar"/>
    <w:rsid w:val="00277D2F"/>
    <w:rPr>
      <w:b/>
      <w:bCs/>
    </w:rPr>
  </w:style>
  <w:style w:type="character" w:customStyle="1" w:styleId="CommentSubjectChar">
    <w:name w:val="Comment Subject Char"/>
    <w:basedOn w:val="CommentTextChar"/>
    <w:link w:val="CommentSubject"/>
    <w:rsid w:val="00277D2F"/>
    <w:rPr>
      <w:rFonts w:ascii="Arial" w:hAnsi="Arial"/>
      <w:b/>
      <w:bCs/>
    </w:rPr>
  </w:style>
  <w:style w:type="paragraph" w:customStyle="1" w:styleId="HPAbodytextTable">
    <w:name w:val="HPA body text Table"/>
    <w:basedOn w:val="Normal"/>
    <w:qFormat/>
    <w:rsid w:val="004D06E3"/>
    <w:pPr>
      <w:autoSpaceDE w:val="0"/>
      <w:autoSpaceDN w:val="0"/>
      <w:adjustRightInd w:val="0"/>
      <w:spacing w:before="60" w:after="120"/>
      <w:ind w:left="0" w:firstLine="0"/>
    </w:pPr>
    <w:rPr>
      <w:rFonts w:ascii="PraxisEF-Light" w:hAnsi="PraxisEF-Light"/>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924651046">
      <w:bodyDiv w:val="1"/>
      <w:marLeft w:val="0"/>
      <w:marRight w:val="0"/>
      <w:marTop w:val="0"/>
      <w:marBottom w:val="0"/>
      <w:divBdr>
        <w:top w:val="none" w:sz="0" w:space="0" w:color="auto"/>
        <w:left w:val="none" w:sz="0" w:space="0" w:color="auto"/>
        <w:bottom w:val="none" w:sz="0" w:space="0" w:color="auto"/>
        <w:right w:val="none" w:sz="0" w:space="0" w:color="auto"/>
      </w:divBdr>
    </w:div>
    <w:div w:id="999888699">
      <w:bodyDiv w:val="1"/>
      <w:marLeft w:val="0"/>
      <w:marRight w:val="0"/>
      <w:marTop w:val="0"/>
      <w:marBottom w:val="0"/>
      <w:divBdr>
        <w:top w:val="none" w:sz="0" w:space="0" w:color="auto"/>
        <w:left w:val="none" w:sz="0" w:space="0" w:color="auto"/>
        <w:bottom w:val="none" w:sz="0" w:space="0" w:color="auto"/>
        <w:right w:val="none" w:sz="0" w:space="0" w:color="auto"/>
      </w:divBdr>
    </w:div>
    <w:div w:id="1099640065">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collections/standards-for-microbiology-investigations-smi" TargetMode="Externa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package" Target="embeddings/Microsoft_Visio_Drawing1.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eapcri.eu" TargetMode="External"/><Relationship Id="rId27" Type="http://schemas.openxmlformats.org/officeDocument/2006/relationships/header" Target="header2.xml"/><Relationship Id="rId30" Type="http://schemas.openxmlformats.org/officeDocument/2006/relationships/header" Target="header4.xml"/><Relationship Id="rId35"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lawson\Local%20Settings\Temp\84ed8b5b-30cd-4d0e-a8e7-437137c87508\SW-3054.02%20SU%20Methods%20Template%20-%20Qua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1CC59-B628-4B52-9C3F-98D3D3FA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SW-3054.02 SU Methods Template - Quality.dotx</Template>
  <TotalTime>59</TotalTime>
  <Pages>19</Pages>
  <Words>5461</Words>
  <Characters>60047</Characters>
  <Application>Microsoft Office Word</Application>
  <DocSecurity>0</DocSecurity>
  <Lines>500</Lines>
  <Paragraphs>130</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65378</CharactersWithSpaces>
  <SharedDoc>false</SharedDoc>
  <HLinks>
    <vt:vector size="60" baseType="variant">
      <vt:variant>
        <vt:i4>1572938</vt:i4>
      </vt:variant>
      <vt:variant>
        <vt:i4>130</vt:i4>
      </vt:variant>
      <vt:variant>
        <vt:i4>0</vt:i4>
      </vt:variant>
      <vt:variant>
        <vt:i4>5</vt:i4>
      </vt:variant>
      <vt:variant>
        <vt:lpwstr>http://www.hpa.org.uk/SMI/pdf/Qualityguidance</vt:lpwstr>
      </vt:variant>
      <vt:variant>
        <vt:lpwstr/>
      </vt:variant>
      <vt:variant>
        <vt:i4>5636179</vt:i4>
      </vt:variant>
      <vt:variant>
        <vt:i4>100</vt:i4>
      </vt:variant>
      <vt:variant>
        <vt:i4>0</vt:i4>
      </vt:variant>
      <vt:variant>
        <vt:i4>5</vt:i4>
      </vt:variant>
      <vt:variant>
        <vt:lpwstr>http://www.hpa.org.uk/SMI/pdf</vt:lpwstr>
      </vt:variant>
      <vt:variant>
        <vt:lpwstr/>
      </vt:variant>
      <vt:variant>
        <vt:i4>786548</vt:i4>
      </vt:variant>
      <vt:variant>
        <vt:i4>81</vt:i4>
      </vt:variant>
      <vt:variant>
        <vt:i4>0</vt:i4>
      </vt:variant>
      <vt:variant>
        <vt:i4>5</vt:i4>
      </vt:variant>
      <vt:variant>
        <vt:lpwstr>http://www.hpa.org.uk/webc/HPAwebFile/HPAweb_C/1317133470313</vt:lpwstr>
      </vt:variant>
      <vt:variant>
        <vt:lpwstr/>
      </vt:variant>
      <vt:variant>
        <vt:i4>7405666</vt:i4>
      </vt:variant>
      <vt:variant>
        <vt:i4>78</vt:i4>
      </vt:variant>
      <vt:variant>
        <vt:i4>0</vt:i4>
      </vt:variant>
      <vt:variant>
        <vt:i4>5</vt:i4>
      </vt:variant>
      <vt:variant>
        <vt:lpwstr>http://www.hpa-standardmethods.org.uk/</vt:lpwstr>
      </vt:variant>
      <vt:variant>
        <vt:lpwstr/>
      </vt:variant>
      <vt:variant>
        <vt:i4>2818085</vt:i4>
      </vt:variant>
      <vt:variant>
        <vt:i4>75</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7</cp:revision>
  <cp:lastPrinted>2017-08-02T07:59:00Z</cp:lastPrinted>
  <dcterms:created xsi:type="dcterms:W3CDTF">2018-02-19T12:13:00Z</dcterms:created>
  <dcterms:modified xsi:type="dcterms:W3CDTF">2018-02-19T13:23:00Z</dcterms:modified>
  <cp:contentStatus>#.#</cp:contentStatus>
</cp:coreProperties>
</file>