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Ind w:w="57" w:type="dxa"/>
        <w:tblLayout w:type="fixed"/>
        <w:tblCellMar>
          <w:left w:w="57" w:type="dxa"/>
          <w:right w:w="57" w:type="dxa"/>
        </w:tblCellMar>
        <w:tblLook w:val="01E0" w:firstRow="1" w:lastRow="1" w:firstColumn="1" w:lastColumn="1" w:noHBand="0" w:noVBand="0"/>
      </w:tblPr>
      <w:tblGrid>
        <w:gridCol w:w="6660"/>
        <w:gridCol w:w="3279"/>
      </w:tblGrid>
      <w:tr w:rsidR="00CF0A52" w:rsidRPr="004C5836" w:rsidTr="00CF0A52">
        <w:trPr>
          <w:cantSplit/>
        </w:trPr>
        <w:tc>
          <w:tcPr>
            <w:tcW w:w="6660" w:type="dxa"/>
            <w:shd w:val="clear" w:color="auto" w:fill="auto"/>
          </w:tcPr>
          <w:p w:rsidR="00CF0A52" w:rsidRPr="0079245C" w:rsidRDefault="00CF0A52" w:rsidP="008F014A">
            <w:pPr>
              <w:pStyle w:val="address"/>
              <w:tabs>
                <w:tab w:val="clear" w:pos="170"/>
              </w:tabs>
              <w:ind w:left="123"/>
              <w:rPr>
                <w:sz w:val="22"/>
                <w:szCs w:val="22"/>
              </w:rPr>
            </w:pPr>
          </w:p>
        </w:tc>
        <w:tc>
          <w:tcPr>
            <w:tcW w:w="3279" w:type="dxa"/>
            <w:shd w:val="clear" w:color="auto" w:fill="auto"/>
          </w:tcPr>
          <w:p w:rsidR="00CF0A52" w:rsidRPr="004A1148" w:rsidRDefault="00CF0A52" w:rsidP="00FA5DA0">
            <w:pPr>
              <w:pStyle w:val="address"/>
              <w:tabs>
                <w:tab w:val="clear" w:pos="170"/>
              </w:tabs>
              <w:ind w:left="84"/>
              <w:rPr>
                <w:b/>
                <w:szCs w:val="18"/>
              </w:rPr>
            </w:pPr>
          </w:p>
        </w:tc>
      </w:tr>
      <w:tr w:rsidR="007A06C4" w:rsidRPr="004C5836" w:rsidTr="00834F8D">
        <w:trPr>
          <w:cantSplit/>
          <w:trHeight w:val="3409"/>
        </w:trPr>
        <w:tc>
          <w:tcPr>
            <w:tcW w:w="6660" w:type="dxa"/>
            <w:shd w:val="clear" w:color="auto" w:fill="auto"/>
          </w:tcPr>
          <w:p w:rsidR="007C605B" w:rsidRPr="00640D2A" w:rsidRDefault="007C605B" w:rsidP="007C605B">
            <w:pPr>
              <w:pStyle w:val="address"/>
              <w:tabs>
                <w:tab w:val="clear" w:pos="170"/>
              </w:tabs>
              <w:spacing w:before="600" w:after="480"/>
              <w:ind w:left="125"/>
              <w:rPr>
                <w:i/>
                <w:color w:val="92D050"/>
                <w:sz w:val="22"/>
                <w:szCs w:val="22"/>
              </w:rPr>
            </w:pPr>
            <w:r>
              <w:rPr>
                <w:i/>
                <w:color w:val="92D050"/>
                <w:sz w:val="22"/>
                <w:szCs w:val="22"/>
              </w:rPr>
              <w:t>[</w:t>
            </w:r>
            <w:r w:rsidRPr="00640D2A">
              <w:rPr>
                <w:i/>
                <w:color w:val="00B050"/>
                <w:sz w:val="22"/>
                <w:szCs w:val="22"/>
              </w:rPr>
              <w:t>Letter to be given to the GP</w:t>
            </w:r>
            <w:r>
              <w:rPr>
                <w:i/>
                <w:color w:val="00B050"/>
                <w:sz w:val="22"/>
                <w:szCs w:val="22"/>
              </w:rPr>
              <w:t>. This</w:t>
            </w:r>
            <w:r w:rsidRPr="00640D2A">
              <w:rPr>
                <w:i/>
                <w:color w:val="00B050"/>
                <w:sz w:val="22"/>
                <w:szCs w:val="22"/>
              </w:rPr>
              <w:t xml:space="preserve"> provides </w:t>
            </w:r>
            <w:r>
              <w:rPr>
                <w:i/>
                <w:color w:val="00B050"/>
                <w:sz w:val="22"/>
                <w:szCs w:val="22"/>
              </w:rPr>
              <w:t xml:space="preserve">the GP with some </w:t>
            </w:r>
            <w:r w:rsidRPr="00640D2A">
              <w:rPr>
                <w:i/>
                <w:color w:val="00B050"/>
                <w:sz w:val="22"/>
                <w:szCs w:val="22"/>
              </w:rPr>
              <w:t xml:space="preserve">background </w:t>
            </w:r>
            <w:r>
              <w:rPr>
                <w:i/>
                <w:color w:val="00B050"/>
                <w:sz w:val="22"/>
                <w:szCs w:val="22"/>
              </w:rPr>
              <w:t>on</w:t>
            </w:r>
            <w:r w:rsidRPr="00640D2A">
              <w:rPr>
                <w:i/>
                <w:color w:val="00B050"/>
                <w:sz w:val="22"/>
                <w:szCs w:val="22"/>
              </w:rPr>
              <w:t xml:space="preserve"> the </w:t>
            </w:r>
            <w:r>
              <w:rPr>
                <w:i/>
                <w:color w:val="00B050"/>
                <w:sz w:val="22"/>
                <w:szCs w:val="22"/>
              </w:rPr>
              <w:t xml:space="preserve">request </w:t>
            </w:r>
            <w:r w:rsidRPr="00640D2A">
              <w:rPr>
                <w:i/>
                <w:color w:val="00B050"/>
                <w:sz w:val="22"/>
                <w:szCs w:val="22"/>
              </w:rPr>
              <w:t xml:space="preserve">for a test] </w:t>
            </w:r>
          </w:p>
          <w:p w:rsidR="007A06C4" w:rsidRDefault="007A06C4" w:rsidP="00B12F2D">
            <w:pPr>
              <w:pStyle w:val="address"/>
              <w:tabs>
                <w:tab w:val="clear" w:pos="170"/>
              </w:tabs>
              <w:spacing w:before="600" w:after="480"/>
              <w:ind w:left="125"/>
              <w:rPr>
                <w:sz w:val="22"/>
                <w:szCs w:val="22"/>
              </w:rPr>
            </w:pPr>
          </w:p>
          <w:p w:rsidR="007A06C4" w:rsidRPr="005C603B" w:rsidRDefault="007A06C4" w:rsidP="007A06C4">
            <w:pPr>
              <w:pStyle w:val="address"/>
              <w:tabs>
                <w:tab w:val="clear" w:pos="170"/>
              </w:tabs>
              <w:ind w:left="123"/>
              <w:rPr>
                <w:sz w:val="22"/>
                <w:szCs w:val="22"/>
              </w:rPr>
            </w:pPr>
          </w:p>
        </w:tc>
        <w:tc>
          <w:tcPr>
            <w:tcW w:w="3279" w:type="dxa"/>
            <w:shd w:val="clear" w:color="auto" w:fill="auto"/>
          </w:tcPr>
          <w:p w:rsidR="008A3560" w:rsidRPr="0042258B" w:rsidRDefault="008A3560" w:rsidP="008A3560">
            <w:pPr>
              <w:pStyle w:val="address"/>
              <w:tabs>
                <w:tab w:val="clear" w:pos="170"/>
              </w:tabs>
              <w:ind w:left="84"/>
              <w:rPr>
                <w:b/>
                <w:szCs w:val="18"/>
              </w:rPr>
            </w:pPr>
            <w:r w:rsidRPr="0042258B">
              <w:rPr>
                <w:b/>
                <w:szCs w:val="18"/>
              </w:rPr>
              <w:t>MHRA</w:t>
            </w:r>
          </w:p>
          <w:p w:rsidR="008A3560" w:rsidRPr="0042258B" w:rsidRDefault="008A3560" w:rsidP="008A3560">
            <w:pPr>
              <w:pStyle w:val="address"/>
              <w:tabs>
                <w:tab w:val="clear" w:pos="170"/>
              </w:tabs>
              <w:spacing w:before="120"/>
              <w:ind w:left="85"/>
              <w:rPr>
                <w:szCs w:val="18"/>
              </w:rPr>
            </w:pPr>
            <w:r w:rsidRPr="0042258B">
              <w:rPr>
                <w:szCs w:val="18"/>
              </w:rPr>
              <w:t>151 Buckingham Palace Road</w:t>
            </w:r>
          </w:p>
          <w:p w:rsidR="008A3560" w:rsidRPr="0042258B" w:rsidRDefault="008A3560" w:rsidP="008A3560">
            <w:pPr>
              <w:pStyle w:val="address"/>
              <w:tabs>
                <w:tab w:val="clear" w:pos="170"/>
              </w:tabs>
              <w:ind w:left="84"/>
              <w:rPr>
                <w:szCs w:val="18"/>
              </w:rPr>
            </w:pPr>
            <w:r w:rsidRPr="0042258B">
              <w:rPr>
                <w:szCs w:val="18"/>
              </w:rPr>
              <w:t>London</w:t>
            </w:r>
          </w:p>
          <w:p w:rsidR="008A3560" w:rsidRPr="0042258B" w:rsidRDefault="008A3560" w:rsidP="008A3560">
            <w:pPr>
              <w:pStyle w:val="address"/>
              <w:tabs>
                <w:tab w:val="clear" w:pos="170"/>
              </w:tabs>
              <w:ind w:left="84"/>
              <w:rPr>
                <w:szCs w:val="18"/>
              </w:rPr>
            </w:pPr>
            <w:r w:rsidRPr="0042258B">
              <w:rPr>
                <w:szCs w:val="18"/>
              </w:rPr>
              <w:t>SW1W 9SZ</w:t>
            </w:r>
          </w:p>
          <w:p w:rsidR="008A3560" w:rsidRPr="0042258B" w:rsidRDefault="008A3560" w:rsidP="008A3560">
            <w:pPr>
              <w:pStyle w:val="address"/>
              <w:tabs>
                <w:tab w:val="clear" w:pos="170"/>
              </w:tabs>
              <w:ind w:left="84"/>
              <w:rPr>
                <w:szCs w:val="18"/>
              </w:rPr>
            </w:pPr>
            <w:r w:rsidRPr="0042258B">
              <w:rPr>
                <w:szCs w:val="18"/>
              </w:rPr>
              <w:t>United Kingdom</w:t>
            </w:r>
          </w:p>
          <w:p w:rsidR="008A3560" w:rsidRPr="0042258B" w:rsidRDefault="008A3560" w:rsidP="008A3560">
            <w:pPr>
              <w:pStyle w:val="webaddress"/>
              <w:ind w:left="84"/>
              <w:rPr>
                <w:rStyle w:val="colour"/>
                <w:szCs w:val="18"/>
              </w:rPr>
            </w:pPr>
          </w:p>
          <w:p w:rsidR="007A06C4" w:rsidRPr="005C603B" w:rsidRDefault="008A3560" w:rsidP="008A3560">
            <w:pPr>
              <w:pStyle w:val="webaddress"/>
              <w:ind w:left="84"/>
              <w:rPr>
                <w:szCs w:val="18"/>
              </w:rPr>
            </w:pPr>
            <w:r>
              <w:rPr>
                <w:rStyle w:val="colour"/>
                <w:szCs w:val="18"/>
              </w:rPr>
              <w:t>www.</w:t>
            </w:r>
            <w:r w:rsidRPr="0042258B">
              <w:rPr>
                <w:rStyle w:val="colour"/>
                <w:szCs w:val="18"/>
              </w:rPr>
              <w:t>gov.uk/mhra</w:t>
            </w:r>
          </w:p>
        </w:tc>
      </w:tr>
    </w:tbl>
    <w:p w:rsidR="00497DA5" w:rsidRPr="006942ED" w:rsidRDefault="00497DA5" w:rsidP="00BD0F64">
      <w:pPr>
        <w:ind w:left="180"/>
      </w:pPr>
      <w:r w:rsidRPr="006942ED">
        <w:t xml:space="preserve">Dear </w:t>
      </w:r>
      <w:r w:rsidR="009206C5">
        <w:t>Colleague</w:t>
      </w:r>
    </w:p>
    <w:p w:rsidR="00497DA5" w:rsidRDefault="00AF5ECF" w:rsidP="00BD0F64">
      <w:pPr>
        <w:ind w:left="180"/>
      </w:pPr>
      <w:r>
        <w:rPr>
          <w:noProof/>
        </w:rPr>
        <mc:AlternateContent>
          <mc:Choice Requires="wps">
            <w:drawing>
              <wp:anchor distT="0" distB="0" distL="114300" distR="114300" simplePos="0" relativeHeight="251658240" behindDoc="0" locked="0" layoutInCell="1" allowOverlap="1" wp14:anchorId="134A9A0B" wp14:editId="0E624827">
                <wp:simplePos x="0" y="0"/>
                <wp:positionH relativeFrom="column">
                  <wp:posOffset>-11430000</wp:posOffset>
                </wp:positionH>
                <wp:positionV relativeFrom="paragraph">
                  <wp:posOffset>-480695</wp:posOffset>
                </wp:positionV>
                <wp:extent cx="11201400" cy="12700"/>
                <wp:effectExtent l="6985" t="5080" r="1206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01400" cy="12700"/>
                        </a:xfrm>
                        <a:prstGeom prst="straightConnector1">
                          <a:avLst/>
                        </a:prstGeom>
                        <a:noFill/>
                        <a:ln w="63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A1881" id="_x0000_t32" coordsize="21600,21600" o:spt="32" o:oned="t" path="m,l21600,21600e" filled="f">
                <v:path arrowok="t" fillok="f" o:connecttype="none"/>
                <o:lock v:ext="edit" shapetype="t"/>
              </v:shapetype>
              <v:shape id="AutoShape 8" o:spid="_x0000_s1026" type="#_x0000_t32" style="position:absolute;margin-left:-900pt;margin-top:-37.85pt;width:882pt;height: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13LQIAAEoEAAAOAAAAZHJzL2Uyb0RvYy54bWysVMGO2yAQvVfqPyDuie2sN5u14qy2dtIe&#10;tm2k3X4AARyjYkDAxomq/nsH7KRNe6mqKhIZYObNm5mHlw/HTqIDt05oVeJsmmLEFdVMqH2Jv7xs&#10;JguMnCeKEakVL/GJO/ywevtm2ZuCz3SrJeMWAYhyRW9K3HpviiRxtOUdcVNtuILLRtuOeNjafcIs&#10;6QG9k8ksTedJry0zVlPuHJzWwyVeRfym4dR/bhrHPZIlBm4+rjauu7AmqyUp9paYVtCRBvkHFh0R&#10;CpJeoGriCXq14g+oTlCrnW78lOou0U0jKI81QDVZ+ls1zy0xPNYCzXHm0ib3/2Dpp8PWIsFKPMNI&#10;kQ5G9PjqdcyMFqE9vXEFeFVqa0OB9KiezZOmXx1SumqJ2vPo/HIyEJuFiOQqJGycgSS7/qNm4EMA&#10;P/bq2NgONVKYDyEwgEM/0DEO53QZDj96ROEwy6BDeQpDpHCZze7ADMlIEXBCtLHOv+e6Q8EosfOW&#10;iH3rK60U6EDbIQc5PDk/BJ4DQrDSGyElnJNCKtSXeH5zm0ZSTkvBwmW4c3a/q6RFBwKCercJv5HF&#10;lZvVr4pFsJYTth5tT4QcbGAtVcCD6oDOaA2K+Xaf3q8X60U+yWfz9SRP63ryuKnyyXyT3d3WN3VV&#10;1dn3QC3Li1YwxlVgd1Zvlv+dOsZ3NOjuot9LG5Jr9NhoIHv+j6TjoMNsB5XsNDttbWhtmDkINjqP&#10;jyu8iF/30evnJ2D1AwAA//8DAFBLAwQUAAYACAAAACEA3PTr9d8AAAANAQAADwAAAGRycy9kb3du&#10;cmV2LnhtbExPy07DMBC8I/EP1iJxS+1StYlCnAohVaicoCC4uvHiRMTrELtt4OvZnuC2OzOaR7We&#10;fC+OOMYukIb5TIFAaoLtyGl4fdlkBYiYDFnTB0IN3xhhXV9eVKa04UTPeNwlJ9iEYmk0tCkNpZSx&#10;adGbOAsDEnMfYfQm8Ts6aUdzYnPfyxulVtKbjjihNQPet9h87g6eQ97x8avpi22+iW/bp4Hcw/LH&#10;aX19Nd3dgkg4pT8xnOtzdai50z4cyEbRa8jmhVK8JvGZL3MQrMkWK0b2Z2SRg6wr+X9F/QsAAP//&#10;AwBQSwECLQAUAAYACAAAACEAtoM4kv4AAADhAQAAEwAAAAAAAAAAAAAAAAAAAAAAW0NvbnRlbnRf&#10;VHlwZXNdLnhtbFBLAQItABQABgAIAAAAIQA4/SH/1gAAAJQBAAALAAAAAAAAAAAAAAAAAC8BAABf&#10;cmVscy8ucmVsc1BLAQItABQABgAIAAAAIQDh4C13LQIAAEoEAAAOAAAAAAAAAAAAAAAAAC4CAABk&#10;cnMvZTJvRG9jLnhtbFBLAQItABQABgAIAAAAIQDc9Ov13wAAAA0BAAAPAAAAAAAAAAAAAAAAAIcE&#10;AABkcnMvZG93bnJldi54bWxQSwUGAAAAAAQABADzAAAAkwUAAAAA&#10;" strokecolor="#bfbfbf" strokeweight=".5pt"/>
            </w:pict>
          </mc:Fallback>
        </mc:AlternateContent>
      </w:r>
    </w:p>
    <w:p w:rsidR="00497DA5" w:rsidRPr="00497DA5" w:rsidRDefault="00497DA5" w:rsidP="00BD0F64">
      <w:pPr>
        <w:ind w:left="180"/>
        <w:rPr>
          <w:b/>
        </w:rPr>
      </w:pPr>
      <w:r w:rsidRPr="00497DA5">
        <w:rPr>
          <w:b/>
        </w:rPr>
        <w:t>Refer</w:t>
      </w:r>
      <w:r w:rsidR="009206C5">
        <w:rPr>
          <w:b/>
        </w:rPr>
        <w:t>ral for genetic testing</w:t>
      </w:r>
    </w:p>
    <w:p w:rsidR="00497DA5" w:rsidRPr="006942ED" w:rsidRDefault="00497DA5" w:rsidP="00BD0F64">
      <w:pPr>
        <w:ind w:left="180"/>
      </w:pPr>
    </w:p>
    <w:p w:rsidR="009206C5" w:rsidRDefault="009206C5" w:rsidP="00E3510E">
      <w:pPr>
        <w:spacing w:before="120"/>
        <w:ind w:left="142"/>
        <w:rPr>
          <w:rFonts w:cs="Courier New"/>
        </w:rPr>
      </w:pPr>
      <w:r>
        <w:rPr>
          <w:rFonts w:cs="Courier New"/>
        </w:rPr>
        <w:t xml:space="preserve">We are writing to support this patient’s request for a referral to their local Genetics Service for further diagnostic investigations. </w:t>
      </w:r>
    </w:p>
    <w:p w:rsidR="009206C5" w:rsidRDefault="009206C5" w:rsidP="00E3510E">
      <w:pPr>
        <w:spacing w:before="120"/>
        <w:ind w:left="142"/>
        <w:rPr>
          <w:rFonts w:cs="Courier New"/>
        </w:rPr>
      </w:pPr>
      <w:r>
        <w:rPr>
          <w:rFonts w:cs="Courier New"/>
        </w:rPr>
        <w:t>For many years, the longstanding suspicion that Hormone Pregnancy Tests could have led to adverse birth outcomes meant that many children with congenital anomalies may not have been investigated, as might have been expected.</w:t>
      </w:r>
    </w:p>
    <w:p w:rsidR="009206C5" w:rsidRDefault="009206C5" w:rsidP="00E3510E">
      <w:pPr>
        <w:spacing w:before="120"/>
        <w:ind w:left="142" w:right="282"/>
        <w:rPr>
          <w:rFonts w:cs="Courier New"/>
        </w:rPr>
      </w:pPr>
      <w:r>
        <w:rPr>
          <w:rFonts w:cs="Courier New"/>
        </w:rPr>
        <w:t>In 2015 a</w:t>
      </w:r>
      <w:r w:rsidRPr="002E00A6">
        <w:rPr>
          <w:rFonts w:cs="Courier New"/>
        </w:rPr>
        <w:t xml:space="preserve"> </w:t>
      </w:r>
      <w:r>
        <w:rPr>
          <w:rFonts w:cs="Courier New"/>
        </w:rPr>
        <w:t xml:space="preserve">Scientific Expert Working Group of the Commission on Human Medicines </w:t>
      </w:r>
      <w:r w:rsidR="00BA3B60">
        <w:rPr>
          <w:rFonts w:cs="Courier New"/>
        </w:rPr>
        <w:t xml:space="preserve">(CHM) </w:t>
      </w:r>
      <w:r w:rsidRPr="002E00A6">
        <w:rPr>
          <w:rFonts w:cs="Courier New"/>
        </w:rPr>
        <w:t xml:space="preserve">was </w:t>
      </w:r>
      <w:r>
        <w:rPr>
          <w:rFonts w:cs="Courier New"/>
        </w:rPr>
        <w:t xml:space="preserve">convened at the request of George Freeman, </w:t>
      </w:r>
      <w:r w:rsidR="00E3510E">
        <w:rPr>
          <w:rFonts w:cs="Courier New"/>
        </w:rPr>
        <w:t xml:space="preserve">the then </w:t>
      </w:r>
      <w:r>
        <w:rPr>
          <w:rFonts w:cs="Courier New"/>
        </w:rPr>
        <w:t>Minister for Life Sciences</w:t>
      </w:r>
      <w:r w:rsidR="00E3510E">
        <w:rPr>
          <w:rFonts w:cs="Courier New"/>
        </w:rPr>
        <w:t>,</w:t>
      </w:r>
      <w:r w:rsidRPr="002E00A6">
        <w:rPr>
          <w:rFonts w:cs="Courier New"/>
        </w:rPr>
        <w:t xml:space="preserve"> into whether taking Prim</w:t>
      </w:r>
      <w:r>
        <w:rPr>
          <w:rFonts w:cs="Courier New"/>
        </w:rPr>
        <w:t>o</w:t>
      </w:r>
      <w:r w:rsidRPr="002E00A6">
        <w:rPr>
          <w:rFonts w:cs="Courier New"/>
        </w:rPr>
        <w:t xml:space="preserve">dos or other hormone pregnancy tests in the 1960s-70s to confirm a pregnancy, could have led to birth defects. </w:t>
      </w:r>
      <w:r>
        <w:rPr>
          <w:rFonts w:cs="Courier New"/>
        </w:rPr>
        <w:t xml:space="preserve">The report on the Expert Group findings is available on the </w:t>
      </w:r>
      <w:r w:rsidR="00BA3B60">
        <w:rPr>
          <w:rFonts w:cs="Courier New"/>
        </w:rPr>
        <w:t>CHM</w:t>
      </w:r>
      <w:r>
        <w:rPr>
          <w:rFonts w:cs="Courier New"/>
        </w:rPr>
        <w:t xml:space="preserve"> website</w:t>
      </w:r>
      <w:r>
        <w:rPr>
          <w:rStyle w:val="FootnoteReference"/>
          <w:rFonts w:cs="Courier New"/>
        </w:rPr>
        <w:footnoteReference w:id="1"/>
      </w:r>
      <w:r>
        <w:rPr>
          <w:rFonts w:cs="Courier New"/>
        </w:rPr>
        <w:t xml:space="preserve"> and </w:t>
      </w:r>
      <w:r w:rsidR="00E3510E">
        <w:rPr>
          <w:rFonts w:cs="Courier New"/>
        </w:rPr>
        <w:t xml:space="preserve">recommends </w:t>
      </w:r>
      <w:r>
        <w:rPr>
          <w:rFonts w:cs="Courier New"/>
        </w:rPr>
        <w:t xml:space="preserve">that </w:t>
      </w:r>
      <w:r w:rsidR="00BA3B60" w:rsidRPr="00BA3B60">
        <w:rPr>
          <w:rFonts w:cs="Courier New"/>
        </w:rPr>
        <w:t>a full up-to-date genetic clinical evaluation, in line with current best practice, should be offered to families of the Association for Children Damaged by HPTs, whose lives have been impacted by adverse pregnancy outcomes and who were given HPTs to diagnose pregnancy</w:t>
      </w:r>
      <w:r>
        <w:rPr>
          <w:rFonts w:cs="Courier New"/>
        </w:rPr>
        <w:t>.</w:t>
      </w:r>
    </w:p>
    <w:p w:rsidR="009206C5" w:rsidRDefault="009206C5" w:rsidP="00E3510E">
      <w:pPr>
        <w:spacing w:before="120"/>
        <w:ind w:left="142"/>
        <w:rPr>
          <w:rFonts w:cs="Courier New"/>
        </w:rPr>
      </w:pPr>
      <w:r>
        <w:rPr>
          <w:rFonts w:cs="Courier New"/>
        </w:rPr>
        <w:t xml:space="preserve">To facilitate this, we attach a template for the referral letter that you may like to use. </w:t>
      </w:r>
      <w:r w:rsidR="007C605B" w:rsidRPr="007C605B">
        <w:rPr>
          <w:rFonts w:cs="Courier New"/>
        </w:rPr>
        <w:t xml:space="preserve">You can find your nearest genetics centre at the following website: </w:t>
      </w:r>
      <w:hyperlink r:id="rId7" w:history="1">
        <w:r w:rsidR="009E4B24" w:rsidRPr="00E9140E">
          <w:rPr>
            <w:rStyle w:val="Hyperlink"/>
            <w:rFonts w:cs="Courier New"/>
          </w:rPr>
          <w:t>http://www.bsgm.org.uk/information-education/genetics-centres/</w:t>
        </w:r>
      </w:hyperlink>
      <w:r w:rsidR="007C605B" w:rsidRPr="007C605B">
        <w:rPr>
          <w:rFonts w:cs="Courier New"/>
        </w:rPr>
        <w:t>.</w:t>
      </w:r>
    </w:p>
    <w:p w:rsidR="00497DA5" w:rsidRDefault="009206C5" w:rsidP="009206C5">
      <w:pPr>
        <w:spacing w:before="120"/>
        <w:ind w:left="180"/>
      </w:pPr>
      <w:r>
        <w:rPr>
          <w:rFonts w:cs="Courier New"/>
        </w:rPr>
        <w:t>With many thanks for your help.</w:t>
      </w:r>
    </w:p>
    <w:p w:rsidR="00497DA5" w:rsidRDefault="00497DA5" w:rsidP="00BD0F64">
      <w:pPr>
        <w:ind w:left="180"/>
      </w:pPr>
    </w:p>
    <w:p w:rsidR="00497DA5" w:rsidRPr="006942ED" w:rsidRDefault="00497DA5" w:rsidP="00BD0F64">
      <w:pPr>
        <w:ind w:left="180"/>
      </w:pPr>
    </w:p>
    <w:p w:rsidR="00497DA5" w:rsidRPr="00E3510E" w:rsidRDefault="00E3510E" w:rsidP="00BD0F64">
      <w:pPr>
        <w:ind w:left="180"/>
        <w:rPr>
          <w:b/>
        </w:rPr>
      </w:pPr>
      <w:r w:rsidRPr="00E3510E">
        <w:rPr>
          <w:b/>
        </w:rPr>
        <w:t xml:space="preserve">Medicines and Healthcare </w:t>
      </w:r>
      <w:proofErr w:type="gramStart"/>
      <w:r w:rsidRPr="00E3510E">
        <w:rPr>
          <w:b/>
        </w:rPr>
        <w:t>products</w:t>
      </w:r>
      <w:proofErr w:type="gramEnd"/>
      <w:r w:rsidRPr="00E3510E">
        <w:rPr>
          <w:b/>
        </w:rPr>
        <w:t xml:space="preserve"> Regulatory A</w:t>
      </w:r>
      <w:r w:rsidR="00BA3B60">
        <w:rPr>
          <w:b/>
        </w:rPr>
        <w:t>gency</w:t>
      </w:r>
    </w:p>
    <w:p w:rsidR="00497DA5" w:rsidRPr="00E3510E" w:rsidRDefault="00E3510E" w:rsidP="00BD0F64">
      <w:pPr>
        <w:ind w:left="180"/>
        <w:rPr>
          <w:b/>
        </w:rPr>
      </w:pPr>
      <w:r w:rsidRPr="00E3510E">
        <w:rPr>
          <w:b/>
        </w:rPr>
        <w:t>MHRA</w:t>
      </w:r>
    </w:p>
    <w:p w:rsidR="00497DA5" w:rsidRDefault="00497DA5" w:rsidP="0079245C">
      <w:pPr>
        <w:tabs>
          <w:tab w:val="left" w:pos="540"/>
        </w:tabs>
        <w:ind w:left="540" w:hanging="360"/>
      </w:pPr>
    </w:p>
    <w:p w:rsidR="00E3510E" w:rsidRDefault="009206C5" w:rsidP="00E3510E">
      <w:pPr>
        <w:ind w:left="180"/>
      </w:pPr>
      <w:r>
        <w:br w:type="page"/>
      </w:r>
    </w:p>
    <w:p w:rsidR="00E3510E" w:rsidRPr="00E3510E" w:rsidRDefault="00E3510E" w:rsidP="00E3510E">
      <w:pPr>
        <w:ind w:left="180"/>
        <w:rPr>
          <w:b/>
        </w:rPr>
      </w:pPr>
      <w:r w:rsidRPr="00E3510E">
        <w:rPr>
          <w:b/>
        </w:rPr>
        <w:t xml:space="preserve">Referral letter </w:t>
      </w:r>
      <w:r w:rsidR="0063671E">
        <w:rPr>
          <w:b/>
        </w:rPr>
        <w:t xml:space="preserve">from GP to </w:t>
      </w:r>
      <w:r w:rsidRPr="00E3510E">
        <w:rPr>
          <w:b/>
        </w:rPr>
        <w:t>Genetic Service</w:t>
      </w:r>
    </w:p>
    <w:p w:rsidR="00E3510E" w:rsidRPr="00E3510E" w:rsidRDefault="00E3510E" w:rsidP="00E3510E">
      <w:pPr>
        <w:ind w:left="180"/>
      </w:pPr>
    </w:p>
    <w:p w:rsidR="00E3510E" w:rsidRDefault="00E3510E" w:rsidP="00E3510E">
      <w:pPr>
        <w:ind w:left="180"/>
      </w:pPr>
    </w:p>
    <w:p w:rsidR="007C605B" w:rsidRPr="00640D2A" w:rsidRDefault="007C605B" w:rsidP="007C605B">
      <w:pPr>
        <w:ind w:left="180"/>
        <w:rPr>
          <w:i/>
          <w:color w:val="00B050"/>
        </w:rPr>
      </w:pPr>
      <w:r>
        <w:rPr>
          <w:i/>
          <w:color w:val="00B050"/>
        </w:rPr>
        <w:t xml:space="preserve">[To be completed by the GP on the surgery’s headed notepaper and sent to the test centre. </w:t>
      </w:r>
      <w:r w:rsidR="00C47A02">
        <w:rPr>
          <w:i/>
          <w:color w:val="00B050"/>
        </w:rPr>
        <w:t>A</w:t>
      </w:r>
      <w:r>
        <w:rPr>
          <w:i/>
          <w:color w:val="00B050"/>
        </w:rPr>
        <w:t xml:space="preserve"> </w:t>
      </w:r>
      <w:r w:rsidR="00C47A02">
        <w:rPr>
          <w:i/>
          <w:color w:val="00B050"/>
        </w:rPr>
        <w:t>W</w:t>
      </w:r>
      <w:r>
        <w:rPr>
          <w:i/>
          <w:color w:val="00B050"/>
        </w:rPr>
        <w:t xml:space="preserve">ord </w:t>
      </w:r>
      <w:r w:rsidR="00C47A02">
        <w:rPr>
          <w:i/>
          <w:color w:val="00B050"/>
        </w:rPr>
        <w:t>version of this letter may be accessed at</w:t>
      </w:r>
      <w:r>
        <w:rPr>
          <w:i/>
          <w:color w:val="00B050"/>
        </w:rPr>
        <w:t xml:space="preserve">: </w:t>
      </w:r>
      <w:hyperlink r:id="rId8" w:history="1">
        <w:r w:rsidR="00710BFF" w:rsidRPr="00E9140E">
          <w:rPr>
            <w:rStyle w:val="Hyperlink"/>
            <w:rFonts w:cs="Arial"/>
          </w:rPr>
          <w:t>https://www.gov.uk/government/publications/report-of-the-commission-on-human-medicines-expert-working-group-on-hormone-pregnancy-tests</w:t>
        </w:r>
      </w:hyperlink>
      <w:r w:rsidR="00710BFF">
        <w:rPr>
          <w:rFonts w:cs="Arial"/>
          <w:b/>
          <w:bCs/>
          <w:i/>
          <w:iCs/>
          <w:color w:val="FF0000"/>
        </w:rPr>
        <w:t xml:space="preserve"> </w:t>
      </w:r>
      <w:r w:rsidR="00710BFF">
        <w:rPr>
          <w:rFonts w:cs="Arial"/>
          <w:bCs/>
          <w:i/>
          <w:iCs/>
          <w:color w:val="00B050"/>
        </w:rPr>
        <w:t>or alternatively by Googling CHM HPT and selecting the second tab on the front page: “Referral letter for genetic testing”</w:t>
      </w:r>
      <w:r>
        <w:rPr>
          <w:i/>
          <w:color w:val="00B050"/>
        </w:rPr>
        <w:t>]</w:t>
      </w:r>
    </w:p>
    <w:p w:rsidR="00E3510E" w:rsidRDefault="00E3510E" w:rsidP="00E3510E">
      <w:pPr>
        <w:ind w:left="180"/>
      </w:pPr>
    </w:p>
    <w:p w:rsidR="00E3510E" w:rsidRDefault="00E3510E" w:rsidP="00E3510E">
      <w:pPr>
        <w:ind w:left="180"/>
      </w:pPr>
    </w:p>
    <w:p w:rsidR="00E3510E" w:rsidRPr="00E3510E" w:rsidRDefault="00E3510E" w:rsidP="00E3510E">
      <w:pPr>
        <w:ind w:left="180"/>
      </w:pPr>
      <w:r w:rsidRPr="00E3510E">
        <w:t>Dear Colleague</w:t>
      </w:r>
    </w:p>
    <w:p w:rsidR="00E3510E" w:rsidRPr="00E3510E" w:rsidRDefault="00E3510E" w:rsidP="00E3510E">
      <w:pPr>
        <w:ind w:left="180"/>
        <w:rPr>
          <w:b/>
        </w:rPr>
      </w:pPr>
    </w:p>
    <w:p w:rsidR="00E3510E" w:rsidRPr="00E3510E" w:rsidRDefault="00E3510E" w:rsidP="00E3510E">
      <w:pPr>
        <w:ind w:left="180"/>
        <w:rPr>
          <w:b/>
          <w:i/>
        </w:rPr>
      </w:pPr>
      <w:r w:rsidRPr="00E3510E">
        <w:rPr>
          <w:b/>
        </w:rPr>
        <w:t xml:space="preserve">Re: </w:t>
      </w:r>
      <w:r w:rsidRPr="00E3510E">
        <w:rPr>
          <w:b/>
          <w:i/>
        </w:rPr>
        <w:t>[Patient’s details]</w:t>
      </w:r>
    </w:p>
    <w:p w:rsidR="00E3510E" w:rsidRDefault="00E3510E" w:rsidP="00E3510E">
      <w:pPr>
        <w:ind w:left="180"/>
      </w:pPr>
    </w:p>
    <w:p w:rsidR="00E3510E" w:rsidRPr="00E3510E" w:rsidRDefault="00E3510E" w:rsidP="00E3510E">
      <w:pPr>
        <w:ind w:left="180"/>
      </w:pPr>
      <w:r w:rsidRPr="00E3510E">
        <w:t xml:space="preserve">I would be most grateful if you could offer </w:t>
      </w:r>
      <w:r w:rsidRPr="007C605B">
        <w:rPr>
          <w:b/>
          <w:i/>
        </w:rPr>
        <w:t>[patient’s name</w:t>
      </w:r>
      <w:r w:rsidRPr="00E3510E">
        <w:rPr>
          <w:i/>
        </w:rPr>
        <w:t>]</w:t>
      </w:r>
      <w:r w:rsidRPr="00E3510E">
        <w:t xml:space="preserve"> an appointment to investigate the possibility of an underlying genetic cause of his/her</w:t>
      </w:r>
      <w:r w:rsidRPr="00E3510E">
        <w:rPr>
          <w:i/>
        </w:rPr>
        <w:t xml:space="preserve"> [</w:t>
      </w:r>
      <w:r w:rsidRPr="007C605B">
        <w:rPr>
          <w:b/>
          <w:i/>
        </w:rPr>
        <w:t>patient’s condition</w:t>
      </w:r>
      <w:r w:rsidRPr="00E3510E">
        <w:rPr>
          <w:i/>
        </w:rPr>
        <w:t>]</w:t>
      </w:r>
      <w:r w:rsidRPr="00E3510E">
        <w:t>.</w:t>
      </w:r>
    </w:p>
    <w:p w:rsidR="00E3510E" w:rsidRDefault="00E3510E" w:rsidP="00E3510E">
      <w:pPr>
        <w:ind w:left="180"/>
      </w:pPr>
    </w:p>
    <w:p w:rsidR="00E3510E" w:rsidRPr="00E3510E" w:rsidRDefault="00E3510E" w:rsidP="00E3510E">
      <w:pPr>
        <w:ind w:left="180"/>
        <w:rPr>
          <w:bCs/>
        </w:rPr>
      </w:pPr>
      <w:r w:rsidRPr="00E3510E">
        <w:t xml:space="preserve">This referral follows the publication of the report from the Scientific </w:t>
      </w:r>
      <w:r w:rsidRPr="00E3510E">
        <w:rPr>
          <w:bCs/>
        </w:rPr>
        <w:t xml:space="preserve">Expert Working Group on Hormonal Pregnancy Tests which recommended that </w:t>
      </w:r>
      <w:r w:rsidR="00BA3B60" w:rsidRPr="00BA3B60">
        <w:rPr>
          <w:bCs/>
        </w:rPr>
        <w:t>a full up-to-date genetic clinical evaluation, in line with current best practice, should be offered to families of the Association for Children Damaged by HPTs, whose lives have been impacted by adverse pregnancy outcomes and who were given HPTs to diagnose pregnancy</w:t>
      </w:r>
      <w:r w:rsidRPr="00E3510E">
        <w:rPr>
          <w:bCs/>
        </w:rPr>
        <w:t>.</w:t>
      </w:r>
    </w:p>
    <w:p w:rsidR="00E3510E" w:rsidRDefault="00E3510E" w:rsidP="00E3510E">
      <w:pPr>
        <w:ind w:left="180"/>
      </w:pPr>
    </w:p>
    <w:p w:rsidR="00E3510E" w:rsidRPr="00E3510E" w:rsidRDefault="00E3510E" w:rsidP="00E3510E">
      <w:pPr>
        <w:ind w:left="180"/>
      </w:pPr>
      <w:r w:rsidRPr="00E3510E">
        <w:t xml:space="preserve">For many years, the question of whether Hormone Pregnancy Tests could have led to adverse birth outcomes meant that many children with congenital anomalies, and other disorders, may not have been investigated as thoroughly as is now possible, for a genetic cause of their features. </w:t>
      </w:r>
      <w:r w:rsidRPr="007C605B">
        <w:rPr>
          <w:b/>
          <w:i/>
        </w:rPr>
        <w:t>[Patient’s name</w:t>
      </w:r>
      <w:r w:rsidRPr="00E3510E">
        <w:rPr>
          <w:i/>
        </w:rPr>
        <w:t xml:space="preserve">] </w:t>
      </w:r>
      <w:r w:rsidRPr="00E3510E">
        <w:t xml:space="preserve">would now welcome detailed investigations as to the cause of </w:t>
      </w:r>
      <w:r w:rsidRPr="007C605B">
        <w:rPr>
          <w:b/>
        </w:rPr>
        <w:t>his / her</w:t>
      </w:r>
      <w:r w:rsidRPr="00E3510E">
        <w:t xml:space="preserve"> problems, as appropriate. </w:t>
      </w:r>
    </w:p>
    <w:p w:rsidR="00E3510E" w:rsidRDefault="00E3510E" w:rsidP="00E3510E">
      <w:pPr>
        <w:ind w:left="180"/>
      </w:pPr>
    </w:p>
    <w:p w:rsidR="00E3510E" w:rsidRDefault="00E3510E" w:rsidP="00E3510E">
      <w:pPr>
        <w:ind w:left="180"/>
      </w:pPr>
    </w:p>
    <w:p w:rsidR="00BA3B60" w:rsidRDefault="00E3510E" w:rsidP="00E3510E">
      <w:pPr>
        <w:ind w:left="180"/>
      </w:pPr>
      <w:r w:rsidRPr="00E3510E">
        <w:t>With many thanks for your help and understanding.</w:t>
      </w:r>
    </w:p>
    <w:p w:rsidR="007C605B" w:rsidRDefault="007C605B" w:rsidP="00E3510E">
      <w:pPr>
        <w:ind w:left="180"/>
      </w:pPr>
    </w:p>
    <w:p w:rsidR="007C605B" w:rsidRDefault="007C605B" w:rsidP="00E3510E">
      <w:pPr>
        <w:ind w:left="180"/>
      </w:pPr>
    </w:p>
    <w:p w:rsidR="007C605B" w:rsidRDefault="007C605B" w:rsidP="00E3510E">
      <w:pPr>
        <w:ind w:left="180"/>
      </w:pPr>
    </w:p>
    <w:p w:rsidR="007C605B" w:rsidRDefault="007C605B" w:rsidP="00E3510E">
      <w:pPr>
        <w:ind w:left="180"/>
      </w:pPr>
    </w:p>
    <w:p w:rsidR="007C605B" w:rsidRDefault="007C605B" w:rsidP="00E3510E">
      <w:pPr>
        <w:ind w:left="180"/>
      </w:pPr>
    </w:p>
    <w:p w:rsidR="007C605B" w:rsidRDefault="007C605B" w:rsidP="00E3510E">
      <w:pPr>
        <w:ind w:left="180"/>
      </w:pPr>
    </w:p>
    <w:p w:rsidR="007C605B" w:rsidRDefault="007C605B" w:rsidP="00E3510E">
      <w:pPr>
        <w:ind w:left="180"/>
        <w:sectPr w:rsidR="007C605B" w:rsidSect="00E3510E">
          <w:footerReference w:type="even" r:id="rId9"/>
          <w:headerReference w:type="first" r:id="rId10"/>
          <w:pgSz w:w="11906" w:h="16838" w:code="9"/>
          <w:pgMar w:top="851" w:right="1416" w:bottom="1701" w:left="851" w:header="851" w:footer="1134" w:gutter="0"/>
          <w:cols w:space="708"/>
          <w:titlePg/>
          <w:docGrid w:linePitch="360"/>
        </w:sectPr>
      </w:pPr>
      <w:r w:rsidRPr="00392515">
        <w:rPr>
          <w:b/>
          <w:i/>
        </w:rPr>
        <w:t>[GP contact details]</w:t>
      </w:r>
    </w:p>
    <w:tbl>
      <w:tblPr>
        <w:tblW w:w="10348" w:type="dxa"/>
        <w:tblInd w:w="57" w:type="dxa"/>
        <w:tblLayout w:type="fixed"/>
        <w:tblCellMar>
          <w:left w:w="57" w:type="dxa"/>
          <w:right w:w="57" w:type="dxa"/>
        </w:tblCellMar>
        <w:tblLook w:val="01E0" w:firstRow="1" w:lastRow="1" w:firstColumn="1" w:lastColumn="1" w:noHBand="0" w:noVBand="0"/>
      </w:tblPr>
      <w:tblGrid>
        <w:gridCol w:w="6096"/>
        <w:gridCol w:w="4252"/>
      </w:tblGrid>
      <w:tr w:rsidR="00BA3B60" w:rsidRPr="004C5836" w:rsidTr="00CA2870">
        <w:trPr>
          <w:cantSplit/>
          <w:trHeight w:val="3409"/>
        </w:trPr>
        <w:tc>
          <w:tcPr>
            <w:tcW w:w="6096" w:type="dxa"/>
            <w:shd w:val="clear" w:color="auto" w:fill="auto"/>
          </w:tcPr>
          <w:p w:rsidR="00BA3B60" w:rsidRDefault="00BA3B60" w:rsidP="00CA2870">
            <w:pPr>
              <w:pStyle w:val="address"/>
              <w:tabs>
                <w:tab w:val="clear" w:pos="170"/>
              </w:tabs>
              <w:spacing w:before="600" w:after="480"/>
              <w:ind w:left="125"/>
              <w:rPr>
                <w:sz w:val="22"/>
                <w:szCs w:val="22"/>
              </w:rPr>
            </w:pPr>
            <w:r>
              <w:rPr>
                <w:sz w:val="22"/>
                <w:szCs w:val="22"/>
              </w:rPr>
              <w:t>To: Genetic Services</w:t>
            </w:r>
          </w:p>
          <w:p w:rsidR="00BA3B60" w:rsidRPr="005C603B" w:rsidRDefault="007C605B" w:rsidP="00CA2870">
            <w:pPr>
              <w:pStyle w:val="address"/>
              <w:tabs>
                <w:tab w:val="clear" w:pos="170"/>
              </w:tabs>
              <w:ind w:left="123"/>
              <w:rPr>
                <w:sz w:val="22"/>
                <w:szCs w:val="22"/>
              </w:rPr>
            </w:pPr>
            <w:r>
              <w:rPr>
                <w:i/>
                <w:color w:val="00B050"/>
                <w:sz w:val="22"/>
                <w:szCs w:val="22"/>
              </w:rPr>
              <w:t>[</w:t>
            </w:r>
            <w:bookmarkStart w:id="0" w:name="_Hlk504736597"/>
            <w:r>
              <w:rPr>
                <w:i/>
                <w:color w:val="00B050"/>
                <w:sz w:val="22"/>
                <w:szCs w:val="22"/>
              </w:rPr>
              <w:t>To accompany the letter from the GP to the test centre and provide background information to support the request for a test</w:t>
            </w:r>
            <w:bookmarkEnd w:id="0"/>
            <w:r>
              <w:rPr>
                <w:i/>
                <w:color w:val="00B050"/>
                <w:sz w:val="22"/>
                <w:szCs w:val="22"/>
              </w:rPr>
              <w:t>]</w:t>
            </w:r>
          </w:p>
        </w:tc>
        <w:tc>
          <w:tcPr>
            <w:tcW w:w="4252" w:type="dxa"/>
            <w:shd w:val="clear" w:color="auto" w:fill="auto"/>
          </w:tcPr>
          <w:p w:rsidR="00BA3B60" w:rsidRPr="0042258B" w:rsidRDefault="00BA3B60" w:rsidP="00CA2870">
            <w:pPr>
              <w:pStyle w:val="address"/>
              <w:tabs>
                <w:tab w:val="clear" w:pos="170"/>
              </w:tabs>
              <w:ind w:left="84"/>
              <w:rPr>
                <w:b/>
                <w:szCs w:val="18"/>
              </w:rPr>
            </w:pPr>
            <w:r w:rsidRPr="0042258B">
              <w:rPr>
                <w:b/>
                <w:szCs w:val="18"/>
              </w:rPr>
              <w:t>MHRA</w:t>
            </w:r>
          </w:p>
          <w:p w:rsidR="00BA3B60" w:rsidRPr="0042258B" w:rsidRDefault="00BA3B60" w:rsidP="00CA2870">
            <w:pPr>
              <w:pStyle w:val="address"/>
              <w:tabs>
                <w:tab w:val="clear" w:pos="170"/>
              </w:tabs>
              <w:spacing w:before="120"/>
              <w:ind w:left="85"/>
              <w:rPr>
                <w:szCs w:val="18"/>
              </w:rPr>
            </w:pPr>
            <w:r w:rsidRPr="0042258B">
              <w:rPr>
                <w:szCs w:val="18"/>
              </w:rPr>
              <w:t>151 Buckingham Palace Road</w:t>
            </w:r>
          </w:p>
          <w:p w:rsidR="00BA3B60" w:rsidRPr="0042258B" w:rsidRDefault="00BA3B60" w:rsidP="00CA2870">
            <w:pPr>
              <w:pStyle w:val="address"/>
              <w:tabs>
                <w:tab w:val="clear" w:pos="170"/>
              </w:tabs>
              <w:ind w:left="84"/>
              <w:rPr>
                <w:szCs w:val="18"/>
              </w:rPr>
            </w:pPr>
            <w:r w:rsidRPr="0042258B">
              <w:rPr>
                <w:szCs w:val="18"/>
              </w:rPr>
              <w:t>London</w:t>
            </w:r>
          </w:p>
          <w:p w:rsidR="00BA3B60" w:rsidRPr="0042258B" w:rsidRDefault="00BA3B60" w:rsidP="00CA2870">
            <w:pPr>
              <w:pStyle w:val="address"/>
              <w:tabs>
                <w:tab w:val="clear" w:pos="170"/>
              </w:tabs>
              <w:ind w:left="84"/>
              <w:rPr>
                <w:szCs w:val="18"/>
              </w:rPr>
            </w:pPr>
            <w:r w:rsidRPr="0042258B">
              <w:rPr>
                <w:szCs w:val="18"/>
              </w:rPr>
              <w:t>SW1W 9SZ</w:t>
            </w:r>
          </w:p>
          <w:p w:rsidR="00BA3B60" w:rsidRPr="0042258B" w:rsidRDefault="00BA3B60" w:rsidP="00CA2870">
            <w:pPr>
              <w:pStyle w:val="address"/>
              <w:tabs>
                <w:tab w:val="clear" w:pos="170"/>
              </w:tabs>
              <w:ind w:left="84"/>
              <w:rPr>
                <w:szCs w:val="18"/>
              </w:rPr>
            </w:pPr>
            <w:r w:rsidRPr="0042258B">
              <w:rPr>
                <w:szCs w:val="18"/>
              </w:rPr>
              <w:t>United Kingdom</w:t>
            </w:r>
          </w:p>
          <w:p w:rsidR="00BA3B60" w:rsidRPr="0042258B" w:rsidRDefault="00BA3B60" w:rsidP="00CA2870">
            <w:pPr>
              <w:pStyle w:val="webaddress"/>
              <w:ind w:left="84"/>
              <w:rPr>
                <w:rStyle w:val="colour"/>
                <w:szCs w:val="18"/>
              </w:rPr>
            </w:pPr>
          </w:p>
          <w:p w:rsidR="00BA3B60" w:rsidRDefault="00BA3B60" w:rsidP="00CA2870">
            <w:pPr>
              <w:pStyle w:val="webaddress"/>
              <w:ind w:left="84"/>
              <w:rPr>
                <w:rStyle w:val="colour"/>
                <w:szCs w:val="18"/>
              </w:rPr>
            </w:pPr>
            <w:r>
              <w:rPr>
                <w:rStyle w:val="colour"/>
                <w:szCs w:val="18"/>
              </w:rPr>
              <w:t xml:space="preserve">Website: </w:t>
            </w:r>
            <w:hyperlink r:id="rId11" w:history="1">
              <w:r w:rsidRPr="008C43B7">
                <w:rPr>
                  <w:rStyle w:val="Hyperlink"/>
                  <w:szCs w:val="18"/>
                </w:rPr>
                <w:t>www.gov.uk/mhra</w:t>
              </w:r>
            </w:hyperlink>
          </w:p>
          <w:p w:rsidR="00BA3B60" w:rsidRPr="00622675" w:rsidRDefault="00BA3B60" w:rsidP="00CA2870">
            <w:pPr>
              <w:pStyle w:val="webaddress"/>
              <w:ind w:left="84" w:right="-51"/>
              <w:rPr>
                <w:b w:val="0"/>
                <w:szCs w:val="18"/>
              </w:rPr>
            </w:pPr>
            <w:r>
              <w:rPr>
                <w:rStyle w:val="colour"/>
                <w:szCs w:val="18"/>
              </w:rPr>
              <w:t xml:space="preserve">e-mail: </w:t>
            </w:r>
            <w:r>
              <w:rPr>
                <w:rStyle w:val="colour"/>
                <w:b w:val="0"/>
                <w:szCs w:val="18"/>
              </w:rPr>
              <w:t>pharmacovigilanceservice@mhra.gov.uk</w:t>
            </w:r>
          </w:p>
        </w:tc>
      </w:tr>
    </w:tbl>
    <w:p w:rsidR="00BA3B60" w:rsidRPr="006942ED" w:rsidRDefault="00BA3B60" w:rsidP="00BA3B60">
      <w:pPr>
        <w:ind w:left="180"/>
      </w:pPr>
      <w:r w:rsidRPr="006942ED">
        <w:t xml:space="preserve">Dear </w:t>
      </w:r>
      <w:r>
        <w:t>Colleagues</w:t>
      </w:r>
    </w:p>
    <w:p w:rsidR="00BA3B60" w:rsidRDefault="00BA3B60" w:rsidP="00BA3B60">
      <w:pPr>
        <w:ind w:left="180"/>
      </w:pPr>
      <w:r>
        <w:rPr>
          <w:noProof/>
        </w:rPr>
        <mc:AlternateContent>
          <mc:Choice Requires="wps">
            <w:drawing>
              <wp:anchor distT="0" distB="0" distL="114300" distR="114300" simplePos="0" relativeHeight="251660288" behindDoc="0" locked="0" layoutInCell="1" allowOverlap="1" wp14:anchorId="28BF84AF" wp14:editId="5651F115">
                <wp:simplePos x="0" y="0"/>
                <wp:positionH relativeFrom="column">
                  <wp:posOffset>-11430000</wp:posOffset>
                </wp:positionH>
                <wp:positionV relativeFrom="paragraph">
                  <wp:posOffset>-480695</wp:posOffset>
                </wp:positionV>
                <wp:extent cx="11201400" cy="12700"/>
                <wp:effectExtent l="6985" t="10160" r="12065"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01400" cy="12700"/>
                        </a:xfrm>
                        <a:prstGeom prst="straightConnector1">
                          <a:avLst/>
                        </a:prstGeom>
                        <a:noFill/>
                        <a:ln w="63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06B0C" id="AutoShape 8" o:spid="_x0000_s1026" type="#_x0000_t32" style="position:absolute;margin-left:-900pt;margin-top:-37.85pt;width:882pt;height: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pLQIAAEoEAAAOAAAAZHJzL2Uyb0RvYy54bWysVMGO2jAQvVfqP1i+QxLIsmxEWG0TaA/b&#10;Fmm3H2Bsh1h1bMs2BFT13zt2gJb2UlUVkhnbM2/ezDxn8XjsJDpw64RWJc7GKUZcUc2E2pX4y+t6&#10;NMfIeaIYkVrxEp+4w4/Lt28WvSn4RLdaMm4RgChX9KbErfemSBJHW94RN9aGK7hstO2Ih63dJcyS&#10;HtA7mUzSdJb02jJjNeXOwWk9XOJlxG8aTv3npnHcI1li4ObjauO6DWuyXJBiZ4lpBT3TIP/AoiNC&#10;QdIrVE08QXsr/oDqBLXa6caPqe4S3TSC8lgDVJOlv1Xz0hLDYy3QHGeubXL/D5Z+OmwsEqzEU4wU&#10;6WBET3uvY2Y0D+3pjSvAq1IbGwqkR/VinjX96pDSVUvUjkfn15OB2CxEJDchYeMMJNn2HzUDHwL4&#10;sVfHxnaokcJ8CIEBHPqBjnE4p+tw+NEjCodZBh3KUxgihctscg9mSEaKgBOijXX+PdcdCkaJnbdE&#10;7FpfaaVAB9oOOcjh2fkh8BIQgpVeCynhnBRSob7Es+ldGkk5LQULl+HO2d22khYdCAjq3Tr8zixu&#10;3KzeKxbBWk7Y6mx7IuRgA2upAh5UB3TO1qCYbw/pw2q+muejfDJbjfK0rkdP6yofzdbZ/V09rauq&#10;zr4HalletIIxrgK7i3qz/O/UcX5Hg+6u+r22IblFj40Gspf/SDoOOsx2UMlWs9PGhtaGmYNgo/P5&#10;cYUX8es+ev38BCx/AAAA//8DAFBLAwQUAAYACAAAACEA3PTr9d8AAAANAQAADwAAAGRycy9kb3du&#10;cmV2LnhtbExPy07DMBC8I/EP1iJxS+1StYlCnAohVaicoCC4uvHiRMTrELtt4OvZnuC2OzOaR7We&#10;fC+OOMYukIb5TIFAaoLtyGl4fdlkBYiYDFnTB0IN3xhhXV9eVKa04UTPeNwlJ9iEYmk0tCkNpZSx&#10;adGbOAsDEnMfYfQm8Ts6aUdzYnPfyxulVtKbjjihNQPet9h87g6eQ97x8avpi22+iW/bp4Hcw/LH&#10;aX19Nd3dgkg4pT8xnOtzdai50z4cyEbRa8jmhVK8JvGZL3MQrMkWK0b2Z2SRg6wr+X9F/QsAAP//&#10;AwBQSwECLQAUAAYACAAAACEAtoM4kv4AAADhAQAAEwAAAAAAAAAAAAAAAAAAAAAAW0NvbnRlbnRf&#10;VHlwZXNdLnhtbFBLAQItABQABgAIAAAAIQA4/SH/1gAAAJQBAAALAAAAAAAAAAAAAAAAAC8BAABf&#10;cmVscy8ucmVsc1BLAQItABQABgAIAAAAIQC+vzFpLQIAAEoEAAAOAAAAAAAAAAAAAAAAAC4CAABk&#10;cnMvZTJvRG9jLnhtbFBLAQItABQABgAIAAAAIQDc9Ov13wAAAA0BAAAPAAAAAAAAAAAAAAAAAIcE&#10;AABkcnMvZG93bnJldi54bWxQSwUGAAAAAAQABADzAAAAkwUAAAAA&#10;" strokecolor="#bfbfbf" strokeweight=".5pt"/>
            </w:pict>
          </mc:Fallback>
        </mc:AlternateContent>
      </w:r>
    </w:p>
    <w:p w:rsidR="00BA3B60" w:rsidRPr="00747A4F" w:rsidRDefault="00BA3B60" w:rsidP="00BA3B60">
      <w:pPr>
        <w:autoSpaceDE w:val="0"/>
        <w:autoSpaceDN w:val="0"/>
        <w:adjustRightInd w:val="0"/>
        <w:ind w:left="181"/>
        <w:rPr>
          <w:b/>
          <w:bCs/>
        </w:rPr>
      </w:pPr>
      <w:r w:rsidRPr="00747A4F">
        <w:rPr>
          <w:b/>
        </w:rPr>
        <w:t xml:space="preserve">Re: </w:t>
      </w:r>
      <w:r>
        <w:rPr>
          <w:b/>
          <w:bCs/>
        </w:rPr>
        <w:t>Expert Working Group o</w:t>
      </w:r>
      <w:r w:rsidRPr="00747A4F">
        <w:rPr>
          <w:b/>
          <w:bCs/>
        </w:rPr>
        <w:t>n Hormonal Pregnancy Tests</w:t>
      </w:r>
      <w:r>
        <w:rPr>
          <w:b/>
          <w:bCs/>
        </w:rPr>
        <w:t xml:space="preserve"> </w:t>
      </w:r>
    </w:p>
    <w:p w:rsidR="00BA3B60" w:rsidRDefault="00BA3B60" w:rsidP="00BA3B60">
      <w:pPr>
        <w:ind w:left="181"/>
        <w:rPr>
          <w:b/>
          <w:bCs/>
        </w:rPr>
      </w:pPr>
      <w:r>
        <w:rPr>
          <w:b/>
          <w:bCs/>
        </w:rPr>
        <w:t>Undertaken for the Commission o</w:t>
      </w:r>
      <w:r w:rsidRPr="00747A4F">
        <w:rPr>
          <w:b/>
          <w:bCs/>
        </w:rPr>
        <w:t>n Human Medicines</w:t>
      </w:r>
      <w:r>
        <w:rPr>
          <w:b/>
          <w:bCs/>
        </w:rPr>
        <w:t xml:space="preserve">, Medicines and Healthcare </w:t>
      </w:r>
      <w:proofErr w:type="gramStart"/>
      <w:r>
        <w:rPr>
          <w:b/>
          <w:bCs/>
        </w:rPr>
        <w:t>products</w:t>
      </w:r>
      <w:proofErr w:type="gramEnd"/>
      <w:r>
        <w:rPr>
          <w:b/>
          <w:bCs/>
        </w:rPr>
        <w:t xml:space="preserve"> Regulatory Agency, UK</w:t>
      </w:r>
    </w:p>
    <w:p w:rsidR="00BA3B60" w:rsidRDefault="00BA3B60" w:rsidP="00BA3B60">
      <w:pPr>
        <w:ind w:left="181"/>
        <w:rPr>
          <w:b/>
          <w:bCs/>
        </w:rPr>
      </w:pPr>
    </w:p>
    <w:p w:rsidR="00BA3B60" w:rsidRDefault="00BA3B60" w:rsidP="00BA3B60">
      <w:pPr>
        <w:ind w:left="181"/>
        <w:rPr>
          <w:rFonts w:cs="Courier New"/>
        </w:rPr>
      </w:pPr>
      <w:r w:rsidRPr="002E00A6">
        <w:rPr>
          <w:rFonts w:cs="Courier New"/>
        </w:rPr>
        <w:t>Following many years of uncertainty</w:t>
      </w:r>
      <w:r>
        <w:rPr>
          <w:rFonts w:cs="Courier New"/>
        </w:rPr>
        <w:t xml:space="preserve"> as to whether taking Primodos,</w:t>
      </w:r>
      <w:r w:rsidRPr="002E00A6">
        <w:rPr>
          <w:rFonts w:cs="Courier New"/>
        </w:rPr>
        <w:t xml:space="preserve"> o</w:t>
      </w:r>
      <w:r>
        <w:rPr>
          <w:rFonts w:cs="Courier New"/>
        </w:rPr>
        <w:t>r other oral hormone pregnancy tests</w:t>
      </w:r>
      <w:r w:rsidRPr="002E00A6">
        <w:rPr>
          <w:rFonts w:cs="Courier New"/>
        </w:rPr>
        <w:t xml:space="preserve"> in the 1960s-70s, </w:t>
      </w:r>
      <w:r>
        <w:rPr>
          <w:rFonts w:cs="Courier New"/>
        </w:rPr>
        <w:t>could have led to birth defects</w:t>
      </w:r>
      <w:r w:rsidRPr="002E00A6">
        <w:rPr>
          <w:rFonts w:cs="Courier New"/>
        </w:rPr>
        <w:t xml:space="preserve">, a </w:t>
      </w:r>
      <w:r>
        <w:rPr>
          <w:rFonts w:cs="Courier New"/>
        </w:rPr>
        <w:t xml:space="preserve">Scientific Expert Working Group </w:t>
      </w:r>
      <w:r w:rsidRPr="002D0F6E">
        <w:rPr>
          <w:rFonts w:cs="Courier New"/>
        </w:rPr>
        <w:t xml:space="preserve">of the Commission on Human Medicines </w:t>
      </w:r>
      <w:r>
        <w:rPr>
          <w:rFonts w:cs="Courier New"/>
        </w:rPr>
        <w:t xml:space="preserve">(CHM) </w:t>
      </w:r>
      <w:r w:rsidRPr="002D0F6E">
        <w:rPr>
          <w:rFonts w:cs="Courier New"/>
        </w:rPr>
        <w:t xml:space="preserve">was convened at the request of George Freeman, the then Minister for Life Sciences, </w:t>
      </w:r>
      <w:r>
        <w:rPr>
          <w:rFonts w:cs="Courier New"/>
        </w:rPr>
        <w:t>to review the available evidence.</w:t>
      </w:r>
      <w:r w:rsidRPr="002E00A6">
        <w:rPr>
          <w:rFonts w:cs="Courier New"/>
        </w:rPr>
        <w:t xml:space="preserve"> </w:t>
      </w:r>
      <w:r>
        <w:rPr>
          <w:rFonts w:cs="Courier New"/>
        </w:rPr>
        <w:t>The report on their findings is now available on the CHM website</w:t>
      </w:r>
      <w:r>
        <w:rPr>
          <w:rFonts w:cs="Courier New"/>
          <w:vertAlign w:val="superscript"/>
        </w:rPr>
        <w:t>1</w:t>
      </w:r>
      <w:r>
        <w:rPr>
          <w:rFonts w:cs="Courier New"/>
        </w:rPr>
        <w:t xml:space="preserve">. The Group concluded that </w:t>
      </w:r>
      <w:r w:rsidRPr="00BA61F0">
        <w:rPr>
          <w:rFonts w:cs="Courier New"/>
        </w:rPr>
        <w:t>the available scientific evidence, taking all aspects into consideration, does not support a causal association between the use of HPTs, such as Primodos, during early pregnancy and adverse outcomes, either with regard to miscarriage, stillbirth or congenital anomalies.</w:t>
      </w:r>
      <w:r w:rsidRPr="002E00A6">
        <w:rPr>
          <w:rFonts w:cs="Courier New"/>
        </w:rPr>
        <w:br/>
      </w:r>
      <w:r>
        <w:rPr>
          <w:rFonts w:cs="Courier New"/>
        </w:rPr>
        <w:br/>
        <w:t>One of the recommendations of the Group was that the families</w:t>
      </w:r>
      <w:r w:rsidRPr="002E00A6">
        <w:rPr>
          <w:rFonts w:cs="Courier New"/>
        </w:rPr>
        <w:t xml:space="preserve"> </w:t>
      </w:r>
      <w:r>
        <w:rPr>
          <w:rFonts w:cs="Courier New"/>
        </w:rPr>
        <w:t xml:space="preserve">and members of the ‘Association for Children Damaged by Hormone Pregnancy Tests’ group, </w:t>
      </w:r>
      <w:r w:rsidRPr="002E00A6">
        <w:rPr>
          <w:rFonts w:cs="Courier New"/>
        </w:rPr>
        <w:t xml:space="preserve">who had requested the </w:t>
      </w:r>
      <w:r w:rsidRPr="00F32499">
        <w:rPr>
          <w:rFonts w:cs="Courier New"/>
        </w:rPr>
        <w:t xml:space="preserve">enquiry, </w:t>
      </w:r>
      <w:r>
        <w:rPr>
          <w:rFonts w:cs="Courier New"/>
        </w:rPr>
        <w:t>consider seeking</w:t>
      </w:r>
      <w:r w:rsidRPr="00F32499">
        <w:rPr>
          <w:rFonts w:cs="Courier New"/>
        </w:rPr>
        <w:t xml:space="preserve"> a referral to Clinical Genetics fo</w:t>
      </w:r>
      <w:r>
        <w:rPr>
          <w:rFonts w:cs="Courier New"/>
        </w:rPr>
        <w:t>r a full diagnostic assessment. The</w:t>
      </w:r>
      <w:r w:rsidRPr="00F32499">
        <w:rPr>
          <w:rFonts w:cs="Courier New"/>
        </w:rPr>
        <w:t xml:space="preserve"> individuals</w:t>
      </w:r>
      <w:r>
        <w:rPr>
          <w:rFonts w:cs="Courier New"/>
        </w:rPr>
        <w:t xml:space="preserve"> who were exposed to Primodos or HPTs </w:t>
      </w:r>
      <w:r w:rsidRPr="006F5A64">
        <w:rPr>
          <w:rFonts w:cs="Courier New"/>
          <w:i/>
        </w:rPr>
        <w:t>in utero</w:t>
      </w:r>
      <w:r w:rsidRPr="00F32499">
        <w:rPr>
          <w:rFonts w:cs="Courier New"/>
        </w:rPr>
        <w:t xml:space="preserve"> will now be in their 40's and 5</w:t>
      </w:r>
      <w:r>
        <w:rPr>
          <w:rFonts w:cs="Courier New"/>
        </w:rPr>
        <w:t>0's but may never have been assessed</w:t>
      </w:r>
      <w:r w:rsidRPr="00F32499">
        <w:rPr>
          <w:rFonts w:cs="Courier New"/>
        </w:rPr>
        <w:t xml:space="preserve"> by </w:t>
      </w:r>
      <w:r>
        <w:rPr>
          <w:rFonts w:cs="Courier New"/>
        </w:rPr>
        <w:t xml:space="preserve">a Clinical </w:t>
      </w:r>
      <w:r w:rsidRPr="00F32499">
        <w:rPr>
          <w:rFonts w:cs="Courier New"/>
        </w:rPr>
        <w:t>Genetic</w:t>
      </w:r>
      <w:r>
        <w:rPr>
          <w:rFonts w:cs="Courier New"/>
        </w:rPr>
        <w:t>i</w:t>
      </w:r>
      <w:r w:rsidRPr="00F32499">
        <w:rPr>
          <w:rFonts w:cs="Courier New"/>
        </w:rPr>
        <w:t>s</w:t>
      </w:r>
      <w:r>
        <w:rPr>
          <w:rFonts w:cs="Courier New"/>
        </w:rPr>
        <w:t>t</w:t>
      </w:r>
      <w:r w:rsidRPr="00F32499">
        <w:rPr>
          <w:rFonts w:cs="Courier New"/>
        </w:rPr>
        <w:t>,</w:t>
      </w:r>
      <w:r w:rsidRPr="00F32499">
        <w:rPr>
          <w:rFonts w:cs="Segoe UI"/>
        </w:rPr>
        <w:t xml:space="preserve"> </w:t>
      </w:r>
      <w:r w:rsidRPr="00F32499">
        <w:rPr>
          <w:rFonts w:cs="Courier New"/>
        </w:rPr>
        <w:t>whether due to the uncertainties related to</w:t>
      </w:r>
      <w:r w:rsidRPr="002E00A6">
        <w:rPr>
          <w:rFonts w:cs="Courier New"/>
        </w:rPr>
        <w:t xml:space="preserve"> Primodos or due to lack of </w:t>
      </w:r>
      <w:r>
        <w:rPr>
          <w:rFonts w:cs="Courier New"/>
        </w:rPr>
        <w:t>availability of wider</w:t>
      </w:r>
      <w:r w:rsidRPr="002E00A6">
        <w:rPr>
          <w:rFonts w:cs="Courier New"/>
        </w:rPr>
        <w:t xml:space="preserve"> genetic testing at the time of their birth. We thought it would be useful for you to know about </w:t>
      </w:r>
      <w:r>
        <w:rPr>
          <w:rFonts w:cs="Courier New"/>
        </w:rPr>
        <w:t xml:space="preserve">the report from the Expert Working Group, and their recommendations, should you receive such a </w:t>
      </w:r>
      <w:r w:rsidRPr="002E00A6">
        <w:rPr>
          <w:rFonts w:cs="Courier New"/>
        </w:rPr>
        <w:t>referral</w:t>
      </w:r>
      <w:r>
        <w:rPr>
          <w:rFonts w:cs="Courier New"/>
        </w:rPr>
        <w:t xml:space="preserve">. </w:t>
      </w:r>
      <w:r w:rsidRPr="002E00A6">
        <w:rPr>
          <w:rFonts w:cs="Courier New"/>
        </w:rPr>
        <w:t>A f</w:t>
      </w:r>
      <w:r>
        <w:rPr>
          <w:rFonts w:cs="Courier New"/>
        </w:rPr>
        <w:t xml:space="preserve">ull work up including referral to </w:t>
      </w:r>
      <w:r w:rsidRPr="002E00A6">
        <w:rPr>
          <w:rFonts w:cs="Courier New"/>
        </w:rPr>
        <w:t xml:space="preserve">the </w:t>
      </w:r>
      <w:proofErr w:type="gramStart"/>
      <w:r w:rsidRPr="002E00A6">
        <w:rPr>
          <w:rFonts w:cs="Courier New"/>
        </w:rPr>
        <w:t>100,000 genome</w:t>
      </w:r>
      <w:proofErr w:type="gramEnd"/>
      <w:r w:rsidRPr="002E00A6">
        <w:rPr>
          <w:rFonts w:cs="Courier New"/>
        </w:rPr>
        <w:t xml:space="preserve"> project, if other testing does not provide an aetiology, is likely to be welcomed</w:t>
      </w:r>
      <w:r>
        <w:rPr>
          <w:rFonts w:cs="Courier New"/>
        </w:rPr>
        <w:t xml:space="preserve"> to help provide them with much needed answers</w:t>
      </w:r>
      <w:r w:rsidRPr="002E00A6">
        <w:rPr>
          <w:rFonts w:cs="Courier New"/>
        </w:rPr>
        <w:t>.</w:t>
      </w:r>
    </w:p>
    <w:p w:rsidR="00BA3B60" w:rsidRDefault="00BA3B60" w:rsidP="00BA3B60">
      <w:pPr>
        <w:ind w:left="181"/>
        <w:rPr>
          <w:rFonts w:cs="Courier New"/>
        </w:rPr>
      </w:pPr>
    </w:p>
    <w:p w:rsidR="00BA3B60" w:rsidRPr="002E00A6" w:rsidRDefault="00BA3B60" w:rsidP="00BA3B60">
      <w:pPr>
        <w:ind w:left="181"/>
        <w:rPr>
          <w:rFonts w:cs="Segoe UI"/>
          <w:sz w:val="20"/>
          <w:szCs w:val="20"/>
        </w:rPr>
      </w:pPr>
      <w:r>
        <w:rPr>
          <w:rFonts w:cs="Courier New"/>
        </w:rPr>
        <w:t xml:space="preserve">With many thanks for your help and understanding, </w:t>
      </w:r>
    </w:p>
    <w:p w:rsidR="00BA3B60" w:rsidRPr="006942ED" w:rsidRDefault="00BA3B60" w:rsidP="00BA3B60">
      <w:pPr>
        <w:ind w:left="181"/>
      </w:pPr>
    </w:p>
    <w:p w:rsidR="00BA3B60" w:rsidRDefault="00BA3B60" w:rsidP="00BA3B60">
      <w:pPr>
        <w:ind w:left="180"/>
      </w:pPr>
    </w:p>
    <w:p w:rsidR="00BA3B60" w:rsidRPr="006942ED" w:rsidRDefault="00BA3B60" w:rsidP="00BA3B60">
      <w:pPr>
        <w:ind w:left="180"/>
      </w:pPr>
    </w:p>
    <w:p w:rsidR="00BA3B60" w:rsidRPr="00E3510E" w:rsidRDefault="00BA3B60" w:rsidP="00BA3B60">
      <w:pPr>
        <w:ind w:left="180"/>
        <w:rPr>
          <w:b/>
        </w:rPr>
      </w:pPr>
      <w:r w:rsidRPr="00E3510E">
        <w:rPr>
          <w:b/>
        </w:rPr>
        <w:t xml:space="preserve">Medicines and Healthcare </w:t>
      </w:r>
      <w:proofErr w:type="gramStart"/>
      <w:r w:rsidRPr="00E3510E">
        <w:rPr>
          <w:b/>
        </w:rPr>
        <w:t>products</w:t>
      </w:r>
      <w:proofErr w:type="gramEnd"/>
      <w:r w:rsidRPr="00E3510E">
        <w:rPr>
          <w:b/>
        </w:rPr>
        <w:t xml:space="preserve"> Regulatory A</w:t>
      </w:r>
      <w:r>
        <w:rPr>
          <w:b/>
        </w:rPr>
        <w:t>gency</w:t>
      </w:r>
    </w:p>
    <w:p w:rsidR="00BA3B60" w:rsidRPr="00E3510E" w:rsidRDefault="00BA3B60" w:rsidP="00BA3B60">
      <w:pPr>
        <w:ind w:left="180"/>
        <w:rPr>
          <w:b/>
        </w:rPr>
      </w:pPr>
      <w:r w:rsidRPr="00E3510E">
        <w:rPr>
          <w:b/>
        </w:rPr>
        <w:t>MHRA</w:t>
      </w:r>
    </w:p>
    <w:p w:rsidR="00BA3B60" w:rsidRDefault="00BA3B60" w:rsidP="00BA3B60">
      <w:pPr>
        <w:tabs>
          <w:tab w:val="left" w:pos="540"/>
        </w:tabs>
        <w:ind w:left="540" w:hanging="360"/>
      </w:pPr>
    </w:p>
    <w:p w:rsidR="00E3510E" w:rsidRPr="00E3510E" w:rsidRDefault="00E3510E" w:rsidP="00E3510E">
      <w:pPr>
        <w:ind w:left="180"/>
      </w:pPr>
    </w:p>
    <w:p w:rsidR="00E3510E" w:rsidRPr="00BA3B60" w:rsidRDefault="00BA3B60" w:rsidP="00E3510E">
      <w:pPr>
        <w:ind w:left="180"/>
        <w:rPr>
          <w:sz w:val="18"/>
        </w:rPr>
      </w:pPr>
      <w:r w:rsidRPr="00BA3B60">
        <w:rPr>
          <w:rStyle w:val="FootnoteReference"/>
          <w:sz w:val="18"/>
        </w:rPr>
        <w:footnoteRef/>
      </w:r>
      <w:r w:rsidRPr="00BA3B60">
        <w:rPr>
          <w:sz w:val="18"/>
        </w:rPr>
        <w:t xml:space="preserve"> </w:t>
      </w:r>
      <w:hyperlink r:id="rId12" w:history="1">
        <w:r w:rsidRPr="00BA3B60">
          <w:rPr>
            <w:rStyle w:val="Hyperlink"/>
            <w:sz w:val="18"/>
          </w:rPr>
          <w:t>https://www.gov.uk/government/publications/report-of-the-commission-on-human-medicines-expert-working-group-on-hormone-pregnancy-tests</w:t>
        </w:r>
      </w:hyperlink>
    </w:p>
    <w:p w:rsidR="008B0710" w:rsidRDefault="008B0710" w:rsidP="005758AD">
      <w:pPr>
        <w:ind w:left="180"/>
      </w:pPr>
    </w:p>
    <w:sectPr w:rsidR="008B0710" w:rsidSect="00E3510E">
      <w:pgSz w:w="11906" w:h="16838" w:code="9"/>
      <w:pgMar w:top="851" w:right="1416" w:bottom="1701" w:left="85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0F" w:rsidRDefault="00A7690F">
      <w:r>
        <w:separator/>
      </w:r>
    </w:p>
  </w:endnote>
  <w:endnote w:type="continuationSeparator" w:id="0">
    <w:p w:rsidR="00A7690F" w:rsidRDefault="00A7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C5" w:rsidRDefault="009206C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6C5" w:rsidRDefault="009206C5" w:rsidP="00497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0F" w:rsidRDefault="00A7690F">
      <w:r>
        <w:separator/>
      </w:r>
    </w:p>
  </w:footnote>
  <w:footnote w:type="continuationSeparator" w:id="0">
    <w:p w:rsidR="00A7690F" w:rsidRDefault="00A7690F">
      <w:r>
        <w:continuationSeparator/>
      </w:r>
    </w:p>
  </w:footnote>
  <w:footnote w:id="1">
    <w:p w:rsidR="009206C5" w:rsidRDefault="009206C5" w:rsidP="009206C5">
      <w:pPr>
        <w:pStyle w:val="FootnoteText"/>
      </w:pPr>
      <w:r>
        <w:rPr>
          <w:rStyle w:val="FootnoteReference"/>
        </w:rPr>
        <w:footnoteRef/>
      </w:r>
      <w:r>
        <w:t xml:space="preserve"> </w:t>
      </w:r>
      <w:hyperlink r:id="rId1" w:history="1">
        <w:r w:rsidR="00BA3B60" w:rsidRPr="002868F8">
          <w:rPr>
            <w:rStyle w:val="Hyperlink"/>
          </w:rPr>
          <w:t>https://www.gov.uk/government/publications/report-of-the-commission-on-human-medicines-expert-working-group-on-hormone-pregnancy-tests</w:t>
        </w:r>
      </w:hyperlink>
      <w:r w:rsidR="00BA3B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C5" w:rsidRPr="005758AD" w:rsidRDefault="00AF5ECF" w:rsidP="005758AD">
    <w:pPr>
      <w:pStyle w:val="Header"/>
      <w:spacing w:after="480"/>
      <w:rPr>
        <w:sz w:val="22"/>
        <w:szCs w:val="22"/>
      </w:rPr>
    </w:pPr>
    <w:r>
      <w:rPr>
        <w:noProof/>
      </w:rPr>
      <w:drawing>
        <wp:anchor distT="0" distB="0" distL="114300" distR="114300" simplePos="0" relativeHeight="251657728" behindDoc="1" locked="0" layoutInCell="1" allowOverlap="1" wp14:anchorId="69A686B8" wp14:editId="66B7C65B">
          <wp:simplePos x="0" y="0"/>
          <wp:positionH relativeFrom="page">
            <wp:posOffset>4770755</wp:posOffset>
          </wp:positionH>
          <wp:positionV relativeFrom="page">
            <wp:posOffset>532130</wp:posOffset>
          </wp:positionV>
          <wp:extent cx="2160270" cy="66548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8B335F" wp14:editId="7A2E474F">
          <wp:extent cx="2788920" cy="716280"/>
          <wp:effectExtent l="0" t="0" r="0" b="0"/>
          <wp:docPr id="1" name="Picture 1"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9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60"/>
    <w:rsid w:val="00095648"/>
    <w:rsid w:val="000E3E81"/>
    <w:rsid w:val="00151A05"/>
    <w:rsid w:val="001964FB"/>
    <w:rsid w:val="002E516F"/>
    <w:rsid w:val="00325D5A"/>
    <w:rsid w:val="003274A4"/>
    <w:rsid w:val="00373596"/>
    <w:rsid w:val="00492C90"/>
    <w:rsid w:val="00497DA5"/>
    <w:rsid w:val="005403F0"/>
    <w:rsid w:val="005758AD"/>
    <w:rsid w:val="005A01A7"/>
    <w:rsid w:val="005B21FF"/>
    <w:rsid w:val="005C603B"/>
    <w:rsid w:val="0063671E"/>
    <w:rsid w:val="00645F37"/>
    <w:rsid w:val="00655EE5"/>
    <w:rsid w:val="006A68B0"/>
    <w:rsid w:val="00710BFF"/>
    <w:rsid w:val="00776666"/>
    <w:rsid w:val="0079245C"/>
    <w:rsid w:val="00792F10"/>
    <w:rsid w:val="007A06C4"/>
    <w:rsid w:val="007C605B"/>
    <w:rsid w:val="00821CBE"/>
    <w:rsid w:val="00832308"/>
    <w:rsid w:val="00834F8D"/>
    <w:rsid w:val="008507C1"/>
    <w:rsid w:val="008A3560"/>
    <w:rsid w:val="008A6779"/>
    <w:rsid w:val="008B0710"/>
    <w:rsid w:val="008C46EC"/>
    <w:rsid w:val="008F014A"/>
    <w:rsid w:val="00913E0A"/>
    <w:rsid w:val="009206C5"/>
    <w:rsid w:val="00980565"/>
    <w:rsid w:val="009B7CCB"/>
    <w:rsid w:val="009E0114"/>
    <w:rsid w:val="009E4B24"/>
    <w:rsid w:val="00A12652"/>
    <w:rsid w:val="00A13C5E"/>
    <w:rsid w:val="00A74FCD"/>
    <w:rsid w:val="00A7690F"/>
    <w:rsid w:val="00AD631E"/>
    <w:rsid w:val="00AF5ECF"/>
    <w:rsid w:val="00B12F2D"/>
    <w:rsid w:val="00B450E6"/>
    <w:rsid w:val="00B9108E"/>
    <w:rsid w:val="00BA3B60"/>
    <w:rsid w:val="00BD0F64"/>
    <w:rsid w:val="00C03557"/>
    <w:rsid w:val="00C47A02"/>
    <w:rsid w:val="00C95706"/>
    <w:rsid w:val="00CA13C9"/>
    <w:rsid w:val="00CF0A52"/>
    <w:rsid w:val="00D05375"/>
    <w:rsid w:val="00DB02A6"/>
    <w:rsid w:val="00E3510E"/>
    <w:rsid w:val="00E959F8"/>
    <w:rsid w:val="00ED1945"/>
    <w:rsid w:val="00F31601"/>
    <w:rsid w:val="00F740EB"/>
    <w:rsid w:val="00F919B6"/>
    <w:rsid w:val="00FA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18B3"/>
  <w15:docId w15:val="{22FBB2F9-955F-4CE3-A98A-208840D4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AD631E"/>
    <w:rPr>
      <w:rFonts w:ascii="Arial" w:hAnsi="Arial"/>
      <w:sz w:val="18"/>
      <w:szCs w:val="24"/>
    </w:rPr>
  </w:style>
  <w:style w:type="paragraph" w:styleId="Footer">
    <w:name w:val="footer"/>
    <w:link w:val="FooterChar"/>
    <w:semiHidden/>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styleId="FootnoteText">
    <w:name w:val="footnote text"/>
    <w:basedOn w:val="Normal"/>
    <w:link w:val="FootnoteTextChar"/>
    <w:uiPriority w:val="99"/>
    <w:semiHidden/>
    <w:unhideWhenUsed/>
    <w:rsid w:val="009206C5"/>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9206C5"/>
    <w:rPr>
      <w:rFonts w:ascii="Calibri" w:eastAsia="Calibri" w:hAnsi="Calibri"/>
      <w:lang w:eastAsia="en-US"/>
    </w:rPr>
  </w:style>
  <w:style w:type="character" w:styleId="FootnoteReference">
    <w:name w:val="footnote reference"/>
    <w:uiPriority w:val="99"/>
    <w:semiHidden/>
    <w:unhideWhenUsed/>
    <w:rsid w:val="009206C5"/>
    <w:rPr>
      <w:vertAlign w:val="superscript"/>
    </w:rPr>
  </w:style>
  <w:style w:type="character" w:styleId="UnresolvedMention">
    <w:name w:val="Unresolved Mention"/>
    <w:basedOn w:val="DefaultParagraphFont"/>
    <w:uiPriority w:val="99"/>
    <w:semiHidden/>
    <w:unhideWhenUsed/>
    <w:rsid w:val="00BA3B60"/>
    <w:rPr>
      <w:color w:val="808080"/>
      <w:shd w:val="clear" w:color="auto" w:fill="E6E6E6"/>
    </w:rPr>
  </w:style>
  <w:style w:type="character" w:customStyle="1" w:styleId="HeaderChar">
    <w:name w:val="Header Char"/>
    <w:basedOn w:val="DefaultParagraphFont"/>
    <w:link w:val="Header"/>
    <w:semiHidden/>
    <w:rsid w:val="007C605B"/>
    <w:rPr>
      <w:rFonts w:ascii="Arial" w:hAnsi="Arial"/>
      <w:sz w:val="18"/>
      <w:szCs w:val="24"/>
    </w:rPr>
  </w:style>
  <w:style w:type="character" w:customStyle="1" w:styleId="FooterChar">
    <w:name w:val="Footer Char"/>
    <w:basedOn w:val="DefaultParagraphFont"/>
    <w:link w:val="Footer"/>
    <w:semiHidden/>
    <w:rsid w:val="007C605B"/>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port-of-the-commission-on-human-medicines-expert-working-group-on-hormone-pregnancy-t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gm.org.uk/information-education/genetics-centres/" TargetMode="External"/><Relationship Id="rId12" Type="http://schemas.openxmlformats.org/officeDocument/2006/relationships/hyperlink" Target="https://www.gov.uk/government/publications/report-of-the-commission-on-human-medicines-expert-working-group-on-hormone-pregnancy-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mhra"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port-of-the-commission-on-human-medicines-expert-working-group-on-hormone-pregnancy-tes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lleyj\OneDrive%20-%20MHRA\Oral%20Contraceptives\Primodos\HPT%20EWG%20Report\Recommendations\Referral%20letter%20genetic%20testing%20GP%20to%20genetic%20cent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Referral letter genetic testing GP to genetic centres</Template>
  <TotalTime>13</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Woolley, Dr Jane</dc:creator>
  <cp:keywords>letter</cp:keywords>
  <dc:description/>
  <cp:lastModifiedBy>Woolley, Dr Jane</cp:lastModifiedBy>
  <cp:revision>7</cp:revision>
  <cp:lastPrinted>2015-05-21T16:32:00Z</cp:lastPrinted>
  <dcterms:created xsi:type="dcterms:W3CDTF">2018-02-05T09:39:00Z</dcterms:created>
  <dcterms:modified xsi:type="dcterms:W3CDTF">2018-02-05T09:58:00Z</dcterms:modified>
  <cp:category>template</cp:category>
</cp:coreProperties>
</file>