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E9574" w14:textId="7A6394E2" w:rsidR="00545B6C" w:rsidRPr="00D20D5C" w:rsidRDefault="00D20D5C" w:rsidP="00AD05F3">
      <w:pPr>
        <w:pStyle w:val="Title"/>
        <w:rPr>
          <w:sz w:val="56"/>
        </w:rPr>
      </w:pPr>
      <w:r>
        <w:rPr>
          <w:noProof/>
          <w:sz w:val="56"/>
        </w:rPr>
        <w:drawing>
          <wp:anchor distT="0" distB="0" distL="114300" distR="114300" simplePos="0" relativeHeight="251658240" behindDoc="0" locked="0" layoutInCell="1" allowOverlap="1" wp14:anchorId="36412825" wp14:editId="3ED802C7">
            <wp:simplePos x="0" y="0"/>
            <wp:positionH relativeFrom="margin">
              <wp:align>right</wp:align>
            </wp:positionH>
            <wp:positionV relativeFrom="paragraph">
              <wp:posOffset>-2540</wp:posOffset>
            </wp:positionV>
            <wp:extent cx="2068337" cy="1019908"/>
            <wp:effectExtent l="0" t="0" r="825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8337" cy="1019908"/>
                    </a:xfrm>
                    <a:prstGeom prst="rect">
                      <a:avLst/>
                    </a:prstGeom>
                    <a:noFill/>
                  </pic:spPr>
                </pic:pic>
              </a:graphicData>
            </a:graphic>
            <wp14:sizeRelH relativeFrom="margin">
              <wp14:pctWidth>0</wp14:pctWidth>
            </wp14:sizeRelH>
            <wp14:sizeRelV relativeFrom="margin">
              <wp14:pctHeight>0</wp14:pctHeight>
            </wp14:sizeRelV>
          </wp:anchor>
        </w:drawing>
      </w:r>
      <w:r w:rsidRPr="00D20D5C">
        <w:rPr>
          <w:sz w:val="56"/>
        </w:rPr>
        <w:t xml:space="preserve">Office of the Public Guardian </w:t>
      </w:r>
    </w:p>
    <w:p w14:paraId="4848496C" w14:textId="006B4D2C" w:rsidR="00B91315" w:rsidRPr="00D20D5C" w:rsidRDefault="00E66A89" w:rsidP="00AD05F3">
      <w:pPr>
        <w:pStyle w:val="Subtitle"/>
        <w:rPr>
          <w:sz w:val="44"/>
        </w:rPr>
      </w:pPr>
      <w:r w:rsidRPr="00D20D5C">
        <w:rPr>
          <w:sz w:val="44"/>
        </w:rPr>
        <w:t>Records Retention and Disposition Schedule</w:t>
      </w:r>
    </w:p>
    <w:p w14:paraId="12959C9B" w14:textId="77777777" w:rsidR="00E66A89" w:rsidRDefault="00E66A89" w:rsidP="00E66A89">
      <w:pPr>
        <w:pStyle w:val="Heading2"/>
      </w:pPr>
      <w:bookmarkStart w:id="0" w:name="_Toc6321028"/>
      <w:r w:rsidRPr="00E66A89">
        <w:t>Introduction</w:t>
      </w:r>
    </w:p>
    <w:bookmarkEnd w:id="0"/>
    <w:p w14:paraId="11FC3CEF" w14:textId="39F91F94" w:rsidR="00D20D5C" w:rsidRDefault="00D20D5C" w:rsidP="0036190D">
      <w:pPr>
        <w:numPr>
          <w:ilvl w:val="0"/>
          <w:numId w:val="6"/>
        </w:numPr>
        <w:spacing w:after="0" w:line="240" w:lineRule="auto"/>
        <w:ind w:left="360"/>
        <w:rPr>
          <w:rFonts w:cs="Arial"/>
        </w:rPr>
      </w:pPr>
      <w:r w:rsidRPr="00754A1B">
        <w:rPr>
          <w:rFonts w:cs="Arial"/>
        </w:rPr>
        <w:t xml:space="preserve">This schedule </w:t>
      </w:r>
      <w:r w:rsidR="0036190D" w:rsidRPr="0036190D">
        <w:rPr>
          <w:rFonts w:cs="Arial"/>
        </w:rPr>
        <w:t xml:space="preserve">applies to the records that are created and managed by staff employed in the </w:t>
      </w:r>
      <w:r w:rsidR="0036190D">
        <w:rPr>
          <w:rFonts w:cs="Arial"/>
        </w:rPr>
        <w:t>Office of the Public Guardian (OPG)</w:t>
      </w:r>
      <w:r w:rsidR="0036190D" w:rsidRPr="0036190D">
        <w:rPr>
          <w:rFonts w:cs="Arial"/>
        </w:rPr>
        <w:t xml:space="preserve">. It </w:t>
      </w:r>
      <w:r w:rsidR="0036190D">
        <w:rPr>
          <w:rFonts w:cs="Arial"/>
        </w:rPr>
        <w:t>has been agreed f</w:t>
      </w:r>
      <w:r>
        <w:rPr>
          <w:rFonts w:cs="Arial"/>
        </w:rPr>
        <w:t xml:space="preserve">ollowing consultation between the </w:t>
      </w:r>
      <w:r w:rsidR="0036190D">
        <w:rPr>
          <w:rFonts w:cs="Arial"/>
        </w:rPr>
        <w:t xml:space="preserve">OPG </w:t>
      </w:r>
      <w:r>
        <w:rPr>
          <w:rFonts w:cs="Arial"/>
        </w:rPr>
        <w:t xml:space="preserve">and </w:t>
      </w:r>
      <w:r w:rsidRPr="00754A1B">
        <w:rPr>
          <w:rFonts w:cs="Arial"/>
        </w:rPr>
        <w:t>the Departmental Records Officer</w:t>
      </w:r>
      <w:r w:rsidR="0036190D">
        <w:rPr>
          <w:rFonts w:cs="Arial"/>
        </w:rPr>
        <w:t>’s</w:t>
      </w:r>
      <w:r w:rsidRPr="00754A1B">
        <w:rPr>
          <w:rFonts w:cs="Arial"/>
        </w:rPr>
        <w:t xml:space="preserve"> (DRO)</w:t>
      </w:r>
      <w:r>
        <w:rPr>
          <w:rFonts w:cs="Arial"/>
        </w:rPr>
        <w:t xml:space="preserve"> </w:t>
      </w:r>
      <w:r w:rsidR="0036190D">
        <w:rPr>
          <w:rFonts w:cs="Arial"/>
        </w:rPr>
        <w:t xml:space="preserve">team </w:t>
      </w:r>
      <w:r>
        <w:rPr>
          <w:rFonts w:cs="Arial"/>
        </w:rPr>
        <w:t>in the Ministry of Justice</w:t>
      </w:r>
      <w:r w:rsidRPr="00754A1B">
        <w:rPr>
          <w:rFonts w:cs="Arial"/>
        </w:rPr>
        <w:t xml:space="preserve">. </w:t>
      </w:r>
      <w:r w:rsidRPr="00EA250A">
        <w:rPr>
          <w:rFonts w:cs="Arial"/>
        </w:rPr>
        <w:br/>
      </w:r>
    </w:p>
    <w:p w14:paraId="14BA47B0" w14:textId="3624572E" w:rsidR="00D20D5C" w:rsidRPr="005C05D5" w:rsidRDefault="005C05D5" w:rsidP="005C05D5">
      <w:pPr>
        <w:numPr>
          <w:ilvl w:val="0"/>
          <w:numId w:val="6"/>
        </w:numPr>
        <w:spacing w:after="0" w:line="240" w:lineRule="auto"/>
        <w:ind w:left="360"/>
        <w:rPr>
          <w:rFonts w:cs="Arial"/>
        </w:rPr>
      </w:pPr>
      <w:r w:rsidRPr="005C05D5">
        <w:rPr>
          <w:rFonts w:cs="Arial"/>
        </w:rPr>
        <w:t>As a public body, the MoJ takes its responsibilities for managing information seriously. These responsibilities include compliance with the Public Records Act 1958, General Data Protection Regulation (GDPR), the Data Protection Act 2018, Freedom of Information Act 2000 (FoIA) and amending legislation. The MoJ uses Records Retention and Disposition Schedules (RRDS) to manage its compliance with statutory obligations to identify what information and records we hold, how long we keep it and what should happen to these records at the end of that time.</w:t>
      </w:r>
    </w:p>
    <w:p w14:paraId="495CDA84" w14:textId="77777777" w:rsidR="00D20D5C" w:rsidRDefault="00D20D5C" w:rsidP="00D20D5C">
      <w:pPr>
        <w:spacing w:after="0"/>
        <w:ind w:left="360"/>
        <w:rPr>
          <w:rFonts w:cs="Arial"/>
        </w:rPr>
      </w:pPr>
    </w:p>
    <w:p w14:paraId="0A37E0E9" w14:textId="697B000A" w:rsidR="00D20D5C" w:rsidRDefault="00D20D5C" w:rsidP="00D20D5C">
      <w:pPr>
        <w:numPr>
          <w:ilvl w:val="0"/>
          <w:numId w:val="6"/>
        </w:numPr>
        <w:spacing w:after="0" w:line="240" w:lineRule="auto"/>
        <w:ind w:left="360"/>
        <w:rPr>
          <w:rFonts w:cs="Arial"/>
        </w:rPr>
      </w:pPr>
      <w:r w:rsidRPr="0054018A">
        <w:rPr>
          <w:rFonts w:cs="Arial"/>
        </w:rPr>
        <w:t>The</w:t>
      </w:r>
      <w:r>
        <w:rPr>
          <w:rFonts w:cs="Arial"/>
        </w:rPr>
        <w:t xml:space="preserve"> Office of the Public Guardian’s work </w:t>
      </w:r>
      <w:r w:rsidRPr="0054018A">
        <w:rPr>
          <w:rFonts w:cs="Arial"/>
        </w:rPr>
        <w:t>is governed by</w:t>
      </w:r>
      <w:r>
        <w:rPr>
          <w:rFonts w:cs="Arial"/>
        </w:rPr>
        <w:t xml:space="preserve"> the Mental Capacity Act 2005 and amending legislation.</w:t>
      </w:r>
    </w:p>
    <w:p w14:paraId="2EBD5CD8" w14:textId="06878DEC" w:rsidR="005C05D5" w:rsidRDefault="005C05D5" w:rsidP="005C05D5">
      <w:pPr>
        <w:spacing w:after="0" w:line="240" w:lineRule="auto"/>
        <w:rPr>
          <w:rFonts w:cs="Arial"/>
        </w:rPr>
      </w:pPr>
    </w:p>
    <w:p w14:paraId="328738F0" w14:textId="77777777" w:rsidR="005C05D5" w:rsidRPr="00D2502D" w:rsidRDefault="005C05D5" w:rsidP="005C05D5">
      <w:pPr>
        <w:pStyle w:val="Heading2"/>
        <w:rPr>
          <w:sz w:val="28"/>
          <w:szCs w:val="28"/>
        </w:rPr>
      </w:pPr>
      <w:r w:rsidRPr="00D2502D">
        <w:rPr>
          <w:sz w:val="28"/>
          <w:szCs w:val="28"/>
        </w:rPr>
        <w:t>More about this schedule</w:t>
      </w:r>
    </w:p>
    <w:p w14:paraId="709E1920" w14:textId="77777777" w:rsidR="00D20D5C" w:rsidRPr="003241F2" w:rsidRDefault="00D20D5C" w:rsidP="00D20D5C">
      <w:pPr>
        <w:numPr>
          <w:ilvl w:val="0"/>
          <w:numId w:val="6"/>
        </w:numPr>
        <w:spacing w:after="0" w:line="240" w:lineRule="auto"/>
        <w:ind w:left="360"/>
        <w:rPr>
          <w:rFonts w:cs="Arial"/>
        </w:rPr>
      </w:pPr>
      <w:r>
        <w:rPr>
          <w:rFonts w:cs="Arial"/>
        </w:rPr>
        <w:t xml:space="preserve">The </w:t>
      </w:r>
      <w:r w:rsidRPr="003241F2">
        <w:rPr>
          <w:rFonts w:cs="Arial"/>
        </w:rPr>
        <w:t xml:space="preserve">records listed below are </w:t>
      </w:r>
      <w:r>
        <w:rPr>
          <w:rFonts w:cs="Arial"/>
        </w:rPr>
        <w:t xml:space="preserve">not </w:t>
      </w:r>
      <w:r w:rsidRPr="003241F2">
        <w:rPr>
          <w:rFonts w:cs="Arial"/>
        </w:rPr>
        <w:t xml:space="preserve">selected for permanent preservation. </w:t>
      </w:r>
    </w:p>
    <w:p w14:paraId="7C36CA0C" w14:textId="77777777" w:rsidR="00D20D5C" w:rsidRDefault="00D20D5C" w:rsidP="00D20D5C">
      <w:pPr>
        <w:spacing w:after="0"/>
        <w:ind w:left="360"/>
        <w:rPr>
          <w:rFonts w:cs="Arial"/>
        </w:rPr>
      </w:pPr>
    </w:p>
    <w:p w14:paraId="5CF21E13" w14:textId="77777777" w:rsidR="00D20D5C" w:rsidRDefault="00D20D5C" w:rsidP="00D20D5C">
      <w:pPr>
        <w:numPr>
          <w:ilvl w:val="0"/>
          <w:numId w:val="6"/>
        </w:numPr>
        <w:spacing w:after="0" w:line="240" w:lineRule="auto"/>
        <w:ind w:left="360"/>
        <w:rPr>
          <w:rFonts w:cs="Arial"/>
        </w:rPr>
      </w:pPr>
      <w:r>
        <w:rPr>
          <w:rFonts w:cs="Arial"/>
        </w:rPr>
        <w:t>This schedule is split into two sections:</w:t>
      </w:r>
    </w:p>
    <w:p w14:paraId="4F78B883" w14:textId="77777777" w:rsidR="00D20D5C" w:rsidRDefault="00D20D5C" w:rsidP="00D20D5C">
      <w:pPr>
        <w:spacing w:after="0"/>
        <w:ind w:left="360"/>
        <w:rPr>
          <w:rFonts w:cs="Arial"/>
        </w:rPr>
      </w:pPr>
    </w:p>
    <w:p w14:paraId="654B4BDC" w14:textId="77777777" w:rsidR="00D20D5C" w:rsidRDefault="00D20D5C" w:rsidP="00D20D5C">
      <w:pPr>
        <w:numPr>
          <w:ilvl w:val="1"/>
          <w:numId w:val="6"/>
        </w:numPr>
        <w:spacing w:after="0" w:line="240" w:lineRule="auto"/>
        <w:rPr>
          <w:rFonts w:cs="Arial"/>
        </w:rPr>
      </w:pPr>
      <w:r>
        <w:rPr>
          <w:rFonts w:cs="Arial"/>
        </w:rPr>
        <w:t>Records unique to the Office of the Public Guardian</w:t>
      </w:r>
    </w:p>
    <w:p w14:paraId="62945F83" w14:textId="03FF9EBA" w:rsidR="005C05D5" w:rsidRDefault="00D20D5C" w:rsidP="005C05D5">
      <w:pPr>
        <w:numPr>
          <w:ilvl w:val="1"/>
          <w:numId w:val="6"/>
        </w:numPr>
        <w:spacing w:after="0" w:line="240" w:lineRule="auto"/>
        <w:rPr>
          <w:rFonts w:cs="Arial"/>
        </w:rPr>
      </w:pPr>
      <w:r w:rsidRPr="00950CCF">
        <w:rPr>
          <w:rFonts w:cs="Arial"/>
        </w:rPr>
        <w:t>Records held by various teams within the MoJ and its associated bodies and where a common retention and disposition policy is applied.</w:t>
      </w:r>
    </w:p>
    <w:p w14:paraId="007909D6" w14:textId="77777777" w:rsidR="005C05D5" w:rsidRDefault="005C05D5" w:rsidP="005C05D5">
      <w:pPr>
        <w:spacing w:after="0" w:line="240" w:lineRule="auto"/>
        <w:rPr>
          <w:rFonts w:cs="Arial"/>
        </w:rPr>
      </w:pPr>
    </w:p>
    <w:p w14:paraId="6FD57990" w14:textId="1C5A20E7" w:rsidR="005C05D5" w:rsidRPr="005C05D5" w:rsidRDefault="005C05D5" w:rsidP="005C05D5">
      <w:pPr>
        <w:numPr>
          <w:ilvl w:val="0"/>
          <w:numId w:val="6"/>
        </w:numPr>
        <w:spacing w:after="0" w:line="240" w:lineRule="auto"/>
        <w:ind w:left="360"/>
        <w:rPr>
          <w:rFonts w:cs="Arial"/>
        </w:rPr>
      </w:pPr>
      <w:r w:rsidRPr="005C05D5">
        <w:rPr>
          <w:rFonts w:cs="Arial"/>
        </w:rPr>
        <w:t xml:space="preserve">If a Freedom of Information Act 2000 request or a subject access request under the General Data Protection Regulation and Data Protection Act 2018 is received, a hold must be put on the relevant records for at least </w:t>
      </w:r>
      <w:r w:rsidRPr="005C05D5">
        <w:rPr>
          <w:rFonts w:cs="Arial"/>
          <w:b/>
        </w:rPr>
        <w:t>three months</w:t>
      </w:r>
      <w:r w:rsidRPr="005C05D5">
        <w:rPr>
          <w:rFonts w:cs="Arial"/>
        </w:rPr>
        <w:t xml:space="preserve"> after the request is resolved</w:t>
      </w:r>
      <w:r>
        <w:rPr>
          <w:rStyle w:val="FootnoteReference"/>
          <w:rFonts w:cs="Arial"/>
          <w:szCs w:val="24"/>
        </w:rPr>
        <w:footnoteReference w:id="1"/>
      </w:r>
      <w:r w:rsidRPr="005C05D5">
        <w:rPr>
          <w:rFonts w:cs="Arial"/>
        </w:rPr>
        <w:t xml:space="preserve">.   </w:t>
      </w:r>
    </w:p>
    <w:p w14:paraId="78AFB53B" w14:textId="4AC0685E" w:rsidR="00D20D5C" w:rsidRDefault="00D20D5C" w:rsidP="00D20D5C">
      <w:pPr>
        <w:spacing w:after="0"/>
        <w:ind w:left="360"/>
        <w:rPr>
          <w:rFonts w:cs="Arial"/>
        </w:rPr>
      </w:pPr>
    </w:p>
    <w:p w14:paraId="07C8944B" w14:textId="73C74E39" w:rsidR="00D20D5C" w:rsidRDefault="00EC4A41" w:rsidP="00EC4A41">
      <w:pPr>
        <w:numPr>
          <w:ilvl w:val="0"/>
          <w:numId w:val="6"/>
        </w:numPr>
        <w:spacing w:after="0" w:line="240" w:lineRule="auto"/>
        <w:ind w:left="360"/>
        <w:rPr>
          <w:rFonts w:cs="Arial"/>
        </w:rPr>
      </w:pPr>
      <w:r w:rsidRPr="00EC4A41">
        <w:rPr>
          <w:rFonts w:cs="Arial"/>
        </w:rPr>
        <w:lastRenderedPageBreak/>
        <w:t>While the Independent Inquiry into Child Sexual Abuse (IICSA) continues its investigations, the moratorium on the destruction of records of potential interest remains in place. All government departments and their associated bodies (in common with other public sector bodies) are required to comply with the moratorium. All business areas should apply the moratorium to any records covered by the following criteria</w:t>
      </w:r>
      <w:r w:rsidR="00D20D5C" w:rsidRPr="00EC4A41">
        <w:rPr>
          <w:rFonts w:cs="Arial"/>
        </w:rPr>
        <w:t>:</w:t>
      </w:r>
    </w:p>
    <w:p w14:paraId="34EDBE77" w14:textId="77777777" w:rsidR="00D20D5C" w:rsidRDefault="00D20D5C" w:rsidP="00D20D5C">
      <w:pPr>
        <w:spacing w:after="0"/>
        <w:ind w:left="1440"/>
        <w:rPr>
          <w:rFonts w:cs="Arial"/>
        </w:rPr>
      </w:pPr>
    </w:p>
    <w:p w14:paraId="1FB09E12" w14:textId="77777777" w:rsidR="00D20D5C" w:rsidRPr="00ED1415" w:rsidRDefault="00D20D5C" w:rsidP="00D20D5C">
      <w:pPr>
        <w:numPr>
          <w:ilvl w:val="1"/>
          <w:numId w:val="6"/>
        </w:numPr>
        <w:spacing w:after="0" w:line="240" w:lineRule="auto"/>
        <w:rPr>
          <w:rFonts w:cs="Arial"/>
        </w:rPr>
      </w:pPr>
      <w:r w:rsidRPr="00754A1B">
        <w:rPr>
          <w:rFonts w:cs="Arial"/>
        </w:rPr>
        <w:t>documents</w:t>
      </w:r>
      <w:r>
        <w:rPr>
          <w:rFonts w:cs="Arial"/>
        </w:rPr>
        <w:t xml:space="preserve"> </w:t>
      </w:r>
      <w:r w:rsidRPr="00754A1B">
        <w:rPr>
          <w:rFonts w:cs="Arial"/>
        </w:rPr>
        <w:t>which contain or may contain content pertaining directly or indirectly to the sexual abuse</w:t>
      </w:r>
      <w:r w:rsidRPr="00754A1B">
        <w:rPr>
          <w:rFonts w:cs="Arial"/>
          <w:color w:val="000000"/>
        </w:rPr>
        <w:t xml:space="preserve"> of children </w:t>
      </w:r>
      <w:r>
        <w:rPr>
          <w:rFonts w:cs="Arial"/>
          <w:color w:val="000000"/>
        </w:rPr>
        <w:t>or to child protection and care</w:t>
      </w:r>
    </w:p>
    <w:p w14:paraId="55ACCCEA" w14:textId="77777777" w:rsidR="00D20D5C" w:rsidRDefault="00D20D5C" w:rsidP="00D20D5C">
      <w:pPr>
        <w:numPr>
          <w:ilvl w:val="1"/>
          <w:numId w:val="6"/>
        </w:numPr>
        <w:spacing w:after="0" w:line="240" w:lineRule="auto"/>
        <w:rPr>
          <w:rFonts w:cs="Arial"/>
        </w:rPr>
      </w:pPr>
      <w:r>
        <w:rPr>
          <w:rFonts w:cs="Arial"/>
        </w:rPr>
        <w:t xml:space="preserve">the document types include, but are not limited to, </w:t>
      </w:r>
      <w:r w:rsidRPr="00754A1B">
        <w:rPr>
          <w:rFonts w:cs="Arial"/>
        </w:rPr>
        <w:t>correspondence, notes, emails</w:t>
      </w:r>
      <w:r>
        <w:rPr>
          <w:rFonts w:cs="Arial"/>
        </w:rPr>
        <w:t>,</w:t>
      </w:r>
      <w:r w:rsidRPr="00754A1B">
        <w:rPr>
          <w:rFonts w:cs="Arial"/>
        </w:rPr>
        <w:t xml:space="preserve"> and </w:t>
      </w:r>
      <w:r>
        <w:rPr>
          <w:rFonts w:cs="Arial"/>
        </w:rPr>
        <w:t>case files, regardless of the format in which they are stored (digital, paper, CDs, etc)</w:t>
      </w:r>
      <w:r w:rsidRPr="00754A1B">
        <w:rPr>
          <w:rFonts w:cs="Arial"/>
        </w:rPr>
        <w:t xml:space="preserve"> </w:t>
      </w:r>
    </w:p>
    <w:p w14:paraId="613E0592" w14:textId="77777777" w:rsidR="00D20D5C" w:rsidRPr="00ED1415" w:rsidRDefault="00D20D5C" w:rsidP="00D20D5C">
      <w:pPr>
        <w:numPr>
          <w:ilvl w:val="1"/>
          <w:numId w:val="6"/>
        </w:numPr>
        <w:spacing w:after="0" w:line="240" w:lineRule="auto"/>
        <w:rPr>
          <w:rFonts w:cs="Arial"/>
        </w:rPr>
      </w:pPr>
      <w:r>
        <w:rPr>
          <w:rFonts w:cs="Arial"/>
          <w:color w:val="000000"/>
        </w:rPr>
        <w:t>f</w:t>
      </w:r>
      <w:r w:rsidRPr="00754A1B">
        <w:rPr>
          <w:rFonts w:cs="Arial"/>
          <w:color w:val="000000"/>
        </w:rPr>
        <w:t>or the purposes of this instruction, the word “children” relates to any person under the age of 18</w:t>
      </w:r>
    </w:p>
    <w:p w14:paraId="2368A6B4" w14:textId="77777777" w:rsidR="00D20D5C" w:rsidRPr="00754A1B" w:rsidRDefault="00D20D5C" w:rsidP="00D20D5C">
      <w:pPr>
        <w:numPr>
          <w:ilvl w:val="1"/>
          <w:numId w:val="6"/>
        </w:numPr>
        <w:spacing w:after="0" w:line="240" w:lineRule="auto"/>
        <w:rPr>
          <w:rFonts w:cs="Arial"/>
        </w:rPr>
      </w:pPr>
      <w:r>
        <w:rPr>
          <w:rFonts w:cs="Arial"/>
          <w:color w:val="000000"/>
        </w:rPr>
        <w:t xml:space="preserve">further information about the moratorium is available on IICSA’s website at: </w:t>
      </w:r>
      <w:hyperlink r:id="rId12" w:history="1">
        <w:r w:rsidRPr="00513424">
          <w:rPr>
            <w:rStyle w:val="Hyperlink"/>
            <w:rFonts w:cs="Arial"/>
            <w:color w:val="0000CC"/>
          </w:rPr>
          <w:t>https://www.iicsa.org.uk/news/chair-of-the-inquiry-issues-guidance-on-destruction-of-documents</w:t>
        </w:r>
      </w:hyperlink>
      <w:r>
        <w:rPr>
          <w:rFonts w:cs="Arial"/>
          <w:color w:val="000000"/>
        </w:rPr>
        <w:t>.</w:t>
      </w:r>
    </w:p>
    <w:p w14:paraId="00D01A1E" w14:textId="77777777" w:rsidR="00D20D5C" w:rsidRDefault="00D20D5C" w:rsidP="00D20D5C">
      <w:pPr>
        <w:spacing w:after="0"/>
        <w:ind w:left="360"/>
        <w:rPr>
          <w:rFonts w:cs="Arial"/>
        </w:rPr>
      </w:pPr>
    </w:p>
    <w:p w14:paraId="4A869264" w14:textId="74AE0732" w:rsidR="00D20D5C" w:rsidRDefault="00D20D5C" w:rsidP="00D20D5C">
      <w:pPr>
        <w:numPr>
          <w:ilvl w:val="0"/>
          <w:numId w:val="6"/>
        </w:numPr>
        <w:spacing w:after="0" w:line="240" w:lineRule="auto"/>
        <w:ind w:left="360"/>
        <w:rPr>
          <w:rStyle w:val="Hyperlink"/>
          <w:rFonts w:cs="Arial"/>
          <w:color w:val="auto"/>
          <w:u w:val="none"/>
        </w:rPr>
      </w:pPr>
      <w:r w:rsidRPr="009F5E96">
        <w:rPr>
          <w:rFonts w:cs="Arial"/>
        </w:rPr>
        <w:t xml:space="preserve">As part of its commitment to transparency, this schedule will be published on the MoJ’s webpage: </w:t>
      </w:r>
      <w:hyperlink r:id="rId13" w:history="1">
        <w:r w:rsidRPr="00513424">
          <w:rPr>
            <w:rStyle w:val="Hyperlink"/>
            <w:rFonts w:cs="Arial"/>
            <w:color w:val="0000CC"/>
          </w:rPr>
          <w:t>https://www.gov.uk/government/publications/record-retention-and-disposition-schedules</w:t>
        </w:r>
      </w:hyperlink>
      <w:r w:rsidRPr="00D20D5C">
        <w:rPr>
          <w:rStyle w:val="Hyperlink"/>
          <w:rFonts w:cs="Arial"/>
          <w:color w:val="auto"/>
          <w:u w:val="none"/>
        </w:rPr>
        <w:t>.</w:t>
      </w:r>
    </w:p>
    <w:p w14:paraId="53570A6B" w14:textId="77777777" w:rsidR="00707B9E" w:rsidRDefault="00707B9E" w:rsidP="00707B9E">
      <w:pPr>
        <w:spacing w:after="0" w:line="240" w:lineRule="auto"/>
        <w:ind w:left="360"/>
        <w:rPr>
          <w:rFonts w:cs="Arial"/>
        </w:rPr>
      </w:pPr>
    </w:p>
    <w:p w14:paraId="4FB3CC63" w14:textId="0E664FF4" w:rsidR="001F2EEE" w:rsidRDefault="001F2EEE">
      <w:pPr>
        <w:spacing w:after="160" w:line="259" w:lineRule="auto"/>
        <w:rPr>
          <w:rFonts w:asciiTheme="majorHAnsi" w:eastAsiaTheme="majorEastAsia" w:hAnsiTheme="majorHAnsi" w:cstheme="majorBidi"/>
          <w:b/>
          <w:color w:val="FF0000"/>
          <w:sz w:val="32"/>
          <w:szCs w:val="26"/>
        </w:rPr>
      </w:pPr>
      <w:r>
        <w:rPr>
          <w:color w:val="FF0000"/>
        </w:rPr>
        <w:br w:type="page"/>
      </w:r>
    </w:p>
    <w:p w14:paraId="583CED60" w14:textId="3F2AFA31" w:rsidR="00E66A89" w:rsidRDefault="00E66A89" w:rsidP="00E66A89">
      <w:pPr>
        <w:pStyle w:val="Heading2"/>
      </w:pPr>
      <w:r>
        <w:lastRenderedPageBreak/>
        <w:t xml:space="preserve">The schedule </w:t>
      </w:r>
    </w:p>
    <w:tbl>
      <w:tblPr>
        <w:tblStyle w:val="TableGrid"/>
        <w:tblW w:w="0" w:type="auto"/>
        <w:tblLook w:val="04A0" w:firstRow="1" w:lastRow="0" w:firstColumn="1" w:lastColumn="0" w:noHBand="0" w:noVBand="1"/>
      </w:tblPr>
      <w:tblGrid>
        <w:gridCol w:w="846"/>
        <w:gridCol w:w="4536"/>
        <w:gridCol w:w="4246"/>
      </w:tblGrid>
      <w:tr w:rsidR="00E66A89" w:rsidRPr="00E66A89" w14:paraId="15D3E8C2" w14:textId="77777777" w:rsidTr="00E235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3AC0BF52" w14:textId="09D8B41B" w:rsidR="00E66A89" w:rsidRPr="00E66A89" w:rsidRDefault="00E66A89" w:rsidP="00E66A89">
            <w:pPr>
              <w:pStyle w:val="Text"/>
              <w:spacing w:after="0"/>
              <w:jc w:val="center"/>
              <w:rPr>
                <w:sz w:val="24"/>
              </w:rPr>
            </w:pPr>
            <w:r w:rsidRPr="00E66A89">
              <w:rPr>
                <w:sz w:val="24"/>
              </w:rPr>
              <w:t>No.</w:t>
            </w:r>
          </w:p>
        </w:tc>
        <w:tc>
          <w:tcPr>
            <w:tcW w:w="4536" w:type="dxa"/>
            <w:vAlign w:val="center"/>
          </w:tcPr>
          <w:p w14:paraId="0F7887AE" w14:textId="3C0AA512" w:rsidR="00E66A89" w:rsidRPr="00E66A89" w:rsidRDefault="00E66A89" w:rsidP="00E66A89">
            <w:pPr>
              <w:pStyle w:val="Text"/>
              <w:spacing w:after="0"/>
              <w:jc w:val="center"/>
              <w:cnfStyle w:val="100000000000" w:firstRow="1" w:lastRow="0" w:firstColumn="0" w:lastColumn="0" w:oddVBand="0" w:evenVBand="0" w:oddHBand="0" w:evenHBand="0" w:firstRowFirstColumn="0" w:firstRowLastColumn="0" w:lastRowFirstColumn="0" w:lastRowLastColumn="0"/>
              <w:rPr>
                <w:sz w:val="24"/>
              </w:rPr>
            </w:pPr>
            <w:r w:rsidRPr="00E66A89">
              <w:rPr>
                <w:sz w:val="24"/>
              </w:rPr>
              <w:t>Record type</w:t>
            </w:r>
          </w:p>
        </w:tc>
        <w:tc>
          <w:tcPr>
            <w:tcW w:w="4246" w:type="dxa"/>
            <w:vAlign w:val="center"/>
          </w:tcPr>
          <w:p w14:paraId="1DF9DE5A" w14:textId="22B59B4F" w:rsidR="00E66A89" w:rsidRPr="00E66A89" w:rsidRDefault="00E66A89" w:rsidP="00E66A89">
            <w:pPr>
              <w:pStyle w:val="Text"/>
              <w:spacing w:after="0"/>
              <w:jc w:val="center"/>
              <w:cnfStyle w:val="100000000000" w:firstRow="1" w:lastRow="0" w:firstColumn="0" w:lastColumn="0" w:oddVBand="0" w:evenVBand="0" w:oddHBand="0" w:evenHBand="0" w:firstRowFirstColumn="0" w:firstRowLastColumn="0" w:lastRowFirstColumn="0" w:lastRowLastColumn="0"/>
              <w:rPr>
                <w:sz w:val="24"/>
              </w:rPr>
            </w:pPr>
            <w:r w:rsidRPr="00E66A89">
              <w:rPr>
                <w:sz w:val="24"/>
              </w:rPr>
              <w:t>Retention and disposition</w:t>
            </w:r>
          </w:p>
        </w:tc>
      </w:tr>
      <w:tr w:rsidR="00E66A89" w:rsidRPr="00E66A89" w14:paraId="14C56001" w14:textId="77777777" w:rsidTr="001B4363">
        <w:tc>
          <w:tcPr>
            <w:cnfStyle w:val="001000000000" w:firstRow="0" w:lastRow="0" w:firstColumn="1" w:lastColumn="0" w:oddVBand="0" w:evenVBand="0" w:oddHBand="0" w:evenHBand="0" w:firstRowFirstColumn="0" w:firstRowLastColumn="0" w:lastRowFirstColumn="0" w:lastRowLastColumn="0"/>
            <w:tcW w:w="9628" w:type="dxa"/>
            <w:gridSpan w:val="3"/>
          </w:tcPr>
          <w:p w14:paraId="570458FA" w14:textId="77777777" w:rsidR="00E66A89" w:rsidRDefault="00E66A89" w:rsidP="00E66A89">
            <w:pPr>
              <w:pStyle w:val="Text"/>
              <w:spacing w:after="0"/>
              <w:jc w:val="center"/>
              <w:rPr>
                <w:sz w:val="24"/>
              </w:rPr>
            </w:pPr>
          </w:p>
          <w:p w14:paraId="5A7FFCA5" w14:textId="77777777" w:rsidR="00E66A89" w:rsidRDefault="00E66A89" w:rsidP="00707B9E">
            <w:pPr>
              <w:pStyle w:val="Text"/>
              <w:spacing w:after="0"/>
              <w:jc w:val="center"/>
              <w:rPr>
                <w:sz w:val="24"/>
              </w:rPr>
            </w:pPr>
            <w:r w:rsidRPr="00E66A89">
              <w:rPr>
                <w:sz w:val="24"/>
              </w:rPr>
              <w:t>1. Unique records held by</w:t>
            </w:r>
            <w:r w:rsidR="00707B9E">
              <w:rPr>
                <w:sz w:val="24"/>
              </w:rPr>
              <w:t xml:space="preserve"> the Office of the Public Guardian</w:t>
            </w:r>
          </w:p>
          <w:p w14:paraId="0AD47CD3" w14:textId="66E0D609" w:rsidR="001F2EEE" w:rsidRPr="00E66A89" w:rsidRDefault="001F2EEE" w:rsidP="00707B9E">
            <w:pPr>
              <w:pStyle w:val="Text"/>
              <w:spacing w:after="0"/>
              <w:jc w:val="center"/>
              <w:rPr>
                <w:sz w:val="24"/>
              </w:rPr>
            </w:pPr>
          </w:p>
        </w:tc>
      </w:tr>
      <w:tr w:rsidR="001F2EEE" w14:paraId="10B036AF"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7300C66D" w14:textId="77777777" w:rsidR="001F2EEE" w:rsidRDefault="001F2EEE" w:rsidP="001F2EEE">
            <w:pPr>
              <w:pStyle w:val="Text"/>
              <w:numPr>
                <w:ilvl w:val="0"/>
                <w:numId w:val="11"/>
              </w:numPr>
              <w:spacing w:after="0"/>
            </w:pPr>
          </w:p>
        </w:tc>
        <w:tc>
          <w:tcPr>
            <w:tcW w:w="4536" w:type="dxa"/>
            <w:vAlign w:val="center"/>
          </w:tcPr>
          <w:p w14:paraId="1F190FC0"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p w14:paraId="1F7DEDE1" w14:textId="23398CF3" w:rsidR="001F2EEE" w:rsidRPr="0089705B"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rPr>
                <w:b/>
              </w:rPr>
            </w:pPr>
            <w:r w:rsidRPr="0089705B">
              <w:rPr>
                <w:b/>
              </w:rPr>
              <w:t>Lasting Powers of Attorney (LPA)</w:t>
            </w:r>
          </w:p>
          <w:p w14:paraId="20088826" w14:textId="3895B248" w:rsidR="0081290C" w:rsidRDefault="0081290C" w:rsidP="001F2EEE">
            <w:pPr>
              <w:pStyle w:val="Text"/>
              <w:spacing w:after="0"/>
              <w:cnfStyle w:val="000000000000" w:firstRow="0" w:lastRow="0" w:firstColumn="0" w:lastColumn="0" w:oddVBand="0" w:evenVBand="0" w:oddHBand="0" w:evenHBand="0" w:firstRowFirstColumn="0" w:firstRowLastColumn="0" w:lastRowFirstColumn="0" w:lastRowLastColumn="0"/>
              <w:rPr>
                <w:b/>
              </w:rPr>
            </w:pPr>
            <w:r>
              <w:rPr>
                <w:b/>
              </w:rPr>
              <w:t>and</w:t>
            </w:r>
          </w:p>
          <w:p w14:paraId="3D1B8766" w14:textId="6D9E22C6" w:rsidR="001F2EEE" w:rsidRPr="0089705B"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rPr>
                <w:b/>
              </w:rPr>
            </w:pPr>
            <w:r w:rsidRPr="0089705B">
              <w:rPr>
                <w:b/>
              </w:rPr>
              <w:t>Enduring Powers of Attorney (EPA)</w:t>
            </w:r>
          </w:p>
          <w:p w14:paraId="64262E27"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t>Including, but not limited to:</w:t>
            </w:r>
          </w:p>
          <w:p w14:paraId="27C58B73"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Case records management systems</w:t>
            </w:r>
          </w:p>
          <w:p w14:paraId="6083893A"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Powers of Attorney (PoA)</w:t>
            </w:r>
          </w:p>
          <w:p w14:paraId="313456BB"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Scanned copies of letters from third parties</w:t>
            </w:r>
          </w:p>
          <w:p w14:paraId="3FF0038C"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Correspondence (including Local Authority)</w:t>
            </w:r>
          </w:p>
          <w:p w14:paraId="75C4F3DD"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Reports collection</w:t>
            </w:r>
          </w:p>
          <w:p w14:paraId="1FCC559B"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OPG 100 search requests</w:t>
            </w:r>
          </w:p>
          <w:p w14:paraId="7CFCD992"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Registration documents (LPA and EPA applications)</w:t>
            </w:r>
          </w:p>
          <w:p w14:paraId="0B33B412"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Payment receipt spreadsheets</w:t>
            </w:r>
          </w:p>
          <w:p w14:paraId="598FDE18" w14:textId="77777777"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Complaints – case related</w:t>
            </w:r>
          </w:p>
          <w:p w14:paraId="7F482A76" w14:textId="2C560F26" w:rsidR="001F2EEE" w:rsidRDefault="001F2EEE"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Wills</w:t>
            </w:r>
          </w:p>
          <w:p w14:paraId="7C8FFE91" w14:textId="35438656" w:rsidR="002A7B2F" w:rsidRDefault="002A7B2F" w:rsidP="001F2EEE">
            <w:pPr>
              <w:pStyle w:val="Text"/>
              <w:numPr>
                <w:ilvl w:val="0"/>
                <w:numId w:val="12"/>
              </w:numPr>
              <w:spacing w:after="0"/>
              <w:cnfStyle w:val="000000000000" w:firstRow="0" w:lastRow="0" w:firstColumn="0" w:lastColumn="0" w:oddVBand="0" w:evenVBand="0" w:oddHBand="0" w:evenHBand="0" w:firstRowFirstColumn="0" w:firstRowLastColumn="0" w:lastRowFirstColumn="0" w:lastRowLastColumn="0"/>
            </w:pPr>
            <w:r>
              <w:t>Presumption of death orders</w:t>
            </w:r>
          </w:p>
          <w:p w14:paraId="7FC9290C"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0E91F8B7"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p w14:paraId="10FF4419" w14:textId="1D91444D"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t xml:space="preserve">Unless covered by one of the exceptions below, </w:t>
            </w:r>
            <w:r>
              <w:rPr>
                <w:b/>
              </w:rPr>
              <w:t xml:space="preserve">keep for seven years </w:t>
            </w:r>
            <w:r w:rsidRPr="00F010BD">
              <w:t xml:space="preserve">from date of </w:t>
            </w:r>
            <w:r w:rsidR="008A350B">
              <w:t>case closure</w:t>
            </w:r>
            <w:r w:rsidRPr="00F010BD">
              <w:t xml:space="preserve"> and then destroy.</w:t>
            </w:r>
          </w:p>
          <w:p w14:paraId="2BE42EBA" w14:textId="38A816AC"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p w14:paraId="6BE15F86" w14:textId="5DCA5349"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t>Exceptions:</w:t>
            </w:r>
          </w:p>
          <w:p w14:paraId="01C331A7" w14:textId="19E70581"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t xml:space="preserve">a) The </w:t>
            </w:r>
            <w:r w:rsidRPr="0099320C">
              <w:rPr>
                <w:b/>
              </w:rPr>
              <w:t>Public Guardian Register</w:t>
            </w:r>
            <w:r w:rsidR="0021602D">
              <w:rPr>
                <w:b/>
              </w:rPr>
              <w:t>s</w:t>
            </w:r>
            <w:r w:rsidR="0021602D">
              <w:rPr>
                <w:rStyle w:val="FootnoteReference"/>
                <w:b/>
              </w:rPr>
              <w:footnoteReference w:id="2"/>
            </w:r>
            <w:r>
              <w:rPr>
                <w:b/>
              </w:rPr>
              <w:t xml:space="preserve"> </w:t>
            </w:r>
            <w:r>
              <w:t>for LPA and EPA (including instruments)</w:t>
            </w:r>
            <w:r w:rsidR="0095131F">
              <w:t>:</w:t>
            </w:r>
          </w:p>
          <w:p w14:paraId="401A7C3C" w14:textId="0CC979BC"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rPr>
                <w:b/>
              </w:rPr>
              <w:t xml:space="preserve">Keep for 100 years </w:t>
            </w:r>
            <w:r>
              <w:t xml:space="preserve">from vulnerable </w:t>
            </w:r>
            <w:r w:rsidR="000268B8">
              <w:t xml:space="preserve">person’s </w:t>
            </w:r>
            <w:r>
              <w:t>date of birth and then destroy</w:t>
            </w:r>
            <w:r w:rsidR="0094426B">
              <w:t xml:space="preserve"> </w:t>
            </w:r>
            <w:r w:rsidR="0094426B" w:rsidRPr="00417B0B">
              <w:t>(unless</w:t>
            </w:r>
            <w:r w:rsidR="0094426B">
              <w:rPr>
                <w:b/>
              </w:rPr>
              <w:t xml:space="preserve"> </w:t>
            </w:r>
            <w:r w:rsidR="0094426B">
              <w:t>the</w:t>
            </w:r>
            <w:r w:rsidR="001E33AA">
              <w:t xml:space="preserve"> </w:t>
            </w:r>
            <w:r w:rsidR="00772251">
              <w:t>person</w:t>
            </w:r>
            <w:r w:rsidR="001E33AA">
              <w:t xml:space="preserve"> is</w:t>
            </w:r>
            <w:r w:rsidR="0094426B">
              <w:t xml:space="preserve"> still living, in which case keep for seven years from case clos</w:t>
            </w:r>
            <w:r w:rsidR="001E33AA">
              <w:t>ure</w:t>
            </w:r>
            <w:r w:rsidR="0094426B">
              <w:t xml:space="preserve"> and then destroy)</w:t>
            </w:r>
          </w:p>
          <w:p w14:paraId="531CDAA5"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p w14:paraId="367A11DC" w14:textId="694650CC"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t>b) Incomplete applications (</w:t>
            </w:r>
            <w:r w:rsidR="00A51747">
              <w:t xml:space="preserve">all </w:t>
            </w:r>
            <w:r>
              <w:t xml:space="preserve">rejected and withdrawn cases): </w:t>
            </w:r>
          </w:p>
          <w:p w14:paraId="402DFBFA" w14:textId="332164E0"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rsidRPr="001F2EEE">
              <w:rPr>
                <w:b/>
              </w:rPr>
              <w:t>Keep for three months</w:t>
            </w:r>
            <w:r>
              <w:t xml:space="preserve"> and then destroy</w:t>
            </w:r>
          </w:p>
          <w:p w14:paraId="6909A743"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p w14:paraId="0866BE33"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p w14:paraId="689B6A37" w14:textId="7A9A5569" w:rsidR="001F2EEE" w:rsidRDefault="00772251" w:rsidP="001F2EEE">
            <w:pPr>
              <w:pStyle w:val="Text"/>
              <w:spacing w:after="0"/>
              <w:cnfStyle w:val="000000000000" w:firstRow="0" w:lastRow="0" w:firstColumn="0" w:lastColumn="0" w:oddVBand="0" w:evenVBand="0" w:oddHBand="0" w:evenHBand="0" w:firstRowFirstColumn="0" w:firstRowLastColumn="0" w:lastRowFirstColumn="0" w:lastRowLastColumn="0"/>
            </w:pPr>
            <w:r>
              <w:t>c</w:t>
            </w:r>
            <w:r w:rsidR="001F2EEE">
              <w:t xml:space="preserve">) </w:t>
            </w:r>
            <w:r w:rsidR="001F2EEE" w:rsidRPr="0099320C">
              <w:t>Pending, imperfect, pre-application objection and passed validation cases</w:t>
            </w:r>
            <w:r w:rsidR="001F2EEE">
              <w:t>:</w:t>
            </w:r>
          </w:p>
          <w:p w14:paraId="2D46A8F5" w14:textId="77777777" w:rsidR="001F2EEE" w:rsidRPr="0099320C"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r>
              <w:rPr>
                <w:b/>
              </w:rPr>
              <w:t>Keep for three months</w:t>
            </w:r>
            <w:r>
              <w:t xml:space="preserve"> from date of last action and then destroy</w:t>
            </w:r>
          </w:p>
          <w:p w14:paraId="6338AF76" w14:textId="77777777" w:rsidR="001F2EEE" w:rsidRDefault="001F2EEE" w:rsidP="001F2EEE">
            <w:pPr>
              <w:pStyle w:val="Text"/>
              <w:spacing w:after="0"/>
              <w:cnfStyle w:val="000000000000" w:firstRow="0" w:lastRow="0" w:firstColumn="0" w:lastColumn="0" w:oddVBand="0" w:evenVBand="0" w:oddHBand="0" w:evenHBand="0" w:firstRowFirstColumn="0" w:firstRowLastColumn="0" w:lastRowFirstColumn="0" w:lastRowLastColumn="0"/>
            </w:pPr>
          </w:p>
        </w:tc>
      </w:tr>
      <w:tr w:rsidR="0095131F" w14:paraId="368F9D4F"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532E91DE" w14:textId="77777777" w:rsidR="0095131F" w:rsidRDefault="0095131F" w:rsidP="0095131F">
            <w:pPr>
              <w:pStyle w:val="Text"/>
              <w:numPr>
                <w:ilvl w:val="0"/>
                <w:numId w:val="11"/>
              </w:numPr>
              <w:spacing w:after="0"/>
            </w:pPr>
          </w:p>
        </w:tc>
        <w:tc>
          <w:tcPr>
            <w:tcW w:w="4536" w:type="dxa"/>
            <w:vAlign w:val="center"/>
          </w:tcPr>
          <w:p w14:paraId="41804F44"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p>
          <w:p w14:paraId="726DB6DF" w14:textId="77777777" w:rsidR="0095131F" w:rsidRPr="0089705B"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rPr>
                <w:b/>
              </w:rPr>
            </w:pPr>
            <w:r>
              <w:rPr>
                <w:b/>
              </w:rPr>
              <w:t>Supervised Clients</w:t>
            </w:r>
          </w:p>
          <w:p w14:paraId="760D7AAD"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r>
              <w:t>Including, but not limited to:</w:t>
            </w:r>
          </w:p>
          <w:p w14:paraId="7E282DD0"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Panel referral records</w:t>
            </w:r>
          </w:p>
          <w:p w14:paraId="66728536"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Panel deputy appointment records</w:t>
            </w:r>
          </w:p>
          <w:p w14:paraId="526D642C"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Professional deputy information</w:t>
            </w:r>
          </w:p>
          <w:p w14:paraId="49A8D9FB"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Assurance visits records</w:t>
            </w:r>
          </w:p>
          <w:p w14:paraId="6DBF3E88"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Correspondence (including with local authorities)</w:t>
            </w:r>
          </w:p>
          <w:p w14:paraId="5CCEEB21"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Supervision case files</w:t>
            </w:r>
          </w:p>
          <w:p w14:paraId="091F376B"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Administration records and reports</w:t>
            </w:r>
          </w:p>
          <w:p w14:paraId="0D9DC2F7"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Reports on closed cases</w:t>
            </w:r>
          </w:p>
          <w:p w14:paraId="784D2EF5" w14:textId="77777777"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Bonds</w:t>
            </w:r>
          </w:p>
          <w:p w14:paraId="440F53CE" w14:textId="505C60BB" w:rsidR="0095131F" w:rsidRDefault="0095131F" w:rsidP="0095131F">
            <w:pPr>
              <w:pStyle w:val="Text"/>
              <w:numPr>
                <w:ilvl w:val="0"/>
                <w:numId w:val="14"/>
              </w:numPr>
              <w:spacing w:after="0"/>
              <w:cnfStyle w:val="000000000000" w:firstRow="0" w:lastRow="0" w:firstColumn="0" w:lastColumn="0" w:oddVBand="0" w:evenVBand="0" w:oddHBand="0" w:evenHBand="0" w:firstRowFirstColumn="0" w:firstRowLastColumn="0" w:lastRowFirstColumn="0" w:lastRowLastColumn="0"/>
            </w:pPr>
            <w:r>
              <w:t>Orders</w:t>
            </w:r>
            <w:r w:rsidR="002A7B2F">
              <w:t xml:space="preserve"> (including presumption of death orders)</w:t>
            </w:r>
          </w:p>
          <w:p w14:paraId="3C9ED7A0"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007771FC"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p>
          <w:p w14:paraId="1B0EE7C5" w14:textId="4888E2E4"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r>
              <w:t xml:space="preserve">Unless covered by the exceptions below, </w:t>
            </w:r>
            <w:r>
              <w:rPr>
                <w:b/>
              </w:rPr>
              <w:t xml:space="preserve">keep for seven years </w:t>
            </w:r>
            <w:r w:rsidRPr="00F010BD">
              <w:t>from date of last entry and then destroy</w:t>
            </w:r>
            <w:r>
              <w:t xml:space="preserve"> (including after case closed</w:t>
            </w:r>
            <w:r w:rsidR="000A1272">
              <w:rPr>
                <w:rStyle w:val="FootnoteReference"/>
              </w:rPr>
              <w:footnoteReference w:id="3"/>
            </w:r>
            <w:r>
              <w:t>)</w:t>
            </w:r>
            <w:r w:rsidRPr="00F010BD">
              <w:t>.</w:t>
            </w:r>
          </w:p>
          <w:p w14:paraId="25DE338E"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p>
          <w:p w14:paraId="1E539133"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r>
              <w:t>Exceptions</w:t>
            </w:r>
          </w:p>
          <w:p w14:paraId="630A46F0" w14:textId="7C3824E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r>
              <w:t xml:space="preserve">a) The </w:t>
            </w:r>
            <w:r w:rsidRPr="0099320C">
              <w:rPr>
                <w:b/>
              </w:rPr>
              <w:t>Public Guardian Registers</w:t>
            </w:r>
            <w:r>
              <w:rPr>
                <w:b/>
              </w:rPr>
              <w:t xml:space="preserve"> </w:t>
            </w:r>
            <w:r w:rsidR="00384A09">
              <w:t>for Supervised Clients</w:t>
            </w:r>
            <w:r>
              <w:t xml:space="preserve">: </w:t>
            </w:r>
            <w:r>
              <w:br/>
            </w:r>
            <w:r>
              <w:rPr>
                <w:b/>
              </w:rPr>
              <w:t xml:space="preserve">Keep for 100 years </w:t>
            </w:r>
            <w:r>
              <w:t xml:space="preserve">from vulnerable </w:t>
            </w:r>
            <w:r w:rsidR="00772251">
              <w:t xml:space="preserve">person’s </w:t>
            </w:r>
            <w:r>
              <w:t>date of birth and then destroy</w:t>
            </w:r>
          </w:p>
          <w:p w14:paraId="57FF97E0" w14:textId="14D088EB" w:rsidR="0095131F" w:rsidRDefault="00E235DE" w:rsidP="0095131F">
            <w:pPr>
              <w:pStyle w:val="Text"/>
              <w:spacing w:after="0"/>
              <w:cnfStyle w:val="000000000000" w:firstRow="0" w:lastRow="0" w:firstColumn="0" w:lastColumn="0" w:oddVBand="0" w:evenVBand="0" w:oddHBand="0" w:evenHBand="0" w:firstRowFirstColumn="0" w:firstRowLastColumn="0" w:lastRowFirstColumn="0" w:lastRowLastColumn="0"/>
            </w:pPr>
            <w:r>
              <w:t>(</w:t>
            </w:r>
            <w:r w:rsidR="005C38F3" w:rsidRPr="00417B0B">
              <w:t>unless</w:t>
            </w:r>
            <w:r w:rsidR="005C38F3">
              <w:rPr>
                <w:b/>
              </w:rPr>
              <w:t xml:space="preserve"> </w:t>
            </w:r>
            <w:r w:rsidR="005C38F3">
              <w:t>they are still living, in which case keep for seven years from case closed and then destroy)</w:t>
            </w:r>
          </w:p>
          <w:p w14:paraId="773B20B2" w14:textId="77777777" w:rsidR="005C38F3" w:rsidRDefault="005C38F3" w:rsidP="0095131F">
            <w:pPr>
              <w:pStyle w:val="Text"/>
              <w:spacing w:after="0"/>
              <w:cnfStyle w:val="000000000000" w:firstRow="0" w:lastRow="0" w:firstColumn="0" w:lastColumn="0" w:oddVBand="0" w:evenVBand="0" w:oddHBand="0" w:evenHBand="0" w:firstRowFirstColumn="0" w:firstRowLastColumn="0" w:lastRowFirstColumn="0" w:lastRowLastColumn="0"/>
            </w:pPr>
          </w:p>
          <w:p w14:paraId="04DAF78B" w14:textId="77777777"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r>
              <w:t xml:space="preserve">b) Incomplete applications (all rejected and withdrawn cases): </w:t>
            </w:r>
          </w:p>
          <w:p w14:paraId="6B2388C2" w14:textId="7F589863"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r w:rsidRPr="0095131F">
              <w:rPr>
                <w:b/>
              </w:rPr>
              <w:t xml:space="preserve">Keep for </w:t>
            </w:r>
            <w:r>
              <w:rPr>
                <w:b/>
              </w:rPr>
              <w:t>one year</w:t>
            </w:r>
            <w:r>
              <w:t xml:space="preserve"> from date of last action and then destroy</w:t>
            </w:r>
          </w:p>
          <w:p w14:paraId="34C2F722" w14:textId="5FACB379" w:rsidR="0095131F" w:rsidRDefault="0095131F" w:rsidP="0095131F">
            <w:pPr>
              <w:pStyle w:val="Text"/>
              <w:spacing w:after="0"/>
              <w:cnfStyle w:val="000000000000" w:firstRow="0" w:lastRow="0" w:firstColumn="0" w:lastColumn="0" w:oddVBand="0" w:evenVBand="0" w:oddHBand="0" w:evenHBand="0" w:firstRowFirstColumn="0" w:firstRowLastColumn="0" w:lastRowFirstColumn="0" w:lastRowLastColumn="0"/>
            </w:pPr>
          </w:p>
        </w:tc>
      </w:tr>
      <w:tr w:rsidR="002D5C21" w14:paraId="1344FD76"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78626D22" w14:textId="77777777" w:rsidR="002D5C21" w:rsidRDefault="002D5C21" w:rsidP="002D5C21">
            <w:pPr>
              <w:pStyle w:val="Text"/>
              <w:numPr>
                <w:ilvl w:val="0"/>
                <w:numId w:val="11"/>
              </w:numPr>
              <w:spacing w:after="0"/>
            </w:pPr>
          </w:p>
        </w:tc>
        <w:tc>
          <w:tcPr>
            <w:tcW w:w="4536" w:type="dxa"/>
            <w:vAlign w:val="center"/>
          </w:tcPr>
          <w:p w14:paraId="718597AD"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rPr>
                <w:rFonts w:cs="Arial"/>
                <w:color w:val="000000"/>
              </w:rPr>
            </w:pPr>
          </w:p>
          <w:p w14:paraId="2D18B518" w14:textId="77777777" w:rsidR="002D5C21" w:rsidRPr="00E97E8A"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rPr>
                <w:rFonts w:cs="Arial"/>
                <w:b/>
                <w:color w:val="000000"/>
              </w:rPr>
            </w:pPr>
            <w:r w:rsidRPr="00E97E8A">
              <w:rPr>
                <w:rFonts w:cs="Arial"/>
                <w:b/>
                <w:color w:val="000000"/>
              </w:rPr>
              <w:t>Safeguarding</w:t>
            </w:r>
          </w:p>
          <w:p w14:paraId="27E82D44" w14:textId="77777777" w:rsidR="002D5C21" w:rsidRPr="00E97E8A"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97E8A">
              <w:rPr>
                <w:rFonts w:cs="Arial"/>
                <w:color w:val="000000"/>
              </w:rPr>
              <w:t>Includ</w:t>
            </w:r>
            <w:r>
              <w:rPr>
                <w:rFonts w:cs="Arial"/>
                <w:color w:val="000000"/>
              </w:rPr>
              <w:t>ing, but not limited to</w:t>
            </w:r>
            <w:r w:rsidRPr="00E97E8A">
              <w:rPr>
                <w:rFonts w:cs="Arial"/>
                <w:color w:val="000000"/>
              </w:rPr>
              <w:t>:</w:t>
            </w:r>
          </w:p>
          <w:p w14:paraId="111D517D" w14:textId="77777777" w:rsidR="002D5C21" w:rsidRDefault="002D5C21" w:rsidP="002D5C21">
            <w:pPr>
              <w:pStyle w:val="Text"/>
              <w:numPr>
                <w:ilvl w:val="0"/>
                <w:numId w:val="15"/>
              </w:num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97E8A">
              <w:rPr>
                <w:rFonts w:cs="Arial"/>
                <w:color w:val="000000"/>
              </w:rPr>
              <w:t xml:space="preserve">Responses (further information requests, </w:t>
            </w:r>
          </w:p>
          <w:p w14:paraId="2CCBDC56" w14:textId="77777777" w:rsidR="002D5C21" w:rsidRDefault="002D5C21" w:rsidP="002D5C21">
            <w:pPr>
              <w:pStyle w:val="Text"/>
              <w:numPr>
                <w:ilvl w:val="0"/>
                <w:numId w:val="15"/>
              </w:num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W</w:t>
            </w:r>
            <w:r w:rsidRPr="00E97E8A">
              <w:rPr>
                <w:rFonts w:cs="Arial"/>
                <w:color w:val="000000"/>
              </w:rPr>
              <w:t>histle</w:t>
            </w:r>
            <w:r>
              <w:rPr>
                <w:rFonts w:cs="Arial"/>
                <w:color w:val="000000"/>
              </w:rPr>
              <w:t>-</w:t>
            </w:r>
            <w:r w:rsidRPr="00E97E8A">
              <w:rPr>
                <w:rFonts w:cs="Arial"/>
                <w:color w:val="000000"/>
              </w:rPr>
              <w:t>blower signposting</w:t>
            </w:r>
          </w:p>
          <w:p w14:paraId="23D0A45D" w14:textId="77777777" w:rsidR="002D5C21" w:rsidRDefault="002D5C21" w:rsidP="002D5C21">
            <w:pPr>
              <w:pStyle w:val="Text"/>
              <w:numPr>
                <w:ilvl w:val="0"/>
                <w:numId w:val="15"/>
              </w:num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C</w:t>
            </w:r>
            <w:r w:rsidRPr="00E97E8A">
              <w:rPr>
                <w:rFonts w:cs="Arial"/>
                <w:color w:val="000000"/>
              </w:rPr>
              <w:t>ase acceptance documents</w:t>
            </w:r>
          </w:p>
          <w:p w14:paraId="163E4473" w14:textId="77777777" w:rsidR="002D5C21" w:rsidRPr="00E97E8A" w:rsidRDefault="002D5C21" w:rsidP="002D5C21">
            <w:pPr>
              <w:pStyle w:val="Text"/>
              <w:numPr>
                <w:ilvl w:val="0"/>
                <w:numId w:val="15"/>
              </w:num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C</w:t>
            </w:r>
            <w:r w:rsidRPr="00E97E8A">
              <w:rPr>
                <w:rFonts w:cs="Arial"/>
                <w:color w:val="000000"/>
              </w:rPr>
              <w:t>ases accepted for investigation</w:t>
            </w:r>
          </w:p>
          <w:p w14:paraId="6DD4C03F" w14:textId="6DC2F82B" w:rsidR="002D5C21" w:rsidRDefault="002D5C21" w:rsidP="002D5C21">
            <w:pPr>
              <w:pStyle w:val="Text"/>
              <w:numPr>
                <w:ilvl w:val="0"/>
                <w:numId w:val="15"/>
              </w:numPr>
              <w:spacing w:after="0"/>
              <w:cnfStyle w:val="000000000000" w:firstRow="0" w:lastRow="0" w:firstColumn="0" w:lastColumn="0" w:oddVBand="0" w:evenVBand="0" w:oddHBand="0" w:evenHBand="0" w:firstRowFirstColumn="0" w:firstRowLastColumn="0" w:lastRowFirstColumn="0" w:lastRowLastColumn="0"/>
              <w:rPr>
                <w:rFonts w:cs="Arial"/>
                <w:color w:val="000000"/>
              </w:rPr>
            </w:pPr>
            <w:r w:rsidRPr="00E97E8A">
              <w:rPr>
                <w:rFonts w:cs="Arial"/>
                <w:color w:val="000000"/>
              </w:rPr>
              <w:t xml:space="preserve">Safeguarding vulnerable </w:t>
            </w:r>
            <w:r w:rsidR="00CB105C">
              <w:rPr>
                <w:rFonts w:cs="Arial"/>
                <w:color w:val="000000"/>
              </w:rPr>
              <w:t>people</w:t>
            </w:r>
            <w:r w:rsidR="00CB105C" w:rsidRPr="00E97E8A">
              <w:rPr>
                <w:rFonts w:cs="Arial"/>
                <w:color w:val="000000"/>
              </w:rPr>
              <w:t xml:space="preserve"> </w:t>
            </w:r>
            <w:r w:rsidRPr="00E97E8A">
              <w:rPr>
                <w:rFonts w:cs="Arial"/>
                <w:color w:val="000000"/>
              </w:rPr>
              <w:t>(SVA) documents</w:t>
            </w:r>
          </w:p>
          <w:p w14:paraId="7301B705"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56F38AD6" w14:textId="0CD44508"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p>
          <w:p w14:paraId="4668E972" w14:textId="77777777" w:rsidR="00BF3B3A" w:rsidRDefault="00BF3B3A" w:rsidP="002D5C21">
            <w:pPr>
              <w:pStyle w:val="Text"/>
              <w:spacing w:after="0"/>
              <w:cnfStyle w:val="000000000000" w:firstRow="0" w:lastRow="0" w:firstColumn="0" w:lastColumn="0" w:oddVBand="0" w:evenVBand="0" w:oddHBand="0" w:evenHBand="0" w:firstRowFirstColumn="0" w:firstRowLastColumn="0" w:lastRowFirstColumn="0" w:lastRowLastColumn="0"/>
            </w:pPr>
          </w:p>
          <w:p w14:paraId="3BB01D19"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r>
              <w:t>Where there is OPG jurisdiction:</w:t>
            </w:r>
          </w:p>
          <w:p w14:paraId="6E5918ED"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r>
              <w:t>a) Documented referral concerns should be attached to main case record and kept for the same period.</w:t>
            </w:r>
          </w:p>
          <w:p w14:paraId="6B1E3BEC"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p>
          <w:p w14:paraId="01EDC872"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r>
              <w:t xml:space="preserve">b) </w:t>
            </w:r>
            <w:r w:rsidRPr="00C41340">
              <w:t>Initial case information, including</w:t>
            </w:r>
            <w:r>
              <w:t>:</w:t>
            </w:r>
          </w:p>
          <w:p w14:paraId="1A2F6CB2" w14:textId="77777777" w:rsidR="002D5C21" w:rsidRDefault="002D5C21" w:rsidP="002D5C21">
            <w:pPr>
              <w:pStyle w:val="Text"/>
              <w:numPr>
                <w:ilvl w:val="0"/>
                <w:numId w:val="16"/>
              </w:numPr>
              <w:spacing w:after="0"/>
              <w:cnfStyle w:val="000000000000" w:firstRow="0" w:lastRow="0" w:firstColumn="0" w:lastColumn="0" w:oddVBand="0" w:evenVBand="0" w:oddHBand="0" w:evenHBand="0" w:firstRowFirstColumn="0" w:firstRowLastColumn="0" w:lastRowFirstColumn="0" w:lastRowLastColumn="0"/>
            </w:pPr>
            <w:r>
              <w:t>U</w:t>
            </w:r>
            <w:r w:rsidRPr="00C41340">
              <w:t>naccepted case records</w:t>
            </w:r>
          </w:p>
          <w:p w14:paraId="2869B3BF" w14:textId="77777777" w:rsidR="002D5C21" w:rsidRDefault="002D5C21" w:rsidP="002D5C21">
            <w:pPr>
              <w:pStyle w:val="Text"/>
              <w:numPr>
                <w:ilvl w:val="0"/>
                <w:numId w:val="16"/>
              </w:numPr>
              <w:spacing w:after="0"/>
              <w:cnfStyle w:val="000000000000" w:firstRow="0" w:lastRow="0" w:firstColumn="0" w:lastColumn="0" w:oddVBand="0" w:evenVBand="0" w:oddHBand="0" w:evenHBand="0" w:firstRowFirstColumn="0" w:firstRowLastColumn="0" w:lastRowFirstColumn="0" w:lastRowLastColumn="0"/>
            </w:pPr>
            <w:r w:rsidRPr="00C41340">
              <w:t>SAAR referrals</w:t>
            </w:r>
          </w:p>
          <w:p w14:paraId="7A217103" w14:textId="77777777" w:rsidR="002D5C21" w:rsidRDefault="002D5C21" w:rsidP="002D5C21">
            <w:pPr>
              <w:pStyle w:val="Text"/>
              <w:numPr>
                <w:ilvl w:val="0"/>
                <w:numId w:val="16"/>
              </w:numPr>
              <w:spacing w:after="0"/>
              <w:cnfStyle w:val="000000000000" w:firstRow="0" w:lastRow="0" w:firstColumn="0" w:lastColumn="0" w:oddVBand="0" w:evenVBand="0" w:oddHBand="0" w:evenHBand="0" w:firstRowFirstColumn="0" w:firstRowLastColumn="0" w:lastRowFirstColumn="0" w:lastRowLastColumn="0"/>
            </w:pPr>
            <w:r w:rsidRPr="00C41340">
              <w:t xml:space="preserve">Social Services </w:t>
            </w:r>
          </w:p>
          <w:p w14:paraId="6FF97CFE" w14:textId="77777777" w:rsidR="002D5C21" w:rsidRDefault="002D5C21" w:rsidP="002D5C21">
            <w:pPr>
              <w:pStyle w:val="Text"/>
              <w:numPr>
                <w:ilvl w:val="0"/>
                <w:numId w:val="16"/>
              </w:numPr>
              <w:spacing w:after="0"/>
              <w:cnfStyle w:val="000000000000" w:firstRow="0" w:lastRow="0" w:firstColumn="0" w:lastColumn="0" w:oddVBand="0" w:evenVBand="0" w:oddHBand="0" w:evenHBand="0" w:firstRowFirstColumn="0" w:firstRowLastColumn="0" w:lastRowFirstColumn="0" w:lastRowLastColumn="0"/>
            </w:pPr>
            <w:r w:rsidRPr="00C41340">
              <w:t xml:space="preserve">Police </w:t>
            </w:r>
            <w:r>
              <w:t>l</w:t>
            </w:r>
            <w:r w:rsidRPr="00C41340">
              <w:t>iaison records</w:t>
            </w:r>
          </w:p>
          <w:p w14:paraId="513D14AF" w14:textId="0D7E6FDF"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r w:rsidRPr="00C41340">
              <w:rPr>
                <w:b/>
              </w:rPr>
              <w:t xml:space="preserve">Keep for </w:t>
            </w:r>
            <w:r>
              <w:rPr>
                <w:b/>
              </w:rPr>
              <w:t>seven</w:t>
            </w:r>
            <w:r w:rsidRPr="00C41340">
              <w:rPr>
                <w:b/>
              </w:rPr>
              <w:t xml:space="preserve"> years</w:t>
            </w:r>
            <w:r w:rsidRPr="00C41340">
              <w:t xml:space="preserve"> after case closed</w:t>
            </w:r>
            <w:r>
              <w:rPr>
                <w:rStyle w:val="FootnoteReference"/>
              </w:rPr>
              <w:footnoteReference w:id="4"/>
            </w:r>
            <w:r w:rsidR="00E400D2">
              <w:t xml:space="preserve"> a</w:t>
            </w:r>
            <w:r>
              <w:t>nd then destroy</w:t>
            </w:r>
          </w:p>
          <w:p w14:paraId="45C4B368"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p>
          <w:p w14:paraId="7E6DC3B5" w14:textId="749AF088"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r>
              <w:t xml:space="preserve">Where there is no OPG jurisdiction, </w:t>
            </w:r>
            <w:r>
              <w:rPr>
                <w:b/>
              </w:rPr>
              <w:t xml:space="preserve">keep for one year </w:t>
            </w:r>
            <w:r>
              <w:t>from date of last action and then destroy</w:t>
            </w:r>
            <w:r w:rsidR="0005745A">
              <w:t xml:space="preserve"> (including non-supervised sub orders such as presumption of death)</w:t>
            </w:r>
          </w:p>
          <w:p w14:paraId="0951CEF2" w14:textId="77777777" w:rsidR="002D5C21" w:rsidRDefault="002D5C21" w:rsidP="002D5C21">
            <w:pPr>
              <w:pStyle w:val="Text"/>
              <w:spacing w:after="0"/>
              <w:cnfStyle w:val="000000000000" w:firstRow="0" w:lastRow="0" w:firstColumn="0" w:lastColumn="0" w:oddVBand="0" w:evenVBand="0" w:oddHBand="0" w:evenHBand="0" w:firstRowFirstColumn="0" w:firstRowLastColumn="0" w:lastRowFirstColumn="0" w:lastRowLastColumn="0"/>
            </w:pPr>
          </w:p>
          <w:p w14:paraId="23D73CD2" w14:textId="10D9A9BF" w:rsidR="00BF3B3A" w:rsidRDefault="00BF3B3A" w:rsidP="002D5C21">
            <w:pPr>
              <w:pStyle w:val="Text"/>
              <w:spacing w:after="0"/>
              <w:cnfStyle w:val="000000000000" w:firstRow="0" w:lastRow="0" w:firstColumn="0" w:lastColumn="0" w:oddVBand="0" w:evenVBand="0" w:oddHBand="0" w:evenHBand="0" w:firstRowFirstColumn="0" w:firstRowLastColumn="0" w:lastRowFirstColumn="0" w:lastRowLastColumn="0"/>
            </w:pPr>
          </w:p>
        </w:tc>
      </w:tr>
      <w:tr w:rsidR="00AF479E" w14:paraId="53BD1079"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3E929DE4" w14:textId="77777777" w:rsidR="00AF479E" w:rsidRDefault="00AF479E" w:rsidP="00AF479E">
            <w:pPr>
              <w:pStyle w:val="Text"/>
              <w:numPr>
                <w:ilvl w:val="0"/>
                <w:numId w:val="11"/>
              </w:numPr>
              <w:spacing w:after="0"/>
            </w:pPr>
          </w:p>
        </w:tc>
        <w:tc>
          <w:tcPr>
            <w:tcW w:w="4536" w:type="dxa"/>
            <w:vAlign w:val="center"/>
          </w:tcPr>
          <w:p w14:paraId="29B666BC"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p>
          <w:p w14:paraId="558FFC02" w14:textId="54130ECB" w:rsidR="00AF479E" w:rsidRPr="008123D6"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rPr>
                <w:b/>
              </w:rPr>
            </w:pPr>
            <w:r>
              <w:rPr>
                <w:b/>
              </w:rPr>
              <w:t>Court a</w:t>
            </w:r>
            <w:r w:rsidRPr="008123D6">
              <w:rPr>
                <w:b/>
              </w:rPr>
              <w:t>pplication</w:t>
            </w:r>
            <w:r w:rsidR="00CB105C">
              <w:rPr>
                <w:b/>
              </w:rPr>
              <w:t xml:space="preserve"> related documents</w:t>
            </w:r>
          </w:p>
          <w:p w14:paraId="0FC3BE08"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r>
              <w:t>Including, but not limited to:</w:t>
            </w:r>
          </w:p>
          <w:p w14:paraId="635E028F" w14:textId="77777777" w:rsidR="00AF479E" w:rsidRDefault="00AF479E" w:rsidP="00AF479E">
            <w:pPr>
              <w:pStyle w:val="Text"/>
              <w:numPr>
                <w:ilvl w:val="0"/>
                <w:numId w:val="17"/>
              </w:numPr>
              <w:spacing w:after="0"/>
              <w:cnfStyle w:val="000000000000" w:firstRow="0" w:lastRow="0" w:firstColumn="0" w:lastColumn="0" w:oddVBand="0" w:evenVBand="0" w:oddHBand="0" w:evenHBand="0" w:firstRowFirstColumn="0" w:firstRowLastColumn="0" w:lastRowFirstColumn="0" w:lastRowLastColumn="0"/>
            </w:pPr>
            <w:r>
              <w:t>Recovery and resolution</w:t>
            </w:r>
          </w:p>
          <w:p w14:paraId="289516FF" w14:textId="77B43473" w:rsidR="00AF479E" w:rsidRDefault="00AF479E" w:rsidP="00AF479E">
            <w:pPr>
              <w:pStyle w:val="Text"/>
              <w:numPr>
                <w:ilvl w:val="0"/>
                <w:numId w:val="17"/>
              </w:numPr>
              <w:spacing w:after="0"/>
              <w:cnfStyle w:val="000000000000" w:firstRow="0" w:lastRow="0" w:firstColumn="0" w:lastColumn="0" w:oddVBand="0" w:evenVBand="0" w:oddHBand="0" w:evenHBand="0" w:firstRowFirstColumn="0" w:firstRowLastColumn="0" w:lastRowFirstColumn="0" w:lastRowLastColumn="0"/>
            </w:pPr>
            <w:r>
              <w:t>Court of Protection</w:t>
            </w:r>
            <w:r w:rsidR="001052B3">
              <w:t xml:space="preserve"> communications</w:t>
            </w:r>
          </w:p>
          <w:p w14:paraId="7A9FEF74" w14:textId="77777777" w:rsidR="00AF479E" w:rsidRDefault="00AF479E" w:rsidP="00AF479E">
            <w:pPr>
              <w:pStyle w:val="Text"/>
              <w:numPr>
                <w:ilvl w:val="0"/>
                <w:numId w:val="17"/>
              </w:numPr>
              <w:spacing w:after="0"/>
              <w:cnfStyle w:val="000000000000" w:firstRow="0" w:lastRow="0" w:firstColumn="0" w:lastColumn="0" w:oddVBand="0" w:evenVBand="0" w:oddHBand="0" w:evenHBand="0" w:firstRowFirstColumn="0" w:firstRowLastColumn="0" w:lastRowFirstColumn="0" w:lastRowLastColumn="0"/>
            </w:pPr>
            <w:r>
              <w:t>Case databases</w:t>
            </w:r>
          </w:p>
          <w:p w14:paraId="64B22588" w14:textId="77777777" w:rsidR="00AF479E" w:rsidRDefault="00AF479E" w:rsidP="00AF479E">
            <w:pPr>
              <w:pStyle w:val="Text"/>
              <w:numPr>
                <w:ilvl w:val="0"/>
                <w:numId w:val="17"/>
              </w:numPr>
              <w:spacing w:after="0"/>
              <w:cnfStyle w:val="000000000000" w:firstRow="0" w:lastRow="0" w:firstColumn="0" w:lastColumn="0" w:oddVBand="0" w:evenVBand="0" w:oddHBand="0" w:evenHBand="0" w:firstRowFirstColumn="0" w:firstRowLastColumn="0" w:lastRowFirstColumn="0" w:lastRowLastColumn="0"/>
            </w:pPr>
            <w:r>
              <w:t>Record of legal issues relating to bonds and panel deputies</w:t>
            </w:r>
          </w:p>
          <w:p w14:paraId="19C00487"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5DBB7BD5" w14:textId="168A6ED1"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p>
          <w:p w14:paraId="57CA01C5" w14:textId="77777777" w:rsidR="00BF3B3A" w:rsidRDefault="00BF3B3A" w:rsidP="00AF479E">
            <w:pPr>
              <w:pStyle w:val="Text"/>
              <w:spacing w:after="0"/>
              <w:cnfStyle w:val="000000000000" w:firstRow="0" w:lastRow="0" w:firstColumn="0" w:lastColumn="0" w:oddVBand="0" w:evenVBand="0" w:oddHBand="0" w:evenHBand="0" w:firstRowFirstColumn="0" w:firstRowLastColumn="0" w:lastRowFirstColumn="0" w:lastRowLastColumn="0"/>
            </w:pPr>
          </w:p>
          <w:p w14:paraId="7C8A71D1"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r>
              <w:t xml:space="preserve">Unless covered by the exception below, </w:t>
            </w:r>
            <w:r>
              <w:rPr>
                <w:b/>
              </w:rPr>
              <w:t xml:space="preserve">keep for seven years </w:t>
            </w:r>
            <w:r w:rsidRPr="00F010BD">
              <w:t>f</w:t>
            </w:r>
            <w:r>
              <w:t>rom date case was closed</w:t>
            </w:r>
            <w:r>
              <w:rPr>
                <w:rStyle w:val="FootnoteReference"/>
              </w:rPr>
              <w:footnoteReference w:id="5"/>
            </w:r>
            <w:r>
              <w:t xml:space="preserve"> and then destroy</w:t>
            </w:r>
          </w:p>
          <w:p w14:paraId="663D5E27"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p>
          <w:p w14:paraId="22E28E83" w14:textId="65434C5E"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r>
              <w:t xml:space="preserve">Exception: </w:t>
            </w:r>
          </w:p>
          <w:p w14:paraId="6D91A063" w14:textId="670051BF"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r w:rsidRPr="00EB6765">
              <w:t>Record of Counsel opinions, personal injury matters</w:t>
            </w:r>
            <w:r>
              <w:t xml:space="preserve"> and</w:t>
            </w:r>
            <w:r w:rsidRPr="00EB6765">
              <w:t xml:space="preserve"> committee papers</w:t>
            </w:r>
            <w:r>
              <w:t>:</w:t>
            </w:r>
          </w:p>
          <w:p w14:paraId="06C2F054"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r>
              <w:rPr>
                <w:b/>
              </w:rPr>
              <w:t xml:space="preserve">Keep for five years </w:t>
            </w:r>
            <w:r w:rsidRPr="00EB6765">
              <w:t xml:space="preserve">from </w:t>
            </w:r>
            <w:r>
              <w:t>date of last correspondence and then review:</w:t>
            </w:r>
          </w:p>
          <w:p w14:paraId="7F8A6B74" w14:textId="77777777" w:rsidR="00AF479E" w:rsidRDefault="00AF479E" w:rsidP="00AF479E">
            <w:pPr>
              <w:pStyle w:val="Text"/>
              <w:numPr>
                <w:ilvl w:val="0"/>
                <w:numId w:val="18"/>
              </w:numPr>
              <w:spacing w:after="0"/>
              <w:cnfStyle w:val="000000000000" w:firstRow="0" w:lastRow="0" w:firstColumn="0" w:lastColumn="0" w:oddVBand="0" w:evenVBand="0" w:oddHBand="0" w:evenHBand="0" w:firstRowFirstColumn="0" w:firstRowLastColumn="0" w:lastRowFirstColumn="0" w:lastRowLastColumn="0"/>
            </w:pPr>
            <w:r>
              <w:t xml:space="preserve">If still operationally relevant, keep for a further </w:t>
            </w:r>
            <w:r>
              <w:rPr>
                <w:b/>
              </w:rPr>
              <w:t xml:space="preserve">three years </w:t>
            </w:r>
            <w:r w:rsidRPr="00EB6765">
              <w:t>after correspondence ended</w:t>
            </w:r>
            <w:r>
              <w:t xml:space="preserve"> and then destroy</w:t>
            </w:r>
          </w:p>
          <w:p w14:paraId="7C493008" w14:textId="77777777" w:rsidR="00AF479E" w:rsidRDefault="00AF479E" w:rsidP="00AF479E">
            <w:pPr>
              <w:pStyle w:val="Text"/>
              <w:numPr>
                <w:ilvl w:val="0"/>
                <w:numId w:val="18"/>
              </w:numPr>
              <w:spacing w:after="0"/>
              <w:cnfStyle w:val="000000000000" w:firstRow="0" w:lastRow="0" w:firstColumn="0" w:lastColumn="0" w:oddVBand="0" w:evenVBand="0" w:oddHBand="0" w:evenHBand="0" w:firstRowFirstColumn="0" w:firstRowLastColumn="0" w:lastRowFirstColumn="0" w:lastRowLastColumn="0"/>
            </w:pPr>
            <w:r>
              <w:t>If no longer required, destroyed immediately</w:t>
            </w:r>
          </w:p>
          <w:p w14:paraId="7CB82752" w14:textId="77777777" w:rsidR="00AF479E" w:rsidRDefault="00AF479E" w:rsidP="00AF479E">
            <w:pPr>
              <w:pStyle w:val="Text"/>
              <w:spacing w:after="0"/>
              <w:cnfStyle w:val="000000000000" w:firstRow="0" w:lastRow="0" w:firstColumn="0" w:lastColumn="0" w:oddVBand="0" w:evenVBand="0" w:oddHBand="0" w:evenHBand="0" w:firstRowFirstColumn="0" w:firstRowLastColumn="0" w:lastRowFirstColumn="0" w:lastRowLastColumn="0"/>
            </w:pPr>
          </w:p>
          <w:p w14:paraId="767A7A91" w14:textId="5E54F7ED" w:rsidR="00BF3B3A" w:rsidRDefault="00BF3B3A" w:rsidP="00AF479E">
            <w:pPr>
              <w:pStyle w:val="Text"/>
              <w:spacing w:after="0"/>
              <w:cnfStyle w:val="000000000000" w:firstRow="0" w:lastRow="0" w:firstColumn="0" w:lastColumn="0" w:oddVBand="0" w:evenVBand="0" w:oddHBand="0" w:evenHBand="0" w:firstRowFirstColumn="0" w:firstRowLastColumn="0" w:lastRowFirstColumn="0" w:lastRowLastColumn="0"/>
            </w:pPr>
          </w:p>
        </w:tc>
      </w:tr>
      <w:tr w:rsidR="00BF3B3A" w14:paraId="54CB38EA"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231936F4" w14:textId="77777777" w:rsidR="00BF3B3A" w:rsidRDefault="00BF3B3A" w:rsidP="00BF3B3A">
            <w:pPr>
              <w:pStyle w:val="Text"/>
              <w:spacing w:after="0"/>
              <w:ind w:left="360"/>
            </w:pPr>
          </w:p>
        </w:tc>
        <w:tc>
          <w:tcPr>
            <w:tcW w:w="4536" w:type="dxa"/>
            <w:vAlign w:val="center"/>
          </w:tcPr>
          <w:p w14:paraId="201AC188"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1C132EB7"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3A78A8DB"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0060B447"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6B31F5A6" w14:textId="15D2479D"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7663171E"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45108248"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4939641A"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4FE1BE9A"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68C98464"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195DE8A3" w14:textId="156BEF56"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42B27F52" w14:textId="77777777" w:rsidR="00BF3B3A" w:rsidRDefault="00BF3B3A" w:rsidP="00F071B7">
            <w:pPr>
              <w:pStyle w:val="Text"/>
              <w:spacing w:after="0"/>
              <w:cnfStyle w:val="000000000000" w:firstRow="0" w:lastRow="0" w:firstColumn="0" w:lastColumn="0" w:oddVBand="0" w:evenVBand="0" w:oddHBand="0" w:evenHBand="0" w:firstRowFirstColumn="0" w:firstRowLastColumn="0" w:lastRowFirstColumn="0" w:lastRowLastColumn="0"/>
            </w:pPr>
          </w:p>
        </w:tc>
      </w:tr>
      <w:tr w:rsidR="00F071B7" w14:paraId="1EC7E30A"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3491802F" w14:textId="77777777" w:rsidR="00F071B7" w:rsidRDefault="00F071B7" w:rsidP="00F071B7">
            <w:pPr>
              <w:pStyle w:val="Text"/>
              <w:numPr>
                <w:ilvl w:val="0"/>
                <w:numId w:val="11"/>
              </w:numPr>
              <w:spacing w:after="0"/>
            </w:pPr>
          </w:p>
        </w:tc>
        <w:tc>
          <w:tcPr>
            <w:tcW w:w="4536" w:type="dxa"/>
            <w:vAlign w:val="center"/>
          </w:tcPr>
          <w:p w14:paraId="56DB5855"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37D8880D" w14:textId="77777777" w:rsidR="00F071B7" w:rsidRDefault="00F071B7" w:rsidP="00F071B7">
            <w:pPr>
              <w:spacing w:after="0"/>
              <w:cnfStyle w:val="000000000000" w:firstRow="0" w:lastRow="0" w:firstColumn="0" w:lastColumn="0" w:oddVBand="0" w:evenVBand="0" w:oddHBand="0" w:evenHBand="0" w:firstRowFirstColumn="0" w:firstRowLastColumn="0" w:lastRowFirstColumn="0" w:lastRowLastColumn="0"/>
            </w:pPr>
            <w:r w:rsidRPr="00DA4B6A">
              <w:rPr>
                <w:b/>
              </w:rPr>
              <w:t>Visits</w:t>
            </w:r>
            <w:r>
              <w:rPr>
                <w:b/>
              </w:rPr>
              <w:t xml:space="preserve"> </w:t>
            </w:r>
            <w:r>
              <w:t>(including Visitors’ commissioning documents, visit reports and any associated documents)</w:t>
            </w:r>
          </w:p>
          <w:p w14:paraId="4CEF649D"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5CA1040A"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2824E18E" w14:textId="6B8F86CF"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r>
              <w:t xml:space="preserve">Unless covered by the exceptions below, keep for </w:t>
            </w:r>
            <w:r w:rsidRPr="00DA4B6A">
              <w:rPr>
                <w:b/>
              </w:rPr>
              <w:t>seven years</w:t>
            </w:r>
            <w:r w:rsidRPr="00DA4B6A">
              <w:t xml:space="preserve"> after date case closed</w:t>
            </w:r>
            <w:r>
              <w:rPr>
                <w:rStyle w:val="FootnoteReference"/>
              </w:rPr>
              <w:footnoteReference w:id="6"/>
            </w:r>
            <w:r w:rsidRPr="00DA4B6A">
              <w:t xml:space="preserve"> </w:t>
            </w:r>
            <w:r>
              <w:t>and then destroy</w:t>
            </w:r>
          </w:p>
          <w:p w14:paraId="226A1094"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5A0ABD4E" w14:textId="08094E09"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r>
              <w:t>Exceptions:</w:t>
            </w:r>
          </w:p>
          <w:p w14:paraId="690D345F" w14:textId="77777777" w:rsidR="00F071B7" w:rsidRDefault="00F071B7" w:rsidP="00F071B7">
            <w:pPr>
              <w:pStyle w:val="Text"/>
              <w:numPr>
                <w:ilvl w:val="0"/>
                <w:numId w:val="19"/>
              </w:numPr>
              <w:spacing w:after="0"/>
              <w:cnfStyle w:val="000000000000" w:firstRow="0" w:lastRow="0" w:firstColumn="0" w:lastColumn="0" w:oddVBand="0" w:evenVBand="0" w:oddHBand="0" w:evenHBand="0" w:firstRowFirstColumn="0" w:firstRowLastColumn="0" w:lastRowFirstColumn="0" w:lastRowLastColumn="0"/>
            </w:pPr>
            <w:r>
              <w:t xml:space="preserve">Visitors’ employment and payment information (non-permanent staff), </w:t>
            </w:r>
          </w:p>
          <w:p w14:paraId="3A9F14F3" w14:textId="77777777" w:rsidR="00F071B7" w:rsidRDefault="00F071B7" w:rsidP="00F071B7">
            <w:pPr>
              <w:pStyle w:val="Text"/>
              <w:numPr>
                <w:ilvl w:val="0"/>
                <w:numId w:val="19"/>
              </w:numPr>
              <w:spacing w:after="0"/>
              <w:cnfStyle w:val="000000000000" w:firstRow="0" w:lastRow="0" w:firstColumn="0" w:lastColumn="0" w:oddVBand="0" w:evenVBand="0" w:oddHBand="0" w:evenHBand="0" w:firstRowFirstColumn="0" w:firstRowLastColumn="0" w:lastRowFirstColumn="0" w:lastRowLastColumn="0"/>
            </w:pPr>
            <w:r>
              <w:t>Visitor administration records</w:t>
            </w:r>
          </w:p>
          <w:p w14:paraId="03F39276"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r w:rsidRPr="002D5F90">
              <w:t>Keep for</w:t>
            </w:r>
            <w:r>
              <w:rPr>
                <w:b/>
              </w:rPr>
              <w:t xml:space="preserve"> three years </w:t>
            </w:r>
            <w:r w:rsidRPr="00EB6765">
              <w:t xml:space="preserve">from </w:t>
            </w:r>
            <w:r>
              <w:t>date of last action and then review:</w:t>
            </w:r>
          </w:p>
          <w:p w14:paraId="324666B9" w14:textId="77777777" w:rsidR="00F071B7" w:rsidRDefault="00F071B7" w:rsidP="00F071B7">
            <w:pPr>
              <w:pStyle w:val="Text"/>
              <w:numPr>
                <w:ilvl w:val="0"/>
                <w:numId w:val="18"/>
              </w:numPr>
              <w:spacing w:after="0"/>
              <w:cnfStyle w:val="000000000000" w:firstRow="0" w:lastRow="0" w:firstColumn="0" w:lastColumn="0" w:oddVBand="0" w:evenVBand="0" w:oddHBand="0" w:evenHBand="0" w:firstRowFirstColumn="0" w:firstRowLastColumn="0" w:lastRowFirstColumn="0" w:lastRowLastColumn="0"/>
            </w:pPr>
            <w:r>
              <w:t xml:space="preserve">If still operationally relevant, keep for a further </w:t>
            </w:r>
            <w:r>
              <w:rPr>
                <w:b/>
              </w:rPr>
              <w:t xml:space="preserve">three years </w:t>
            </w:r>
            <w:r>
              <w:t>and then destroy</w:t>
            </w:r>
          </w:p>
          <w:p w14:paraId="51DFA757" w14:textId="77777777" w:rsidR="00F071B7" w:rsidRDefault="00F071B7" w:rsidP="00F071B7">
            <w:pPr>
              <w:pStyle w:val="Text"/>
              <w:numPr>
                <w:ilvl w:val="0"/>
                <w:numId w:val="18"/>
              </w:numPr>
              <w:spacing w:after="0"/>
              <w:cnfStyle w:val="000000000000" w:firstRow="0" w:lastRow="0" w:firstColumn="0" w:lastColumn="0" w:oddVBand="0" w:evenVBand="0" w:oddHBand="0" w:evenHBand="0" w:firstRowFirstColumn="0" w:firstRowLastColumn="0" w:lastRowFirstColumn="0" w:lastRowLastColumn="0"/>
            </w:pPr>
            <w:r>
              <w:t>If no longer required, destroyed immediately</w:t>
            </w:r>
          </w:p>
          <w:p w14:paraId="16F3B733"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tc>
      </w:tr>
      <w:tr w:rsidR="00F071B7" w14:paraId="2A73E25A"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755DC35B" w14:textId="77777777" w:rsidR="00F071B7" w:rsidRDefault="00F071B7" w:rsidP="00F071B7">
            <w:pPr>
              <w:pStyle w:val="Text"/>
              <w:numPr>
                <w:ilvl w:val="0"/>
                <w:numId w:val="11"/>
              </w:numPr>
              <w:spacing w:after="0"/>
            </w:pPr>
          </w:p>
        </w:tc>
        <w:tc>
          <w:tcPr>
            <w:tcW w:w="4536" w:type="dxa"/>
            <w:vAlign w:val="center"/>
          </w:tcPr>
          <w:p w14:paraId="1C51587F"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77BCBE2D"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r w:rsidRPr="00DA4B6A">
              <w:rPr>
                <w:b/>
              </w:rPr>
              <w:t>Investigations</w:t>
            </w:r>
            <w:r>
              <w:t xml:space="preserve"> (including complaints about a specific investigation)</w:t>
            </w:r>
          </w:p>
          <w:p w14:paraId="291C7A43"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09D9EDCD"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08847E49"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r>
              <w:t xml:space="preserve">Keep for </w:t>
            </w:r>
            <w:r w:rsidRPr="00DA4B6A">
              <w:rPr>
                <w:b/>
              </w:rPr>
              <w:t>seven years</w:t>
            </w:r>
            <w:r w:rsidRPr="00DA4B6A">
              <w:t xml:space="preserve"> after date case closed</w:t>
            </w:r>
            <w:r>
              <w:rPr>
                <w:rStyle w:val="FootnoteReference"/>
              </w:rPr>
              <w:footnoteReference w:id="7"/>
            </w:r>
            <w:r w:rsidRPr="00DA4B6A">
              <w:t xml:space="preserve"> </w:t>
            </w:r>
            <w:r>
              <w:t>and then destroy</w:t>
            </w:r>
          </w:p>
          <w:p w14:paraId="448B2E16"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tc>
      </w:tr>
      <w:tr w:rsidR="00F071B7" w14:paraId="66A2D6AC"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1F7D689A" w14:textId="77777777" w:rsidR="00F071B7" w:rsidRDefault="00F071B7" w:rsidP="00F071B7">
            <w:pPr>
              <w:pStyle w:val="Text"/>
              <w:numPr>
                <w:ilvl w:val="0"/>
                <w:numId w:val="11"/>
              </w:numPr>
              <w:spacing w:after="0"/>
            </w:pPr>
          </w:p>
        </w:tc>
        <w:tc>
          <w:tcPr>
            <w:tcW w:w="4536" w:type="dxa"/>
            <w:vAlign w:val="center"/>
          </w:tcPr>
          <w:p w14:paraId="3C61C6BF"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0E12655B" w14:textId="383AD744"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rPr>
                <w:b/>
              </w:rPr>
            </w:pPr>
            <w:r w:rsidRPr="00C46A64">
              <w:rPr>
                <w:b/>
              </w:rPr>
              <w:t>Missing Person information</w:t>
            </w:r>
            <w:r w:rsidR="00CB105C">
              <w:rPr>
                <w:b/>
              </w:rPr>
              <w:t xml:space="preserve"> </w:t>
            </w:r>
            <w:r w:rsidR="00CB105C" w:rsidRPr="00BF3B3A">
              <w:t>(including any supervised sub orders such as presumption of death)</w:t>
            </w:r>
          </w:p>
          <w:p w14:paraId="29229903"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744C2E59"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p w14:paraId="299AF169" w14:textId="397DB31B" w:rsidR="00F071B7" w:rsidRPr="00BF3B3A"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rPr>
                <w:b/>
              </w:rPr>
            </w:pPr>
            <w:r>
              <w:t xml:space="preserve">Keep for </w:t>
            </w:r>
            <w:r w:rsidRPr="00C46A64">
              <w:rPr>
                <w:b/>
              </w:rPr>
              <w:t>seven years</w:t>
            </w:r>
            <w:r>
              <w:rPr>
                <w:rStyle w:val="FootnoteReference"/>
                <w:b/>
              </w:rPr>
              <w:footnoteReference w:id="8"/>
            </w:r>
          </w:p>
          <w:p w14:paraId="2F54E35B" w14:textId="77777777" w:rsidR="00F071B7" w:rsidRDefault="00F071B7" w:rsidP="00F071B7">
            <w:pPr>
              <w:pStyle w:val="Text"/>
              <w:spacing w:after="0"/>
              <w:cnfStyle w:val="000000000000" w:firstRow="0" w:lastRow="0" w:firstColumn="0" w:lastColumn="0" w:oddVBand="0" w:evenVBand="0" w:oddHBand="0" w:evenHBand="0" w:firstRowFirstColumn="0" w:firstRowLastColumn="0" w:lastRowFirstColumn="0" w:lastRowLastColumn="0"/>
            </w:pPr>
          </w:p>
        </w:tc>
      </w:tr>
      <w:tr w:rsidR="00F071B7" w14:paraId="14180BF1" w14:textId="77777777" w:rsidTr="00C71D5F">
        <w:tc>
          <w:tcPr>
            <w:cnfStyle w:val="001000000000" w:firstRow="0" w:lastRow="0" w:firstColumn="1" w:lastColumn="0" w:oddVBand="0" w:evenVBand="0" w:oddHBand="0" w:evenHBand="0" w:firstRowFirstColumn="0" w:firstRowLastColumn="0" w:lastRowFirstColumn="0" w:lastRowLastColumn="0"/>
            <w:tcW w:w="9628" w:type="dxa"/>
            <w:gridSpan w:val="3"/>
            <w:vAlign w:val="center"/>
          </w:tcPr>
          <w:p w14:paraId="70C5BE67" w14:textId="77777777" w:rsidR="00F071B7" w:rsidRPr="00E66A89" w:rsidRDefault="00F071B7" w:rsidP="00F071B7">
            <w:pPr>
              <w:pStyle w:val="Text"/>
              <w:spacing w:after="0"/>
              <w:jc w:val="center"/>
              <w:rPr>
                <w:sz w:val="24"/>
              </w:rPr>
            </w:pPr>
          </w:p>
          <w:p w14:paraId="6D266296" w14:textId="77777777" w:rsidR="00F071B7" w:rsidRPr="00E66A89" w:rsidRDefault="00F071B7" w:rsidP="00F071B7">
            <w:pPr>
              <w:pStyle w:val="Text"/>
              <w:spacing w:after="0"/>
              <w:jc w:val="center"/>
              <w:rPr>
                <w:sz w:val="24"/>
              </w:rPr>
            </w:pPr>
            <w:r w:rsidRPr="00E66A89">
              <w:rPr>
                <w:sz w:val="24"/>
              </w:rPr>
              <w:t>2. Records managed by a common retention and disposition policy</w:t>
            </w:r>
          </w:p>
          <w:p w14:paraId="4534C28A" w14:textId="77777777" w:rsidR="00F071B7" w:rsidRDefault="00F071B7" w:rsidP="00F071B7">
            <w:pPr>
              <w:pStyle w:val="Text"/>
              <w:spacing w:after="0"/>
              <w:jc w:val="center"/>
            </w:pPr>
          </w:p>
        </w:tc>
      </w:tr>
      <w:tr w:rsidR="0041390E" w:rsidRPr="0041390E" w14:paraId="28AD87F6" w14:textId="77777777" w:rsidTr="00025EB5">
        <w:tc>
          <w:tcPr>
            <w:cnfStyle w:val="001000000000" w:firstRow="0" w:lastRow="0" w:firstColumn="1" w:lastColumn="0" w:oddVBand="0" w:evenVBand="0" w:oddHBand="0" w:evenHBand="0" w:firstRowFirstColumn="0" w:firstRowLastColumn="0" w:lastRowFirstColumn="0" w:lastRowLastColumn="0"/>
            <w:tcW w:w="846" w:type="dxa"/>
            <w:vAlign w:val="center"/>
          </w:tcPr>
          <w:p w14:paraId="51E3057C" w14:textId="77777777" w:rsidR="0041390E" w:rsidRPr="0041390E" w:rsidRDefault="0041390E" w:rsidP="0041390E">
            <w:pPr>
              <w:pStyle w:val="Text"/>
              <w:numPr>
                <w:ilvl w:val="0"/>
                <w:numId w:val="11"/>
              </w:numPr>
              <w:spacing w:after="0"/>
            </w:pPr>
          </w:p>
        </w:tc>
        <w:tc>
          <w:tcPr>
            <w:tcW w:w="4536" w:type="dxa"/>
            <w:vAlign w:val="center"/>
          </w:tcPr>
          <w:p w14:paraId="0D56535F" w14:textId="77777777" w:rsidR="0041390E" w:rsidRPr="0041390E" w:rsidRDefault="0041390E" w:rsidP="00025EB5">
            <w:pPr>
              <w:pStyle w:val="Text"/>
              <w:spacing w:after="0"/>
              <w:cnfStyle w:val="000000000000" w:firstRow="0" w:lastRow="0" w:firstColumn="0" w:lastColumn="0" w:oddVBand="0" w:evenVBand="0" w:oddHBand="0" w:evenHBand="0" w:firstRowFirstColumn="0" w:firstRowLastColumn="0" w:lastRowFirstColumn="0" w:lastRowLastColumn="0"/>
              <w:rPr>
                <w:lang w:eastAsia="en-US"/>
              </w:rPr>
            </w:pPr>
          </w:p>
          <w:p w14:paraId="43C91783" w14:textId="77777777" w:rsidR="0041390E" w:rsidRPr="0041390E" w:rsidRDefault="0041390E" w:rsidP="00025EB5">
            <w:pPr>
              <w:pStyle w:val="Text"/>
              <w:spacing w:after="0"/>
              <w:cnfStyle w:val="000000000000" w:firstRow="0" w:lastRow="0" w:firstColumn="0" w:lastColumn="0" w:oddVBand="0" w:evenVBand="0" w:oddHBand="0" w:evenHBand="0" w:firstRowFirstColumn="0" w:firstRowLastColumn="0" w:lastRowFirstColumn="0" w:lastRowLastColumn="0"/>
              <w:rPr>
                <w:lang w:eastAsia="en-US"/>
              </w:rPr>
            </w:pPr>
            <w:r w:rsidRPr="0041390E">
              <w:rPr>
                <w:lang w:eastAsia="en-US"/>
              </w:rPr>
              <w:t>HR information (held by line managers)</w:t>
            </w:r>
          </w:p>
          <w:p w14:paraId="1497D8AE" w14:textId="77777777" w:rsidR="0041390E" w:rsidRPr="0041390E" w:rsidRDefault="0041390E" w:rsidP="00025EB5">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206047C1" w14:textId="77777777" w:rsidR="0041390E" w:rsidRPr="0041390E" w:rsidRDefault="0041390E" w:rsidP="00025EB5">
            <w:pPr>
              <w:pStyle w:val="Text"/>
              <w:spacing w:after="0"/>
              <w:cnfStyle w:val="000000000000" w:firstRow="0" w:lastRow="0" w:firstColumn="0" w:lastColumn="0" w:oddVBand="0" w:evenVBand="0" w:oddHBand="0" w:evenHBand="0" w:firstRowFirstColumn="0" w:firstRowLastColumn="0" w:lastRowFirstColumn="0" w:lastRowLastColumn="0"/>
            </w:pPr>
            <w:r w:rsidRPr="0041390E">
              <w:rPr>
                <w:lang w:eastAsia="en-US"/>
              </w:rPr>
              <w:t xml:space="preserve">Destroy in line with the </w:t>
            </w:r>
            <w:r w:rsidRPr="0041390E">
              <w:rPr>
                <w:i/>
                <w:lang w:eastAsia="en-US"/>
              </w:rPr>
              <w:t>What to keep</w:t>
            </w:r>
            <w:r w:rsidRPr="0041390E">
              <w:rPr>
                <w:lang w:eastAsia="en-US"/>
              </w:rPr>
              <w:t xml:space="preserve"> </w:t>
            </w:r>
            <w:r w:rsidRPr="0041390E">
              <w:rPr>
                <w:rStyle w:val="FootnoteReference"/>
                <w:lang w:eastAsia="en-US"/>
              </w:rPr>
              <w:footnoteReference w:id="9"/>
            </w:r>
            <w:r w:rsidRPr="0041390E">
              <w:rPr>
                <w:lang w:eastAsia="en-US"/>
              </w:rPr>
              <w:t>guidance</w:t>
            </w:r>
          </w:p>
        </w:tc>
      </w:tr>
      <w:tr w:rsidR="00EC4A41" w:rsidRPr="00EC4A41" w14:paraId="18EE58DB" w14:textId="77777777" w:rsidTr="00025EB5">
        <w:tc>
          <w:tcPr>
            <w:cnfStyle w:val="001000000000" w:firstRow="0" w:lastRow="0" w:firstColumn="1" w:lastColumn="0" w:oddVBand="0" w:evenVBand="0" w:oddHBand="0" w:evenHBand="0" w:firstRowFirstColumn="0" w:firstRowLastColumn="0" w:lastRowFirstColumn="0" w:lastRowLastColumn="0"/>
            <w:tcW w:w="846" w:type="dxa"/>
            <w:vAlign w:val="center"/>
          </w:tcPr>
          <w:p w14:paraId="10038E6B" w14:textId="77777777" w:rsidR="00EC4A41" w:rsidRPr="00EC4A41" w:rsidRDefault="00EC4A41" w:rsidP="0041390E">
            <w:pPr>
              <w:pStyle w:val="Text"/>
              <w:numPr>
                <w:ilvl w:val="0"/>
                <w:numId w:val="11"/>
              </w:numPr>
              <w:spacing w:after="0"/>
            </w:pPr>
          </w:p>
        </w:tc>
        <w:tc>
          <w:tcPr>
            <w:tcW w:w="4536" w:type="dxa"/>
            <w:vAlign w:val="center"/>
          </w:tcPr>
          <w:p w14:paraId="737B5BC9" w14:textId="77777777" w:rsidR="00EC4A41" w:rsidRPr="00EC4A41" w:rsidRDefault="00EC4A41" w:rsidP="00025EB5">
            <w:pPr>
              <w:pStyle w:val="Text"/>
              <w:spacing w:after="0"/>
              <w:cnfStyle w:val="000000000000" w:firstRow="0" w:lastRow="0" w:firstColumn="0" w:lastColumn="0" w:oddVBand="0" w:evenVBand="0" w:oddHBand="0" w:evenHBand="0" w:firstRowFirstColumn="0" w:firstRowLastColumn="0" w:lastRowFirstColumn="0" w:lastRowLastColumn="0"/>
            </w:pPr>
            <w:r w:rsidRPr="00EC4A41">
              <w:t>Audio recordings of telephone calls</w:t>
            </w:r>
          </w:p>
        </w:tc>
        <w:tc>
          <w:tcPr>
            <w:tcW w:w="4246" w:type="dxa"/>
            <w:vAlign w:val="center"/>
          </w:tcPr>
          <w:p w14:paraId="5E7D21B5" w14:textId="77777777" w:rsidR="00EC4A41" w:rsidRPr="00EC4A41" w:rsidRDefault="00EC4A41" w:rsidP="00025EB5">
            <w:pPr>
              <w:pStyle w:val="Text"/>
              <w:spacing w:after="0"/>
              <w:cnfStyle w:val="000000000000" w:firstRow="0" w:lastRow="0" w:firstColumn="0" w:lastColumn="0" w:oddVBand="0" w:evenVBand="0" w:oddHBand="0" w:evenHBand="0" w:firstRowFirstColumn="0" w:firstRowLastColumn="0" w:lastRowFirstColumn="0" w:lastRowLastColumn="0"/>
            </w:pPr>
          </w:p>
          <w:p w14:paraId="018307FB" w14:textId="77777777" w:rsidR="00EC4A41" w:rsidRPr="00EC4A41" w:rsidRDefault="00EC4A41" w:rsidP="00025EB5">
            <w:pPr>
              <w:pStyle w:val="Text"/>
              <w:spacing w:after="0"/>
              <w:cnfStyle w:val="000000000000" w:firstRow="0" w:lastRow="0" w:firstColumn="0" w:lastColumn="0" w:oddVBand="0" w:evenVBand="0" w:oddHBand="0" w:evenHBand="0" w:firstRowFirstColumn="0" w:firstRowLastColumn="0" w:lastRowFirstColumn="0" w:lastRowLastColumn="0"/>
            </w:pPr>
            <w:r w:rsidRPr="00EC4A41">
              <w:t xml:space="preserve">Keep for </w:t>
            </w:r>
            <w:r w:rsidRPr="00EC4A41">
              <w:rPr>
                <w:b/>
              </w:rPr>
              <w:t>three months and one day</w:t>
            </w:r>
            <w:r w:rsidRPr="00EC4A41">
              <w:t xml:space="preserve"> after the telephone call and then destroy</w:t>
            </w:r>
          </w:p>
          <w:p w14:paraId="1AD5D8E4" w14:textId="77777777" w:rsidR="00EC4A41" w:rsidRPr="00EC4A41" w:rsidRDefault="00EC4A41" w:rsidP="00025EB5">
            <w:pPr>
              <w:pStyle w:val="Text"/>
              <w:spacing w:after="0"/>
              <w:cnfStyle w:val="000000000000" w:firstRow="0" w:lastRow="0" w:firstColumn="0" w:lastColumn="0" w:oddVBand="0" w:evenVBand="0" w:oddHBand="0" w:evenHBand="0" w:firstRowFirstColumn="0" w:firstRowLastColumn="0" w:lastRowFirstColumn="0" w:lastRowLastColumn="0"/>
            </w:pPr>
          </w:p>
        </w:tc>
      </w:tr>
      <w:tr w:rsidR="00EC4A41" w:rsidRPr="00EC4A41" w14:paraId="3AD6B36B"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55ACEEE4" w14:textId="77777777" w:rsidR="00EC4A41" w:rsidRPr="00EC4A41" w:rsidRDefault="00EC4A41" w:rsidP="0041390E">
            <w:pPr>
              <w:pStyle w:val="Text"/>
              <w:numPr>
                <w:ilvl w:val="0"/>
                <w:numId w:val="11"/>
              </w:numPr>
              <w:spacing w:after="0"/>
            </w:pPr>
          </w:p>
        </w:tc>
        <w:tc>
          <w:tcPr>
            <w:tcW w:w="4536" w:type="dxa"/>
            <w:vAlign w:val="center"/>
          </w:tcPr>
          <w:p w14:paraId="3F49909B" w14:textId="77777777" w:rsidR="00EC4A41" w:rsidRPr="00EC4A41" w:rsidRDefault="00EC4A41" w:rsidP="00EC4A41">
            <w:pPr>
              <w:pStyle w:val="Text"/>
              <w:spacing w:after="0"/>
              <w:cnfStyle w:val="000000000000" w:firstRow="0" w:lastRow="0" w:firstColumn="0" w:lastColumn="0" w:oddVBand="0" w:evenVBand="0" w:oddHBand="0" w:evenHBand="0" w:firstRowFirstColumn="0" w:firstRowLastColumn="0" w:lastRowFirstColumn="0" w:lastRowLastColumn="0"/>
            </w:pPr>
          </w:p>
          <w:p w14:paraId="5D65F984" w14:textId="7E8E9726" w:rsidR="00EC4A41" w:rsidRPr="00EC4A41" w:rsidRDefault="00EC4A41" w:rsidP="00EC4A41">
            <w:pPr>
              <w:pStyle w:val="Text"/>
              <w:spacing w:after="0"/>
              <w:cnfStyle w:val="000000000000" w:firstRow="0" w:lastRow="0" w:firstColumn="0" w:lastColumn="0" w:oddVBand="0" w:evenVBand="0" w:oddHBand="0" w:evenHBand="0" w:firstRowFirstColumn="0" w:firstRowLastColumn="0" w:lastRowFirstColumn="0" w:lastRowLastColumn="0"/>
            </w:pPr>
            <w:r w:rsidRPr="00EC4A41">
              <w:t>a) Records and information held in open internet tools (e.g. YouTube videos, podcasts)</w:t>
            </w:r>
            <w:r w:rsidRPr="00EC4A41">
              <w:rPr>
                <w:rStyle w:val="FootnoteReference"/>
              </w:rPr>
              <w:footnoteReference w:id="10"/>
            </w:r>
            <w:r w:rsidRPr="00EC4A41">
              <w:t xml:space="preserve"> </w:t>
            </w:r>
          </w:p>
          <w:p w14:paraId="2C223597" w14:textId="77777777" w:rsidR="00EC4A41" w:rsidRPr="00EC4A41" w:rsidRDefault="00EC4A41" w:rsidP="00EC4A41">
            <w:pPr>
              <w:pStyle w:val="Text"/>
              <w:spacing w:after="0"/>
              <w:cnfStyle w:val="000000000000" w:firstRow="0" w:lastRow="0" w:firstColumn="0" w:lastColumn="0" w:oddVBand="0" w:evenVBand="0" w:oddHBand="0" w:evenHBand="0" w:firstRowFirstColumn="0" w:firstRowLastColumn="0" w:lastRowFirstColumn="0" w:lastRowLastColumn="0"/>
            </w:pPr>
            <w:r w:rsidRPr="00EC4A41">
              <w:t>b) Records and information held on mobile phones (e.g. text messages, WhatsApp)</w:t>
            </w:r>
          </w:p>
          <w:p w14:paraId="376EA644" w14:textId="77777777" w:rsidR="00EC4A41" w:rsidRPr="00EC4A41" w:rsidRDefault="00EC4A41" w:rsidP="00EC4A41">
            <w:pPr>
              <w:pStyle w:val="Text"/>
              <w:spacing w:after="0"/>
              <w:cnfStyle w:val="000000000000" w:firstRow="0" w:lastRow="0" w:firstColumn="0" w:lastColumn="0" w:oddVBand="0" w:evenVBand="0" w:oddHBand="0" w:evenHBand="0" w:firstRowFirstColumn="0" w:firstRowLastColumn="0" w:lastRowFirstColumn="0" w:lastRowLastColumn="0"/>
            </w:pPr>
            <w:r w:rsidRPr="00EC4A41">
              <w:t>c) Instant Messages (Skype, Teams, etc)</w:t>
            </w:r>
          </w:p>
          <w:p w14:paraId="6655786B" w14:textId="77777777" w:rsidR="00EC4A41" w:rsidRPr="00EC4A41" w:rsidRDefault="00EC4A41" w:rsidP="00F071B7">
            <w:pPr>
              <w:pStyle w:val="Text"/>
              <w:spacing w:after="0"/>
              <w:cnfStyle w:val="000000000000" w:firstRow="0" w:lastRow="0" w:firstColumn="0" w:lastColumn="0" w:oddVBand="0" w:evenVBand="0" w:oddHBand="0" w:evenHBand="0" w:firstRowFirstColumn="0" w:firstRowLastColumn="0" w:lastRowFirstColumn="0" w:lastRowLastColumn="0"/>
              <w:rPr>
                <w:lang w:eastAsia="en-US"/>
              </w:rPr>
            </w:pPr>
          </w:p>
        </w:tc>
        <w:tc>
          <w:tcPr>
            <w:tcW w:w="4246" w:type="dxa"/>
            <w:vAlign w:val="center"/>
          </w:tcPr>
          <w:p w14:paraId="77F987AB" w14:textId="6727B0F2" w:rsidR="00EC4A41" w:rsidRPr="00EC4A41" w:rsidRDefault="00EC4A41" w:rsidP="00F071B7">
            <w:pPr>
              <w:pStyle w:val="Text"/>
              <w:spacing w:after="0"/>
              <w:cnfStyle w:val="000000000000" w:firstRow="0" w:lastRow="0" w:firstColumn="0" w:lastColumn="0" w:oddVBand="0" w:evenVBand="0" w:oddHBand="0" w:evenHBand="0" w:firstRowFirstColumn="0" w:firstRowLastColumn="0" w:lastRowFirstColumn="0" w:lastRowLastColumn="0"/>
              <w:rPr>
                <w:lang w:eastAsia="en-US"/>
              </w:rPr>
            </w:pPr>
            <w:r w:rsidRPr="00EC4A41">
              <w:t xml:space="preserve">Keep for </w:t>
            </w:r>
            <w:r w:rsidRPr="00EC4A41">
              <w:rPr>
                <w:b/>
              </w:rPr>
              <w:t>three months</w:t>
            </w:r>
            <w:r w:rsidRPr="00EC4A41">
              <w:t xml:space="preserve"> and then transfer to the corporate memory or destroy</w:t>
            </w:r>
          </w:p>
        </w:tc>
      </w:tr>
      <w:tr w:rsidR="0041390E" w:rsidRPr="00EC4A41" w14:paraId="3CE86B34"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238EF82C" w14:textId="77777777" w:rsidR="0041390E" w:rsidRPr="00EC4A41" w:rsidRDefault="0041390E" w:rsidP="0041390E">
            <w:pPr>
              <w:pStyle w:val="Text"/>
              <w:spacing w:after="0"/>
              <w:ind w:left="360"/>
              <w:rPr>
                <w:color w:val="FF0000"/>
              </w:rPr>
            </w:pPr>
          </w:p>
        </w:tc>
        <w:tc>
          <w:tcPr>
            <w:tcW w:w="4536" w:type="dxa"/>
            <w:vAlign w:val="center"/>
          </w:tcPr>
          <w:p w14:paraId="64989430" w14:textId="77777777"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p>
          <w:p w14:paraId="3ED37212" w14:textId="489DB0E8"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50CBFE52" w14:textId="77777777"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p>
        </w:tc>
      </w:tr>
      <w:tr w:rsidR="0041390E" w:rsidRPr="00EC4A41" w14:paraId="471B2660"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7B794005" w14:textId="77777777" w:rsidR="0041390E" w:rsidRPr="00EC4A41" w:rsidRDefault="0041390E" w:rsidP="0041390E">
            <w:pPr>
              <w:pStyle w:val="Text"/>
              <w:numPr>
                <w:ilvl w:val="0"/>
                <w:numId w:val="11"/>
              </w:numPr>
              <w:spacing w:after="0"/>
              <w:rPr>
                <w:color w:val="FF0000"/>
              </w:rPr>
            </w:pPr>
          </w:p>
        </w:tc>
        <w:tc>
          <w:tcPr>
            <w:tcW w:w="4536" w:type="dxa"/>
            <w:vAlign w:val="center"/>
          </w:tcPr>
          <w:p w14:paraId="704D87D9" w14:textId="77777777"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p>
          <w:p w14:paraId="646F96D3" w14:textId="57083106"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r>
              <w:t>Responses to Subject Access Requests</w:t>
            </w:r>
          </w:p>
          <w:p w14:paraId="759A07CF" w14:textId="77777777" w:rsidR="0041390E" w:rsidRPr="00EC4A41" w:rsidRDefault="0041390E" w:rsidP="00F071B7">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tc>
        <w:tc>
          <w:tcPr>
            <w:tcW w:w="4246" w:type="dxa"/>
            <w:vAlign w:val="center"/>
          </w:tcPr>
          <w:p w14:paraId="1ED3C993" w14:textId="77777777"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bookmarkStart w:id="1" w:name="_Hlk26272304"/>
          </w:p>
          <w:p w14:paraId="5085C908" w14:textId="60C5C998" w:rsidR="0041390E" w:rsidRDefault="0041390E" w:rsidP="0041390E">
            <w:pPr>
              <w:pStyle w:val="Text"/>
              <w:spacing w:after="0"/>
              <w:cnfStyle w:val="000000000000" w:firstRow="0" w:lastRow="0" w:firstColumn="0" w:lastColumn="0" w:oddVBand="0" w:evenVBand="0" w:oddHBand="0" w:evenHBand="0" w:firstRowFirstColumn="0" w:firstRowLastColumn="0" w:lastRowFirstColumn="0" w:lastRowLastColumn="0"/>
            </w:pPr>
            <w:r w:rsidRPr="009819A4">
              <w:t>Ke</w:t>
            </w:r>
            <w:r>
              <w:t>e</w:t>
            </w:r>
            <w:r w:rsidRPr="009819A4">
              <w:t xml:space="preserve">p for </w:t>
            </w:r>
            <w:r>
              <w:rPr>
                <w:b/>
              </w:rPr>
              <w:t>nine months</w:t>
            </w:r>
            <w:r w:rsidRPr="009819A4">
              <w:t xml:space="preserve"> </w:t>
            </w:r>
            <w:r>
              <w:t xml:space="preserve">and then destroy. </w:t>
            </w:r>
          </w:p>
          <w:bookmarkEnd w:id="1"/>
          <w:p w14:paraId="312A841D" w14:textId="77777777" w:rsidR="0041390E" w:rsidRPr="00EC4A41" w:rsidRDefault="0041390E" w:rsidP="00F071B7">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tc>
      </w:tr>
      <w:tr w:rsidR="00686CF7" w:rsidRPr="00EC4A41" w14:paraId="5C798853"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2E7D8D9D" w14:textId="77777777" w:rsidR="00686CF7" w:rsidRPr="00EC4A41" w:rsidRDefault="00686CF7" w:rsidP="00686CF7">
            <w:pPr>
              <w:pStyle w:val="Text"/>
              <w:numPr>
                <w:ilvl w:val="0"/>
                <w:numId w:val="11"/>
              </w:numPr>
              <w:spacing w:after="0"/>
              <w:rPr>
                <w:color w:val="FF0000"/>
              </w:rPr>
            </w:pPr>
          </w:p>
        </w:tc>
        <w:tc>
          <w:tcPr>
            <w:tcW w:w="4536" w:type="dxa"/>
            <w:vAlign w:val="center"/>
          </w:tcPr>
          <w:p w14:paraId="7F832203" w14:textId="77777777"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p>
          <w:p w14:paraId="47435C09" w14:textId="4D638F74"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r>
              <w:t>Background information (</w:t>
            </w:r>
            <w:r>
              <w:rPr>
                <w:rFonts w:cs="Arial"/>
              </w:rPr>
              <w:t xml:space="preserve">held by business) </w:t>
            </w:r>
            <w:r>
              <w:t xml:space="preserve">for responses to: </w:t>
            </w:r>
          </w:p>
          <w:p w14:paraId="7E2EA27A" w14:textId="77777777" w:rsidR="00686CF7" w:rsidRDefault="00686CF7" w:rsidP="00686CF7">
            <w:pPr>
              <w:pStyle w:val="Text"/>
              <w:numPr>
                <w:ilvl w:val="0"/>
                <w:numId w:val="23"/>
              </w:numPr>
              <w:spacing w:after="0"/>
              <w:cnfStyle w:val="000000000000" w:firstRow="0" w:lastRow="0" w:firstColumn="0" w:lastColumn="0" w:oddVBand="0" w:evenVBand="0" w:oddHBand="0" w:evenHBand="0" w:firstRowFirstColumn="0" w:firstRowLastColumn="0" w:lastRowFirstColumn="0" w:lastRowLastColumn="0"/>
            </w:pPr>
            <w:r w:rsidRPr="001C4F0C">
              <w:t>Parliamentary Questions (PQs)</w:t>
            </w:r>
          </w:p>
          <w:p w14:paraId="5E1C2106" w14:textId="77777777" w:rsidR="00686CF7" w:rsidRDefault="00686CF7" w:rsidP="00686CF7">
            <w:pPr>
              <w:pStyle w:val="Text"/>
              <w:numPr>
                <w:ilvl w:val="0"/>
                <w:numId w:val="23"/>
              </w:numPr>
              <w:spacing w:after="0"/>
              <w:cnfStyle w:val="000000000000" w:firstRow="0" w:lastRow="0" w:firstColumn="0" w:lastColumn="0" w:oddVBand="0" w:evenVBand="0" w:oddHBand="0" w:evenHBand="0" w:firstRowFirstColumn="0" w:firstRowLastColumn="0" w:lastRowFirstColumn="0" w:lastRowLastColumn="0"/>
            </w:pPr>
            <w:r>
              <w:t>Correspondence (including Ministerial Correspondence (MCs))</w:t>
            </w:r>
          </w:p>
          <w:p w14:paraId="782BC303" w14:textId="77777777" w:rsidR="00686CF7" w:rsidRPr="008A1106" w:rsidRDefault="00686CF7" w:rsidP="00686CF7">
            <w:pPr>
              <w:pStyle w:val="Text"/>
              <w:numPr>
                <w:ilvl w:val="0"/>
                <w:numId w:val="23"/>
              </w:numPr>
              <w:spacing w:after="0"/>
              <w:cnfStyle w:val="000000000000" w:firstRow="0" w:lastRow="0" w:firstColumn="0" w:lastColumn="0" w:oddVBand="0" w:evenVBand="0" w:oddHBand="0" w:evenHBand="0" w:firstRowFirstColumn="0" w:firstRowLastColumn="0" w:lastRowFirstColumn="0" w:lastRowLastColumn="0"/>
              <w:rPr>
                <w:rFonts w:cs="Arial"/>
              </w:rPr>
            </w:pPr>
            <w:r>
              <w:t xml:space="preserve">Information requests </w:t>
            </w:r>
            <w:r w:rsidRPr="008A1106">
              <w:rPr>
                <w:rFonts w:cs="Arial"/>
              </w:rPr>
              <w:t xml:space="preserve">made under: </w:t>
            </w:r>
          </w:p>
          <w:p w14:paraId="41E53024" w14:textId="77777777" w:rsidR="00686CF7" w:rsidRDefault="00686CF7" w:rsidP="00686CF7">
            <w:pPr>
              <w:pStyle w:val="Text"/>
              <w:numPr>
                <w:ilvl w:val="0"/>
                <w:numId w:val="24"/>
              </w:numPr>
              <w:spacing w:after="0"/>
              <w:cnfStyle w:val="000000000000" w:firstRow="0" w:lastRow="0" w:firstColumn="0" w:lastColumn="0" w:oddVBand="0" w:evenVBand="0" w:oddHBand="0" w:evenHBand="0" w:firstRowFirstColumn="0" w:firstRowLastColumn="0" w:lastRowFirstColumn="0" w:lastRowLastColumn="0"/>
              <w:rPr>
                <w:rFonts w:cs="Arial"/>
              </w:rPr>
            </w:pPr>
            <w:r w:rsidRPr="003B50BC">
              <w:rPr>
                <w:rFonts w:cs="Arial"/>
              </w:rPr>
              <w:t>Freedom of Information Act</w:t>
            </w:r>
          </w:p>
          <w:p w14:paraId="1074BE35" w14:textId="77777777" w:rsidR="00686CF7" w:rsidRDefault="00686CF7" w:rsidP="00686CF7">
            <w:pPr>
              <w:pStyle w:val="Text"/>
              <w:numPr>
                <w:ilvl w:val="0"/>
                <w:numId w:val="24"/>
              </w:numPr>
              <w:spacing w:after="0"/>
              <w:cnfStyle w:val="000000000000" w:firstRow="0" w:lastRow="0" w:firstColumn="0" w:lastColumn="0" w:oddVBand="0" w:evenVBand="0" w:oddHBand="0" w:evenHBand="0" w:firstRowFirstColumn="0" w:firstRowLastColumn="0" w:lastRowFirstColumn="0" w:lastRowLastColumn="0"/>
              <w:rPr>
                <w:rFonts w:cs="Arial"/>
              </w:rPr>
            </w:pPr>
            <w:r w:rsidRPr="008A1106">
              <w:rPr>
                <w:rFonts w:cs="Arial"/>
              </w:rPr>
              <w:t>Environmental Information Regulations</w:t>
            </w:r>
          </w:p>
          <w:p w14:paraId="69B1A4A9" w14:textId="77777777" w:rsidR="00686CF7" w:rsidRDefault="00686CF7" w:rsidP="00686CF7">
            <w:pPr>
              <w:pStyle w:val="Text"/>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8A1106">
              <w:rPr>
                <w:rFonts w:cs="Arial"/>
              </w:rPr>
              <w:t>Reuse of Public Sector Information Regulation</w:t>
            </w:r>
            <w:r>
              <w:t>s</w:t>
            </w:r>
          </w:p>
          <w:p w14:paraId="5F06C414" w14:textId="77777777"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p>
          <w:p w14:paraId="219D278E" w14:textId="77777777"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r>
              <w:rPr>
                <w:b/>
              </w:rPr>
              <w:t>NB.</w:t>
            </w:r>
            <w:r>
              <w:t xml:space="preserve"> The answers to these requests are held by:</w:t>
            </w:r>
          </w:p>
          <w:p w14:paraId="250348D5" w14:textId="7A2E4F08"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r>
              <w:t xml:space="preserve">a)  </w:t>
            </w:r>
            <w:r w:rsidRPr="00D2502D">
              <w:t>Ministers, Parliament, Strategy and Implementation</w:t>
            </w:r>
            <w:r>
              <w:t xml:space="preserve"> (see row 37 of MoJ HQ schedule</w:t>
            </w:r>
            <w:r w:rsidRPr="00D2502D">
              <w:t>)</w:t>
            </w:r>
          </w:p>
          <w:p w14:paraId="0A0DC97B" w14:textId="77777777"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r>
              <w:t xml:space="preserve">b) </w:t>
            </w:r>
            <w:r w:rsidRPr="00D2502D">
              <w:t>Minister</w:t>
            </w:r>
            <w:r>
              <w:t>ial Correspondence Unit (see row 4 of the Private Office schedule)</w:t>
            </w:r>
          </w:p>
          <w:p w14:paraId="4DF72CB4" w14:textId="43DC61D0"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r>
              <w:t>c) Disclosure (see row 40 of MoJ HQ schedule</w:t>
            </w:r>
            <w:r w:rsidRPr="00D2502D">
              <w:t>)</w:t>
            </w:r>
          </w:p>
          <w:p w14:paraId="21AE79F5" w14:textId="29BCB39D" w:rsidR="00686CF7" w:rsidRPr="00EC4A41"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tc>
        <w:tc>
          <w:tcPr>
            <w:tcW w:w="4246" w:type="dxa"/>
            <w:vAlign w:val="center"/>
          </w:tcPr>
          <w:p w14:paraId="080C84F7" w14:textId="77777777" w:rsidR="00686CF7" w:rsidRPr="00EC4A41" w:rsidRDefault="00686CF7" w:rsidP="00686CF7">
            <w:pPr>
              <w:spacing w:after="0"/>
              <w:cnfStyle w:val="000000000000" w:firstRow="0" w:lastRow="0" w:firstColumn="0" w:lastColumn="0" w:oddVBand="0" w:evenVBand="0" w:oddHBand="0" w:evenHBand="0" w:firstRowFirstColumn="0" w:firstRowLastColumn="0" w:lastRowFirstColumn="0" w:lastRowLastColumn="0"/>
              <w:rPr>
                <w:rFonts w:cs="Arial"/>
                <w:color w:val="FF0000"/>
              </w:rPr>
            </w:pPr>
          </w:p>
          <w:p w14:paraId="65B52182" w14:textId="77777777" w:rsidR="00686CF7"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pPr>
            <w:r>
              <w:t xml:space="preserve">Keep for </w:t>
            </w:r>
            <w:r>
              <w:rPr>
                <w:b/>
              </w:rPr>
              <w:t>one</w:t>
            </w:r>
            <w:r w:rsidRPr="00905C57">
              <w:rPr>
                <w:b/>
              </w:rPr>
              <w:t xml:space="preserve"> year</w:t>
            </w:r>
            <w:r>
              <w:t xml:space="preserve"> and then review:</w:t>
            </w:r>
          </w:p>
          <w:p w14:paraId="70D367F1" w14:textId="77777777" w:rsidR="00686CF7" w:rsidRDefault="00686CF7" w:rsidP="00686CF7">
            <w:pPr>
              <w:pStyle w:val="Text"/>
              <w:numPr>
                <w:ilvl w:val="0"/>
                <w:numId w:val="25"/>
              </w:numPr>
              <w:spacing w:after="0"/>
              <w:cnfStyle w:val="000000000000" w:firstRow="0" w:lastRow="0" w:firstColumn="0" w:lastColumn="0" w:oddVBand="0" w:evenVBand="0" w:oddHBand="0" w:evenHBand="0" w:firstRowFirstColumn="0" w:firstRowLastColumn="0" w:lastRowFirstColumn="0" w:lastRowLastColumn="0"/>
            </w:pPr>
            <w:r>
              <w:t xml:space="preserve">Where operationally relevant, keep for </w:t>
            </w:r>
            <w:r w:rsidRPr="008A1106">
              <w:rPr>
                <w:b/>
              </w:rPr>
              <w:t>another</w:t>
            </w:r>
            <w:r>
              <w:t xml:space="preserve"> </w:t>
            </w:r>
            <w:r>
              <w:rPr>
                <w:b/>
              </w:rPr>
              <w:t>year</w:t>
            </w:r>
            <w:r>
              <w:t xml:space="preserve"> and then repeat the process until the item is no longer needed.</w:t>
            </w:r>
          </w:p>
          <w:p w14:paraId="3D896F24" w14:textId="79478215" w:rsidR="00686CF7" w:rsidRPr="00EC4A41" w:rsidRDefault="00686CF7" w:rsidP="00686CF7">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r>
              <w:t>Where no longer needed, d</w:t>
            </w:r>
            <w:r w:rsidRPr="00FA5D29">
              <w:t xml:space="preserve">estroy </w:t>
            </w:r>
            <w:r>
              <w:t>imm</w:t>
            </w:r>
            <w:r w:rsidRPr="00FA5D29">
              <w:t>e</w:t>
            </w:r>
            <w:r>
              <w:t>diately.</w:t>
            </w:r>
          </w:p>
        </w:tc>
      </w:tr>
      <w:tr w:rsidR="00F73075" w:rsidRPr="00EC4A41" w14:paraId="4AE607C3"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1F8A5639" w14:textId="77777777" w:rsidR="00F73075" w:rsidRPr="00EC4A41" w:rsidRDefault="00F73075" w:rsidP="00F73075">
            <w:pPr>
              <w:pStyle w:val="Text"/>
              <w:numPr>
                <w:ilvl w:val="0"/>
                <w:numId w:val="11"/>
              </w:numPr>
              <w:spacing w:after="0"/>
              <w:rPr>
                <w:color w:val="FF0000"/>
              </w:rPr>
            </w:pPr>
          </w:p>
        </w:tc>
        <w:tc>
          <w:tcPr>
            <w:tcW w:w="4536" w:type="dxa"/>
            <w:vAlign w:val="center"/>
          </w:tcPr>
          <w:p w14:paraId="6C06A8B3" w14:textId="77777777" w:rsidR="00F73075"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p w14:paraId="65C94E0B" w14:textId="77777777" w:rsidR="00F73075"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Data loss incident records (held by business)</w:t>
            </w:r>
          </w:p>
          <w:p w14:paraId="191A7B83" w14:textId="209AC1B9" w:rsidR="00F73075" w:rsidRPr="00EC4A41"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tc>
        <w:tc>
          <w:tcPr>
            <w:tcW w:w="4246" w:type="dxa"/>
            <w:vAlign w:val="center"/>
          </w:tcPr>
          <w:p w14:paraId="76A67686" w14:textId="77777777" w:rsidR="00F73075"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p>
          <w:p w14:paraId="6EC0E37A" w14:textId="5A6F308D" w:rsidR="00F73075"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r>
              <w:t xml:space="preserve">Keep for </w:t>
            </w:r>
            <w:r w:rsidRPr="00BD3577">
              <w:rPr>
                <w:b/>
              </w:rPr>
              <w:t>three years</w:t>
            </w:r>
            <w:r>
              <w:t xml:space="preserve"> from incident closure and then destroy</w:t>
            </w:r>
          </w:p>
          <w:p w14:paraId="280109E9" w14:textId="77777777" w:rsidR="00F73075" w:rsidRPr="00EC4A41"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tc>
      </w:tr>
      <w:tr w:rsidR="00A9768A" w:rsidRPr="00A9768A" w14:paraId="41C45DC7" w14:textId="77777777" w:rsidTr="00025EB5">
        <w:tc>
          <w:tcPr>
            <w:cnfStyle w:val="001000000000" w:firstRow="0" w:lastRow="0" w:firstColumn="1" w:lastColumn="0" w:oddVBand="0" w:evenVBand="0" w:oddHBand="0" w:evenHBand="0" w:firstRowFirstColumn="0" w:firstRowLastColumn="0" w:lastRowFirstColumn="0" w:lastRowLastColumn="0"/>
            <w:tcW w:w="846" w:type="dxa"/>
            <w:vAlign w:val="center"/>
          </w:tcPr>
          <w:p w14:paraId="5278FDD7" w14:textId="77777777" w:rsidR="00A9768A" w:rsidRPr="00A9768A" w:rsidRDefault="00A9768A" w:rsidP="00A9768A">
            <w:pPr>
              <w:pStyle w:val="Text"/>
              <w:numPr>
                <w:ilvl w:val="0"/>
                <w:numId w:val="11"/>
              </w:numPr>
              <w:spacing w:after="0"/>
            </w:pPr>
          </w:p>
        </w:tc>
        <w:tc>
          <w:tcPr>
            <w:tcW w:w="4536" w:type="dxa"/>
            <w:vAlign w:val="center"/>
          </w:tcPr>
          <w:p w14:paraId="06AF1420" w14:textId="77777777" w:rsidR="00A9768A" w:rsidRPr="00A9768A" w:rsidRDefault="00A9768A" w:rsidP="00025EB5">
            <w:pPr>
              <w:pStyle w:val="Text"/>
              <w:spacing w:after="0"/>
              <w:cnfStyle w:val="000000000000" w:firstRow="0" w:lastRow="0" w:firstColumn="0" w:lastColumn="0" w:oddVBand="0" w:evenVBand="0" w:oddHBand="0" w:evenHBand="0" w:firstRowFirstColumn="0" w:firstRowLastColumn="0" w:lastRowFirstColumn="0" w:lastRowLastColumn="0"/>
            </w:pPr>
          </w:p>
          <w:p w14:paraId="05A3BC23" w14:textId="77777777" w:rsidR="00A9768A" w:rsidRPr="00A9768A" w:rsidRDefault="00A9768A" w:rsidP="00025EB5">
            <w:pPr>
              <w:pStyle w:val="Text"/>
              <w:spacing w:after="0"/>
              <w:cnfStyle w:val="000000000000" w:firstRow="0" w:lastRow="0" w:firstColumn="0" w:lastColumn="0" w:oddVBand="0" w:evenVBand="0" w:oddHBand="0" w:evenHBand="0" w:firstRowFirstColumn="0" w:firstRowLastColumn="0" w:lastRowFirstColumn="0" w:lastRowLastColumn="0"/>
            </w:pPr>
            <w:r w:rsidRPr="00A9768A">
              <w:t>Business continuity plans</w:t>
            </w:r>
          </w:p>
          <w:p w14:paraId="75753A24" w14:textId="77777777" w:rsidR="00A9768A" w:rsidRPr="00A9768A" w:rsidRDefault="00A9768A" w:rsidP="00025EB5">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2D447675" w14:textId="77777777" w:rsidR="00A9768A" w:rsidRPr="00A9768A" w:rsidRDefault="00A9768A" w:rsidP="00025EB5">
            <w:pPr>
              <w:pStyle w:val="Text"/>
              <w:spacing w:after="0"/>
              <w:cnfStyle w:val="000000000000" w:firstRow="0" w:lastRow="0" w:firstColumn="0" w:lastColumn="0" w:oddVBand="0" w:evenVBand="0" w:oddHBand="0" w:evenHBand="0" w:firstRowFirstColumn="0" w:firstRowLastColumn="0" w:lastRowFirstColumn="0" w:lastRowLastColumn="0"/>
            </w:pPr>
          </w:p>
          <w:p w14:paraId="36813840" w14:textId="77777777" w:rsidR="00A9768A" w:rsidRPr="00A9768A" w:rsidRDefault="00A9768A" w:rsidP="00025EB5">
            <w:pPr>
              <w:pStyle w:val="Text"/>
              <w:spacing w:after="0"/>
              <w:cnfStyle w:val="000000000000" w:firstRow="0" w:lastRow="0" w:firstColumn="0" w:lastColumn="0" w:oddVBand="0" w:evenVBand="0" w:oddHBand="0" w:evenHBand="0" w:firstRowFirstColumn="0" w:firstRowLastColumn="0" w:lastRowFirstColumn="0" w:lastRowLastColumn="0"/>
            </w:pPr>
            <w:r w:rsidRPr="00A9768A">
              <w:t xml:space="preserve">Updated annually. Keep previous versions for </w:t>
            </w:r>
            <w:r w:rsidRPr="00A9768A">
              <w:rPr>
                <w:b/>
              </w:rPr>
              <w:t>three years</w:t>
            </w:r>
            <w:r w:rsidRPr="00A9768A">
              <w:t xml:space="preserve"> and then destroy.</w:t>
            </w:r>
          </w:p>
          <w:p w14:paraId="1657CF9C" w14:textId="77777777" w:rsidR="00A9768A" w:rsidRPr="00A9768A" w:rsidRDefault="00A9768A" w:rsidP="00025EB5">
            <w:pPr>
              <w:pStyle w:val="Text"/>
              <w:spacing w:after="0"/>
              <w:cnfStyle w:val="000000000000" w:firstRow="0" w:lastRow="0" w:firstColumn="0" w:lastColumn="0" w:oddVBand="0" w:evenVBand="0" w:oddHBand="0" w:evenHBand="0" w:firstRowFirstColumn="0" w:firstRowLastColumn="0" w:lastRowFirstColumn="0" w:lastRowLastColumn="0"/>
            </w:pPr>
          </w:p>
        </w:tc>
      </w:tr>
      <w:tr w:rsidR="00F73075" w:rsidRPr="00EC4A41" w14:paraId="3CF12434"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34C17995" w14:textId="77777777" w:rsidR="00F73075" w:rsidRPr="00EC4A41" w:rsidRDefault="00F73075" w:rsidP="00A9768A">
            <w:pPr>
              <w:pStyle w:val="Text"/>
              <w:numPr>
                <w:ilvl w:val="0"/>
                <w:numId w:val="11"/>
              </w:numPr>
              <w:spacing w:after="0"/>
              <w:rPr>
                <w:color w:val="FF0000"/>
              </w:rPr>
            </w:pPr>
          </w:p>
        </w:tc>
        <w:tc>
          <w:tcPr>
            <w:tcW w:w="4536" w:type="dxa"/>
            <w:vAlign w:val="center"/>
          </w:tcPr>
          <w:p w14:paraId="144966CE" w14:textId="77777777" w:rsidR="00F73075" w:rsidRPr="00EC4A41"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lang w:eastAsia="en-US"/>
              </w:rPr>
            </w:pPr>
          </w:p>
          <w:p w14:paraId="49950ABD" w14:textId="77777777" w:rsidR="00F173AA" w:rsidRDefault="00F173AA" w:rsidP="00F173AA">
            <w:pPr>
              <w:pStyle w:val="Text"/>
              <w:spacing w:after="0"/>
              <w:cnfStyle w:val="000000000000" w:firstRow="0" w:lastRow="0" w:firstColumn="0" w:lastColumn="0" w:oddVBand="0" w:evenVBand="0" w:oddHBand="0" w:evenHBand="0" w:firstRowFirstColumn="0" w:firstRowLastColumn="0" w:lastRowFirstColumn="0" w:lastRowLastColumn="0"/>
              <w:rPr>
                <w:lang w:eastAsia="en-US"/>
              </w:rPr>
            </w:pPr>
            <w:r>
              <w:rPr>
                <w:lang w:eastAsia="en-US"/>
              </w:rPr>
              <w:t>Contracts (value up to £10,000): including, but not limited to: signed contracts, records of performance, meetings, complaints, changes to requirements, variations and extensions (up to £10,000)</w:t>
            </w:r>
          </w:p>
          <w:p w14:paraId="7D620F69" w14:textId="2FBB0959" w:rsidR="00F73075" w:rsidRPr="00EC4A41"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rPr>
            </w:pPr>
          </w:p>
        </w:tc>
        <w:tc>
          <w:tcPr>
            <w:tcW w:w="4246" w:type="dxa"/>
            <w:vAlign w:val="center"/>
          </w:tcPr>
          <w:p w14:paraId="35F61785" w14:textId="1B5C6EB0" w:rsidR="00F73075" w:rsidRPr="00EC4A41"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rPr>
            </w:pPr>
            <w:r w:rsidRPr="00F173AA">
              <w:rPr>
                <w:lang w:eastAsia="en-US"/>
              </w:rPr>
              <w:t xml:space="preserve">Keep for </w:t>
            </w:r>
            <w:r w:rsidRPr="00F173AA">
              <w:rPr>
                <w:b/>
                <w:lang w:eastAsia="en-US"/>
              </w:rPr>
              <w:t>six years</w:t>
            </w:r>
            <w:r w:rsidRPr="00F173AA">
              <w:rPr>
                <w:lang w:eastAsia="en-US"/>
              </w:rPr>
              <w:t xml:space="preserve"> after contract ends and then destroy.</w:t>
            </w:r>
            <w:r w:rsidRPr="00F173AA">
              <w:rPr>
                <w:rStyle w:val="FootnoteReference"/>
                <w:lang w:eastAsia="en-US"/>
              </w:rPr>
              <w:footnoteReference w:id="11"/>
            </w:r>
          </w:p>
        </w:tc>
      </w:tr>
      <w:tr w:rsidR="00F73075" w:rsidRPr="00EC4A41" w14:paraId="03A196F9"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2B7FA69B" w14:textId="77777777" w:rsidR="00F73075" w:rsidRPr="00EC4A41" w:rsidRDefault="00F73075" w:rsidP="00A9768A">
            <w:pPr>
              <w:pStyle w:val="Text"/>
              <w:numPr>
                <w:ilvl w:val="0"/>
                <w:numId w:val="11"/>
              </w:numPr>
              <w:spacing w:after="0"/>
              <w:rPr>
                <w:color w:val="FF0000"/>
              </w:rPr>
            </w:pPr>
          </w:p>
        </w:tc>
        <w:tc>
          <w:tcPr>
            <w:tcW w:w="4536" w:type="dxa"/>
            <w:vAlign w:val="center"/>
          </w:tcPr>
          <w:p w14:paraId="263360F3" w14:textId="77777777" w:rsidR="00F73075"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rPr>
            </w:pPr>
          </w:p>
          <w:p w14:paraId="316A3AF3" w14:textId="77777777" w:rsidR="00E456FD" w:rsidRDefault="00E456FD" w:rsidP="00E456FD">
            <w:pPr>
              <w:pStyle w:val="Text"/>
              <w:spacing w:after="0"/>
              <w:cnfStyle w:val="000000000000" w:firstRow="0" w:lastRow="0" w:firstColumn="0" w:lastColumn="0" w:oddVBand="0" w:evenVBand="0" w:oddHBand="0" w:evenHBand="0" w:firstRowFirstColumn="0" w:firstRowLastColumn="0" w:lastRowFirstColumn="0" w:lastRowLastColumn="0"/>
            </w:pPr>
            <w:r>
              <w:t>Litigation cases</w:t>
            </w:r>
          </w:p>
          <w:p w14:paraId="5B2755A2" w14:textId="1C55E4B3" w:rsidR="00E456FD" w:rsidRPr="00EC4A41" w:rsidRDefault="00E456FD" w:rsidP="00F73075">
            <w:pPr>
              <w:pStyle w:val="Text"/>
              <w:spacing w:after="0"/>
              <w:cnfStyle w:val="000000000000" w:firstRow="0" w:lastRow="0" w:firstColumn="0" w:lastColumn="0" w:oddVBand="0" w:evenVBand="0" w:oddHBand="0" w:evenHBand="0" w:firstRowFirstColumn="0" w:firstRowLastColumn="0" w:lastRowFirstColumn="0" w:lastRowLastColumn="0"/>
              <w:rPr>
                <w:color w:val="FF0000"/>
              </w:rPr>
            </w:pPr>
          </w:p>
        </w:tc>
        <w:tc>
          <w:tcPr>
            <w:tcW w:w="4246" w:type="dxa"/>
            <w:vAlign w:val="center"/>
          </w:tcPr>
          <w:p w14:paraId="0F0D1314" w14:textId="368FEFC5" w:rsidR="00F73075" w:rsidRPr="00E456FD" w:rsidRDefault="00A87C5C" w:rsidP="00F73075">
            <w:pPr>
              <w:pStyle w:val="Text"/>
              <w:spacing w:after="0"/>
              <w:cnfStyle w:val="000000000000" w:firstRow="0" w:lastRow="0" w:firstColumn="0" w:lastColumn="0" w:oddVBand="0" w:evenVBand="0" w:oddHBand="0" w:evenHBand="0" w:firstRowFirstColumn="0" w:firstRowLastColumn="0" w:lastRowFirstColumn="0" w:lastRowLastColumn="0"/>
            </w:pPr>
            <w:r>
              <w:t xml:space="preserve">Keep for </w:t>
            </w:r>
            <w:r>
              <w:rPr>
                <w:b/>
              </w:rPr>
              <w:t>six years</w:t>
            </w:r>
            <w:r>
              <w:t xml:space="preserve"> from last action and then destroy</w:t>
            </w:r>
            <w:r w:rsidR="00E456FD">
              <w:t>.</w:t>
            </w:r>
          </w:p>
        </w:tc>
      </w:tr>
      <w:tr w:rsidR="00A87C5C" w:rsidRPr="00A87C5C" w14:paraId="28167452" w14:textId="77777777" w:rsidTr="00025EB5">
        <w:tc>
          <w:tcPr>
            <w:cnfStyle w:val="001000000000" w:firstRow="0" w:lastRow="0" w:firstColumn="1" w:lastColumn="0" w:oddVBand="0" w:evenVBand="0" w:oddHBand="0" w:evenHBand="0" w:firstRowFirstColumn="0" w:firstRowLastColumn="0" w:lastRowFirstColumn="0" w:lastRowLastColumn="0"/>
            <w:tcW w:w="846" w:type="dxa"/>
            <w:vAlign w:val="center"/>
          </w:tcPr>
          <w:p w14:paraId="4CA40961" w14:textId="77777777" w:rsidR="00A87C5C" w:rsidRPr="00A87C5C" w:rsidRDefault="00A87C5C" w:rsidP="00A87C5C">
            <w:pPr>
              <w:pStyle w:val="Text"/>
              <w:numPr>
                <w:ilvl w:val="0"/>
                <w:numId w:val="11"/>
              </w:numPr>
              <w:spacing w:after="0"/>
            </w:pPr>
          </w:p>
        </w:tc>
        <w:tc>
          <w:tcPr>
            <w:tcW w:w="4536" w:type="dxa"/>
            <w:vAlign w:val="center"/>
          </w:tcPr>
          <w:p w14:paraId="4C089D83" w14:textId="77777777"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p>
          <w:p w14:paraId="018F8B2D" w14:textId="5DB5BB8B"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r w:rsidRPr="00A87C5C">
              <w:t>Finance and risk management information</w:t>
            </w:r>
          </w:p>
          <w:p w14:paraId="7ADAF5FD" w14:textId="77777777"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3D1BF767" w14:textId="77777777"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p>
          <w:p w14:paraId="74EEFF9C" w14:textId="77777777"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r w:rsidRPr="00A87C5C">
              <w:t>Store in folders by financial year which are closed annually.</w:t>
            </w:r>
          </w:p>
          <w:p w14:paraId="0FD0F1AB" w14:textId="77777777"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r w:rsidRPr="00A87C5C">
              <w:t xml:space="preserve">Keep for </w:t>
            </w:r>
            <w:r w:rsidRPr="00A87C5C">
              <w:rPr>
                <w:b/>
              </w:rPr>
              <w:t>seven years</w:t>
            </w:r>
            <w:r w:rsidRPr="00A87C5C">
              <w:t xml:space="preserve"> after closure and then destroy.</w:t>
            </w:r>
          </w:p>
          <w:p w14:paraId="5DD3F979" w14:textId="77777777" w:rsidR="00A87C5C" w:rsidRPr="00A87C5C" w:rsidRDefault="00A87C5C" w:rsidP="00025EB5">
            <w:pPr>
              <w:pStyle w:val="Text"/>
              <w:spacing w:after="0"/>
              <w:cnfStyle w:val="000000000000" w:firstRow="0" w:lastRow="0" w:firstColumn="0" w:lastColumn="0" w:oddVBand="0" w:evenVBand="0" w:oddHBand="0" w:evenHBand="0" w:firstRowFirstColumn="0" w:firstRowLastColumn="0" w:lastRowFirstColumn="0" w:lastRowLastColumn="0"/>
            </w:pPr>
          </w:p>
        </w:tc>
      </w:tr>
      <w:tr w:rsidR="00A87C5C" w:rsidRPr="00EC4A41" w14:paraId="166738B3"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7531B0A7" w14:textId="77777777" w:rsidR="00A87C5C" w:rsidRPr="00EC4A41" w:rsidRDefault="00A87C5C" w:rsidP="00A87C5C">
            <w:pPr>
              <w:pStyle w:val="Text"/>
              <w:numPr>
                <w:ilvl w:val="0"/>
                <w:numId w:val="11"/>
              </w:numPr>
              <w:spacing w:after="0"/>
              <w:rPr>
                <w:color w:val="FF0000"/>
              </w:rPr>
            </w:pPr>
          </w:p>
        </w:tc>
        <w:tc>
          <w:tcPr>
            <w:tcW w:w="4536" w:type="dxa"/>
            <w:vAlign w:val="center"/>
          </w:tcPr>
          <w:p w14:paraId="5E644379" w14:textId="77777777" w:rsidR="00A87C5C" w:rsidRDefault="00A87C5C" w:rsidP="00F73075">
            <w:pPr>
              <w:pStyle w:val="Text"/>
              <w:spacing w:after="0"/>
              <w:cnfStyle w:val="000000000000" w:firstRow="0" w:lastRow="0" w:firstColumn="0" w:lastColumn="0" w:oddVBand="0" w:evenVBand="0" w:oddHBand="0" w:evenHBand="0" w:firstRowFirstColumn="0" w:firstRowLastColumn="0" w:lastRowFirstColumn="0" w:lastRowLastColumn="0"/>
              <w:rPr>
                <w:rFonts w:cs="Arial"/>
                <w:color w:val="FF0000"/>
              </w:rPr>
            </w:pPr>
          </w:p>
          <w:p w14:paraId="198838E2" w14:textId="77777777" w:rsidR="00A87C5C" w:rsidRPr="00C26F51" w:rsidRDefault="00A87C5C" w:rsidP="00A87C5C">
            <w:pPr>
              <w:pStyle w:val="Text"/>
              <w:spacing w:after="0"/>
              <w:cnfStyle w:val="000000000000" w:firstRow="0" w:lastRow="0" w:firstColumn="0" w:lastColumn="0" w:oddVBand="0" w:evenVBand="0" w:oddHBand="0" w:evenHBand="0" w:firstRowFirstColumn="0" w:firstRowLastColumn="0" w:lastRowFirstColumn="0" w:lastRowLastColumn="0"/>
              <w:rPr>
                <w:b/>
              </w:rPr>
            </w:pPr>
            <w:r>
              <w:rPr>
                <w:rFonts w:cs="Arial"/>
              </w:rPr>
              <w:t xml:space="preserve">Submissions, briefings for ministers and policy team, other correspondence with Private Office, Chief Executives’ Offices, etc </w:t>
            </w:r>
            <w:r>
              <w:rPr>
                <w:rFonts w:cs="Arial"/>
                <w:b/>
              </w:rPr>
              <w:t xml:space="preserve">including </w:t>
            </w:r>
            <w:r w:rsidRPr="00C26F51">
              <w:rPr>
                <w:b/>
              </w:rPr>
              <w:t>Ministerial responses to submissions and other documents</w:t>
            </w:r>
          </w:p>
          <w:p w14:paraId="0E52DE4C" w14:textId="1D303B6B" w:rsidR="00A87C5C" w:rsidRPr="00EC4A41" w:rsidRDefault="00A87C5C" w:rsidP="00F73075">
            <w:pPr>
              <w:pStyle w:val="Text"/>
              <w:spacing w:after="0"/>
              <w:cnfStyle w:val="000000000000" w:firstRow="0" w:lastRow="0" w:firstColumn="0" w:lastColumn="0" w:oddVBand="0" w:evenVBand="0" w:oddHBand="0" w:evenHBand="0" w:firstRowFirstColumn="0" w:firstRowLastColumn="0" w:lastRowFirstColumn="0" w:lastRowLastColumn="0"/>
              <w:rPr>
                <w:rFonts w:cs="Arial"/>
                <w:color w:val="FF0000"/>
              </w:rPr>
            </w:pPr>
          </w:p>
        </w:tc>
        <w:tc>
          <w:tcPr>
            <w:tcW w:w="4246" w:type="dxa"/>
            <w:vAlign w:val="center"/>
          </w:tcPr>
          <w:p w14:paraId="1AAB1D3B" w14:textId="77777777" w:rsidR="00A87C5C" w:rsidRDefault="00A87C5C" w:rsidP="00A87C5C">
            <w:pPr>
              <w:pStyle w:val="Text"/>
              <w:spacing w:after="0"/>
              <w:cnfStyle w:val="000000000000" w:firstRow="0" w:lastRow="0" w:firstColumn="0" w:lastColumn="0" w:oddVBand="0" w:evenVBand="0" w:oddHBand="0" w:evenHBand="0" w:firstRowFirstColumn="0" w:firstRowLastColumn="0" w:lastRowFirstColumn="0" w:lastRowLastColumn="0"/>
            </w:pPr>
          </w:p>
          <w:p w14:paraId="0DD4DCC9" w14:textId="52EEC6FF" w:rsidR="00A87C5C" w:rsidRDefault="00A87C5C" w:rsidP="00A87C5C">
            <w:pPr>
              <w:pStyle w:val="Text"/>
              <w:spacing w:after="0"/>
              <w:cnfStyle w:val="000000000000" w:firstRow="0" w:lastRow="0" w:firstColumn="0" w:lastColumn="0" w:oddVBand="0" w:evenVBand="0" w:oddHBand="0" w:evenHBand="0" w:firstRowFirstColumn="0" w:firstRowLastColumn="0" w:lastRowFirstColumn="0" w:lastRowLastColumn="0"/>
            </w:pPr>
            <w:r>
              <w:t xml:space="preserve">Keep for </w:t>
            </w:r>
            <w:r>
              <w:rPr>
                <w:b/>
              </w:rPr>
              <w:t>seven</w:t>
            </w:r>
            <w:r w:rsidRPr="00816C0C">
              <w:rPr>
                <w:b/>
              </w:rPr>
              <w:t xml:space="preserve"> years</w:t>
            </w:r>
            <w:r>
              <w:t xml:space="preserve"> and then destroy.</w:t>
            </w:r>
          </w:p>
          <w:p w14:paraId="1C26C52E" w14:textId="77777777" w:rsidR="00A87C5C" w:rsidRDefault="00A87C5C" w:rsidP="00F73075">
            <w:pPr>
              <w:pStyle w:val="Text"/>
              <w:spacing w:after="0"/>
              <w:cnfStyle w:val="000000000000" w:firstRow="0" w:lastRow="0" w:firstColumn="0" w:lastColumn="0" w:oddVBand="0" w:evenVBand="0" w:oddHBand="0" w:evenHBand="0" w:firstRowFirstColumn="0" w:firstRowLastColumn="0" w:lastRowFirstColumn="0" w:lastRowLastColumn="0"/>
            </w:pPr>
          </w:p>
        </w:tc>
      </w:tr>
      <w:tr w:rsidR="001F1877" w:rsidRPr="001F1877" w14:paraId="607A6A8C"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742A2B84" w14:textId="77777777" w:rsidR="00F73075" w:rsidRPr="001F1877" w:rsidRDefault="00F73075" w:rsidP="00A87C5C">
            <w:pPr>
              <w:pStyle w:val="Text"/>
              <w:numPr>
                <w:ilvl w:val="0"/>
                <w:numId w:val="11"/>
              </w:numPr>
              <w:spacing w:after="0"/>
            </w:pPr>
          </w:p>
        </w:tc>
        <w:tc>
          <w:tcPr>
            <w:tcW w:w="4536" w:type="dxa"/>
            <w:vAlign w:val="center"/>
          </w:tcPr>
          <w:p w14:paraId="7DBE3062" w14:textId="77777777"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rPr>
                <w:rFonts w:cs="Arial"/>
              </w:rPr>
            </w:pPr>
          </w:p>
          <w:p w14:paraId="04532CFF" w14:textId="77777777"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r w:rsidRPr="001F1877">
              <w:t>Functional leadership (all aspects)</w:t>
            </w:r>
          </w:p>
          <w:p w14:paraId="10D46908" w14:textId="0513405F"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3FCE17F8" w14:textId="4E2AEB56" w:rsidR="00F73075" w:rsidRPr="001F1877" w:rsidRDefault="00A87C5C" w:rsidP="00F73075">
            <w:pPr>
              <w:pStyle w:val="Text"/>
              <w:spacing w:after="0"/>
              <w:cnfStyle w:val="000000000000" w:firstRow="0" w:lastRow="0" w:firstColumn="0" w:lastColumn="0" w:oddVBand="0" w:evenVBand="0" w:oddHBand="0" w:evenHBand="0" w:firstRowFirstColumn="0" w:firstRowLastColumn="0" w:lastRowFirstColumn="0" w:lastRowLastColumn="0"/>
            </w:pPr>
            <w:r w:rsidRPr="001F1877">
              <w:t xml:space="preserve">Keep for </w:t>
            </w:r>
            <w:r w:rsidRPr="001F1877">
              <w:rPr>
                <w:b/>
              </w:rPr>
              <w:t>seven years</w:t>
            </w:r>
            <w:r w:rsidRPr="001F1877">
              <w:t xml:space="preserve"> and then destroy.</w:t>
            </w:r>
          </w:p>
        </w:tc>
      </w:tr>
      <w:tr w:rsidR="001F1877" w:rsidRPr="001F1877" w14:paraId="1D98919E" w14:textId="77777777" w:rsidTr="00E66A89">
        <w:tc>
          <w:tcPr>
            <w:cnfStyle w:val="001000000000" w:firstRow="0" w:lastRow="0" w:firstColumn="1" w:lastColumn="0" w:oddVBand="0" w:evenVBand="0" w:oddHBand="0" w:evenHBand="0" w:firstRowFirstColumn="0" w:firstRowLastColumn="0" w:lastRowFirstColumn="0" w:lastRowLastColumn="0"/>
            <w:tcW w:w="846" w:type="dxa"/>
            <w:vAlign w:val="center"/>
          </w:tcPr>
          <w:p w14:paraId="288CE2A8" w14:textId="77777777" w:rsidR="00F73075" w:rsidRPr="001F1877" w:rsidRDefault="00F73075" w:rsidP="00A87C5C">
            <w:pPr>
              <w:pStyle w:val="Text"/>
              <w:numPr>
                <w:ilvl w:val="0"/>
                <w:numId w:val="11"/>
              </w:numPr>
              <w:spacing w:after="0"/>
            </w:pPr>
          </w:p>
        </w:tc>
        <w:tc>
          <w:tcPr>
            <w:tcW w:w="4536" w:type="dxa"/>
            <w:vAlign w:val="center"/>
          </w:tcPr>
          <w:p w14:paraId="0A5F2601" w14:textId="77777777"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p>
          <w:p w14:paraId="7F41AC55" w14:textId="77777777"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r w:rsidRPr="001F1877">
              <w:t>All other types of record not specified above, including copies of records which are owned by other business areas</w:t>
            </w:r>
            <w:r w:rsidRPr="001F1877">
              <w:rPr>
                <w:rStyle w:val="FootnoteReference"/>
              </w:rPr>
              <w:footnoteReference w:id="12"/>
            </w:r>
          </w:p>
          <w:p w14:paraId="3FE016D5" w14:textId="77777777"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p>
        </w:tc>
        <w:tc>
          <w:tcPr>
            <w:tcW w:w="4246" w:type="dxa"/>
            <w:vAlign w:val="center"/>
          </w:tcPr>
          <w:p w14:paraId="12D8AE04" w14:textId="7E34E145" w:rsidR="00F73075" w:rsidRPr="001F1877" w:rsidRDefault="00F73075" w:rsidP="00F73075">
            <w:pPr>
              <w:pStyle w:val="Text"/>
              <w:spacing w:after="0"/>
              <w:cnfStyle w:val="000000000000" w:firstRow="0" w:lastRow="0" w:firstColumn="0" w:lastColumn="0" w:oddVBand="0" w:evenVBand="0" w:oddHBand="0" w:evenHBand="0" w:firstRowFirstColumn="0" w:firstRowLastColumn="0" w:lastRowFirstColumn="0" w:lastRowLastColumn="0"/>
            </w:pPr>
            <w:r w:rsidRPr="001F1877">
              <w:t xml:space="preserve">Keep for </w:t>
            </w:r>
            <w:r w:rsidRPr="001F1877">
              <w:rPr>
                <w:b/>
              </w:rPr>
              <w:t>three years</w:t>
            </w:r>
            <w:r w:rsidRPr="001F1877">
              <w:t xml:space="preserve"> and then destroy.</w:t>
            </w:r>
          </w:p>
        </w:tc>
      </w:tr>
    </w:tbl>
    <w:p w14:paraId="0B902433" w14:textId="7D7A6A70" w:rsidR="00E66A89" w:rsidRDefault="00E66A89" w:rsidP="00526855">
      <w:pPr>
        <w:pStyle w:val="BodyText"/>
      </w:pPr>
    </w:p>
    <w:p w14:paraId="5C524AAA" w14:textId="77777777" w:rsidR="00BF3B3A" w:rsidRDefault="00BF3B3A" w:rsidP="00526855">
      <w:pPr>
        <w:pStyle w:val="BodyText"/>
      </w:pPr>
    </w:p>
    <w:p w14:paraId="4A172B17" w14:textId="1722C255" w:rsidR="00E66A89" w:rsidRPr="00BF3B3A" w:rsidRDefault="00E66A89" w:rsidP="00E66A89">
      <w:pPr>
        <w:spacing w:after="0"/>
        <w:rPr>
          <w:rFonts w:cs="Arial"/>
          <w:szCs w:val="24"/>
        </w:rPr>
      </w:pPr>
      <w:r w:rsidRPr="00BF3B3A">
        <w:rPr>
          <w:rFonts w:cs="Arial"/>
          <w:szCs w:val="24"/>
        </w:rPr>
        <w:t>Phil</w:t>
      </w:r>
      <w:r w:rsidR="00BF3B3A" w:rsidRPr="00BF3B3A">
        <w:rPr>
          <w:rFonts w:cs="Arial"/>
          <w:szCs w:val="24"/>
        </w:rPr>
        <w:t>l</w:t>
      </w:r>
      <w:r w:rsidRPr="00BF3B3A">
        <w:rPr>
          <w:rFonts w:cs="Arial"/>
          <w:szCs w:val="24"/>
        </w:rPr>
        <w:t xml:space="preserve">ip </w:t>
      </w:r>
      <w:r w:rsidR="00BF3B3A" w:rsidRPr="00BF3B3A">
        <w:rPr>
          <w:rFonts w:cs="Arial"/>
          <w:szCs w:val="24"/>
        </w:rPr>
        <w:t>Crowcroft</w:t>
      </w:r>
    </w:p>
    <w:p w14:paraId="75DCF096" w14:textId="625B3DB7" w:rsidR="00E66A89" w:rsidRPr="00BF3B3A" w:rsidRDefault="00BF3B3A" w:rsidP="00E66A89">
      <w:pPr>
        <w:pStyle w:val="NormalWeb"/>
        <w:spacing w:before="0" w:beforeAutospacing="0" w:after="0" w:afterAutospacing="0"/>
        <w:rPr>
          <w:rFonts w:ascii="Arial" w:hAnsi="Arial" w:cs="Arial"/>
        </w:rPr>
      </w:pPr>
      <w:r w:rsidRPr="00BF3B3A">
        <w:rPr>
          <w:rFonts w:ascii="Arial" w:hAnsi="Arial" w:cs="Arial"/>
          <w:color w:val="000000"/>
        </w:rPr>
        <w:t xml:space="preserve">Deputy </w:t>
      </w:r>
      <w:r w:rsidR="00E66A89" w:rsidRPr="00BF3B3A">
        <w:rPr>
          <w:rFonts w:ascii="Arial" w:hAnsi="Arial" w:cs="Arial"/>
          <w:color w:val="000000"/>
        </w:rPr>
        <w:t>Departmental Records Officer</w:t>
      </w:r>
      <w:r w:rsidR="00E66A89" w:rsidRPr="00BF3B3A">
        <w:rPr>
          <w:rFonts w:ascii="Arial" w:hAnsi="Arial" w:cs="Arial"/>
        </w:rPr>
        <w:t xml:space="preserve"> </w:t>
      </w:r>
      <w:r w:rsidR="00E66A89" w:rsidRPr="00BF3B3A">
        <w:rPr>
          <w:rFonts w:ascii="Arial" w:hAnsi="Arial" w:cs="Arial"/>
        </w:rPr>
        <w:br/>
      </w:r>
      <w:r w:rsidR="00E66A89" w:rsidRPr="00BF3B3A">
        <w:rPr>
          <w:rFonts w:ascii="Arial" w:hAnsi="Arial" w:cs="Arial"/>
          <w:color w:val="000000"/>
        </w:rPr>
        <w:t>Ministry of Justice</w:t>
      </w:r>
      <w:r w:rsidR="00E66A89" w:rsidRPr="00BF3B3A">
        <w:rPr>
          <w:rFonts w:ascii="Arial" w:hAnsi="Arial" w:cs="Arial"/>
        </w:rPr>
        <w:t xml:space="preserve"> </w:t>
      </w:r>
      <w:r w:rsidR="00E66A89" w:rsidRPr="00BF3B3A">
        <w:rPr>
          <w:rFonts w:ascii="Arial" w:hAnsi="Arial" w:cs="Arial"/>
        </w:rPr>
        <w:br/>
      </w:r>
      <w:r w:rsidR="00E66A89" w:rsidRPr="00BF3B3A">
        <w:rPr>
          <w:rFonts w:ascii="Arial" w:hAnsi="Arial" w:cs="Arial"/>
          <w:color w:val="000000"/>
        </w:rPr>
        <w:t>102 Petty France</w:t>
      </w:r>
      <w:r w:rsidR="00E66A89" w:rsidRPr="00BF3B3A">
        <w:rPr>
          <w:rFonts w:ascii="Arial" w:hAnsi="Arial" w:cs="Arial"/>
        </w:rPr>
        <w:t xml:space="preserve"> </w:t>
      </w:r>
      <w:r w:rsidR="00E66A89" w:rsidRPr="00BF3B3A">
        <w:rPr>
          <w:rFonts w:ascii="Arial" w:hAnsi="Arial" w:cs="Arial"/>
        </w:rPr>
        <w:br/>
      </w:r>
      <w:r w:rsidR="00E66A89" w:rsidRPr="00BF3B3A">
        <w:rPr>
          <w:rFonts w:ascii="Arial" w:hAnsi="Arial" w:cs="Arial"/>
          <w:color w:val="000000"/>
        </w:rPr>
        <w:t>London SW1H 9AJ</w:t>
      </w:r>
      <w:r w:rsidR="00E66A89" w:rsidRPr="00BF3B3A">
        <w:rPr>
          <w:rFonts w:ascii="Arial" w:hAnsi="Arial" w:cs="Arial"/>
        </w:rPr>
        <w:t xml:space="preserve"> </w:t>
      </w:r>
    </w:p>
    <w:p w14:paraId="7048E0C7" w14:textId="77777777" w:rsidR="00F071B7" w:rsidRPr="00BF3B3A" w:rsidRDefault="00F071B7" w:rsidP="00E66A89">
      <w:pPr>
        <w:pStyle w:val="NormalWeb"/>
        <w:spacing w:before="0" w:beforeAutospacing="0" w:after="0" w:afterAutospacing="0"/>
        <w:rPr>
          <w:rFonts w:ascii="Arial" w:hAnsi="Arial" w:cs="Arial"/>
        </w:rPr>
      </w:pPr>
    </w:p>
    <w:p w14:paraId="3806A586" w14:textId="25FE3D87" w:rsidR="00E66A89" w:rsidRPr="00BF3B3A" w:rsidRDefault="00D12460" w:rsidP="00E66A89">
      <w:pPr>
        <w:pStyle w:val="NormalWeb"/>
        <w:spacing w:before="0" w:beforeAutospacing="0" w:after="0" w:afterAutospacing="0"/>
        <w:rPr>
          <w:rFonts w:ascii="Arial" w:hAnsi="Arial" w:cs="Arial"/>
          <w:b/>
        </w:rPr>
      </w:pPr>
      <w:r>
        <w:rPr>
          <w:rFonts w:ascii="Arial" w:hAnsi="Arial" w:cs="Arial"/>
          <w:b/>
        </w:rPr>
        <w:t>Signed: 12</w:t>
      </w:r>
      <w:r w:rsidR="00E66A89" w:rsidRPr="00BF3B3A">
        <w:rPr>
          <w:rFonts w:ascii="Arial" w:hAnsi="Arial" w:cs="Arial"/>
          <w:b/>
        </w:rPr>
        <w:t xml:space="preserve"> </w:t>
      </w:r>
      <w:r>
        <w:rPr>
          <w:rFonts w:ascii="Arial" w:hAnsi="Arial" w:cs="Arial"/>
          <w:b/>
        </w:rPr>
        <w:t>December</w:t>
      </w:r>
      <w:r w:rsidR="00E66A89" w:rsidRPr="00BF3B3A">
        <w:rPr>
          <w:rFonts w:ascii="Arial" w:hAnsi="Arial" w:cs="Arial"/>
          <w:b/>
        </w:rPr>
        <w:t xml:space="preserve"> 20</w:t>
      </w:r>
      <w:r>
        <w:rPr>
          <w:rFonts w:ascii="Arial" w:hAnsi="Arial" w:cs="Arial"/>
          <w:b/>
        </w:rPr>
        <w:t>19</w:t>
      </w:r>
      <w:bookmarkStart w:id="2" w:name="_GoBack"/>
      <w:bookmarkEnd w:id="2"/>
    </w:p>
    <w:p w14:paraId="7208E968" w14:textId="77777777" w:rsidR="00E66A89" w:rsidRPr="00BF3B3A" w:rsidRDefault="00E66A89" w:rsidP="00E66A89">
      <w:pPr>
        <w:pStyle w:val="Text"/>
        <w:spacing w:after="0"/>
        <w:rPr>
          <w:sz w:val="24"/>
          <w:szCs w:val="24"/>
        </w:rPr>
      </w:pPr>
    </w:p>
    <w:p w14:paraId="5AEF31EA" w14:textId="77777777" w:rsidR="00E66A89" w:rsidRPr="00BF3B3A" w:rsidRDefault="00E66A89" w:rsidP="00E66A89">
      <w:pPr>
        <w:spacing w:after="0"/>
        <w:rPr>
          <w:rFonts w:cs="Arial"/>
          <w:szCs w:val="24"/>
          <w:lang w:eastAsia="en-GB"/>
        </w:rPr>
      </w:pPr>
    </w:p>
    <w:p w14:paraId="255AD705" w14:textId="3459B244" w:rsidR="00E66A89" w:rsidRPr="00BF3B3A" w:rsidRDefault="00E66A89" w:rsidP="00E66A89">
      <w:pPr>
        <w:spacing w:after="0"/>
        <w:rPr>
          <w:rFonts w:cs="Arial"/>
          <w:szCs w:val="24"/>
        </w:rPr>
      </w:pPr>
      <w:r w:rsidRPr="00BF3B3A">
        <w:rPr>
          <w:rFonts w:cs="Arial"/>
          <w:szCs w:val="24"/>
        </w:rPr>
        <w:t xml:space="preserve">Date of Original Issue of RRDS: </w:t>
      </w:r>
      <w:r w:rsidRPr="00BF3B3A">
        <w:rPr>
          <w:rFonts w:cs="Arial"/>
          <w:szCs w:val="24"/>
        </w:rPr>
        <w:tab/>
      </w:r>
      <w:r w:rsidR="00F071B7" w:rsidRPr="00BF3B3A">
        <w:rPr>
          <w:rFonts w:cs="Arial"/>
          <w:szCs w:val="24"/>
        </w:rPr>
        <w:t xml:space="preserve">(with the Court of Protection) September 2009 </w:t>
      </w:r>
    </w:p>
    <w:p w14:paraId="09804022" w14:textId="1F4D1435" w:rsidR="00E66A89" w:rsidRPr="00BF3B3A" w:rsidRDefault="00F071B7" w:rsidP="00F071B7">
      <w:pPr>
        <w:spacing w:after="0"/>
        <w:rPr>
          <w:szCs w:val="24"/>
        </w:rPr>
      </w:pPr>
      <w:r w:rsidRPr="00BF3B3A">
        <w:rPr>
          <w:rFonts w:cs="Arial"/>
          <w:szCs w:val="24"/>
        </w:rPr>
        <w:t>Previously</w:t>
      </w:r>
      <w:r w:rsidR="00E66A89" w:rsidRPr="00BF3B3A">
        <w:rPr>
          <w:rFonts w:cs="Arial"/>
          <w:szCs w:val="24"/>
        </w:rPr>
        <w:t xml:space="preserve"> amended: </w:t>
      </w:r>
      <w:r w:rsidR="00E66A89" w:rsidRPr="00BF3B3A">
        <w:rPr>
          <w:rFonts w:cs="Arial"/>
          <w:szCs w:val="24"/>
        </w:rPr>
        <w:tab/>
      </w:r>
      <w:r w:rsidRPr="00BF3B3A">
        <w:rPr>
          <w:rFonts w:cs="Arial"/>
          <w:szCs w:val="24"/>
        </w:rPr>
        <w:tab/>
        <w:t>November 2016</w:t>
      </w:r>
    </w:p>
    <w:p w14:paraId="7786BDEF" w14:textId="77777777" w:rsidR="00515316" w:rsidRDefault="00515316" w:rsidP="00526855">
      <w:pPr>
        <w:pStyle w:val="BodyText"/>
      </w:pPr>
    </w:p>
    <w:sectPr w:rsidR="00515316" w:rsidSect="00F507D8">
      <w:footerReference w:type="default" r:id="rId14"/>
      <w:headerReference w:type="first" r:id="rId15"/>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07D2D" w14:textId="77777777" w:rsidR="00B91315" w:rsidRDefault="00B91315" w:rsidP="00B91315">
      <w:pPr>
        <w:spacing w:after="0" w:line="240" w:lineRule="auto"/>
      </w:pPr>
      <w:r>
        <w:separator/>
      </w:r>
    </w:p>
  </w:endnote>
  <w:endnote w:type="continuationSeparator" w:id="0">
    <w:p w14:paraId="242277F7" w14:textId="77777777" w:rsidR="00B91315" w:rsidRDefault="00B91315" w:rsidP="00B9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C5B2" w14:textId="382D3853" w:rsidR="009A1CE1" w:rsidRDefault="00990242">
    <w:pPr>
      <w:pStyle w:val="Footer"/>
    </w:pPr>
    <w:r>
      <w:fldChar w:fldCharType="begin"/>
    </w:r>
    <w:r>
      <w:instrText xml:space="preserve"> PAGE   \* MERGEFORMAT </w:instrText>
    </w:r>
    <w:r>
      <w:fldChar w:fldCharType="separate"/>
    </w:r>
    <w:r w:rsidR="00D1246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3AB2D" w14:textId="77777777" w:rsidR="00B91315" w:rsidRDefault="00B91315" w:rsidP="00B91315">
      <w:pPr>
        <w:spacing w:after="0" w:line="240" w:lineRule="auto"/>
      </w:pPr>
      <w:r>
        <w:separator/>
      </w:r>
    </w:p>
  </w:footnote>
  <w:footnote w:type="continuationSeparator" w:id="0">
    <w:p w14:paraId="5698187E" w14:textId="77777777" w:rsidR="00B91315" w:rsidRDefault="00B91315" w:rsidP="00B91315">
      <w:pPr>
        <w:spacing w:after="0" w:line="240" w:lineRule="auto"/>
      </w:pPr>
      <w:r>
        <w:continuationSeparator/>
      </w:r>
    </w:p>
  </w:footnote>
  <w:footnote w:id="1">
    <w:p w14:paraId="48ACEFF8" w14:textId="1990AB9C" w:rsidR="005C05D5" w:rsidRPr="00F73075" w:rsidRDefault="005C05D5" w:rsidP="005C05D5">
      <w:pPr>
        <w:pStyle w:val="FootnoteText"/>
        <w:rPr>
          <w:sz w:val="18"/>
        </w:rPr>
      </w:pPr>
      <w:r w:rsidRPr="00F73075">
        <w:rPr>
          <w:rStyle w:val="FootnoteReference"/>
          <w:sz w:val="18"/>
        </w:rPr>
        <w:footnoteRef/>
      </w:r>
      <w:r w:rsidRPr="00F73075">
        <w:rPr>
          <w:sz w:val="18"/>
        </w:rPr>
        <w:t xml:space="preserve"> See row</w:t>
      </w:r>
      <w:r w:rsidR="0041390E" w:rsidRPr="00F73075">
        <w:rPr>
          <w:sz w:val="18"/>
        </w:rPr>
        <w:t>s</w:t>
      </w:r>
      <w:r w:rsidRPr="00F73075">
        <w:rPr>
          <w:sz w:val="18"/>
        </w:rPr>
        <w:t xml:space="preserve"> </w:t>
      </w:r>
      <w:r w:rsidR="0041390E" w:rsidRPr="00F73075">
        <w:rPr>
          <w:sz w:val="18"/>
        </w:rPr>
        <w:t>11</w:t>
      </w:r>
      <w:r w:rsidRPr="00F73075">
        <w:rPr>
          <w:sz w:val="18"/>
        </w:rPr>
        <w:t xml:space="preserve"> </w:t>
      </w:r>
      <w:r w:rsidR="00F73075" w:rsidRPr="00F73075">
        <w:rPr>
          <w:sz w:val="18"/>
        </w:rPr>
        <w:t>and 12</w:t>
      </w:r>
      <w:r w:rsidRPr="00F73075">
        <w:rPr>
          <w:sz w:val="18"/>
        </w:rPr>
        <w:t xml:space="preserve"> for maximum retention period</w:t>
      </w:r>
    </w:p>
  </w:footnote>
  <w:footnote w:id="2">
    <w:p w14:paraId="0D0279E0" w14:textId="1A802B39" w:rsidR="0021602D" w:rsidRPr="0021602D" w:rsidRDefault="0021602D">
      <w:pPr>
        <w:pStyle w:val="FootnoteText"/>
        <w:rPr>
          <w:sz w:val="16"/>
        </w:rPr>
      </w:pPr>
      <w:r w:rsidRPr="0021602D">
        <w:rPr>
          <w:rStyle w:val="FootnoteReference"/>
          <w:sz w:val="18"/>
        </w:rPr>
        <w:footnoteRef/>
      </w:r>
      <w:r w:rsidRPr="0021602D">
        <w:rPr>
          <w:sz w:val="18"/>
        </w:rPr>
        <w:t xml:space="preserve"> </w:t>
      </w:r>
      <w:r>
        <w:rPr>
          <w:sz w:val="18"/>
        </w:rPr>
        <w:t xml:space="preserve">To request a search of the Registers, please see the guidance available at: </w:t>
      </w:r>
      <w:hyperlink r:id="rId1" w:history="1">
        <w:r w:rsidRPr="0021602D">
          <w:rPr>
            <w:rStyle w:val="Hyperlink"/>
            <w:color w:val="0000CC"/>
            <w:sz w:val="18"/>
          </w:rPr>
          <w:t>https://www.gov.uk/government/publications/requesting-a-search-of-the-public-guardian-registers-public-guardian-practice-note</w:t>
        </w:r>
      </w:hyperlink>
    </w:p>
  </w:footnote>
  <w:footnote w:id="3">
    <w:p w14:paraId="394524FD" w14:textId="66B0559F" w:rsidR="000A1272" w:rsidRPr="000A1272" w:rsidRDefault="000A1272">
      <w:pPr>
        <w:pStyle w:val="FootnoteText"/>
        <w:rPr>
          <w:sz w:val="18"/>
          <w:szCs w:val="18"/>
        </w:rPr>
      </w:pPr>
      <w:r w:rsidRPr="000A1272">
        <w:rPr>
          <w:rStyle w:val="FootnoteReference"/>
          <w:sz w:val="18"/>
          <w:szCs w:val="18"/>
        </w:rPr>
        <w:footnoteRef/>
      </w:r>
      <w:r w:rsidRPr="000A1272">
        <w:rPr>
          <w:sz w:val="18"/>
          <w:szCs w:val="18"/>
        </w:rPr>
        <w:t xml:space="preserve"> Case is closed on death of client, date of cancellation, withdrawal or revocation of </w:t>
      </w:r>
      <w:r>
        <w:rPr>
          <w:sz w:val="18"/>
          <w:szCs w:val="18"/>
        </w:rPr>
        <w:t>court order</w:t>
      </w:r>
    </w:p>
  </w:footnote>
  <w:footnote w:id="4">
    <w:p w14:paraId="2F4F5385" w14:textId="77777777" w:rsidR="002D5C21" w:rsidRPr="00F071B7" w:rsidRDefault="002D5C21">
      <w:pPr>
        <w:pStyle w:val="FootnoteText"/>
        <w:rPr>
          <w:sz w:val="18"/>
          <w:szCs w:val="18"/>
        </w:rPr>
      </w:pPr>
      <w:r w:rsidRPr="00F071B7">
        <w:rPr>
          <w:rStyle w:val="FootnoteReference"/>
          <w:sz w:val="18"/>
          <w:szCs w:val="18"/>
        </w:rPr>
        <w:footnoteRef/>
      </w:r>
      <w:r w:rsidRPr="00F071B7">
        <w:rPr>
          <w:sz w:val="18"/>
          <w:szCs w:val="18"/>
        </w:rPr>
        <w:t xml:space="preserve"> Case is closed on death of client, date of cancellation, withdrawal or revocation of PoA</w:t>
      </w:r>
    </w:p>
  </w:footnote>
  <w:footnote w:id="5">
    <w:p w14:paraId="1EC49C84" w14:textId="77777777" w:rsidR="00AF479E" w:rsidRPr="00F071B7" w:rsidRDefault="00AF479E">
      <w:pPr>
        <w:pStyle w:val="FootnoteText"/>
        <w:rPr>
          <w:sz w:val="18"/>
          <w:szCs w:val="18"/>
        </w:rPr>
      </w:pPr>
      <w:r w:rsidRPr="00F071B7">
        <w:rPr>
          <w:rStyle w:val="FootnoteReference"/>
          <w:sz w:val="18"/>
          <w:szCs w:val="18"/>
        </w:rPr>
        <w:footnoteRef/>
      </w:r>
      <w:r w:rsidRPr="00F071B7">
        <w:rPr>
          <w:sz w:val="18"/>
          <w:szCs w:val="18"/>
        </w:rPr>
        <w:t xml:space="preserve"> Case is closed on death of client, date of cancellation, withdrawal or revocation of PoA</w:t>
      </w:r>
    </w:p>
  </w:footnote>
  <w:footnote w:id="6">
    <w:p w14:paraId="0C23902C" w14:textId="77777777" w:rsidR="00F071B7" w:rsidRPr="00F071B7" w:rsidRDefault="00F071B7">
      <w:pPr>
        <w:pStyle w:val="FootnoteText"/>
        <w:rPr>
          <w:sz w:val="18"/>
          <w:szCs w:val="18"/>
        </w:rPr>
      </w:pPr>
      <w:r w:rsidRPr="00F071B7">
        <w:rPr>
          <w:rStyle w:val="FootnoteReference"/>
          <w:sz w:val="18"/>
          <w:szCs w:val="18"/>
        </w:rPr>
        <w:footnoteRef/>
      </w:r>
      <w:r w:rsidRPr="00F071B7">
        <w:rPr>
          <w:sz w:val="18"/>
          <w:szCs w:val="18"/>
        </w:rPr>
        <w:t xml:space="preserve"> Case is closed on death of client, date of cancellation, withdrawal or revocation of PoA</w:t>
      </w:r>
    </w:p>
  </w:footnote>
  <w:footnote w:id="7">
    <w:p w14:paraId="5DED5B75" w14:textId="77777777" w:rsidR="00F071B7" w:rsidRPr="00BF3B3A" w:rsidRDefault="00F071B7">
      <w:pPr>
        <w:pStyle w:val="FootnoteText"/>
        <w:rPr>
          <w:sz w:val="18"/>
          <w:szCs w:val="18"/>
        </w:rPr>
      </w:pPr>
      <w:r w:rsidRPr="00BF3B3A">
        <w:rPr>
          <w:rStyle w:val="FootnoteReference"/>
          <w:sz w:val="18"/>
          <w:szCs w:val="18"/>
        </w:rPr>
        <w:footnoteRef/>
      </w:r>
      <w:r w:rsidRPr="00BF3B3A">
        <w:rPr>
          <w:sz w:val="18"/>
          <w:szCs w:val="18"/>
        </w:rPr>
        <w:t xml:space="preserve"> Case is closed on death of client, date of cancellation, withdrawal or revocation of PoA</w:t>
      </w:r>
    </w:p>
  </w:footnote>
  <w:footnote w:id="8">
    <w:p w14:paraId="382C2455" w14:textId="77777777" w:rsidR="00F071B7" w:rsidRPr="00BF3B3A" w:rsidRDefault="00F071B7">
      <w:pPr>
        <w:pStyle w:val="FootnoteText"/>
        <w:rPr>
          <w:sz w:val="18"/>
          <w:szCs w:val="18"/>
        </w:rPr>
      </w:pPr>
      <w:r w:rsidRPr="00BF3B3A">
        <w:rPr>
          <w:rStyle w:val="FootnoteReference"/>
          <w:sz w:val="18"/>
          <w:szCs w:val="18"/>
        </w:rPr>
        <w:footnoteRef/>
      </w:r>
      <w:r w:rsidRPr="00BF3B3A">
        <w:rPr>
          <w:sz w:val="18"/>
          <w:szCs w:val="18"/>
        </w:rPr>
        <w:t xml:space="preserve"> To be further reviewed in the next iteration of this schedule once OPG has fully developed this service</w:t>
      </w:r>
    </w:p>
  </w:footnote>
  <w:footnote w:id="9">
    <w:p w14:paraId="2445C1D5" w14:textId="77777777" w:rsidR="0041390E" w:rsidRPr="00BF3B3A" w:rsidRDefault="0041390E" w:rsidP="0041390E">
      <w:pPr>
        <w:pStyle w:val="FootnoteText"/>
        <w:rPr>
          <w:sz w:val="18"/>
          <w:szCs w:val="18"/>
        </w:rPr>
      </w:pPr>
      <w:r w:rsidRPr="00BF3B3A">
        <w:rPr>
          <w:rStyle w:val="FootnoteReference"/>
          <w:sz w:val="18"/>
          <w:szCs w:val="18"/>
        </w:rPr>
        <w:footnoteRef/>
      </w:r>
      <w:r w:rsidRPr="00BF3B3A">
        <w:rPr>
          <w:sz w:val="18"/>
          <w:szCs w:val="18"/>
        </w:rPr>
        <w:t xml:space="preserve"> </w:t>
      </w:r>
      <w:r w:rsidRPr="00BF3B3A">
        <w:rPr>
          <w:i/>
          <w:sz w:val="18"/>
          <w:szCs w:val="18"/>
        </w:rPr>
        <w:t>What to keep</w:t>
      </w:r>
      <w:r w:rsidRPr="00BF3B3A">
        <w:rPr>
          <w:sz w:val="18"/>
          <w:szCs w:val="18"/>
        </w:rPr>
        <w:t xml:space="preserve"> is available at: </w:t>
      </w:r>
      <w:hyperlink r:id="rId2" w:history="1">
        <w:r w:rsidRPr="00BF3B3A">
          <w:rPr>
            <w:rStyle w:val="Hyperlink"/>
            <w:color w:val="0000CC"/>
            <w:sz w:val="18"/>
            <w:szCs w:val="18"/>
          </w:rPr>
          <w:t>https://www.gov.uk/government/publications/record-retention-and-disposition-schedules</w:t>
        </w:r>
      </w:hyperlink>
      <w:r w:rsidRPr="00BF3B3A">
        <w:rPr>
          <w:sz w:val="18"/>
          <w:szCs w:val="18"/>
        </w:rPr>
        <w:t xml:space="preserve"> </w:t>
      </w:r>
    </w:p>
  </w:footnote>
  <w:footnote w:id="10">
    <w:p w14:paraId="2AED5253" w14:textId="77777777" w:rsidR="00EC4A41" w:rsidRPr="00865AF9" w:rsidRDefault="00EC4A41" w:rsidP="00EC4A41">
      <w:pPr>
        <w:pStyle w:val="FootnoteText"/>
        <w:rPr>
          <w:sz w:val="18"/>
          <w:szCs w:val="18"/>
        </w:rPr>
      </w:pPr>
      <w:r w:rsidRPr="00865AF9">
        <w:rPr>
          <w:rStyle w:val="FootnoteReference"/>
          <w:sz w:val="18"/>
          <w:szCs w:val="18"/>
        </w:rPr>
        <w:footnoteRef/>
      </w:r>
      <w:r w:rsidRPr="00865AF9">
        <w:rPr>
          <w:sz w:val="18"/>
          <w:szCs w:val="18"/>
        </w:rPr>
        <w:t xml:space="preserve"> </w:t>
      </w:r>
      <w:r>
        <w:rPr>
          <w:sz w:val="18"/>
          <w:szCs w:val="18"/>
        </w:rPr>
        <w:t xml:space="preserve">Staff should check the </w:t>
      </w:r>
      <w:r w:rsidRPr="00865AF9">
        <w:rPr>
          <w:sz w:val="18"/>
          <w:szCs w:val="18"/>
        </w:rPr>
        <w:t xml:space="preserve">intranet </w:t>
      </w:r>
      <w:r>
        <w:rPr>
          <w:sz w:val="18"/>
          <w:szCs w:val="18"/>
        </w:rPr>
        <w:t xml:space="preserve">for more detailed </w:t>
      </w:r>
      <w:r w:rsidRPr="00865AF9">
        <w:rPr>
          <w:sz w:val="18"/>
          <w:szCs w:val="18"/>
        </w:rPr>
        <w:t>guidance</w:t>
      </w:r>
      <w:r>
        <w:rPr>
          <w:sz w:val="18"/>
          <w:szCs w:val="18"/>
        </w:rPr>
        <w:t xml:space="preserve">: </w:t>
      </w:r>
      <w:r w:rsidRPr="00865AF9">
        <w:rPr>
          <w:i/>
          <w:sz w:val="18"/>
          <w:szCs w:val="18"/>
        </w:rPr>
        <w:t>Guidance for using Open Internet Tools</w:t>
      </w:r>
    </w:p>
  </w:footnote>
  <w:footnote w:id="11">
    <w:p w14:paraId="45A5B995" w14:textId="77777777" w:rsidR="00F73075" w:rsidRPr="00BF3B3A" w:rsidRDefault="00F73075">
      <w:pPr>
        <w:pStyle w:val="FootnoteText"/>
        <w:rPr>
          <w:sz w:val="18"/>
          <w:szCs w:val="18"/>
        </w:rPr>
      </w:pPr>
      <w:r w:rsidRPr="00BF3B3A">
        <w:rPr>
          <w:rStyle w:val="FootnoteReference"/>
          <w:sz w:val="18"/>
          <w:szCs w:val="18"/>
        </w:rPr>
        <w:footnoteRef/>
      </w:r>
      <w:r w:rsidRPr="00BF3B3A">
        <w:rPr>
          <w:sz w:val="18"/>
          <w:szCs w:val="18"/>
        </w:rPr>
        <w:t xml:space="preserve"> Limitation Act 1980 s.5 sets the time limit for actions founded on simple contracts (signed under hand) at six years</w:t>
      </w:r>
    </w:p>
  </w:footnote>
  <w:footnote w:id="12">
    <w:p w14:paraId="157D2D05" w14:textId="77777777" w:rsidR="00F73075" w:rsidRPr="00851A62" w:rsidRDefault="00F73075">
      <w:pPr>
        <w:pStyle w:val="FootnoteText"/>
        <w:rPr>
          <w:sz w:val="18"/>
        </w:rPr>
      </w:pPr>
      <w:r w:rsidRPr="00851A62">
        <w:rPr>
          <w:rStyle w:val="FootnoteReference"/>
          <w:sz w:val="18"/>
        </w:rPr>
        <w:footnoteRef/>
      </w:r>
      <w:r w:rsidRPr="00851A62">
        <w:rPr>
          <w:sz w:val="18"/>
        </w:rPr>
        <w:t xml:space="preserve"> If the business identifies record types which need a new retention period, they should contact the DRO’s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83BF" w14:textId="77777777" w:rsidR="00F507D8" w:rsidRDefault="0028397F">
    <w:pPr>
      <w:pStyle w:val="Header"/>
    </w:pPr>
    <w:r w:rsidRPr="006D258B">
      <w:rPr>
        <w:noProof/>
      </w:rPr>
      <w:drawing>
        <wp:anchor distT="0" distB="0" distL="114300" distR="114300" simplePos="0" relativeHeight="251660288" behindDoc="1" locked="0" layoutInCell="0" allowOverlap="1" wp14:anchorId="5A36B3BF" wp14:editId="7F9A8A0A">
          <wp:simplePos x="0" y="0"/>
          <wp:positionH relativeFrom="page">
            <wp:posOffset>720090</wp:posOffset>
          </wp:positionH>
          <wp:positionV relativeFrom="page">
            <wp:posOffset>720090</wp:posOffset>
          </wp:positionV>
          <wp:extent cx="1331640" cy="1033920"/>
          <wp:effectExtent l="0" t="0" r="1905" b="0"/>
          <wp:wrapNone/>
          <wp:docPr id="26" name="Picture 26" descr="Ministry of Justice logo" title="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1640" cy="103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6AE91CC" wp14:editId="521C3C2A">
          <wp:simplePos x="723900" y="361950"/>
          <wp:positionH relativeFrom="page">
            <wp:align>left</wp:align>
          </wp:positionH>
          <wp:positionV relativeFrom="page">
            <wp:align>top</wp:align>
          </wp:positionV>
          <wp:extent cx="7560360" cy="10692360"/>
          <wp:effectExtent l="0" t="0" r="2540" b="0"/>
          <wp:wrapNone/>
          <wp:docPr id="1" name="Picture 1"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gben\AppData\Local\Microsoft\Windows\INetCache\Content.Word\6.5394_MoJ_Brand refresh_covers_210319_RW-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6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1" w15:restartNumberingAfterBreak="0">
    <w:nsid w:val="FFFFFF88"/>
    <w:multiLevelType w:val="singleLevel"/>
    <w:tmpl w:val="4CB2C802"/>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5CCC8D44"/>
    <w:lvl w:ilvl="0">
      <w:start w:val="1"/>
      <w:numFmt w:val="bullet"/>
      <w:pStyle w:val="ListBullet"/>
      <w:lvlText w:val=""/>
      <w:lvlJc w:val="left"/>
      <w:pPr>
        <w:ind w:left="360" w:hanging="360"/>
      </w:pPr>
      <w:rPr>
        <w:rFonts w:ascii="Symbol" w:hAnsi="Symbol" w:hint="default"/>
        <w:color w:val="1D609D"/>
      </w:rPr>
    </w:lvl>
  </w:abstractNum>
  <w:abstractNum w:abstractNumId="3" w15:restartNumberingAfterBreak="0">
    <w:nsid w:val="007943DA"/>
    <w:multiLevelType w:val="hybridMultilevel"/>
    <w:tmpl w:val="850E0E98"/>
    <w:lvl w:ilvl="0" w:tplc="8D8E2D2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351BB"/>
    <w:multiLevelType w:val="hybridMultilevel"/>
    <w:tmpl w:val="4F666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2B0D05"/>
    <w:multiLevelType w:val="hybridMultilevel"/>
    <w:tmpl w:val="D7AA20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75209"/>
    <w:multiLevelType w:val="hybridMultilevel"/>
    <w:tmpl w:val="E000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D4A7E"/>
    <w:multiLevelType w:val="hybridMultilevel"/>
    <w:tmpl w:val="2C88B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0F61A5"/>
    <w:multiLevelType w:val="hybridMultilevel"/>
    <w:tmpl w:val="9AB6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0E7C7D"/>
    <w:multiLevelType w:val="hybridMultilevel"/>
    <w:tmpl w:val="21901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291825"/>
    <w:multiLevelType w:val="hybridMultilevel"/>
    <w:tmpl w:val="545A8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4E4BE1"/>
    <w:multiLevelType w:val="hybridMultilevel"/>
    <w:tmpl w:val="D4C4DC3C"/>
    <w:lvl w:ilvl="0" w:tplc="8D8E2D2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974E3"/>
    <w:multiLevelType w:val="hybridMultilevel"/>
    <w:tmpl w:val="E91E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77510"/>
    <w:multiLevelType w:val="hybridMultilevel"/>
    <w:tmpl w:val="7DE40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A3A0321"/>
    <w:multiLevelType w:val="hybridMultilevel"/>
    <w:tmpl w:val="918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6C0892"/>
    <w:multiLevelType w:val="hybridMultilevel"/>
    <w:tmpl w:val="1936A18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9C17D0"/>
    <w:multiLevelType w:val="hybridMultilevel"/>
    <w:tmpl w:val="5EDCB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8D7069"/>
    <w:multiLevelType w:val="hybridMultilevel"/>
    <w:tmpl w:val="9AB6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931B8"/>
    <w:multiLevelType w:val="hybridMultilevel"/>
    <w:tmpl w:val="54280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FE63C00"/>
    <w:multiLevelType w:val="hybridMultilevel"/>
    <w:tmpl w:val="D2E2A12A"/>
    <w:lvl w:ilvl="0" w:tplc="31E689D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7E72A5"/>
    <w:multiLevelType w:val="hybridMultilevel"/>
    <w:tmpl w:val="712E5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666D47"/>
    <w:multiLevelType w:val="hybridMultilevel"/>
    <w:tmpl w:val="F43EA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907B61"/>
    <w:multiLevelType w:val="hybridMultilevel"/>
    <w:tmpl w:val="B5A623AE"/>
    <w:lvl w:ilvl="0" w:tplc="8D8E2D2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983157"/>
    <w:multiLevelType w:val="hybridMultilevel"/>
    <w:tmpl w:val="11624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694F14"/>
    <w:multiLevelType w:val="hybridMultilevel"/>
    <w:tmpl w:val="D2326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2"/>
    <w:lvlOverride w:ilvl="0">
      <w:startOverride w:val="1"/>
    </w:lvlOverride>
  </w:num>
  <w:num w:numId="5">
    <w:abstractNumId w:val="0"/>
    <w:lvlOverride w:ilvl="0">
      <w:startOverride w:val="1"/>
    </w:lvlOverride>
  </w:num>
  <w:num w:numId="6">
    <w:abstractNumId w:val="5"/>
  </w:num>
  <w:num w:numId="7">
    <w:abstractNumId w:val="8"/>
  </w:num>
  <w:num w:numId="8">
    <w:abstractNumId w:val="7"/>
  </w:num>
  <w:num w:numId="9">
    <w:abstractNumId w:val="12"/>
  </w:num>
  <w:num w:numId="10">
    <w:abstractNumId w:val="17"/>
  </w:num>
  <w:num w:numId="11">
    <w:abstractNumId w:val="22"/>
  </w:num>
  <w:num w:numId="12">
    <w:abstractNumId w:val="6"/>
  </w:num>
  <w:num w:numId="13">
    <w:abstractNumId w:val="16"/>
  </w:num>
  <w:num w:numId="14">
    <w:abstractNumId w:val="24"/>
  </w:num>
  <w:num w:numId="15">
    <w:abstractNumId w:val="13"/>
  </w:num>
  <w:num w:numId="16">
    <w:abstractNumId w:val="18"/>
  </w:num>
  <w:num w:numId="17">
    <w:abstractNumId w:val="4"/>
  </w:num>
  <w:num w:numId="18">
    <w:abstractNumId w:val="21"/>
  </w:num>
  <w:num w:numId="19">
    <w:abstractNumId w:val="9"/>
  </w:num>
  <w:num w:numId="20">
    <w:abstractNumId w:val="19"/>
  </w:num>
  <w:num w:numId="21">
    <w:abstractNumId w:val="20"/>
  </w:num>
  <w:num w:numId="22">
    <w:abstractNumId w:val="10"/>
  </w:num>
  <w:num w:numId="23">
    <w:abstractNumId w:val="15"/>
  </w:num>
  <w:num w:numId="24">
    <w:abstractNumId w:val="14"/>
  </w:num>
  <w:num w:numId="25">
    <w:abstractNumId w:val="23"/>
  </w:num>
  <w:num w:numId="26">
    <w:abstractNumId w:val="1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CD"/>
    <w:rsid w:val="00022442"/>
    <w:rsid w:val="000268B8"/>
    <w:rsid w:val="0005745A"/>
    <w:rsid w:val="00090E40"/>
    <w:rsid w:val="000A1272"/>
    <w:rsid w:val="001052B3"/>
    <w:rsid w:val="00175D09"/>
    <w:rsid w:val="001A71CD"/>
    <w:rsid w:val="001C6A06"/>
    <w:rsid w:val="001E33AA"/>
    <w:rsid w:val="001F1877"/>
    <w:rsid w:val="001F2EEE"/>
    <w:rsid w:val="0021602D"/>
    <w:rsid w:val="00235D58"/>
    <w:rsid w:val="00240F37"/>
    <w:rsid w:val="0028397F"/>
    <w:rsid w:val="00293CEB"/>
    <w:rsid w:val="002A7B2F"/>
    <w:rsid w:val="002D5C21"/>
    <w:rsid w:val="002F075A"/>
    <w:rsid w:val="00313ED9"/>
    <w:rsid w:val="00322367"/>
    <w:rsid w:val="003355F1"/>
    <w:rsid w:val="0036190D"/>
    <w:rsid w:val="00384A09"/>
    <w:rsid w:val="003C261C"/>
    <w:rsid w:val="003D27AC"/>
    <w:rsid w:val="003D5BD6"/>
    <w:rsid w:val="0041390E"/>
    <w:rsid w:val="00446DDB"/>
    <w:rsid w:val="00452AA6"/>
    <w:rsid w:val="0046787C"/>
    <w:rsid w:val="00490B0F"/>
    <w:rsid w:val="004B7113"/>
    <w:rsid w:val="00515316"/>
    <w:rsid w:val="00526855"/>
    <w:rsid w:val="00545B6C"/>
    <w:rsid w:val="0058359B"/>
    <w:rsid w:val="005C05D5"/>
    <w:rsid w:val="005C38F3"/>
    <w:rsid w:val="005E51D0"/>
    <w:rsid w:val="0062433C"/>
    <w:rsid w:val="00654D16"/>
    <w:rsid w:val="00686CF7"/>
    <w:rsid w:val="006E4A0D"/>
    <w:rsid w:val="006F21C6"/>
    <w:rsid w:val="00707B9E"/>
    <w:rsid w:val="00772251"/>
    <w:rsid w:val="007C126F"/>
    <w:rsid w:val="007F44BD"/>
    <w:rsid w:val="008114F6"/>
    <w:rsid w:val="0081290C"/>
    <w:rsid w:val="008A350B"/>
    <w:rsid w:val="008B2C35"/>
    <w:rsid w:val="00916276"/>
    <w:rsid w:val="009179CD"/>
    <w:rsid w:val="00932F7F"/>
    <w:rsid w:val="0094426B"/>
    <w:rsid w:val="0095131F"/>
    <w:rsid w:val="00986564"/>
    <w:rsid w:val="00990242"/>
    <w:rsid w:val="009A1CE1"/>
    <w:rsid w:val="009E6B4F"/>
    <w:rsid w:val="009F4C0C"/>
    <w:rsid w:val="00A44A0F"/>
    <w:rsid w:val="00A51747"/>
    <w:rsid w:val="00A54FB2"/>
    <w:rsid w:val="00A66380"/>
    <w:rsid w:val="00A87C5C"/>
    <w:rsid w:val="00A9768A"/>
    <w:rsid w:val="00AC6247"/>
    <w:rsid w:val="00AD05F3"/>
    <w:rsid w:val="00AD52C7"/>
    <w:rsid w:val="00AE4DF7"/>
    <w:rsid w:val="00AF479E"/>
    <w:rsid w:val="00B4736D"/>
    <w:rsid w:val="00B91315"/>
    <w:rsid w:val="00BC4DBC"/>
    <w:rsid w:val="00BF23EA"/>
    <w:rsid w:val="00BF3B3A"/>
    <w:rsid w:val="00C67884"/>
    <w:rsid w:val="00CB105C"/>
    <w:rsid w:val="00CF62F9"/>
    <w:rsid w:val="00D12460"/>
    <w:rsid w:val="00D20D5C"/>
    <w:rsid w:val="00D50660"/>
    <w:rsid w:val="00DE715C"/>
    <w:rsid w:val="00E235DE"/>
    <w:rsid w:val="00E400D2"/>
    <w:rsid w:val="00E40474"/>
    <w:rsid w:val="00E40AEF"/>
    <w:rsid w:val="00E4123E"/>
    <w:rsid w:val="00E42B4A"/>
    <w:rsid w:val="00E4322F"/>
    <w:rsid w:val="00E456FD"/>
    <w:rsid w:val="00E66A89"/>
    <w:rsid w:val="00E853E1"/>
    <w:rsid w:val="00EC4A41"/>
    <w:rsid w:val="00F02A6E"/>
    <w:rsid w:val="00F071B7"/>
    <w:rsid w:val="00F173AA"/>
    <w:rsid w:val="00F507D8"/>
    <w:rsid w:val="00F6533F"/>
    <w:rsid w:val="00F73075"/>
    <w:rsid w:val="00F74C31"/>
    <w:rsid w:val="00FA510A"/>
    <w:rsid w:val="00FE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79D984"/>
  <w15:chartTrackingRefBased/>
  <w15:docId w15:val="{3C8F4F98-AF89-462B-BC80-6FBAFB58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header" w:uiPriority="8"/>
    <w:lsdException w:name="footer" w:uiPriority="8"/>
    <w:lsdException w:name="index heading" w:semiHidden="1"/>
    <w:lsdException w:name="caption" w:semiHidden="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uiPriority="8"/>
    <w:lsdException w:name="endnote reference" w:semiHidden="1" w:uiPriority="3"/>
    <w:lsdException w:name="endnote text" w:semiHidden="1" w:uiPriority="3"/>
    <w:lsdException w:name="table of authorities" w:semiHidden="1"/>
    <w:lsdException w:name="macro" w:semiHidden="1"/>
    <w:lsdException w:name="toa heading" w:semiHidden="1"/>
    <w:lsdException w:name="List" w:semiHidden="1"/>
    <w:lsdException w:name="List Bullet" w:uiPriority="1"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lsdException w:name="Salutation" w:semiHidden="1"/>
    <w:lsdException w:name="Date" w:semiHidden="1" w:uiPriority="8"/>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uiPriority="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uiPriority w:val="8"/>
    <w:semiHidden/>
    <w:qFormat/>
    <w:rsid w:val="00F507D8"/>
    <w:pPr>
      <w:spacing w:after="240" w:line="276" w:lineRule="auto"/>
    </w:pPr>
    <w:rPr>
      <w:sz w:val="24"/>
    </w:rPr>
  </w:style>
  <w:style w:type="paragraph" w:styleId="Heading1">
    <w:name w:val="heading 1"/>
    <w:next w:val="BodyText"/>
    <w:link w:val="Heading1Char"/>
    <w:qFormat/>
    <w:rsid w:val="00F507D8"/>
    <w:pPr>
      <w:keepNext/>
      <w:keepLines/>
      <w:spacing w:before="480" w:after="480" w:line="240" w:lineRule="auto"/>
      <w:contextualSpacing/>
      <w:outlineLvl w:val="0"/>
    </w:pPr>
    <w:rPr>
      <w:rFonts w:asciiTheme="majorHAnsi" w:eastAsiaTheme="majorEastAsia" w:hAnsiTheme="majorHAnsi" w:cstheme="majorBidi"/>
      <w:b/>
      <w:color w:val="1D609D" w:themeColor="accent1"/>
      <w:sz w:val="48"/>
      <w:szCs w:val="32"/>
    </w:rPr>
  </w:style>
  <w:style w:type="paragraph" w:styleId="Heading2">
    <w:name w:val="heading 2"/>
    <w:next w:val="BodyText"/>
    <w:link w:val="Heading2Char"/>
    <w:qFormat/>
    <w:rsid w:val="00F507D8"/>
    <w:pPr>
      <w:keepNext/>
      <w:keepLines/>
      <w:spacing w:before="240" w:after="120" w:line="276" w:lineRule="auto"/>
      <w:outlineLvl w:val="1"/>
    </w:pPr>
    <w:rPr>
      <w:rFonts w:asciiTheme="majorHAnsi" w:eastAsiaTheme="majorEastAsia" w:hAnsiTheme="majorHAnsi" w:cstheme="majorBidi"/>
      <w:b/>
      <w:sz w:val="32"/>
      <w:szCs w:val="26"/>
    </w:rPr>
  </w:style>
  <w:style w:type="paragraph" w:styleId="Heading3">
    <w:name w:val="heading 3"/>
    <w:next w:val="BodyText"/>
    <w:link w:val="Heading3Char"/>
    <w:qFormat/>
    <w:rsid w:val="002F075A"/>
    <w:pPr>
      <w:keepNext/>
      <w:keepLines/>
      <w:spacing w:after="0" w:line="276" w:lineRule="auto"/>
      <w:contextualSpacing/>
      <w:outlineLvl w:val="2"/>
    </w:pPr>
    <w:rPr>
      <w:rFonts w:asciiTheme="majorHAnsi" w:eastAsiaTheme="majorEastAsia" w:hAnsiTheme="majorHAnsi" w:cstheme="majorBidi"/>
      <w:b/>
      <w:sz w:val="24"/>
      <w:szCs w:val="24"/>
    </w:rPr>
  </w:style>
  <w:style w:type="paragraph" w:styleId="Heading4">
    <w:name w:val="heading 4"/>
    <w:next w:val="BodyText"/>
    <w:link w:val="Heading4Char"/>
    <w:qFormat/>
    <w:rsid w:val="002F075A"/>
    <w:pPr>
      <w:keepNext/>
      <w:keepLines/>
      <w:spacing w:after="0" w:line="276" w:lineRule="auto"/>
      <w:contextualSpacing/>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qFormat/>
    <w:rsid w:val="00916276"/>
    <w:pPr>
      <w:spacing w:after="40" w:line="240" w:lineRule="auto"/>
      <w:ind w:left="284" w:hanging="284"/>
    </w:pPr>
    <w:rPr>
      <w:sz w:val="20"/>
      <w:szCs w:val="20"/>
    </w:rPr>
  </w:style>
  <w:style w:type="character" w:customStyle="1" w:styleId="FootnoteTextChar">
    <w:name w:val="Footnote Text Char"/>
    <w:basedOn w:val="DefaultParagraphFont"/>
    <w:link w:val="FootnoteText"/>
    <w:rsid w:val="00916276"/>
    <w:rPr>
      <w:sz w:val="20"/>
      <w:szCs w:val="20"/>
    </w:rPr>
  </w:style>
  <w:style w:type="character" w:styleId="FootnoteReference">
    <w:name w:val="footnote reference"/>
    <w:basedOn w:val="DefaultParagraphFont"/>
    <w:uiPriority w:val="99"/>
    <w:rsid w:val="00B91315"/>
    <w:rPr>
      <w:vertAlign w:val="superscript"/>
    </w:rPr>
  </w:style>
  <w:style w:type="paragraph" w:styleId="Title">
    <w:name w:val="Title"/>
    <w:next w:val="Subtitle"/>
    <w:link w:val="TitleChar"/>
    <w:uiPriority w:val="8"/>
    <w:semiHidden/>
    <w:qFormat/>
    <w:rsid w:val="00F507D8"/>
    <w:pPr>
      <w:spacing w:before="2940" w:after="0" w:line="240" w:lineRule="auto"/>
      <w:contextualSpacing/>
    </w:pPr>
    <w:rPr>
      <w:rFonts w:asciiTheme="majorHAnsi" w:eastAsiaTheme="majorEastAsia" w:hAnsiTheme="majorHAnsi" w:cstheme="majorBidi"/>
      <w:b/>
      <w:color w:val="1D609D" w:themeColor="accent1"/>
      <w:sz w:val="68"/>
      <w:szCs w:val="56"/>
    </w:rPr>
  </w:style>
  <w:style w:type="character" w:customStyle="1" w:styleId="TitleChar">
    <w:name w:val="Title Char"/>
    <w:basedOn w:val="DefaultParagraphFont"/>
    <w:link w:val="Title"/>
    <w:uiPriority w:val="8"/>
    <w:semiHidden/>
    <w:rsid w:val="00F507D8"/>
    <w:rPr>
      <w:rFonts w:asciiTheme="majorHAnsi" w:eastAsiaTheme="majorEastAsia" w:hAnsiTheme="majorHAnsi" w:cstheme="majorBidi"/>
      <w:b/>
      <w:color w:val="1D609D" w:themeColor="accent1"/>
      <w:sz w:val="68"/>
      <w:szCs w:val="56"/>
    </w:rPr>
  </w:style>
  <w:style w:type="paragraph" w:styleId="Subtitle">
    <w:name w:val="Subtitle"/>
    <w:next w:val="BodyText"/>
    <w:link w:val="SubtitleChar"/>
    <w:uiPriority w:val="8"/>
    <w:semiHidden/>
    <w:rsid w:val="00F507D8"/>
    <w:pPr>
      <w:numPr>
        <w:ilvl w:val="1"/>
      </w:numPr>
      <w:spacing w:after="0" w:line="240" w:lineRule="auto"/>
      <w:contextualSpacing/>
    </w:pPr>
    <w:rPr>
      <w:rFonts w:asciiTheme="majorHAnsi" w:eastAsiaTheme="minorEastAsia" w:hAnsiTheme="majorHAnsi"/>
      <w:b/>
      <w:color w:val="1D609D" w:themeColor="accent1"/>
      <w:sz w:val="48"/>
    </w:rPr>
  </w:style>
  <w:style w:type="character" w:customStyle="1" w:styleId="SubtitleChar">
    <w:name w:val="Subtitle Char"/>
    <w:basedOn w:val="DefaultParagraphFont"/>
    <w:link w:val="Subtitle"/>
    <w:uiPriority w:val="8"/>
    <w:semiHidden/>
    <w:rsid w:val="00F507D8"/>
    <w:rPr>
      <w:rFonts w:asciiTheme="majorHAnsi" w:eastAsiaTheme="minorEastAsia" w:hAnsiTheme="majorHAnsi"/>
      <w:b/>
      <w:color w:val="1D609D" w:themeColor="accent1"/>
      <w:sz w:val="48"/>
    </w:rPr>
  </w:style>
  <w:style w:type="character" w:styleId="FollowedHyperlink">
    <w:name w:val="FollowedHyperlink"/>
    <w:uiPriority w:val="8"/>
    <w:unhideWhenUsed/>
    <w:rsid w:val="00D50660"/>
    <w:rPr>
      <w:color w:val="00B1EB" w:themeColor="followedHyperlink"/>
      <w:u w:val="single"/>
    </w:rPr>
  </w:style>
  <w:style w:type="character" w:customStyle="1" w:styleId="Heading1Char">
    <w:name w:val="Heading 1 Char"/>
    <w:basedOn w:val="DefaultParagraphFont"/>
    <w:link w:val="Heading1"/>
    <w:rsid w:val="00F507D8"/>
    <w:rPr>
      <w:rFonts w:asciiTheme="majorHAnsi" w:eastAsiaTheme="majorEastAsia" w:hAnsiTheme="majorHAnsi" w:cstheme="majorBidi"/>
      <w:b/>
      <w:color w:val="1D609D" w:themeColor="accent1"/>
      <w:sz w:val="48"/>
      <w:szCs w:val="32"/>
    </w:rPr>
  </w:style>
  <w:style w:type="paragraph" w:styleId="TOCHeading">
    <w:name w:val="TOC Heading"/>
    <w:basedOn w:val="Heading1"/>
    <w:next w:val="BodyText"/>
    <w:uiPriority w:val="8"/>
    <w:semiHidden/>
    <w:rsid w:val="00AD05F3"/>
    <w:pPr>
      <w:outlineLvl w:val="9"/>
    </w:pPr>
  </w:style>
  <w:style w:type="character" w:customStyle="1" w:styleId="Heading2Char">
    <w:name w:val="Heading 2 Char"/>
    <w:basedOn w:val="DefaultParagraphFont"/>
    <w:link w:val="Heading2"/>
    <w:rsid w:val="00F507D8"/>
    <w:rPr>
      <w:rFonts w:asciiTheme="majorHAnsi" w:eastAsiaTheme="majorEastAsia" w:hAnsiTheme="majorHAnsi" w:cstheme="majorBidi"/>
      <w:b/>
      <w:sz w:val="32"/>
      <w:szCs w:val="26"/>
    </w:rPr>
  </w:style>
  <w:style w:type="character" w:customStyle="1" w:styleId="Heading3Char">
    <w:name w:val="Heading 3 Char"/>
    <w:basedOn w:val="DefaultParagraphFont"/>
    <w:link w:val="Heading3"/>
    <w:rsid w:val="002F075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2F075A"/>
    <w:rPr>
      <w:rFonts w:asciiTheme="majorHAnsi" w:eastAsiaTheme="majorEastAsia" w:hAnsiTheme="majorHAnsi" w:cstheme="majorBidi"/>
      <w:i/>
      <w:iCs/>
      <w:sz w:val="24"/>
    </w:rPr>
  </w:style>
  <w:style w:type="paragraph" w:styleId="BodyText">
    <w:name w:val="Body Text"/>
    <w:link w:val="BodyTextChar"/>
    <w:uiPriority w:val="1"/>
    <w:qFormat/>
    <w:rsid w:val="002F075A"/>
    <w:pPr>
      <w:spacing w:after="240" w:line="276" w:lineRule="auto"/>
    </w:pPr>
    <w:rPr>
      <w:sz w:val="24"/>
    </w:rPr>
  </w:style>
  <w:style w:type="character" w:customStyle="1" w:styleId="BodyTextChar">
    <w:name w:val="Body Text Char"/>
    <w:basedOn w:val="DefaultParagraphFont"/>
    <w:link w:val="BodyText"/>
    <w:uiPriority w:val="1"/>
    <w:rsid w:val="002F075A"/>
    <w:rPr>
      <w:sz w:val="24"/>
    </w:rPr>
  </w:style>
  <w:style w:type="paragraph" w:styleId="BodyTextIndent">
    <w:name w:val="Body Text Indent"/>
    <w:basedOn w:val="BodyText"/>
    <w:link w:val="BodyTextIndentChar"/>
    <w:uiPriority w:val="1"/>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446DDB"/>
    <w:pPr>
      <w:numPr>
        <w:numId w:val="1"/>
      </w:numPr>
      <w:contextualSpacing/>
    </w:pPr>
  </w:style>
  <w:style w:type="paragraph" w:styleId="ListBullet2">
    <w:name w:val="List Bullet 2"/>
    <w:uiPriority w:val="2"/>
    <w:qFormat/>
    <w:rsid w:val="00446DDB"/>
    <w:pPr>
      <w:numPr>
        <w:numId w:val="2"/>
      </w:numPr>
      <w:spacing w:after="240" w:line="276" w:lineRule="auto"/>
      <w:contextualSpacing/>
    </w:pPr>
    <w:rPr>
      <w:sz w:val="24"/>
    </w:rPr>
  </w:style>
  <w:style w:type="paragraph" w:styleId="ListNumber">
    <w:name w:val="List Number"/>
    <w:basedOn w:val="BodyText"/>
    <w:uiPriority w:val="1"/>
    <w:qFormat/>
    <w:rsid w:val="002F075A"/>
    <w:pPr>
      <w:numPr>
        <w:numId w:val="3"/>
      </w:numPr>
    </w:pPr>
  </w:style>
  <w:style w:type="paragraph" w:styleId="Header">
    <w:name w:val="header"/>
    <w:basedOn w:val="BodyText"/>
    <w:link w:val="HeaderChar"/>
    <w:uiPriority w:val="8"/>
    <w:semiHidden/>
    <w:rsid w:val="009A1CE1"/>
    <w:pPr>
      <w:spacing w:after="0"/>
      <w:jc w:val="center"/>
    </w:pPr>
    <w:rPr>
      <w:sz w:val="18"/>
    </w:rPr>
  </w:style>
  <w:style w:type="character" w:customStyle="1" w:styleId="HeaderChar">
    <w:name w:val="Header Char"/>
    <w:basedOn w:val="DefaultParagraphFont"/>
    <w:link w:val="Header"/>
    <w:uiPriority w:val="8"/>
    <w:semiHidden/>
    <w:rsid w:val="00BC4DBC"/>
    <w:rPr>
      <w:sz w:val="18"/>
    </w:rPr>
  </w:style>
  <w:style w:type="paragraph" w:styleId="Footer">
    <w:name w:val="footer"/>
    <w:basedOn w:val="BodyText"/>
    <w:link w:val="FooterChar"/>
    <w:uiPriority w:val="8"/>
    <w:semiHidden/>
    <w:rsid w:val="00990242"/>
    <w:pPr>
      <w:spacing w:after="0" w:line="240" w:lineRule="auto"/>
      <w:jc w:val="center"/>
    </w:pPr>
    <w:rPr>
      <w:b/>
    </w:rPr>
  </w:style>
  <w:style w:type="character" w:customStyle="1" w:styleId="FooterChar">
    <w:name w:val="Footer Char"/>
    <w:basedOn w:val="DefaultParagraphFont"/>
    <w:link w:val="Footer"/>
    <w:uiPriority w:val="8"/>
    <w:semiHidden/>
    <w:rsid w:val="00BC4DBC"/>
    <w:rPr>
      <w:b/>
      <w:sz w:val="24"/>
    </w:rPr>
  </w:style>
  <w:style w:type="paragraph" w:styleId="TOC1">
    <w:name w:val="toc 1"/>
    <w:basedOn w:val="BodyText"/>
    <w:uiPriority w:val="39"/>
    <w:semiHidden/>
    <w:rsid w:val="003D27AC"/>
    <w:pPr>
      <w:tabs>
        <w:tab w:val="right" w:pos="9639"/>
      </w:tabs>
      <w:spacing w:before="240" w:after="120"/>
    </w:pPr>
    <w:rPr>
      <w:b/>
    </w:rPr>
  </w:style>
  <w:style w:type="paragraph" w:styleId="TOC2">
    <w:name w:val="toc 2"/>
    <w:basedOn w:val="TOC1"/>
    <w:next w:val="BodyText"/>
    <w:uiPriority w:val="39"/>
    <w:semiHidden/>
    <w:rsid w:val="003D27AC"/>
    <w:pPr>
      <w:spacing w:before="0"/>
    </w:pPr>
    <w:rPr>
      <w:b w:val="0"/>
    </w:rPr>
  </w:style>
  <w:style w:type="character" w:styleId="Hyperlink">
    <w:name w:val="Hyperlink"/>
    <w:unhideWhenUsed/>
    <w:rsid w:val="00990242"/>
    <w:rPr>
      <w:color w:val="00B1EB" w:themeColor="hyperlink"/>
      <w:u w:val="single"/>
    </w:rPr>
  </w:style>
  <w:style w:type="paragraph" w:customStyle="1" w:styleId="EmphasisHeading">
    <w:name w:val="Emphasis Heading"/>
    <w:basedOn w:val="BodyText"/>
    <w:next w:val="EmphasisText"/>
    <w:uiPriority w:val="3"/>
    <w:qFormat/>
    <w:rsid w:val="00E4123E"/>
    <w:pPr>
      <w:keepNext/>
      <w:keepLines/>
      <w:pBdr>
        <w:top w:val="single" w:sz="48" w:space="6" w:color="99E0F7"/>
        <w:left w:val="single" w:sz="48" w:space="4" w:color="99E0F7"/>
        <w:bottom w:val="single" w:sz="48" w:space="6" w:color="99E0F7"/>
        <w:right w:val="single" w:sz="48" w:space="4" w:color="99E0F7"/>
      </w:pBdr>
      <w:shd w:val="clear" w:color="auto" w:fill="99E0F7"/>
      <w:spacing w:before="240"/>
      <w:ind w:left="199"/>
    </w:pPr>
    <w:rPr>
      <w:b/>
      <w:color w:val="003057"/>
    </w:rPr>
  </w:style>
  <w:style w:type="paragraph" w:customStyle="1" w:styleId="EmphasisText">
    <w:name w:val="Emphasis Text"/>
    <w:basedOn w:val="BodyText"/>
    <w:uiPriority w:val="3"/>
    <w:qFormat/>
    <w:rsid w:val="00E4123E"/>
    <w:pPr>
      <w:keepLines/>
      <w:pBdr>
        <w:top w:val="single" w:sz="48" w:space="6" w:color="99E0F7"/>
        <w:left w:val="single" w:sz="48" w:space="4" w:color="99E0F7"/>
        <w:bottom w:val="single" w:sz="48" w:space="6" w:color="99E0F7"/>
        <w:right w:val="single" w:sz="48" w:space="4" w:color="99E0F7"/>
      </w:pBdr>
      <w:shd w:val="clear" w:color="auto" w:fill="99E0F7"/>
      <w:ind w:left="199"/>
    </w:pPr>
    <w:rPr>
      <w:color w:val="003057"/>
    </w:rPr>
  </w:style>
  <w:style w:type="table" w:styleId="TableGrid">
    <w:name w:val="Table Grid"/>
    <w:basedOn w:val="TableNormal"/>
    <w:uiPriority w:val="39"/>
    <w:rsid w:val="00E4123E"/>
    <w:pPr>
      <w:spacing w:after="0" w:line="240" w:lineRule="auto"/>
    </w:pPr>
    <w:tblPr>
      <w:tblBorders>
        <w:top w:val="single" w:sz="4" w:space="0" w:color="1D609D" w:themeColor="accent1"/>
        <w:left w:val="single" w:sz="4" w:space="0" w:color="1D609D" w:themeColor="accent1"/>
        <w:bottom w:val="single" w:sz="4" w:space="0" w:color="1D609D" w:themeColor="accent1"/>
        <w:right w:val="single" w:sz="4" w:space="0" w:color="1D609D" w:themeColor="accent1"/>
        <w:insideH w:val="single" w:sz="4" w:space="0" w:color="1D609D" w:themeColor="accent1"/>
        <w:insideV w:val="single" w:sz="4" w:space="0" w:color="1D609D" w:themeColor="accent1"/>
      </w:tblBorders>
      <w:tblCellMar>
        <w:top w:w="57" w:type="dxa"/>
        <w:left w:w="57" w:type="dxa"/>
        <w:bottom w:w="57" w:type="dxa"/>
        <w:right w:w="57" w:type="dxa"/>
      </w:tblCellMar>
    </w:tblPr>
    <w:tblStylePr w:type="firstRow">
      <w:pPr>
        <w:keepNext/>
        <w:keepLines/>
        <w:widowControl/>
        <w:wordWrap/>
      </w:pPr>
      <w:rPr>
        <w:b/>
        <w:color w:val="FFFFFF" w:themeColor="background1"/>
      </w:rPr>
      <w:tblPr/>
      <w:tcPr>
        <w:tcBorders>
          <w:top w:val="single" w:sz="4" w:space="0" w:color="1D609D" w:themeColor="accent1"/>
          <w:left w:val="single" w:sz="4" w:space="0" w:color="1D609D" w:themeColor="accent1"/>
          <w:bottom w:val="single" w:sz="4" w:space="0" w:color="1D609D" w:themeColor="accent1"/>
          <w:right w:val="single" w:sz="4" w:space="0" w:color="1D609D" w:themeColor="accent1"/>
          <w:insideH w:val="single" w:sz="4" w:space="0" w:color="1D609D" w:themeColor="accent1"/>
          <w:insideV w:val="single" w:sz="4" w:space="0" w:color="1D609D" w:themeColor="accent1"/>
          <w:tl2br w:val="nil"/>
          <w:tr2bl w:val="nil"/>
        </w:tcBorders>
        <w:shd w:val="clear" w:color="auto" w:fill="1D609D" w:themeFill="accent1"/>
      </w:tcPr>
    </w:tblStylePr>
    <w:tblStylePr w:type="firstCol">
      <w:rPr>
        <w:b/>
        <w:i w:val="0"/>
      </w:rPr>
    </w:tblStylePr>
  </w:style>
  <w:style w:type="paragraph" w:customStyle="1" w:styleId="Covertext">
    <w:name w:val="Cover text"/>
    <w:basedOn w:val="BodyText"/>
    <w:uiPriority w:val="8"/>
    <w:semiHidden/>
    <w:qFormat/>
    <w:rsid w:val="00AE4DF7"/>
    <w:pPr>
      <w:spacing w:after="0"/>
    </w:pPr>
    <w:rPr>
      <w:color w:val="FFFFFF" w:themeColor="background1"/>
    </w:rPr>
  </w:style>
  <w:style w:type="character" w:styleId="UnresolvedMention">
    <w:name w:val="Unresolved Mention"/>
    <w:basedOn w:val="DefaultParagraphFont"/>
    <w:uiPriority w:val="99"/>
    <w:semiHidden/>
    <w:rsid w:val="00AD52C7"/>
    <w:rPr>
      <w:color w:val="808080"/>
      <w:shd w:val="clear" w:color="auto" w:fill="E6E6E6"/>
    </w:rPr>
  </w:style>
  <w:style w:type="character" w:styleId="CommentReference">
    <w:name w:val="annotation reference"/>
    <w:basedOn w:val="DefaultParagraphFont"/>
    <w:uiPriority w:val="99"/>
    <w:semiHidden/>
    <w:unhideWhenUsed/>
    <w:rsid w:val="00E66A89"/>
    <w:rPr>
      <w:sz w:val="16"/>
      <w:szCs w:val="16"/>
    </w:rPr>
  </w:style>
  <w:style w:type="paragraph" w:styleId="CommentText">
    <w:name w:val="annotation text"/>
    <w:basedOn w:val="Normal"/>
    <w:link w:val="CommentTextChar"/>
    <w:uiPriority w:val="99"/>
    <w:unhideWhenUsed/>
    <w:rsid w:val="00E66A89"/>
    <w:pPr>
      <w:spacing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E66A89"/>
    <w:rPr>
      <w:rFonts w:ascii="Arial" w:eastAsia="Times New Roman" w:hAnsi="Arial" w:cs="Times New Roman"/>
      <w:sz w:val="20"/>
      <w:szCs w:val="20"/>
    </w:rPr>
  </w:style>
  <w:style w:type="paragraph" w:styleId="ListParagraph">
    <w:name w:val="List Paragraph"/>
    <w:basedOn w:val="Normal"/>
    <w:uiPriority w:val="34"/>
    <w:qFormat/>
    <w:rsid w:val="00E66A89"/>
    <w:pPr>
      <w:spacing w:line="240" w:lineRule="auto"/>
      <w:ind w:left="720"/>
      <w:contextualSpacing/>
    </w:pPr>
    <w:rPr>
      <w:rFonts w:ascii="Arial" w:eastAsia="Times New Roman" w:hAnsi="Arial" w:cs="Times New Roman"/>
      <w:sz w:val="22"/>
      <w:szCs w:val="20"/>
    </w:rPr>
  </w:style>
  <w:style w:type="paragraph" w:styleId="BalloonText">
    <w:name w:val="Balloon Text"/>
    <w:basedOn w:val="Normal"/>
    <w:link w:val="BalloonTextChar"/>
    <w:uiPriority w:val="99"/>
    <w:semiHidden/>
    <w:rsid w:val="00E66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A89"/>
    <w:rPr>
      <w:rFonts w:ascii="Segoe UI" w:hAnsi="Segoe UI" w:cs="Segoe UI"/>
      <w:sz w:val="18"/>
      <w:szCs w:val="18"/>
    </w:rPr>
  </w:style>
  <w:style w:type="character" w:customStyle="1" w:styleId="TextChar">
    <w:name w:val="Text Char"/>
    <w:link w:val="Text"/>
    <w:rsid w:val="00E66A89"/>
    <w:rPr>
      <w:rFonts w:ascii="Arial" w:hAnsi="Arial"/>
      <w:lang w:eastAsia="en-GB"/>
    </w:rPr>
  </w:style>
  <w:style w:type="paragraph" w:customStyle="1" w:styleId="Text">
    <w:name w:val="Text"/>
    <w:link w:val="TextChar"/>
    <w:qFormat/>
    <w:rsid w:val="00E66A89"/>
    <w:pPr>
      <w:spacing w:after="240" w:line="240" w:lineRule="auto"/>
    </w:pPr>
    <w:rPr>
      <w:rFonts w:ascii="Arial" w:hAnsi="Arial"/>
      <w:lang w:eastAsia="en-GB"/>
    </w:rPr>
  </w:style>
  <w:style w:type="paragraph" w:styleId="NormalWeb">
    <w:name w:val="Normal (Web)"/>
    <w:basedOn w:val="Normal"/>
    <w:rsid w:val="00E66A89"/>
    <w:pPr>
      <w:spacing w:before="100" w:beforeAutospacing="1" w:after="100" w:afterAutospacing="1" w:line="240" w:lineRule="auto"/>
    </w:pPr>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rsid w:val="005C38F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C38F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67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cord-retention-and-disposition-schedu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csa.org.uk/news/chair-of-the-inquiry-issues-guidance-on-destruction-of-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record-retention-and-disposition-schedules" TargetMode="External"/><Relationship Id="rId1" Type="http://schemas.openxmlformats.org/officeDocument/2006/relationships/hyperlink" Target="https://www.gov.uk/government/publications/requesting-a-search-of-the-public-guardian-registers-public-guardian-practice-no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MoJ">
      <a:dk1>
        <a:sysClr val="windowText" lastClr="000000"/>
      </a:dk1>
      <a:lt1>
        <a:sysClr val="window" lastClr="FFFFFF"/>
      </a:lt1>
      <a:dk2>
        <a:srgbClr val="000000"/>
      </a:dk2>
      <a:lt2>
        <a:srgbClr val="FFFFFF"/>
      </a:lt2>
      <a:accent1>
        <a:srgbClr val="1D609D"/>
      </a:accent1>
      <a:accent2>
        <a:srgbClr val="30AA51"/>
      </a:accent2>
      <a:accent3>
        <a:srgbClr val="E9426E"/>
      </a:accent3>
      <a:accent4>
        <a:srgbClr val="565B96"/>
      </a:accent4>
      <a:accent5>
        <a:srgbClr val="00A5A1"/>
      </a:accent5>
      <a:accent6>
        <a:srgbClr val="EE7127"/>
      </a:accent6>
      <a:hlink>
        <a:srgbClr val="00B1EB"/>
      </a:hlink>
      <a:folHlink>
        <a:srgbClr val="00B1EB"/>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3F6B41A1DAB4B87E6A50B1B33ACF9" ma:contentTypeVersion="12" ma:contentTypeDescription="Create a new document." ma:contentTypeScope="" ma:versionID="917b73b32c1ef4c05e596a3250c1417d">
  <xsd:schema xmlns:xsd="http://www.w3.org/2001/XMLSchema" xmlns:xs="http://www.w3.org/2001/XMLSchema" xmlns:p="http://schemas.microsoft.com/office/2006/metadata/properties" xmlns:ns1="http://schemas.microsoft.com/sharepoint/v3" xmlns:ns3="2332c961-6f67-4d2a-9fad-b382164b977c" xmlns:ns4="d5354e63-dc31-42f4-b5be-47429dadf320" targetNamespace="http://schemas.microsoft.com/office/2006/metadata/properties" ma:root="true" ma:fieldsID="320bffe2f21ec08e5882bee321a2d46c" ns1:_="" ns3:_="" ns4:_="">
    <xsd:import namespace="http://schemas.microsoft.com/sharepoint/v3"/>
    <xsd:import namespace="2332c961-6f67-4d2a-9fad-b382164b977c"/>
    <xsd:import namespace="d5354e63-dc31-42f4-b5be-47429dadf3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c961-6f67-4d2a-9fad-b382164b97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354e63-dc31-42f4-b5be-47429dadf32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FE35-16EC-40D7-B94C-0B99C21BA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32c961-6f67-4d2a-9fad-b382164b977c"/>
    <ds:schemaRef ds:uri="d5354e63-dc31-42f4-b5be-47429dadf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EF1448-CFE7-4B48-AFF8-CCD1266CA1F6}">
  <ds:schemaRefs>
    <ds:schemaRef ds:uri="http://schemas.openxmlformats.org/package/2006/metadata/core-properties"/>
    <ds:schemaRef ds:uri="2332c961-6f67-4d2a-9fad-b382164b977c"/>
    <ds:schemaRef ds:uri="http://purl.org/dc/terms/"/>
    <ds:schemaRef ds:uri="http://schemas.microsoft.com/office/2006/documentManagement/types"/>
    <ds:schemaRef ds:uri="http://purl.org/dc/dcmitype/"/>
    <ds:schemaRef ds:uri="d5354e63-dc31-42f4-b5be-47429dadf320"/>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3C564559-17EE-489F-BDA0-28518495B229}">
  <ds:schemaRefs>
    <ds:schemaRef ds:uri="http://schemas.microsoft.com/sharepoint/v3/contenttype/forms"/>
  </ds:schemaRefs>
</ds:datastoreItem>
</file>

<file path=customXml/itemProps4.xml><?xml version="1.0" encoding="utf-8"?>
<ds:datastoreItem xmlns:ds="http://schemas.openxmlformats.org/officeDocument/2006/customXml" ds:itemID="{4845D177-F873-40A2-9B11-43A3F9E0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Ministry of Justice</dc:creator>
  <cp:keywords>[Key words for search engines, separated by commas]</cp:keywords>
  <dc:description/>
  <cp:lastModifiedBy>Robbins, Rachel</cp:lastModifiedBy>
  <cp:revision>3</cp:revision>
  <cp:lastPrinted>2019-11-08T11:20:00Z</cp:lastPrinted>
  <dcterms:created xsi:type="dcterms:W3CDTF">2019-12-12T08:56:00Z</dcterms:created>
  <dcterms:modified xsi:type="dcterms:W3CDTF">2019-12-12T09:19:00Z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0x010100A4E3F6B41A1DAB4B87E6A50B1B33ACF9</vt:lpwstr>
  </property>
</Properties>
</file>