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C9107F" w:rsidTr="00D46C15">
        <w:trPr>
          <w:trHeight w:val="2965"/>
        </w:trPr>
        <w:tc>
          <w:tcPr>
            <w:tcW w:w="6237" w:type="dxa"/>
          </w:tcPr>
          <w:p w:rsidR="00DD0733" w:rsidRPr="00C9107F" w:rsidRDefault="0030227A" w:rsidP="002C5025">
            <w:pPr>
              <w:pStyle w:val="MOJaddress"/>
            </w:pPr>
            <w:r w:rsidRPr="00C9107F">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DD0733" w:rsidRPr="00C9107F" w:rsidRDefault="00DD0733" w:rsidP="002C5025">
            <w:pPr>
              <w:pStyle w:val="MOJaddress"/>
              <w:rPr>
                <w:sz w:val="22"/>
                <w:szCs w:val="22"/>
              </w:rPr>
            </w:pPr>
          </w:p>
          <w:p w:rsidR="00DD0733" w:rsidRPr="00C9107F" w:rsidRDefault="00DD0733" w:rsidP="002C5025">
            <w:pPr>
              <w:pStyle w:val="MOJaddress"/>
              <w:rPr>
                <w:sz w:val="22"/>
                <w:szCs w:val="22"/>
              </w:rPr>
            </w:pPr>
          </w:p>
          <w:p w:rsidR="00DD0733" w:rsidRPr="00C9107F" w:rsidRDefault="00DD0733" w:rsidP="009853E8">
            <w:pPr>
              <w:pStyle w:val="MOJaddress"/>
            </w:pPr>
          </w:p>
        </w:tc>
        <w:tc>
          <w:tcPr>
            <w:tcW w:w="3119" w:type="dxa"/>
          </w:tcPr>
          <w:p w:rsidR="00DD0733" w:rsidRPr="00C9107F" w:rsidRDefault="001E11A7" w:rsidP="00505E87">
            <w:pPr>
              <w:pStyle w:val="MOJaddress"/>
              <w:rPr>
                <w:sz w:val="22"/>
                <w:szCs w:val="22"/>
              </w:rPr>
            </w:pPr>
            <w:r>
              <w:rPr>
                <w:sz w:val="22"/>
                <w:szCs w:val="22"/>
              </w:rPr>
              <w:t>May</w:t>
            </w:r>
            <w:r w:rsidR="009C2E1F">
              <w:rPr>
                <w:sz w:val="22"/>
                <w:szCs w:val="22"/>
              </w:rPr>
              <w:t xml:space="preserve"> </w:t>
            </w:r>
            <w:r w:rsidR="0076337B" w:rsidRPr="00C9107F">
              <w:rPr>
                <w:sz w:val="22"/>
                <w:szCs w:val="22"/>
              </w:rPr>
              <w:t>2017</w:t>
            </w:r>
          </w:p>
        </w:tc>
      </w:tr>
    </w:tbl>
    <w:p w:rsidR="00467DA6" w:rsidRPr="00C9107F" w:rsidRDefault="00467DA6" w:rsidP="007A3DF8">
      <w:pPr>
        <w:rPr>
          <w:b/>
          <w:szCs w:val="22"/>
        </w:rPr>
      </w:pPr>
    </w:p>
    <w:p w:rsidR="009853E8" w:rsidRPr="00C9107F" w:rsidRDefault="007A3DF8" w:rsidP="00CC424B">
      <w:pPr>
        <w:jc w:val="center"/>
        <w:rPr>
          <w:b/>
          <w:szCs w:val="22"/>
        </w:rPr>
      </w:pPr>
      <w:r w:rsidRPr="00C9107F">
        <w:rPr>
          <w:b/>
          <w:szCs w:val="22"/>
        </w:rPr>
        <w:t xml:space="preserve">Freedom of Information Act (FOIA) Request </w:t>
      </w:r>
      <w:r w:rsidRPr="00AF442C">
        <w:rPr>
          <w:b/>
          <w:szCs w:val="22"/>
        </w:rPr>
        <w:t xml:space="preserve">– </w:t>
      </w:r>
      <w:r w:rsidR="00AF442C" w:rsidRPr="00AF442C">
        <w:rPr>
          <w:b/>
          <w:szCs w:val="22"/>
        </w:rPr>
        <w:t>111649</w:t>
      </w:r>
    </w:p>
    <w:p w:rsidR="009853E8" w:rsidRPr="00C9107F" w:rsidRDefault="009853E8" w:rsidP="009853E8">
      <w:pPr>
        <w:rPr>
          <w:b/>
          <w:szCs w:val="22"/>
        </w:rPr>
      </w:pPr>
    </w:p>
    <w:p w:rsidR="009853E8" w:rsidRPr="00C9107F" w:rsidRDefault="005E686A" w:rsidP="009853E8">
      <w:pPr>
        <w:rPr>
          <w:b/>
          <w:szCs w:val="22"/>
        </w:rPr>
      </w:pPr>
      <w:r>
        <w:rPr>
          <w:rFonts w:cs="Arial"/>
        </w:rPr>
        <w:t>You</w:t>
      </w:r>
      <w:r w:rsidR="0076337B" w:rsidRPr="00C9107F">
        <w:rPr>
          <w:rFonts w:cs="Arial"/>
        </w:rPr>
        <w:t xml:space="preserve"> </w:t>
      </w:r>
      <w:r w:rsidR="0038642F" w:rsidRPr="00C9107F">
        <w:rPr>
          <w:rFonts w:cs="Arial"/>
        </w:rPr>
        <w:t>asked for the following information</w:t>
      </w:r>
      <w:r w:rsidR="0067585E" w:rsidRPr="00C9107F">
        <w:rPr>
          <w:rFonts w:cs="Arial"/>
        </w:rPr>
        <w:t xml:space="preserve"> from the Ministry of Justice (MoJ)</w:t>
      </w:r>
      <w:r w:rsidR="0038642F" w:rsidRPr="00C9107F">
        <w:rPr>
          <w:rFonts w:cs="Arial"/>
        </w:rPr>
        <w:t xml:space="preserve">: </w:t>
      </w:r>
      <w:r w:rsidR="007A3DF8" w:rsidRPr="00C9107F">
        <w:rPr>
          <w:rFonts w:cs="Arial"/>
        </w:rPr>
        <w:t xml:space="preserve"> </w:t>
      </w:r>
    </w:p>
    <w:p w:rsidR="009853E8" w:rsidRDefault="009853E8" w:rsidP="009853E8">
      <w:pPr>
        <w:rPr>
          <w:b/>
          <w:color w:val="0000CC"/>
          <w:szCs w:val="22"/>
        </w:rPr>
      </w:pPr>
    </w:p>
    <w:p w:rsidR="00EC3FF8" w:rsidRPr="00A44D47" w:rsidRDefault="00EC3FF8" w:rsidP="00EC3FF8">
      <w:pPr>
        <w:pStyle w:val="NormalWeb"/>
        <w:rPr>
          <w:rFonts w:ascii="Arial" w:hAnsi="Arial" w:cs="Arial"/>
          <w:b/>
          <w:color w:val="000000"/>
          <w:sz w:val="22"/>
          <w:szCs w:val="22"/>
        </w:rPr>
      </w:pPr>
      <w:r w:rsidRPr="00A44D47">
        <w:rPr>
          <w:rFonts w:ascii="Arial" w:hAnsi="Arial" w:cs="Arial"/>
          <w:b/>
          <w:color w:val="000000"/>
          <w:sz w:val="22"/>
          <w:szCs w:val="22"/>
        </w:rPr>
        <w:t>Please provide figures for the number of staff who left employment at HMP Leeds on the grounds of Medical Inefficiency in the years 2014, 2015, 2016 and the level (Eg 50%, 100% etc) of compensation awarded. </w:t>
      </w:r>
    </w:p>
    <w:p w:rsidR="009853E8" w:rsidRDefault="009853E8" w:rsidP="009853E8">
      <w:pPr>
        <w:rPr>
          <w:b/>
          <w:color w:val="0000CC"/>
          <w:szCs w:val="22"/>
        </w:rPr>
      </w:pPr>
    </w:p>
    <w:p w:rsidR="00CC424B" w:rsidRPr="00D11919" w:rsidRDefault="00CC424B" w:rsidP="00CC424B">
      <w:pPr>
        <w:rPr>
          <w:rFonts w:cs="Arial"/>
          <w:szCs w:val="22"/>
        </w:rPr>
      </w:pPr>
      <w:r>
        <w:rPr>
          <w:rFonts w:cs="Arial"/>
          <w:szCs w:val="22"/>
        </w:rPr>
        <w:t>Your request has been</w:t>
      </w:r>
      <w:r w:rsidRPr="00561341">
        <w:rPr>
          <w:rFonts w:cs="Arial"/>
          <w:szCs w:val="22"/>
        </w:rPr>
        <w:t xml:space="preserve"> handled under the</w:t>
      </w:r>
      <w:r>
        <w:rPr>
          <w:rFonts w:cs="Arial"/>
          <w:szCs w:val="22"/>
        </w:rPr>
        <w:t xml:space="preserve"> </w:t>
      </w:r>
      <w:r w:rsidRPr="00561341">
        <w:rPr>
          <w:rFonts w:cs="Arial"/>
          <w:szCs w:val="22"/>
        </w:rPr>
        <w:t>FOIA.</w:t>
      </w:r>
      <w:r>
        <w:rPr>
          <w:rFonts w:cs="Arial"/>
          <w:szCs w:val="22"/>
        </w:rPr>
        <w:t xml:space="preserve"> </w:t>
      </w:r>
    </w:p>
    <w:p w:rsidR="00CC424B" w:rsidRDefault="00CC424B" w:rsidP="00CC424B">
      <w:pPr>
        <w:rPr>
          <w:rFonts w:cs="Arial"/>
          <w:szCs w:val="22"/>
        </w:rPr>
      </w:pPr>
    </w:p>
    <w:p w:rsidR="00AF442C" w:rsidRDefault="00CC424B" w:rsidP="00CC424B">
      <w:pPr>
        <w:rPr>
          <w:rFonts w:cs="Arial"/>
          <w:szCs w:val="22"/>
        </w:rPr>
      </w:pPr>
      <w:r w:rsidRPr="00E56D49">
        <w:rPr>
          <w:rFonts w:cs="Arial"/>
          <w:szCs w:val="22"/>
        </w:rPr>
        <w:t xml:space="preserve">I can confirm the MoJ holds the information you have requested. </w:t>
      </w:r>
    </w:p>
    <w:p w:rsidR="00AF442C" w:rsidRDefault="00AF442C" w:rsidP="00CC424B">
      <w:pPr>
        <w:rPr>
          <w:rFonts w:cs="Arial"/>
          <w:szCs w:val="22"/>
        </w:rPr>
      </w:pPr>
    </w:p>
    <w:p w:rsidR="00AF442C" w:rsidRDefault="000B4750" w:rsidP="00CC424B">
      <w:pPr>
        <w:rPr>
          <w:rFonts w:cs="Arial"/>
          <w:szCs w:val="22"/>
        </w:rPr>
      </w:pPr>
      <w:r>
        <w:rPr>
          <w:rFonts w:cs="Arial"/>
          <w:szCs w:val="22"/>
        </w:rPr>
        <w:t>T</w:t>
      </w:r>
      <w:r w:rsidR="00AF442C">
        <w:rPr>
          <w:rFonts w:cs="Arial"/>
          <w:szCs w:val="22"/>
        </w:rPr>
        <w:t xml:space="preserve">he table below </w:t>
      </w:r>
      <w:r>
        <w:rPr>
          <w:rFonts w:cs="Arial"/>
          <w:szCs w:val="22"/>
        </w:rPr>
        <w:t xml:space="preserve">contains </w:t>
      </w:r>
      <w:r w:rsidR="00AF442C">
        <w:rPr>
          <w:rFonts w:cs="Arial"/>
          <w:szCs w:val="22"/>
        </w:rPr>
        <w:t xml:space="preserve">information </w:t>
      </w:r>
      <w:r>
        <w:rPr>
          <w:rFonts w:cs="Arial"/>
          <w:szCs w:val="22"/>
        </w:rPr>
        <w:t xml:space="preserve">on the number of medical inefficiency dismissals from HMP Leeds and the number </w:t>
      </w:r>
      <w:r w:rsidR="00E175C2">
        <w:rPr>
          <w:rFonts w:cs="Arial"/>
          <w:szCs w:val="22"/>
        </w:rPr>
        <w:t xml:space="preserve">receiving </w:t>
      </w:r>
      <w:r>
        <w:rPr>
          <w:rFonts w:cs="Arial"/>
          <w:szCs w:val="22"/>
        </w:rPr>
        <w:t>compensation payment</w:t>
      </w:r>
      <w:r w:rsidR="00E175C2">
        <w:rPr>
          <w:rFonts w:cs="Arial"/>
          <w:szCs w:val="22"/>
        </w:rPr>
        <w:t xml:space="preserve">s in 2014, </w:t>
      </w:r>
      <w:bookmarkStart w:id="0" w:name="_GoBack"/>
      <w:bookmarkEnd w:id="0"/>
      <w:r w:rsidR="00E175C2">
        <w:rPr>
          <w:rFonts w:cs="Arial"/>
          <w:szCs w:val="22"/>
        </w:rPr>
        <w:t xml:space="preserve">2015 and 2016. </w:t>
      </w:r>
    </w:p>
    <w:p w:rsidR="00E175C2" w:rsidRDefault="00E175C2" w:rsidP="00CC424B">
      <w:pPr>
        <w:rPr>
          <w:rFonts w:cs="Arial"/>
          <w:szCs w:val="22"/>
        </w:rPr>
      </w:pPr>
    </w:p>
    <w:p w:rsidR="00E175C2" w:rsidRPr="00D11885" w:rsidRDefault="00E175C2" w:rsidP="00CC424B">
      <w:pPr>
        <w:rPr>
          <w:rFonts w:cs="Arial"/>
          <w:b/>
          <w:szCs w:val="22"/>
        </w:rPr>
      </w:pPr>
      <w:r w:rsidRPr="00D11885">
        <w:rPr>
          <w:rFonts w:cs="Arial"/>
          <w:b/>
          <w:szCs w:val="22"/>
        </w:rPr>
        <w:t xml:space="preserve">Medical Inefficiency Dismissals From HMP Leeds and Compensation Payments Received </w:t>
      </w:r>
      <w:r w:rsidR="00834986" w:rsidRPr="00D11885">
        <w:rPr>
          <w:rFonts w:cs="Arial"/>
          <w:b/>
          <w:szCs w:val="22"/>
        </w:rPr>
        <w:t>2014, 2015 and 2016</w:t>
      </w:r>
    </w:p>
    <w:p w:rsidR="00E175C2" w:rsidRDefault="00E175C2" w:rsidP="00CC424B">
      <w:pPr>
        <w:rPr>
          <w:rFonts w:cs="Arial"/>
          <w:szCs w:val="22"/>
        </w:rPr>
      </w:pPr>
    </w:p>
    <w:tbl>
      <w:tblPr>
        <w:tblW w:w="5520" w:type="dxa"/>
        <w:tblInd w:w="113" w:type="dxa"/>
        <w:tblLook w:val="04A0" w:firstRow="1" w:lastRow="0" w:firstColumn="1" w:lastColumn="0" w:noHBand="0" w:noVBand="1"/>
      </w:tblPr>
      <w:tblGrid>
        <w:gridCol w:w="960"/>
        <w:gridCol w:w="2579"/>
        <w:gridCol w:w="1981"/>
      </w:tblGrid>
      <w:tr w:rsidR="00834986" w:rsidRPr="00834986" w:rsidTr="00C1058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4986" w:rsidRPr="00834986" w:rsidRDefault="00834986" w:rsidP="00834986">
            <w:pPr>
              <w:spacing w:line="240" w:lineRule="auto"/>
              <w:rPr>
                <w:rFonts w:cs="Arial"/>
                <w:b/>
                <w:bCs/>
                <w:color w:val="000000"/>
                <w:szCs w:val="22"/>
              </w:rPr>
            </w:pPr>
            <w:r w:rsidRPr="00834986">
              <w:rPr>
                <w:rFonts w:cs="Arial"/>
                <w:b/>
                <w:bCs/>
                <w:color w:val="000000"/>
                <w:szCs w:val="22"/>
              </w:rPr>
              <w:t>Year</w:t>
            </w:r>
          </w:p>
        </w:tc>
        <w:tc>
          <w:tcPr>
            <w:tcW w:w="2579" w:type="dxa"/>
            <w:tcBorders>
              <w:top w:val="single" w:sz="4" w:space="0" w:color="auto"/>
              <w:left w:val="nil"/>
              <w:bottom w:val="single" w:sz="4" w:space="0" w:color="auto"/>
              <w:right w:val="single" w:sz="4" w:space="0" w:color="auto"/>
            </w:tcBorders>
            <w:shd w:val="clear" w:color="auto" w:fill="auto"/>
            <w:vAlign w:val="bottom"/>
            <w:hideMark/>
          </w:tcPr>
          <w:p w:rsidR="00834986" w:rsidRPr="00834986" w:rsidRDefault="00834986" w:rsidP="00834986">
            <w:pPr>
              <w:spacing w:line="240" w:lineRule="auto"/>
              <w:jc w:val="right"/>
              <w:rPr>
                <w:rFonts w:cs="Arial"/>
                <w:b/>
                <w:bCs/>
                <w:color w:val="000000"/>
                <w:szCs w:val="22"/>
              </w:rPr>
            </w:pPr>
            <w:r w:rsidRPr="00834986">
              <w:rPr>
                <w:rFonts w:cs="Arial"/>
                <w:b/>
                <w:bCs/>
                <w:color w:val="000000"/>
                <w:szCs w:val="22"/>
              </w:rPr>
              <w:t>Medical Inefficiency Dismissals</w:t>
            </w:r>
          </w:p>
        </w:tc>
        <w:tc>
          <w:tcPr>
            <w:tcW w:w="1981" w:type="dxa"/>
            <w:tcBorders>
              <w:top w:val="single" w:sz="4" w:space="0" w:color="auto"/>
              <w:left w:val="nil"/>
              <w:bottom w:val="single" w:sz="4" w:space="0" w:color="auto"/>
              <w:right w:val="single" w:sz="4" w:space="0" w:color="auto"/>
            </w:tcBorders>
            <w:shd w:val="clear" w:color="auto" w:fill="auto"/>
            <w:vAlign w:val="bottom"/>
            <w:hideMark/>
          </w:tcPr>
          <w:p w:rsidR="00834986" w:rsidRPr="00834986" w:rsidRDefault="00834986" w:rsidP="00834986">
            <w:pPr>
              <w:spacing w:line="240" w:lineRule="auto"/>
              <w:jc w:val="right"/>
              <w:rPr>
                <w:rFonts w:cs="Arial"/>
                <w:b/>
                <w:bCs/>
                <w:color w:val="000000"/>
                <w:szCs w:val="22"/>
              </w:rPr>
            </w:pPr>
            <w:r w:rsidRPr="00834986">
              <w:rPr>
                <w:rFonts w:cs="Arial"/>
                <w:b/>
                <w:bCs/>
                <w:color w:val="000000"/>
                <w:szCs w:val="22"/>
              </w:rPr>
              <w:t>Compensation Payments</w:t>
            </w:r>
          </w:p>
        </w:tc>
      </w:tr>
      <w:tr w:rsidR="00834986" w:rsidRPr="00834986" w:rsidTr="00C105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rPr>
                <w:rFonts w:cs="Arial"/>
                <w:color w:val="000000"/>
                <w:szCs w:val="22"/>
              </w:rPr>
            </w:pPr>
            <w:r w:rsidRPr="00834986">
              <w:rPr>
                <w:rFonts w:cs="Arial"/>
                <w:color w:val="000000"/>
                <w:szCs w:val="22"/>
              </w:rPr>
              <w:t>2014</w:t>
            </w:r>
          </w:p>
        </w:tc>
        <w:tc>
          <w:tcPr>
            <w:tcW w:w="2579"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10</w:t>
            </w:r>
          </w:p>
        </w:tc>
        <w:tc>
          <w:tcPr>
            <w:tcW w:w="1981"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w:t>
            </w:r>
          </w:p>
        </w:tc>
      </w:tr>
      <w:tr w:rsidR="00834986" w:rsidRPr="00834986" w:rsidTr="00C105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rPr>
                <w:rFonts w:cs="Arial"/>
                <w:color w:val="000000"/>
                <w:szCs w:val="22"/>
              </w:rPr>
            </w:pPr>
            <w:r w:rsidRPr="00834986">
              <w:rPr>
                <w:rFonts w:cs="Arial"/>
                <w:color w:val="000000"/>
                <w:szCs w:val="22"/>
              </w:rPr>
              <w:t>2015</w:t>
            </w:r>
          </w:p>
        </w:tc>
        <w:tc>
          <w:tcPr>
            <w:tcW w:w="2579"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17</w:t>
            </w:r>
          </w:p>
        </w:tc>
        <w:tc>
          <w:tcPr>
            <w:tcW w:w="1981"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14</w:t>
            </w:r>
          </w:p>
        </w:tc>
      </w:tr>
      <w:tr w:rsidR="00834986" w:rsidRPr="00834986" w:rsidTr="00C105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rPr>
                <w:rFonts w:cs="Arial"/>
                <w:color w:val="000000"/>
                <w:szCs w:val="22"/>
              </w:rPr>
            </w:pPr>
            <w:r w:rsidRPr="00834986">
              <w:rPr>
                <w:rFonts w:cs="Arial"/>
                <w:color w:val="000000"/>
                <w:szCs w:val="22"/>
              </w:rPr>
              <w:t>2016</w:t>
            </w:r>
          </w:p>
        </w:tc>
        <w:tc>
          <w:tcPr>
            <w:tcW w:w="2579"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19</w:t>
            </w:r>
          </w:p>
        </w:tc>
        <w:tc>
          <w:tcPr>
            <w:tcW w:w="1981" w:type="dxa"/>
            <w:tcBorders>
              <w:top w:val="nil"/>
              <w:left w:val="nil"/>
              <w:bottom w:val="single" w:sz="4" w:space="0" w:color="auto"/>
              <w:right w:val="single" w:sz="4" w:space="0" w:color="auto"/>
            </w:tcBorders>
            <w:shd w:val="clear" w:color="auto" w:fill="auto"/>
            <w:noWrap/>
            <w:vAlign w:val="bottom"/>
            <w:hideMark/>
          </w:tcPr>
          <w:p w:rsidR="00834986" w:rsidRPr="00834986" w:rsidRDefault="00834986" w:rsidP="00834986">
            <w:pPr>
              <w:spacing w:line="240" w:lineRule="auto"/>
              <w:jc w:val="right"/>
              <w:rPr>
                <w:rFonts w:cs="Arial"/>
                <w:color w:val="000000"/>
                <w:szCs w:val="22"/>
              </w:rPr>
            </w:pPr>
            <w:r w:rsidRPr="00834986">
              <w:rPr>
                <w:rFonts w:cs="Arial"/>
                <w:color w:val="000000"/>
                <w:szCs w:val="22"/>
              </w:rPr>
              <w:t>15</w:t>
            </w:r>
          </w:p>
        </w:tc>
      </w:tr>
    </w:tbl>
    <w:p w:rsidR="00834986" w:rsidRDefault="00834986" w:rsidP="00CC424B">
      <w:pPr>
        <w:rPr>
          <w:rFonts w:cs="Arial"/>
          <w:sz w:val="16"/>
          <w:szCs w:val="16"/>
        </w:rPr>
      </w:pPr>
    </w:p>
    <w:p w:rsidR="00834986" w:rsidRPr="00A44D47" w:rsidRDefault="00834986" w:rsidP="00CC424B">
      <w:pPr>
        <w:rPr>
          <w:rFonts w:cs="Arial"/>
          <w:szCs w:val="22"/>
        </w:rPr>
      </w:pPr>
      <w:r w:rsidRPr="00A44D47">
        <w:rPr>
          <w:rFonts w:cs="Arial"/>
          <w:szCs w:val="22"/>
        </w:rPr>
        <w:t>~ Denotes where figures are two or fewer or where a figure of two or fewer of cases without a compensation payment could be derived from the total.</w:t>
      </w:r>
    </w:p>
    <w:p w:rsidR="00D11885" w:rsidRPr="00A44D47" w:rsidRDefault="00D11885" w:rsidP="00CC424B">
      <w:pPr>
        <w:rPr>
          <w:rFonts w:cs="Arial"/>
          <w:szCs w:val="22"/>
        </w:rPr>
      </w:pPr>
    </w:p>
    <w:p w:rsidR="00650D61" w:rsidRPr="00A44D47" w:rsidRDefault="00650D61" w:rsidP="00CC424B">
      <w:pPr>
        <w:rPr>
          <w:rFonts w:cs="Arial"/>
          <w:szCs w:val="22"/>
        </w:rPr>
      </w:pPr>
      <w:r w:rsidRPr="00A44D47">
        <w:rPr>
          <w:rFonts w:cs="Arial"/>
          <w:b/>
          <w:szCs w:val="22"/>
        </w:rPr>
        <w:t>Notes</w:t>
      </w:r>
      <w:r w:rsidRPr="00A44D47">
        <w:rPr>
          <w:rFonts w:cs="Arial"/>
          <w:szCs w:val="22"/>
        </w:rPr>
        <w:t xml:space="preserve">: 1. Medical inefficiency occurs in situations when it becomes clear that a member of staff is absent and will not return to work in an acceptable timescale or is unable to give regular and effective service in the duties of their grade under Civil Service guidelines. </w:t>
      </w:r>
      <w:r w:rsidR="00EA6CFA" w:rsidRPr="00A44D47">
        <w:rPr>
          <w:rFonts w:cs="Arial"/>
          <w:szCs w:val="22"/>
        </w:rPr>
        <w:t xml:space="preserve">2. </w:t>
      </w:r>
      <w:r w:rsidR="00EA6CFA" w:rsidRPr="00A44D47">
        <w:rPr>
          <w:rFonts w:cs="Arial"/>
          <w:szCs w:val="22"/>
          <w:lang w:eastAsia="en-US"/>
        </w:rPr>
        <w:t xml:space="preserve">Compensation payments to staff may be reversed if a successful appeal takes place. Consequently the figures on compensation awarded may not be final. 3. </w:t>
      </w:r>
      <w:r w:rsidR="00EA6CFA" w:rsidRPr="00A44D47">
        <w:rPr>
          <w:rFonts w:cs="Arial"/>
          <w:szCs w:val="22"/>
        </w:rPr>
        <w:t xml:space="preserve">Medical inefficiency dismissal may also not have a compensation payment </w:t>
      </w:r>
      <w:r w:rsidR="006B1C8A" w:rsidRPr="00A44D47">
        <w:rPr>
          <w:rFonts w:cs="Arial"/>
          <w:szCs w:val="22"/>
        </w:rPr>
        <w:t>made if</w:t>
      </w:r>
      <w:r w:rsidR="00EA6CFA" w:rsidRPr="00A44D47">
        <w:rPr>
          <w:rFonts w:cs="Arial"/>
          <w:szCs w:val="22"/>
        </w:rPr>
        <w:t xml:space="preserve"> the departure is reassigned as a medical retirement after the inefficiency dismissal is</w:t>
      </w:r>
      <w:r w:rsidR="006B1C8A" w:rsidRPr="00A44D47">
        <w:rPr>
          <w:rFonts w:cs="Arial"/>
          <w:szCs w:val="22"/>
        </w:rPr>
        <w:t xml:space="preserve"> first</w:t>
      </w:r>
      <w:r w:rsidR="00EA6CFA" w:rsidRPr="00A44D47">
        <w:rPr>
          <w:rFonts w:cs="Arial"/>
          <w:szCs w:val="22"/>
        </w:rPr>
        <w:t xml:space="preserve"> recorded as the leaving reason on the HR system.</w:t>
      </w:r>
    </w:p>
    <w:p w:rsidR="00276889" w:rsidRDefault="00276889" w:rsidP="00276889">
      <w:pPr>
        <w:rPr>
          <w:rFonts w:cs="Arial"/>
          <w:szCs w:val="22"/>
        </w:rPr>
      </w:pPr>
    </w:p>
    <w:p w:rsidR="00276889" w:rsidRDefault="00276889" w:rsidP="00276889">
      <w:pPr>
        <w:rPr>
          <w:rFonts w:cs="Arial"/>
          <w:szCs w:val="22"/>
        </w:rPr>
      </w:pPr>
      <w:r>
        <w:rPr>
          <w:rFonts w:cs="Arial"/>
          <w:szCs w:val="22"/>
        </w:rPr>
        <w:lastRenderedPageBreak/>
        <w:t xml:space="preserve">In relation to the second part and by way of clarification, we have interpreted ‘level of compensation awarded’ to mean the proportion of leavers on grounds of Medical Inefficiency who were awarded </w:t>
      </w:r>
      <w:r w:rsidR="00B37A1C">
        <w:rPr>
          <w:rFonts w:cs="Arial"/>
          <w:szCs w:val="22"/>
        </w:rPr>
        <w:t xml:space="preserve">a </w:t>
      </w:r>
      <w:r>
        <w:rPr>
          <w:rFonts w:cs="Arial"/>
          <w:szCs w:val="22"/>
        </w:rPr>
        <w:t>severance payment.</w:t>
      </w:r>
    </w:p>
    <w:p w:rsidR="00276889" w:rsidRDefault="00276889" w:rsidP="00CC424B">
      <w:pPr>
        <w:rPr>
          <w:rFonts w:cs="Arial"/>
          <w:szCs w:val="22"/>
        </w:rPr>
      </w:pPr>
    </w:p>
    <w:p w:rsidR="00EA6CFA" w:rsidRDefault="00834986" w:rsidP="00CC424B">
      <w:pPr>
        <w:rPr>
          <w:rFonts w:cs="Arial"/>
          <w:szCs w:val="22"/>
        </w:rPr>
      </w:pPr>
      <w:r>
        <w:rPr>
          <w:rFonts w:cs="Arial"/>
          <w:szCs w:val="22"/>
        </w:rPr>
        <w:t xml:space="preserve">Some of the information on compensation payments </w:t>
      </w:r>
      <w:r w:rsidR="006B1C8A">
        <w:rPr>
          <w:rFonts w:cs="Arial"/>
          <w:szCs w:val="22"/>
        </w:rPr>
        <w:t>i</w:t>
      </w:r>
      <w:r w:rsidR="001D1AB9">
        <w:rPr>
          <w:rFonts w:cs="Arial"/>
          <w:szCs w:val="22"/>
        </w:rPr>
        <w:t>s</w:t>
      </w:r>
      <w:r w:rsidR="00276889">
        <w:rPr>
          <w:rFonts w:cs="Arial"/>
          <w:szCs w:val="22"/>
        </w:rPr>
        <w:t xml:space="preserve"> exempt from disclosure because the number of cases is</w:t>
      </w:r>
      <w:r w:rsidR="001D1AB9">
        <w:rPr>
          <w:rFonts w:cs="Arial"/>
          <w:szCs w:val="22"/>
        </w:rPr>
        <w:t xml:space="preserve"> two or fewer</w:t>
      </w:r>
      <w:r w:rsidR="00B37A1C">
        <w:rPr>
          <w:rFonts w:cs="Arial"/>
          <w:szCs w:val="22"/>
        </w:rPr>
        <w:t xml:space="preserve"> and risks identification of individuals</w:t>
      </w:r>
      <w:r w:rsidR="001D1AB9">
        <w:rPr>
          <w:rFonts w:cs="Arial"/>
          <w:szCs w:val="22"/>
        </w:rPr>
        <w:t xml:space="preserve">. </w:t>
      </w:r>
    </w:p>
    <w:p w:rsidR="00EA6CFA" w:rsidRDefault="00EA6CFA" w:rsidP="00CC424B">
      <w:pPr>
        <w:rPr>
          <w:rFonts w:cs="Arial"/>
          <w:szCs w:val="22"/>
        </w:rPr>
      </w:pPr>
    </w:p>
    <w:p w:rsidR="00EA6CFA" w:rsidRDefault="00EA6CFA" w:rsidP="00EA6CFA">
      <w:pPr>
        <w:rPr>
          <w:rFonts w:cs="Arial"/>
          <w:szCs w:val="22"/>
        </w:rPr>
      </w:pPr>
      <w:r>
        <w:rPr>
          <w:rFonts w:cs="Arial"/>
          <w:szCs w:val="22"/>
        </w:rPr>
        <w:t xml:space="preserve">We are not obliged, under </w:t>
      </w:r>
      <w:r>
        <w:rPr>
          <w:rFonts w:cs="Arial"/>
          <w:color w:val="000000"/>
          <w:szCs w:val="22"/>
        </w:rPr>
        <w:t xml:space="preserve">section 40(2) of the FOIA, </w:t>
      </w:r>
      <w:r>
        <w:rPr>
          <w:rFonts w:cs="Arial"/>
          <w:szCs w:val="22"/>
        </w:rPr>
        <w:t>to provide personal information, such</w:t>
      </w:r>
      <w:r w:rsidR="006B1C8A">
        <w:rPr>
          <w:rFonts w:cs="Arial"/>
          <w:szCs w:val="22"/>
        </w:rPr>
        <w:t xml:space="preserve"> as for severance payment</w:t>
      </w:r>
      <w:r>
        <w:rPr>
          <w:rFonts w:cs="Arial"/>
          <w:szCs w:val="22"/>
        </w:rPr>
        <w:t xml:space="preserve">, if releasing such information would contravene any of the provisions in the Data Protection Act 1998 (DPA). If a request is made for information and the total figure amounts to two people or fewer, the MoJ must consider whether this could lead to the identification of individuals and whether disclosure of this information would be in breach of our statutory obligations under the </w:t>
      </w:r>
      <w:r w:rsidR="00A44D47">
        <w:rPr>
          <w:rFonts w:cs="Arial"/>
          <w:szCs w:val="22"/>
        </w:rPr>
        <w:t>DPA</w:t>
      </w:r>
      <w:r>
        <w:rPr>
          <w:rFonts w:cs="Arial"/>
          <w:szCs w:val="22"/>
        </w:rPr>
        <w:t>. The figures if</w:t>
      </w:r>
      <w:r w:rsidR="00AB3FCA">
        <w:rPr>
          <w:rFonts w:cs="Arial"/>
          <w:szCs w:val="22"/>
        </w:rPr>
        <w:t xml:space="preserve"> disclosed will indicate leavers with no severance payment which is</w:t>
      </w:r>
      <w:r>
        <w:rPr>
          <w:rFonts w:cs="Arial"/>
          <w:szCs w:val="22"/>
        </w:rPr>
        <w:t xml:space="preserve"> too low. As such we believe that a release in this format would through a jig-saw approach, risk identification of the individuals concerned and that would potentially result in harm to the individual/s concerned or their family. </w:t>
      </w:r>
    </w:p>
    <w:p w:rsidR="00EA6CFA" w:rsidRDefault="00EA6CFA" w:rsidP="00EA6CFA">
      <w:pPr>
        <w:spacing w:line="240" w:lineRule="auto"/>
        <w:rPr>
          <w:rFonts w:cs="Arial"/>
          <w:szCs w:val="22"/>
        </w:rPr>
      </w:pPr>
    </w:p>
    <w:p w:rsidR="006B1C8A" w:rsidRDefault="006B1C8A" w:rsidP="006B1C8A">
      <w:pPr>
        <w:spacing w:line="240" w:lineRule="auto"/>
        <w:rPr>
          <w:rFonts w:cs="Arial"/>
          <w:szCs w:val="22"/>
        </w:rPr>
      </w:pPr>
      <w:r>
        <w:rPr>
          <w:rFonts w:cs="Arial"/>
          <w:szCs w:val="22"/>
        </w:rPr>
        <w:t xml:space="preserve">Personal data can only be released if to do so would not contravene any of the data protection principles of the </w:t>
      </w:r>
      <w:r w:rsidR="00A44D47">
        <w:rPr>
          <w:rFonts w:cs="Arial"/>
          <w:szCs w:val="22"/>
        </w:rPr>
        <w:t>DPA</w:t>
      </w:r>
      <w:r>
        <w:rPr>
          <w:rFonts w:cs="Arial"/>
          <w:szCs w:val="22"/>
        </w:rPr>
        <w:t>. The first principle states:</w:t>
      </w:r>
    </w:p>
    <w:p w:rsidR="006B1C8A" w:rsidRDefault="006B1C8A" w:rsidP="006B1C8A">
      <w:pPr>
        <w:spacing w:line="240" w:lineRule="auto"/>
        <w:rPr>
          <w:rFonts w:cs="Arial"/>
          <w:szCs w:val="22"/>
        </w:rPr>
      </w:pPr>
    </w:p>
    <w:p w:rsidR="006B1C8A" w:rsidRDefault="006B1C8A" w:rsidP="006B1C8A">
      <w:pPr>
        <w:spacing w:line="240" w:lineRule="auto"/>
        <w:rPr>
          <w:rFonts w:cs="Arial"/>
          <w:i/>
          <w:szCs w:val="22"/>
        </w:rPr>
      </w:pPr>
      <w:r>
        <w:rPr>
          <w:rFonts w:cs="Arial"/>
          <w:i/>
          <w:szCs w:val="22"/>
        </w:rPr>
        <w:t xml:space="preserve">Personal data shall be processed fairly and lawfully and, in particular, shall not be processed unless— </w:t>
      </w:r>
    </w:p>
    <w:p w:rsidR="006B1C8A" w:rsidRDefault="006B1C8A" w:rsidP="006B1C8A">
      <w:pPr>
        <w:spacing w:line="240" w:lineRule="auto"/>
        <w:rPr>
          <w:rFonts w:cs="Arial"/>
          <w:i/>
          <w:szCs w:val="22"/>
        </w:rPr>
      </w:pPr>
      <w:r>
        <w:rPr>
          <w:rFonts w:cs="Arial"/>
          <w:i/>
          <w:szCs w:val="22"/>
        </w:rPr>
        <w:t xml:space="preserve">(a) at least one of the conditions in Schedule 2 is met, and </w:t>
      </w:r>
    </w:p>
    <w:p w:rsidR="006B1C8A" w:rsidRDefault="006B1C8A" w:rsidP="006B1C8A">
      <w:pPr>
        <w:spacing w:line="240" w:lineRule="auto"/>
        <w:rPr>
          <w:rFonts w:cs="Arial"/>
          <w:i/>
          <w:szCs w:val="22"/>
        </w:rPr>
      </w:pPr>
      <w:r>
        <w:rPr>
          <w:rFonts w:cs="Arial"/>
          <w:i/>
          <w:szCs w:val="22"/>
        </w:rPr>
        <w:t>(b) in the case of sensitive personal data, at least one of the conditions in Schedule 3 is also met.</w:t>
      </w:r>
    </w:p>
    <w:p w:rsidR="006B1C8A" w:rsidRDefault="006B1C8A" w:rsidP="006B1C8A">
      <w:pPr>
        <w:spacing w:line="240" w:lineRule="auto"/>
        <w:rPr>
          <w:rFonts w:cs="Arial"/>
          <w:szCs w:val="22"/>
        </w:rPr>
      </w:pPr>
    </w:p>
    <w:p w:rsidR="006B1C8A" w:rsidRDefault="006B1C8A" w:rsidP="006B1C8A">
      <w:pPr>
        <w:spacing w:line="240" w:lineRule="auto"/>
        <w:rPr>
          <w:rFonts w:cs="Arial"/>
          <w:szCs w:val="22"/>
        </w:rPr>
      </w:pPr>
      <w:r>
        <w:rPr>
          <w:rFonts w:cs="Arial"/>
          <w:szCs w:val="22"/>
        </w:rPr>
        <w:t>We believe relea</w:t>
      </w:r>
      <w:r w:rsidR="00AB3FCA">
        <w:rPr>
          <w:rFonts w:cs="Arial"/>
          <w:szCs w:val="22"/>
        </w:rPr>
        <w:t>sing the requested information</w:t>
      </w:r>
      <w:r>
        <w:rPr>
          <w:rFonts w:cs="Arial"/>
          <w:szCs w:val="22"/>
        </w:rPr>
        <w:t xml:space="preserve"> would be unlawful. Individuals have a clear and strong expectation that their personal data will be held in confidence and not disclosed to the public under the FOIA.  </w:t>
      </w:r>
    </w:p>
    <w:p w:rsidR="006B1C8A" w:rsidRDefault="006B1C8A" w:rsidP="006B1C8A">
      <w:pPr>
        <w:spacing w:line="240" w:lineRule="auto"/>
        <w:rPr>
          <w:rFonts w:cs="Arial"/>
          <w:szCs w:val="22"/>
        </w:rPr>
      </w:pPr>
    </w:p>
    <w:p w:rsidR="006B1C8A" w:rsidRDefault="006B1C8A" w:rsidP="006B1C8A">
      <w:pPr>
        <w:spacing w:line="240" w:lineRule="auto"/>
        <w:rPr>
          <w:rFonts w:cs="Arial"/>
          <w:szCs w:val="22"/>
        </w:rPr>
      </w:pPr>
      <w:r>
        <w:rPr>
          <w:rFonts w:cs="Arial"/>
          <w:szCs w:val="22"/>
        </w:rPr>
        <w:t xml:space="preserve">Disclosure would therefore breach the first data protection principle as it would be unlawful. </w:t>
      </w:r>
    </w:p>
    <w:p w:rsidR="006B1C8A" w:rsidRDefault="006B1C8A" w:rsidP="006B1C8A">
      <w:pPr>
        <w:spacing w:line="240" w:lineRule="auto"/>
        <w:rPr>
          <w:rFonts w:cs="Arial"/>
          <w:szCs w:val="22"/>
        </w:rPr>
      </w:pPr>
    </w:p>
    <w:p w:rsidR="006B1C8A" w:rsidRDefault="006B1C8A" w:rsidP="006B1C8A">
      <w:pPr>
        <w:spacing w:line="240" w:lineRule="auto"/>
        <w:rPr>
          <w:rFonts w:cs="Arial"/>
          <w:szCs w:val="22"/>
        </w:rPr>
      </w:pPr>
      <w:r>
        <w:rPr>
          <w:rFonts w:cs="Arial"/>
          <w:szCs w:val="22"/>
        </w:rPr>
        <w:t>Further information on the data protection principles is available as follows:</w:t>
      </w:r>
    </w:p>
    <w:p w:rsidR="006B1C8A" w:rsidRDefault="006B1C8A" w:rsidP="006B1C8A">
      <w:pPr>
        <w:spacing w:line="240" w:lineRule="auto"/>
        <w:rPr>
          <w:rFonts w:cs="Arial"/>
          <w:color w:val="0000FF"/>
          <w:szCs w:val="22"/>
          <w:u w:val="single"/>
        </w:rPr>
      </w:pPr>
      <w:r>
        <w:rPr>
          <w:rFonts w:cs="Arial"/>
          <w:color w:val="0000FF"/>
          <w:szCs w:val="22"/>
          <w:u w:val="single"/>
        </w:rPr>
        <w:t xml:space="preserve">http://www.legislation.gov.uk/ukpga/1998/29/schedule/1 </w:t>
      </w:r>
    </w:p>
    <w:p w:rsidR="006B1C8A" w:rsidRDefault="006B1C8A" w:rsidP="006B1C8A">
      <w:pPr>
        <w:spacing w:line="240" w:lineRule="auto"/>
        <w:rPr>
          <w:rFonts w:cs="Arial"/>
          <w:color w:val="0000FF"/>
          <w:szCs w:val="22"/>
          <w:u w:val="single"/>
        </w:rPr>
      </w:pPr>
      <w:r>
        <w:rPr>
          <w:rFonts w:cs="Arial"/>
          <w:color w:val="0000FF"/>
          <w:szCs w:val="22"/>
          <w:u w:val="single"/>
        </w:rPr>
        <w:t xml:space="preserve">http://www.legislation.gov.uk/ukpga/1998/29/schedule/2 </w:t>
      </w:r>
    </w:p>
    <w:p w:rsidR="006B1C8A" w:rsidRDefault="006B1C8A" w:rsidP="006B1C8A">
      <w:pPr>
        <w:spacing w:line="240" w:lineRule="auto"/>
        <w:rPr>
          <w:rFonts w:cs="Arial"/>
          <w:color w:val="0000FF"/>
          <w:szCs w:val="22"/>
          <w:u w:val="single"/>
        </w:rPr>
      </w:pPr>
      <w:r>
        <w:rPr>
          <w:rFonts w:cs="Arial"/>
          <w:color w:val="0000FF"/>
          <w:szCs w:val="22"/>
          <w:u w:val="single"/>
        </w:rPr>
        <w:t>http://www.legislation.gov.uk/ukpga/1998/29/schedule/3</w:t>
      </w:r>
    </w:p>
    <w:p w:rsidR="006B1C8A" w:rsidRDefault="006B1C8A" w:rsidP="006B1C8A">
      <w:pPr>
        <w:autoSpaceDE w:val="0"/>
        <w:autoSpaceDN w:val="0"/>
        <w:adjustRightInd w:val="0"/>
        <w:spacing w:line="240" w:lineRule="auto"/>
        <w:rPr>
          <w:rFonts w:cs="Arial"/>
          <w:color w:val="0000FF"/>
          <w:szCs w:val="22"/>
        </w:rPr>
      </w:pPr>
    </w:p>
    <w:p w:rsidR="006B1C8A" w:rsidRDefault="006B1C8A" w:rsidP="006B1C8A">
      <w:pPr>
        <w:spacing w:line="240" w:lineRule="auto"/>
        <w:rPr>
          <w:rFonts w:cs="Arial"/>
          <w:szCs w:val="22"/>
        </w:rPr>
      </w:pPr>
      <w:r>
        <w:rPr>
          <w:rFonts w:cs="Arial"/>
          <w:szCs w:val="22"/>
        </w:rPr>
        <w:t>This is an absolute exemption and does not require a public interest test.</w:t>
      </w:r>
    </w:p>
    <w:p w:rsidR="001D1AB9" w:rsidRDefault="001D1AB9" w:rsidP="00CC424B">
      <w:pPr>
        <w:rPr>
          <w:rFonts w:cs="Arial"/>
          <w:szCs w:val="22"/>
        </w:rPr>
      </w:pPr>
    </w:p>
    <w:p w:rsidR="006E32CA" w:rsidRPr="009C4B46" w:rsidRDefault="006E32CA" w:rsidP="00832C18">
      <w:pPr>
        <w:rPr>
          <w:color w:val="0000CC"/>
          <w:szCs w:val="22"/>
        </w:rPr>
      </w:pPr>
    </w:p>
    <w:sectPr w:rsidR="006E32CA" w:rsidRPr="009C4B4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75" w:rsidRDefault="00123475">
      <w:r>
        <w:separator/>
      </w:r>
    </w:p>
  </w:endnote>
  <w:endnote w:type="continuationSeparator" w:id="0">
    <w:p w:rsidR="00123475" w:rsidRDefault="0012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0227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75" w:rsidRDefault="00123475">
      <w:r>
        <w:separator/>
      </w:r>
    </w:p>
  </w:footnote>
  <w:footnote w:type="continuationSeparator" w:id="0">
    <w:p w:rsidR="00123475" w:rsidRDefault="0012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C8C"/>
    <w:multiLevelType w:val="hybridMultilevel"/>
    <w:tmpl w:val="E50202F6"/>
    <w:lvl w:ilvl="0" w:tplc="E5AA2AAE">
      <w:start w:val="3"/>
      <w:numFmt w:val="lowerLetter"/>
      <w:lvlText w:val="%1."/>
      <w:lvlJc w:val="left"/>
      <w:pPr>
        <w:tabs>
          <w:tab w:val="num" w:pos="720"/>
        </w:tabs>
        <w:ind w:left="720" w:hanging="360"/>
      </w:pPr>
    </w:lvl>
    <w:lvl w:ilvl="1" w:tplc="B518FC3C">
      <w:start w:val="1"/>
      <w:numFmt w:val="decimal"/>
      <w:lvlText w:val="%2."/>
      <w:lvlJc w:val="left"/>
      <w:pPr>
        <w:tabs>
          <w:tab w:val="num" w:pos="1440"/>
        </w:tabs>
        <w:ind w:left="1440" w:hanging="360"/>
      </w:pPr>
    </w:lvl>
    <w:lvl w:ilvl="2" w:tplc="10887D84">
      <w:start w:val="1"/>
      <w:numFmt w:val="decimal"/>
      <w:lvlText w:val="%3."/>
      <w:lvlJc w:val="left"/>
      <w:pPr>
        <w:tabs>
          <w:tab w:val="num" w:pos="2160"/>
        </w:tabs>
        <w:ind w:left="2160" w:hanging="360"/>
      </w:pPr>
    </w:lvl>
    <w:lvl w:ilvl="3" w:tplc="D02EED7C">
      <w:start w:val="1"/>
      <w:numFmt w:val="decimal"/>
      <w:lvlText w:val="%4."/>
      <w:lvlJc w:val="left"/>
      <w:pPr>
        <w:tabs>
          <w:tab w:val="num" w:pos="2880"/>
        </w:tabs>
        <w:ind w:left="2880" w:hanging="360"/>
      </w:pPr>
    </w:lvl>
    <w:lvl w:ilvl="4" w:tplc="56D6CA06">
      <w:start w:val="1"/>
      <w:numFmt w:val="decimal"/>
      <w:lvlText w:val="%5."/>
      <w:lvlJc w:val="left"/>
      <w:pPr>
        <w:tabs>
          <w:tab w:val="num" w:pos="3600"/>
        </w:tabs>
        <w:ind w:left="3600" w:hanging="360"/>
      </w:pPr>
    </w:lvl>
    <w:lvl w:ilvl="5" w:tplc="F8846A96">
      <w:start w:val="1"/>
      <w:numFmt w:val="decimal"/>
      <w:lvlText w:val="%6."/>
      <w:lvlJc w:val="left"/>
      <w:pPr>
        <w:tabs>
          <w:tab w:val="num" w:pos="4320"/>
        </w:tabs>
        <w:ind w:left="4320" w:hanging="360"/>
      </w:pPr>
    </w:lvl>
    <w:lvl w:ilvl="6" w:tplc="9F085E36">
      <w:start w:val="1"/>
      <w:numFmt w:val="decimal"/>
      <w:lvlText w:val="%7."/>
      <w:lvlJc w:val="left"/>
      <w:pPr>
        <w:tabs>
          <w:tab w:val="num" w:pos="5040"/>
        </w:tabs>
        <w:ind w:left="5040" w:hanging="360"/>
      </w:pPr>
    </w:lvl>
    <w:lvl w:ilvl="7" w:tplc="BA2CDF32">
      <w:start w:val="1"/>
      <w:numFmt w:val="decimal"/>
      <w:lvlText w:val="%8."/>
      <w:lvlJc w:val="left"/>
      <w:pPr>
        <w:tabs>
          <w:tab w:val="num" w:pos="5760"/>
        </w:tabs>
        <w:ind w:left="5760" w:hanging="360"/>
      </w:pPr>
    </w:lvl>
    <w:lvl w:ilvl="8" w:tplc="3BCE9BE8">
      <w:start w:val="1"/>
      <w:numFmt w:val="decimal"/>
      <w:lvlText w:val="%9."/>
      <w:lvlJc w:val="left"/>
      <w:pPr>
        <w:tabs>
          <w:tab w:val="num" w:pos="6480"/>
        </w:tabs>
        <w:ind w:left="6480" w:hanging="360"/>
      </w:p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F788C"/>
    <w:multiLevelType w:val="multilevel"/>
    <w:tmpl w:val="B9F2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032B0F"/>
    <w:multiLevelType w:val="multilevel"/>
    <w:tmpl w:val="3332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tplc="E5AA2AAE">
        <w:start w:val="3"/>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51E8"/>
    <w:rsid w:val="0001079D"/>
    <w:rsid w:val="00015C6E"/>
    <w:rsid w:val="00017054"/>
    <w:rsid w:val="000222E7"/>
    <w:rsid w:val="000222F6"/>
    <w:rsid w:val="00026D9A"/>
    <w:rsid w:val="00032200"/>
    <w:rsid w:val="00037330"/>
    <w:rsid w:val="0007380F"/>
    <w:rsid w:val="00074005"/>
    <w:rsid w:val="000744C3"/>
    <w:rsid w:val="0008457A"/>
    <w:rsid w:val="0009138F"/>
    <w:rsid w:val="0009754B"/>
    <w:rsid w:val="000A3195"/>
    <w:rsid w:val="000B4750"/>
    <w:rsid w:val="000D03FD"/>
    <w:rsid w:val="000D06D6"/>
    <w:rsid w:val="00104D76"/>
    <w:rsid w:val="00106DEE"/>
    <w:rsid w:val="00123475"/>
    <w:rsid w:val="00124DAE"/>
    <w:rsid w:val="00134A2E"/>
    <w:rsid w:val="00146154"/>
    <w:rsid w:val="00152F0C"/>
    <w:rsid w:val="00153E76"/>
    <w:rsid w:val="00154D2E"/>
    <w:rsid w:val="0017541D"/>
    <w:rsid w:val="001A3A7E"/>
    <w:rsid w:val="001A47E5"/>
    <w:rsid w:val="001A4EE1"/>
    <w:rsid w:val="001B6FB2"/>
    <w:rsid w:val="001C54E1"/>
    <w:rsid w:val="001C6F6C"/>
    <w:rsid w:val="001C779E"/>
    <w:rsid w:val="001D1AB9"/>
    <w:rsid w:val="001E0568"/>
    <w:rsid w:val="001E11A7"/>
    <w:rsid w:val="001E15A3"/>
    <w:rsid w:val="001E1665"/>
    <w:rsid w:val="001F33F4"/>
    <w:rsid w:val="00200B8F"/>
    <w:rsid w:val="00255FC6"/>
    <w:rsid w:val="00273E23"/>
    <w:rsid w:val="00276889"/>
    <w:rsid w:val="00285A9C"/>
    <w:rsid w:val="002B0ECE"/>
    <w:rsid w:val="002B6A81"/>
    <w:rsid w:val="002C5025"/>
    <w:rsid w:val="002D5314"/>
    <w:rsid w:val="002E39E4"/>
    <w:rsid w:val="002F24C7"/>
    <w:rsid w:val="002F50F6"/>
    <w:rsid w:val="002F6553"/>
    <w:rsid w:val="003011BD"/>
    <w:rsid w:val="0030227A"/>
    <w:rsid w:val="00303661"/>
    <w:rsid w:val="0030433E"/>
    <w:rsid w:val="0031213B"/>
    <w:rsid w:val="00323067"/>
    <w:rsid w:val="003366B3"/>
    <w:rsid w:val="00375DDC"/>
    <w:rsid w:val="00376A97"/>
    <w:rsid w:val="00377D6F"/>
    <w:rsid w:val="00383647"/>
    <w:rsid w:val="0038642F"/>
    <w:rsid w:val="003A633E"/>
    <w:rsid w:val="003B13CA"/>
    <w:rsid w:val="003B4EF1"/>
    <w:rsid w:val="003E3E27"/>
    <w:rsid w:val="00401CAB"/>
    <w:rsid w:val="004269FC"/>
    <w:rsid w:val="00435D53"/>
    <w:rsid w:val="0044169F"/>
    <w:rsid w:val="00444869"/>
    <w:rsid w:val="00445AB5"/>
    <w:rsid w:val="00453104"/>
    <w:rsid w:val="00455BBC"/>
    <w:rsid w:val="00457840"/>
    <w:rsid w:val="00466CAD"/>
    <w:rsid w:val="00467DA6"/>
    <w:rsid w:val="00471E48"/>
    <w:rsid w:val="0048558F"/>
    <w:rsid w:val="00496E7B"/>
    <w:rsid w:val="004A605C"/>
    <w:rsid w:val="004D58C1"/>
    <w:rsid w:val="004E03C7"/>
    <w:rsid w:val="004E5205"/>
    <w:rsid w:val="004E5CF9"/>
    <w:rsid w:val="004F3A38"/>
    <w:rsid w:val="004F5467"/>
    <w:rsid w:val="0050006A"/>
    <w:rsid w:val="00505E87"/>
    <w:rsid w:val="00535B60"/>
    <w:rsid w:val="005361B4"/>
    <w:rsid w:val="00561341"/>
    <w:rsid w:val="0056296A"/>
    <w:rsid w:val="00566964"/>
    <w:rsid w:val="0056711F"/>
    <w:rsid w:val="005765D4"/>
    <w:rsid w:val="005774F0"/>
    <w:rsid w:val="0059501B"/>
    <w:rsid w:val="005A196C"/>
    <w:rsid w:val="005A1FB5"/>
    <w:rsid w:val="005A7F16"/>
    <w:rsid w:val="005B1E5F"/>
    <w:rsid w:val="005B28FC"/>
    <w:rsid w:val="005C1749"/>
    <w:rsid w:val="005D21E1"/>
    <w:rsid w:val="005E17C7"/>
    <w:rsid w:val="005E686A"/>
    <w:rsid w:val="006045AB"/>
    <w:rsid w:val="00644B57"/>
    <w:rsid w:val="00650D61"/>
    <w:rsid w:val="00652228"/>
    <w:rsid w:val="00655D8F"/>
    <w:rsid w:val="00656778"/>
    <w:rsid w:val="006647E4"/>
    <w:rsid w:val="00673F9E"/>
    <w:rsid w:val="00674BC9"/>
    <w:rsid w:val="0067514B"/>
    <w:rsid w:val="0067585E"/>
    <w:rsid w:val="00680B3A"/>
    <w:rsid w:val="00684760"/>
    <w:rsid w:val="00687093"/>
    <w:rsid w:val="00687276"/>
    <w:rsid w:val="006878E8"/>
    <w:rsid w:val="006A1424"/>
    <w:rsid w:val="006B1C8A"/>
    <w:rsid w:val="006C72DE"/>
    <w:rsid w:val="006E32CA"/>
    <w:rsid w:val="006F32D9"/>
    <w:rsid w:val="006F41B2"/>
    <w:rsid w:val="00710601"/>
    <w:rsid w:val="007323A5"/>
    <w:rsid w:val="0074259E"/>
    <w:rsid w:val="0075513B"/>
    <w:rsid w:val="0076337B"/>
    <w:rsid w:val="00770CF0"/>
    <w:rsid w:val="007952E4"/>
    <w:rsid w:val="007A3DF8"/>
    <w:rsid w:val="007A48FE"/>
    <w:rsid w:val="007B7C57"/>
    <w:rsid w:val="007C771A"/>
    <w:rsid w:val="007D4371"/>
    <w:rsid w:val="007D4761"/>
    <w:rsid w:val="007D5ED2"/>
    <w:rsid w:val="007F143F"/>
    <w:rsid w:val="007F4AEE"/>
    <w:rsid w:val="00801B78"/>
    <w:rsid w:val="00802B47"/>
    <w:rsid w:val="00805323"/>
    <w:rsid w:val="00817718"/>
    <w:rsid w:val="00820392"/>
    <w:rsid w:val="00831B94"/>
    <w:rsid w:val="00832C18"/>
    <w:rsid w:val="00834986"/>
    <w:rsid w:val="00835D4F"/>
    <w:rsid w:val="00837E19"/>
    <w:rsid w:val="00844B67"/>
    <w:rsid w:val="00844D94"/>
    <w:rsid w:val="008565E0"/>
    <w:rsid w:val="00880411"/>
    <w:rsid w:val="00882334"/>
    <w:rsid w:val="00886000"/>
    <w:rsid w:val="00892055"/>
    <w:rsid w:val="008970E9"/>
    <w:rsid w:val="008B21BB"/>
    <w:rsid w:val="008B36D2"/>
    <w:rsid w:val="008C34CE"/>
    <w:rsid w:val="008D45DA"/>
    <w:rsid w:val="008D564C"/>
    <w:rsid w:val="008E5218"/>
    <w:rsid w:val="00917EC7"/>
    <w:rsid w:val="009827DD"/>
    <w:rsid w:val="009853E8"/>
    <w:rsid w:val="00990F1F"/>
    <w:rsid w:val="009C2E1F"/>
    <w:rsid w:val="009C4B46"/>
    <w:rsid w:val="009D5879"/>
    <w:rsid w:val="009E3F91"/>
    <w:rsid w:val="009E69FE"/>
    <w:rsid w:val="00A173AB"/>
    <w:rsid w:val="00A20BCD"/>
    <w:rsid w:val="00A349B1"/>
    <w:rsid w:val="00A40D87"/>
    <w:rsid w:val="00A44D47"/>
    <w:rsid w:val="00A459D4"/>
    <w:rsid w:val="00A4792D"/>
    <w:rsid w:val="00A479FB"/>
    <w:rsid w:val="00A76AFC"/>
    <w:rsid w:val="00A809DF"/>
    <w:rsid w:val="00A81D31"/>
    <w:rsid w:val="00A833BA"/>
    <w:rsid w:val="00AB2E11"/>
    <w:rsid w:val="00AB3FCA"/>
    <w:rsid w:val="00AD7505"/>
    <w:rsid w:val="00AE7402"/>
    <w:rsid w:val="00AF2FD9"/>
    <w:rsid w:val="00AF442C"/>
    <w:rsid w:val="00B01B28"/>
    <w:rsid w:val="00B076BB"/>
    <w:rsid w:val="00B10BAC"/>
    <w:rsid w:val="00B12723"/>
    <w:rsid w:val="00B37A1C"/>
    <w:rsid w:val="00B47082"/>
    <w:rsid w:val="00B8050D"/>
    <w:rsid w:val="00B81EF9"/>
    <w:rsid w:val="00B9009F"/>
    <w:rsid w:val="00B95043"/>
    <w:rsid w:val="00BB4B4B"/>
    <w:rsid w:val="00BE715B"/>
    <w:rsid w:val="00C10585"/>
    <w:rsid w:val="00C56E27"/>
    <w:rsid w:val="00C66BE0"/>
    <w:rsid w:val="00C72245"/>
    <w:rsid w:val="00C77B1E"/>
    <w:rsid w:val="00C9107F"/>
    <w:rsid w:val="00C9534F"/>
    <w:rsid w:val="00CB54AB"/>
    <w:rsid w:val="00CB65BF"/>
    <w:rsid w:val="00CC0B65"/>
    <w:rsid w:val="00CC424B"/>
    <w:rsid w:val="00CC54F9"/>
    <w:rsid w:val="00CD7411"/>
    <w:rsid w:val="00CE1BFE"/>
    <w:rsid w:val="00CF03AD"/>
    <w:rsid w:val="00CF06D2"/>
    <w:rsid w:val="00CF0E52"/>
    <w:rsid w:val="00CF4B67"/>
    <w:rsid w:val="00CF576E"/>
    <w:rsid w:val="00D010B0"/>
    <w:rsid w:val="00D04F64"/>
    <w:rsid w:val="00D11885"/>
    <w:rsid w:val="00D11B61"/>
    <w:rsid w:val="00D14BA9"/>
    <w:rsid w:val="00D17E97"/>
    <w:rsid w:val="00D24934"/>
    <w:rsid w:val="00D25431"/>
    <w:rsid w:val="00D34F07"/>
    <w:rsid w:val="00D354B2"/>
    <w:rsid w:val="00D46C15"/>
    <w:rsid w:val="00D62050"/>
    <w:rsid w:val="00D64C3E"/>
    <w:rsid w:val="00D66074"/>
    <w:rsid w:val="00D908A9"/>
    <w:rsid w:val="00DC075D"/>
    <w:rsid w:val="00DD0733"/>
    <w:rsid w:val="00DD4695"/>
    <w:rsid w:val="00DD5704"/>
    <w:rsid w:val="00DE65A5"/>
    <w:rsid w:val="00DE6635"/>
    <w:rsid w:val="00DE71AB"/>
    <w:rsid w:val="00E0069B"/>
    <w:rsid w:val="00E07BB4"/>
    <w:rsid w:val="00E175C2"/>
    <w:rsid w:val="00E22909"/>
    <w:rsid w:val="00E41E21"/>
    <w:rsid w:val="00E51801"/>
    <w:rsid w:val="00E53522"/>
    <w:rsid w:val="00E910E7"/>
    <w:rsid w:val="00E92C99"/>
    <w:rsid w:val="00EA1E9A"/>
    <w:rsid w:val="00EA6CFA"/>
    <w:rsid w:val="00EB050F"/>
    <w:rsid w:val="00EB72DE"/>
    <w:rsid w:val="00EC0C2D"/>
    <w:rsid w:val="00EC3FF8"/>
    <w:rsid w:val="00ED3B30"/>
    <w:rsid w:val="00ED782D"/>
    <w:rsid w:val="00EE2AA6"/>
    <w:rsid w:val="00F012C4"/>
    <w:rsid w:val="00F01C01"/>
    <w:rsid w:val="00F16BA3"/>
    <w:rsid w:val="00F24423"/>
    <w:rsid w:val="00F6102B"/>
    <w:rsid w:val="00F61AFC"/>
    <w:rsid w:val="00F74765"/>
    <w:rsid w:val="00F779B2"/>
    <w:rsid w:val="00F81AD5"/>
    <w:rsid w:val="00F82DB8"/>
    <w:rsid w:val="00F92115"/>
    <w:rsid w:val="00FA50D4"/>
    <w:rsid w:val="00FB0124"/>
    <w:rsid w:val="00FB2D55"/>
    <w:rsid w:val="00FB3ED1"/>
    <w:rsid w:val="00FC5E0E"/>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08CD94-9BEE-4CF7-8126-FCFD9A82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FF8"/>
    <w:pPr>
      <w:spacing w:line="240" w:lineRule="auto"/>
    </w:pPr>
    <w:rPr>
      <w:rFonts w:ascii="Times New Roman" w:eastAsia="Calibri" w:hAnsi="Times New Roman"/>
      <w:sz w:val="24"/>
    </w:rPr>
  </w:style>
  <w:style w:type="character" w:styleId="CommentReference">
    <w:name w:val="annotation reference"/>
    <w:rsid w:val="001D1AB9"/>
    <w:rPr>
      <w:sz w:val="16"/>
      <w:szCs w:val="16"/>
    </w:rPr>
  </w:style>
  <w:style w:type="paragraph" w:styleId="CommentSubject">
    <w:name w:val="annotation subject"/>
    <w:basedOn w:val="CommentText"/>
    <w:next w:val="CommentText"/>
    <w:link w:val="CommentSubjectChar"/>
    <w:rsid w:val="001D1AB9"/>
    <w:rPr>
      <w:b/>
      <w:bCs/>
      <w:sz w:val="20"/>
    </w:rPr>
  </w:style>
  <w:style w:type="character" w:customStyle="1" w:styleId="CommentTextChar">
    <w:name w:val="Comment Text Char"/>
    <w:link w:val="CommentText"/>
    <w:semiHidden/>
    <w:rsid w:val="001D1AB9"/>
    <w:rPr>
      <w:rFonts w:ascii="Arial" w:hAnsi="Arial"/>
      <w:sz w:val="22"/>
    </w:rPr>
  </w:style>
  <w:style w:type="character" w:customStyle="1" w:styleId="CommentSubjectChar">
    <w:name w:val="Comment Subject Char"/>
    <w:link w:val="CommentSubject"/>
    <w:rsid w:val="001D1AB9"/>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345">
      <w:bodyDiv w:val="1"/>
      <w:marLeft w:val="0"/>
      <w:marRight w:val="0"/>
      <w:marTop w:val="0"/>
      <w:marBottom w:val="0"/>
      <w:divBdr>
        <w:top w:val="none" w:sz="0" w:space="0" w:color="auto"/>
        <w:left w:val="none" w:sz="0" w:space="0" w:color="auto"/>
        <w:bottom w:val="none" w:sz="0" w:space="0" w:color="auto"/>
        <w:right w:val="none" w:sz="0" w:space="0" w:color="auto"/>
      </w:divBdr>
    </w:div>
    <w:div w:id="809401666">
      <w:bodyDiv w:val="1"/>
      <w:marLeft w:val="0"/>
      <w:marRight w:val="0"/>
      <w:marTop w:val="0"/>
      <w:marBottom w:val="0"/>
      <w:divBdr>
        <w:top w:val="none" w:sz="0" w:space="0" w:color="auto"/>
        <w:left w:val="none" w:sz="0" w:space="0" w:color="auto"/>
        <w:bottom w:val="none" w:sz="0" w:space="0" w:color="auto"/>
        <w:right w:val="none" w:sz="0" w:space="0" w:color="auto"/>
      </w:divBdr>
    </w:div>
    <w:div w:id="861628582">
      <w:bodyDiv w:val="1"/>
      <w:marLeft w:val="0"/>
      <w:marRight w:val="0"/>
      <w:marTop w:val="0"/>
      <w:marBottom w:val="0"/>
      <w:divBdr>
        <w:top w:val="none" w:sz="0" w:space="0" w:color="auto"/>
        <w:left w:val="none" w:sz="0" w:space="0" w:color="auto"/>
        <w:bottom w:val="none" w:sz="0" w:space="0" w:color="auto"/>
        <w:right w:val="none" w:sz="0" w:space="0" w:color="auto"/>
      </w:divBdr>
    </w:div>
    <w:div w:id="943877166">
      <w:bodyDiv w:val="1"/>
      <w:marLeft w:val="0"/>
      <w:marRight w:val="0"/>
      <w:marTop w:val="0"/>
      <w:marBottom w:val="0"/>
      <w:divBdr>
        <w:top w:val="none" w:sz="0" w:space="0" w:color="auto"/>
        <w:left w:val="none" w:sz="0" w:space="0" w:color="auto"/>
        <w:bottom w:val="none" w:sz="0" w:space="0" w:color="auto"/>
        <w:right w:val="none" w:sz="0" w:space="0" w:color="auto"/>
      </w:divBdr>
    </w:div>
    <w:div w:id="1566866560">
      <w:bodyDiv w:val="1"/>
      <w:marLeft w:val="0"/>
      <w:marRight w:val="0"/>
      <w:marTop w:val="0"/>
      <w:marBottom w:val="0"/>
      <w:divBdr>
        <w:top w:val="none" w:sz="0" w:space="0" w:color="auto"/>
        <w:left w:val="none" w:sz="0" w:space="0" w:color="auto"/>
        <w:bottom w:val="none" w:sz="0" w:space="0" w:color="auto"/>
        <w:right w:val="none" w:sz="0" w:space="0" w:color="auto"/>
      </w:divBdr>
    </w:div>
    <w:div w:id="1798647786">
      <w:bodyDiv w:val="1"/>
      <w:marLeft w:val="0"/>
      <w:marRight w:val="0"/>
      <w:marTop w:val="0"/>
      <w:marBottom w:val="0"/>
      <w:divBdr>
        <w:top w:val="none" w:sz="0" w:space="0" w:color="auto"/>
        <w:left w:val="none" w:sz="0" w:space="0" w:color="auto"/>
        <w:bottom w:val="none" w:sz="0" w:space="0" w:color="auto"/>
        <w:right w:val="none" w:sz="0" w:space="0" w:color="auto"/>
      </w:divBdr>
    </w:div>
    <w:div w:id="1803420353">
      <w:bodyDiv w:val="1"/>
      <w:marLeft w:val="0"/>
      <w:marRight w:val="0"/>
      <w:marTop w:val="0"/>
      <w:marBottom w:val="0"/>
      <w:divBdr>
        <w:top w:val="none" w:sz="0" w:space="0" w:color="auto"/>
        <w:left w:val="none" w:sz="0" w:space="0" w:color="auto"/>
        <w:bottom w:val="none" w:sz="0" w:space="0" w:color="auto"/>
        <w:right w:val="none" w:sz="0" w:space="0" w:color="auto"/>
      </w:divBdr>
    </w:div>
    <w:div w:id="1819030888">
      <w:bodyDiv w:val="1"/>
      <w:marLeft w:val="0"/>
      <w:marRight w:val="0"/>
      <w:marTop w:val="0"/>
      <w:marBottom w:val="0"/>
      <w:divBdr>
        <w:top w:val="none" w:sz="0" w:space="0" w:color="auto"/>
        <w:left w:val="none" w:sz="0" w:space="0" w:color="auto"/>
        <w:bottom w:val="none" w:sz="0" w:space="0" w:color="auto"/>
        <w:right w:val="none" w:sz="0" w:space="0" w:color="auto"/>
      </w:divBdr>
    </w:div>
    <w:div w:id="21378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51B0-ACCA-4D75-AF2C-26B6C8F2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FOI 111649 - Staff at HMP Leeds who on medical retirement &amp; compensation payment</vt:lpstr>
    </vt:vector>
  </TitlesOfParts>
  <Manager>Ministry of Justice</Manager>
  <Company>Ministry of Justice</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111649 - Staff at HMP Leeds who on medical retirement &amp; compensation payment</dc:title>
  <dc:subject>FOI Release</dc:subject>
  <dc:creator>Cox, Allan</dc:creator>
  <cp:keywords/>
  <dc:description>Staff at HMP Leeds who left on Medical Retirement &amp; Compensation Payments</dc:description>
  <cp:lastModifiedBy>Cox, Allan</cp:lastModifiedBy>
  <cp:revision>2</cp:revision>
  <cp:lastPrinted>2015-07-06T10:35:00Z</cp:lastPrinted>
  <dcterms:created xsi:type="dcterms:W3CDTF">2017-08-24T11:07:00Z</dcterms:created>
  <dcterms:modified xsi:type="dcterms:W3CDTF">2017-08-24T11:07:00Z</dcterms:modified>
  <cp:category/>
</cp:coreProperties>
</file>