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Default="00AF6F11" w:rsidP="00CF776B">
            <w:pPr>
              <w:rPr>
                <w:rFonts w:ascii="Arial" w:hAnsi="Arial"/>
                <w:sz w:val="22"/>
                <w:szCs w:val="22"/>
              </w:rPr>
            </w:pPr>
            <w:r w:rsidRPr="00657BE7">
              <w:rPr>
                <w:rFonts w:ascii="Arial" w:hAnsi="Arial"/>
                <w:color w:val="000000"/>
                <w:sz w:val="22"/>
                <w:szCs w:val="22"/>
              </w:rPr>
              <w:t xml:space="preserve">   </w:t>
            </w:r>
            <w:r w:rsidR="004C4FA4" w:rsidRPr="00657BE7">
              <w:rPr>
                <w:rFonts w:ascii="Arial" w:hAnsi="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DD229C" w:rsidRDefault="00DD229C" w:rsidP="00CF776B">
            <w:pPr>
              <w:rPr>
                <w:rFonts w:ascii="Arial" w:hAnsi="Arial"/>
                <w:sz w:val="22"/>
                <w:szCs w:val="22"/>
              </w:rPr>
            </w:pPr>
          </w:p>
          <w:p w:rsidR="004C4FA4" w:rsidRPr="00657BE7" w:rsidRDefault="00DD229C" w:rsidP="004C4FA4">
            <w:pPr>
              <w:rPr>
                <w:rFonts w:ascii="Arial" w:hAnsi="Arial"/>
                <w:color w:val="000000"/>
                <w:sz w:val="22"/>
                <w:szCs w:val="22"/>
              </w:rPr>
            </w:pPr>
            <w:r>
              <w:rPr>
                <w:rFonts w:ascii="Arial" w:hAnsi="Arial"/>
                <w:color w:val="000000"/>
                <w:sz w:val="22"/>
                <w:szCs w:val="22"/>
              </w:rPr>
              <w:t xml:space="preserve">                   </w:t>
            </w:r>
            <w:r w:rsidR="00732EE2">
              <w:rPr>
                <w:rFonts w:ascii="Arial" w:hAnsi="Arial"/>
                <w:color w:val="000000"/>
                <w:sz w:val="22"/>
                <w:szCs w:val="22"/>
              </w:rPr>
              <w:t xml:space="preserve"> </w:t>
            </w:r>
          </w:p>
          <w:p w:rsidR="00732EE2" w:rsidRPr="00657BE7" w:rsidRDefault="00732EE2" w:rsidP="00F10318">
            <w:pPr>
              <w:rPr>
                <w:rFonts w:ascii="Arial" w:hAnsi="Arial"/>
                <w:color w:val="000000"/>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Pr="00C76F14" w:rsidRDefault="00C76F14" w:rsidP="00C76F14">
            <w:pPr>
              <w:spacing w:line="200" w:lineRule="atLeast"/>
              <w:ind w:left="284"/>
              <w:rPr>
                <w:rFonts w:ascii="Arial" w:hAnsi="Arial"/>
                <w:color w:val="0000CC"/>
                <w:sz w:val="22"/>
                <w:szCs w:val="22"/>
              </w:rPr>
            </w:pPr>
          </w:p>
          <w:p w:rsidR="007364F9" w:rsidRPr="000759CA" w:rsidRDefault="001B1B34" w:rsidP="00894F95">
            <w:pPr>
              <w:tabs>
                <w:tab w:val="left" w:pos="170"/>
              </w:tabs>
              <w:rPr>
                <w:rFonts w:ascii="Arial" w:hAnsi="Arial"/>
                <w:sz w:val="22"/>
                <w:szCs w:val="22"/>
              </w:rPr>
            </w:pPr>
            <w:r>
              <w:rPr>
                <w:rFonts w:ascii="Arial" w:hAnsi="Arial"/>
                <w:sz w:val="22"/>
                <w:szCs w:val="22"/>
              </w:rPr>
              <w:t>May</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Default="00AF6F11" w:rsidP="00CF776B">
            <w:pPr>
              <w:pStyle w:val="MOJtext-otheraddress"/>
              <w:rPr>
                <w:color w:val="000000"/>
                <w:sz w:val="22"/>
                <w:szCs w:val="22"/>
              </w:rPr>
            </w:pPr>
          </w:p>
          <w:p w:rsidR="00DD229C" w:rsidRDefault="00DD229C" w:rsidP="00DD229C">
            <w:pPr>
              <w:rPr>
                <w:lang w:eastAsia="en-US"/>
              </w:rPr>
            </w:pPr>
          </w:p>
          <w:p w:rsidR="00DD229C" w:rsidRPr="00DD229C" w:rsidRDefault="00DD229C" w:rsidP="00DD229C">
            <w:pPr>
              <w:rPr>
                <w:lang w:eastAsia="en-US"/>
              </w:rPr>
            </w:pPr>
          </w:p>
        </w:tc>
        <w:tc>
          <w:tcPr>
            <w:tcW w:w="5400" w:type="dxa"/>
          </w:tcPr>
          <w:p w:rsidR="006753BE" w:rsidRDefault="006753BE" w:rsidP="0083092D">
            <w:pPr>
              <w:spacing w:line="280" w:lineRule="atLeast"/>
              <w:rPr>
                <w:rFonts w:ascii="Arial" w:hAnsi="Arial" w:cs="Arial"/>
                <w:sz w:val="22"/>
                <w:szCs w:val="22"/>
              </w:rPr>
            </w:pPr>
            <w:bookmarkStart w:id="0" w:name="OLE_LINK1"/>
            <w:bookmarkStart w:id="1" w:name="OLE_LINK2"/>
          </w:p>
          <w:p w:rsidR="00DD229C" w:rsidRDefault="00DD229C" w:rsidP="0083092D">
            <w:pPr>
              <w:spacing w:line="280" w:lineRule="atLeast"/>
              <w:rPr>
                <w:rFonts w:ascii="Arial" w:hAnsi="Arial" w:cs="Arial"/>
                <w:sz w:val="22"/>
                <w:szCs w:val="22"/>
              </w:rPr>
            </w:pPr>
          </w:p>
          <w:bookmarkEnd w:id="0"/>
          <w:bookmarkEnd w:id="1"/>
          <w:p w:rsidR="00F65300" w:rsidRPr="00F65300" w:rsidRDefault="00F65300" w:rsidP="00B212C3">
            <w:pPr>
              <w:spacing w:line="280" w:lineRule="atLeast"/>
              <w:rPr>
                <w:rFonts w:ascii="Arial" w:hAnsi="Arial" w:cs="Arial"/>
                <w:sz w:val="22"/>
                <w:szCs w:val="22"/>
                <w:lang w:val="en-US"/>
              </w:rPr>
            </w:pPr>
          </w:p>
          <w:p w:rsidR="000B7073" w:rsidRPr="00657BE7" w:rsidRDefault="000B7073" w:rsidP="004C4FA4">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222F03">
        <w:rPr>
          <w:rFonts w:ascii="Arial" w:hAnsi="Arial" w:cs="Arial"/>
          <w:b/>
          <w:sz w:val="22"/>
          <w:szCs w:val="22"/>
        </w:rPr>
        <w:t>11525</w:t>
      </w:r>
    </w:p>
    <w:p w:rsidR="0081625B" w:rsidRDefault="0081625B" w:rsidP="0081625B">
      <w:pPr>
        <w:rPr>
          <w:rFonts w:ascii="Arial" w:hAnsi="Arial" w:cs="Arial"/>
          <w:sz w:val="22"/>
          <w:szCs w:val="22"/>
        </w:rPr>
      </w:pPr>
    </w:p>
    <w:p w:rsidR="00B02E2B" w:rsidRDefault="004C4FA4"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781105" w:rsidRDefault="00781105" w:rsidP="00E20B05">
      <w:pPr>
        <w:rPr>
          <w:rFonts w:ascii="Arial" w:hAnsi="Arial" w:cs="Arial"/>
          <w:sz w:val="22"/>
          <w:szCs w:val="22"/>
        </w:rPr>
      </w:pPr>
    </w:p>
    <w:p w:rsidR="00781105" w:rsidRDefault="00781105" w:rsidP="00781105">
      <w:pPr>
        <w:rPr>
          <w:rFonts w:ascii="Arial" w:hAnsi="Arial" w:cs="Arial"/>
          <w:b/>
          <w:sz w:val="22"/>
          <w:szCs w:val="22"/>
        </w:rPr>
      </w:pPr>
      <w:r w:rsidRPr="00781105">
        <w:rPr>
          <w:rFonts w:ascii="Arial" w:hAnsi="Arial" w:cs="Arial"/>
          <w:b/>
          <w:sz w:val="22"/>
          <w:szCs w:val="22"/>
        </w:rPr>
        <w:t>Last year you provided me with a response to the following FoI question [Ref: 209-15 FOI 97099]</w:t>
      </w:r>
    </w:p>
    <w:p w:rsidR="00781105" w:rsidRPr="00781105" w:rsidRDefault="00781105" w:rsidP="00781105">
      <w:pPr>
        <w:rPr>
          <w:rFonts w:ascii="Arial" w:hAnsi="Arial" w:cs="Arial"/>
          <w:b/>
          <w:sz w:val="22"/>
          <w:szCs w:val="22"/>
        </w:rPr>
      </w:pPr>
    </w:p>
    <w:p w:rsidR="00781105" w:rsidRPr="000124F6" w:rsidRDefault="00781105" w:rsidP="000124F6">
      <w:pPr>
        <w:rPr>
          <w:rFonts w:ascii="Arial" w:hAnsi="Arial" w:cs="Arial"/>
          <w:b/>
          <w:sz w:val="22"/>
          <w:szCs w:val="22"/>
        </w:rPr>
      </w:pPr>
      <w:r w:rsidRPr="000124F6">
        <w:rPr>
          <w:rFonts w:ascii="Arial" w:hAnsi="Arial" w:cs="Arial"/>
          <w:b/>
          <w:sz w:val="22"/>
          <w:szCs w:val="22"/>
        </w:rPr>
        <w:t xml:space="preserve">For each calendar year from 2004 to 2013 inclusive please state (i) how many people were found guilty at all courts of offences relating to drink/drug driving? (ii) How many of these people were men and (iii) how many were women? (iv) </w:t>
      </w:r>
      <w:r w:rsidR="0052698E" w:rsidRPr="000124F6">
        <w:rPr>
          <w:rFonts w:ascii="Arial" w:hAnsi="Arial" w:cs="Arial"/>
          <w:b/>
          <w:sz w:val="22"/>
          <w:szCs w:val="22"/>
        </w:rPr>
        <w:t>h</w:t>
      </w:r>
      <w:r w:rsidRPr="000124F6">
        <w:rPr>
          <w:rFonts w:ascii="Arial" w:hAnsi="Arial" w:cs="Arial"/>
          <w:b/>
          <w:sz w:val="22"/>
          <w:szCs w:val="22"/>
        </w:rPr>
        <w:t>ow many of these people were aged (17-19), (20-59) (60-64) (65-69) and (70 and over)?</w:t>
      </w:r>
    </w:p>
    <w:p w:rsidR="00781105" w:rsidRPr="00781105" w:rsidRDefault="00781105" w:rsidP="00781105">
      <w:pPr>
        <w:ind w:left="360"/>
        <w:rPr>
          <w:rFonts w:ascii="Arial" w:hAnsi="Arial" w:cs="Arial"/>
          <w:b/>
          <w:sz w:val="22"/>
          <w:szCs w:val="22"/>
        </w:rPr>
      </w:pPr>
    </w:p>
    <w:p w:rsidR="00781105" w:rsidRPr="00781105" w:rsidRDefault="00781105" w:rsidP="00781105">
      <w:pPr>
        <w:rPr>
          <w:rFonts w:ascii="Arial" w:hAnsi="Arial" w:cs="Arial"/>
          <w:b/>
          <w:sz w:val="22"/>
          <w:szCs w:val="22"/>
        </w:rPr>
      </w:pPr>
      <w:r w:rsidRPr="00781105">
        <w:rPr>
          <w:rFonts w:ascii="Arial" w:hAnsi="Arial" w:cs="Arial"/>
          <w:b/>
          <w:sz w:val="22"/>
          <w:szCs w:val="22"/>
        </w:rPr>
        <w:t>Could you now provide me with comparable figures on the same basis for the 2014, 2015 calendar year and the 2016 calendar year if it is available</w:t>
      </w:r>
    </w:p>
    <w:p w:rsidR="009B7FD5" w:rsidRDefault="009B7FD5" w:rsidP="00E20B05">
      <w:pPr>
        <w:rPr>
          <w:rFonts w:ascii="Arial" w:hAnsi="Arial" w:cs="Arial"/>
          <w:sz w:val="22"/>
          <w:szCs w:val="22"/>
        </w:rPr>
      </w:pPr>
    </w:p>
    <w:p w:rsidR="000124F6" w:rsidRDefault="000124F6" w:rsidP="005923A0">
      <w:pPr>
        <w:rPr>
          <w:rFonts w:ascii="Arial" w:hAnsi="Arial" w:cs="Arial"/>
          <w:sz w:val="22"/>
          <w:szCs w:val="22"/>
        </w:rPr>
      </w:pPr>
      <w:r>
        <w:rPr>
          <w:rFonts w:ascii="Arial" w:hAnsi="Arial" w:cs="Arial"/>
          <w:sz w:val="22"/>
          <w:szCs w:val="22"/>
        </w:rPr>
        <w:t xml:space="preserve">Yours request has been handled under the FOIA. </w:t>
      </w:r>
    </w:p>
    <w:p w:rsidR="000124F6" w:rsidRDefault="000124F6" w:rsidP="005923A0">
      <w:pPr>
        <w:rPr>
          <w:rFonts w:ascii="Arial" w:hAnsi="Arial" w:cs="Arial"/>
          <w:sz w:val="22"/>
          <w:szCs w:val="22"/>
        </w:rPr>
      </w:pPr>
    </w:p>
    <w:p w:rsidR="00D311B8" w:rsidRPr="00D767AB" w:rsidRDefault="005923A0" w:rsidP="000124F6">
      <w:pPr>
        <w:rPr>
          <w:rFonts w:ascii="Arial" w:hAnsi="Arial" w:cs="Arial"/>
          <w:sz w:val="22"/>
          <w:szCs w:val="22"/>
        </w:rPr>
      </w:pPr>
      <w:r>
        <w:rPr>
          <w:rFonts w:ascii="Arial" w:hAnsi="Arial" w:cs="Arial"/>
          <w:sz w:val="22"/>
          <w:szCs w:val="22"/>
        </w:rPr>
        <w:t>I can confirm that the department holds the infor</w:t>
      </w:r>
      <w:r w:rsidR="00E20B05">
        <w:rPr>
          <w:rFonts w:ascii="Arial" w:hAnsi="Arial" w:cs="Arial"/>
          <w:sz w:val="22"/>
          <w:szCs w:val="22"/>
        </w:rPr>
        <w:t>mation that you have asked for</w:t>
      </w:r>
      <w:r w:rsidR="000124F6">
        <w:rPr>
          <w:rFonts w:ascii="Arial" w:hAnsi="Arial" w:cs="Arial"/>
          <w:sz w:val="22"/>
          <w:szCs w:val="22"/>
        </w:rPr>
        <w:t>. The attached spreadsheet provides details of o</w:t>
      </w:r>
      <w:r w:rsidR="00B86E13">
        <w:rPr>
          <w:rFonts w:ascii="Arial" w:hAnsi="Arial" w:cs="Arial"/>
          <w:bCs/>
          <w:sz w:val="22"/>
          <w:szCs w:val="22"/>
        </w:rPr>
        <w:t>ffender</w:t>
      </w:r>
      <w:r w:rsidR="000124F6">
        <w:rPr>
          <w:rFonts w:ascii="Arial" w:hAnsi="Arial" w:cs="Arial"/>
          <w:bCs/>
          <w:sz w:val="22"/>
          <w:szCs w:val="22"/>
        </w:rPr>
        <w:t>s</w:t>
      </w:r>
      <w:r w:rsidR="00B86E13">
        <w:rPr>
          <w:rFonts w:ascii="Arial" w:hAnsi="Arial" w:cs="Arial"/>
          <w:bCs/>
          <w:sz w:val="22"/>
          <w:szCs w:val="22"/>
        </w:rPr>
        <w:t xml:space="preserve"> found guilty at</w:t>
      </w:r>
      <w:r w:rsidR="002624C5" w:rsidRPr="00D767AB">
        <w:rPr>
          <w:rFonts w:ascii="Arial" w:hAnsi="Arial" w:cs="Arial"/>
          <w:bCs/>
          <w:sz w:val="22"/>
          <w:szCs w:val="22"/>
        </w:rPr>
        <w:t xml:space="preserve"> all courts of </w:t>
      </w:r>
      <w:r w:rsidR="00B86E13">
        <w:rPr>
          <w:rFonts w:ascii="Arial" w:hAnsi="Arial" w:cs="Arial"/>
          <w:bCs/>
          <w:sz w:val="22"/>
          <w:szCs w:val="22"/>
        </w:rPr>
        <w:t>offences related to drink driving by age group</w:t>
      </w:r>
      <w:r w:rsidR="00B01DDD">
        <w:rPr>
          <w:rFonts w:ascii="Arial" w:hAnsi="Arial" w:cs="Arial"/>
          <w:bCs/>
          <w:sz w:val="22"/>
          <w:szCs w:val="22"/>
        </w:rPr>
        <w:t xml:space="preserve"> in</w:t>
      </w:r>
      <w:r w:rsidR="002624C5" w:rsidRPr="00D767AB">
        <w:rPr>
          <w:rFonts w:ascii="Arial" w:hAnsi="Arial" w:cs="Arial"/>
          <w:bCs/>
          <w:sz w:val="22"/>
          <w:szCs w:val="22"/>
        </w:rPr>
        <w:t xml:space="preserve"> England and Wales, 20</w:t>
      </w:r>
      <w:r w:rsidR="00B86E13">
        <w:rPr>
          <w:rFonts w:ascii="Arial" w:hAnsi="Arial" w:cs="Arial"/>
          <w:bCs/>
          <w:sz w:val="22"/>
          <w:szCs w:val="22"/>
        </w:rPr>
        <w:t>14</w:t>
      </w:r>
      <w:r w:rsidR="002624C5" w:rsidRPr="00D767AB">
        <w:rPr>
          <w:rFonts w:ascii="Arial" w:hAnsi="Arial" w:cs="Arial"/>
          <w:bCs/>
          <w:sz w:val="22"/>
          <w:szCs w:val="22"/>
        </w:rPr>
        <w:t>-2015.</w:t>
      </w:r>
    </w:p>
    <w:p w:rsidR="005923A0" w:rsidRPr="00D767AB" w:rsidRDefault="005923A0" w:rsidP="005923A0">
      <w:pPr>
        <w:rPr>
          <w:rFonts w:ascii="Arial" w:hAnsi="Arial" w:cs="Arial"/>
          <w:sz w:val="22"/>
          <w:szCs w:val="22"/>
        </w:rPr>
      </w:pPr>
      <w:r w:rsidRPr="00D767AB">
        <w:rPr>
          <w:rFonts w:ascii="Arial" w:hAnsi="Arial" w:cs="Arial"/>
          <w:sz w:val="22"/>
          <w:szCs w:val="22"/>
        </w:rPr>
        <w:t xml:space="preserve"> </w:t>
      </w:r>
    </w:p>
    <w:p w:rsidR="00363EA0" w:rsidRPr="00363EA0" w:rsidRDefault="00363EA0" w:rsidP="00363EA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363EA0">
        <w:rPr>
          <w:rFonts w:ascii="Arial" w:hAnsi="Arial" w:cs="Arial"/>
          <w:color w:val="000000"/>
          <w:sz w:val="22"/>
          <w:szCs w:val="22"/>
        </w:rPr>
        <w:t xml:space="preserve">Please </w:t>
      </w:r>
      <w:r w:rsidR="000124F6">
        <w:rPr>
          <w:rFonts w:ascii="Arial" w:hAnsi="Arial" w:cs="Arial"/>
          <w:color w:val="000000"/>
          <w:sz w:val="22"/>
          <w:szCs w:val="22"/>
        </w:rPr>
        <w:t>note</w:t>
      </w:r>
      <w:r w:rsidRPr="00363EA0">
        <w:rPr>
          <w:rFonts w:ascii="Arial" w:hAnsi="Arial" w:cs="Arial"/>
          <w:color w:val="000000"/>
          <w:sz w:val="22"/>
          <w:szCs w:val="22"/>
        </w:rPr>
        <w:t xml:space="preserve"> Judges have tough sentencing options available to them for driving offences, including a 14 year maximum penalty for causing death by careless driving</w:t>
      </w:r>
      <w:r w:rsidR="00781105">
        <w:rPr>
          <w:rFonts w:ascii="Arial" w:hAnsi="Arial" w:cs="Arial"/>
          <w:color w:val="000000"/>
          <w:sz w:val="22"/>
          <w:szCs w:val="22"/>
        </w:rPr>
        <w:t xml:space="preserve"> </w:t>
      </w:r>
      <w:r w:rsidRPr="00363EA0">
        <w:rPr>
          <w:rFonts w:ascii="Arial" w:hAnsi="Arial" w:cs="Arial"/>
          <w:color w:val="000000"/>
          <w:sz w:val="22"/>
          <w:szCs w:val="22"/>
        </w:rPr>
        <w:t xml:space="preserve">whilst under the influence of drink or drugs. Measures brought in under the Criminal Justice and Courts Act 2015 ensured that driving bans are extended so they continue to apply after an offender has come out of prison. </w:t>
      </w:r>
    </w:p>
    <w:p w:rsidR="00363EA0" w:rsidRDefault="00363EA0"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Some of the information, which covers 2016, is exempt from disclosure under section 44(1)(a) of the FOIA, which refers to prohibitions on disclosure ‘by or und</w:t>
      </w:r>
      <w:r w:rsidR="000124F6">
        <w:rPr>
          <w:rFonts w:ascii="Arial" w:hAnsi="Arial" w:cs="Arial"/>
          <w:color w:val="000000"/>
          <w:sz w:val="22"/>
          <w:szCs w:val="22"/>
        </w:rPr>
        <w:t xml:space="preserve">er any enactment’ of the FOIA. </w:t>
      </w:r>
      <w:r w:rsidRPr="004E2C55">
        <w:rPr>
          <w:rFonts w:ascii="Arial" w:hAnsi="Arial" w:cs="Arial"/>
          <w:color w:val="000000"/>
          <w:sz w:val="22"/>
          <w:szCs w:val="22"/>
        </w:rPr>
        <w:t xml:space="preserve">In this case, the information you are seeking is prohibited by the Statistics and Registration Services (SRS) Act 2007 and the Pre-release Access to Official Statistics Order 2008. </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 xml:space="preserve">The information you have requested is a subset of the Criminal Justice Statistics data held in its final form which we routinely publish. It is intended for publication </w:t>
      </w:r>
      <w:r w:rsidR="00D83516">
        <w:rPr>
          <w:rFonts w:ascii="Arial" w:hAnsi="Arial" w:cs="Arial"/>
          <w:color w:val="000000"/>
          <w:sz w:val="22"/>
          <w:szCs w:val="22"/>
        </w:rPr>
        <w:t>on 18</w:t>
      </w:r>
      <w:r w:rsidRPr="004E2C55">
        <w:rPr>
          <w:rFonts w:ascii="Arial" w:hAnsi="Arial" w:cs="Arial"/>
          <w:color w:val="000000"/>
          <w:sz w:val="22"/>
          <w:szCs w:val="22"/>
        </w:rPr>
        <w:t xml:space="preserve"> May 2017. As such we are required to consider your request in a manner compliant with the Pre-release Access to Official Statistics Order 2008 further to sections 11 and 13 of the (SRS Act 2007. </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 xml:space="preserve">The MoJ is obliged under section 13 of the SRS Act to continue to comply with the </w:t>
      </w:r>
      <w:r w:rsidRPr="004E2C55">
        <w:rPr>
          <w:rFonts w:ascii="Arial" w:hAnsi="Arial" w:cs="Arial"/>
          <w:color w:val="000000"/>
          <w:sz w:val="22"/>
          <w:szCs w:val="22"/>
        </w:rPr>
        <w:lastRenderedPageBreak/>
        <w:t>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for offences of personation,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0124F6"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Pr>
          <w:rFonts w:ascii="Arial" w:hAnsi="Arial" w:cs="Arial"/>
          <w:color w:val="000000"/>
          <w:sz w:val="22"/>
          <w:szCs w:val="22"/>
        </w:rPr>
        <w:t>S</w:t>
      </w:r>
      <w:r w:rsidR="004E2C55" w:rsidRPr="004E2C55">
        <w:rPr>
          <w:rFonts w:ascii="Arial" w:hAnsi="Arial" w:cs="Arial"/>
          <w:color w:val="000000"/>
          <w:sz w:val="22"/>
          <w:szCs w:val="22"/>
        </w:rPr>
        <w:t>ection 44 is an absolute exemption and does not require a public interest test.</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The information for 2016 is also exempt from disclosure under section 22(1) of the FOIA, because it is intended for future publication. Please note that whilst quarterly court proceedings and convictions headline data are published and are currently available up to end September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Quarters 1 to 3 (January to September) data are not available until the annual criminal statistics publication is published in May 2017.</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0124F6"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b/>
          <w:color w:val="000000"/>
          <w:sz w:val="22"/>
          <w:szCs w:val="22"/>
        </w:rPr>
      </w:pPr>
      <w:r w:rsidRPr="000124F6">
        <w:rPr>
          <w:rFonts w:ascii="Arial" w:hAnsi="Arial" w:cs="Arial"/>
          <w:b/>
          <w:color w:val="000000"/>
          <w:sz w:val="22"/>
          <w:szCs w:val="22"/>
        </w:rPr>
        <w:t>Public interest considerations favouring disclosure</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t>
      </w:r>
      <w:r w:rsidRPr="004E2C55">
        <w:rPr>
          <w:rFonts w:ascii="Arial" w:hAnsi="Arial" w:cs="Arial"/>
          <w:color w:val="000000"/>
          <w:sz w:val="22"/>
          <w:szCs w:val="22"/>
        </w:rPr>
        <w:tab/>
        <w:t>Disclosure would improve transparency in the operations of Government, and of the justice system in particular.</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0124F6"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b/>
          <w:color w:val="000000"/>
          <w:sz w:val="22"/>
          <w:szCs w:val="22"/>
        </w:rPr>
      </w:pPr>
      <w:r w:rsidRPr="000124F6">
        <w:rPr>
          <w:rFonts w:ascii="Arial" w:hAnsi="Arial" w:cs="Arial"/>
          <w:b/>
          <w:color w:val="000000"/>
          <w:sz w:val="22"/>
          <w:szCs w:val="22"/>
        </w:rPr>
        <w:t>Public interest considerations favouring withholding the information</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t>
      </w:r>
      <w:r w:rsidRPr="004E2C55">
        <w:rPr>
          <w:rFonts w:ascii="Arial" w:hAnsi="Arial" w:cs="Arial"/>
          <w:color w:val="000000"/>
          <w:sz w:val="22"/>
          <w:szCs w:val="22"/>
        </w:rPr>
        <w:tab/>
        <w:t>It is in the public interest to adhere to the existing publication process for official statistics, which includes time for the data to be collated and properly verified.</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t>
      </w:r>
      <w:r w:rsidRPr="004E2C55">
        <w:rPr>
          <w:rFonts w:ascii="Arial" w:hAnsi="Arial" w:cs="Arial"/>
          <w:color w:val="000000"/>
          <w:sz w:val="22"/>
          <w:szCs w:val="22"/>
        </w:rPr>
        <w:tab/>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4E2C55" w:rsidRPr="004E2C55"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p>
    <w:p w:rsidR="005923A0" w:rsidRPr="00D767AB" w:rsidRDefault="004E2C55" w:rsidP="004E2C55">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rPr>
          <w:rFonts w:ascii="Arial" w:hAnsi="Arial" w:cs="Arial"/>
          <w:color w:val="000000"/>
          <w:sz w:val="22"/>
          <w:szCs w:val="22"/>
        </w:rPr>
      </w:pPr>
      <w:r w:rsidRPr="004E2C55">
        <w:rPr>
          <w:rFonts w:ascii="Arial" w:hAnsi="Arial" w:cs="Arial"/>
          <w:color w:val="000000"/>
          <w:sz w:val="22"/>
          <w:szCs w:val="22"/>
        </w:rPr>
        <w:t>We reached the view that, on balance, the public interest is better served by withholding this information under section 22 of the FOIA at this time.</w:t>
      </w:r>
      <w:bookmarkStart w:id="2" w:name="_GoBack"/>
      <w:bookmarkEnd w:id="2"/>
    </w:p>
    <w:sectPr w:rsidR="005923A0" w:rsidRPr="00D767AB"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A3" w:rsidRDefault="00E951A3">
      <w:r>
        <w:separator/>
      </w:r>
    </w:p>
  </w:endnote>
  <w:endnote w:type="continuationSeparator" w:id="0">
    <w:p w:rsidR="00E951A3" w:rsidRDefault="00E9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A3" w:rsidRDefault="00E951A3">
      <w:r>
        <w:separator/>
      </w:r>
    </w:p>
  </w:footnote>
  <w:footnote w:type="continuationSeparator" w:id="0">
    <w:p w:rsidR="00E951A3" w:rsidRDefault="00E95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A7D7C"/>
    <w:multiLevelType w:val="hybridMultilevel"/>
    <w:tmpl w:val="61347FE6"/>
    <w:lvl w:ilvl="0" w:tplc="07F8F87C">
      <w:start w:val="1"/>
      <w:numFmt w:val="decimal"/>
      <w:lvlText w:val="%1."/>
      <w:lvlJc w:val="left"/>
      <w:pPr>
        <w:ind w:left="1275" w:hanging="9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2"/>
  </w:num>
  <w:num w:numId="7">
    <w:abstractNumId w:val="9"/>
  </w:num>
  <w:num w:numId="8">
    <w:abstractNumId w:val="10"/>
  </w:num>
  <w:num w:numId="9">
    <w:abstractNumId w:val="5"/>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21F7"/>
    <w:rsid w:val="00003E34"/>
    <w:rsid w:val="0000640B"/>
    <w:rsid w:val="000124F6"/>
    <w:rsid w:val="0002477B"/>
    <w:rsid w:val="00030416"/>
    <w:rsid w:val="0003103F"/>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BCA"/>
    <w:rsid w:val="000A4DBF"/>
    <w:rsid w:val="000A6F7A"/>
    <w:rsid w:val="000B5A99"/>
    <w:rsid w:val="000B7073"/>
    <w:rsid w:val="000B7E6B"/>
    <w:rsid w:val="000C20F6"/>
    <w:rsid w:val="000C2D71"/>
    <w:rsid w:val="000F5C85"/>
    <w:rsid w:val="000F6014"/>
    <w:rsid w:val="00110EBD"/>
    <w:rsid w:val="00120291"/>
    <w:rsid w:val="00133D1E"/>
    <w:rsid w:val="00135A3F"/>
    <w:rsid w:val="001407E6"/>
    <w:rsid w:val="0014223E"/>
    <w:rsid w:val="00150A41"/>
    <w:rsid w:val="00160620"/>
    <w:rsid w:val="00161A44"/>
    <w:rsid w:val="001670F6"/>
    <w:rsid w:val="0017725D"/>
    <w:rsid w:val="00177F85"/>
    <w:rsid w:val="00180043"/>
    <w:rsid w:val="00194AFC"/>
    <w:rsid w:val="001A6C9B"/>
    <w:rsid w:val="001B1B34"/>
    <w:rsid w:val="001B2AC7"/>
    <w:rsid w:val="001B5B4D"/>
    <w:rsid w:val="001B7D73"/>
    <w:rsid w:val="001C15CD"/>
    <w:rsid w:val="001C27E9"/>
    <w:rsid w:val="001C4CA5"/>
    <w:rsid w:val="001C667B"/>
    <w:rsid w:val="001D1E30"/>
    <w:rsid w:val="001D2ADD"/>
    <w:rsid w:val="002010E9"/>
    <w:rsid w:val="0020568B"/>
    <w:rsid w:val="002057D0"/>
    <w:rsid w:val="0021415F"/>
    <w:rsid w:val="002179DD"/>
    <w:rsid w:val="00222F03"/>
    <w:rsid w:val="002470A2"/>
    <w:rsid w:val="0025606E"/>
    <w:rsid w:val="002624C5"/>
    <w:rsid w:val="00263ADA"/>
    <w:rsid w:val="00284268"/>
    <w:rsid w:val="00286B7B"/>
    <w:rsid w:val="0029178A"/>
    <w:rsid w:val="0029597E"/>
    <w:rsid w:val="002A17F0"/>
    <w:rsid w:val="002A53EB"/>
    <w:rsid w:val="002A69A5"/>
    <w:rsid w:val="002A7A01"/>
    <w:rsid w:val="002B7F78"/>
    <w:rsid w:val="002D029D"/>
    <w:rsid w:val="002D0810"/>
    <w:rsid w:val="002D3282"/>
    <w:rsid w:val="002D5D1E"/>
    <w:rsid w:val="002E1CB9"/>
    <w:rsid w:val="002E5E00"/>
    <w:rsid w:val="002E641B"/>
    <w:rsid w:val="003052C5"/>
    <w:rsid w:val="00313D9B"/>
    <w:rsid w:val="00314249"/>
    <w:rsid w:val="00317710"/>
    <w:rsid w:val="003217F1"/>
    <w:rsid w:val="003223B6"/>
    <w:rsid w:val="00330B6D"/>
    <w:rsid w:val="00343883"/>
    <w:rsid w:val="00345326"/>
    <w:rsid w:val="00353B9B"/>
    <w:rsid w:val="003574A1"/>
    <w:rsid w:val="00360270"/>
    <w:rsid w:val="00361A09"/>
    <w:rsid w:val="00363547"/>
    <w:rsid w:val="00363EA0"/>
    <w:rsid w:val="0036540C"/>
    <w:rsid w:val="00386FA6"/>
    <w:rsid w:val="00395FF9"/>
    <w:rsid w:val="00396F7C"/>
    <w:rsid w:val="003C39BE"/>
    <w:rsid w:val="003D1932"/>
    <w:rsid w:val="003D3641"/>
    <w:rsid w:val="003D488A"/>
    <w:rsid w:val="003D74BF"/>
    <w:rsid w:val="003E479A"/>
    <w:rsid w:val="003F6C63"/>
    <w:rsid w:val="003F6CF4"/>
    <w:rsid w:val="00403DAF"/>
    <w:rsid w:val="004115FD"/>
    <w:rsid w:val="004172B7"/>
    <w:rsid w:val="00417717"/>
    <w:rsid w:val="004220C6"/>
    <w:rsid w:val="004253BB"/>
    <w:rsid w:val="00426AD1"/>
    <w:rsid w:val="0043030D"/>
    <w:rsid w:val="0043049D"/>
    <w:rsid w:val="00440DE1"/>
    <w:rsid w:val="00447DFF"/>
    <w:rsid w:val="00472257"/>
    <w:rsid w:val="0047763D"/>
    <w:rsid w:val="00493E12"/>
    <w:rsid w:val="004B4A1A"/>
    <w:rsid w:val="004B4CAE"/>
    <w:rsid w:val="004C0BAC"/>
    <w:rsid w:val="004C12E9"/>
    <w:rsid w:val="004C457F"/>
    <w:rsid w:val="004C4AE9"/>
    <w:rsid w:val="004C4FA4"/>
    <w:rsid w:val="004D700C"/>
    <w:rsid w:val="004E1E12"/>
    <w:rsid w:val="004E2C55"/>
    <w:rsid w:val="004F702C"/>
    <w:rsid w:val="005021CB"/>
    <w:rsid w:val="00502953"/>
    <w:rsid w:val="00504598"/>
    <w:rsid w:val="00507063"/>
    <w:rsid w:val="005202DD"/>
    <w:rsid w:val="00521176"/>
    <w:rsid w:val="00522F32"/>
    <w:rsid w:val="0052698E"/>
    <w:rsid w:val="005407E5"/>
    <w:rsid w:val="00547F59"/>
    <w:rsid w:val="00572929"/>
    <w:rsid w:val="00581975"/>
    <w:rsid w:val="005923A0"/>
    <w:rsid w:val="005939B8"/>
    <w:rsid w:val="00597941"/>
    <w:rsid w:val="005A2C5A"/>
    <w:rsid w:val="005A56DD"/>
    <w:rsid w:val="005A768A"/>
    <w:rsid w:val="005B7296"/>
    <w:rsid w:val="005C2AFE"/>
    <w:rsid w:val="005C2E45"/>
    <w:rsid w:val="005C3B5F"/>
    <w:rsid w:val="005D0A14"/>
    <w:rsid w:val="005D30B3"/>
    <w:rsid w:val="005F1FE0"/>
    <w:rsid w:val="005F6EB6"/>
    <w:rsid w:val="00600152"/>
    <w:rsid w:val="00605080"/>
    <w:rsid w:val="006050C2"/>
    <w:rsid w:val="0060676F"/>
    <w:rsid w:val="00607F16"/>
    <w:rsid w:val="00613077"/>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630C"/>
    <w:rsid w:val="006B06B0"/>
    <w:rsid w:val="006B26A9"/>
    <w:rsid w:val="006C1A8F"/>
    <w:rsid w:val="006C4DFE"/>
    <w:rsid w:val="006D2BB3"/>
    <w:rsid w:val="006D7851"/>
    <w:rsid w:val="00701C33"/>
    <w:rsid w:val="00707F63"/>
    <w:rsid w:val="00712DBD"/>
    <w:rsid w:val="00716C99"/>
    <w:rsid w:val="00717943"/>
    <w:rsid w:val="00720F00"/>
    <w:rsid w:val="00721FF6"/>
    <w:rsid w:val="00732427"/>
    <w:rsid w:val="00732EE2"/>
    <w:rsid w:val="007349B0"/>
    <w:rsid w:val="007364F9"/>
    <w:rsid w:val="0074268C"/>
    <w:rsid w:val="00745DE9"/>
    <w:rsid w:val="0075037A"/>
    <w:rsid w:val="00751F04"/>
    <w:rsid w:val="00757C4F"/>
    <w:rsid w:val="00764F8A"/>
    <w:rsid w:val="00766207"/>
    <w:rsid w:val="0077587F"/>
    <w:rsid w:val="00781105"/>
    <w:rsid w:val="007960EE"/>
    <w:rsid w:val="007A4F47"/>
    <w:rsid w:val="007A550A"/>
    <w:rsid w:val="007B3C39"/>
    <w:rsid w:val="007B3FD5"/>
    <w:rsid w:val="007C158D"/>
    <w:rsid w:val="007C22F2"/>
    <w:rsid w:val="007C52BB"/>
    <w:rsid w:val="007D290C"/>
    <w:rsid w:val="007D43F0"/>
    <w:rsid w:val="007D4597"/>
    <w:rsid w:val="007E4242"/>
    <w:rsid w:val="007E4FD9"/>
    <w:rsid w:val="007F2CB3"/>
    <w:rsid w:val="007F35D1"/>
    <w:rsid w:val="007F5A11"/>
    <w:rsid w:val="008149AE"/>
    <w:rsid w:val="0081625B"/>
    <w:rsid w:val="00821C2A"/>
    <w:rsid w:val="00826F7D"/>
    <w:rsid w:val="0083092D"/>
    <w:rsid w:val="00837883"/>
    <w:rsid w:val="00850414"/>
    <w:rsid w:val="00870FE2"/>
    <w:rsid w:val="00876289"/>
    <w:rsid w:val="008905BA"/>
    <w:rsid w:val="00894F95"/>
    <w:rsid w:val="00896E98"/>
    <w:rsid w:val="008A0E59"/>
    <w:rsid w:val="008A47C2"/>
    <w:rsid w:val="008A5AC3"/>
    <w:rsid w:val="008D0238"/>
    <w:rsid w:val="008E2953"/>
    <w:rsid w:val="008E780C"/>
    <w:rsid w:val="008F38ED"/>
    <w:rsid w:val="008F63E3"/>
    <w:rsid w:val="00903FA5"/>
    <w:rsid w:val="00912F2E"/>
    <w:rsid w:val="00927420"/>
    <w:rsid w:val="009330D9"/>
    <w:rsid w:val="00943F10"/>
    <w:rsid w:val="00952719"/>
    <w:rsid w:val="009555FE"/>
    <w:rsid w:val="009641D2"/>
    <w:rsid w:val="00981B1F"/>
    <w:rsid w:val="0099435D"/>
    <w:rsid w:val="009A01D8"/>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40CB"/>
    <w:rsid w:val="00A4070B"/>
    <w:rsid w:val="00A44CEB"/>
    <w:rsid w:val="00A540CD"/>
    <w:rsid w:val="00A61142"/>
    <w:rsid w:val="00A654A8"/>
    <w:rsid w:val="00A65FB8"/>
    <w:rsid w:val="00A73FA3"/>
    <w:rsid w:val="00A75D5B"/>
    <w:rsid w:val="00A80A7A"/>
    <w:rsid w:val="00A80C43"/>
    <w:rsid w:val="00A90CF1"/>
    <w:rsid w:val="00A92F8C"/>
    <w:rsid w:val="00A93A66"/>
    <w:rsid w:val="00AA7121"/>
    <w:rsid w:val="00AB3DC4"/>
    <w:rsid w:val="00AB607F"/>
    <w:rsid w:val="00AB7AFD"/>
    <w:rsid w:val="00AC66F0"/>
    <w:rsid w:val="00AC6B10"/>
    <w:rsid w:val="00AD407D"/>
    <w:rsid w:val="00AE648C"/>
    <w:rsid w:val="00AE6516"/>
    <w:rsid w:val="00AF323D"/>
    <w:rsid w:val="00AF6F11"/>
    <w:rsid w:val="00AF7CD9"/>
    <w:rsid w:val="00B01DDD"/>
    <w:rsid w:val="00B02D4D"/>
    <w:rsid w:val="00B02E2B"/>
    <w:rsid w:val="00B06E96"/>
    <w:rsid w:val="00B14598"/>
    <w:rsid w:val="00B16AEB"/>
    <w:rsid w:val="00B20CC1"/>
    <w:rsid w:val="00B212C3"/>
    <w:rsid w:val="00B21AE2"/>
    <w:rsid w:val="00B2271D"/>
    <w:rsid w:val="00B27CC9"/>
    <w:rsid w:val="00B3083B"/>
    <w:rsid w:val="00B35E25"/>
    <w:rsid w:val="00B429DA"/>
    <w:rsid w:val="00B76CB4"/>
    <w:rsid w:val="00B86E13"/>
    <w:rsid w:val="00B973C8"/>
    <w:rsid w:val="00BA63BE"/>
    <w:rsid w:val="00BB0B99"/>
    <w:rsid w:val="00BC5C0D"/>
    <w:rsid w:val="00BD2C9D"/>
    <w:rsid w:val="00BD579B"/>
    <w:rsid w:val="00BD5C61"/>
    <w:rsid w:val="00BD6709"/>
    <w:rsid w:val="00BD79C4"/>
    <w:rsid w:val="00BE1E9B"/>
    <w:rsid w:val="00BF1CBD"/>
    <w:rsid w:val="00BF247F"/>
    <w:rsid w:val="00BF360C"/>
    <w:rsid w:val="00BF71B9"/>
    <w:rsid w:val="00C04B5F"/>
    <w:rsid w:val="00C05F2C"/>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77D"/>
    <w:rsid w:val="00D15B3B"/>
    <w:rsid w:val="00D264E1"/>
    <w:rsid w:val="00D30180"/>
    <w:rsid w:val="00D30525"/>
    <w:rsid w:val="00D311B8"/>
    <w:rsid w:val="00D31A00"/>
    <w:rsid w:val="00D34027"/>
    <w:rsid w:val="00D34CA0"/>
    <w:rsid w:val="00D47510"/>
    <w:rsid w:val="00D52084"/>
    <w:rsid w:val="00D52AD5"/>
    <w:rsid w:val="00D5560F"/>
    <w:rsid w:val="00D70704"/>
    <w:rsid w:val="00D71F9D"/>
    <w:rsid w:val="00D767AB"/>
    <w:rsid w:val="00D83516"/>
    <w:rsid w:val="00D91EA6"/>
    <w:rsid w:val="00D93C1D"/>
    <w:rsid w:val="00DA056D"/>
    <w:rsid w:val="00DA5FD3"/>
    <w:rsid w:val="00DA7762"/>
    <w:rsid w:val="00DA797A"/>
    <w:rsid w:val="00DB1EAA"/>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629B1"/>
    <w:rsid w:val="00E7489D"/>
    <w:rsid w:val="00E951A3"/>
    <w:rsid w:val="00EC4310"/>
    <w:rsid w:val="00ED20F9"/>
    <w:rsid w:val="00ED2FCA"/>
    <w:rsid w:val="00ED7C29"/>
    <w:rsid w:val="00EE079D"/>
    <w:rsid w:val="00EE71C8"/>
    <w:rsid w:val="00EF0A65"/>
    <w:rsid w:val="00F02437"/>
    <w:rsid w:val="00F039E7"/>
    <w:rsid w:val="00F10318"/>
    <w:rsid w:val="00F15593"/>
    <w:rsid w:val="00F209DD"/>
    <w:rsid w:val="00F20DD2"/>
    <w:rsid w:val="00F22D6A"/>
    <w:rsid w:val="00F23BD6"/>
    <w:rsid w:val="00F26ED6"/>
    <w:rsid w:val="00F304E3"/>
    <w:rsid w:val="00F31240"/>
    <w:rsid w:val="00F34027"/>
    <w:rsid w:val="00F347A4"/>
    <w:rsid w:val="00F35B4A"/>
    <w:rsid w:val="00F45B13"/>
    <w:rsid w:val="00F4790F"/>
    <w:rsid w:val="00F54E78"/>
    <w:rsid w:val="00F5538D"/>
    <w:rsid w:val="00F61CA9"/>
    <w:rsid w:val="00F65300"/>
    <w:rsid w:val="00F70725"/>
    <w:rsid w:val="00F756FC"/>
    <w:rsid w:val="00FA200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C110FA-6BB8-4594-B193-1892A69C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FOI 111525 Drink Driving Offences by Age and Gender</vt:lpstr>
    </vt:vector>
  </TitlesOfParts>
  <Company>Ministry of Justice</Company>
  <LinksUpToDate>false</LinksUpToDate>
  <CharactersWithSpaces>5384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1835119</vt:i4>
      </vt:variant>
      <vt:variant>
        <vt:i4>0</vt:i4>
      </vt:variant>
      <vt:variant>
        <vt:i4>0</vt:i4>
      </vt:variant>
      <vt:variant>
        <vt:i4>5</vt:i4>
      </vt:variant>
      <vt:variant>
        <vt:lpwstr>mailto:newsdesk@datanews.co.uk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111525 Drink Driving Offences by Age and Gender</dc:title>
  <dc:subject>FOI Relase</dc:subject>
  <dc:creator>MoJ</dc:creator>
  <cp:keywords/>
  <dc:description/>
  <cp:lastModifiedBy>Cox, Allan</cp:lastModifiedBy>
  <cp:revision>2</cp:revision>
  <cp:lastPrinted>2013-07-23T12:57:00Z</cp:lastPrinted>
  <dcterms:created xsi:type="dcterms:W3CDTF">2017-07-18T12:01:00Z</dcterms:created>
  <dcterms:modified xsi:type="dcterms:W3CDTF">2017-07-18T12:01:00Z</dcterms:modified>
</cp:coreProperties>
</file>