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72D3" w:rsidRDefault="002B164C">
      <w:pPr>
        <w:spacing w:after="17"/>
        <w:ind w:left="185"/>
        <w:rPr>
          <w:rFonts w:ascii="Arial" w:eastAsia="Arial" w:hAnsi="Arial" w:cs="Arial"/>
          <w:sz w:val="20"/>
          <w:szCs w:val="20"/>
        </w:rPr>
      </w:pPr>
      <w:bookmarkStart w:id="0" w:name="_GoBack"/>
      <w:bookmarkEnd w:id="0"/>
      <w:r>
        <w:rPr>
          <w:rFonts w:ascii="Arial" w:eastAsia="Arial" w:hAnsi="Arial" w:cs="Arial"/>
          <w:b/>
          <w:sz w:val="20"/>
          <w:szCs w:val="20"/>
        </w:rPr>
        <w:t>TRANSPARENCY INFORMATION ABOUT OUTSIDE APPOINTMENTS AND EMPLOYMENT TAKEN UP BY FORMER MEMBERS OF THE CABINET OFFICE AT SCS1 AND SCS2 LEVEL AND EQUIVALENTS (INCLUDING SPECIAL ADVISERS OF EQUIVALENT STANDING)</w:t>
      </w:r>
      <w:r>
        <w:rPr>
          <w:rFonts w:ascii="Arial" w:eastAsia="Arial" w:hAnsi="Arial" w:cs="Arial"/>
          <w:sz w:val="20"/>
          <w:szCs w:val="20"/>
        </w:rPr>
        <w:t xml:space="preserve">  </w:t>
      </w:r>
    </w:p>
    <w:p w:rsidR="002072D3" w:rsidRDefault="002072D3">
      <w:pPr>
        <w:spacing w:after="17"/>
        <w:ind w:left="185"/>
      </w:pPr>
    </w:p>
    <w:tbl>
      <w:tblPr>
        <w:tblStyle w:val="a"/>
        <w:tblW w:w="15420" w:type="dxa"/>
        <w:tblInd w:w="-838" w:type="dxa"/>
        <w:tblLayout w:type="fixed"/>
        <w:tblLook w:val="0400" w:firstRow="0" w:lastRow="0" w:firstColumn="0" w:lastColumn="0" w:noHBand="0" w:noVBand="1"/>
      </w:tblPr>
      <w:tblGrid>
        <w:gridCol w:w="1952"/>
        <w:gridCol w:w="2834"/>
        <w:gridCol w:w="1985"/>
        <w:gridCol w:w="3608"/>
        <w:gridCol w:w="5041"/>
      </w:tblGrid>
      <w:tr w:rsidR="002072D3">
        <w:trPr>
          <w:trHeight w:val="18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right="44"/>
              <w:contextualSpacing w:val="0"/>
              <w:jc w:val="center"/>
            </w:pPr>
            <w:r>
              <w:rPr>
                <w:rFonts w:ascii="Arial" w:eastAsia="Arial" w:hAnsi="Arial" w:cs="Arial"/>
                <w:b/>
                <w:sz w:val="24"/>
                <w:szCs w:val="24"/>
              </w:rPr>
              <w:t xml:space="preserve"> </w:t>
            </w:r>
          </w:p>
          <w:p w:rsidR="002072D3" w:rsidRDefault="002B164C">
            <w:pPr>
              <w:contextualSpacing w:val="0"/>
              <w:jc w:val="center"/>
            </w:pPr>
            <w:r>
              <w:rPr>
                <w:rFonts w:ascii="Arial" w:eastAsia="Arial" w:hAnsi="Arial" w:cs="Arial"/>
                <w:b/>
                <w:sz w:val="24"/>
                <w:szCs w:val="24"/>
              </w:rPr>
              <w:t xml:space="preserve">Name of applicant </w:t>
            </w: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right="44"/>
              <w:contextualSpacing w:val="0"/>
              <w:jc w:val="center"/>
            </w:pPr>
            <w:r>
              <w:rPr>
                <w:rFonts w:ascii="Arial" w:eastAsia="Arial" w:hAnsi="Arial" w:cs="Arial"/>
                <w:b/>
                <w:sz w:val="24"/>
                <w:szCs w:val="24"/>
              </w:rPr>
              <w:t xml:space="preserve"> </w:t>
            </w:r>
          </w:p>
          <w:p w:rsidR="002072D3" w:rsidRDefault="002B164C">
            <w:pPr>
              <w:spacing w:after="19"/>
              <w:ind w:right="109"/>
              <w:contextualSpacing w:val="0"/>
              <w:jc w:val="center"/>
            </w:pPr>
            <w:r>
              <w:rPr>
                <w:rFonts w:ascii="Arial" w:eastAsia="Arial" w:hAnsi="Arial" w:cs="Arial"/>
                <w:b/>
                <w:sz w:val="24"/>
                <w:szCs w:val="24"/>
              </w:rPr>
              <w:t xml:space="preserve">Title of former Civil </w:t>
            </w:r>
          </w:p>
          <w:p w:rsidR="002072D3" w:rsidRDefault="002B164C">
            <w:pPr>
              <w:ind w:right="107"/>
              <w:contextualSpacing w:val="0"/>
              <w:jc w:val="center"/>
            </w:pPr>
            <w:r>
              <w:rPr>
                <w:rFonts w:ascii="Arial" w:eastAsia="Arial" w:hAnsi="Arial" w:cs="Arial"/>
                <w:b/>
                <w:sz w:val="24"/>
                <w:szCs w:val="24"/>
              </w:rPr>
              <w:t xml:space="preserve">Service role </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right="43"/>
              <w:contextualSpacing w:val="0"/>
              <w:jc w:val="center"/>
            </w:pPr>
            <w:r>
              <w:rPr>
                <w:rFonts w:ascii="Arial" w:eastAsia="Arial" w:hAnsi="Arial" w:cs="Arial"/>
                <w:b/>
                <w:sz w:val="24"/>
                <w:szCs w:val="24"/>
              </w:rPr>
              <w:t xml:space="preserve"> </w:t>
            </w:r>
          </w:p>
          <w:p w:rsidR="002072D3" w:rsidRDefault="002B164C">
            <w:pPr>
              <w:spacing w:line="276" w:lineRule="auto"/>
              <w:contextualSpacing w:val="0"/>
              <w:jc w:val="center"/>
            </w:pPr>
            <w:r>
              <w:rPr>
                <w:rFonts w:ascii="Arial" w:eastAsia="Arial" w:hAnsi="Arial" w:cs="Arial"/>
                <w:b/>
                <w:sz w:val="24"/>
                <w:szCs w:val="24"/>
              </w:rPr>
              <w:t xml:space="preserve">Date left/retired from the Civil </w:t>
            </w:r>
          </w:p>
          <w:p w:rsidR="002072D3" w:rsidRDefault="002B164C">
            <w:pPr>
              <w:ind w:right="111"/>
              <w:contextualSpacing w:val="0"/>
              <w:jc w:val="center"/>
            </w:pPr>
            <w:r>
              <w:rPr>
                <w:rFonts w:ascii="Arial" w:eastAsia="Arial" w:hAnsi="Arial" w:cs="Arial"/>
                <w:b/>
                <w:sz w:val="24"/>
                <w:szCs w:val="24"/>
              </w:rPr>
              <w:t xml:space="preserve">Service </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right="44"/>
              <w:contextualSpacing w:val="0"/>
              <w:jc w:val="center"/>
            </w:pPr>
            <w:r>
              <w:rPr>
                <w:rFonts w:ascii="Arial" w:eastAsia="Arial" w:hAnsi="Arial" w:cs="Arial"/>
                <w:b/>
                <w:sz w:val="24"/>
                <w:szCs w:val="24"/>
              </w:rPr>
              <w:t xml:space="preserve"> </w:t>
            </w:r>
          </w:p>
          <w:p w:rsidR="002072D3" w:rsidRDefault="002B164C">
            <w:pPr>
              <w:spacing w:after="19"/>
              <w:ind w:right="114"/>
              <w:contextualSpacing w:val="0"/>
              <w:jc w:val="center"/>
            </w:pPr>
            <w:r>
              <w:rPr>
                <w:rFonts w:ascii="Arial" w:eastAsia="Arial" w:hAnsi="Arial" w:cs="Arial"/>
                <w:b/>
                <w:sz w:val="24"/>
                <w:szCs w:val="24"/>
              </w:rPr>
              <w:t xml:space="preserve">New </w:t>
            </w:r>
          </w:p>
          <w:p w:rsidR="002072D3" w:rsidRDefault="002B164C">
            <w:pPr>
              <w:spacing w:after="19"/>
              <w:ind w:right="109"/>
              <w:contextualSpacing w:val="0"/>
              <w:jc w:val="center"/>
            </w:pPr>
            <w:r>
              <w:rPr>
                <w:rFonts w:ascii="Arial" w:eastAsia="Arial" w:hAnsi="Arial" w:cs="Arial"/>
                <w:b/>
                <w:sz w:val="24"/>
                <w:szCs w:val="24"/>
              </w:rPr>
              <w:t xml:space="preserve">Appointment/Employment </w:t>
            </w:r>
          </w:p>
          <w:p w:rsidR="002072D3" w:rsidRDefault="002B164C">
            <w:pPr>
              <w:ind w:right="108"/>
              <w:contextualSpacing w:val="0"/>
              <w:jc w:val="center"/>
            </w:pPr>
            <w:r>
              <w:rPr>
                <w:rFonts w:ascii="Arial" w:eastAsia="Arial" w:hAnsi="Arial" w:cs="Arial"/>
                <w:b/>
                <w:sz w:val="24"/>
                <w:szCs w:val="24"/>
              </w:rPr>
              <w:t xml:space="preserve">(including when taken up) </w:t>
            </w:r>
          </w:p>
        </w:tc>
        <w:tc>
          <w:tcPr>
            <w:tcW w:w="5041"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right="41"/>
              <w:contextualSpacing w:val="0"/>
              <w:jc w:val="center"/>
            </w:pPr>
            <w:r>
              <w:rPr>
                <w:rFonts w:ascii="Arial" w:eastAsia="Arial" w:hAnsi="Arial" w:cs="Arial"/>
                <w:b/>
                <w:sz w:val="24"/>
                <w:szCs w:val="24"/>
              </w:rPr>
              <w:t xml:space="preserve"> </w:t>
            </w:r>
          </w:p>
          <w:p w:rsidR="002072D3" w:rsidRDefault="002B164C">
            <w:pPr>
              <w:spacing w:after="19"/>
              <w:ind w:right="110"/>
              <w:contextualSpacing w:val="0"/>
              <w:jc w:val="center"/>
            </w:pPr>
            <w:r>
              <w:rPr>
                <w:rFonts w:ascii="Arial" w:eastAsia="Arial" w:hAnsi="Arial" w:cs="Arial"/>
                <w:b/>
                <w:sz w:val="24"/>
                <w:szCs w:val="24"/>
              </w:rPr>
              <w:t xml:space="preserve">Department’s Decision on Application </w:t>
            </w:r>
          </w:p>
          <w:p w:rsidR="002072D3" w:rsidRDefault="002B164C">
            <w:pPr>
              <w:contextualSpacing w:val="0"/>
              <w:jc w:val="center"/>
            </w:pPr>
            <w:r>
              <w:rPr>
                <w:rFonts w:ascii="Arial" w:eastAsia="Arial" w:hAnsi="Arial" w:cs="Arial"/>
                <w:b/>
                <w:sz w:val="24"/>
                <w:szCs w:val="24"/>
              </w:rPr>
              <w:t xml:space="preserve">(including details of any waiting period or other conditions or restrictions applied) </w:t>
            </w:r>
          </w:p>
        </w:tc>
      </w:tr>
    </w:tbl>
    <w:p w:rsidR="002072D3" w:rsidRDefault="002072D3">
      <w:pPr>
        <w:spacing w:after="0"/>
        <w:ind w:left="-1440" w:right="15210"/>
      </w:pPr>
    </w:p>
    <w:p w:rsidR="002072D3" w:rsidRDefault="002072D3">
      <w:pPr>
        <w:spacing w:after="0"/>
        <w:ind w:left="-1440" w:right="15210"/>
      </w:pPr>
    </w:p>
    <w:tbl>
      <w:tblPr>
        <w:tblStyle w:val="a0"/>
        <w:tblW w:w="15420" w:type="dxa"/>
        <w:tblInd w:w="-838" w:type="dxa"/>
        <w:tblLayout w:type="fixed"/>
        <w:tblLook w:val="0400" w:firstRow="0" w:lastRow="0" w:firstColumn="0" w:lastColumn="0" w:noHBand="0" w:noVBand="1"/>
      </w:tblPr>
      <w:tblGrid>
        <w:gridCol w:w="1952"/>
        <w:gridCol w:w="2834"/>
        <w:gridCol w:w="1985"/>
        <w:gridCol w:w="3608"/>
        <w:gridCol w:w="5041"/>
      </w:tblGrid>
      <w:tr w:rsidR="002072D3">
        <w:trPr>
          <w:trHeight w:val="3760"/>
        </w:trPr>
        <w:tc>
          <w:tcPr>
            <w:tcW w:w="1952" w:type="dxa"/>
            <w:tcBorders>
              <w:top w:val="single" w:sz="4" w:space="0" w:color="000000"/>
              <w:left w:val="single" w:sz="4" w:space="0" w:color="000000"/>
              <w:bottom w:val="single" w:sz="4" w:space="0" w:color="000000"/>
              <w:right w:val="single" w:sz="4" w:space="0" w:color="000000"/>
            </w:tcBorders>
          </w:tcPr>
          <w:p w:rsidR="002072D3" w:rsidRDefault="002072D3">
            <w:pPr>
              <w:spacing w:after="218"/>
              <w:contextualSpacing w:val="0"/>
              <w:jc w:val="center"/>
              <w:rPr>
                <w:rFonts w:ascii="Arial" w:eastAsia="Arial" w:hAnsi="Arial" w:cs="Arial"/>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 xml:space="preserve">Adam </w:t>
            </w:r>
            <w:proofErr w:type="spellStart"/>
            <w:r>
              <w:rPr>
                <w:rFonts w:ascii="Arial" w:eastAsia="Arial" w:hAnsi="Arial" w:cs="Arial"/>
                <w:sz w:val="24"/>
                <w:szCs w:val="24"/>
              </w:rPr>
              <w:t>Atashzai</w:t>
            </w:r>
            <w:proofErr w:type="spellEnd"/>
          </w:p>
          <w:p w:rsidR="002072D3" w:rsidRDefault="002072D3">
            <w:pPr>
              <w:contextualSpacing w:val="0"/>
              <w:jc w:val="center"/>
              <w:rPr>
                <w:rFonts w:ascii="Arial" w:eastAsia="Arial" w:hAnsi="Arial" w:cs="Arial"/>
                <w:sz w:val="24"/>
                <w:szCs w:val="24"/>
              </w:rPr>
            </w:pPr>
          </w:p>
          <w:p w:rsidR="002072D3" w:rsidRDefault="002072D3">
            <w:pPr>
              <w:contextualSpacing w:val="0"/>
              <w:jc w:val="center"/>
              <w:rPr>
                <w:rFonts w:ascii="Arial" w:eastAsia="Arial" w:hAnsi="Arial" w:cs="Arial"/>
                <w:b/>
              </w:rPr>
            </w:pPr>
          </w:p>
        </w:tc>
        <w:tc>
          <w:tcPr>
            <w:tcW w:w="2834" w:type="dxa"/>
            <w:tcBorders>
              <w:top w:val="single" w:sz="4" w:space="0" w:color="000000"/>
              <w:left w:val="single" w:sz="4" w:space="0" w:color="000000"/>
              <w:bottom w:val="single" w:sz="4" w:space="0" w:color="000000"/>
              <w:right w:val="single" w:sz="4" w:space="0" w:color="000000"/>
            </w:tcBorders>
          </w:tcPr>
          <w:p w:rsidR="002072D3" w:rsidRDefault="002072D3">
            <w:pPr>
              <w:spacing w:after="218"/>
              <w:contextualSpacing w:val="0"/>
              <w:jc w:val="center"/>
              <w:rPr>
                <w:rFonts w:ascii="Arial" w:eastAsia="Arial" w:hAnsi="Arial" w:cs="Arial"/>
                <w:sz w:val="24"/>
                <w:szCs w:val="24"/>
              </w:rPr>
            </w:pPr>
          </w:p>
          <w:p w:rsidR="002072D3" w:rsidRDefault="002B164C">
            <w:pPr>
              <w:spacing w:after="218"/>
              <w:contextualSpacing w:val="0"/>
              <w:jc w:val="center"/>
              <w:rPr>
                <w:rFonts w:ascii="Arial" w:eastAsia="Arial" w:hAnsi="Arial" w:cs="Arial"/>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072D3">
            <w:pPr>
              <w:spacing w:after="218"/>
              <w:ind w:left="1"/>
              <w:contextualSpacing w:val="0"/>
              <w:jc w:val="center"/>
              <w:rPr>
                <w:rFonts w:ascii="Arial" w:eastAsia="Arial" w:hAnsi="Arial" w:cs="Arial"/>
              </w:rPr>
            </w:pPr>
          </w:p>
          <w:p w:rsidR="002072D3" w:rsidRDefault="002B164C">
            <w:pPr>
              <w:ind w:left="1"/>
              <w:contextualSpacing w:val="0"/>
              <w:jc w:val="center"/>
              <w:rPr>
                <w:rFonts w:ascii="Arial" w:eastAsia="Arial" w:hAnsi="Arial" w:cs="Arial"/>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072D3">
            <w:pPr>
              <w:spacing w:after="218"/>
              <w:contextualSpacing w:val="0"/>
              <w:jc w:val="center"/>
              <w:rPr>
                <w:rFonts w:ascii="Arial" w:eastAsia="Arial" w:hAnsi="Arial" w:cs="Arial"/>
                <w:sz w:val="24"/>
                <w:szCs w:val="24"/>
              </w:rPr>
            </w:pPr>
          </w:p>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Partner at Finsbury PR</w:t>
            </w:r>
          </w:p>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December 2016</w:t>
            </w:r>
          </w:p>
          <w:p w:rsidR="002072D3" w:rsidRDefault="002072D3">
            <w:pPr>
              <w:contextualSpacing w:val="0"/>
              <w:jc w:val="center"/>
              <w:rPr>
                <w:rFonts w:ascii="Arial" w:eastAsia="Arial" w:hAnsi="Arial" w:cs="Arial"/>
                <w:sz w:val="24"/>
                <w:szCs w:val="24"/>
              </w:rPr>
            </w:pPr>
          </w:p>
          <w:p w:rsidR="002072D3" w:rsidRDefault="002072D3">
            <w:pPr>
              <w:contextualSpacing w:val="0"/>
              <w:jc w:val="center"/>
              <w:rPr>
                <w:rFonts w:ascii="Arial" w:eastAsia="Arial" w:hAnsi="Arial" w:cs="Arial"/>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2072D3" w:rsidRDefault="002B164C">
            <w:pPr>
              <w:spacing w:after="218"/>
              <w:contextualSpacing w:val="0"/>
            </w:pPr>
            <w:r>
              <w:rPr>
                <w:rFonts w:ascii="Arial" w:eastAsia="Arial" w:hAnsi="Arial" w:cs="Arial"/>
                <w:sz w:val="24"/>
                <w:szCs w:val="24"/>
              </w:rPr>
              <w:t xml:space="preserve">Approved, subject to the following conditions:  </w:t>
            </w:r>
          </w:p>
          <w:p w:rsidR="002072D3" w:rsidRDefault="002B164C">
            <w:pPr>
              <w:numPr>
                <w:ilvl w:val="0"/>
                <w:numId w:val="4"/>
              </w:numPr>
              <w:ind w:hanging="360"/>
              <w:rPr>
                <w:rFonts w:ascii="Arial" w:eastAsia="Arial" w:hAnsi="Arial" w:cs="Arial"/>
                <w:sz w:val="24"/>
                <w:szCs w:val="24"/>
              </w:rPr>
            </w:pPr>
            <w:r>
              <w:rPr>
                <w:rFonts w:ascii="Arial" w:eastAsia="Arial" w:hAnsi="Arial" w:cs="Arial"/>
                <w:sz w:val="24"/>
                <w:szCs w:val="24"/>
              </w:rPr>
              <w:t>Adam should not draw on privileged information available to him as a Crown servant.</w:t>
            </w:r>
          </w:p>
          <w:p w:rsidR="002072D3" w:rsidRDefault="002072D3">
            <w:pPr>
              <w:ind w:left="720"/>
              <w:contextualSpacing w:val="0"/>
              <w:rPr>
                <w:rFonts w:ascii="Arial" w:eastAsia="Arial" w:hAnsi="Arial" w:cs="Arial"/>
                <w:sz w:val="24"/>
                <w:szCs w:val="24"/>
              </w:rPr>
            </w:pPr>
          </w:p>
          <w:p w:rsidR="002072D3" w:rsidRDefault="002B164C">
            <w:pPr>
              <w:numPr>
                <w:ilvl w:val="0"/>
                <w:numId w:val="4"/>
              </w:numPr>
              <w:ind w:hanging="360"/>
              <w:rPr>
                <w:rFonts w:ascii="Arial" w:eastAsia="Arial" w:hAnsi="Arial" w:cs="Arial"/>
                <w:sz w:val="24"/>
                <w:szCs w:val="24"/>
              </w:rPr>
            </w:pPr>
            <w:r>
              <w:rPr>
                <w:rFonts w:ascii="Arial" w:eastAsia="Arial" w:hAnsi="Arial" w:cs="Arial"/>
                <w:sz w:val="24"/>
                <w:szCs w:val="24"/>
              </w:rPr>
              <w:t>For two years from Adam’s last paid day of service, he should not become personally involved in lobbying the UK Government on behalf of Finsbury PR or make use, directly or indirectly, of his contact in Government and/or Crown service to influence policy o</w:t>
            </w:r>
            <w:r>
              <w:rPr>
                <w:rFonts w:ascii="Arial" w:eastAsia="Arial" w:hAnsi="Arial" w:cs="Arial"/>
                <w:sz w:val="24"/>
                <w:szCs w:val="24"/>
              </w:rPr>
              <w:t>r secure business on behalf of Finsbury PR</w:t>
            </w:r>
          </w:p>
          <w:p w:rsidR="002072D3" w:rsidRDefault="002072D3">
            <w:pPr>
              <w:ind w:left="720"/>
              <w:contextualSpacing w:val="0"/>
              <w:rPr>
                <w:rFonts w:ascii="Arial" w:eastAsia="Arial" w:hAnsi="Arial" w:cs="Arial"/>
                <w:sz w:val="24"/>
                <w:szCs w:val="24"/>
              </w:rPr>
            </w:pPr>
          </w:p>
        </w:tc>
      </w:tr>
    </w:tbl>
    <w:p w:rsidR="002072D3" w:rsidRDefault="002072D3">
      <w:pPr>
        <w:spacing w:after="0"/>
        <w:ind w:left="-1440" w:right="15210"/>
      </w:pPr>
    </w:p>
    <w:tbl>
      <w:tblPr>
        <w:tblStyle w:val="a1"/>
        <w:tblW w:w="15751" w:type="dxa"/>
        <w:tblInd w:w="-838" w:type="dxa"/>
        <w:tblLayout w:type="fixed"/>
        <w:tblLook w:val="0400" w:firstRow="0" w:lastRow="0" w:firstColumn="0" w:lastColumn="0" w:noHBand="0" w:noVBand="1"/>
      </w:tblPr>
      <w:tblGrid>
        <w:gridCol w:w="1952"/>
        <w:gridCol w:w="2834"/>
        <w:gridCol w:w="1985"/>
        <w:gridCol w:w="3608"/>
        <w:gridCol w:w="5372"/>
      </w:tblGrid>
      <w:tr w:rsidR="002072D3">
        <w:trPr>
          <w:trHeight w:val="5540"/>
        </w:trPr>
        <w:tc>
          <w:tcPr>
            <w:tcW w:w="1952" w:type="dxa"/>
            <w:tcBorders>
              <w:top w:val="single" w:sz="4" w:space="0" w:color="000000"/>
              <w:left w:val="single" w:sz="4" w:space="0" w:color="000000"/>
              <w:bottom w:val="single" w:sz="4" w:space="0" w:color="000000"/>
              <w:right w:val="single" w:sz="4" w:space="0" w:color="000000"/>
            </w:tcBorders>
          </w:tcPr>
          <w:p w:rsidR="002072D3" w:rsidRDefault="002072D3">
            <w:pPr>
              <w:spacing w:after="220"/>
              <w:contextualSpacing w:val="0"/>
              <w:jc w:val="cente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 xml:space="preserve">Gabby </w:t>
            </w:r>
            <w:proofErr w:type="spellStart"/>
            <w:r>
              <w:rPr>
                <w:rFonts w:ascii="Arial" w:eastAsia="Arial" w:hAnsi="Arial" w:cs="Arial"/>
                <w:sz w:val="24"/>
                <w:szCs w:val="24"/>
              </w:rPr>
              <w:t>Bertin</w:t>
            </w:r>
            <w:proofErr w:type="spellEnd"/>
          </w:p>
          <w:p w:rsidR="002072D3" w:rsidRDefault="002072D3">
            <w:pPr>
              <w:contextualSpacing w:val="0"/>
              <w:jc w:val="center"/>
            </w:pPr>
          </w:p>
        </w:tc>
        <w:tc>
          <w:tcPr>
            <w:tcW w:w="2834" w:type="dxa"/>
            <w:tcBorders>
              <w:top w:val="single" w:sz="4" w:space="0" w:color="000000"/>
              <w:left w:val="single" w:sz="4" w:space="0" w:color="000000"/>
              <w:bottom w:val="single" w:sz="4" w:space="0" w:color="000000"/>
              <w:right w:val="single" w:sz="4" w:space="0" w:color="000000"/>
            </w:tcBorders>
          </w:tcPr>
          <w:p w:rsidR="002072D3" w:rsidRDefault="002072D3">
            <w:pPr>
              <w:spacing w:after="220"/>
              <w:contextualSpacing w:val="0"/>
              <w:jc w:val="center"/>
            </w:pPr>
          </w:p>
          <w:p w:rsidR="002072D3" w:rsidRDefault="002B164C">
            <w:pPr>
              <w:spacing w:after="220"/>
              <w:contextualSpacing w:val="0"/>
              <w:jc w:val="center"/>
              <w:rPr>
                <w:rFonts w:ascii="Arial" w:eastAsia="Arial" w:hAnsi="Arial" w:cs="Arial"/>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072D3">
            <w:pPr>
              <w:spacing w:after="220"/>
              <w:ind w:left="1"/>
              <w:contextualSpacing w:val="0"/>
              <w:jc w:val="center"/>
              <w:rPr>
                <w:rFonts w:ascii="Arial" w:eastAsia="Arial" w:hAnsi="Arial" w:cs="Arial"/>
                <w:sz w:val="24"/>
                <w:szCs w:val="24"/>
              </w:rPr>
            </w:pPr>
          </w:p>
          <w:p w:rsidR="002072D3" w:rsidRDefault="002B164C">
            <w:pPr>
              <w:spacing w:after="220"/>
              <w:ind w:left="1"/>
              <w:contextualSpacing w:val="0"/>
              <w:jc w:val="center"/>
              <w:rPr>
                <w:rFonts w:ascii="Arial" w:eastAsia="Arial" w:hAnsi="Arial" w:cs="Arial"/>
                <w:b/>
                <w:sz w:val="24"/>
                <w:szCs w:val="24"/>
              </w:rPr>
            </w:pPr>
            <w:r>
              <w:rPr>
                <w:rFonts w:ascii="Arial" w:eastAsia="Arial" w:hAnsi="Arial" w:cs="Arial"/>
                <w:sz w:val="24"/>
                <w:szCs w:val="24"/>
              </w:rPr>
              <w:t>July 2016</w:t>
            </w:r>
          </w:p>
          <w:p w:rsidR="002072D3" w:rsidRDefault="002072D3">
            <w:pPr>
              <w:spacing w:after="220"/>
              <w:ind w:left="1"/>
              <w:contextualSpacing w:val="0"/>
              <w:jc w:val="center"/>
              <w:rPr>
                <w:rFonts w:ascii="Arial" w:eastAsia="Arial" w:hAnsi="Arial" w:cs="Arial"/>
                <w:b/>
                <w:sz w:val="24"/>
                <w:szCs w:val="24"/>
              </w:rPr>
            </w:pPr>
          </w:p>
          <w:p w:rsidR="002072D3" w:rsidRDefault="002072D3">
            <w:pPr>
              <w:spacing w:after="220"/>
              <w:ind w:left="1"/>
              <w:contextualSpacing w:val="0"/>
              <w:jc w:val="center"/>
              <w:rPr>
                <w:rFonts w:ascii="Arial" w:eastAsia="Arial" w:hAnsi="Arial" w:cs="Arial"/>
                <w:sz w:val="24"/>
                <w:szCs w:val="24"/>
              </w:rPr>
            </w:pPr>
          </w:p>
        </w:tc>
        <w:tc>
          <w:tcPr>
            <w:tcW w:w="3608" w:type="dxa"/>
            <w:tcBorders>
              <w:top w:val="single" w:sz="4" w:space="0" w:color="000000"/>
              <w:left w:val="single" w:sz="4" w:space="0" w:color="000000"/>
              <w:bottom w:val="single" w:sz="4" w:space="0" w:color="000000"/>
              <w:right w:val="single" w:sz="4" w:space="0" w:color="000000"/>
            </w:tcBorders>
          </w:tcPr>
          <w:p w:rsidR="002072D3" w:rsidRDefault="002072D3">
            <w:pPr>
              <w:spacing w:after="220"/>
              <w:contextualSpacing w:val="0"/>
              <w:jc w:val="cente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Strategic Adviser for BT Communications</w:t>
            </w:r>
          </w:p>
          <w:p w:rsidR="002072D3" w:rsidRDefault="002072D3">
            <w:pPr>
              <w:contextualSpacing w:val="0"/>
              <w:jc w:val="center"/>
              <w:rPr>
                <w:rFonts w:ascii="Arial" w:eastAsia="Arial" w:hAnsi="Arial" w:cs="Arial"/>
                <w:sz w:val="24"/>
                <w:szCs w:val="24"/>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January 2017</w:t>
            </w:r>
          </w:p>
          <w:p w:rsidR="002072D3" w:rsidRDefault="002072D3">
            <w:pPr>
              <w:contextualSpacing w:val="0"/>
              <w:jc w:val="center"/>
              <w:rPr>
                <w:rFonts w:ascii="Arial" w:eastAsia="Arial" w:hAnsi="Arial" w:cs="Arial"/>
                <w:sz w:val="24"/>
                <w:szCs w:val="24"/>
              </w:rPr>
            </w:pPr>
          </w:p>
          <w:p w:rsidR="002072D3" w:rsidRDefault="002072D3">
            <w:pPr>
              <w:contextualSpacing w:val="0"/>
              <w:jc w:val="center"/>
            </w:pP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spacing w:after="218"/>
              <w:contextualSpacing w:val="0"/>
            </w:pPr>
            <w:r>
              <w:rPr>
                <w:rFonts w:ascii="Arial" w:eastAsia="Arial" w:hAnsi="Arial" w:cs="Arial"/>
                <w:sz w:val="24"/>
                <w:szCs w:val="24"/>
              </w:rPr>
              <w:t xml:space="preserve">Approved, subject to the following conditions: </w:t>
            </w:r>
          </w:p>
          <w:p w:rsidR="002072D3" w:rsidRDefault="002B164C">
            <w:pPr>
              <w:numPr>
                <w:ilvl w:val="0"/>
                <w:numId w:val="8"/>
              </w:numPr>
              <w:ind w:hanging="360"/>
              <w:rPr>
                <w:rFonts w:ascii="Arial" w:eastAsia="Arial" w:hAnsi="Arial" w:cs="Arial"/>
                <w:sz w:val="24"/>
                <w:szCs w:val="24"/>
              </w:rPr>
            </w:pPr>
            <w:r>
              <w:rPr>
                <w:rFonts w:ascii="Arial" w:eastAsia="Arial" w:hAnsi="Arial" w:cs="Arial"/>
                <w:sz w:val="24"/>
                <w:szCs w:val="24"/>
              </w:rPr>
              <w:t xml:space="preserve">Gabby </w:t>
            </w:r>
            <w:proofErr w:type="spellStart"/>
            <w:r>
              <w:rPr>
                <w:rFonts w:ascii="Arial" w:eastAsia="Arial" w:hAnsi="Arial" w:cs="Arial"/>
                <w:sz w:val="24"/>
                <w:szCs w:val="24"/>
              </w:rPr>
              <w:t>Bertin</w:t>
            </w:r>
            <w:proofErr w:type="spellEnd"/>
            <w:r>
              <w:rPr>
                <w:rFonts w:ascii="Arial" w:eastAsia="Arial" w:hAnsi="Arial" w:cs="Arial"/>
                <w:sz w:val="24"/>
                <w:szCs w:val="24"/>
              </w:rPr>
              <w:t xml:space="preserve"> should not draw on (disclose or use for her benefit or British Telecommunications to which this advice refers) any privileged information available to Gabby </w:t>
            </w:r>
            <w:proofErr w:type="spellStart"/>
            <w:r>
              <w:rPr>
                <w:rFonts w:ascii="Arial" w:eastAsia="Arial" w:hAnsi="Arial" w:cs="Arial"/>
                <w:sz w:val="24"/>
                <w:szCs w:val="24"/>
              </w:rPr>
              <w:t>Bertin</w:t>
            </w:r>
            <w:proofErr w:type="spellEnd"/>
            <w:r>
              <w:rPr>
                <w:rFonts w:ascii="Arial" w:eastAsia="Arial" w:hAnsi="Arial" w:cs="Arial"/>
                <w:sz w:val="24"/>
                <w:szCs w:val="24"/>
              </w:rPr>
              <w:t xml:space="preserve"> from her time as a Crown servant.</w:t>
            </w:r>
          </w:p>
          <w:p w:rsidR="002072D3" w:rsidRDefault="002072D3">
            <w:pPr>
              <w:ind w:left="720"/>
              <w:contextualSpacing w:val="0"/>
              <w:rPr>
                <w:rFonts w:ascii="Arial" w:eastAsia="Arial" w:hAnsi="Arial" w:cs="Arial"/>
                <w:sz w:val="24"/>
                <w:szCs w:val="24"/>
              </w:rPr>
            </w:pPr>
          </w:p>
          <w:p w:rsidR="002072D3" w:rsidRDefault="002B164C">
            <w:pPr>
              <w:numPr>
                <w:ilvl w:val="0"/>
                <w:numId w:val="8"/>
              </w:numPr>
              <w:ind w:hanging="360"/>
              <w:rPr>
                <w:rFonts w:ascii="Arial" w:eastAsia="Arial" w:hAnsi="Arial" w:cs="Arial"/>
                <w:sz w:val="24"/>
                <w:szCs w:val="24"/>
              </w:rPr>
            </w:pPr>
            <w:r>
              <w:rPr>
                <w:rFonts w:ascii="Arial" w:eastAsia="Arial" w:hAnsi="Arial" w:cs="Arial"/>
                <w:sz w:val="24"/>
                <w:szCs w:val="24"/>
              </w:rPr>
              <w:t xml:space="preserve">For two years from Gabby </w:t>
            </w:r>
            <w:proofErr w:type="spellStart"/>
            <w:r>
              <w:rPr>
                <w:rFonts w:ascii="Arial" w:eastAsia="Arial" w:hAnsi="Arial" w:cs="Arial"/>
                <w:sz w:val="24"/>
                <w:szCs w:val="24"/>
              </w:rPr>
              <w:t>Bertin’s</w:t>
            </w:r>
            <w:proofErr w:type="spellEnd"/>
            <w:r>
              <w:rPr>
                <w:rFonts w:ascii="Arial" w:eastAsia="Arial" w:hAnsi="Arial" w:cs="Arial"/>
                <w:sz w:val="24"/>
                <w:szCs w:val="24"/>
              </w:rPr>
              <w:t xml:space="preserve"> last paid </w:t>
            </w:r>
            <w:r>
              <w:rPr>
                <w:rFonts w:ascii="Arial" w:eastAsia="Arial" w:hAnsi="Arial" w:cs="Arial"/>
                <w:sz w:val="24"/>
                <w:szCs w:val="24"/>
              </w:rPr>
              <w:t>day of service, she should not become personally involved in lobbying the UK Government on behalf of British Telecommunications.</w:t>
            </w:r>
          </w:p>
          <w:p w:rsidR="002072D3" w:rsidRDefault="002072D3">
            <w:pPr>
              <w:contextualSpacing w:val="0"/>
            </w:pPr>
          </w:p>
        </w:tc>
      </w:tr>
      <w:tr w:rsidR="002072D3">
        <w:trPr>
          <w:trHeight w:val="55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20"/>
              <w:contextualSpacing w:val="0"/>
              <w:jc w:val="center"/>
              <w:rPr>
                <w:rFonts w:ascii="Arial" w:eastAsia="Arial" w:hAnsi="Arial" w:cs="Arial"/>
                <w:sz w:val="24"/>
                <w:szCs w:val="24"/>
              </w:rPr>
            </w:pPr>
            <w:r>
              <w:rPr>
                <w:rFonts w:ascii="Arial" w:eastAsia="Arial" w:hAnsi="Arial" w:cs="Arial"/>
                <w:sz w:val="24"/>
                <w:szCs w:val="24"/>
              </w:rPr>
              <w:lastRenderedPageBreak/>
              <w:t>Christian Guy</w:t>
            </w:r>
          </w:p>
          <w:p w:rsidR="002072D3" w:rsidRDefault="002072D3">
            <w:pPr>
              <w:spacing w:after="220"/>
              <w:contextualSpacing w:val="0"/>
              <w:rPr>
                <w:rFonts w:ascii="Arial" w:eastAsia="Arial" w:hAnsi="Arial" w:cs="Arial"/>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20"/>
              <w:contextualSpacing w:val="0"/>
              <w:jc w:val="center"/>
              <w:rPr>
                <w:rFonts w:ascii="Arial" w:eastAsia="Arial" w:hAnsi="Arial" w:cs="Arial"/>
                <w:sz w:val="24"/>
                <w:szCs w:val="24"/>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20"/>
              <w:ind w:left="1"/>
              <w:contextualSpacing w:val="0"/>
              <w:jc w:val="center"/>
              <w:rPr>
                <w:rFonts w:ascii="Arial" w:eastAsia="Arial" w:hAnsi="Arial" w:cs="Arial"/>
                <w:sz w:val="24"/>
                <w:szCs w:val="24"/>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spacing w:after="220"/>
              <w:contextualSpacing w:val="0"/>
              <w:jc w:val="center"/>
              <w:rPr>
                <w:rFonts w:ascii="Arial" w:eastAsia="Arial" w:hAnsi="Arial" w:cs="Arial"/>
                <w:sz w:val="24"/>
                <w:szCs w:val="24"/>
              </w:rPr>
            </w:pPr>
            <w:r>
              <w:rPr>
                <w:rFonts w:ascii="Arial" w:eastAsia="Arial" w:hAnsi="Arial" w:cs="Arial"/>
                <w:sz w:val="24"/>
                <w:szCs w:val="24"/>
              </w:rPr>
              <w:t xml:space="preserve">Consultancy work – </w:t>
            </w:r>
            <w:proofErr w:type="spellStart"/>
            <w:r>
              <w:rPr>
                <w:rFonts w:ascii="Arial" w:eastAsia="Arial" w:hAnsi="Arial" w:cs="Arial"/>
                <w:sz w:val="24"/>
                <w:szCs w:val="24"/>
              </w:rPr>
              <w:t>Tearfund</w:t>
            </w:r>
            <w:proofErr w:type="spellEnd"/>
            <w:r>
              <w:rPr>
                <w:rFonts w:ascii="Arial" w:eastAsia="Arial" w:hAnsi="Arial" w:cs="Arial"/>
                <w:sz w:val="24"/>
                <w:szCs w:val="24"/>
              </w:rPr>
              <w:t xml:space="preserve"> and Policy Practice</w:t>
            </w:r>
          </w:p>
          <w:p w:rsidR="002072D3" w:rsidRDefault="002072D3">
            <w:pPr>
              <w:spacing w:after="220"/>
              <w:contextualSpacing w:val="0"/>
              <w:jc w:val="center"/>
              <w:rPr>
                <w:rFonts w:ascii="Arial" w:eastAsia="Arial" w:hAnsi="Arial" w:cs="Arial"/>
                <w:sz w:val="24"/>
                <w:szCs w:val="24"/>
              </w:rPr>
            </w:pPr>
          </w:p>
          <w:p w:rsidR="002072D3" w:rsidRDefault="002B164C">
            <w:pPr>
              <w:spacing w:after="220"/>
              <w:contextualSpacing w:val="0"/>
              <w:jc w:val="center"/>
              <w:rPr>
                <w:rFonts w:ascii="Arial" w:eastAsia="Arial" w:hAnsi="Arial" w:cs="Arial"/>
                <w:sz w:val="24"/>
                <w:szCs w:val="24"/>
              </w:rPr>
            </w:pPr>
            <w:r>
              <w:rPr>
                <w:rFonts w:ascii="Arial" w:eastAsia="Arial" w:hAnsi="Arial" w:cs="Arial"/>
                <w:sz w:val="24"/>
                <w:szCs w:val="24"/>
              </w:rPr>
              <w:t>October 2016</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the following conditions;</w:t>
            </w:r>
          </w:p>
          <w:p w:rsidR="002072D3" w:rsidRDefault="002072D3">
            <w:pPr>
              <w:contextualSpacing w:val="0"/>
              <w:rPr>
                <w:rFonts w:ascii="Arial" w:eastAsia="Arial" w:hAnsi="Arial" w:cs="Arial"/>
                <w:sz w:val="24"/>
                <w:szCs w:val="24"/>
              </w:rPr>
            </w:pPr>
          </w:p>
          <w:p w:rsidR="002072D3" w:rsidRDefault="002B164C">
            <w:pPr>
              <w:numPr>
                <w:ilvl w:val="0"/>
                <w:numId w:val="9"/>
              </w:numPr>
              <w:spacing w:line="259" w:lineRule="auto"/>
              <w:ind w:hanging="360"/>
              <w:rPr>
                <w:sz w:val="24"/>
                <w:szCs w:val="24"/>
              </w:rPr>
            </w:pPr>
            <w:r>
              <w:rPr>
                <w:rFonts w:ascii="Arial" w:eastAsia="Arial" w:hAnsi="Arial" w:cs="Arial"/>
                <w:sz w:val="24"/>
                <w:szCs w:val="24"/>
              </w:rPr>
              <w:t>Christian should not draw on (disclose or use for the benefit of himself or British Telecommunications to which this advice refers) any privileged information available to him from his time as a Crown servant</w:t>
            </w:r>
            <w:r>
              <w:rPr>
                <w:rFonts w:ascii="Arial" w:eastAsia="Arial" w:hAnsi="Arial" w:cs="Arial"/>
                <w:sz w:val="24"/>
                <w:szCs w:val="24"/>
              </w:rPr>
              <w:t>.</w:t>
            </w:r>
          </w:p>
          <w:p w:rsidR="002072D3" w:rsidRDefault="002072D3">
            <w:pPr>
              <w:spacing w:line="259" w:lineRule="auto"/>
              <w:ind w:left="720"/>
              <w:contextualSpacing w:val="0"/>
              <w:rPr>
                <w:rFonts w:ascii="Arial" w:eastAsia="Arial" w:hAnsi="Arial" w:cs="Arial"/>
                <w:sz w:val="24"/>
                <w:szCs w:val="24"/>
              </w:rPr>
            </w:pPr>
          </w:p>
          <w:p w:rsidR="002072D3" w:rsidRDefault="002B164C">
            <w:pPr>
              <w:numPr>
                <w:ilvl w:val="0"/>
                <w:numId w:val="9"/>
              </w:numPr>
              <w:spacing w:after="160" w:line="259" w:lineRule="auto"/>
              <w:ind w:hanging="360"/>
              <w:rPr>
                <w:sz w:val="24"/>
                <w:szCs w:val="24"/>
              </w:rPr>
            </w:pPr>
            <w:r>
              <w:rPr>
                <w:rFonts w:ascii="Arial" w:eastAsia="Arial" w:hAnsi="Arial" w:cs="Arial"/>
                <w:sz w:val="24"/>
                <w:szCs w:val="24"/>
              </w:rPr>
              <w:t xml:space="preserve">For two years from Christian’s last paid day of service, he should not become personally involved in lobbying the UK Government on behalf of </w:t>
            </w:r>
            <w:proofErr w:type="spellStart"/>
            <w:r>
              <w:rPr>
                <w:rFonts w:ascii="Arial" w:eastAsia="Arial" w:hAnsi="Arial" w:cs="Arial"/>
                <w:sz w:val="24"/>
                <w:szCs w:val="24"/>
              </w:rPr>
              <w:t>Tearfund</w:t>
            </w:r>
            <w:proofErr w:type="spellEnd"/>
            <w:r>
              <w:rPr>
                <w:rFonts w:ascii="Arial" w:eastAsia="Arial" w:hAnsi="Arial" w:cs="Arial"/>
                <w:sz w:val="24"/>
                <w:szCs w:val="24"/>
              </w:rPr>
              <w:t xml:space="preserve"> or Policy in Practice.</w:t>
            </w: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lastRenderedPageBreak/>
              <w:t>Christian Guy</w:t>
            </w: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Head of Global Development at Justice and Care</w:t>
            </w:r>
          </w:p>
          <w:p w:rsidR="002072D3" w:rsidRDefault="002072D3">
            <w:pPr>
              <w:contextualSpacing w:val="0"/>
              <w:jc w:val="center"/>
              <w:rPr>
                <w:rFonts w:ascii="Arial" w:eastAsia="Arial" w:hAnsi="Arial" w:cs="Arial"/>
                <w:sz w:val="24"/>
                <w:szCs w:val="24"/>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November 2016</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the following conditions;</w:t>
            </w:r>
          </w:p>
          <w:p w:rsidR="002072D3" w:rsidRDefault="002072D3">
            <w:pPr>
              <w:contextualSpacing w:val="0"/>
              <w:rPr>
                <w:rFonts w:ascii="Arial" w:eastAsia="Arial" w:hAnsi="Arial" w:cs="Arial"/>
                <w:sz w:val="24"/>
                <w:szCs w:val="24"/>
              </w:rPr>
            </w:pPr>
          </w:p>
          <w:p w:rsidR="002072D3" w:rsidRDefault="002B164C">
            <w:pPr>
              <w:numPr>
                <w:ilvl w:val="0"/>
                <w:numId w:val="1"/>
              </w:numPr>
              <w:ind w:hanging="360"/>
              <w:rPr>
                <w:rFonts w:ascii="Arial" w:eastAsia="Arial" w:hAnsi="Arial" w:cs="Arial"/>
                <w:sz w:val="24"/>
                <w:szCs w:val="24"/>
              </w:rPr>
            </w:pPr>
            <w:r>
              <w:rPr>
                <w:rFonts w:ascii="Arial" w:eastAsia="Arial" w:hAnsi="Arial" w:cs="Arial"/>
                <w:sz w:val="24"/>
                <w:szCs w:val="24"/>
              </w:rPr>
              <w:t>Christian should not draw on (disclose or use for the benefit of himself or Justice and Care to which this advice refers) any privileged information available to him from his time as a Crown servant.</w:t>
            </w:r>
          </w:p>
          <w:p w:rsidR="002072D3" w:rsidRDefault="002072D3">
            <w:pPr>
              <w:ind w:left="720"/>
              <w:contextualSpacing w:val="0"/>
              <w:rPr>
                <w:rFonts w:ascii="Arial" w:eastAsia="Arial" w:hAnsi="Arial" w:cs="Arial"/>
                <w:sz w:val="24"/>
                <w:szCs w:val="24"/>
              </w:rPr>
            </w:pPr>
          </w:p>
          <w:p w:rsidR="002072D3" w:rsidRDefault="002B164C">
            <w:pPr>
              <w:numPr>
                <w:ilvl w:val="0"/>
                <w:numId w:val="1"/>
              </w:numPr>
              <w:ind w:hanging="360"/>
              <w:rPr>
                <w:rFonts w:ascii="Arial" w:eastAsia="Arial" w:hAnsi="Arial" w:cs="Arial"/>
                <w:sz w:val="24"/>
                <w:szCs w:val="24"/>
              </w:rPr>
            </w:pPr>
            <w:r>
              <w:rPr>
                <w:rFonts w:ascii="Arial" w:eastAsia="Arial" w:hAnsi="Arial" w:cs="Arial"/>
                <w:sz w:val="24"/>
                <w:szCs w:val="24"/>
              </w:rPr>
              <w:t>For two years from Christian’s last paid day of service, he should not become personally involved in lobbying the UK Government on behalf of Justice and Care.</w:t>
            </w:r>
          </w:p>
          <w:p w:rsidR="002072D3" w:rsidRDefault="002072D3">
            <w:pPr>
              <w:contextualSpacing w:val="0"/>
              <w:rPr>
                <w:rFonts w:ascii="Arial" w:eastAsia="Arial" w:hAnsi="Arial" w:cs="Arial"/>
                <w:sz w:val="24"/>
                <w:szCs w:val="24"/>
              </w:rPr>
            </w:pP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Wyld</w:t>
            </w:r>
            <w:proofErr w:type="spellEnd"/>
            <w:r>
              <w:rPr>
                <w:rFonts w:ascii="Arial" w:eastAsia="Arial" w:hAnsi="Arial" w:cs="Arial"/>
                <w:sz w:val="24"/>
                <w:szCs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Head of the Prime Minister’s Appointment Unit</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August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Senior Counsel at The Str</w:t>
            </w:r>
            <w:r>
              <w:rPr>
                <w:rFonts w:ascii="Arial" w:eastAsia="Arial" w:hAnsi="Arial" w:cs="Arial"/>
                <w:sz w:val="24"/>
                <w:szCs w:val="24"/>
              </w:rPr>
              <w:t>ategic Communications Alliance</w:t>
            </w:r>
          </w:p>
          <w:p w:rsidR="002072D3" w:rsidRDefault="002072D3">
            <w:pPr>
              <w:contextualSpacing w:val="0"/>
              <w:jc w:val="center"/>
              <w:rPr>
                <w:rFonts w:ascii="Arial" w:eastAsia="Arial" w:hAnsi="Arial" w:cs="Arial"/>
                <w:sz w:val="24"/>
                <w:szCs w:val="24"/>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October 2016</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the following conditions:</w:t>
            </w:r>
          </w:p>
          <w:p w:rsidR="002072D3" w:rsidRDefault="002072D3">
            <w:pPr>
              <w:ind w:left="405"/>
              <w:contextualSpacing w:val="0"/>
              <w:rPr>
                <w:rFonts w:ascii="Arial" w:eastAsia="Arial" w:hAnsi="Arial" w:cs="Arial"/>
                <w:sz w:val="24"/>
                <w:szCs w:val="24"/>
              </w:rPr>
            </w:pPr>
          </w:p>
          <w:p w:rsidR="002072D3" w:rsidRDefault="002B164C">
            <w:pPr>
              <w:numPr>
                <w:ilvl w:val="0"/>
                <w:numId w:val="6"/>
              </w:numPr>
              <w:ind w:left="405" w:hanging="360"/>
              <w:rPr>
                <w:rFonts w:ascii="Arial" w:eastAsia="Arial" w:hAnsi="Arial" w:cs="Arial"/>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Wyld</w:t>
            </w:r>
            <w:proofErr w:type="spellEnd"/>
            <w:r>
              <w:rPr>
                <w:rFonts w:ascii="Arial" w:eastAsia="Arial" w:hAnsi="Arial" w:cs="Arial"/>
                <w:sz w:val="24"/>
                <w:szCs w:val="24"/>
              </w:rPr>
              <w:t xml:space="preserve"> should not draw on privileged information available to her as a Crown servant.</w:t>
            </w:r>
          </w:p>
          <w:p w:rsidR="002072D3" w:rsidRDefault="002B164C">
            <w:pPr>
              <w:numPr>
                <w:ilvl w:val="0"/>
                <w:numId w:val="6"/>
              </w:numPr>
              <w:spacing w:before="280" w:after="280"/>
              <w:ind w:left="405" w:hanging="360"/>
              <w:rPr>
                <w:rFonts w:ascii="Arial" w:eastAsia="Arial" w:hAnsi="Arial" w:cs="Arial"/>
                <w:sz w:val="24"/>
                <w:szCs w:val="24"/>
              </w:rPr>
            </w:pPr>
            <w:r>
              <w:rPr>
                <w:rFonts w:ascii="Arial" w:eastAsia="Arial" w:hAnsi="Arial" w:cs="Arial"/>
                <w:sz w:val="24"/>
                <w:szCs w:val="24"/>
              </w:rPr>
              <w:t>For two years from Laura’s last paid day of service, Laura should not become personally involved in lobbying the UK Government on behalf of The Strategic Communications Alliance.</w:t>
            </w:r>
          </w:p>
          <w:p w:rsidR="002072D3" w:rsidRDefault="002072D3">
            <w:pPr>
              <w:contextualSpacing w:val="0"/>
              <w:rPr>
                <w:rFonts w:ascii="Arial" w:eastAsia="Arial" w:hAnsi="Arial" w:cs="Arial"/>
                <w:sz w:val="24"/>
                <w:szCs w:val="24"/>
              </w:rPr>
            </w:pP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lastRenderedPageBreak/>
              <w:t xml:space="preserve">Laura </w:t>
            </w:r>
            <w:proofErr w:type="spellStart"/>
            <w:r>
              <w:rPr>
                <w:rFonts w:ascii="Arial" w:eastAsia="Arial" w:hAnsi="Arial" w:cs="Arial"/>
                <w:sz w:val="24"/>
                <w:szCs w:val="24"/>
              </w:rPr>
              <w:t>Wyld</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Head of the Prime Minister’s Appointment Unit</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August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Truste</w:t>
            </w:r>
            <w:r>
              <w:rPr>
                <w:rFonts w:ascii="Arial" w:eastAsia="Arial" w:hAnsi="Arial" w:cs="Arial"/>
                <w:sz w:val="24"/>
                <w:szCs w:val="24"/>
              </w:rPr>
              <w:t>e at the Urology Foundation</w:t>
            </w:r>
          </w:p>
          <w:p w:rsidR="002072D3" w:rsidRDefault="002072D3">
            <w:pPr>
              <w:contextualSpacing w:val="0"/>
              <w:jc w:val="center"/>
              <w:rPr>
                <w:rFonts w:ascii="Arial" w:eastAsia="Arial" w:hAnsi="Arial" w:cs="Arial"/>
                <w:sz w:val="24"/>
                <w:szCs w:val="24"/>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November 2016</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the following conditions:</w:t>
            </w:r>
          </w:p>
          <w:p w:rsidR="002072D3" w:rsidRDefault="002072D3">
            <w:pPr>
              <w:contextualSpacing w:val="0"/>
              <w:rPr>
                <w:rFonts w:ascii="Arial" w:eastAsia="Arial" w:hAnsi="Arial" w:cs="Arial"/>
                <w:sz w:val="24"/>
                <w:szCs w:val="24"/>
              </w:rPr>
            </w:pPr>
          </w:p>
          <w:p w:rsidR="002072D3" w:rsidRDefault="002B164C">
            <w:pPr>
              <w:numPr>
                <w:ilvl w:val="0"/>
                <w:numId w:val="7"/>
              </w:numPr>
              <w:spacing w:line="259" w:lineRule="auto"/>
              <w:ind w:hanging="360"/>
              <w:rPr>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Wyld</w:t>
            </w:r>
            <w:proofErr w:type="spellEnd"/>
            <w:r>
              <w:rPr>
                <w:rFonts w:ascii="Arial" w:eastAsia="Arial" w:hAnsi="Arial" w:cs="Arial"/>
                <w:sz w:val="24"/>
                <w:szCs w:val="24"/>
              </w:rPr>
              <w:t xml:space="preserve"> should not draw on privileged information available to her as a Crown servant.</w:t>
            </w:r>
          </w:p>
          <w:p w:rsidR="002072D3" w:rsidRDefault="002B164C">
            <w:pPr>
              <w:numPr>
                <w:ilvl w:val="0"/>
                <w:numId w:val="7"/>
              </w:numPr>
              <w:spacing w:after="160" w:line="259" w:lineRule="auto"/>
              <w:ind w:hanging="360"/>
              <w:rPr>
                <w:sz w:val="24"/>
                <w:szCs w:val="24"/>
              </w:rPr>
            </w:pPr>
            <w:r>
              <w:rPr>
                <w:rFonts w:ascii="Arial" w:eastAsia="Arial" w:hAnsi="Arial" w:cs="Arial"/>
                <w:sz w:val="24"/>
                <w:szCs w:val="24"/>
              </w:rPr>
              <w:t>For twelve months from Laura’s last paid day of service, Laura should not become personally involved in lobbying the UK Government on behalf of Urology Foundation.</w:t>
            </w:r>
          </w:p>
          <w:p w:rsidR="002072D3" w:rsidRDefault="002072D3">
            <w:pPr>
              <w:contextualSpacing w:val="0"/>
              <w:rPr>
                <w:rFonts w:ascii="Arial" w:eastAsia="Arial" w:hAnsi="Arial" w:cs="Arial"/>
                <w:sz w:val="24"/>
                <w:szCs w:val="24"/>
              </w:rPr>
            </w:pP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Laurence Mann</w:t>
            </w: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Chief of Staff in The Office of David Cameron</w:t>
            </w:r>
          </w:p>
          <w:p w:rsidR="002072D3" w:rsidRDefault="002072D3">
            <w:pPr>
              <w:contextualSpacing w:val="0"/>
              <w:jc w:val="center"/>
              <w:rPr>
                <w:rFonts w:ascii="Arial" w:eastAsia="Arial" w:hAnsi="Arial" w:cs="Arial"/>
                <w:sz w:val="24"/>
                <w:szCs w:val="24"/>
              </w:rPr>
            </w:pPr>
          </w:p>
          <w:p w:rsidR="002072D3" w:rsidRDefault="002B164C">
            <w:pPr>
              <w:contextualSpacing w:val="0"/>
              <w:jc w:val="center"/>
              <w:rPr>
                <w:rFonts w:ascii="Arial" w:eastAsia="Arial" w:hAnsi="Arial" w:cs="Arial"/>
                <w:sz w:val="24"/>
                <w:szCs w:val="24"/>
              </w:rPr>
            </w:pPr>
            <w:r>
              <w:rPr>
                <w:rFonts w:ascii="Arial" w:eastAsia="Arial" w:hAnsi="Arial" w:cs="Arial"/>
                <w:sz w:val="24"/>
                <w:szCs w:val="24"/>
              </w:rPr>
              <w:t>December 2016</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the following conditions:</w:t>
            </w:r>
          </w:p>
          <w:p w:rsidR="002072D3" w:rsidRDefault="002072D3">
            <w:pPr>
              <w:contextualSpacing w:val="0"/>
              <w:rPr>
                <w:rFonts w:ascii="Arial" w:eastAsia="Arial" w:hAnsi="Arial" w:cs="Arial"/>
                <w:sz w:val="24"/>
                <w:szCs w:val="24"/>
              </w:rPr>
            </w:pPr>
          </w:p>
          <w:p w:rsidR="002072D3" w:rsidRDefault="002B164C">
            <w:pPr>
              <w:numPr>
                <w:ilvl w:val="0"/>
                <w:numId w:val="3"/>
              </w:numPr>
              <w:ind w:left="405" w:hanging="360"/>
              <w:rPr>
                <w:rFonts w:ascii="Arial" w:eastAsia="Arial" w:hAnsi="Arial" w:cs="Arial"/>
                <w:sz w:val="24"/>
                <w:szCs w:val="24"/>
              </w:rPr>
            </w:pPr>
            <w:r>
              <w:rPr>
                <w:rFonts w:ascii="Arial" w:eastAsia="Arial" w:hAnsi="Arial" w:cs="Arial"/>
                <w:sz w:val="24"/>
                <w:szCs w:val="24"/>
              </w:rPr>
              <w:t>Laurence Mann should not draw on privileged information available to him as a Crown servant.</w:t>
            </w:r>
          </w:p>
          <w:p w:rsidR="002072D3" w:rsidRDefault="002B164C">
            <w:pPr>
              <w:numPr>
                <w:ilvl w:val="0"/>
                <w:numId w:val="3"/>
              </w:numPr>
              <w:ind w:left="405" w:hanging="360"/>
              <w:rPr>
                <w:rFonts w:ascii="Arial" w:eastAsia="Arial" w:hAnsi="Arial" w:cs="Arial"/>
                <w:sz w:val="24"/>
                <w:szCs w:val="24"/>
              </w:rPr>
            </w:pPr>
            <w:bookmarkStart w:id="1" w:name="_gjdgxs" w:colFirst="0" w:colLast="0"/>
            <w:bookmarkEnd w:id="1"/>
            <w:r>
              <w:rPr>
                <w:rFonts w:ascii="Arial" w:eastAsia="Arial" w:hAnsi="Arial" w:cs="Arial"/>
                <w:sz w:val="24"/>
                <w:szCs w:val="24"/>
                <w:highlight w:val="white"/>
              </w:rPr>
              <w:t>For 12 months from Laurence’s last day in service, he should not become personally involved in lobbyin</w:t>
            </w:r>
            <w:r>
              <w:rPr>
                <w:rFonts w:ascii="Arial" w:eastAsia="Arial" w:hAnsi="Arial" w:cs="Arial"/>
                <w:sz w:val="24"/>
                <w:szCs w:val="24"/>
                <w:highlight w:val="white"/>
              </w:rPr>
              <w:t>g the UK Government on behalf of The Office of David Cameron</w:t>
            </w:r>
            <w:r>
              <w:rPr>
                <w:rFonts w:ascii="Arial" w:eastAsia="Arial" w:hAnsi="Arial" w:cs="Arial"/>
                <w:sz w:val="24"/>
                <w:szCs w:val="24"/>
              </w:rPr>
              <w:t>.</w:t>
            </w:r>
            <w:r>
              <w:rPr>
                <w:rFonts w:ascii="Arial" w:eastAsia="Arial" w:hAnsi="Arial" w:cs="Arial"/>
                <w:sz w:val="24"/>
                <w:szCs w:val="24"/>
                <w:highlight w:val="white"/>
              </w:rPr>
              <w:t xml:space="preserve"> This does not preclude routine contact on matters aligned with Government policy.</w:t>
            </w:r>
          </w:p>
          <w:p w:rsidR="002072D3" w:rsidRDefault="002072D3">
            <w:pPr>
              <w:contextualSpacing w:val="0"/>
              <w:rPr>
                <w:rFonts w:ascii="Arial" w:eastAsia="Arial" w:hAnsi="Arial" w:cs="Arial"/>
                <w:sz w:val="24"/>
                <w:szCs w:val="24"/>
              </w:rPr>
            </w:pP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lastRenderedPageBreak/>
              <w:t xml:space="preserve">Mats </w:t>
            </w:r>
            <w:proofErr w:type="spellStart"/>
            <w:r>
              <w:rPr>
                <w:rFonts w:ascii="Arial" w:eastAsia="Arial" w:hAnsi="Arial" w:cs="Arial"/>
                <w:sz w:val="24"/>
                <w:szCs w:val="24"/>
              </w:rPr>
              <w:t>Persson</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Special Adviser</w:t>
            </w: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July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 xml:space="preserve">Executive Director at Ernst &amp; Young </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072D3">
            <w:pPr>
              <w:contextualSpacing w:val="0"/>
              <w:rPr>
                <w:rFonts w:ascii="Arial" w:eastAsia="Arial" w:hAnsi="Arial" w:cs="Arial"/>
                <w:sz w:val="24"/>
                <w:szCs w:val="24"/>
              </w:rPr>
            </w:pPr>
          </w:p>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following conditions:</w:t>
            </w:r>
          </w:p>
          <w:p w:rsidR="002072D3" w:rsidRDefault="002072D3">
            <w:pPr>
              <w:contextualSpacing w:val="0"/>
              <w:rPr>
                <w:rFonts w:ascii="Arial" w:eastAsia="Arial" w:hAnsi="Arial" w:cs="Arial"/>
                <w:sz w:val="24"/>
                <w:szCs w:val="24"/>
              </w:rPr>
            </w:pPr>
          </w:p>
          <w:p w:rsidR="002072D3" w:rsidRDefault="002B164C">
            <w:pPr>
              <w:numPr>
                <w:ilvl w:val="0"/>
                <w:numId w:val="5"/>
              </w:numPr>
              <w:ind w:left="405" w:hanging="360"/>
              <w:rPr>
                <w:rFonts w:ascii="Arial" w:eastAsia="Arial" w:hAnsi="Arial" w:cs="Arial"/>
                <w:sz w:val="24"/>
                <w:szCs w:val="24"/>
              </w:rPr>
            </w:pPr>
            <w:r>
              <w:rPr>
                <w:rFonts w:ascii="Arial" w:eastAsia="Arial" w:hAnsi="Arial" w:cs="Arial"/>
                <w:sz w:val="24"/>
                <w:szCs w:val="24"/>
              </w:rPr>
              <w:t xml:space="preserve">Mats </w:t>
            </w:r>
            <w:proofErr w:type="spellStart"/>
            <w:r>
              <w:rPr>
                <w:rFonts w:ascii="Arial" w:eastAsia="Arial" w:hAnsi="Arial" w:cs="Arial"/>
                <w:sz w:val="24"/>
                <w:szCs w:val="24"/>
              </w:rPr>
              <w:t>Persson</w:t>
            </w:r>
            <w:proofErr w:type="spellEnd"/>
            <w:r>
              <w:rPr>
                <w:rFonts w:ascii="Arial" w:eastAsia="Arial" w:hAnsi="Arial" w:cs="Arial"/>
                <w:sz w:val="24"/>
                <w:szCs w:val="24"/>
              </w:rPr>
              <w:t xml:space="preserve"> should not draw on privileged information available to him as a Crown servant.</w:t>
            </w:r>
          </w:p>
          <w:p w:rsidR="002072D3" w:rsidRDefault="002B164C">
            <w:pPr>
              <w:numPr>
                <w:ilvl w:val="0"/>
                <w:numId w:val="5"/>
              </w:numPr>
              <w:spacing w:before="280" w:after="280"/>
              <w:ind w:left="405" w:hanging="360"/>
              <w:rPr>
                <w:rFonts w:ascii="Arial" w:eastAsia="Arial" w:hAnsi="Arial" w:cs="Arial"/>
                <w:sz w:val="24"/>
                <w:szCs w:val="24"/>
              </w:rPr>
            </w:pPr>
            <w:r>
              <w:rPr>
                <w:rFonts w:ascii="Arial" w:eastAsia="Arial" w:hAnsi="Arial" w:cs="Arial"/>
                <w:sz w:val="24"/>
                <w:szCs w:val="24"/>
              </w:rPr>
              <w:t>For two years from Mats last paid day of service, he should not become personally involved in lobbying the UK Government on behalf of Ernst &amp; Young.</w:t>
            </w:r>
          </w:p>
          <w:p w:rsidR="002072D3" w:rsidRDefault="002072D3">
            <w:pPr>
              <w:contextualSpacing w:val="0"/>
              <w:rPr>
                <w:rFonts w:ascii="Arial" w:eastAsia="Arial" w:hAnsi="Arial" w:cs="Arial"/>
                <w:sz w:val="24"/>
                <w:szCs w:val="24"/>
              </w:rPr>
            </w:pPr>
          </w:p>
        </w:tc>
      </w:tr>
      <w:tr w:rsidR="002072D3">
        <w:trPr>
          <w:trHeight w:val="4040"/>
        </w:trPr>
        <w:tc>
          <w:tcPr>
            <w:tcW w:w="1952"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Rachel Wolf</w:t>
            </w:r>
          </w:p>
        </w:tc>
        <w:tc>
          <w:tcPr>
            <w:tcW w:w="2834"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 xml:space="preserve">Special Adviser </w:t>
            </w:r>
          </w:p>
          <w:p w:rsidR="002072D3" w:rsidRDefault="002072D3">
            <w:pPr>
              <w:spacing w:after="218"/>
              <w:contextualSpacing w:val="0"/>
              <w:jc w:val="center"/>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72D3" w:rsidRDefault="002B164C">
            <w:pPr>
              <w:spacing w:after="218"/>
              <w:contextualSpacing w:val="0"/>
              <w:jc w:val="center"/>
              <w:rPr>
                <w:rFonts w:ascii="Arial" w:eastAsia="Arial" w:hAnsi="Arial" w:cs="Arial"/>
                <w:sz w:val="24"/>
                <w:szCs w:val="24"/>
              </w:rPr>
            </w:pPr>
            <w:r>
              <w:rPr>
                <w:rFonts w:ascii="Arial" w:eastAsia="Arial" w:hAnsi="Arial" w:cs="Arial"/>
                <w:sz w:val="24"/>
                <w:szCs w:val="24"/>
              </w:rPr>
              <w:t>August 2016</w:t>
            </w:r>
          </w:p>
        </w:tc>
        <w:tc>
          <w:tcPr>
            <w:tcW w:w="3608" w:type="dxa"/>
            <w:tcBorders>
              <w:top w:val="single" w:sz="4" w:space="0" w:color="000000"/>
              <w:left w:val="single" w:sz="4" w:space="0" w:color="000000"/>
              <w:bottom w:val="single" w:sz="4" w:space="0" w:color="000000"/>
              <w:right w:val="single" w:sz="4" w:space="0" w:color="000000"/>
            </w:tcBorders>
          </w:tcPr>
          <w:p w:rsidR="002072D3" w:rsidRDefault="002B164C">
            <w:pPr>
              <w:contextualSpacing w:val="0"/>
              <w:jc w:val="center"/>
              <w:rPr>
                <w:rFonts w:ascii="Arial" w:eastAsia="Arial" w:hAnsi="Arial" w:cs="Arial"/>
                <w:sz w:val="24"/>
                <w:szCs w:val="24"/>
              </w:rPr>
            </w:pPr>
            <w:r>
              <w:rPr>
                <w:rFonts w:ascii="Arial" w:eastAsia="Arial" w:hAnsi="Arial" w:cs="Arial"/>
                <w:sz w:val="24"/>
                <w:szCs w:val="24"/>
              </w:rPr>
              <w:t>Consultant at Public First</w:t>
            </w:r>
          </w:p>
        </w:tc>
        <w:tc>
          <w:tcPr>
            <w:tcW w:w="5372" w:type="dxa"/>
            <w:tcBorders>
              <w:top w:val="single" w:sz="4" w:space="0" w:color="000000"/>
              <w:left w:val="single" w:sz="4" w:space="0" w:color="000000"/>
              <w:bottom w:val="single" w:sz="4" w:space="0" w:color="000000"/>
              <w:right w:val="single" w:sz="4" w:space="0" w:color="000000"/>
            </w:tcBorders>
            <w:vAlign w:val="center"/>
          </w:tcPr>
          <w:p w:rsidR="002072D3" w:rsidRDefault="002B164C">
            <w:pPr>
              <w:contextualSpacing w:val="0"/>
              <w:rPr>
                <w:rFonts w:ascii="Arial" w:eastAsia="Arial" w:hAnsi="Arial" w:cs="Arial"/>
                <w:sz w:val="24"/>
                <w:szCs w:val="24"/>
              </w:rPr>
            </w:pPr>
            <w:r>
              <w:rPr>
                <w:rFonts w:ascii="Arial" w:eastAsia="Arial" w:hAnsi="Arial" w:cs="Arial"/>
                <w:sz w:val="24"/>
                <w:szCs w:val="24"/>
              </w:rPr>
              <w:t>Approved Subject to following condit</w:t>
            </w:r>
            <w:r>
              <w:rPr>
                <w:rFonts w:ascii="Arial" w:eastAsia="Arial" w:hAnsi="Arial" w:cs="Arial"/>
                <w:sz w:val="24"/>
                <w:szCs w:val="24"/>
              </w:rPr>
              <w:t xml:space="preserve">ions: </w:t>
            </w:r>
          </w:p>
          <w:p w:rsidR="002072D3" w:rsidRDefault="002072D3">
            <w:pPr>
              <w:contextualSpacing w:val="0"/>
              <w:rPr>
                <w:rFonts w:ascii="Arial" w:eastAsia="Arial" w:hAnsi="Arial" w:cs="Arial"/>
                <w:sz w:val="24"/>
                <w:szCs w:val="24"/>
              </w:rPr>
            </w:pPr>
          </w:p>
          <w:p w:rsidR="002072D3" w:rsidRDefault="002B164C">
            <w:pPr>
              <w:numPr>
                <w:ilvl w:val="0"/>
                <w:numId w:val="2"/>
              </w:numPr>
              <w:ind w:left="405" w:hanging="360"/>
              <w:rPr>
                <w:rFonts w:ascii="Arial" w:eastAsia="Arial" w:hAnsi="Arial" w:cs="Arial"/>
                <w:sz w:val="24"/>
                <w:szCs w:val="24"/>
              </w:rPr>
            </w:pPr>
            <w:r>
              <w:rPr>
                <w:rFonts w:ascii="Arial" w:eastAsia="Arial" w:hAnsi="Arial" w:cs="Arial"/>
                <w:sz w:val="24"/>
                <w:szCs w:val="24"/>
              </w:rPr>
              <w:t>Rachel Wolf should not draw on privileged information available to her as a Crown servant.</w:t>
            </w:r>
          </w:p>
          <w:p w:rsidR="002072D3" w:rsidRDefault="002B164C">
            <w:pPr>
              <w:numPr>
                <w:ilvl w:val="0"/>
                <w:numId w:val="2"/>
              </w:numPr>
              <w:spacing w:before="280" w:after="280"/>
              <w:ind w:left="405" w:hanging="360"/>
              <w:rPr>
                <w:rFonts w:ascii="Arial" w:eastAsia="Arial" w:hAnsi="Arial" w:cs="Arial"/>
                <w:sz w:val="24"/>
                <w:szCs w:val="24"/>
              </w:rPr>
            </w:pPr>
            <w:r>
              <w:rPr>
                <w:rFonts w:ascii="Arial" w:eastAsia="Arial" w:hAnsi="Arial" w:cs="Arial"/>
                <w:sz w:val="24"/>
                <w:szCs w:val="24"/>
              </w:rPr>
              <w:t>For two years from the last paid day of service, Rachel Wolf should not become personally involved in lobbying the UK Government on behalf of Public First or make use, directly or indirectly, of contact in Government and/or Crown service to influence polic</w:t>
            </w:r>
            <w:r>
              <w:rPr>
                <w:rFonts w:ascii="Arial" w:eastAsia="Arial" w:hAnsi="Arial" w:cs="Arial"/>
                <w:sz w:val="24"/>
                <w:szCs w:val="24"/>
              </w:rPr>
              <w:t>y or secure business on behalf of Public First.</w:t>
            </w:r>
          </w:p>
          <w:p w:rsidR="002072D3" w:rsidRDefault="002072D3">
            <w:pPr>
              <w:contextualSpacing w:val="0"/>
              <w:rPr>
                <w:rFonts w:ascii="Arial" w:eastAsia="Arial" w:hAnsi="Arial" w:cs="Arial"/>
                <w:sz w:val="24"/>
                <w:szCs w:val="24"/>
              </w:rPr>
            </w:pPr>
          </w:p>
        </w:tc>
      </w:tr>
    </w:tbl>
    <w:p w:rsidR="002072D3" w:rsidRDefault="002B164C">
      <w:pPr>
        <w:spacing w:after="0"/>
        <w:jc w:val="both"/>
      </w:pPr>
      <w:r>
        <w:rPr>
          <w:rFonts w:ascii="Arial" w:eastAsia="Arial" w:hAnsi="Arial" w:cs="Arial"/>
          <w:sz w:val="24"/>
          <w:szCs w:val="24"/>
        </w:rPr>
        <w:t xml:space="preserve"> </w:t>
      </w:r>
    </w:p>
    <w:sectPr w:rsidR="002072D3">
      <w:pgSz w:w="16838" w:h="11906"/>
      <w:pgMar w:top="1445" w:right="1628" w:bottom="13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376"/>
    <w:multiLevelType w:val="multilevel"/>
    <w:tmpl w:val="175EF70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C571EA8"/>
    <w:multiLevelType w:val="multilevel"/>
    <w:tmpl w:val="B4245E4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313613AA"/>
    <w:multiLevelType w:val="multilevel"/>
    <w:tmpl w:val="15E0806C"/>
    <w:lvl w:ilvl="0">
      <w:start w:val="1"/>
      <w:numFmt w:val="decimal"/>
      <w:lvlText w:val="%1."/>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363C49BC"/>
    <w:multiLevelType w:val="multilevel"/>
    <w:tmpl w:val="DB4A5CAA"/>
    <w:lvl w:ilvl="0">
      <w:start w:val="1"/>
      <w:numFmt w:val="decimal"/>
      <w:lvlText w:val="%1."/>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45C96E51"/>
    <w:multiLevelType w:val="multilevel"/>
    <w:tmpl w:val="D12E838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48B1677B"/>
    <w:multiLevelType w:val="multilevel"/>
    <w:tmpl w:val="643814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67F746F6"/>
    <w:multiLevelType w:val="multilevel"/>
    <w:tmpl w:val="2140E16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718A1225"/>
    <w:multiLevelType w:val="multilevel"/>
    <w:tmpl w:val="7042F95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766018D5"/>
    <w:multiLevelType w:val="multilevel"/>
    <w:tmpl w:val="C11494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6"/>
  </w:num>
  <w:num w:numId="2">
    <w:abstractNumId w:val="8"/>
  </w:num>
  <w:num w:numId="3">
    <w:abstractNumId w:val="7"/>
  </w:num>
  <w:num w:numId="4">
    <w:abstractNumId w:val="0"/>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D3"/>
    <w:rsid w:val="002072D3"/>
    <w:rsid w:val="002B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8E1A0-9D5F-4F57-8658-92FD7113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53" w:type="dxa"/>
        <w:right w:w="115" w:type="dxa"/>
      </w:tblCellMar>
    </w:tblPr>
  </w:style>
  <w:style w:type="table" w:customStyle="1" w:styleId="a0">
    <w:basedOn w:val="TableNormal"/>
    <w:pPr>
      <w:spacing w:after="0" w:line="240" w:lineRule="auto"/>
      <w:contextualSpacing/>
    </w:pPr>
    <w:tblPr>
      <w:tblStyleRowBandSize w:val="1"/>
      <w:tblStyleColBandSize w:val="1"/>
      <w:tblCellMar>
        <w:top w:w="51" w:type="dxa"/>
        <w:bottom w:w="9" w:type="dxa"/>
        <w:right w:w="115" w:type="dxa"/>
      </w:tblCellMar>
    </w:tblPr>
  </w:style>
  <w:style w:type="table" w:customStyle="1" w:styleId="a1">
    <w:basedOn w:val="TableNormal"/>
    <w:pPr>
      <w:spacing w:after="0" w:line="240" w:lineRule="auto"/>
      <w:contextualSpacing/>
    </w:pPr>
    <w:tblPr>
      <w:tblStyleRowBandSize w:val="1"/>
      <w:tblStyleColBandSize w:val="1"/>
      <w:tblCellMar>
        <w:top w:w="5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Cooke</dc:creator>
  <cp:lastModifiedBy>Bethan Cooke</cp:lastModifiedBy>
  <cp:revision>2</cp:revision>
  <dcterms:created xsi:type="dcterms:W3CDTF">2017-03-30T11:18:00Z</dcterms:created>
  <dcterms:modified xsi:type="dcterms:W3CDTF">2017-03-30T11:18:00Z</dcterms:modified>
</cp:coreProperties>
</file>