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3BA" w:rsidRPr="00004346" w:rsidRDefault="0009527B" w:rsidP="00911331">
      <w:pPr>
        <w:pStyle w:val="Heading1"/>
      </w:pPr>
      <w:bookmarkStart w:id="0" w:name="_GoBack"/>
      <w:bookmarkEnd w:id="0"/>
      <w:r>
        <w:t>Methodology for the PbR re-offending baselines</w:t>
      </w:r>
    </w:p>
    <w:p w:rsidR="00A33990" w:rsidRPr="00004346" w:rsidRDefault="00A33990" w:rsidP="00A33990">
      <w:pPr>
        <w:pStyle w:val="Heading3"/>
      </w:pPr>
      <w:r w:rsidRPr="00004346">
        <w:t>Introduction</w:t>
      </w:r>
    </w:p>
    <w:p w:rsidR="00A33990" w:rsidRPr="00004346" w:rsidRDefault="00A33990" w:rsidP="00A33990">
      <w:pPr>
        <w:rPr>
          <w:rFonts w:ascii="Arial" w:hAnsi="Arial" w:cs="Arial"/>
          <w:sz w:val="20"/>
          <w:szCs w:val="20"/>
        </w:rPr>
      </w:pPr>
      <w:r w:rsidRPr="00004346">
        <w:rPr>
          <w:rFonts w:ascii="Arial" w:hAnsi="Arial" w:cs="Arial"/>
          <w:sz w:val="20"/>
          <w:szCs w:val="20"/>
        </w:rPr>
        <w:t xml:space="preserve">This document describes the </w:t>
      </w:r>
      <w:r w:rsidR="002C56B1" w:rsidRPr="00004346">
        <w:rPr>
          <w:rFonts w:ascii="Arial" w:hAnsi="Arial" w:cs="Arial"/>
          <w:sz w:val="20"/>
          <w:szCs w:val="20"/>
        </w:rPr>
        <w:t xml:space="preserve">process that was followed to calculate the reoffending baselines </w:t>
      </w:r>
      <w:r w:rsidRPr="00004346">
        <w:rPr>
          <w:rFonts w:ascii="Arial" w:hAnsi="Arial" w:cs="Arial"/>
          <w:sz w:val="20"/>
          <w:szCs w:val="20"/>
        </w:rPr>
        <w:t>to be used when measuring the results of the Pa</w:t>
      </w:r>
      <w:r w:rsidR="002C56B1" w:rsidRPr="00004346">
        <w:rPr>
          <w:rFonts w:ascii="Arial" w:hAnsi="Arial" w:cs="Arial"/>
          <w:sz w:val="20"/>
          <w:szCs w:val="20"/>
        </w:rPr>
        <w:t xml:space="preserve">yment by Results (PbR) cohorts; it addresses the point estimation of the baselines </w:t>
      </w:r>
      <w:r w:rsidR="00D721C9">
        <w:rPr>
          <w:rFonts w:ascii="Arial" w:hAnsi="Arial" w:cs="Arial"/>
          <w:sz w:val="20"/>
          <w:szCs w:val="20"/>
        </w:rPr>
        <w:t xml:space="preserve">and </w:t>
      </w:r>
      <w:r w:rsidR="002C56B1" w:rsidRPr="00004346">
        <w:rPr>
          <w:rFonts w:ascii="Arial" w:hAnsi="Arial" w:cs="Arial"/>
          <w:sz w:val="20"/>
          <w:szCs w:val="20"/>
        </w:rPr>
        <w:t xml:space="preserve">the intervals and </w:t>
      </w:r>
      <w:r w:rsidR="00D721C9">
        <w:rPr>
          <w:rFonts w:ascii="Arial" w:hAnsi="Arial" w:cs="Arial"/>
          <w:sz w:val="20"/>
          <w:szCs w:val="20"/>
        </w:rPr>
        <w:t xml:space="preserve">the </w:t>
      </w:r>
      <w:r w:rsidR="002C56B1" w:rsidRPr="00004346">
        <w:rPr>
          <w:rFonts w:ascii="Arial" w:hAnsi="Arial" w:cs="Arial"/>
          <w:sz w:val="20"/>
          <w:szCs w:val="20"/>
        </w:rPr>
        <w:t>thresholds that will be used to increase/reduce payment or terminate the contracts. It is meant to allow a non-technical understanding of the process.</w:t>
      </w:r>
    </w:p>
    <w:p w:rsidR="0099281B" w:rsidRPr="00004346" w:rsidRDefault="00FB0D3B" w:rsidP="0099281B">
      <w:pPr>
        <w:pStyle w:val="Heading3"/>
      </w:pPr>
      <w:r w:rsidRPr="00004346">
        <w:t>High level p</w:t>
      </w:r>
      <w:r w:rsidR="0099281B" w:rsidRPr="00004346">
        <w:t>rocess</w:t>
      </w:r>
    </w:p>
    <w:p w:rsidR="0099281B" w:rsidRPr="00004346" w:rsidRDefault="00FB0D3B" w:rsidP="001D475C">
      <w:pPr>
        <w:tabs>
          <w:tab w:val="left" w:pos="7594"/>
        </w:tabs>
        <w:rPr>
          <w:rFonts w:ascii="Arial" w:hAnsi="Arial" w:cs="Arial"/>
          <w:sz w:val="20"/>
          <w:szCs w:val="20"/>
        </w:rPr>
      </w:pPr>
      <w:r w:rsidRPr="00004346">
        <w:rPr>
          <w:rFonts w:ascii="Arial" w:hAnsi="Arial" w:cs="Arial"/>
          <w:sz w:val="20"/>
          <w:szCs w:val="20"/>
        </w:rPr>
        <w:t>The steps followed were</w:t>
      </w:r>
      <w:r w:rsidR="0099281B" w:rsidRPr="00004346">
        <w:rPr>
          <w:rFonts w:ascii="Arial" w:hAnsi="Arial" w:cs="Arial"/>
          <w:sz w:val="20"/>
          <w:szCs w:val="20"/>
        </w:rPr>
        <w:t>:</w:t>
      </w:r>
      <w:r w:rsidR="001D475C" w:rsidRPr="00004346">
        <w:rPr>
          <w:rFonts w:ascii="Arial" w:hAnsi="Arial" w:cs="Arial"/>
          <w:sz w:val="20"/>
          <w:szCs w:val="20"/>
        </w:rPr>
        <w:tab/>
      </w:r>
    </w:p>
    <w:p w:rsidR="0099281B" w:rsidRPr="00004346" w:rsidRDefault="0099281B" w:rsidP="0099281B">
      <w:pPr>
        <w:numPr>
          <w:ilvl w:val="0"/>
          <w:numId w:val="10"/>
        </w:numPr>
        <w:rPr>
          <w:rFonts w:ascii="Arial" w:hAnsi="Arial" w:cs="Arial"/>
          <w:sz w:val="20"/>
          <w:szCs w:val="20"/>
        </w:rPr>
      </w:pPr>
      <w:r w:rsidRPr="00004346">
        <w:rPr>
          <w:rFonts w:ascii="Arial" w:hAnsi="Arial" w:cs="Arial"/>
          <w:sz w:val="20"/>
          <w:szCs w:val="20"/>
        </w:rPr>
        <w:t xml:space="preserve">Cohort </w:t>
      </w:r>
      <w:r w:rsidR="00FB0D3B" w:rsidRPr="00004346">
        <w:rPr>
          <w:rFonts w:ascii="Arial" w:hAnsi="Arial" w:cs="Arial"/>
          <w:sz w:val="20"/>
          <w:szCs w:val="20"/>
        </w:rPr>
        <w:t xml:space="preserve">definition and </w:t>
      </w:r>
      <w:r w:rsidRPr="00004346">
        <w:rPr>
          <w:rFonts w:ascii="Arial" w:hAnsi="Arial" w:cs="Arial"/>
          <w:sz w:val="20"/>
          <w:szCs w:val="20"/>
        </w:rPr>
        <w:t>selection</w:t>
      </w:r>
    </w:p>
    <w:p w:rsidR="0099281B" w:rsidRPr="00004346" w:rsidRDefault="0099281B" w:rsidP="0099281B">
      <w:pPr>
        <w:numPr>
          <w:ilvl w:val="0"/>
          <w:numId w:val="10"/>
        </w:numPr>
        <w:rPr>
          <w:rFonts w:ascii="Arial" w:hAnsi="Arial" w:cs="Arial"/>
          <w:sz w:val="20"/>
          <w:szCs w:val="20"/>
        </w:rPr>
      </w:pPr>
      <w:r w:rsidRPr="00004346">
        <w:rPr>
          <w:rFonts w:ascii="Arial" w:hAnsi="Arial" w:cs="Arial"/>
          <w:sz w:val="20"/>
          <w:szCs w:val="20"/>
        </w:rPr>
        <w:t>Index offence match</w:t>
      </w:r>
      <w:r w:rsidR="00707797" w:rsidRPr="00004346">
        <w:rPr>
          <w:rFonts w:ascii="Arial" w:hAnsi="Arial" w:cs="Arial"/>
          <w:sz w:val="20"/>
          <w:szCs w:val="20"/>
        </w:rPr>
        <w:t xml:space="preserve"> to the PNC</w:t>
      </w:r>
    </w:p>
    <w:p w:rsidR="0099281B" w:rsidRPr="00004346" w:rsidRDefault="0099281B" w:rsidP="0099281B">
      <w:pPr>
        <w:numPr>
          <w:ilvl w:val="0"/>
          <w:numId w:val="10"/>
        </w:numPr>
        <w:rPr>
          <w:rFonts w:ascii="Arial" w:hAnsi="Arial" w:cs="Arial"/>
          <w:sz w:val="20"/>
          <w:szCs w:val="20"/>
        </w:rPr>
      </w:pPr>
      <w:r w:rsidRPr="00004346">
        <w:rPr>
          <w:rFonts w:ascii="Arial" w:hAnsi="Arial" w:cs="Arial"/>
          <w:sz w:val="20"/>
          <w:szCs w:val="20"/>
        </w:rPr>
        <w:t>Reoffences counting</w:t>
      </w:r>
    </w:p>
    <w:p w:rsidR="005B480A" w:rsidRPr="00004346" w:rsidRDefault="005B480A" w:rsidP="00FB0D3B">
      <w:pPr>
        <w:numPr>
          <w:ilvl w:val="0"/>
          <w:numId w:val="10"/>
        </w:numPr>
        <w:rPr>
          <w:rFonts w:ascii="Arial" w:hAnsi="Arial" w:cs="Arial"/>
          <w:sz w:val="20"/>
          <w:szCs w:val="20"/>
        </w:rPr>
      </w:pPr>
      <w:r w:rsidRPr="00004346">
        <w:rPr>
          <w:rFonts w:ascii="Arial" w:hAnsi="Arial" w:cs="Arial"/>
          <w:sz w:val="20"/>
          <w:szCs w:val="20"/>
        </w:rPr>
        <w:t>Risk scores calculation</w:t>
      </w:r>
      <w:r w:rsidR="00FB0D3B" w:rsidRPr="00004346">
        <w:rPr>
          <w:rFonts w:ascii="Arial" w:hAnsi="Arial" w:cs="Arial"/>
          <w:sz w:val="20"/>
          <w:szCs w:val="20"/>
        </w:rPr>
        <w:t xml:space="preserve"> &amp; </w:t>
      </w:r>
      <w:r w:rsidRPr="00004346">
        <w:rPr>
          <w:rFonts w:ascii="Arial" w:hAnsi="Arial" w:cs="Arial"/>
          <w:sz w:val="20"/>
          <w:szCs w:val="20"/>
        </w:rPr>
        <w:t>CRC/NPS allocation based on the risk scores</w:t>
      </w:r>
    </w:p>
    <w:p w:rsidR="0099281B" w:rsidRPr="00004346" w:rsidRDefault="005B480A" w:rsidP="0099281B">
      <w:pPr>
        <w:numPr>
          <w:ilvl w:val="0"/>
          <w:numId w:val="10"/>
        </w:numPr>
        <w:rPr>
          <w:rFonts w:ascii="Arial" w:hAnsi="Arial" w:cs="Arial"/>
          <w:sz w:val="20"/>
          <w:szCs w:val="20"/>
        </w:rPr>
      </w:pPr>
      <w:r w:rsidRPr="00004346">
        <w:rPr>
          <w:rFonts w:ascii="Arial" w:hAnsi="Arial" w:cs="Arial"/>
          <w:sz w:val="20"/>
          <w:szCs w:val="20"/>
        </w:rPr>
        <w:t>Exclusions</w:t>
      </w:r>
      <w:r w:rsidR="00FB0D3B" w:rsidRPr="00004346">
        <w:rPr>
          <w:rFonts w:ascii="Arial" w:hAnsi="Arial" w:cs="Arial"/>
          <w:sz w:val="20"/>
          <w:szCs w:val="20"/>
        </w:rPr>
        <w:t xml:space="preserve">, </w:t>
      </w:r>
      <w:r w:rsidRPr="00004346">
        <w:rPr>
          <w:rFonts w:ascii="Arial" w:hAnsi="Arial" w:cs="Arial"/>
          <w:sz w:val="20"/>
          <w:szCs w:val="20"/>
        </w:rPr>
        <w:t>de-duplications</w:t>
      </w:r>
      <w:r w:rsidR="00FB0D3B" w:rsidRPr="00004346">
        <w:rPr>
          <w:rFonts w:ascii="Arial" w:hAnsi="Arial" w:cs="Arial"/>
          <w:sz w:val="20"/>
          <w:szCs w:val="20"/>
        </w:rPr>
        <w:t>, weighting and scaling.</w:t>
      </w:r>
    </w:p>
    <w:p w:rsidR="0099281B" w:rsidRPr="00004346" w:rsidRDefault="0099281B" w:rsidP="0099281B">
      <w:pPr>
        <w:numPr>
          <w:ilvl w:val="0"/>
          <w:numId w:val="10"/>
        </w:numPr>
        <w:rPr>
          <w:rFonts w:ascii="Arial" w:hAnsi="Arial" w:cs="Arial"/>
          <w:sz w:val="20"/>
          <w:szCs w:val="20"/>
        </w:rPr>
      </w:pPr>
      <w:r w:rsidRPr="00004346">
        <w:rPr>
          <w:rFonts w:ascii="Arial" w:hAnsi="Arial" w:cs="Arial"/>
          <w:sz w:val="20"/>
          <w:szCs w:val="20"/>
        </w:rPr>
        <w:t xml:space="preserve">CPA </w:t>
      </w:r>
      <w:r w:rsidR="005B480A" w:rsidRPr="00004346">
        <w:rPr>
          <w:rFonts w:ascii="Arial" w:hAnsi="Arial" w:cs="Arial"/>
          <w:sz w:val="20"/>
          <w:szCs w:val="20"/>
        </w:rPr>
        <w:t xml:space="preserve">and quarterly </w:t>
      </w:r>
      <w:r w:rsidRPr="00004346">
        <w:rPr>
          <w:rFonts w:ascii="Arial" w:hAnsi="Arial" w:cs="Arial"/>
          <w:sz w:val="20"/>
          <w:szCs w:val="20"/>
        </w:rPr>
        <w:t>data aggregation</w:t>
      </w:r>
    </w:p>
    <w:p w:rsidR="005B480A" w:rsidRPr="00004346" w:rsidRDefault="005B480A" w:rsidP="0099281B">
      <w:pPr>
        <w:numPr>
          <w:ilvl w:val="0"/>
          <w:numId w:val="10"/>
        </w:numPr>
        <w:rPr>
          <w:rFonts w:ascii="Arial" w:hAnsi="Arial" w:cs="Arial"/>
          <w:sz w:val="20"/>
          <w:szCs w:val="20"/>
        </w:rPr>
      </w:pPr>
      <w:r w:rsidRPr="00004346">
        <w:rPr>
          <w:rFonts w:ascii="Arial" w:hAnsi="Arial" w:cs="Arial"/>
          <w:sz w:val="20"/>
          <w:szCs w:val="20"/>
        </w:rPr>
        <w:t>Thresholds and termination points calculation</w:t>
      </w:r>
    </w:p>
    <w:p w:rsidR="00707797" w:rsidRPr="00004346" w:rsidRDefault="00707797" w:rsidP="00707797">
      <w:pPr>
        <w:pStyle w:val="Heading3"/>
      </w:pPr>
      <w:r w:rsidRPr="00004346">
        <w:t>Data Sources</w:t>
      </w:r>
    </w:p>
    <w:p w:rsidR="00707797" w:rsidRPr="00004346" w:rsidRDefault="008A5D81" w:rsidP="008A5D81">
      <w:pPr>
        <w:numPr>
          <w:ilvl w:val="4"/>
          <w:numId w:val="10"/>
        </w:numPr>
        <w:tabs>
          <w:tab w:val="clear" w:pos="3600"/>
          <w:tab w:val="num" w:pos="720"/>
        </w:tabs>
        <w:ind w:left="720"/>
        <w:rPr>
          <w:rFonts w:ascii="Arial" w:hAnsi="Arial" w:cs="Arial"/>
          <w:sz w:val="20"/>
          <w:szCs w:val="20"/>
        </w:rPr>
      </w:pPr>
      <w:r w:rsidRPr="00004346">
        <w:rPr>
          <w:rFonts w:ascii="Arial" w:hAnsi="Arial" w:cs="Arial"/>
          <w:b/>
          <w:sz w:val="20"/>
          <w:szCs w:val="20"/>
        </w:rPr>
        <w:t>Prison cohort</w:t>
      </w:r>
      <w:r w:rsidRPr="00004346">
        <w:rPr>
          <w:rFonts w:ascii="Arial" w:hAnsi="Arial" w:cs="Arial"/>
          <w:sz w:val="20"/>
          <w:szCs w:val="20"/>
        </w:rPr>
        <w:t xml:space="preserve">: </w:t>
      </w:r>
      <w:r w:rsidR="00707797" w:rsidRPr="00004346">
        <w:rPr>
          <w:rFonts w:ascii="Arial" w:hAnsi="Arial" w:cs="Arial"/>
          <w:sz w:val="20"/>
          <w:szCs w:val="20"/>
        </w:rPr>
        <w:t xml:space="preserve">The starts from prison sentences </w:t>
      </w:r>
      <w:r w:rsidR="008A361B" w:rsidRPr="00004346">
        <w:rPr>
          <w:rFonts w:ascii="Arial" w:hAnsi="Arial" w:cs="Arial"/>
          <w:sz w:val="20"/>
          <w:szCs w:val="20"/>
        </w:rPr>
        <w:t>came</w:t>
      </w:r>
      <w:r w:rsidR="00707797" w:rsidRPr="00004346">
        <w:rPr>
          <w:rFonts w:ascii="Arial" w:hAnsi="Arial" w:cs="Arial"/>
          <w:sz w:val="20"/>
          <w:szCs w:val="20"/>
        </w:rPr>
        <w:t xml:space="preserve"> from PNOMIS</w:t>
      </w:r>
      <w:r w:rsidR="002429D4">
        <w:rPr>
          <w:rFonts w:ascii="Arial" w:hAnsi="Arial" w:cs="Arial"/>
          <w:sz w:val="20"/>
          <w:szCs w:val="20"/>
        </w:rPr>
        <w:t xml:space="preserve"> (the current prison data system)</w:t>
      </w:r>
      <w:r w:rsidR="00707797" w:rsidRPr="00004346">
        <w:rPr>
          <w:rFonts w:ascii="Arial" w:hAnsi="Arial" w:cs="Arial"/>
          <w:sz w:val="20"/>
          <w:szCs w:val="20"/>
        </w:rPr>
        <w:t>.</w:t>
      </w:r>
    </w:p>
    <w:p w:rsidR="00707797" w:rsidRPr="00004346" w:rsidRDefault="008A5D81" w:rsidP="008A5D81">
      <w:pPr>
        <w:numPr>
          <w:ilvl w:val="4"/>
          <w:numId w:val="10"/>
        </w:numPr>
        <w:tabs>
          <w:tab w:val="clear" w:pos="3600"/>
          <w:tab w:val="num" w:pos="720"/>
        </w:tabs>
        <w:ind w:left="720"/>
        <w:rPr>
          <w:rFonts w:ascii="Arial" w:hAnsi="Arial" w:cs="Arial"/>
          <w:sz w:val="20"/>
          <w:szCs w:val="20"/>
        </w:rPr>
      </w:pPr>
      <w:r w:rsidRPr="00004346">
        <w:rPr>
          <w:rFonts w:ascii="Arial" w:hAnsi="Arial" w:cs="Arial"/>
          <w:b/>
          <w:sz w:val="20"/>
          <w:szCs w:val="20"/>
        </w:rPr>
        <w:t>Probation cohort</w:t>
      </w:r>
      <w:r w:rsidRPr="00004346">
        <w:rPr>
          <w:rFonts w:ascii="Arial" w:hAnsi="Arial" w:cs="Arial"/>
          <w:sz w:val="20"/>
          <w:szCs w:val="20"/>
        </w:rPr>
        <w:t xml:space="preserve">: </w:t>
      </w:r>
      <w:r w:rsidR="00707797" w:rsidRPr="00004346">
        <w:rPr>
          <w:rFonts w:ascii="Arial" w:hAnsi="Arial" w:cs="Arial"/>
          <w:sz w:val="20"/>
          <w:szCs w:val="20"/>
        </w:rPr>
        <w:t>The CO/SSOs</w:t>
      </w:r>
      <w:r w:rsidR="003E23E5">
        <w:rPr>
          <w:rFonts w:ascii="Arial" w:hAnsi="Arial" w:cs="Arial"/>
          <w:sz w:val="20"/>
          <w:szCs w:val="20"/>
        </w:rPr>
        <w:t xml:space="preserve"> (Community Orders and Suspended Sentence Orders) </w:t>
      </w:r>
      <w:r w:rsidR="00707797" w:rsidRPr="00004346">
        <w:rPr>
          <w:rFonts w:ascii="Arial" w:hAnsi="Arial" w:cs="Arial"/>
          <w:sz w:val="20"/>
          <w:szCs w:val="20"/>
        </w:rPr>
        <w:t xml:space="preserve">commencements </w:t>
      </w:r>
      <w:r w:rsidR="008A361B" w:rsidRPr="00004346">
        <w:rPr>
          <w:rFonts w:ascii="Arial" w:hAnsi="Arial" w:cs="Arial"/>
          <w:sz w:val="20"/>
          <w:szCs w:val="20"/>
        </w:rPr>
        <w:t>came</w:t>
      </w:r>
      <w:r w:rsidR="00707797" w:rsidRPr="00004346">
        <w:rPr>
          <w:rFonts w:ascii="Arial" w:hAnsi="Arial" w:cs="Arial"/>
          <w:sz w:val="20"/>
          <w:szCs w:val="20"/>
        </w:rPr>
        <w:t xml:space="preserve"> from Form 20 (</w:t>
      </w:r>
      <w:r w:rsidR="00D721C9">
        <w:rPr>
          <w:rFonts w:ascii="Arial" w:hAnsi="Arial" w:cs="Arial"/>
          <w:sz w:val="20"/>
          <w:szCs w:val="20"/>
        </w:rPr>
        <w:t xml:space="preserve">the </w:t>
      </w:r>
      <w:r w:rsidR="00707797" w:rsidRPr="00004346">
        <w:rPr>
          <w:rFonts w:ascii="Arial" w:hAnsi="Arial" w:cs="Arial"/>
          <w:sz w:val="20"/>
          <w:szCs w:val="20"/>
        </w:rPr>
        <w:t>current probation</w:t>
      </w:r>
      <w:r w:rsidR="00D721C9">
        <w:rPr>
          <w:rFonts w:ascii="Arial" w:hAnsi="Arial" w:cs="Arial"/>
          <w:sz w:val="20"/>
          <w:szCs w:val="20"/>
        </w:rPr>
        <w:t xml:space="preserve"> data</w:t>
      </w:r>
      <w:r w:rsidR="00707797" w:rsidRPr="00004346">
        <w:rPr>
          <w:rFonts w:ascii="Arial" w:hAnsi="Arial" w:cs="Arial"/>
          <w:sz w:val="20"/>
          <w:szCs w:val="20"/>
        </w:rPr>
        <w:t xml:space="preserve"> system).</w:t>
      </w:r>
    </w:p>
    <w:p w:rsidR="00707797" w:rsidRPr="00004346" w:rsidRDefault="008A5D81" w:rsidP="008A5D81">
      <w:pPr>
        <w:numPr>
          <w:ilvl w:val="4"/>
          <w:numId w:val="10"/>
        </w:numPr>
        <w:tabs>
          <w:tab w:val="clear" w:pos="3600"/>
          <w:tab w:val="num" w:pos="720"/>
        </w:tabs>
        <w:ind w:left="720"/>
        <w:rPr>
          <w:rFonts w:ascii="Arial" w:hAnsi="Arial" w:cs="Arial"/>
          <w:sz w:val="20"/>
          <w:szCs w:val="20"/>
        </w:rPr>
      </w:pPr>
      <w:r w:rsidRPr="00004346">
        <w:rPr>
          <w:rFonts w:ascii="Arial" w:hAnsi="Arial" w:cs="Arial"/>
          <w:b/>
          <w:sz w:val="20"/>
          <w:szCs w:val="20"/>
        </w:rPr>
        <w:t>Criminal history</w:t>
      </w:r>
      <w:r w:rsidRPr="00004346">
        <w:rPr>
          <w:rFonts w:ascii="Arial" w:hAnsi="Arial" w:cs="Arial"/>
          <w:sz w:val="20"/>
          <w:szCs w:val="20"/>
        </w:rPr>
        <w:t xml:space="preserve">: </w:t>
      </w:r>
      <w:r w:rsidR="00707797" w:rsidRPr="00004346">
        <w:rPr>
          <w:rFonts w:ascii="Arial" w:hAnsi="Arial" w:cs="Arial"/>
          <w:sz w:val="20"/>
          <w:szCs w:val="20"/>
        </w:rPr>
        <w:t xml:space="preserve">The previous offences and reoffences </w:t>
      </w:r>
      <w:r w:rsidR="008A361B" w:rsidRPr="00004346">
        <w:rPr>
          <w:rFonts w:ascii="Arial" w:hAnsi="Arial" w:cs="Arial"/>
          <w:sz w:val="20"/>
          <w:szCs w:val="20"/>
        </w:rPr>
        <w:t>were</w:t>
      </w:r>
      <w:r w:rsidR="00707797" w:rsidRPr="00004346">
        <w:rPr>
          <w:rFonts w:ascii="Arial" w:hAnsi="Arial" w:cs="Arial"/>
          <w:sz w:val="20"/>
          <w:szCs w:val="20"/>
        </w:rPr>
        <w:t xml:space="preserve"> taken from the Police National Computer (PNC).</w:t>
      </w:r>
    </w:p>
    <w:p w:rsidR="008A5D81" w:rsidRPr="00004346" w:rsidRDefault="008A5D81" w:rsidP="00612410">
      <w:pPr>
        <w:ind w:left="720"/>
        <w:rPr>
          <w:rFonts w:ascii="Arial" w:hAnsi="Arial" w:cs="Arial"/>
          <w:i/>
          <w:sz w:val="20"/>
          <w:szCs w:val="20"/>
        </w:rPr>
      </w:pPr>
      <w:r w:rsidRPr="00004346">
        <w:rPr>
          <w:rFonts w:ascii="Arial" w:hAnsi="Arial" w:cs="Arial"/>
          <w:i/>
          <w:sz w:val="20"/>
          <w:szCs w:val="20"/>
        </w:rPr>
        <w:t xml:space="preserve">Note: Extra information to identify Foreign National Offenders (FNOs) was added to the final set of starts using the original PNOMIS source. Reoffences </w:t>
      </w:r>
      <w:r w:rsidR="00D721C9">
        <w:rPr>
          <w:rFonts w:ascii="Arial" w:hAnsi="Arial" w:cs="Arial"/>
          <w:i/>
          <w:sz w:val="20"/>
          <w:szCs w:val="20"/>
        </w:rPr>
        <w:t xml:space="preserve">for this group </w:t>
      </w:r>
      <w:r w:rsidRPr="00004346">
        <w:rPr>
          <w:rFonts w:ascii="Arial" w:hAnsi="Arial" w:cs="Arial"/>
          <w:i/>
          <w:sz w:val="20"/>
          <w:szCs w:val="20"/>
        </w:rPr>
        <w:t>were recalculated with slightly different rules.</w:t>
      </w:r>
    </w:p>
    <w:p w:rsidR="008A5D81" w:rsidRPr="00004346" w:rsidRDefault="00612410" w:rsidP="008A5D81">
      <w:pPr>
        <w:numPr>
          <w:ilvl w:val="4"/>
          <w:numId w:val="10"/>
        </w:numPr>
        <w:tabs>
          <w:tab w:val="clear" w:pos="3600"/>
          <w:tab w:val="num" w:pos="720"/>
        </w:tabs>
        <w:ind w:left="720"/>
        <w:rPr>
          <w:rFonts w:ascii="Arial" w:hAnsi="Arial" w:cs="Arial"/>
          <w:sz w:val="20"/>
          <w:szCs w:val="20"/>
        </w:rPr>
      </w:pPr>
      <w:r w:rsidRPr="00004346">
        <w:rPr>
          <w:rFonts w:ascii="Arial" w:hAnsi="Arial" w:cs="Arial"/>
          <w:sz w:val="20"/>
          <w:szCs w:val="20"/>
        </w:rPr>
        <w:t>a</w:t>
      </w:r>
      <w:r w:rsidR="008A5D81" w:rsidRPr="00004346">
        <w:rPr>
          <w:rFonts w:ascii="Arial" w:hAnsi="Arial" w:cs="Arial"/>
          <w:sz w:val="20"/>
          <w:szCs w:val="20"/>
        </w:rPr>
        <w:t xml:space="preserve">, </w:t>
      </w:r>
      <w:r w:rsidRPr="00004346">
        <w:rPr>
          <w:rFonts w:ascii="Arial" w:hAnsi="Arial" w:cs="Arial"/>
          <w:sz w:val="20"/>
          <w:szCs w:val="20"/>
        </w:rPr>
        <w:t>b</w:t>
      </w:r>
      <w:r w:rsidR="008A5D81" w:rsidRPr="00004346">
        <w:rPr>
          <w:rFonts w:ascii="Arial" w:hAnsi="Arial" w:cs="Arial"/>
          <w:sz w:val="20"/>
          <w:szCs w:val="20"/>
        </w:rPr>
        <w:t xml:space="preserve"> and </w:t>
      </w:r>
      <w:r w:rsidRPr="00004346">
        <w:rPr>
          <w:rFonts w:ascii="Arial" w:hAnsi="Arial" w:cs="Arial"/>
          <w:sz w:val="20"/>
          <w:szCs w:val="20"/>
        </w:rPr>
        <w:t>c</w:t>
      </w:r>
      <w:r w:rsidR="008A5D81" w:rsidRPr="00004346">
        <w:rPr>
          <w:rFonts w:ascii="Arial" w:hAnsi="Arial" w:cs="Arial"/>
          <w:sz w:val="20"/>
          <w:szCs w:val="20"/>
        </w:rPr>
        <w:t xml:space="preserve"> </w:t>
      </w:r>
      <w:r w:rsidR="00D721C9">
        <w:rPr>
          <w:rFonts w:ascii="Arial" w:hAnsi="Arial" w:cs="Arial"/>
          <w:sz w:val="20"/>
          <w:szCs w:val="20"/>
        </w:rPr>
        <w:t>had already been</w:t>
      </w:r>
      <w:r w:rsidR="00D721C9" w:rsidRPr="00004346">
        <w:rPr>
          <w:rFonts w:ascii="Arial" w:hAnsi="Arial" w:cs="Arial"/>
          <w:sz w:val="20"/>
          <w:szCs w:val="20"/>
        </w:rPr>
        <w:t xml:space="preserve"> </w:t>
      </w:r>
      <w:r w:rsidR="008A5D81" w:rsidRPr="00004346">
        <w:rPr>
          <w:rFonts w:ascii="Arial" w:hAnsi="Arial" w:cs="Arial"/>
          <w:sz w:val="20"/>
          <w:szCs w:val="20"/>
        </w:rPr>
        <w:t xml:space="preserve">linked together </w:t>
      </w:r>
      <w:r w:rsidR="00D721C9">
        <w:rPr>
          <w:rFonts w:ascii="Arial" w:hAnsi="Arial" w:cs="Arial"/>
          <w:sz w:val="20"/>
          <w:szCs w:val="20"/>
        </w:rPr>
        <w:t>in order to produce</w:t>
      </w:r>
      <w:r w:rsidR="008A5D81" w:rsidRPr="00004346">
        <w:rPr>
          <w:rFonts w:ascii="Arial" w:hAnsi="Arial" w:cs="Arial"/>
          <w:sz w:val="20"/>
          <w:szCs w:val="20"/>
        </w:rPr>
        <w:t xml:space="preserve"> the Quarterly Reoffending National Statistics</w:t>
      </w:r>
      <w:r w:rsidR="00D721C9">
        <w:rPr>
          <w:rFonts w:ascii="Arial" w:hAnsi="Arial" w:cs="Arial"/>
          <w:sz w:val="20"/>
          <w:szCs w:val="20"/>
        </w:rPr>
        <w:t xml:space="preserve"> for 2011, which were published in October 2013</w:t>
      </w:r>
      <w:r w:rsidR="008A5D81" w:rsidRPr="00004346">
        <w:rPr>
          <w:rFonts w:ascii="Arial" w:hAnsi="Arial" w:cs="Arial"/>
          <w:sz w:val="20"/>
          <w:szCs w:val="20"/>
        </w:rPr>
        <w:t xml:space="preserve">. For the computation of the baselines we started off from these already quality assured sets of data. </w:t>
      </w:r>
    </w:p>
    <w:p w:rsidR="008A5D81" w:rsidRPr="00004346" w:rsidRDefault="008A5D81" w:rsidP="00FB2A4D">
      <w:pPr>
        <w:ind w:left="720"/>
        <w:rPr>
          <w:rFonts w:ascii="Arial" w:hAnsi="Arial" w:cs="Arial"/>
          <w:sz w:val="20"/>
          <w:szCs w:val="20"/>
        </w:rPr>
      </w:pPr>
      <w:r w:rsidRPr="00004346">
        <w:rPr>
          <w:rFonts w:ascii="Arial" w:hAnsi="Arial" w:cs="Arial"/>
          <w:sz w:val="20"/>
          <w:szCs w:val="20"/>
        </w:rPr>
        <w:t xml:space="preserve">PNC snapshots: Since we took the National </w:t>
      </w:r>
      <w:smartTag w:uri="urn:schemas-microsoft-com:office:smarttags" w:element="PersonName">
        <w:r w:rsidRPr="00004346">
          <w:rPr>
            <w:rFonts w:ascii="Arial" w:hAnsi="Arial" w:cs="Arial"/>
            <w:sz w:val="20"/>
            <w:szCs w:val="20"/>
          </w:rPr>
          <w:t>Statistics</w:t>
        </w:r>
      </w:smartTag>
      <w:r w:rsidRPr="00004346">
        <w:rPr>
          <w:rFonts w:ascii="Arial" w:hAnsi="Arial" w:cs="Arial"/>
          <w:sz w:val="20"/>
          <w:szCs w:val="20"/>
        </w:rPr>
        <w:t xml:space="preserve"> cohort matching process the PNC Snapshot used was the one taken at the start September 2013 (i.e. the 21</w:t>
      </w:r>
      <w:r w:rsidRPr="00004346">
        <w:rPr>
          <w:rFonts w:ascii="Arial" w:hAnsi="Arial" w:cs="Arial"/>
          <w:sz w:val="20"/>
          <w:szCs w:val="20"/>
          <w:vertAlign w:val="superscript"/>
        </w:rPr>
        <w:t>st</w:t>
      </w:r>
      <w:r w:rsidRPr="00004346">
        <w:rPr>
          <w:rFonts w:ascii="Arial" w:hAnsi="Arial" w:cs="Arial"/>
          <w:sz w:val="20"/>
          <w:szCs w:val="20"/>
        </w:rPr>
        <w:t xml:space="preserve"> month after the end of the cohort). </w:t>
      </w:r>
    </w:p>
    <w:p w:rsidR="00707797" w:rsidRPr="00004346" w:rsidRDefault="00707797" w:rsidP="008A5D81">
      <w:pPr>
        <w:numPr>
          <w:ilvl w:val="4"/>
          <w:numId w:val="10"/>
        </w:numPr>
        <w:tabs>
          <w:tab w:val="clear" w:pos="3600"/>
          <w:tab w:val="num" w:pos="720"/>
        </w:tabs>
        <w:ind w:left="720"/>
        <w:rPr>
          <w:rFonts w:ascii="Arial" w:hAnsi="Arial" w:cs="Arial"/>
          <w:sz w:val="20"/>
          <w:szCs w:val="20"/>
        </w:rPr>
      </w:pPr>
      <w:r w:rsidRPr="00004346">
        <w:rPr>
          <w:rFonts w:ascii="Arial" w:hAnsi="Arial" w:cs="Arial"/>
          <w:sz w:val="20"/>
          <w:szCs w:val="20"/>
        </w:rPr>
        <w:t xml:space="preserve">The dynamic risk assessments </w:t>
      </w:r>
      <w:r w:rsidR="008A361B" w:rsidRPr="00004346">
        <w:rPr>
          <w:rFonts w:ascii="Arial" w:hAnsi="Arial" w:cs="Arial"/>
          <w:sz w:val="20"/>
          <w:szCs w:val="20"/>
        </w:rPr>
        <w:t>came</w:t>
      </w:r>
      <w:r w:rsidRPr="00004346">
        <w:rPr>
          <w:rFonts w:ascii="Arial" w:hAnsi="Arial" w:cs="Arial"/>
          <w:sz w:val="20"/>
          <w:szCs w:val="20"/>
        </w:rPr>
        <w:t xml:space="preserve"> from OASys </w:t>
      </w:r>
      <w:r w:rsidR="002429D4">
        <w:rPr>
          <w:rFonts w:ascii="Arial" w:hAnsi="Arial" w:cs="Arial"/>
          <w:sz w:val="20"/>
          <w:szCs w:val="20"/>
        </w:rPr>
        <w:t xml:space="preserve">(the Offender Assessment System) </w:t>
      </w:r>
      <w:r w:rsidRPr="00004346">
        <w:rPr>
          <w:rFonts w:ascii="Arial" w:hAnsi="Arial" w:cs="Arial"/>
          <w:sz w:val="20"/>
          <w:szCs w:val="20"/>
        </w:rPr>
        <w:t>and were provided by NOMS</w:t>
      </w:r>
      <w:r w:rsidR="00583F09">
        <w:rPr>
          <w:rFonts w:ascii="Arial" w:hAnsi="Arial" w:cs="Arial"/>
          <w:sz w:val="20"/>
          <w:szCs w:val="20"/>
        </w:rPr>
        <w:t>, which is</w:t>
      </w:r>
      <w:r w:rsidR="00583F09" w:rsidRPr="00583F09">
        <w:rPr>
          <w:rFonts w:ascii="Arial" w:hAnsi="Arial" w:cs="Arial"/>
          <w:sz w:val="20"/>
          <w:szCs w:val="20"/>
        </w:rPr>
        <w:t xml:space="preserve"> </w:t>
      </w:r>
      <w:r w:rsidR="00583F09">
        <w:rPr>
          <w:rFonts w:ascii="Arial" w:hAnsi="Arial" w:cs="Arial"/>
          <w:sz w:val="20"/>
          <w:szCs w:val="20"/>
        </w:rPr>
        <w:t>the owner of this data</w:t>
      </w:r>
      <w:r w:rsidRPr="00004346">
        <w:rPr>
          <w:rFonts w:ascii="Arial" w:hAnsi="Arial" w:cs="Arial"/>
          <w:sz w:val="20"/>
          <w:szCs w:val="20"/>
        </w:rPr>
        <w:t>.</w:t>
      </w:r>
    </w:p>
    <w:p w:rsidR="002F3AAF" w:rsidRPr="00004346" w:rsidRDefault="002F3AAF" w:rsidP="002F3AAF">
      <w:pPr>
        <w:rPr>
          <w:rFonts w:ascii="Arial" w:hAnsi="Arial" w:cs="Arial"/>
          <w:sz w:val="20"/>
          <w:szCs w:val="20"/>
        </w:rPr>
      </w:pPr>
    </w:p>
    <w:p w:rsidR="002F3AAF" w:rsidRPr="00004346" w:rsidRDefault="002F3AAF" w:rsidP="002F3AAF">
      <w:pPr>
        <w:rPr>
          <w:rFonts w:ascii="Arial" w:hAnsi="Arial" w:cs="Arial"/>
          <w:i/>
          <w:sz w:val="20"/>
          <w:szCs w:val="20"/>
        </w:rPr>
      </w:pPr>
      <w:r w:rsidRPr="00004346">
        <w:rPr>
          <w:rFonts w:ascii="Arial" w:hAnsi="Arial" w:cs="Arial"/>
          <w:i/>
          <w:sz w:val="20"/>
          <w:szCs w:val="20"/>
        </w:rPr>
        <w:t xml:space="preserve">Note: This data was the best available information at this point in time. </w:t>
      </w:r>
      <w:r w:rsidR="004F2EBE">
        <w:rPr>
          <w:rFonts w:ascii="Arial" w:hAnsi="Arial" w:cs="Arial"/>
          <w:i/>
          <w:sz w:val="20"/>
          <w:szCs w:val="20"/>
        </w:rPr>
        <w:t>By the time the first PbR re-offending outcomes are measured the data source for the offender starts in each PbR cohort (and the associated details used to match them to the PNC) will be nDelius rather than sources a) and b) above, but t</w:t>
      </w:r>
      <w:r w:rsidR="00573B4A">
        <w:rPr>
          <w:rFonts w:ascii="Arial" w:hAnsi="Arial" w:cs="Arial"/>
          <w:i/>
          <w:sz w:val="20"/>
          <w:szCs w:val="20"/>
        </w:rPr>
        <w:t>his information will not be available from nDelius until the introduction of system changes later this year</w:t>
      </w:r>
      <w:r w:rsidRPr="00004346">
        <w:rPr>
          <w:rFonts w:ascii="Arial" w:hAnsi="Arial" w:cs="Arial"/>
          <w:i/>
          <w:sz w:val="20"/>
          <w:szCs w:val="20"/>
        </w:rPr>
        <w:t>.</w:t>
      </w:r>
    </w:p>
    <w:p w:rsidR="00C113BA" w:rsidRPr="00004346" w:rsidRDefault="00C113BA" w:rsidP="00DF51A0">
      <w:pPr>
        <w:pStyle w:val="Heading3"/>
      </w:pPr>
      <w:r w:rsidRPr="00004346">
        <w:t>Cohort</w:t>
      </w:r>
      <w:r w:rsidR="00AF4C2C" w:rsidRPr="00004346">
        <w:t>s</w:t>
      </w:r>
      <w:r w:rsidRPr="00004346">
        <w:t xml:space="preserve"> </w:t>
      </w:r>
      <w:r w:rsidR="004032D3" w:rsidRPr="00004346">
        <w:t>definition</w:t>
      </w:r>
    </w:p>
    <w:p w:rsidR="00D76360" w:rsidRPr="00004346" w:rsidRDefault="0099281B" w:rsidP="00D76360">
      <w:pPr>
        <w:rPr>
          <w:rFonts w:ascii="Arial" w:hAnsi="Arial" w:cs="Arial"/>
          <w:sz w:val="20"/>
          <w:szCs w:val="20"/>
        </w:rPr>
      </w:pPr>
      <w:r w:rsidRPr="00004346">
        <w:rPr>
          <w:rFonts w:ascii="Arial" w:hAnsi="Arial" w:cs="Arial"/>
          <w:sz w:val="20"/>
          <w:szCs w:val="20"/>
        </w:rPr>
        <w:t>The cohorts</w:t>
      </w:r>
      <w:r w:rsidR="008A361B" w:rsidRPr="00004346">
        <w:rPr>
          <w:rFonts w:ascii="Arial" w:hAnsi="Arial" w:cs="Arial"/>
          <w:sz w:val="20"/>
          <w:szCs w:val="20"/>
        </w:rPr>
        <w:t xml:space="preserve"> were specified in terms of the following variables</w:t>
      </w:r>
      <w:r w:rsidR="00D76360" w:rsidRPr="00004346">
        <w:rPr>
          <w:rFonts w:ascii="Arial" w:hAnsi="Arial" w:cs="Arial"/>
          <w:sz w:val="20"/>
          <w:szCs w:val="20"/>
        </w:rPr>
        <w:t>:</w:t>
      </w:r>
    </w:p>
    <w:p w:rsidR="00B55D1E" w:rsidRPr="00004346" w:rsidRDefault="00710084" w:rsidP="00D27B42">
      <w:pPr>
        <w:numPr>
          <w:ilvl w:val="0"/>
          <w:numId w:val="4"/>
        </w:numPr>
        <w:rPr>
          <w:rFonts w:ascii="Arial" w:hAnsi="Arial" w:cs="Arial"/>
          <w:sz w:val="20"/>
          <w:szCs w:val="20"/>
        </w:rPr>
      </w:pPr>
      <w:r w:rsidRPr="00004346">
        <w:rPr>
          <w:rFonts w:ascii="Arial" w:hAnsi="Arial" w:cs="Arial"/>
          <w:b/>
          <w:sz w:val="20"/>
          <w:szCs w:val="20"/>
        </w:rPr>
        <w:t>Scope</w:t>
      </w:r>
      <w:r w:rsidRPr="00004346">
        <w:rPr>
          <w:rFonts w:ascii="Arial" w:hAnsi="Arial" w:cs="Arial"/>
          <w:sz w:val="20"/>
          <w:szCs w:val="20"/>
        </w:rPr>
        <w:t xml:space="preserve">: </w:t>
      </w:r>
      <w:r w:rsidR="00B55D1E" w:rsidRPr="00004346">
        <w:rPr>
          <w:rFonts w:ascii="Arial" w:hAnsi="Arial" w:cs="Arial"/>
          <w:sz w:val="20"/>
          <w:szCs w:val="20"/>
        </w:rPr>
        <w:t>All records correspond</w:t>
      </w:r>
      <w:r w:rsidR="008A361B" w:rsidRPr="00004346">
        <w:rPr>
          <w:rFonts w:ascii="Arial" w:hAnsi="Arial" w:cs="Arial"/>
          <w:sz w:val="20"/>
          <w:szCs w:val="20"/>
        </w:rPr>
        <w:t>ed</w:t>
      </w:r>
      <w:r w:rsidR="00B55D1E" w:rsidRPr="00004346">
        <w:rPr>
          <w:rFonts w:ascii="Arial" w:hAnsi="Arial" w:cs="Arial"/>
          <w:sz w:val="20"/>
          <w:szCs w:val="20"/>
        </w:rPr>
        <w:t xml:space="preserve"> to either </w:t>
      </w:r>
      <w:r w:rsidR="0099281B" w:rsidRPr="00004346">
        <w:rPr>
          <w:rFonts w:ascii="Arial" w:hAnsi="Arial" w:cs="Arial"/>
          <w:sz w:val="20"/>
          <w:szCs w:val="20"/>
        </w:rPr>
        <w:t>releases</w:t>
      </w:r>
      <w:r w:rsidR="00AF4B39" w:rsidRPr="00004346">
        <w:rPr>
          <w:rFonts w:ascii="Arial" w:hAnsi="Arial" w:cs="Arial"/>
          <w:sz w:val="20"/>
          <w:szCs w:val="20"/>
        </w:rPr>
        <w:t xml:space="preserve"> from prison convictions or </w:t>
      </w:r>
      <w:r w:rsidR="00F63B23" w:rsidRPr="00004346">
        <w:rPr>
          <w:rFonts w:ascii="Arial" w:hAnsi="Arial" w:cs="Arial"/>
          <w:sz w:val="20"/>
          <w:szCs w:val="20"/>
        </w:rPr>
        <w:t>sentences from Community Orders (CO) or Suspended Sentence Orders (SSO)</w:t>
      </w:r>
      <w:r w:rsidR="000771BE" w:rsidRPr="00004346">
        <w:rPr>
          <w:rFonts w:ascii="Arial" w:hAnsi="Arial" w:cs="Arial"/>
          <w:sz w:val="20"/>
          <w:szCs w:val="20"/>
        </w:rPr>
        <w:t>, from 1</w:t>
      </w:r>
      <w:r w:rsidR="000771BE" w:rsidRPr="00004346">
        <w:rPr>
          <w:rFonts w:ascii="Arial" w:hAnsi="Arial" w:cs="Arial"/>
          <w:sz w:val="20"/>
          <w:szCs w:val="20"/>
          <w:vertAlign w:val="superscript"/>
        </w:rPr>
        <w:t xml:space="preserve"> </w:t>
      </w:r>
      <w:r w:rsidR="000771BE" w:rsidRPr="00004346">
        <w:rPr>
          <w:rFonts w:ascii="Arial" w:hAnsi="Arial" w:cs="Arial"/>
          <w:sz w:val="20"/>
          <w:szCs w:val="20"/>
        </w:rPr>
        <w:t>January 20</w:t>
      </w:r>
      <w:r w:rsidR="00721173" w:rsidRPr="00004346">
        <w:rPr>
          <w:rFonts w:ascii="Arial" w:hAnsi="Arial" w:cs="Arial"/>
          <w:sz w:val="20"/>
          <w:szCs w:val="20"/>
        </w:rPr>
        <w:t>11</w:t>
      </w:r>
      <w:r w:rsidR="000771BE" w:rsidRPr="00004346">
        <w:rPr>
          <w:rFonts w:ascii="Arial" w:hAnsi="Arial" w:cs="Arial"/>
          <w:sz w:val="20"/>
          <w:szCs w:val="20"/>
        </w:rPr>
        <w:t xml:space="preserve"> to 31 December 2011.</w:t>
      </w:r>
    </w:p>
    <w:p w:rsidR="00D73927" w:rsidRPr="00004346" w:rsidRDefault="00D73927" w:rsidP="00D73927">
      <w:pPr>
        <w:ind w:left="360"/>
        <w:rPr>
          <w:rFonts w:ascii="Arial" w:hAnsi="Arial" w:cs="Arial"/>
          <w:sz w:val="20"/>
          <w:szCs w:val="20"/>
        </w:rPr>
      </w:pPr>
    </w:p>
    <w:p w:rsidR="00C113BA" w:rsidRPr="00004346" w:rsidRDefault="00710084" w:rsidP="00D27B42">
      <w:pPr>
        <w:numPr>
          <w:ilvl w:val="0"/>
          <w:numId w:val="4"/>
        </w:numPr>
        <w:rPr>
          <w:rFonts w:ascii="Arial" w:hAnsi="Arial" w:cs="Arial"/>
          <w:sz w:val="20"/>
          <w:szCs w:val="20"/>
        </w:rPr>
      </w:pPr>
      <w:r w:rsidRPr="00004346">
        <w:rPr>
          <w:rFonts w:ascii="Arial" w:hAnsi="Arial" w:cs="Arial"/>
          <w:b/>
          <w:sz w:val="20"/>
          <w:szCs w:val="20"/>
        </w:rPr>
        <w:t>Age</w:t>
      </w:r>
      <w:r w:rsidRPr="00004346">
        <w:rPr>
          <w:rFonts w:ascii="Arial" w:hAnsi="Arial" w:cs="Arial"/>
          <w:sz w:val="20"/>
          <w:szCs w:val="20"/>
        </w:rPr>
        <w:t xml:space="preserve">: </w:t>
      </w:r>
      <w:r w:rsidR="009D7DCB" w:rsidRPr="00004346">
        <w:rPr>
          <w:rFonts w:ascii="Arial" w:hAnsi="Arial" w:cs="Arial"/>
          <w:sz w:val="20"/>
          <w:szCs w:val="20"/>
        </w:rPr>
        <w:t>based on the date of birth</w:t>
      </w:r>
      <w:r w:rsidR="00573B4A">
        <w:rPr>
          <w:rFonts w:ascii="Arial" w:hAnsi="Arial" w:cs="Arial"/>
          <w:sz w:val="20"/>
          <w:szCs w:val="20"/>
        </w:rPr>
        <w:t xml:space="preserve"> recorded in prison and probation data systems (a) and b) above)</w:t>
      </w:r>
      <w:r w:rsidR="009D7DCB" w:rsidRPr="00004346">
        <w:rPr>
          <w:rFonts w:ascii="Arial" w:hAnsi="Arial" w:cs="Arial"/>
          <w:sz w:val="20"/>
          <w:szCs w:val="20"/>
        </w:rPr>
        <w:t>.</w:t>
      </w:r>
      <w:r w:rsidR="00573B4A">
        <w:rPr>
          <w:rFonts w:ascii="Arial" w:hAnsi="Arial" w:cs="Arial"/>
          <w:sz w:val="20"/>
          <w:szCs w:val="20"/>
        </w:rPr>
        <w:t xml:space="preserve"> </w:t>
      </w:r>
      <w:r w:rsidR="00573B4A" w:rsidRPr="00004346">
        <w:rPr>
          <w:rFonts w:ascii="Arial" w:hAnsi="Arial" w:cs="Arial"/>
          <w:sz w:val="20"/>
          <w:szCs w:val="20"/>
        </w:rPr>
        <w:t>A</w:t>
      </w:r>
      <w:r w:rsidR="00573B4A">
        <w:rPr>
          <w:rFonts w:ascii="Arial" w:hAnsi="Arial" w:cs="Arial"/>
          <w:sz w:val="20"/>
          <w:szCs w:val="20"/>
        </w:rPr>
        <w:t>ll offenders with an index age &lt;</w:t>
      </w:r>
      <w:r w:rsidR="00573B4A" w:rsidRPr="00004346">
        <w:rPr>
          <w:rFonts w:ascii="Arial" w:hAnsi="Arial" w:cs="Arial"/>
          <w:sz w:val="20"/>
          <w:szCs w:val="20"/>
        </w:rPr>
        <w:t>18 years old</w:t>
      </w:r>
      <w:r w:rsidR="00573B4A">
        <w:rPr>
          <w:rFonts w:ascii="Arial" w:hAnsi="Arial" w:cs="Arial"/>
          <w:sz w:val="20"/>
          <w:szCs w:val="20"/>
        </w:rPr>
        <w:t xml:space="preserve"> were excluded</w:t>
      </w:r>
      <w:r w:rsidR="00573B4A" w:rsidRPr="00004346">
        <w:rPr>
          <w:rFonts w:ascii="Arial" w:hAnsi="Arial" w:cs="Arial"/>
          <w:sz w:val="20"/>
          <w:szCs w:val="20"/>
        </w:rPr>
        <w:t>.</w:t>
      </w:r>
    </w:p>
    <w:p w:rsidR="00D73927" w:rsidRPr="00004346" w:rsidRDefault="00D73927" w:rsidP="00D73927">
      <w:pPr>
        <w:rPr>
          <w:rFonts w:ascii="Arial" w:hAnsi="Arial" w:cs="Arial"/>
          <w:sz w:val="20"/>
          <w:szCs w:val="20"/>
        </w:rPr>
      </w:pPr>
    </w:p>
    <w:p w:rsidR="00826996" w:rsidRPr="00004346" w:rsidRDefault="00826996" w:rsidP="00826996">
      <w:pPr>
        <w:numPr>
          <w:ilvl w:val="0"/>
          <w:numId w:val="4"/>
        </w:numPr>
        <w:rPr>
          <w:rFonts w:ascii="Arial" w:hAnsi="Arial" w:cs="Arial"/>
          <w:sz w:val="20"/>
          <w:szCs w:val="20"/>
        </w:rPr>
      </w:pPr>
      <w:r w:rsidRPr="00004346">
        <w:rPr>
          <w:rFonts w:ascii="Arial" w:hAnsi="Arial" w:cs="Arial"/>
          <w:b/>
          <w:sz w:val="20"/>
          <w:szCs w:val="20"/>
        </w:rPr>
        <w:t>Sex</w:t>
      </w:r>
      <w:r w:rsidRPr="00004346">
        <w:rPr>
          <w:rFonts w:ascii="Arial" w:hAnsi="Arial" w:cs="Arial"/>
          <w:sz w:val="20"/>
          <w:szCs w:val="20"/>
        </w:rPr>
        <w:t xml:space="preserve">: </w:t>
      </w:r>
      <w:r w:rsidR="00573B4A">
        <w:rPr>
          <w:rFonts w:ascii="Arial" w:hAnsi="Arial" w:cs="Arial"/>
          <w:sz w:val="20"/>
          <w:szCs w:val="20"/>
        </w:rPr>
        <w:t>based on the</w:t>
      </w:r>
      <w:r w:rsidR="00573B4A" w:rsidRPr="00004346">
        <w:rPr>
          <w:rFonts w:ascii="Arial" w:hAnsi="Arial" w:cs="Arial"/>
          <w:sz w:val="20"/>
          <w:szCs w:val="20"/>
        </w:rPr>
        <w:t xml:space="preserve"> value </w:t>
      </w:r>
      <w:r w:rsidR="00573B4A">
        <w:rPr>
          <w:rFonts w:ascii="Arial" w:hAnsi="Arial" w:cs="Arial"/>
          <w:sz w:val="20"/>
          <w:szCs w:val="20"/>
        </w:rPr>
        <w:t>recorded in prison and probation data systems (a) and b) above)</w:t>
      </w:r>
      <w:r w:rsidR="00573B4A" w:rsidRPr="00004346">
        <w:rPr>
          <w:rFonts w:ascii="Arial" w:hAnsi="Arial" w:cs="Arial"/>
          <w:sz w:val="20"/>
          <w:szCs w:val="20"/>
        </w:rPr>
        <w:t>.</w:t>
      </w:r>
      <w:r w:rsidR="00573B4A">
        <w:rPr>
          <w:rFonts w:ascii="Arial" w:hAnsi="Arial" w:cs="Arial"/>
          <w:sz w:val="20"/>
          <w:szCs w:val="20"/>
        </w:rPr>
        <w:t xml:space="preserve"> </w:t>
      </w:r>
      <w:r w:rsidRPr="00004346">
        <w:rPr>
          <w:rFonts w:ascii="Arial" w:hAnsi="Arial" w:cs="Arial"/>
          <w:sz w:val="20"/>
          <w:szCs w:val="20"/>
        </w:rPr>
        <w:t xml:space="preserve">Index offences for offenders </w:t>
      </w:r>
      <w:r w:rsidR="00573B4A">
        <w:rPr>
          <w:rFonts w:ascii="Arial" w:hAnsi="Arial" w:cs="Arial"/>
          <w:sz w:val="20"/>
          <w:szCs w:val="20"/>
        </w:rPr>
        <w:t xml:space="preserve">where this value was unknown </w:t>
      </w:r>
      <w:r w:rsidRPr="00004346">
        <w:rPr>
          <w:rFonts w:ascii="Arial" w:hAnsi="Arial" w:cs="Arial"/>
          <w:sz w:val="20"/>
          <w:szCs w:val="20"/>
        </w:rPr>
        <w:t>w</w:t>
      </w:r>
      <w:r w:rsidR="00FA1445" w:rsidRPr="00004346">
        <w:rPr>
          <w:rFonts w:ascii="Arial" w:hAnsi="Arial" w:cs="Arial"/>
          <w:sz w:val="20"/>
          <w:szCs w:val="20"/>
        </w:rPr>
        <w:t>ere</w:t>
      </w:r>
      <w:r w:rsidRPr="00004346">
        <w:rPr>
          <w:rFonts w:ascii="Arial" w:hAnsi="Arial" w:cs="Arial"/>
          <w:sz w:val="20"/>
          <w:szCs w:val="20"/>
        </w:rPr>
        <w:t xml:space="preserve"> excluded. </w:t>
      </w:r>
    </w:p>
    <w:p w:rsidR="00D73927" w:rsidRPr="00004346" w:rsidRDefault="00D73927" w:rsidP="00D73927">
      <w:pPr>
        <w:rPr>
          <w:rFonts w:ascii="Arial" w:hAnsi="Arial" w:cs="Arial"/>
          <w:sz w:val="20"/>
          <w:szCs w:val="20"/>
        </w:rPr>
      </w:pPr>
    </w:p>
    <w:p w:rsidR="00C113BA" w:rsidRPr="00004346" w:rsidRDefault="00710084" w:rsidP="00D27B42">
      <w:pPr>
        <w:numPr>
          <w:ilvl w:val="0"/>
          <w:numId w:val="4"/>
        </w:numPr>
        <w:rPr>
          <w:rFonts w:ascii="Arial" w:hAnsi="Arial" w:cs="Arial"/>
          <w:sz w:val="20"/>
          <w:szCs w:val="20"/>
        </w:rPr>
      </w:pPr>
      <w:r w:rsidRPr="00004346">
        <w:rPr>
          <w:rFonts w:ascii="Arial" w:hAnsi="Arial" w:cs="Arial"/>
          <w:b/>
          <w:sz w:val="20"/>
          <w:szCs w:val="20"/>
        </w:rPr>
        <w:t>Territory</w:t>
      </w:r>
      <w:r w:rsidRPr="00004346">
        <w:rPr>
          <w:rFonts w:ascii="Arial" w:hAnsi="Arial" w:cs="Arial"/>
          <w:sz w:val="20"/>
          <w:szCs w:val="20"/>
        </w:rPr>
        <w:t xml:space="preserve">: </w:t>
      </w:r>
      <w:r w:rsidR="00C113BA" w:rsidRPr="00004346">
        <w:rPr>
          <w:rFonts w:ascii="Arial" w:hAnsi="Arial" w:cs="Arial"/>
          <w:sz w:val="20"/>
          <w:szCs w:val="20"/>
        </w:rPr>
        <w:t>Index offence</w:t>
      </w:r>
      <w:r w:rsidR="00D76360" w:rsidRPr="00004346">
        <w:rPr>
          <w:rFonts w:ascii="Arial" w:hAnsi="Arial" w:cs="Arial"/>
          <w:sz w:val="20"/>
          <w:szCs w:val="20"/>
        </w:rPr>
        <w:t>s</w:t>
      </w:r>
      <w:r w:rsidR="00C113BA" w:rsidRPr="00004346">
        <w:rPr>
          <w:rFonts w:ascii="Arial" w:hAnsi="Arial" w:cs="Arial"/>
          <w:sz w:val="20"/>
          <w:szCs w:val="20"/>
        </w:rPr>
        <w:t xml:space="preserve"> </w:t>
      </w:r>
      <w:r w:rsidR="00E40A76" w:rsidRPr="00004346">
        <w:rPr>
          <w:rFonts w:ascii="Arial" w:hAnsi="Arial" w:cs="Arial"/>
          <w:sz w:val="20"/>
          <w:szCs w:val="20"/>
        </w:rPr>
        <w:t>were</w:t>
      </w:r>
      <w:r w:rsidR="00D76360" w:rsidRPr="00004346">
        <w:rPr>
          <w:rFonts w:ascii="Arial" w:hAnsi="Arial" w:cs="Arial"/>
          <w:sz w:val="20"/>
          <w:szCs w:val="20"/>
        </w:rPr>
        <w:t xml:space="preserve"> only included if </w:t>
      </w:r>
      <w:r w:rsidR="00C113BA" w:rsidRPr="00004346">
        <w:rPr>
          <w:rFonts w:ascii="Arial" w:hAnsi="Arial" w:cs="Arial"/>
          <w:sz w:val="20"/>
          <w:szCs w:val="20"/>
        </w:rPr>
        <w:t xml:space="preserve">committed in </w:t>
      </w:r>
      <w:smartTag w:uri="urn:schemas-microsoft-com:office:smarttags" w:element="country-region">
        <w:r w:rsidR="00C113BA" w:rsidRPr="00004346">
          <w:rPr>
            <w:rFonts w:ascii="Arial" w:hAnsi="Arial" w:cs="Arial"/>
            <w:sz w:val="20"/>
            <w:szCs w:val="20"/>
          </w:rPr>
          <w:t>England</w:t>
        </w:r>
      </w:smartTag>
      <w:r w:rsidR="00C113BA" w:rsidRPr="00004346">
        <w:rPr>
          <w:rFonts w:ascii="Arial" w:hAnsi="Arial" w:cs="Arial"/>
          <w:sz w:val="20"/>
          <w:szCs w:val="20"/>
        </w:rPr>
        <w:t xml:space="preserve"> and </w:t>
      </w:r>
      <w:smartTag w:uri="urn:schemas-microsoft-com:office:smarttags" w:element="country-region">
        <w:smartTag w:uri="urn:schemas-microsoft-com:office:smarttags" w:element="place">
          <w:r w:rsidR="00C113BA" w:rsidRPr="00004346">
            <w:rPr>
              <w:rFonts w:ascii="Arial" w:hAnsi="Arial" w:cs="Arial"/>
              <w:sz w:val="20"/>
              <w:szCs w:val="20"/>
            </w:rPr>
            <w:t>Wales</w:t>
          </w:r>
        </w:smartTag>
      </w:smartTag>
      <w:r w:rsidR="00684D18" w:rsidRPr="00004346">
        <w:rPr>
          <w:rFonts w:ascii="Arial" w:hAnsi="Arial" w:cs="Arial"/>
          <w:sz w:val="20"/>
          <w:szCs w:val="20"/>
        </w:rPr>
        <w:t xml:space="preserve"> – this </w:t>
      </w:r>
      <w:r w:rsidR="00E40A76" w:rsidRPr="00004346">
        <w:rPr>
          <w:rFonts w:ascii="Arial" w:hAnsi="Arial" w:cs="Arial"/>
          <w:sz w:val="20"/>
          <w:szCs w:val="20"/>
        </w:rPr>
        <w:t>restriction was</w:t>
      </w:r>
      <w:r w:rsidR="00684D18" w:rsidRPr="00004346">
        <w:rPr>
          <w:rFonts w:ascii="Arial" w:hAnsi="Arial" w:cs="Arial"/>
          <w:sz w:val="20"/>
          <w:szCs w:val="20"/>
        </w:rPr>
        <w:t xml:space="preserve"> based on the Home Office Offence code.</w:t>
      </w:r>
    </w:p>
    <w:p w:rsidR="00FC01D8" w:rsidRPr="00004346" w:rsidRDefault="00FC01D8" w:rsidP="00FC01D8">
      <w:pPr>
        <w:rPr>
          <w:rFonts w:ascii="Arial" w:hAnsi="Arial" w:cs="Arial"/>
          <w:sz w:val="20"/>
          <w:szCs w:val="20"/>
        </w:rPr>
      </w:pPr>
    </w:p>
    <w:p w:rsidR="00FC01D8" w:rsidRPr="00004346" w:rsidRDefault="00474EA1" w:rsidP="00FC01D8">
      <w:pPr>
        <w:ind w:left="720"/>
        <w:rPr>
          <w:rFonts w:ascii="Arial" w:hAnsi="Arial" w:cs="Arial"/>
          <w:sz w:val="20"/>
          <w:szCs w:val="20"/>
        </w:rPr>
      </w:pPr>
      <w:r>
        <w:rPr>
          <w:rFonts w:ascii="Arial" w:hAnsi="Arial" w:cs="Arial"/>
          <w:sz w:val="20"/>
          <w:szCs w:val="20"/>
        </w:rPr>
        <w:t xml:space="preserve">Offender starts were split by </w:t>
      </w:r>
      <w:r w:rsidR="00FC01D8" w:rsidRPr="00004346">
        <w:rPr>
          <w:rFonts w:ascii="Arial" w:hAnsi="Arial" w:cs="Arial"/>
          <w:sz w:val="20"/>
          <w:szCs w:val="20"/>
        </w:rPr>
        <w:t>Contract Package Area (CPA) as follows:</w:t>
      </w:r>
    </w:p>
    <w:p w:rsidR="00FC01D8" w:rsidRPr="00004346" w:rsidRDefault="00FC01D8" w:rsidP="00825F23">
      <w:pPr>
        <w:numPr>
          <w:ilvl w:val="0"/>
          <w:numId w:val="20"/>
        </w:numPr>
        <w:tabs>
          <w:tab w:val="clear" w:pos="1800"/>
          <w:tab w:val="num" w:pos="1440"/>
        </w:tabs>
        <w:ind w:left="1440"/>
        <w:rPr>
          <w:rFonts w:ascii="Arial" w:hAnsi="Arial" w:cs="Arial"/>
          <w:sz w:val="20"/>
          <w:szCs w:val="20"/>
        </w:rPr>
      </w:pPr>
      <w:r w:rsidRPr="00004346">
        <w:rPr>
          <w:rFonts w:ascii="Arial" w:hAnsi="Arial" w:cs="Arial"/>
          <w:sz w:val="20"/>
          <w:szCs w:val="20"/>
        </w:rPr>
        <w:t>Prison: Based on the L</w:t>
      </w:r>
      <w:r w:rsidR="00825F23">
        <w:rPr>
          <w:rFonts w:ascii="Arial" w:hAnsi="Arial" w:cs="Arial"/>
          <w:sz w:val="20"/>
          <w:szCs w:val="20"/>
        </w:rPr>
        <w:t xml:space="preserve">ocal </w:t>
      </w:r>
      <w:r w:rsidRPr="00004346">
        <w:rPr>
          <w:rFonts w:ascii="Arial" w:hAnsi="Arial" w:cs="Arial"/>
          <w:sz w:val="20"/>
          <w:szCs w:val="20"/>
        </w:rPr>
        <w:t>A</w:t>
      </w:r>
      <w:r w:rsidR="00825F23">
        <w:rPr>
          <w:rFonts w:ascii="Arial" w:hAnsi="Arial" w:cs="Arial"/>
          <w:sz w:val="20"/>
          <w:szCs w:val="20"/>
        </w:rPr>
        <w:t xml:space="preserve">uthority </w:t>
      </w:r>
      <w:r w:rsidRPr="00004346">
        <w:rPr>
          <w:rFonts w:ascii="Arial" w:hAnsi="Arial" w:cs="Arial"/>
          <w:sz w:val="20"/>
          <w:szCs w:val="20"/>
        </w:rPr>
        <w:t>A</w:t>
      </w:r>
      <w:r w:rsidR="00825F23">
        <w:rPr>
          <w:rFonts w:ascii="Arial" w:hAnsi="Arial" w:cs="Arial"/>
          <w:sz w:val="20"/>
          <w:szCs w:val="20"/>
        </w:rPr>
        <w:t>rea</w:t>
      </w:r>
      <w:r w:rsidRPr="00004346">
        <w:rPr>
          <w:rFonts w:ascii="Arial" w:hAnsi="Arial" w:cs="Arial"/>
          <w:sz w:val="20"/>
          <w:szCs w:val="20"/>
        </w:rPr>
        <w:t xml:space="preserve"> allocated </w:t>
      </w:r>
      <w:r w:rsidR="00296DE6">
        <w:rPr>
          <w:rFonts w:ascii="Arial" w:hAnsi="Arial" w:cs="Arial"/>
          <w:sz w:val="20"/>
          <w:szCs w:val="20"/>
        </w:rPr>
        <w:t xml:space="preserve">for </w:t>
      </w:r>
      <w:r w:rsidRPr="00004346">
        <w:rPr>
          <w:rFonts w:ascii="Arial" w:hAnsi="Arial" w:cs="Arial"/>
          <w:sz w:val="20"/>
          <w:szCs w:val="20"/>
        </w:rPr>
        <w:t xml:space="preserve">the </w:t>
      </w:r>
      <w:r w:rsidR="00296DE6">
        <w:rPr>
          <w:rFonts w:ascii="Arial" w:hAnsi="Arial" w:cs="Arial"/>
          <w:sz w:val="20"/>
          <w:szCs w:val="20"/>
        </w:rPr>
        <w:t xml:space="preserve">2011 </w:t>
      </w:r>
      <w:r w:rsidRPr="00004346">
        <w:rPr>
          <w:rFonts w:ascii="Arial" w:hAnsi="Arial" w:cs="Arial"/>
          <w:sz w:val="20"/>
          <w:szCs w:val="20"/>
        </w:rPr>
        <w:t>National Statistics publication.</w:t>
      </w:r>
    </w:p>
    <w:p w:rsidR="00FC01D8" w:rsidRPr="00004346" w:rsidRDefault="00FC01D8" w:rsidP="00825F23">
      <w:pPr>
        <w:numPr>
          <w:ilvl w:val="0"/>
          <w:numId w:val="20"/>
        </w:numPr>
        <w:tabs>
          <w:tab w:val="clear" w:pos="1800"/>
          <w:tab w:val="num" w:pos="1440"/>
        </w:tabs>
        <w:ind w:left="1440"/>
        <w:rPr>
          <w:rFonts w:ascii="Arial" w:hAnsi="Arial" w:cs="Arial"/>
          <w:sz w:val="20"/>
          <w:szCs w:val="20"/>
        </w:rPr>
      </w:pPr>
      <w:r w:rsidRPr="00004346">
        <w:rPr>
          <w:rFonts w:ascii="Arial" w:hAnsi="Arial" w:cs="Arial"/>
          <w:sz w:val="20"/>
          <w:szCs w:val="20"/>
        </w:rPr>
        <w:t>Probation: Based on the Probation Trust.</w:t>
      </w:r>
    </w:p>
    <w:p w:rsidR="00D73927" w:rsidRPr="00004346" w:rsidRDefault="00D73927" w:rsidP="00D73927">
      <w:pPr>
        <w:ind w:left="360"/>
        <w:rPr>
          <w:rFonts w:ascii="Arial" w:hAnsi="Arial" w:cs="Arial"/>
          <w:sz w:val="20"/>
          <w:szCs w:val="20"/>
        </w:rPr>
      </w:pPr>
    </w:p>
    <w:p w:rsidR="00C113BA" w:rsidRPr="00004346" w:rsidRDefault="00710084" w:rsidP="00D27B42">
      <w:pPr>
        <w:numPr>
          <w:ilvl w:val="0"/>
          <w:numId w:val="4"/>
        </w:numPr>
        <w:rPr>
          <w:rFonts w:ascii="Arial" w:hAnsi="Arial" w:cs="Arial"/>
          <w:sz w:val="20"/>
          <w:szCs w:val="20"/>
        </w:rPr>
      </w:pPr>
      <w:r w:rsidRPr="00004346">
        <w:rPr>
          <w:rFonts w:ascii="Arial" w:hAnsi="Arial" w:cs="Arial"/>
          <w:b/>
          <w:sz w:val="20"/>
          <w:szCs w:val="20"/>
        </w:rPr>
        <w:t>Police Forces</w:t>
      </w:r>
      <w:r w:rsidRPr="00004346">
        <w:rPr>
          <w:rFonts w:ascii="Arial" w:hAnsi="Arial" w:cs="Arial"/>
          <w:sz w:val="20"/>
          <w:szCs w:val="20"/>
        </w:rPr>
        <w:t xml:space="preserve">: </w:t>
      </w:r>
      <w:r w:rsidR="00C113BA" w:rsidRPr="00004346">
        <w:rPr>
          <w:rFonts w:ascii="Arial" w:hAnsi="Arial" w:cs="Arial"/>
          <w:sz w:val="20"/>
          <w:szCs w:val="20"/>
        </w:rPr>
        <w:t>Index offence</w:t>
      </w:r>
      <w:r w:rsidR="00D76360" w:rsidRPr="00004346">
        <w:rPr>
          <w:rFonts w:ascii="Arial" w:hAnsi="Arial" w:cs="Arial"/>
          <w:sz w:val="20"/>
          <w:szCs w:val="20"/>
        </w:rPr>
        <w:t xml:space="preserve">s </w:t>
      </w:r>
      <w:r w:rsidR="00E40A76" w:rsidRPr="00004346">
        <w:rPr>
          <w:rFonts w:ascii="Arial" w:hAnsi="Arial" w:cs="Arial"/>
          <w:sz w:val="20"/>
          <w:szCs w:val="20"/>
        </w:rPr>
        <w:t xml:space="preserve">were </w:t>
      </w:r>
      <w:r w:rsidR="00D76360" w:rsidRPr="00004346">
        <w:rPr>
          <w:rFonts w:ascii="Arial" w:hAnsi="Arial" w:cs="Arial"/>
          <w:sz w:val="20"/>
          <w:szCs w:val="20"/>
        </w:rPr>
        <w:t>only included if prosecuted</w:t>
      </w:r>
      <w:r w:rsidR="00C113BA" w:rsidRPr="00004346">
        <w:rPr>
          <w:rFonts w:ascii="Arial" w:hAnsi="Arial" w:cs="Arial"/>
          <w:sz w:val="20"/>
          <w:szCs w:val="20"/>
        </w:rPr>
        <w:t xml:space="preserve"> by Home Office Police Forces or British Transport Police</w:t>
      </w:r>
      <w:r w:rsidR="00E40A76" w:rsidRPr="00004346">
        <w:rPr>
          <w:rFonts w:ascii="Arial" w:hAnsi="Arial" w:cs="Arial"/>
          <w:sz w:val="20"/>
          <w:szCs w:val="20"/>
        </w:rPr>
        <w:t>.</w:t>
      </w:r>
    </w:p>
    <w:p w:rsidR="00D73927" w:rsidRPr="00004346" w:rsidRDefault="00D73927" w:rsidP="00D73927">
      <w:pPr>
        <w:ind w:left="360"/>
        <w:rPr>
          <w:rFonts w:ascii="Arial" w:hAnsi="Arial" w:cs="Arial"/>
          <w:sz w:val="20"/>
          <w:szCs w:val="20"/>
        </w:rPr>
      </w:pPr>
    </w:p>
    <w:p w:rsidR="00C113BA" w:rsidRPr="00004346" w:rsidRDefault="00710084" w:rsidP="00D27B42">
      <w:pPr>
        <w:numPr>
          <w:ilvl w:val="0"/>
          <w:numId w:val="4"/>
        </w:numPr>
        <w:rPr>
          <w:rFonts w:ascii="Arial" w:hAnsi="Arial" w:cs="Arial"/>
          <w:sz w:val="20"/>
          <w:szCs w:val="20"/>
        </w:rPr>
      </w:pPr>
      <w:r w:rsidRPr="00004346">
        <w:rPr>
          <w:rFonts w:ascii="Arial" w:hAnsi="Arial" w:cs="Arial"/>
          <w:b/>
          <w:sz w:val="20"/>
          <w:szCs w:val="20"/>
        </w:rPr>
        <w:t>Breaches</w:t>
      </w:r>
      <w:r w:rsidRPr="00004346">
        <w:rPr>
          <w:rFonts w:ascii="Arial" w:hAnsi="Arial" w:cs="Arial"/>
          <w:sz w:val="20"/>
          <w:szCs w:val="20"/>
        </w:rPr>
        <w:t xml:space="preserve">: </w:t>
      </w:r>
      <w:r w:rsidR="00D76360" w:rsidRPr="00004346">
        <w:rPr>
          <w:rFonts w:ascii="Arial" w:hAnsi="Arial" w:cs="Arial"/>
          <w:sz w:val="20"/>
          <w:szCs w:val="20"/>
        </w:rPr>
        <w:t xml:space="preserve">Index offences that </w:t>
      </w:r>
      <w:r w:rsidR="005A2B9D" w:rsidRPr="00004346">
        <w:rPr>
          <w:rFonts w:ascii="Arial" w:hAnsi="Arial" w:cs="Arial"/>
          <w:sz w:val="20"/>
          <w:szCs w:val="20"/>
        </w:rPr>
        <w:t>we</w:t>
      </w:r>
      <w:r w:rsidR="00D76360" w:rsidRPr="00004346">
        <w:rPr>
          <w:rFonts w:ascii="Arial" w:hAnsi="Arial" w:cs="Arial"/>
          <w:sz w:val="20"/>
          <w:szCs w:val="20"/>
        </w:rPr>
        <w:t xml:space="preserve">re </w:t>
      </w:r>
      <w:r w:rsidR="00C113BA" w:rsidRPr="00004346">
        <w:rPr>
          <w:rFonts w:ascii="Arial" w:hAnsi="Arial" w:cs="Arial"/>
          <w:sz w:val="20"/>
          <w:szCs w:val="20"/>
        </w:rPr>
        <w:t xml:space="preserve">breaches </w:t>
      </w:r>
      <w:r w:rsidR="00C76619" w:rsidRPr="00004346">
        <w:rPr>
          <w:rFonts w:ascii="Arial" w:hAnsi="Arial" w:cs="Arial"/>
          <w:sz w:val="20"/>
          <w:szCs w:val="20"/>
        </w:rPr>
        <w:t>were</w:t>
      </w:r>
      <w:r w:rsidR="00D76360" w:rsidRPr="00004346">
        <w:rPr>
          <w:rFonts w:ascii="Arial" w:hAnsi="Arial" w:cs="Arial"/>
          <w:sz w:val="20"/>
          <w:szCs w:val="20"/>
        </w:rPr>
        <w:t xml:space="preserve"> only included if they</w:t>
      </w:r>
      <w:r w:rsidR="00C113BA" w:rsidRPr="00004346">
        <w:rPr>
          <w:rFonts w:ascii="Arial" w:hAnsi="Arial" w:cs="Arial"/>
          <w:sz w:val="20"/>
          <w:szCs w:val="20"/>
        </w:rPr>
        <w:t xml:space="preserve"> </w:t>
      </w:r>
      <w:r w:rsidR="00C76619" w:rsidRPr="00004346">
        <w:rPr>
          <w:rFonts w:ascii="Arial" w:hAnsi="Arial" w:cs="Arial"/>
          <w:sz w:val="20"/>
          <w:szCs w:val="20"/>
        </w:rPr>
        <w:t>were</w:t>
      </w:r>
      <w:r w:rsidR="00C113BA" w:rsidRPr="00004346">
        <w:rPr>
          <w:rFonts w:ascii="Arial" w:hAnsi="Arial" w:cs="Arial"/>
          <w:sz w:val="20"/>
          <w:szCs w:val="20"/>
        </w:rPr>
        <w:t xml:space="preserve"> criminal offence</w:t>
      </w:r>
      <w:r w:rsidR="00D76360" w:rsidRPr="00004346">
        <w:rPr>
          <w:rFonts w:ascii="Arial" w:hAnsi="Arial" w:cs="Arial"/>
          <w:sz w:val="20"/>
          <w:szCs w:val="20"/>
        </w:rPr>
        <w:t>s</w:t>
      </w:r>
      <w:r w:rsidR="00C113BA" w:rsidRPr="00004346">
        <w:rPr>
          <w:rFonts w:ascii="Arial" w:hAnsi="Arial" w:cs="Arial"/>
          <w:sz w:val="20"/>
          <w:szCs w:val="20"/>
        </w:rPr>
        <w:t xml:space="preserve"> in their own right.</w:t>
      </w:r>
    </w:p>
    <w:p w:rsidR="00D73927" w:rsidRPr="00004346" w:rsidRDefault="00D73927" w:rsidP="00D73927">
      <w:pPr>
        <w:ind w:left="360"/>
        <w:rPr>
          <w:rFonts w:ascii="Arial" w:hAnsi="Arial" w:cs="Arial"/>
          <w:sz w:val="20"/>
          <w:szCs w:val="20"/>
        </w:rPr>
      </w:pPr>
    </w:p>
    <w:p w:rsidR="001D16B5" w:rsidRPr="00004346" w:rsidRDefault="00710084" w:rsidP="00D27B42">
      <w:pPr>
        <w:numPr>
          <w:ilvl w:val="0"/>
          <w:numId w:val="4"/>
        </w:numPr>
        <w:rPr>
          <w:rFonts w:ascii="Arial" w:hAnsi="Arial" w:cs="Arial"/>
          <w:sz w:val="20"/>
          <w:szCs w:val="20"/>
        </w:rPr>
      </w:pPr>
      <w:r w:rsidRPr="00004346">
        <w:rPr>
          <w:rFonts w:ascii="Arial" w:hAnsi="Arial" w:cs="Arial"/>
          <w:b/>
          <w:sz w:val="20"/>
          <w:szCs w:val="20"/>
        </w:rPr>
        <w:t>Offender in the PNC</w:t>
      </w:r>
      <w:r w:rsidRPr="00004346">
        <w:rPr>
          <w:rFonts w:ascii="Arial" w:hAnsi="Arial" w:cs="Arial"/>
          <w:sz w:val="20"/>
          <w:szCs w:val="20"/>
        </w:rPr>
        <w:t xml:space="preserve">: </w:t>
      </w:r>
      <w:r w:rsidR="00D76360" w:rsidRPr="00004346">
        <w:rPr>
          <w:rFonts w:ascii="Arial" w:hAnsi="Arial" w:cs="Arial"/>
          <w:sz w:val="20"/>
          <w:szCs w:val="20"/>
        </w:rPr>
        <w:t xml:space="preserve">Index offences </w:t>
      </w:r>
      <w:r w:rsidR="00C76619" w:rsidRPr="00004346">
        <w:rPr>
          <w:rFonts w:ascii="Arial" w:hAnsi="Arial" w:cs="Arial"/>
          <w:sz w:val="20"/>
          <w:szCs w:val="20"/>
        </w:rPr>
        <w:t>were</w:t>
      </w:r>
      <w:r w:rsidR="00D76360" w:rsidRPr="00004346">
        <w:rPr>
          <w:rFonts w:ascii="Arial" w:hAnsi="Arial" w:cs="Arial"/>
          <w:sz w:val="20"/>
          <w:szCs w:val="20"/>
        </w:rPr>
        <w:t xml:space="preserve"> only included if offenders c</w:t>
      </w:r>
      <w:r w:rsidR="00C76619" w:rsidRPr="00004346">
        <w:rPr>
          <w:rFonts w:ascii="Arial" w:hAnsi="Arial" w:cs="Arial"/>
          <w:sz w:val="20"/>
          <w:szCs w:val="20"/>
        </w:rPr>
        <w:t>ould be</w:t>
      </w:r>
      <w:r w:rsidR="001D16B5" w:rsidRPr="00004346">
        <w:rPr>
          <w:rFonts w:ascii="Arial" w:hAnsi="Arial" w:cs="Arial"/>
          <w:sz w:val="20"/>
          <w:szCs w:val="20"/>
        </w:rPr>
        <w:t xml:space="preserve"> matched to a PNC</w:t>
      </w:r>
      <w:r w:rsidR="00D76360" w:rsidRPr="00004346">
        <w:rPr>
          <w:rFonts w:ascii="Arial" w:hAnsi="Arial" w:cs="Arial"/>
          <w:sz w:val="20"/>
          <w:szCs w:val="20"/>
        </w:rPr>
        <w:t>I</w:t>
      </w:r>
      <w:r w:rsidR="001D16B5" w:rsidRPr="00004346">
        <w:rPr>
          <w:rFonts w:ascii="Arial" w:hAnsi="Arial" w:cs="Arial"/>
          <w:sz w:val="20"/>
          <w:szCs w:val="20"/>
        </w:rPr>
        <w:t>d.</w:t>
      </w:r>
    </w:p>
    <w:p w:rsidR="00D73927" w:rsidRPr="00004346" w:rsidRDefault="00D73927" w:rsidP="00D73927">
      <w:pPr>
        <w:ind w:left="360"/>
        <w:rPr>
          <w:rFonts w:ascii="Arial" w:hAnsi="Arial" w:cs="Arial"/>
          <w:sz w:val="20"/>
          <w:szCs w:val="20"/>
        </w:rPr>
      </w:pPr>
    </w:p>
    <w:p w:rsidR="00D73927" w:rsidRPr="00004346" w:rsidRDefault="00710084" w:rsidP="00D73927">
      <w:pPr>
        <w:numPr>
          <w:ilvl w:val="0"/>
          <w:numId w:val="4"/>
        </w:numPr>
        <w:rPr>
          <w:rFonts w:ascii="Arial" w:hAnsi="Arial" w:cs="Arial"/>
          <w:sz w:val="20"/>
          <w:szCs w:val="20"/>
        </w:rPr>
      </w:pPr>
      <w:r w:rsidRPr="00004346">
        <w:rPr>
          <w:rFonts w:ascii="Arial" w:hAnsi="Arial" w:cs="Arial"/>
          <w:b/>
          <w:sz w:val="20"/>
          <w:szCs w:val="20"/>
        </w:rPr>
        <w:t xml:space="preserve">Index offence in the PNC: </w:t>
      </w:r>
      <w:r w:rsidR="00D76360" w:rsidRPr="00004346">
        <w:rPr>
          <w:rFonts w:ascii="Arial" w:hAnsi="Arial" w:cs="Arial"/>
          <w:sz w:val="20"/>
          <w:szCs w:val="20"/>
        </w:rPr>
        <w:t xml:space="preserve">Index </w:t>
      </w:r>
      <w:r w:rsidR="00A82248" w:rsidRPr="00004346">
        <w:rPr>
          <w:rFonts w:ascii="Arial" w:hAnsi="Arial" w:cs="Arial"/>
          <w:sz w:val="20"/>
          <w:szCs w:val="20"/>
        </w:rPr>
        <w:t xml:space="preserve">offences </w:t>
      </w:r>
      <w:r w:rsidR="00C76619" w:rsidRPr="00004346">
        <w:rPr>
          <w:rFonts w:ascii="Arial" w:hAnsi="Arial" w:cs="Arial"/>
          <w:sz w:val="20"/>
          <w:szCs w:val="20"/>
        </w:rPr>
        <w:t>were</w:t>
      </w:r>
      <w:r w:rsidR="00D76360" w:rsidRPr="00004346">
        <w:rPr>
          <w:rFonts w:ascii="Arial" w:hAnsi="Arial" w:cs="Arial"/>
          <w:sz w:val="20"/>
          <w:szCs w:val="20"/>
        </w:rPr>
        <w:t xml:space="preserve"> only included </w:t>
      </w:r>
      <w:r w:rsidR="001E1BD4">
        <w:rPr>
          <w:rFonts w:ascii="Arial" w:hAnsi="Arial" w:cs="Arial"/>
          <w:sz w:val="20"/>
          <w:szCs w:val="20"/>
        </w:rPr>
        <w:t>if they</w:t>
      </w:r>
      <w:r w:rsidR="001D16B5" w:rsidRPr="00004346">
        <w:rPr>
          <w:rFonts w:ascii="Arial" w:hAnsi="Arial" w:cs="Arial"/>
          <w:sz w:val="20"/>
          <w:szCs w:val="20"/>
        </w:rPr>
        <w:t xml:space="preserve"> </w:t>
      </w:r>
      <w:r w:rsidR="00C76619" w:rsidRPr="00004346">
        <w:rPr>
          <w:rFonts w:ascii="Arial" w:hAnsi="Arial" w:cs="Arial"/>
          <w:sz w:val="20"/>
          <w:szCs w:val="20"/>
        </w:rPr>
        <w:t>could</w:t>
      </w:r>
      <w:r w:rsidR="001D16B5" w:rsidRPr="00004346">
        <w:rPr>
          <w:rFonts w:ascii="Arial" w:hAnsi="Arial" w:cs="Arial"/>
          <w:sz w:val="20"/>
          <w:szCs w:val="20"/>
        </w:rPr>
        <w:t xml:space="preserve"> be matched to a PNC offence</w:t>
      </w:r>
      <w:r w:rsidR="00AB1386" w:rsidRPr="00004346">
        <w:rPr>
          <w:rFonts w:ascii="Arial" w:hAnsi="Arial" w:cs="Arial"/>
          <w:sz w:val="20"/>
          <w:szCs w:val="20"/>
        </w:rPr>
        <w:t>.</w:t>
      </w:r>
      <w:r w:rsidR="00721173" w:rsidRPr="00004346">
        <w:rPr>
          <w:rFonts w:ascii="Arial" w:hAnsi="Arial" w:cs="Arial"/>
          <w:sz w:val="20"/>
          <w:szCs w:val="20"/>
        </w:rPr>
        <w:t xml:space="preserve"> </w:t>
      </w:r>
    </w:p>
    <w:p w:rsidR="005913D9" w:rsidRPr="00004346" w:rsidRDefault="005913D9" w:rsidP="005913D9">
      <w:pPr>
        <w:ind w:left="360"/>
        <w:rPr>
          <w:rFonts w:ascii="Arial" w:hAnsi="Arial" w:cs="Arial"/>
          <w:sz w:val="20"/>
          <w:szCs w:val="20"/>
        </w:rPr>
      </w:pPr>
    </w:p>
    <w:p w:rsidR="00AB1386" w:rsidRPr="00004346" w:rsidRDefault="00710084" w:rsidP="00D27B42">
      <w:pPr>
        <w:numPr>
          <w:ilvl w:val="0"/>
          <w:numId w:val="4"/>
        </w:numPr>
        <w:rPr>
          <w:rFonts w:ascii="Arial" w:hAnsi="Arial" w:cs="Arial"/>
          <w:i/>
          <w:sz w:val="20"/>
          <w:szCs w:val="20"/>
        </w:rPr>
      </w:pPr>
      <w:r w:rsidRPr="00004346">
        <w:rPr>
          <w:rFonts w:ascii="Arial" w:hAnsi="Arial" w:cs="Arial"/>
          <w:b/>
          <w:sz w:val="20"/>
          <w:szCs w:val="20"/>
        </w:rPr>
        <w:t>Sentence date data quality</w:t>
      </w:r>
      <w:r w:rsidRPr="00004346">
        <w:rPr>
          <w:rFonts w:ascii="Arial" w:hAnsi="Arial" w:cs="Arial"/>
          <w:sz w:val="20"/>
          <w:szCs w:val="20"/>
        </w:rPr>
        <w:t xml:space="preserve">: </w:t>
      </w:r>
      <w:r w:rsidR="00B55D1E" w:rsidRPr="00004346">
        <w:rPr>
          <w:rFonts w:ascii="Arial" w:hAnsi="Arial" w:cs="Arial"/>
          <w:sz w:val="20"/>
          <w:szCs w:val="20"/>
        </w:rPr>
        <w:t>Cases where</w:t>
      </w:r>
      <w:r w:rsidR="00D27B42" w:rsidRPr="00004346">
        <w:rPr>
          <w:rFonts w:ascii="Arial" w:hAnsi="Arial" w:cs="Arial"/>
          <w:sz w:val="20"/>
          <w:szCs w:val="20"/>
        </w:rPr>
        <w:t xml:space="preserve"> </w:t>
      </w:r>
      <w:r w:rsidR="00EB5A5A" w:rsidRPr="00C36155">
        <w:rPr>
          <w:rFonts w:ascii="Arial" w:hAnsi="Arial" w:cs="Arial"/>
          <w:sz w:val="20"/>
          <w:szCs w:val="20"/>
        </w:rPr>
        <w:t>(</w:t>
      </w:r>
      <w:r w:rsidR="00D27B42" w:rsidRPr="00C36155">
        <w:rPr>
          <w:rFonts w:ascii="Arial" w:hAnsi="Arial" w:cs="Arial"/>
          <w:sz w:val="20"/>
          <w:szCs w:val="20"/>
        </w:rPr>
        <w:t>discharge</w:t>
      </w:r>
      <w:r w:rsidR="00B55D1E" w:rsidRPr="00C36155">
        <w:rPr>
          <w:rFonts w:ascii="Arial" w:hAnsi="Arial" w:cs="Arial"/>
          <w:sz w:val="20"/>
          <w:szCs w:val="20"/>
        </w:rPr>
        <w:t xml:space="preserve"> </w:t>
      </w:r>
      <w:r w:rsidR="00D27B42" w:rsidRPr="00C36155">
        <w:rPr>
          <w:rFonts w:ascii="Arial" w:hAnsi="Arial" w:cs="Arial"/>
          <w:sz w:val="20"/>
          <w:szCs w:val="20"/>
        </w:rPr>
        <w:t xml:space="preserve">date </w:t>
      </w:r>
      <w:r w:rsidR="00B55D1E" w:rsidRPr="00C36155">
        <w:rPr>
          <w:rFonts w:ascii="Arial" w:hAnsi="Arial" w:cs="Arial"/>
          <w:sz w:val="20"/>
          <w:szCs w:val="20"/>
        </w:rPr>
        <w:t>–</w:t>
      </w:r>
      <w:r w:rsidR="00D27B42" w:rsidRPr="00C36155">
        <w:rPr>
          <w:rFonts w:ascii="Arial" w:hAnsi="Arial" w:cs="Arial"/>
          <w:sz w:val="20"/>
          <w:szCs w:val="20"/>
        </w:rPr>
        <w:t xml:space="preserve"> sentence</w:t>
      </w:r>
      <w:r w:rsidR="00B55D1E" w:rsidRPr="00C36155">
        <w:rPr>
          <w:rFonts w:ascii="Arial" w:hAnsi="Arial" w:cs="Arial"/>
          <w:sz w:val="20"/>
          <w:szCs w:val="20"/>
        </w:rPr>
        <w:t xml:space="preserve"> </w:t>
      </w:r>
      <w:r w:rsidR="00D27B42" w:rsidRPr="00C36155">
        <w:rPr>
          <w:rFonts w:ascii="Arial" w:hAnsi="Arial" w:cs="Arial"/>
          <w:sz w:val="20"/>
          <w:szCs w:val="20"/>
        </w:rPr>
        <w:t>date</w:t>
      </w:r>
      <w:r w:rsidR="00EB5A5A" w:rsidRPr="00C36155">
        <w:rPr>
          <w:rFonts w:ascii="Arial" w:hAnsi="Arial" w:cs="Arial"/>
          <w:sz w:val="20"/>
          <w:szCs w:val="20"/>
        </w:rPr>
        <w:t>)</w:t>
      </w:r>
      <w:r w:rsidR="00D27B42" w:rsidRPr="00C36155">
        <w:rPr>
          <w:rFonts w:ascii="Arial" w:hAnsi="Arial" w:cs="Arial"/>
          <w:sz w:val="20"/>
          <w:szCs w:val="20"/>
        </w:rPr>
        <w:t xml:space="preserve">  &gt; </w:t>
      </w:r>
      <w:r w:rsidR="00AF4B39" w:rsidRPr="00C36155">
        <w:rPr>
          <w:rFonts w:ascii="Arial" w:hAnsi="Arial" w:cs="Arial"/>
          <w:sz w:val="20"/>
          <w:szCs w:val="20"/>
        </w:rPr>
        <w:t xml:space="preserve"> </w:t>
      </w:r>
      <w:r w:rsidR="00D27B42" w:rsidRPr="00C36155">
        <w:rPr>
          <w:rFonts w:ascii="Arial" w:hAnsi="Arial" w:cs="Arial"/>
          <w:sz w:val="20"/>
          <w:szCs w:val="20"/>
        </w:rPr>
        <w:t>sentence</w:t>
      </w:r>
      <w:r w:rsidR="00B55D1E" w:rsidRPr="00C36155">
        <w:rPr>
          <w:rFonts w:ascii="Arial" w:hAnsi="Arial" w:cs="Arial"/>
          <w:sz w:val="20"/>
          <w:szCs w:val="20"/>
        </w:rPr>
        <w:t xml:space="preserve"> </w:t>
      </w:r>
      <w:r w:rsidR="00D27B42" w:rsidRPr="00C36155">
        <w:rPr>
          <w:rFonts w:ascii="Arial" w:hAnsi="Arial" w:cs="Arial"/>
          <w:sz w:val="20"/>
          <w:szCs w:val="20"/>
        </w:rPr>
        <w:t>length</w:t>
      </w:r>
      <w:r w:rsidR="00B55D1E" w:rsidRPr="00C36155">
        <w:rPr>
          <w:rFonts w:ascii="Arial" w:hAnsi="Arial" w:cs="Arial"/>
          <w:sz w:val="20"/>
          <w:szCs w:val="20"/>
        </w:rPr>
        <w:t xml:space="preserve"> </w:t>
      </w:r>
      <w:r w:rsidR="00EB5A5A" w:rsidRPr="00C36155">
        <w:rPr>
          <w:rFonts w:ascii="Arial" w:hAnsi="Arial" w:cs="Arial"/>
          <w:sz w:val="20"/>
          <w:szCs w:val="20"/>
        </w:rPr>
        <w:t>were</w:t>
      </w:r>
      <w:r w:rsidR="00AB1386" w:rsidRPr="00C36155">
        <w:rPr>
          <w:rFonts w:ascii="Arial" w:hAnsi="Arial" w:cs="Arial"/>
          <w:sz w:val="20"/>
          <w:szCs w:val="20"/>
        </w:rPr>
        <w:t xml:space="preserve"> </w:t>
      </w:r>
      <w:r w:rsidR="0005217D">
        <w:rPr>
          <w:rFonts w:ascii="Arial" w:hAnsi="Arial" w:cs="Arial"/>
          <w:sz w:val="20"/>
          <w:szCs w:val="20"/>
        </w:rPr>
        <w:t>ex</w:t>
      </w:r>
      <w:r w:rsidR="0005217D" w:rsidRPr="00C36155">
        <w:rPr>
          <w:rFonts w:ascii="Arial" w:hAnsi="Arial" w:cs="Arial"/>
          <w:sz w:val="20"/>
          <w:szCs w:val="20"/>
        </w:rPr>
        <w:t>cluded</w:t>
      </w:r>
      <w:r w:rsidR="00B55D1E" w:rsidRPr="00C36155">
        <w:rPr>
          <w:rFonts w:ascii="Arial" w:hAnsi="Arial" w:cs="Arial"/>
          <w:sz w:val="20"/>
          <w:szCs w:val="20"/>
        </w:rPr>
        <w:t>.</w:t>
      </w:r>
    </w:p>
    <w:p w:rsidR="001E69EC" w:rsidRPr="00004346" w:rsidRDefault="001E69EC" w:rsidP="001E69EC">
      <w:pPr>
        <w:ind w:left="360"/>
        <w:rPr>
          <w:rFonts w:ascii="Arial" w:hAnsi="Arial" w:cs="Arial"/>
          <w:sz w:val="20"/>
          <w:szCs w:val="20"/>
        </w:rPr>
      </w:pPr>
    </w:p>
    <w:p w:rsidR="00C113BA" w:rsidRPr="00004346" w:rsidRDefault="002023EF" w:rsidP="00D27B42">
      <w:pPr>
        <w:numPr>
          <w:ilvl w:val="0"/>
          <w:numId w:val="4"/>
        </w:numPr>
        <w:rPr>
          <w:rFonts w:ascii="Arial" w:hAnsi="Arial" w:cs="Arial"/>
          <w:sz w:val="20"/>
          <w:szCs w:val="20"/>
        </w:rPr>
      </w:pPr>
      <w:r>
        <w:rPr>
          <w:rFonts w:ascii="Arial" w:hAnsi="Arial" w:cs="Arial"/>
          <w:b/>
          <w:sz w:val="20"/>
          <w:szCs w:val="20"/>
        </w:rPr>
        <w:t>De-duplication</w:t>
      </w:r>
      <w:r w:rsidR="00B55D1E" w:rsidRPr="00004346">
        <w:rPr>
          <w:rFonts w:ascii="Arial" w:hAnsi="Arial" w:cs="Arial"/>
          <w:sz w:val="20"/>
          <w:szCs w:val="20"/>
        </w:rPr>
        <w:t xml:space="preserve">: </w:t>
      </w:r>
      <w:r w:rsidR="00C113BA" w:rsidRPr="00004346">
        <w:rPr>
          <w:rFonts w:ascii="Arial" w:hAnsi="Arial" w:cs="Arial"/>
          <w:sz w:val="20"/>
          <w:szCs w:val="20"/>
        </w:rPr>
        <w:t xml:space="preserve">Only the earliest index offence for each offender </w:t>
      </w:r>
      <w:r w:rsidR="00EB5A5A" w:rsidRPr="00004346">
        <w:rPr>
          <w:rFonts w:ascii="Arial" w:hAnsi="Arial" w:cs="Arial"/>
          <w:sz w:val="20"/>
          <w:szCs w:val="20"/>
        </w:rPr>
        <w:t>was</w:t>
      </w:r>
      <w:r w:rsidR="00C113BA" w:rsidRPr="00004346">
        <w:rPr>
          <w:rFonts w:ascii="Arial" w:hAnsi="Arial" w:cs="Arial"/>
          <w:sz w:val="20"/>
          <w:szCs w:val="20"/>
        </w:rPr>
        <w:t xml:space="preserve"> counted in each </w:t>
      </w:r>
      <w:r w:rsidR="008422A4" w:rsidRPr="00004346">
        <w:rPr>
          <w:rFonts w:ascii="Arial" w:hAnsi="Arial" w:cs="Arial"/>
          <w:sz w:val="20"/>
          <w:szCs w:val="20"/>
        </w:rPr>
        <w:t>quarter</w:t>
      </w:r>
      <w:r w:rsidR="004C712F" w:rsidRPr="00004346">
        <w:rPr>
          <w:rFonts w:ascii="Arial" w:hAnsi="Arial" w:cs="Arial"/>
          <w:sz w:val="20"/>
          <w:szCs w:val="20"/>
        </w:rPr>
        <w:t>.</w:t>
      </w:r>
      <w:r w:rsidR="00DD2252" w:rsidRPr="00004346">
        <w:rPr>
          <w:rFonts w:ascii="Arial" w:hAnsi="Arial" w:cs="Arial"/>
          <w:sz w:val="20"/>
          <w:szCs w:val="20"/>
        </w:rPr>
        <w:t xml:space="preserve"> </w:t>
      </w:r>
      <w:r w:rsidR="00DD2252" w:rsidRPr="00004346">
        <w:rPr>
          <w:rFonts w:ascii="Arial" w:hAnsi="Arial" w:cs="Arial"/>
          <w:i/>
          <w:sz w:val="20"/>
          <w:szCs w:val="20"/>
        </w:rPr>
        <w:t xml:space="preserve">Note that </w:t>
      </w:r>
      <w:r>
        <w:rPr>
          <w:rFonts w:ascii="Arial" w:hAnsi="Arial" w:cs="Arial"/>
          <w:i/>
          <w:sz w:val="20"/>
          <w:szCs w:val="20"/>
        </w:rPr>
        <w:t>de-duplication</w:t>
      </w:r>
      <w:r w:rsidR="00721173" w:rsidRPr="00004346">
        <w:rPr>
          <w:rFonts w:ascii="Arial" w:hAnsi="Arial" w:cs="Arial"/>
          <w:i/>
          <w:sz w:val="20"/>
          <w:szCs w:val="20"/>
        </w:rPr>
        <w:t xml:space="preserve"> is applied before allocating to CRCs or NPS, therefore no offender appear</w:t>
      </w:r>
      <w:r w:rsidR="00EB5A5A" w:rsidRPr="00004346">
        <w:rPr>
          <w:rFonts w:ascii="Arial" w:hAnsi="Arial" w:cs="Arial"/>
          <w:i/>
          <w:sz w:val="20"/>
          <w:szCs w:val="20"/>
        </w:rPr>
        <w:t>s</w:t>
      </w:r>
      <w:r w:rsidR="00721173" w:rsidRPr="00004346">
        <w:rPr>
          <w:rFonts w:ascii="Arial" w:hAnsi="Arial" w:cs="Arial"/>
          <w:i/>
          <w:sz w:val="20"/>
          <w:szCs w:val="20"/>
        </w:rPr>
        <w:t xml:space="preserve"> twice in the same cohort regardless of its </w:t>
      </w:r>
      <w:r w:rsidR="00EB5A5A" w:rsidRPr="00004346">
        <w:rPr>
          <w:rFonts w:ascii="Arial" w:hAnsi="Arial" w:cs="Arial"/>
          <w:i/>
          <w:sz w:val="20"/>
          <w:szCs w:val="20"/>
        </w:rPr>
        <w:t>allocation</w:t>
      </w:r>
      <w:r w:rsidR="00721173" w:rsidRPr="00004346">
        <w:rPr>
          <w:rFonts w:ascii="Arial" w:hAnsi="Arial" w:cs="Arial"/>
          <w:i/>
          <w:sz w:val="20"/>
          <w:szCs w:val="20"/>
        </w:rPr>
        <w:t>.</w:t>
      </w:r>
    </w:p>
    <w:p w:rsidR="002C2A99" w:rsidRPr="00004346" w:rsidRDefault="002C2A99" w:rsidP="002C2A99">
      <w:pPr>
        <w:ind w:left="360"/>
        <w:rPr>
          <w:rFonts w:ascii="Arial" w:hAnsi="Arial" w:cs="Arial"/>
          <w:sz w:val="20"/>
          <w:szCs w:val="20"/>
        </w:rPr>
      </w:pPr>
    </w:p>
    <w:p w:rsidR="002C2A99" w:rsidRPr="00004346" w:rsidRDefault="002C2A99" w:rsidP="002C2A99">
      <w:pPr>
        <w:numPr>
          <w:ilvl w:val="0"/>
          <w:numId w:val="4"/>
        </w:numPr>
        <w:rPr>
          <w:rFonts w:ascii="Arial" w:hAnsi="Arial" w:cs="Arial"/>
          <w:sz w:val="20"/>
          <w:szCs w:val="20"/>
        </w:rPr>
      </w:pPr>
      <w:r w:rsidRPr="00004346">
        <w:rPr>
          <w:rFonts w:ascii="Arial" w:hAnsi="Arial" w:cs="Arial"/>
          <w:b/>
          <w:sz w:val="20"/>
          <w:szCs w:val="20"/>
        </w:rPr>
        <w:t xml:space="preserve">Probation exclusions: </w:t>
      </w:r>
      <w:r w:rsidRPr="00004346">
        <w:rPr>
          <w:rFonts w:ascii="Arial" w:hAnsi="Arial" w:cs="Arial"/>
          <w:sz w:val="20"/>
          <w:szCs w:val="20"/>
        </w:rPr>
        <w:t>Offenders with the following three requirements situations were excluded from the PbR cohort:</w:t>
      </w:r>
    </w:p>
    <w:p w:rsidR="002C2A99" w:rsidRPr="00004346" w:rsidRDefault="002C2A99" w:rsidP="002C2A99">
      <w:pPr>
        <w:numPr>
          <w:ilvl w:val="1"/>
          <w:numId w:val="18"/>
        </w:numPr>
        <w:rPr>
          <w:rFonts w:ascii="Arial" w:hAnsi="Arial" w:cs="Arial"/>
          <w:sz w:val="20"/>
          <w:szCs w:val="20"/>
        </w:rPr>
      </w:pPr>
      <w:r w:rsidRPr="00004346">
        <w:rPr>
          <w:rFonts w:ascii="Arial" w:hAnsi="Arial" w:cs="Arial"/>
          <w:sz w:val="20"/>
          <w:szCs w:val="20"/>
        </w:rPr>
        <w:t>Standalone Unpaid Work/Community Payback (CP)</w:t>
      </w:r>
    </w:p>
    <w:p w:rsidR="002C2A99" w:rsidRPr="00004346" w:rsidRDefault="002C2A99" w:rsidP="002C2A99">
      <w:pPr>
        <w:numPr>
          <w:ilvl w:val="1"/>
          <w:numId w:val="18"/>
        </w:numPr>
        <w:rPr>
          <w:rFonts w:ascii="Arial" w:hAnsi="Arial" w:cs="Arial"/>
          <w:sz w:val="20"/>
          <w:szCs w:val="20"/>
        </w:rPr>
      </w:pPr>
      <w:r w:rsidRPr="00004346">
        <w:rPr>
          <w:rFonts w:ascii="Arial" w:hAnsi="Arial" w:cs="Arial"/>
          <w:sz w:val="20"/>
          <w:szCs w:val="20"/>
        </w:rPr>
        <w:t>Standalone Electronic Monitoring (EM)/Curfew (All “M” only requirements were excluded).</w:t>
      </w:r>
    </w:p>
    <w:p w:rsidR="002C2A99" w:rsidRPr="00004346" w:rsidRDefault="002C2A99" w:rsidP="002C2A99">
      <w:pPr>
        <w:numPr>
          <w:ilvl w:val="1"/>
          <w:numId w:val="18"/>
        </w:numPr>
        <w:rPr>
          <w:rFonts w:ascii="Arial" w:hAnsi="Arial" w:cs="Arial"/>
          <w:sz w:val="20"/>
          <w:szCs w:val="20"/>
        </w:rPr>
      </w:pPr>
      <w:r w:rsidRPr="00004346">
        <w:rPr>
          <w:rFonts w:ascii="Arial" w:hAnsi="Arial" w:cs="Arial"/>
          <w:sz w:val="20"/>
          <w:szCs w:val="20"/>
        </w:rPr>
        <w:t xml:space="preserve">Standalone ‘CP + EM’ </w:t>
      </w:r>
    </w:p>
    <w:p w:rsidR="002C2A99" w:rsidRPr="00004346" w:rsidRDefault="002C2A99" w:rsidP="002C2A99">
      <w:pPr>
        <w:ind w:left="360"/>
        <w:rPr>
          <w:rFonts w:ascii="Arial" w:hAnsi="Arial" w:cs="Arial"/>
          <w:sz w:val="20"/>
          <w:szCs w:val="20"/>
        </w:rPr>
      </w:pPr>
    </w:p>
    <w:p w:rsidR="002C2A99" w:rsidRPr="00004346" w:rsidRDefault="002C2A99" w:rsidP="002C2A99">
      <w:pPr>
        <w:numPr>
          <w:ilvl w:val="0"/>
          <w:numId w:val="18"/>
        </w:numPr>
        <w:rPr>
          <w:rFonts w:ascii="Arial" w:hAnsi="Arial" w:cs="Arial"/>
          <w:sz w:val="20"/>
          <w:szCs w:val="20"/>
        </w:rPr>
      </w:pPr>
      <w:r w:rsidRPr="00004346">
        <w:rPr>
          <w:rFonts w:ascii="Arial" w:hAnsi="Arial" w:cs="Arial"/>
          <w:b/>
          <w:sz w:val="20"/>
          <w:szCs w:val="20"/>
        </w:rPr>
        <w:t xml:space="preserve">Suspended Sentence Orders (SSO) with no requirements: </w:t>
      </w:r>
      <w:r w:rsidR="00B10342" w:rsidRPr="00B10342">
        <w:rPr>
          <w:rFonts w:ascii="Arial" w:hAnsi="Arial" w:cs="Arial"/>
          <w:sz w:val="20"/>
          <w:szCs w:val="20"/>
        </w:rPr>
        <w:t>Offender starts with t</w:t>
      </w:r>
      <w:r w:rsidRPr="00B10342">
        <w:rPr>
          <w:rFonts w:ascii="Arial" w:hAnsi="Arial" w:cs="Arial"/>
          <w:sz w:val="20"/>
          <w:szCs w:val="20"/>
        </w:rPr>
        <w:t xml:space="preserve">his sentence </w:t>
      </w:r>
      <w:r w:rsidR="00B10342" w:rsidRPr="00B10342">
        <w:rPr>
          <w:rFonts w:ascii="Arial" w:hAnsi="Arial" w:cs="Arial"/>
          <w:sz w:val="20"/>
          <w:szCs w:val="20"/>
        </w:rPr>
        <w:t xml:space="preserve">are </w:t>
      </w:r>
      <w:r w:rsidR="00AA4863">
        <w:rPr>
          <w:rFonts w:ascii="Arial" w:hAnsi="Arial" w:cs="Arial"/>
          <w:sz w:val="20"/>
          <w:szCs w:val="20"/>
        </w:rPr>
        <w:t xml:space="preserve">not </w:t>
      </w:r>
      <w:r w:rsidR="003E23E5">
        <w:rPr>
          <w:rFonts w:ascii="Arial" w:hAnsi="Arial" w:cs="Arial"/>
          <w:sz w:val="20"/>
          <w:szCs w:val="20"/>
        </w:rPr>
        <w:t>eligible for the</w:t>
      </w:r>
      <w:r w:rsidR="00B10342" w:rsidRPr="00B10342">
        <w:rPr>
          <w:rFonts w:ascii="Arial" w:hAnsi="Arial" w:cs="Arial"/>
          <w:sz w:val="20"/>
          <w:szCs w:val="20"/>
        </w:rPr>
        <w:t xml:space="preserve"> PbR cohorts. </w:t>
      </w:r>
      <w:r w:rsidR="00AA4863">
        <w:rPr>
          <w:rFonts w:ascii="Arial" w:hAnsi="Arial" w:cs="Arial"/>
          <w:sz w:val="20"/>
          <w:szCs w:val="20"/>
        </w:rPr>
        <w:t>As such, an adjustment was made to exclude these offenders</w:t>
      </w:r>
      <w:r w:rsidR="0070305A">
        <w:rPr>
          <w:rFonts w:ascii="Arial" w:hAnsi="Arial" w:cs="Arial"/>
          <w:sz w:val="20"/>
          <w:szCs w:val="20"/>
        </w:rPr>
        <w:t xml:space="preserve"> from the baselines</w:t>
      </w:r>
      <w:r w:rsidR="00AA4863">
        <w:rPr>
          <w:rFonts w:ascii="Arial" w:hAnsi="Arial" w:cs="Arial"/>
          <w:sz w:val="20"/>
          <w:szCs w:val="20"/>
        </w:rPr>
        <w:t xml:space="preserve">. As </w:t>
      </w:r>
      <w:r w:rsidR="00B10342" w:rsidRPr="00B10342">
        <w:rPr>
          <w:rFonts w:ascii="Arial" w:hAnsi="Arial" w:cs="Arial"/>
          <w:sz w:val="20"/>
          <w:szCs w:val="20"/>
        </w:rPr>
        <w:t>this s</w:t>
      </w:r>
      <w:r w:rsidR="00B10342">
        <w:rPr>
          <w:rFonts w:ascii="Arial" w:hAnsi="Arial" w:cs="Arial"/>
          <w:sz w:val="20"/>
          <w:szCs w:val="20"/>
        </w:rPr>
        <w:t xml:space="preserve">entence </w:t>
      </w:r>
      <w:r w:rsidRPr="00004346">
        <w:rPr>
          <w:rFonts w:ascii="Arial" w:hAnsi="Arial" w:cs="Arial"/>
          <w:sz w:val="20"/>
          <w:szCs w:val="20"/>
        </w:rPr>
        <w:t xml:space="preserve">was not </w:t>
      </w:r>
      <w:r w:rsidR="005A2A09">
        <w:rPr>
          <w:rFonts w:ascii="Arial" w:hAnsi="Arial" w:cs="Arial"/>
          <w:sz w:val="20"/>
          <w:szCs w:val="20"/>
        </w:rPr>
        <w:t xml:space="preserve">introduced until after </w:t>
      </w:r>
      <w:r w:rsidRPr="00004346">
        <w:rPr>
          <w:rFonts w:ascii="Arial" w:hAnsi="Arial" w:cs="Arial"/>
          <w:sz w:val="20"/>
          <w:szCs w:val="20"/>
        </w:rPr>
        <w:t xml:space="preserve">2011, the volume </w:t>
      </w:r>
      <w:r w:rsidR="00B10342">
        <w:rPr>
          <w:rFonts w:ascii="Arial" w:hAnsi="Arial" w:cs="Arial"/>
          <w:sz w:val="20"/>
          <w:szCs w:val="20"/>
        </w:rPr>
        <w:t xml:space="preserve">of these starts </w:t>
      </w:r>
      <w:r w:rsidRPr="00004346">
        <w:rPr>
          <w:rFonts w:ascii="Arial" w:hAnsi="Arial" w:cs="Arial"/>
          <w:sz w:val="20"/>
          <w:szCs w:val="20"/>
        </w:rPr>
        <w:t xml:space="preserve">was estimated based on data from Q3 2013. A weight was </w:t>
      </w:r>
      <w:r w:rsidR="00AA4863">
        <w:rPr>
          <w:rFonts w:ascii="Arial" w:hAnsi="Arial" w:cs="Arial"/>
          <w:sz w:val="20"/>
          <w:szCs w:val="20"/>
        </w:rPr>
        <w:t xml:space="preserve">then </w:t>
      </w:r>
      <w:r w:rsidRPr="00004346">
        <w:rPr>
          <w:rFonts w:ascii="Arial" w:hAnsi="Arial" w:cs="Arial"/>
          <w:sz w:val="20"/>
          <w:szCs w:val="20"/>
        </w:rPr>
        <w:t>applied to the probation offenders with a standalone supervision requirement</w:t>
      </w:r>
      <w:r w:rsidR="005A2A09">
        <w:rPr>
          <w:rFonts w:ascii="Arial" w:hAnsi="Arial" w:cs="Arial"/>
          <w:sz w:val="20"/>
          <w:szCs w:val="20"/>
        </w:rPr>
        <w:t xml:space="preserve"> to account for the proportion of these that may have received an SSO with no requirements had this sentence been available</w:t>
      </w:r>
      <w:r w:rsidRPr="00004346">
        <w:rPr>
          <w:rFonts w:ascii="Arial" w:hAnsi="Arial" w:cs="Arial"/>
          <w:sz w:val="20"/>
          <w:szCs w:val="20"/>
        </w:rPr>
        <w:t xml:space="preserve">. </w:t>
      </w:r>
    </w:p>
    <w:p w:rsidR="002C2A99" w:rsidRPr="00004346" w:rsidRDefault="002C2A99" w:rsidP="002C2A99">
      <w:pPr>
        <w:ind w:left="360"/>
        <w:rPr>
          <w:rFonts w:ascii="Arial" w:hAnsi="Arial" w:cs="Arial"/>
          <w:sz w:val="20"/>
          <w:szCs w:val="20"/>
        </w:rPr>
      </w:pPr>
    </w:p>
    <w:p w:rsidR="002C2A99" w:rsidRPr="000A0B96" w:rsidRDefault="002C2A99" w:rsidP="002C2A99">
      <w:pPr>
        <w:numPr>
          <w:ilvl w:val="0"/>
          <w:numId w:val="18"/>
        </w:numPr>
        <w:rPr>
          <w:rFonts w:ascii="Arial" w:hAnsi="Arial" w:cs="Arial"/>
          <w:sz w:val="20"/>
          <w:szCs w:val="20"/>
        </w:rPr>
      </w:pPr>
      <w:r w:rsidRPr="000A0B96">
        <w:rPr>
          <w:rFonts w:ascii="Arial" w:hAnsi="Arial" w:cs="Arial"/>
          <w:b/>
          <w:sz w:val="20"/>
          <w:szCs w:val="20"/>
        </w:rPr>
        <w:t xml:space="preserve">Foreign National Offenders (FNO): </w:t>
      </w:r>
      <w:r w:rsidRPr="000A0B96">
        <w:rPr>
          <w:rFonts w:ascii="Arial" w:hAnsi="Arial" w:cs="Arial"/>
          <w:sz w:val="20"/>
          <w:szCs w:val="20"/>
        </w:rPr>
        <w:t xml:space="preserve">Offenders that were </w:t>
      </w:r>
      <w:r w:rsidR="00FF50A5" w:rsidRPr="000A0B96">
        <w:rPr>
          <w:rFonts w:ascii="Arial" w:hAnsi="Arial" w:cs="Arial"/>
          <w:sz w:val="20"/>
          <w:szCs w:val="20"/>
        </w:rPr>
        <w:t xml:space="preserve">subject </w:t>
      </w:r>
      <w:r w:rsidRPr="000A0B96">
        <w:rPr>
          <w:rFonts w:ascii="Arial" w:hAnsi="Arial" w:cs="Arial"/>
          <w:sz w:val="20"/>
          <w:szCs w:val="20"/>
        </w:rPr>
        <w:t>to deportation were excluded. Since there was no available information of the specific status of the offenders initially included in the cohort, this exclusion was conducted through a reduction weighting by year and quarter to those offenders coming from a custodial sentence</w:t>
      </w:r>
      <w:r w:rsidR="000A0B96" w:rsidRPr="000A0B96">
        <w:rPr>
          <w:rFonts w:ascii="Arial" w:hAnsi="Arial" w:cs="Arial"/>
          <w:sz w:val="20"/>
          <w:szCs w:val="20"/>
        </w:rPr>
        <w:t xml:space="preserve"> of 12 months or more</w:t>
      </w:r>
      <w:r w:rsidRPr="000A0B96">
        <w:rPr>
          <w:rFonts w:ascii="Arial" w:hAnsi="Arial" w:cs="Arial"/>
          <w:sz w:val="20"/>
          <w:szCs w:val="20"/>
        </w:rPr>
        <w:t>.</w:t>
      </w:r>
      <w:r w:rsidR="000A0B96" w:rsidRPr="000A0B96">
        <w:rPr>
          <w:rFonts w:ascii="Arial" w:hAnsi="Arial" w:cs="Arial"/>
          <w:sz w:val="20"/>
          <w:szCs w:val="20"/>
        </w:rPr>
        <w:t xml:space="preserve"> These figures do not take account of two changes to the allocation of FNOs. The first is that all FNOs sentenced to a custodial sentence of 12 months or more will be allocated to the NPS. The second is </w:t>
      </w:r>
      <w:r w:rsidR="000A0B96">
        <w:rPr>
          <w:rFonts w:ascii="Arial" w:hAnsi="Arial" w:cs="Arial"/>
          <w:sz w:val="20"/>
          <w:szCs w:val="20"/>
        </w:rPr>
        <w:t xml:space="preserve">that where </w:t>
      </w:r>
      <w:r w:rsidR="000A0B96" w:rsidRPr="000A0B96">
        <w:rPr>
          <w:rFonts w:ascii="Arial" w:hAnsi="Arial" w:cs="Arial"/>
          <w:sz w:val="20"/>
          <w:szCs w:val="20"/>
        </w:rPr>
        <w:t>the Home Office confirms </w:t>
      </w:r>
      <w:r w:rsidR="000A0B96">
        <w:rPr>
          <w:rFonts w:ascii="Arial" w:hAnsi="Arial" w:cs="Arial"/>
          <w:sz w:val="20"/>
          <w:szCs w:val="20"/>
        </w:rPr>
        <w:t xml:space="preserve">at least 3 months prior to an offender’s release from custody that they are </w:t>
      </w:r>
      <w:r w:rsidR="000A0B96" w:rsidRPr="000A0B96">
        <w:rPr>
          <w:rFonts w:ascii="Arial" w:hAnsi="Arial" w:cs="Arial"/>
          <w:sz w:val="20"/>
          <w:szCs w:val="20"/>
        </w:rPr>
        <w:t xml:space="preserve">definitely not </w:t>
      </w:r>
      <w:r w:rsidR="000A0B96">
        <w:rPr>
          <w:rFonts w:ascii="Arial" w:hAnsi="Arial" w:cs="Arial"/>
          <w:sz w:val="20"/>
          <w:szCs w:val="20"/>
        </w:rPr>
        <w:t xml:space="preserve">subject to </w:t>
      </w:r>
      <w:r w:rsidR="000A0B96" w:rsidRPr="000A0B96">
        <w:rPr>
          <w:rFonts w:ascii="Arial" w:hAnsi="Arial" w:cs="Arial"/>
          <w:sz w:val="20"/>
          <w:szCs w:val="20"/>
        </w:rPr>
        <w:t xml:space="preserve">deportation </w:t>
      </w:r>
      <w:r w:rsidR="000A0B96">
        <w:rPr>
          <w:rFonts w:ascii="Arial" w:hAnsi="Arial" w:cs="Arial"/>
          <w:sz w:val="20"/>
          <w:szCs w:val="20"/>
        </w:rPr>
        <w:t xml:space="preserve">the offender will be </w:t>
      </w:r>
      <w:r w:rsidR="000A0B96" w:rsidRPr="000A0B96">
        <w:rPr>
          <w:rFonts w:ascii="Arial" w:hAnsi="Arial" w:cs="Arial"/>
          <w:sz w:val="20"/>
          <w:szCs w:val="20"/>
        </w:rPr>
        <w:t>re-allocate</w:t>
      </w:r>
      <w:r w:rsidR="000A0B96">
        <w:rPr>
          <w:rFonts w:ascii="Arial" w:hAnsi="Arial" w:cs="Arial"/>
          <w:sz w:val="20"/>
          <w:szCs w:val="20"/>
        </w:rPr>
        <w:t>d</w:t>
      </w:r>
      <w:r w:rsidR="000A0B96" w:rsidRPr="000A0B96">
        <w:rPr>
          <w:rFonts w:ascii="Arial" w:hAnsi="Arial" w:cs="Arial"/>
          <w:sz w:val="20"/>
          <w:szCs w:val="20"/>
        </w:rPr>
        <w:t xml:space="preserve"> from the NPS to a CRC </w:t>
      </w:r>
      <w:r w:rsidR="000A0B96">
        <w:rPr>
          <w:rFonts w:ascii="Arial" w:hAnsi="Arial" w:cs="Arial"/>
          <w:sz w:val="20"/>
          <w:szCs w:val="20"/>
        </w:rPr>
        <w:t>(and therefore a PbR cohort).</w:t>
      </w:r>
      <w:r w:rsidR="00F82016">
        <w:rPr>
          <w:rFonts w:ascii="Arial" w:hAnsi="Arial" w:cs="Arial"/>
          <w:sz w:val="20"/>
          <w:szCs w:val="20"/>
        </w:rPr>
        <w:t xml:space="preserve"> These changes are likely to affect only a small number of offender starts.</w:t>
      </w:r>
    </w:p>
    <w:p w:rsidR="003E1E79" w:rsidRPr="00004346" w:rsidRDefault="003E1E79" w:rsidP="003E1E79">
      <w:pPr>
        <w:rPr>
          <w:rFonts w:ascii="Arial" w:hAnsi="Arial" w:cs="Arial"/>
          <w:bCs/>
          <w:sz w:val="20"/>
          <w:szCs w:val="20"/>
        </w:rPr>
      </w:pPr>
    </w:p>
    <w:p w:rsidR="003E1E79" w:rsidRPr="00004346" w:rsidRDefault="003E1E79" w:rsidP="003E1E79">
      <w:pPr>
        <w:numPr>
          <w:ilvl w:val="0"/>
          <w:numId w:val="4"/>
        </w:numPr>
        <w:rPr>
          <w:rFonts w:ascii="Arial" w:hAnsi="Arial" w:cs="Arial"/>
          <w:sz w:val="20"/>
          <w:szCs w:val="20"/>
        </w:rPr>
      </w:pPr>
      <w:r w:rsidRPr="00300F43">
        <w:rPr>
          <w:rFonts w:ascii="Arial" w:hAnsi="Arial" w:cs="Arial"/>
          <w:b/>
          <w:bCs/>
          <w:sz w:val="20"/>
          <w:szCs w:val="20"/>
        </w:rPr>
        <w:t>Scaling</w:t>
      </w:r>
      <w:r>
        <w:rPr>
          <w:rFonts w:ascii="Arial" w:hAnsi="Arial" w:cs="Arial"/>
          <w:b/>
          <w:bCs/>
          <w:sz w:val="20"/>
          <w:szCs w:val="20"/>
        </w:rPr>
        <w:t xml:space="preserve">: </w:t>
      </w:r>
      <w:r w:rsidRPr="00004346">
        <w:rPr>
          <w:rFonts w:ascii="Arial" w:hAnsi="Arial" w:cs="Arial"/>
          <w:sz w:val="20"/>
          <w:szCs w:val="20"/>
        </w:rPr>
        <w:t xml:space="preserve">The start cohort volumes differ from the actual quantities from prison and probation because we can </w:t>
      </w:r>
      <w:r w:rsidR="00FA63C9">
        <w:rPr>
          <w:rFonts w:ascii="Arial" w:hAnsi="Arial" w:cs="Arial"/>
          <w:sz w:val="20"/>
          <w:szCs w:val="20"/>
        </w:rPr>
        <w:t xml:space="preserve">measure </w:t>
      </w:r>
      <w:r w:rsidRPr="00004346">
        <w:rPr>
          <w:rFonts w:ascii="Arial" w:hAnsi="Arial" w:cs="Arial"/>
          <w:sz w:val="20"/>
          <w:szCs w:val="20"/>
        </w:rPr>
        <w:t>only those offender</w:t>
      </w:r>
      <w:r w:rsidR="00FA63C9">
        <w:rPr>
          <w:rFonts w:ascii="Arial" w:hAnsi="Arial" w:cs="Arial"/>
          <w:sz w:val="20"/>
          <w:szCs w:val="20"/>
        </w:rPr>
        <w:t>s</w:t>
      </w:r>
      <w:r w:rsidRPr="00004346">
        <w:rPr>
          <w:rFonts w:ascii="Arial" w:hAnsi="Arial" w:cs="Arial"/>
          <w:sz w:val="20"/>
          <w:szCs w:val="20"/>
        </w:rPr>
        <w:t xml:space="preserve"> </w:t>
      </w:r>
      <w:r w:rsidR="00FA63C9">
        <w:rPr>
          <w:rFonts w:ascii="Arial" w:hAnsi="Arial" w:cs="Arial"/>
          <w:sz w:val="20"/>
          <w:szCs w:val="20"/>
        </w:rPr>
        <w:t xml:space="preserve">who </w:t>
      </w:r>
      <w:r w:rsidRPr="00004346">
        <w:rPr>
          <w:rFonts w:ascii="Arial" w:hAnsi="Arial" w:cs="Arial"/>
          <w:sz w:val="20"/>
          <w:szCs w:val="20"/>
        </w:rPr>
        <w:t xml:space="preserve">can be matched to the PNC </w:t>
      </w:r>
      <w:r w:rsidR="003E23E5">
        <w:rPr>
          <w:rFonts w:ascii="Arial" w:hAnsi="Arial" w:cs="Arial"/>
          <w:sz w:val="20"/>
          <w:szCs w:val="20"/>
        </w:rPr>
        <w:t xml:space="preserve">and </w:t>
      </w:r>
      <w:r w:rsidR="00FA63C9">
        <w:rPr>
          <w:rFonts w:ascii="Arial" w:hAnsi="Arial" w:cs="Arial"/>
          <w:sz w:val="20"/>
          <w:szCs w:val="20"/>
        </w:rPr>
        <w:t xml:space="preserve">only those starts for which the </w:t>
      </w:r>
      <w:r w:rsidRPr="00004346">
        <w:rPr>
          <w:rFonts w:ascii="Arial" w:hAnsi="Arial" w:cs="Arial"/>
          <w:sz w:val="20"/>
          <w:szCs w:val="20"/>
        </w:rPr>
        <w:t xml:space="preserve">index offence </w:t>
      </w:r>
      <w:r w:rsidR="00FA63C9">
        <w:rPr>
          <w:rFonts w:ascii="Arial" w:hAnsi="Arial" w:cs="Arial"/>
          <w:sz w:val="20"/>
          <w:szCs w:val="20"/>
        </w:rPr>
        <w:t xml:space="preserve">can be matched to </w:t>
      </w:r>
      <w:r w:rsidRPr="00004346">
        <w:rPr>
          <w:rFonts w:ascii="Arial" w:hAnsi="Arial" w:cs="Arial"/>
          <w:sz w:val="20"/>
          <w:szCs w:val="20"/>
        </w:rPr>
        <w:t>the PNC.</w:t>
      </w:r>
    </w:p>
    <w:p w:rsidR="003E1E79" w:rsidRPr="00004346" w:rsidRDefault="003E1E79" w:rsidP="003E1E79">
      <w:pPr>
        <w:ind w:left="720"/>
        <w:rPr>
          <w:rFonts w:ascii="Arial" w:hAnsi="Arial" w:cs="Arial"/>
          <w:sz w:val="20"/>
          <w:szCs w:val="20"/>
        </w:rPr>
      </w:pPr>
      <w:r w:rsidRPr="00004346">
        <w:rPr>
          <w:rFonts w:ascii="Arial" w:hAnsi="Arial" w:cs="Arial"/>
          <w:sz w:val="20"/>
          <w:szCs w:val="20"/>
        </w:rPr>
        <w:t>To account for this gap we scaled both probation and prison offenders to their totals:</w:t>
      </w:r>
    </w:p>
    <w:p w:rsidR="003E1E79" w:rsidRPr="00004346" w:rsidRDefault="003E1E79" w:rsidP="003E1E79">
      <w:pPr>
        <w:numPr>
          <w:ilvl w:val="0"/>
          <w:numId w:val="4"/>
        </w:numPr>
        <w:tabs>
          <w:tab w:val="clear" w:pos="720"/>
          <w:tab w:val="num" w:pos="1440"/>
        </w:tabs>
        <w:ind w:left="1440"/>
        <w:rPr>
          <w:rFonts w:ascii="Arial" w:hAnsi="Arial" w:cs="Arial"/>
          <w:sz w:val="20"/>
          <w:szCs w:val="20"/>
        </w:rPr>
      </w:pPr>
      <w:r w:rsidRPr="00004346">
        <w:rPr>
          <w:rFonts w:ascii="Arial" w:hAnsi="Arial" w:cs="Arial"/>
          <w:sz w:val="20"/>
          <w:szCs w:val="20"/>
        </w:rPr>
        <w:lastRenderedPageBreak/>
        <w:t>Probation: The scaling was calculated comparing the total probation volumes by CPA excluding standalone Unpaid Work and standalone Electronic Monitoring to the</w:t>
      </w:r>
      <w:r w:rsidR="00D72A52">
        <w:rPr>
          <w:rFonts w:ascii="Arial" w:hAnsi="Arial" w:cs="Arial"/>
          <w:sz w:val="20"/>
          <w:szCs w:val="20"/>
        </w:rPr>
        <w:t xml:space="preserve"> probation</w:t>
      </w:r>
      <w:r w:rsidRPr="00004346">
        <w:rPr>
          <w:rFonts w:ascii="Arial" w:hAnsi="Arial" w:cs="Arial"/>
          <w:sz w:val="20"/>
          <w:szCs w:val="20"/>
        </w:rPr>
        <w:t xml:space="preserve"> totals.</w:t>
      </w:r>
    </w:p>
    <w:p w:rsidR="003E1E79" w:rsidRPr="00004346" w:rsidRDefault="003E1E79" w:rsidP="003E1E79">
      <w:pPr>
        <w:numPr>
          <w:ilvl w:val="0"/>
          <w:numId w:val="4"/>
        </w:numPr>
        <w:tabs>
          <w:tab w:val="clear" w:pos="720"/>
          <w:tab w:val="num" w:pos="1440"/>
        </w:tabs>
        <w:ind w:left="1440"/>
        <w:rPr>
          <w:rFonts w:ascii="Arial" w:hAnsi="Arial" w:cs="Arial"/>
          <w:sz w:val="20"/>
          <w:szCs w:val="20"/>
        </w:rPr>
      </w:pPr>
      <w:r w:rsidRPr="00004346">
        <w:rPr>
          <w:rFonts w:ascii="Arial" w:hAnsi="Arial" w:cs="Arial"/>
          <w:sz w:val="20"/>
          <w:szCs w:val="20"/>
        </w:rPr>
        <w:t xml:space="preserve">Prison: The scaling was calculated comparing the total prison figures without sentences fully served on remand to the actual prison data by quarter and sentence length band (&lt;12m, 12m+). </w:t>
      </w:r>
    </w:p>
    <w:p w:rsidR="003E1E79" w:rsidRPr="00004346" w:rsidRDefault="003E1E79" w:rsidP="003E1E79">
      <w:pPr>
        <w:ind w:left="1080"/>
        <w:rPr>
          <w:rFonts w:ascii="Arial" w:hAnsi="Arial" w:cs="Arial"/>
          <w:i/>
          <w:sz w:val="20"/>
          <w:szCs w:val="20"/>
        </w:rPr>
      </w:pPr>
      <w:r w:rsidRPr="00004346">
        <w:rPr>
          <w:rFonts w:ascii="Arial" w:hAnsi="Arial" w:cs="Arial"/>
          <w:i/>
          <w:sz w:val="20"/>
          <w:szCs w:val="20"/>
        </w:rPr>
        <w:t xml:space="preserve">Note: Totals from Prison were </w:t>
      </w:r>
      <w:r w:rsidR="001111E2">
        <w:rPr>
          <w:rFonts w:ascii="Arial" w:hAnsi="Arial" w:cs="Arial"/>
          <w:i/>
          <w:sz w:val="20"/>
          <w:szCs w:val="20"/>
        </w:rPr>
        <w:t>de-duplicated</w:t>
      </w:r>
      <w:r w:rsidR="001111E2" w:rsidRPr="00004346">
        <w:rPr>
          <w:rFonts w:ascii="Arial" w:hAnsi="Arial" w:cs="Arial"/>
          <w:i/>
          <w:sz w:val="20"/>
          <w:szCs w:val="20"/>
        </w:rPr>
        <w:t xml:space="preserve"> </w:t>
      </w:r>
      <w:r w:rsidRPr="00004346">
        <w:rPr>
          <w:rFonts w:ascii="Arial" w:hAnsi="Arial" w:cs="Arial"/>
          <w:i/>
          <w:sz w:val="20"/>
          <w:szCs w:val="20"/>
        </w:rPr>
        <w:t xml:space="preserve">using the prison number </w:t>
      </w:r>
      <w:r w:rsidR="00430750">
        <w:rPr>
          <w:rFonts w:ascii="Arial" w:hAnsi="Arial" w:cs="Arial"/>
          <w:i/>
          <w:sz w:val="20"/>
          <w:szCs w:val="20"/>
        </w:rPr>
        <w:t xml:space="preserve">to identify </w:t>
      </w:r>
      <w:r w:rsidRPr="00004346">
        <w:rPr>
          <w:rFonts w:ascii="Arial" w:hAnsi="Arial" w:cs="Arial"/>
          <w:i/>
          <w:sz w:val="20"/>
          <w:szCs w:val="20"/>
        </w:rPr>
        <w:t>duplication</w:t>
      </w:r>
      <w:r w:rsidR="00430750">
        <w:rPr>
          <w:rFonts w:ascii="Arial" w:hAnsi="Arial" w:cs="Arial"/>
          <w:i/>
          <w:sz w:val="20"/>
          <w:szCs w:val="20"/>
        </w:rPr>
        <w:t>s.</w:t>
      </w:r>
    </w:p>
    <w:p w:rsidR="001E69EC" w:rsidRPr="00004346" w:rsidRDefault="001E69EC" w:rsidP="001E69EC">
      <w:pPr>
        <w:ind w:left="360"/>
        <w:rPr>
          <w:rFonts w:ascii="Arial" w:hAnsi="Arial" w:cs="Arial"/>
          <w:sz w:val="20"/>
          <w:szCs w:val="20"/>
        </w:rPr>
      </w:pPr>
    </w:p>
    <w:p w:rsidR="00B9138F" w:rsidRPr="00004346" w:rsidRDefault="00B9138F" w:rsidP="003C3965">
      <w:pPr>
        <w:numPr>
          <w:ilvl w:val="0"/>
          <w:numId w:val="18"/>
        </w:numPr>
        <w:rPr>
          <w:rFonts w:ascii="Arial" w:hAnsi="Arial" w:cs="Arial"/>
          <w:sz w:val="20"/>
          <w:szCs w:val="20"/>
        </w:rPr>
      </w:pPr>
      <w:r w:rsidRPr="00004346">
        <w:rPr>
          <w:rFonts w:ascii="Arial" w:hAnsi="Arial" w:cs="Arial"/>
          <w:b/>
          <w:sz w:val="20"/>
          <w:szCs w:val="20"/>
        </w:rPr>
        <w:t>Remands:</w:t>
      </w:r>
      <w:r w:rsidRPr="00004346">
        <w:rPr>
          <w:rFonts w:ascii="Arial" w:hAnsi="Arial" w:cs="Arial"/>
          <w:sz w:val="20"/>
          <w:szCs w:val="20"/>
        </w:rPr>
        <w:t xml:space="preserve"> Discharges from custodial sentences fully served on remand were included into the baselines. These offenders were not in the source data, therefore a scaling of the total was applied to account for this group of custodial offenders.</w:t>
      </w:r>
    </w:p>
    <w:p w:rsidR="001E69EC" w:rsidRPr="00004346" w:rsidRDefault="001E69EC" w:rsidP="001E69EC">
      <w:pPr>
        <w:ind w:left="360"/>
        <w:rPr>
          <w:rFonts w:ascii="Arial" w:hAnsi="Arial" w:cs="Arial"/>
          <w:sz w:val="20"/>
          <w:szCs w:val="20"/>
        </w:rPr>
      </w:pPr>
    </w:p>
    <w:p w:rsidR="002F1670" w:rsidRPr="00004346" w:rsidRDefault="002F1670" w:rsidP="002F1670">
      <w:pPr>
        <w:numPr>
          <w:ilvl w:val="0"/>
          <w:numId w:val="18"/>
        </w:numPr>
        <w:rPr>
          <w:rFonts w:ascii="Arial" w:hAnsi="Arial" w:cs="Arial"/>
          <w:i/>
          <w:sz w:val="20"/>
          <w:szCs w:val="20"/>
        </w:rPr>
      </w:pPr>
      <w:r w:rsidRPr="00004346">
        <w:rPr>
          <w:rFonts w:ascii="Arial" w:hAnsi="Arial" w:cs="Arial"/>
          <w:b/>
          <w:sz w:val="20"/>
          <w:szCs w:val="20"/>
        </w:rPr>
        <w:t>Risk</w:t>
      </w:r>
      <w:r w:rsidRPr="00004346">
        <w:rPr>
          <w:rFonts w:ascii="Arial" w:hAnsi="Arial" w:cs="Arial"/>
          <w:sz w:val="20"/>
          <w:szCs w:val="20"/>
        </w:rPr>
        <w:t xml:space="preserve">:  High risk of recidivism offenders were excluded from the PbR cohort. The measures used to identify them were MAPPA, </w:t>
      </w:r>
      <w:r w:rsidR="00FC01D8" w:rsidRPr="00004346">
        <w:rPr>
          <w:rFonts w:ascii="Arial" w:hAnsi="Arial" w:cs="Arial"/>
          <w:sz w:val="20"/>
          <w:szCs w:val="20"/>
        </w:rPr>
        <w:t xml:space="preserve">2 year </w:t>
      </w:r>
      <w:r w:rsidRPr="00004346">
        <w:rPr>
          <w:rFonts w:ascii="Arial" w:hAnsi="Arial" w:cs="Arial"/>
          <w:sz w:val="20"/>
          <w:szCs w:val="20"/>
        </w:rPr>
        <w:t xml:space="preserve">RSR </w:t>
      </w:r>
      <w:r w:rsidR="00FC01D8" w:rsidRPr="00004346">
        <w:rPr>
          <w:rFonts w:ascii="Arial" w:hAnsi="Arial" w:cs="Arial"/>
          <w:sz w:val="20"/>
          <w:szCs w:val="20"/>
        </w:rPr>
        <w:t xml:space="preserve">(dynamic if available and static otherwise) </w:t>
      </w:r>
      <w:r w:rsidRPr="00004346">
        <w:rPr>
          <w:rFonts w:ascii="Arial" w:hAnsi="Arial" w:cs="Arial"/>
          <w:sz w:val="20"/>
          <w:szCs w:val="20"/>
        </w:rPr>
        <w:t>and RoSH</w:t>
      </w:r>
      <w:r w:rsidR="00FC01D8" w:rsidRPr="00004346">
        <w:rPr>
          <w:rFonts w:ascii="Arial" w:hAnsi="Arial" w:cs="Arial"/>
          <w:sz w:val="20"/>
          <w:szCs w:val="20"/>
        </w:rPr>
        <w:t xml:space="preserve"> (when dynamic data was available)</w:t>
      </w:r>
      <w:r w:rsidRPr="00004346">
        <w:rPr>
          <w:rFonts w:ascii="Arial" w:hAnsi="Arial" w:cs="Arial"/>
          <w:sz w:val="20"/>
          <w:szCs w:val="20"/>
        </w:rPr>
        <w:t>, through the following rules:</w:t>
      </w:r>
    </w:p>
    <w:p w:rsidR="002F1670" w:rsidRPr="00004346" w:rsidRDefault="002F1670" w:rsidP="002F1670">
      <w:pPr>
        <w:pStyle w:val="Heading3"/>
        <w:ind w:left="1440"/>
        <w:rPr>
          <w:sz w:val="22"/>
        </w:rPr>
      </w:pPr>
      <w:r w:rsidRPr="00004346">
        <w:rPr>
          <w:sz w:val="22"/>
        </w:rPr>
        <w:t>MAPPA</w:t>
      </w:r>
    </w:p>
    <w:p w:rsidR="002F1670" w:rsidRPr="00004346" w:rsidRDefault="002F1670" w:rsidP="002F1670">
      <w:pPr>
        <w:ind w:left="1440"/>
        <w:rPr>
          <w:rFonts w:ascii="Arial" w:hAnsi="Arial" w:cs="Arial"/>
          <w:sz w:val="20"/>
        </w:rPr>
      </w:pPr>
      <w:r w:rsidRPr="00004346">
        <w:rPr>
          <w:rFonts w:ascii="Arial" w:hAnsi="Arial" w:cs="Arial"/>
          <w:sz w:val="20"/>
        </w:rPr>
        <w:t>All MAPPA &gt; 0 were excluded</w:t>
      </w:r>
    </w:p>
    <w:p w:rsidR="002F1670" w:rsidRPr="00004346" w:rsidRDefault="002F1670" w:rsidP="002F1670">
      <w:pPr>
        <w:pStyle w:val="Heading3"/>
        <w:ind w:left="1440"/>
        <w:rPr>
          <w:sz w:val="22"/>
        </w:rPr>
      </w:pPr>
      <w:r w:rsidRPr="00004346">
        <w:rPr>
          <w:sz w:val="22"/>
        </w:rPr>
        <w:t>RSR and RoSH</w:t>
      </w:r>
    </w:p>
    <w:tbl>
      <w:tblPr>
        <w:tblW w:w="709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2052"/>
        <w:gridCol w:w="1440"/>
      </w:tblGrid>
      <w:tr w:rsidR="002F1670" w:rsidRPr="00D12F07" w:rsidTr="00D12F07">
        <w:tc>
          <w:tcPr>
            <w:tcW w:w="1980" w:type="dxa"/>
            <w:shd w:val="clear" w:color="auto" w:fill="auto"/>
            <w:vAlign w:val="center"/>
          </w:tcPr>
          <w:p w:rsidR="002F1670" w:rsidRPr="00D12F07" w:rsidRDefault="002F1670" w:rsidP="00D12F07">
            <w:pPr>
              <w:spacing w:after="60"/>
              <w:jc w:val="center"/>
              <w:rPr>
                <w:rFonts w:ascii="Arial" w:hAnsi="Arial" w:cs="Arial"/>
                <w:b/>
                <w:sz w:val="20"/>
              </w:rPr>
            </w:pPr>
          </w:p>
        </w:tc>
        <w:tc>
          <w:tcPr>
            <w:tcW w:w="1620" w:type="dxa"/>
            <w:shd w:val="clear" w:color="auto" w:fill="auto"/>
            <w:vAlign w:val="center"/>
          </w:tcPr>
          <w:p w:rsidR="002F1670" w:rsidRPr="00D12F07" w:rsidRDefault="002F1670" w:rsidP="00D12F07">
            <w:pPr>
              <w:spacing w:after="60"/>
              <w:jc w:val="center"/>
              <w:rPr>
                <w:rFonts w:ascii="Arial" w:hAnsi="Arial" w:cs="Arial"/>
                <w:b/>
                <w:sz w:val="20"/>
              </w:rPr>
            </w:pPr>
            <w:r w:rsidRPr="00D12F07">
              <w:rPr>
                <w:rFonts w:ascii="Arial" w:hAnsi="Arial" w:cs="Arial"/>
                <w:b/>
                <w:sz w:val="20"/>
              </w:rPr>
              <w:t>6.9% &lt; RSR</w:t>
            </w:r>
          </w:p>
        </w:tc>
        <w:tc>
          <w:tcPr>
            <w:tcW w:w="2052" w:type="dxa"/>
            <w:shd w:val="clear" w:color="auto" w:fill="auto"/>
            <w:vAlign w:val="center"/>
          </w:tcPr>
          <w:p w:rsidR="002F1670" w:rsidRPr="00D12F07" w:rsidRDefault="002F1670" w:rsidP="00D12F07">
            <w:pPr>
              <w:spacing w:after="60"/>
              <w:jc w:val="center"/>
              <w:rPr>
                <w:rFonts w:ascii="Arial" w:hAnsi="Arial" w:cs="Arial"/>
                <w:b/>
                <w:sz w:val="20"/>
              </w:rPr>
            </w:pPr>
            <w:r w:rsidRPr="00D12F07">
              <w:rPr>
                <w:rFonts w:ascii="Arial" w:hAnsi="Arial" w:cs="Arial"/>
                <w:b/>
                <w:sz w:val="20"/>
              </w:rPr>
              <w:t xml:space="preserve">3% &lt; RSR </w:t>
            </w:r>
            <w:r w:rsidRPr="00D12F07">
              <w:rPr>
                <w:rFonts w:ascii="Arial" w:hAnsi="Arial" w:cs="Arial"/>
                <w:sz w:val="20"/>
                <w:szCs w:val="20"/>
              </w:rPr>
              <w:t xml:space="preserve">≤ </w:t>
            </w:r>
            <w:r w:rsidRPr="00D12F07">
              <w:rPr>
                <w:rFonts w:ascii="Arial" w:hAnsi="Arial" w:cs="Arial"/>
                <w:b/>
                <w:sz w:val="20"/>
              </w:rPr>
              <w:t xml:space="preserve"> 6.9%</w:t>
            </w:r>
          </w:p>
        </w:tc>
        <w:tc>
          <w:tcPr>
            <w:tcW w:w="1440" w:type="dxa"/>
            <w:shd w:val="clear" w:color="auto" w:fill="auto"/>
            <w:vAlign w:val="center"/>
          </w:tcPr>
          <w:p w:rsidR="002F1670" w:rsidRPr="00D12F07" w:rsidRDefault="002F1670" w:rsidP="00D12F07">
            <w:pPr>
              <w:spacing w:after="60"/>
              <w:jc w:val="center"/>
              <w:rPr>
                <w:rFonts w:ascii="Arial" w:hAnsi="Arial" w:cs="Arial"/>
                <w:b/>
                <w:sz w:val="20"/>
              </w:rPr>
            </w:pPr>
            <w:r w:rsidRPr="00D12F07">
              <w:rPr>
                <w:rFonts w:ascii="Arial" w:hAnsi="Arial" w:cs="Arial"/>
                <w:b/>
                <w:sz w:val="20"/>
              </w:rPr>
              <w:t xml:space="preserve">RSR </w:t>
            </w:r>
            <w:r w:rsidRPr="00D12F07">
              <w:rPr>
                <w:rFonts w:ascii="Arial" w:hAnsi="Arial" w:cs="Arial"/>
                <w:sz w:val="20"/>
                <w:szCs w:val="20"/>
              </w:rPr>
              <w:t xml:space="preserve">≤ </w:t>
            </w:r>
            <w:r w:rsidRPr="00D12F07">
              <w:rPr>
                <w:rFonts w:ascii="Arial" w:hAnsi="Arial" w:cs="Arial"/>
                <w:b/>
                <w:sz w:val="20"/>
              </w:rPr>
              <w:t xml:space="preserve"> 3%</w:t>
            </w:r>
          </w:p>
        </w:tc>
      </w:tr>
      <w:tr w:rsidR="002F1670" w:rsidRPr="00D12F07" w:rsidTr="00D12F07">
        <w:tc>
          <w:tcPr>
            <w:tcW w:w="1980" w:type="dxa"/>
            <w:shd w:val="clear" w:color="auto" w:fill="auto"/>
          </w:tcPr>
          <w:p w:rsidR="002F1670" w:rsidRPr="00D12F07" w:rsidRDefault="002F1670" w:rsidP="00D12F07">
            <w:pPr>
              <w:spacing w:after="60"/>
              <w:rPr>
                <w:rFonts w:ascii="Arial" w:hAnsi="Arial" w:cs="Arial"/>
                <w:b/>
                <w:sz w:val="20"/>
              </w:rPr>
            </w:pPr>
            <w:r w:rsidRPr="00D12F07">
              <w:rPr>
                <w:rFonts w:ascii="Arial" w:hAnsi="Arial" w:cs="Arial"/>
                <w:b/>
                <w:sz w:val="20"/>
              </w:rPr>
              <w:t xml:space="preserve">RoSH low, medium or absent </w:t>
            </w:r>
            <w:r w:rsidRPr="00D12F07">
              <w:rPr>
                <w:rFonts w:ascii="Arial" w:hAnsi="Arial" w:cs="Arial"/>
                <w:color w:val="008080"/>
                <w:sz w:val="20"/>
              </w:rPr>
              <w:t>{0, 1, 2}</w:t>
            </w:r>
          </w:p>
        </w:tc>
        <w:tc>
          <w:tcPr>
            <w:tcW w:w="1620" w:type="dxa"/>
            <w:shd w:val="clear" w:color="auto" w:fill="auto"/>
          </w:tcPr>
          <w:p w:rsidR="002F1670" w:rsidRPr="00D12F07" w:rsidRDefault="002F1670" w:rsidP="00D12F07">
            <w:pPr>
              <w:spacing w:after="60"/>
              <w:jc w:val="center"/>
              <w:rPr>
                <w:rFonts w:ascii="Arial" w:hAnsi="Arial" w:cs="Arial"/>
                <w:sz w:val="20"/>
              </w:rPr>
            </w:pPr>
            <w:r w:rsidRPr="00D12F07">
              <w:rPr>
                <w:rFonts w:ascii="Arial" w:hAnsi="Arial" w:cs="Arial"/>
                <w:sz w:val="20"/>
              </w:rPr>
              <w:t>excluded</w:t>
            </w:r>
          </w:p>
        </w:tc>
        <w:tc>
          <w:tcPr>
            <w:tcW w:w="2052" w:type="dxa"/>
            <w:shd w:val="clear" w:color="auto" w:fill="auto"/>
          </w:tcPr>
          <w:p w:rsidR="002F1670" w:rsidRPr="00D12F07" w:rsidRDefault="002F1670" w:rsidP="00D12F07">
            <w:pPr>
              <w:spacing w:after="60"/>
              <w:jc w:val="center"/>
              <w:rPr>
                <w:rFonts w:ascii="Arial" w:hAnsi="Arial" w:cs="Arial"/>
                <w:sz w:val="20"/>
              </w:rPr>
            </w:pPr>
            <w:r w:rsidRPr="00D12F07">
              <w:rPr>
                <w:rFonts w:ascii="Arial" w:hAnsi="Arial" w:cs="Arial"/>
                <w:sz w:val="20"/>
              </w:rPr>
              <w:t>in</w:t>
            </w:r>
          </w:p>
        </w:tc>
        <w:tc>
          <w:tcPr>
            <w:tcW w:w="1440" w:type="dxa"/>
            <w:shd w:val="clear" w:color="auto" w:fill="auto"/>
          </w:tcPr>
          <w:p w:rsidR="002F1670" w:rsidRPr="00D12F07" w:rsidRDefault="002F1670" w:rsidP="00D12F07">
            <w:pPr>
              <w:spacing w:after="60"/>
              <w:jc w:val="center"/>
              <w:rPr>
                <w:rFonts w:ascii="Arial" w:hAnsi="Arial" w:cs="Arial"/>
                <w:sz w:val="20"/>
              </w:rPr>
            </w:pPr>
            <w:r w:rsidRPr="00D12F07">
              <w:rPr>
                <w:rFonts w:ascii="Arial" w:hAnsi="Arial" w:cs="Arial"/>
                <w:sz w:val="20"/>
              </w:rPr>
              <w:t>in</w:t>
            </w:r>
          </w:p>
        </w:tc>
      </w:tr>
      <w:tr w:rsidR="002F1670" w:rsidRPr="00D12F07" w:rsidTr="00D12F07">
        <w:tc>
          <w:tcPr>
            <w:tcW w:w="1980" w:type="dxa"/>
            <w:shd w:val="clear" w:color="auto" w:fill="auto"/>
          </w:tcPr>
          <w:p w:rsidR="002F1670" w:rsidRPr="00D12F07" w:rsidRDefault="002F1670" w:rsidP="00D12F07">
            <w:pPr>
              <w:spacing w:after="60"/>
              <w:rPr>
                <w:rFonts w:ascii="Arial" w:hAnsi="Arial" w:cs="Arial"/>
                <w:b/>
                <w:sz w:val="20"/>
              </w:rPr>
            </w:pPr>
            <w:r w:rsidRPr="00D12F07">
              <w:rPr>
                <w:rFonts w:ascii="Arial" w:hAnsi="Arial" w:cs="Arial"/>
                <w:b/>
                <w:sz w:val="20"/>
              </w:rPr>
              <w:t xml:space="preserve">RoSH high </w:t>
            </w:r>
            <w:r w:rsidRPr="00D12F07">
              <w:rPr>
                <w:rFonts w:ascii="Arial" w:hAnsi="Arial" w:cs="Arial"/>
                <w:color w:val="008080"/>
                <w:sz w:val="20"/>
              </w:rPr>
              <w:t>{3}</w:t>
            </w:r>
          </w:p>
        </w:tc>
        <w:tc>
          <w:tcPr>
            <w:tcW w:w="1620" w:type="dxa"/>
            <w:shd w:val="clear" w:color="auto" w:fill="auto"/>
          </w:tcPr>
          <w:p w:rsidR="002F1670" w:rsidRPr="00D12F07" w:rsidRDefault="002F1670" w:rsidP="00D12F07">
            <w:pPr>
              <w:spacing w:after="60"/>
              <w:jc w:val="center"/>
              <w:rPr>
                <w:rFonts w:ascii="Arial" w:hAnsi="Arial" w:cs="Arial"/>
                <w:sz w:val="20"/>
              </w:rPr>
            </w:pPr>
            <w:r w:rsidRPr="00D12F07">
              <w:rPr>
                <w:rFonts w:ascii="Arial" w:hAnsi="Arial" w:cs="Arial"/>
                <w:sz w:val="20"/>
              </w:rPr>
              <w:t>excluded</w:t>
            </w:r>
          </w:p>
        </w:tc>
        <w:tc>
          <w:tcPr>
            <w:tcW w:w="2052" w:type="dxa"/>
            <w:shd w:val="clear" w:color="auto" w:fill="auto"/>
          </w:tcPr>
          <w:p w:rsidR="002F1670" w:rsidRPr="00D12F07" w:rsidRDefault="002F1670" w:rsidP="00D12F07">
            <w:pPr>
              <w:spacing w:after="60"/>
              <w:jc w:val="center"/>
              <w:rPr>
                <w:rFonts w:ascii="Arial" w:hAnsi="Arial" w:cs="Arial"/>
                <w:sz w:val="20"/>
              </w:rPr>
            </w:pPr>
            <w:r w:rsidRPr="00D12F07">
              <w:rPr>
                <w:rFonts w:ascii="Arial" w:hAnsi="Arial" w:cs="Arial"/>
                <w:sz w:val="20"/>
              </w:rPr>
              <w:t>excluded</w:t>
            </w:r>
          </w:p>
        </w:tc>
        <w:tc>
          <w:tcPr>
            <w:tcW w:w="1440" w:type="dxa"/>
            <w:shd w:val="clear" w:color="auto" w:fill="auto"/>
          </w:tcPr>
          <w:p w:rsidR="002F1670" w:rsidRPr="00D12F07" w:rsidRDefault="002F1670" w:rsidP="00D12F07">
            <w:pPr>
              <w:spacing w:after="60"/>
              <w:jc w:val="center"/>
              <w:rPr>
                <w:rFonts w:ascii="Arial" w:hAnsi="Arial" w:cs="Arial"/>
                <w:sz w:val="20"/>
              </w:rPr>
            </w:pPr>
            <w:r w:rsidRPr="00D12F07">
              <w:rPr>
                <w:rFonts w:ascii="Arial" w:hAnsi="Arial" w:cs="Arial"/>
                <w:sz w:val="20"/>
              </w:rPr>
              <w:t>50%(*)</w:t>
            </w:r>
          </w:p>
        </w:tc>
      </w:tr>
      <w:tr w:rsidR="002F1670" w:rsidRPr="00D12F07" w:rsidTr="00D12F07">
        <w:tc>
          <w:tcPr>
            <w:tcW w:w="1980" w:type="dxa"/>
            <w:shd w:val="clear" w:color="auto" w:fill="auto"/>
          </w:tcPr>
          <w:p w:rsidR="002F1670" w:rsidRPr="00D12F07" w:rsidRDefault="002F1670" w:rsidP="00D12F07">
            <w:pPr>
              <w:spacing w:after="60"/>
              <w:rPr>
                <w:rFonts w:ascii="Arial" w:hAnsi="Arial" w:cs="Arial"/>
                <w:b/>
                <w:sz w:val="20"/>
              </w:rPr>
            </w:pPr>
            <w:r w:rsidRPr="00D12F07">
              <w:rPr>
                <w:rFonts w:ascii="Arial" w:hAnsi="Arial" w:cs="Arial"/>
                <w:b/>
                <w:sz w:val="20"/>
              </w:rPr>
              <w:t xml:space="preserve">RoSH very high </w:t>
            </w:r>
            <w:r w:rsidRPr="00D12F07">
              <w:rPr>
                <w:rFonts w:ascii="Arial" w:hAnsi="Arial" w:cs="Arial"/>
                <w:color w:val="008080"/>
                <w:sz w:val="20"/>
              </w:rPr>
              <w:t>{4}</w:t>
            </w:r>
          </w:p>
        </w:tc>
        <w:tc>
          <w:tcPr>
            <w:tcW w:w="1620" w:type="dxa"/>
            <w:shd w:val="clear" w:color="auto" w:fill="auto"/>
          </w:tcPr>
          <w:p w:rsidR="002F1670" w:rsidRPr="00D12F07" w:rsidRDefault="002F1670" w:rsidP="00D12F07">
            <w:pPr>
              <w:spacing w:after="60"/>
              <w:jc w:val="center"/>
              <w:rPr>
                <w:rFonts w:ascii="Arial" w:hAnsi="Arial" w:cs="Arial"/>
                <w:sz w:val="20"/>
              </w:rPr>
            </w:pPr>
            <w:r w:rsidRPr="00D12F07">
              <w:rPr>
                <w:rFonts w:ascii="Arial" w:hAnsi="Arial" w:cs="Arial"/>
                <w:sz w:val="20"/>
              </w:rPr>
              <w:t>excluded</w:t>
            </w:r>
          </w:p>
        </w:tc>
        <w:tc>
          <w:tcPr>
            <w:tcW w:w="2052" w:type="dxa"/>
            <w:shd w:val="clear" w:color="auto" w:fill="auto"/>
          </w:tcPr>
          <w:p w:rsidR="002F1670" w:rsidRPr="00D12F07" w:rsidRDefault="002F1670" w:rsidP="00D12F07">
            <w:pPr>
              <w:spacing w:after="60"/>
              <w:jc w:val="center"/>
              <w:rPr>
                <w:rFonts w:ascii="Arial" w:hAnsi="Arial" w:cs="Arial"/>
                <w:sz w:val="20"/>
              </w:rPr>
            </w:pPr>
            <w:r w:rsidRPr="00D12F07">
              <w:rPr>
                <w:rFonts w:ascii="Arial" w:hAnsi="Arial" w:cs="Arial"/>
                <w:sz w:val="20"/>
              </w:rPr>
              <w:t>excluded</w:t>
            </w:r>
          </w:p>
        </w:tc>
        <w:tc>
          <w:tcPr>
            <w:tcW w:w="1440" w:type="dxa"/>
            <w:shd w:val="clear" w:color="auto" w:fill="auto"/>
          </w:tcPr>
          <w:p w:rsidR="002F1670" w:rsidRPr="00D12F07" w:rsidRDefault="002F1670" w:rsidP="00D12F07">
            <w:pPr>
              <w:spacing w:after="60"/>
              <w:jc w:val="center"/>
              <w:rPr>
                <w:rFonts w:ascii="Arial" w:hAnsi="Arial" w:cs="Arial"/>
                <w:sz w:val="20"/>
              </w:rPr>
            </w:pPr>
            <w:r w:rsidRPr="00D12F07">
              <w:rPr>
                <w:rFonts w:ascii="Arial" w:hAnsi="Arial" w:cs="Arial"/>
                <w:sz w:val="20"/>
              </w:rPr>
              <w:t>excluded</w:t>
            </w:r>
          </w:p>
        </w:tc>
      </w:tr>
    </w:tbl>
    <w:p w:rsidR="002F1670" w:rsidRPr="00004346" w:rsidRDefault="002F1670" w:rsidP="002F1670">
      <w:pPr>
        <w:ind w:left="1080" w:firstLine="360"/>
        <w:rPr>
          <w:rFonts w:ascii="Arial" w:hAnsi="Arial" w:cs="Arial"/>
          <w:sz w:val="20"/>
          <w:szCs w:val="20"/>
        </w:rPr>
      </w:pPr>
    </w:p>
    <w:p w:rsidR="002F1670" w:rsidRPr="00004346" w:rsidRDefault="002F1670" w:rsidP="002F1670">
      <w:pPr>
        <w:ind w:left="1080" w:firstLine="360"/>
        <w:rPr>
          <w:rFonts w:ascii="Arial" w:hAnsi="Arial" w:cs="Arial"/>
          <w:sz w:val="20"/>
          <w:szCs w:val="20"/>
        </w:rPr>
      </w:pPr>
      <w:r w:rsidRPr="00004346">
        <w:rPr>
          <w:rFonts w:ascii="Arial" w:hAnsi="Arial" w:cs="Arial"/>
          <w:sz w:val="20"/>
          <w:szCs w:val="20"/>
        </w:rPr>
        <w:t xml:space="preserve">(*) Those offenders with an RSR at 3% or lower but with a high RoSH will be allocated to either a CRC or the NPS depending on a subjective assessment; </w:t>
      </w:r>
      <w:r w:rsidR="00DB34ED">
        <w:rPr>
          <w:rFonts w:ascii="Arial" w:hAnsi="Arial" w:cs="Arial"/>
          <w:sz w:val="20"/>
          <w:szCs w:val="20"/>
        </w:rPr>
        <w:t xml:space="preserve">the assumption </w:t>
      </w:r>
      <w:r w:rsidR="00896BDC">
        <w:rPr>
          <w:rFonts w:ascii="Arial" w:hAnsi="Arial" w:cs="Arial"/>
          <w:sz w:val="20"/>
          <w:szCs w:val="20"/>
        </w:rPr>
        <w:t xml:space="preserve">made </w:t>
      </w:r>
      <w:r w:rsidR="00DB34ED">
        <w:rPr>
          <w:rFonts w:ascii="Arial" w:hAnsi="Arial" w:cs="Arial"/>
          <w:sz w:val="20"/>
          <w:szCs w:val="20"/>
        </w:rPr>
        <w:t xml:space="preserve">for modelling purposes was that </w:t>
      </w:r>
      <w:r w:rsidR="00F10F4F" w:rsidRPr="00004346">
        <w:rPr>
          <w:rFonts w:ascii="Arial" w:hAnsi="Arial" w:cs="Arial"/>
          <w:sz w:val="20"/>
          <w:szCs w:val="20"/>
        </w:rPr>
        <w:t>half of the</w:t>
      </w:r>
      <w:r w:rsidR="00896BDC">
        <w:rPr>
          <w:rFonts w:ascii="Arial" w:hAnsi="Arial" w:cs="Arial"/>
          <w:sz w:val="20"/>
          <w:szCs w:val="20"/>
        </w:rPr>
        <w:t>se</w:t>
      </w:r>
      <w:r w:rsidR="00F10F4F" w:rsidRPr="00004346">
        <w:rPr>
          <w:rFonts w:ascii="Arial" w:hAnsi="Arial" w:cs="Arial"/>
          <w:sz w:val="20"/>
          <w:szCs w:val="20"/>
        </w:rPr>
        <w:t xml:space="preserve"> </w:t>
      </w:r>
      <w:r w:rsidRPr="00004346">
        <w:rPr>
          <w:rFonts w:ascii="Arial" w:hAnsi="Arial" w:cs="Arial"/>
          <w:sz w:val="20"/>
          <w:szCs w:val="20"/>
        </w:rPr>
        <w:t xml:space="preserve">cases </w:t>
      </w:r>
      <w:r w:rsidR="00DB34ED">
        <w:rPr>
          <w:rFonts w:ascii="Arial" w:hAnsi="Arial" w:cs="Arial"/>
          <w:sz w:val="20"/>
          <w:szCs w:val="20"/>
        </w:rPr>
        <w:t xml:space="preserve">will be allocated </w:t>
      </w:r>
      <w:r w:rsidR="00F10F4F" w:rsidRPr="00004346">
        <w:rPr>
          <w:rFonts w:ascii="Arial" w:hAnsi="Arial" w:cs="Arial"/>
          <w:sz w:val="20"/>
          <w:szCs w:val="20"/>
        </w:rPr>
        <w:t xml:space="preserve">to CRCs. Therefore, a </w:t>
      </w:r>
      <w:r w:rsidRPr="00004346">
        <w:rPr>
          <w:rFonts w:ascii="Arial" w:hAnsi="Arial" w:cs="Arial"/>
          <w:sz w:val="20"/>
          <w:szCs w:val="20"/>
        </w:rPr>
        <w:t xml:space="preserve">50% </w:t>
      </w:r>
      <w:r w:rsidR="00F10F4F" w:rsidRPr="00004346">
        <w:rPr>
          <w:rFonts w:ascii="Arial" w:hAnsi="Arial" w:cs="Arial"/>
          <w:sz w:val="20"/>
          <w:szCs w:val="20"/>
        </w:rPr>
        <w:t>weight was applied to them.</w:t>
      </w:r>
      <w:r w:rsidRPr="00004346">
        <w:rPr>
          <w:rFonts w:ascii="Arial" w:hAnsi="Arial" w:cs="Arial"/>
          <w:sz w:val="20"/>
          <w:szCs w:val="20"/>
        </w:rPr>
        <w:t xml:space="preserve"> </w:t>
      </w:r>
    </w:p>
    <w:p w:rsidR="004032D3" w:rsidRPr="00004346" w:rsidRDefault="004032D3" w:rsidP="004032D3">
      <w:pPr>
        <w:rPr>
          <w:rFonts w:ascii="Arial" w:hAnsi="Arial" w:cs="Arial"/>
          <w:b/>
          <w:sz w:val="20"/>
          <w:szCs w:val="20"/>
        </w:rPr>
      </w:pPr>
    </w:p>
    <w:p w:rsidR="00592197" w:rsidRPr="00004346" w:rsidRDefault="00592197" w:rsidP="00592197">
      <w:pPr>
        <w:numPr>
          <w:ilvl w:val="0"/>
          <w:numId w:val="18"/>
        </w:numPr>
        <w:rPr>
          <w:rFonts w:ascii="Arial" w:hAnsi="Arial" w:cs="Arial"/>
          <w:i/>
          <w:sz w:val="20"/>
          <w:szCs w:val="20"/>
        </w:rPr>
      </w:pPr>
      <w:r w:rsidRPr="00004346">
        <w:rPr>
          <w:rFonts w:ascii="Arial" w:hAnsi="Arial" w:cs="Arial"/>
          <w:b/>
          <w:sz w:val="20"/>
          <w:szCs w:val="20"/>
        </w:rPr>
        <w:t>Missing data</w:t>
      </w:r>
      <w:r w:rsidRPr="00004346">
        <w:rPr>
          <w:rFonts w:ascii="Arial" w:hAnsi="Arial" w:cs="Arial"/>
          <w:sz w:val="20"/>
          <w:szCs w:val="20"/>
        </w:rPr>
        <w:t>:  Offenders that had missing information in key fields (e.g. CPA, RSR) were excluded from the analysis</w:t>
      </w:r>
      <w:r w:rsidR="003E23E5">
        <w:rPr>
          <w:rFonts w:ascii="Arial" w:hAnsi="Arial" w:cs="Arial"/>
          <w:sz w:val="20"/>
          <w:szCs w:val="20"/>
        </w:rPr>
        <w:t xml:space="preserve"> (this</w:t>
      </w:r>
      <w:r w:rsidR="007533EE">
        <w:rPr>
          <w:rFonts w:ascii="Arial" w:hAnsi="Arial" w:cs="Arial"/>
          <w:sz w:val="20"/>
          <w:szCs w:val="20"/>
        </w:rPr>
        <w:t xml:space="preserve"> </w:t>
      </w:r>
      <w:r w:rsidR="003E23E5">
        <w:rPr>
          <w:rFonts w:ascii="Arial" w:hAnsi="Arial" w:cs="Arial"/>
          <w:sz w:val="20"/>
          <w:szCs w:val="20"/>
        </w:rPr>
        <w:t>affected approximately</w:t>
      </w:r>
      <w:r w:rsidR="007533EE">
        <w:rPr>
          <w:rFonts w:ascii="Arial" w:hAnsi="Arial" w:cs="Arial"/>
          <w:sz w:val="20"/>
          <w:szCs w:val="20"/>
        </w:rPr>
        <w:t xml:space="preserve"> 0.</w:t>
      </w:r>
      <w:r w:rsidR="003E23E5">
        <w:rPr>
          <w:rFonts w:ascii="Arial" w:hAnsi="Arial" w:cs="Arial"/>
          <w:sz w:val="20"/>
          <w:szCs w:val="20"/>
        </w:rPr>
        <w:t>1</w:t>
      </w:r>
      <w:r w:rsidR="007533EE">
        <w:rPr>
          <w:rFonts w:ascii="Arial" w:hAnsi="Arial" w:cs="Arial"/>
          <w:sz w:val="20"/>
          <w:szCs w:val="20"/>
        </w:rPr>
        <w:t>% of the total)</w:t>
      </w:r>
      <w:r w:rsidRPr="00004346">
        <w:rPr>
          <w:rFonts w:ascii="Arial" w:hAnsi="Arial" w:cs="Arial"/>
          <w:sz w:val="20"/>
          <w:szCs w:val="20"/>
        </w:rPr>
        <w:t>.</w:t>
      </w:r>
    </w:p>
    <w:p w:rsidR="008668AE" w:rsidRPr="00004346" w:rsidRDefault="008668AE" w:rsidP="00F10F4F">
      <w:pPr>
        <w:ind w:left="360"/>
        <w:rPr>
          <w:rFonts w:ascii="Arial" w:hAnsi="Arial" w:cs="Arial"/>
          <w:sz w:val="20"/>
          <w:szCs w:val="20"/>
        </w:rPr>
      </w:pPr>
    </w:p>
    <w:p w:rsidR="007B1841" w:rsidRPr="00004346" w:rsidRDefault="007B1841" w:rsidP="00F10F4F">
      <w:pPr>
        <w:ind w:left="360"/>
        <w:rPr>
          <w:rFonts w:ascii="Arial" w:hAnsi="Arial" w:cs="Arial"/>
          <w:sz w:val="20"/>
          <w:szCs w:val="20"/>
        </w:rPr>
      </w:pPr>
    </w:p>
    <w:p w:rsidR="007B1841" w:rsidRPr="00004346" w:rsidRDefault="007B1841" w:rsidP="007B1841">
      <w:pPr>
        <w:pStyle w:val="Heading3"/>
      </w:pPr>
      <w:r w:rsidRPr="00004346">
        <w:t>Reoffending counts</w:t>
      </w:r>
    </w:p>
    <w:p w:rsidR="007B1841" w:rsidRPr="00004346" w:rsidRDefault="007B1841" w:rsidP="007B1841">
      <w:pPr>
        <w:rPr>
          <w:rFonts w:ascii="Arial" w:hAnsi="Arial" w:cs="Arial"/>
          <w:sz w:val="20"/>
          <w:szCs w:val="20"/>
        </w:rPr>
      </w:pPr>
      <w:r w:rsidRPr="00004346">
        <w:rPr>
          <w:rFonts w:ascii="Arial" w:hAnsi="Arial" w:cs="Arial"/>
          <w:sz w:val="20"/>
          <w:szCs w:val="20"/>
        </w:rPr>
        <w:t>Both binary and frequency measures include the following cases</w:t>
      </w:r>
    </w:p>
    <w:p w:rsidR="007B1841" w:rsidRPr="00004346" w:rsidRDefault="007B1841" w:rsidP="007B1841">
      <w:pPr>
        <w:numPr>
          <w:ilvl w:val="0"/>
          <w:numId w:val="4"/>
        </w:numPr>
        <w:rPr>
          <w:rFonts w:ascii="Arial" w:hAnsi="Arial" w:cs="Arial"/>
          <w:sz w:val="20"/>
          <w:szCs w:val="20"/>
        </w:rPr>
      </w:pPr>
      <w:r w:rsidRPr="00004346">
        <w:rPr>
          <w:rFonts w:ascii="Arial" w:hAnsi="Arial" w:cs="Arial"/>
          <w:sz w:val="20"/>
          <w:szCs w:val="20"/>
        </w:rPr>
        <w:t>All proven offences that happened within 12 months from the index date, with a court or caution date within 18 months from that same date</w:t>
      </w:r>
      <w:r w:rsidR="004B16C7" w:rsidRPr="00004346">
        <w:rPr>
          <w:rFonts w:ascii="Arial" w:hAnsi="Arial" w:cs="Arial"/>
          <w:sz w:val="20"/>
          <w:szCs w:val="20"/>
        </w:rPr>
        <w:t>;</w:t>
      </w:r>
    </w:p>
    <w:p w:rsidR="007B1841" w:rsidRPr="00004346" w:rsidRDefault="004B16C7" w:rsidP="007B1841">
      <w:pPr>
        <w:numPr>
          <w:ilvl w:val="0"/>
          <w:numId w:val="4"/>
        </w:numPr>
        <w:rPr>
          <w:rFonts w:ascii="Arial" w:hAnsi="Arial" w:cs="Arial"/>
          <w:sz w:val="20"/>
          <w:szCs w:val="20"/>
        </w:rPr>
      </w:pPr>
      <w:r w:rsidRPr="00004346">
        <w:rPr>
          <w:rFonts w:ascii="Arial" w:hAnsi="Arial" w:cs="Arial"/>
          <w:sz w:val="20"/>
          <w:szCs w:val="20"/>
        </w:rPr>
        <w:t>c</w:t>
      </w:r>
      <w:r w:rsidR="007B1841" w:rsidRPr="00004346">
        <w:rPr>
          <w:rFonts w:ascii="Arial" w:hAnsi="Arial" w:cs="Arial"/>
          <w:sz w:val="20"/>
          <w:szCs w:val="20"/>
        </w:rPr>
        <w:t xml:space="preserve">ommitted in </w:t>
      </w:r>
      <w:smartTag w:uri="urn:schemas-microsoft-com:office:smarttags" w:element="country-region">
        <w:r w:rsidR="007B1841" w:rsidRPr="00004346">
          <w:rPr>
            <w:rFonts w:ascii="Arial" w:hAnsi="Arial" w:cs="Arial"/>
            <w:sz w:val="20"/>
            <w:szCs w:val="20"/>
          </w:rPr>
          <w:t>England</w:t>
        </w:r>
      </w:smartTag>
      <w:r w:rsidR="007B1841" w:rsidRPr="00004346">
        <w:rPr>
          <w:rFonts w:ascii="Arial" w:hAnsi="Arial" w:cs="Arial"/>
          <w:sz w:val="20"/>
          <w:szCs w:val="20"/>
        </w:rPr>
        <w:t xml:space="preserve"> and </w:t>
      </w:r>
      <w:smartTag w:uri="urn:schemas-microsoft-com:office:smarttags" w:element="country-region">
        <w:smartTag w:uri="urn:schemas-microsoft-com:office:smarttags" w:element="place">
          <w:r w:rsidR="007B1841" w:rsidRPr="00004346">
            <w:rPr>
              <w:rFonts w:ascii="Arial" w:hAnsi="Arial" w:cs="Arial"/>
              <w:sz w:val="20"/>
              <w:szCs w:val="20"/>
            </w:rPr>
            <w:t>Wales</w:t>
          </w:r>
        </w:smartTag>
      </w:smartTag>
      <w:r w:rsidRPr="00004346">
        <w:rPr>
          <w:rFonts w:ascii="Arial" w:hAnsi="Arial" w:cs="Arial"/>
          <w:sz w:val="20"/>
          <w:szCs w:val="20"/>
        </w:rPr>
        <w:t>;</w:t>
      </w:r>
    </w:p>
    <w:p w:rsidR="007B1841" w:rsidRDefault="004B16C7" w:rsidP="007B1841">
      <w:pPr>
        <w:numPr>
          <w:ilvl w:val="0"/>
          <w:numId w:val="4"/>
        </w:numPr>
        <w:rPr>
          <w:rFonts w:ascii="Arial" w:hAnsi="Arial" w:cs="Arial"/>
          <w:sz w:val="20"/>
          <w:szCs w:val="20"/>
        </w:rPr>
      </w:pPr>
      <w:r w:rsidRPr="00004346">
        <w:rPr>
          <w:rFonts w:ascii="Arial" w:hAnsi="Arial" w:cs="Arial"/>
          <w:sz w:val="20"/>
          <w:szCs w:val="20"/>
        </w:rPr>
        <w:t>p</w:t>
      </w:r>
      <w:r w:rsidR="007B1841" w:rsidRPr="00004346">
        <w:rPr>
          <w:rFonts w:ascii="Arial" w:hAnsi="Arial" w:cs="Arial"/>
          <w:sz w:val="20"/>
          <w:szCs w:val="20"/>
        </w:rPr>
        <w:t>rosecuted by Home Office police forces or British Transport Police</w:t>
      </w:r>
      <w:r w:rsidRPr="00004346">
        <w:rPr>
          <w:rFonts w:ascii="Arial" w:hAnsi="Arial" w:cs="Arial"/>
          <w:sz w:val="20"/>
          <w:szCs w:val="20"/>
        </w:rPr>
        <w:t>;</w:t>
      </w:r>
    </w:p>
    <w:p w:rsidR="00AC38E0" w:rsidRPr="00004346" w:rsidRDefault="00AC38E0" w:rsidP="00AC38E0">
      <w:pPr>
        <w:rPr>
          <w:rFonts w:ascii="Arial" w:hAnsi="Arial" w:cs="Arial"/>
          <w:sz w:val="20"/>
          <w:szCs w:val="20"/>
        </w:rPr>
      </w:pPr>
      <w:r>
        <w:rPr>
          <w:rFonts w:ascii="Arial" w:hAnsi="Arial" w:cs="Arial"/>
          <w:sz w:val="20"/>
          <w:szCs w:val="20"/>
        </w:rPr>
        <w:t xml:space="preserve">However they do not include the following cases  </w:t>
      </w:r>
    </w:p>
    <w:p w:rsidR="007B1841" w:rsidRPr="00004346" w:rsidRDefault="007B1841" w:rsidP="007B1841">
      <w:pPr>
        <w:numPr>
          <w:ilvl w:val="0"/>
          <w:numId w:val="4"/>
        </w:numPr>
        <w:rPr>
          <w:rFonts w:ascii="Arial" w:hAnsi="Arial" w:cs="Arial"/>
          <w:sz w:val="20"/>
          <w:szCs w:val="20"/>
        </w:rPr>
      </w:pPr>
      <w:r w:rsidRPr="00004346">
        <w:rPr>
          <w:rFonts w:ascii="Arial" w:hAnsi="Arial" w:cs="Arial"/>
          <w:sz w:val="20"/>
          <w:szCs w:val="20"/>
        </w:rPr>
        <w:t>breaches that are not criminal offences in their own right</w:t>
      </w:r>
      <w:r w:rsidR="004B16C7" w:rsidRPr="00004346">
        <w:rPr>
          <w:rFonts w:ascii="Arial" w:hAnsi="Arial" w:cs="Arial"/>
          <w:sz w:val="20"/>
          <w:szCs w:val="20"/>
        </w:rPr>
        <w:t>;</w:t>
      </w:r>
    </w:p>
    <w:p w:rsidR="007B1841" w:rsidRPr="00004346" w:rsidRDefault="004B16C7" w:rsidP="007B1841">
      <w:pPr>
        <w:numPr>
          <w:ilvl w:val="0"/>
          <w:numId w:val="4"/>
        </w:numPr>
        <w:rPr>
          <w:rFonts w:ascii="Arial" w:hAnsi="Arial" w:cs="Arial"/>
          <w:sz w:val="20"/>
          <w:szCs w:val="20"/>
        </w:rPr>
      </w:pPr>
      <w:r w:rsidRPr="00004346">
        <w:rPr>
          <w:rFonts w:ascii="Arial" w:hAnsi="Arial" w:cs="Arial"/>
          <w:sz w:val="20"/>
          <w:szCs w:val="20"/>
        </w:rPr>
        <w:t>o</w:t>
      </w:r>
      <w:r w:rsidR="007B1841" w:rsidRPr="00004346">
        <w:rPr>
          <w:rFonts w:ascii="Arial" w:hAnsi="Arial" w:cs="Arial"/>
          <w:sz w:val="20"/>
          <w:szCs w:val="20"/>
        </w:rPr>
        <w:t>ffences that had the same conviction date as the index offence</w:t>
      </w:r>
      <w:r w:rsidR="00784416">
        <w:rPr>
          <w:rFonts w:ascii="Arial" w:hAnsi="Arial" w:cs="Arial"/>
          <w:sz w:val="20"/>
          <w:szCs w:val="20"/>
        </w:rPr>
        <w:t>.</w:t>
      </w:r>
    </w:p>
    <w:p w:rsidR="00203800" w:rsidRPr="00004346" w:rsidRDefault="00FC6930" w:rsidP="00203800">
      <w:pPr>
        <w:pStyle w:val="Heading3"/>
      </w:pPr>
      <w:r w:rsidRPr="00004346">
        <w:t>Sequence of calculations and data manipulation</w:t>
      </w:r>
    </w:p>
    <w:p w:rsidR="00203800" w:rsidRPr="00004346" w:rsidRDefault="00FC6930" w:rsidP="00203800">
      <w:pPr>
        <w:rPr>
          <w:rFonts w:ascii="Arial" w:hAnsi="Arial" w:cs="Arial"/>
          <w:sz w:val="20"/>
          <w:szCs w:val="20"/>
        </w:rPr>
      </w:pPr>
      <w:r w:rsidRPr="00004346">
        <w:rPr>
          <w:rFonts w:ascii="Arial" w:hAnsi="Arial" w:cs="Arial"/>
          <w:sz w:val="20"/>
          <w:szCs w:val="20"/>
        </w:rPr>
        <w:t>Selection, e</w:t>
      </w:r>
      <w:r w:rsidR="00203800" w:rsidRPr="00004346">
        <w:rPr>
          <w:rFonts w:ascii="Arial" w:hAnsi="Arial" w:cs="Arial"/>
          <w:sz w:val="20"/>
          <w:szCs w:val="20"/>
        </w:rPr>
        <w:t>xclusions</w:t>
      </w:r>
      <w:r w:rsidRPr="00004346">
        <w:rPr>
          <w:rFonts w:ascii="Arial" w:hAnsi="Arial" w:cs="Arial"/>
          <w:sz w:val="20"/>
          <w:szCs w:val="20"/>
        </w:rPr>
        <w:t xml:space="preserve"> and</w:t>
      </w:r>
      <w:r w:rsidR="00203800" w:rsidRPr="00004346">
        <w:rPr>
          <w:rFonts w:ascii="Arial" w:hAnsi="Arial" w:cs="Arial"/>
          <w:sz w:val="20"/>
          <w:szCs w:val="20"/>
        </w:rPr>
        <w:t xml:space="preserve"> </w:t>
      </w:r>
      <w:r w:rsidR="00AB7D8D" w:rsidRPr="00004346">
        <w:rPr>
          <w:rFonts w:ascii="Arial" w:hAnsi="Arial" w:cs="Arial"/>
          <w:sz w:val="20"/>
          <w:szCs w:val="20"/>
        </w:rPr>
        <w:t>w</w:t>
      </w:r>
      <w:r w:rsidR="00203800" w:rsidRPr="00004346">
        <w:rPr>
          <w:rFonts w:ascii="Arial" w:hAnsi="Arial" w:cs="Arial"/>
          <w:sz w:val="20"/>
          <w:szCs w:val="20"/>
        </w:rPr>
        <w:t>eighting</w:t>
      </w:r>
      <w:r w:rsidRPr="00004346">
        <w:rPr>
          <w:rFonts w:ascii="Arial" w:hAnsi="Arial" w:cs="Arial"/>
          <w:sz w:val="20"/>
          <w:szCs w:val="20"/>
        </w:rPr>
        <w:t>s</w:t>
      </w:r>
      <w:r w:rsidR="00203800" w:rsidRPr="00004346">
        <w:rPr>
          <w:rFonts w:ascii="Arial" w:hAnsi="Arial" w:cs="Arial"/>
          <w:sz w:val="20"/>
          <w:szCs w:val="20"/>
        </w:rPr>
        <w:t xml:space="preserve"> were applied in the following order:</w:t>
      </w:r>
    </w:p>
    <w:p w:rsidR="00203800" w:rsidRPr="00004346" w:rsidRDefault="00203800" w:rsidP="00203800">
      <w:pPr>
        <w:rPr>
          <w:rFonts w:ascii="Arial" w:hAnsi="Arial" w:cs="Arial"/>
          <w:sz w:val="20"/>
          <w:szCs w:val="20"/>
        </w:rPr>
      </w:pPr>
    </w:p>
    <w:p w:rsidR="008D5591" w:rsidRPr="00004346" w:rsidRDefault="008D5591" w:rsidP="00203800">
      <w:pPr>
        <w:numPr>
          <w:ilvl w:val="0"/>
          <w:numId w:val="15"/>
        </w:numPr>
        <w:rPr>
          <w:rFonts w:ascii="Arial" w:hAnsi="Arial" w:cs="Arial"/>
          <w:sz w:val="20"/>
          <w:szCs w:val="20"/>
        </w:rPr>
      </w:pPr>
      <w:r w:rsidRPr="00004346">
        <w:rPr>
          <w:rFonts w:ascii="Arial" w:hAnsi="Arial" w:cs="Arial"/>
          <w:sz w:val="20"/>
          <w:szCs w:val="20"/>
        </w:rPr>
        <w:t>Selection of cohort based on demographics from the National Statistics Quarterly information.</w:t>
      </w:r>
    </w:p>
    <w:p w:rsidR="008D5591" w:rsidRPr="00004346" w:rsidRDefault="008D5591" w:rsidP="00203800">
      <w:pPr>
        <w:numPr>
          <w:ilvl w:val="0"/>
          <w:numId w:val="15"/>
        </w:numPr>
        <w:rPr>
          <w:rFonts w:ascii="Arial" w:hAnsi="Arial" w:cs="Arial"/>
          <w:sz w:val="20"/>
          <w:szCs w:val="20"/>
        </w:rPr>
      </w:pPr>
      <w:r w:rsidRPr="00004346">
        <w:rPr>
          <w:rFonts w:ascii="Arial" w:hAnsi="Arial" w:cs="Arial"/>
          <w:sz w:val="20"/>
          <w:szCs w:val="20"/>
        </w:rPr>
        <w:t>Selection of criminal records</w:t>
      </w:r>
      <w:r w:rsidR="007F56CC">
        <w:rPr>
          <w:rFonts w:ascii="Arial" w:hAnsi="Arial" w:cs="Arial"/>
          <w:sz w:val="20"/>
          <w:szCs w:val="20"/>
        </w:rPr>
        <w:t xml:space="preserve"> from the PNC</w:t>
      </w:r>
      <w:r w:rsidRPr="00004346">
        <w:rPr>
          <w:rFonts w:ascii="Arial" w:hAnsi="Arial" w:cs="Arial"/>
          <w:sz w:val="20"/>
          <w:szCs w:val="20"/>
        </w:rPr>
        <w:t>.</w:t>
      </w:r>
    </w:p>
    <w:p w:rsidR="008D5591" w:rsidRPr="00004346" w:rsidRDefault="008D5591" w:rsidP="00203800">
      <w:pPr>
        <w:numPr>
          <w:ilvl w:val="0"/>
          <w:numId w:val="15"/>
        </w:numPr>
        <w:rPr>
          <w:rFonts w:ascii="Arial" w:hAnsi="Arial" w:cs="Arial"/>
          <w:sz w:val="20"/>
          <w:szCs w:val="20"/>
        </w:rPr>
      </w:pPr>
      <w:r w:rsidRPr="00004346">
        <w:rPr>
          <w:rFonts w:ascii="Arial" w:hAnsi="Arial" w:cs="Arial"/>
          <w:sz w:val="20"/>
          <w:szCs w:val="20"/>
        </w:rPr>
        <w:t>Count of previous offences and reoffences.</w:t>
      </w:r>
    </w:p>
    <w:p w:rsidR="008D5591" w:rsidRPr="00004346" w:rsidRDefault="008D5591" w:rsidP="00203800">
      <w:pPr>
        <w:numPr>
          <w:ilvl w:val="0"/>
          <w:numId w:val="15"/>
        </w:numPr>
        <w:rPr>
          <w:rFonts w:ascii="Arial" w:hAnsi="Arial" w:cs="Arial"/>
          <w:sz w:val="20"/>
          <w:szCs w:val="20"/>
        </w:rPr>
      </w:pPr>
      <w:r w:rsidRPr="00004346">
        <w:rPr>
          <w:rFonts w:ascii="Arial" w:hAnsi="Arial" w:cs="Arial"/>
          <w:sz w:val="20"/>
          <w:szCs w:val="20"/>
        </w:rPr>
        <w:lastRenderedPageBreak/>
        <w:t>Addition of OASys assessments.</w:t>
      </w:r>
    </w:p>
    <w:p w:rsidR="008D5591" w:rsidRPr="00004346" w:rsidRDefault="008D5591" w:rsidP="00203800">
      <w:pPr>
        <w:numPr>
          <w:ilvl w:val="0"/>
          <w:numId w:val="15"/>
        </w:numPr>
        <w:rPr>
          <w:rFonts w:ascii="Arial" w:hAnsi="Arial" w:cs="Arial"/>
          <w:sz w:val="20"/>
          <w:szCs w:val="20"/>
        </w:rPr>
      </w:pPr>
      <w:r w:rsidRPr="00004346">
        <w:rPr>
          <w:rFonts w:ascii="Arial" w:hAnsi="Arial" w:cs="Arial"/>
          <w:sz w:val="20"/>
          <w:szCs w:val="20"/>
        </w:rPr>
        <w:t>Risk measurements calculation.</w:t>
      </w:r>
    </w:p>
    <w:p w:rsidR="00203800" w:rsidRPr="00004346" w:rsidRDefault="00203800" w:rsidP="00203800">
      <w:pPr>
        <w:numPr>
          <w:ilvl w:val="0"/>
          <w:numId w:val="15"/>
        </w:numPr>
        <w:rPr>
          <w:rFonts w:ascii="Arial" w:hAnsi="Arial" w:cs="Arial"/>
          <w:sz w:val="20"/>
          <w:szCs w:val="20"/>
        </w:rPr>
      </w:pPr>
      <w:r w:rsidRPr="00004346">
        <w:rPr>
          <w:rFonts w:ascii="Arial" w:hAnsi="Arial" w:cs="Arial"/>
          <w:sz w:val="20"/>
          <w:szCs w:val="20"/>
        </w:rPr>
        <w:t>Allocation</w:t>
      </w:r>
      <w:r w:rsidR="00DB1F15">
        <w:rPr>
          <w:rFonts w:ascii="Arial" w:hAnsi="Arial" w:cs="Arial"/>
          <w:sz w:val="20"/>
          <w:szCs w:val="20"/>
        </w:rPr>
        <w:t xml:space="preserve"> of offender starts</w:t>
      </w:r>
      <w:r w:rsidRPr="00004346">
        <w:rPr>
          <w:rFonts w:ascii="Arial" w:hAnsi="Arial" w:cs="Arial"/>
          <w:sz w:val="20"/>
          <w:szCs w:val="20"/>
        </w:rPr>
        <w:t xml:space="preserve"> to CRC, NPS or Unknown based on MAPPA, RSR, RoSH and Subject to Deportation status.</w:t>
      </w:r>
    </w:p>
    <w:p w:rsidR="00203800" w:rsidRPr="00004346" w:rsidRDefault="00203800" w:rsidP="00203800">
      <w:pPr>
        <w:numPr>
          <w:ilvl w:val="0"/>
          <w:numId w:val="15"/>
        </w:numPr>
        <w:rPr>
          <w:rFonts w:ascii="Arial" w:hAnsi="Arial" w:cs="Arial"/>
          <w:sz w:val="20"/>
          <w:szCs w:val="20"/>
        </w:rPr>
      </w:pPr>
      <w:r w:rsidRPr="00004346">
        <w:rPr>
          <w:rFonts w:ascii="Arial" w:hAnsi="Arial" w:cs="Arial"/>
          <w:sz w:val="20"/>
          <w:szCs w:val="20"/>
        </w:rPr>
        <w:t>Exclusion of standalone Unpaid Work.</w:t>
      </w:r>
    </w:p>
    <w:p w:rsidR="00203800" w:rsidRPr="00004346" w:rsidRDefault="00203800" w:rsidP="00203800">
      <w:pPr>
        <w:numPr>
          <w:ilvl w:val="0"/>
          <w:numId w:val="15"/>
        </w:numPr>
        <w:rPr>
          <w:rFonts w:ascii="Arial" w:hAnsi="Arial" w:cs="Arial"/>
          <w:sz w:val="20"/>
          <w:szCs w:val="20"/>
        </w:rPr>
      </w:pPr>
      <w:r w:rsidRPr="00004346">
        <w:rPr>
          <w:rFonts w:ascii="Arial" w:hAnsi="Arial" w:cs="Arial"/>
          <w:sz w:val="20"/>
          <w:szCs w:val="20"/>
        </w:rPr>
        <w:t>Exclusion of standalone Electronic Monitoring.</w:t>
      </w:r>
    </w:p>
    <w:p w:rsidR="00C03F73" w:rsidRPr="00004346" w:rsidRDefault="002023EF" w:rsidP="00203800">
      <w:pPr>
        <w:numPr>
          <w:ilvl w:val="0"/>
          <w:numId w:val="15"/>
        </w:numPr>
        <w:rPr>
          <w:rFonts w:ascii="Arial" w:hAnsi="Arial" w:cs="Arial"/>
          <w:sz w:val="20"/>
          <w:szCs w:val="20"/>
        </w:rPr>
      </w:pPr>
      <w:r>
        <w:rPr>
          <w:rFonts w:ascii="Arial" w:hAnsi="Arial" w:cs="Arial"/>
          <w:sz w:val="20"/>
          <w:szCs w:val="20"/>
        </w:rPr>
        <w:t>De-duplication</w:t>
      </w:r>
      <w:r w:rsidR="00C03F73" w:rsidRPr="00004346">
        <w:rPr>
          <w:rFonts w:ascii="Arial" w:hAnsi="Arial" w:cs="Arial"/>
          <w:sz w:val="20"/>
          <w:szCs w:val="20"/>
        </w:rPr>
        <w:t xml:space="preserve"> </w:t>
      </w:r>
      <w:r w:rsidR="00DB1F15">
        <w:rPr>
          <w:rFonts w:ascii="Arial" w:hAnsi="Arial" w:cs="Arial"/>
          <w:sz w:val="20"/>
          <w:szCs w:val="20"/>
        </w:rPr>
        <w:t xml:space="preserve">of offender starts </w:t>
      </w:r>
      <w:r w:rsidR="00C03F73" w:rsidRPr="00004346">
        <w:rPr>
          <w:rFonts w:ascii="Arial" w:hAnsi="Arial" w:cs="Arial"/>
          <w:sz w:val="20"/>
          <w:szCs w:val="20"/>
        </w:rPr>
        <w:t>by quarter.</w:t>
      </w:r>
    </w:p>
    <w:p w:rsidR="00203800" w:rsidRPr="00004346" w:rsidRDefault="00203800" w:rsidP="00203800">
      <w:pPr>
        <w:numPr>
          <w:ilvl w:val="0"/>
          <w:numId w:val="15"/>
        </w:numPr>
        <w:rPr>
          <w:rFonts w:ascii="Arial" w:hAnsi="Arial" w:cs="Arial"/>
          <w:sz w:val="20"/>
          <w:szCs w:val="20"/>
        </w:rPr>
      </w:pPr>
      <w:r w:rsidRPr="00004346">
        <w:rPr>
          <w:rFonts w:ascii="Arial" w:hAnsi="Arial" w:cs="Arial"/>
          <w:sz w:val="20"/>
          <w:szCs w:val="20"/>
        </w:rPr>
        <w:t>Calcu</w:t>
      </w:r>
      <w:r w:rsidR="00C03F73" w:rsidRPr="00004346">
        <w:rPr>
          <w:rFonts w:ascii="Arial" w:hAnsi="Arial" w:cs="Arial"/>
          <w:sz w:val="20"/>
          <w:szCs w:val="20"/>
        </w:rPr>
        <w:t>lation of the probation scaling – by CPA</w:t>
      </w:r>
      <w:r w:rsidR="008D5591" w:rsidRPr="00004346">
        <w:rPr>
          <w:rFonts w:ascii="Arial" w:hAnsi="Arial" w:cs="Arial"/>
          <w:sz w:val="20"/>
          <w:szCs w:val="20"/>
        </w:rPr>
        <w:t>.</w:t>
      </w:r>
    </w:p>
    <w:p w:rsidR="00C03F73" w:rsidRPr="00004346" w:rsidRDefault="00C03F73" w:rsidP="00203800">
      <w:pPr>
        <w:numPr>
          <w:ilvl w:val="0"/>
          <w:numId w:val="15"/>
        </w:numPr>
        <w:rPr>
          <w:rFonts w:ascii="Arial" w:hAnsi="Arial" w:cs="Arial"/>
          <w:sz w:val="20"/>
          <w:szCs w:val="20"/>
        </w:rPr>
      </w:pPr>
      <w:r w:rsidRPr="00004346">
        <w:rPr>
          <w:rFonts w:ascii="Arial" w:hAnsi="Arial" w:cs="Arial"/>
          <w:sz w:val="20"/>
          <w:szCs w:val="20"/>
        </w:rPr>
        <w:t xml:space="preserve">Exclusion of </w:t>
      </w:r>
      <w:r w:rsidR="00DB1F15">
        <w:rPr>
          <w:rFonts w:ascii="Arial" w:hAnsi="Arial" w:cs="Arial"/>
          <w:sz w:val="20"/>
          <w:szCs w:val="20"/>
        </w:rPr>
        <w:t>offender starts with unknown</w:t>
      </w:r>
      <w:r w:rsidR="00DB1F15" w:rsidRPr="00004346">
        <w:rPr>
          <w:rFonts w:ascii="Arial" w:hAnsi="Arial" w:cs="Arial"/>
          <w:sz w:val="20"/>
          <w:szCs w:val="20"/>
        </w:rPr>
        <w:t xml:space="preserve"> </w:t>
      </w:r>
      <w:r w:rsidRPr="00004346">
        <w:rPr>
          <w:rFonts w:ascii="Arial" w:hAnsi="Arial" w:cs="Arial"/>
          <w:sz w:val="20"/>
          <w:szCs w:val="20"/>
        </w:rPr>
        <w:t>CPA</w:t>
      </w:r>
    </w:p>
    <w:p w:rsidR="00203800" w:rsidRPr="00004346" w:rsidRDefault="00203800" w:rsidP="00203800">
      <w:pPr>
        <w:numPr>
          <w:ilvl w:val="0"/>
          <w:numId w:val="15"/>
        </w:numPr>
        <w:rPr>
          <w:rFonts w:ascii="Arial" w:hAnsi="Arial" w:cs="Arial"/>
          <w:sz w:val="20"/>
          <w:szCs w:val="20"/>
        </w:rPr>
      </w:pPr>
      <w:r w:rsidRPr="00004346">
        <w:rPr>
          <w:rFonts w:ascii="Arial" w:hAnsi="Arial" w:cs="Arial"/>
          <w:sz w:val="20"/>
          <w:szCs w:val="20"/>
        </w:rPr>
        <w:t>Exclusion of combined Electronic Monitoring and Unpaid Work requirements.</w:t>
      </w:r>
    </w:p>
    <w:p w:rsidR="00AB7D8D" w:rsidRPr="00004346" w:rsidRDefault="00AB7D8D" w:rsidP="00AB7D8D">
      <w:pPr>
        <w:numPr>
          <w:ilvl w:val="0"/>
          <w:numId w:val="15"/>
        </w:numPr>
        <w:rPr>
          <w:rFonts w:ascii="Arial" w:hAnsi="Arial" w:cs="Arial"/>
          <w:sz w:val="20"/>
          <w:szCs w:val="20"/>
        </w:rPr>
      </w:pPr>
      <w:r w:rsidRPr="00004346">
        <w:rPr>
          <w:rFonts w:ascii="Arial" w:hAnsi="Arial" w:cs="Arial"/>
          <w:sz w:val="20"/>
          <w:szCs w:val="20"/>
        </w:rPr>
        <w:t xml:space="preserve">Calculation of </w:t>
      </w:r>
      <w:r w:rsidR="00C03F73" w:rsidRPr="00004346">
        <w:rPr>
          <w:rFonts w:ascii="Arial" w:hAnsi="Arial" w:cs="Arial"/>
          <w:sz w:val="20"/>
          <w:szCs w:val="20"/>
        </w:rPr>
        <w:t>the prison scaling – by quarter and sentence length band (&lt;12 months, 12 months +)</w:t>
      </w:r>
    </w:p>
    <w:p w:rsidR="00AB7D8D" w:rsidRPr="00004346" w:rsidRDefault="00AB7D8D" w:rsidP="00AB7D8D">
      <w:pPr>
        <w:numPr>
          <w:ilvl w:val="0"/>
          <w:numId w:val="15"/>
        </w:numPr>
        <w:rPr>
          <w:rFonts w:ascii="Arial" w:hAnsi="Arial" w:cs="Arial"/>
          <w:sz w:val="20"/>
          <w:szCs w:val="20"/>
        </w:rPr>
      </w:pPr>
      <w:r w:rsidRPr="00004346">
        <w:rPr>
          <w:rFonts w:ascii="Arial" w:hAnsi="Arial" w:cs="Arial"/>
          <w:sz w:val="20"/>
          <w:szCs w:val="20"/>
        </w:rPr>
        <w:t xml:space="preserve">Exclusion of </w:t>
      </w:r>
      <w:r w:rsidR="00867B84" w:rsidRPr="00004346">
        <w:rPr>
          <w:rFonts w:ascii="Arial" w:hAnsi="Arial" w:cs="Arial"/>
          <w:sz w:val="20"/>
          <w:szCs w:val="20"/>
        </w:rPr>
        <w:t>FNO S</w:t>
      </w:r>
      <w:r w:rsidRPr="00004346">
        <w:rPr>
          <w:rFonts w:ascii="Arial" w:hAnsi="Arial" w:cs="Arial"/>
          <w:sz w:val="20"/>
          <w:szCs w:val="20"/>
        </w:rPr>
        <w:t>ubject to Deportation</w:t>
      </w:r>
      <w:r w:rsidR="00C03F73" w:rsidRPr="00004346">
        <w:rPr>
          <w:rFonts w:ascii="Arial" w:hAnsi="Arial" w:cs="Arial"/>
          <w:sz w:val="20"/>
          <w:szCs w:val="20"/>
        </w:rPr>
        <w:t>.</w:t>
      </w:r>
    </w:p>
    <w:p w:rsidR="00AB7D8D" w:rsidRPr="00004346" w:rsidRDefault="00C03F73" w:rsidP="00AB7D8D">
      <w:pPr>
        <w:numPr>
          <w:ilvl w:val="0"/>
          <w:numId w:val="15"/>
        </w:numPr>
        <w:rPr>
          <w:rFonts w:ascii="Arial" w:hAnsi="Arial" w:cs="Arial"/>
          <w:sz w:val="20"/>
          <w:szCs w:val="20"/>
        </w:rPr>
      </w:pPr>
      <w:r w:rsidRPr="00004346">
        <w:rPr>
          <w:rFonts w:ascii="Arial" w:hAnsi="Arial" w:cs="Arial"/>
          <w:sz w:val="20"/>
          <w:szCs w:val="20"/>
        </w:rPr>
        <w:t xml:space="preserve">Exclusion of </w:t>
      </w:r>
      <w:r w:rsidR="00C76164">
        <w:rPr>
          <w:rFonts w:ascii="Arial" w:hAnsi="Arial" w:cs="Arial"/>
          <w:sz w:val="20"/>
          <w:szCs w:val="20"/>
        </w:rPr>
        <w:t xml:space="preserve">starts allocated to </w:t>
      </w:r>
      <w:r w:rsidRPr="00004346">
        <w:rPr>
          <w:rFonts w:ascii="Arial" w:hAnsi="Arial" w:cs="Arial"/>
          <w:sz w:val="20"/>
          <w:szCs w:val="20"/>
        </w:rPr>
        <w:t xml:space="preserve">NPS and </w:t>
      </w:r>
      <w:r w:rsidR="00C76164">
        <w:rPr>
          <w:rFonts w:ascii="Arial" w:hAnsi="Arial" w:cs="Arial"/>
          <w:sz w:val="20"/>
          <w:szCs w:val="20"/>
        </w:rPr>
        <w:t xml:space="preserve">those with </w:t>
      </w:r>
      <w:r w:rsidR="00DB1F15">
        <w:rPr>
          <w:rFonts w:ascii="Arial" w:hAnsi="Arial" w:cs="Arial"/>
          <w:sz w:val="20"/>
          <w:szCs w:val="20"/>
        </w:rPr>
        <w:t>unknown</w:t>
      </w:r>
      <w:r w:rsidR="00DB1F15" w:rsidRPr="00004346">
        <w:rPr>
          <w:rFonts w:ascii="Arial" w:hAnsi="Arial" w:cs="Arial"/>
          <w:sz w:val="20"/>
          <w:szCs w:val="20"/>
        </w:rPr>
        <w:t xml:space="preserve"> </w:t>
      </w:r>
      <w:r w:rsidRPr="00004346">
        <w:rPr>
          <w:rFonts w:ascii="Arial" w:hAnsi="Arial" w:cs="Arial"/>
          <w:sz w:val="20"/>
          <w:szCs w:val="20"/>
        </w:rPr>
        <w:t>risk.</w:t>
      </w:r>
    </w:p>
    <w:p w:rsidR="00AB7D8D" w:rsidRPr="00004346" w:rsidRDefault="00C03F73" w:rsidP="00AB7D8D">
      <w:pPr>
        <w:numPr>
          <w:ilvl w:val="0"/>
          <w:numId w:val="15"/>
        </w:numPr>
        <w:rPr>
          <w:rFonts w:ascii="Arial" w:hAnsi="Arial" w:cs="Arial"/>
          <w:sz w:val="20"/>
          <w:szCs w:val="20"/>
        </w:rPr>
      </w:pPr>
      <w:r w:rsidRPr="00004346">
        <w:rPr>
          <w:rFonts w:ascii="Arial" w:hAnsi="Arial" w:cs="Arial"/>
          <w:sz w:val="20"/>
          <w:szCs w:val="20"/>
        </w:rPr>
        <w:t>Assignment of Remands weight – by sentence length band</w:t>
      </w:r>
    </w:p>
    <w:p w:rsidR="00AB7D8D" w:rsidRPr="00004346" w:rsidRDefault="00AB7D8D" w:rsidP="00AB7D8D">
      <w:pPr>
        <w:numPr>
          <w:ilvl w:val="0"/>
          <w:numId w:val="15"/>
        </w:numPr>
        <w:rPr>
          <w:rFonts w:ascii="Arial" w:hAnsi="Arial" w:cs="Arial"/>
          <w:sz w:val="20"/>
          <w:szCs w:val="20"/>
        </w:rPr>
      </w:pPr>
      <w:r w:rsidRPr="00004346">
        <w:rPr>
          <w:rFonts w:ascii="Arial" w:hAnsi="Arial" w:cs="Arial"/>
          <w:sz w:val="20"/>
          <w:szCs w:val="20"/>
        </w:rPr>
        <w:t>Assignment of S</w:t>
      </w:r>
      <w:r w:rsidR="00B14E2F" w:rsidRPr="00004346">
        <w:rPr>
          <w:rFonts w:ascii="Arial" w:hAnsi="Arial" w:cs="Arial"/>
          <w:sz w:val="20"/>
          <w:szCs w:val="20"/>
        </w:rPr>
        <w:t>SO with supervision only weight – by CPA</w:t>
      </w:r>
    </w:p>
    <w:p w:rsidR="00AB7D8D" w:rsidRPr="00004346" w:rsidRDefault="00AB7D8D" w:rsidP="00AB7D8D">
      <w:pPr>
        <w:numPr>
          <w:ilvl w:val="0"/>
          <w:numId w:val="15"/>
        </w:numPr>
        <w:rPr>
          <w:rFonts w:ascii="Arial" w:hAnsi="Arial" w:cs="Arial"/>
          <w:sz w:val="20"/>
          <w:szCs w:val="20"/>
        </w:rPr>
      </w:pPr>
      <w:r w:rsidRPr="00004346">
        <w:rPr>
          <w:rFonts w:ascii="Arial" w:hAnsi="Arial" w:cs="Arial"/>
          <w:sz w:val="20"/>
          <w:szCs w:val="20"/>
        </w:rPr>
        <w:t>Assignment of Unknown Risk weight</w:t>
      </w:r>
    </w:p>
    <w:p w:rsidR="00AB7D8D" w:rsidRPr="00004346" w:rsidRDefault="00AB7D8D" w:rsidP="00AB7D8D">
      <w:pPr>
        <w:numPr>
          <w:ilvl w:val="0"/>
          <w:numId w:val="15"/>
        </w:numPr>
        <w:rPr>
          <w:rFonts w:ascii="Arial" w:hAnsi="Arial" w:cs="Arial"/>
          <w:sz w:val="20"/>
          <w:szCs w:val="20"/>
        </w:rPr>
      </w:pPr>
      <w:r w:rsidRPr="00004346">
        <w:rPr>
          <w:rFonts w:ascii="Arial" w:hAnsi="Arial" w:cs="Arial"/>
          <w:sz w:val="20"/>
          <w:szCs w:val="20"/>
        </w:rPr>
        <w:t>Application of all weights and scaling</w:t>
      </w:r>
      <w:r w:rsidR="00D36DC5" w:rsidRPr="00004346">
        <w:rPr>
          <w:rFonts w:ascii="Arial" w:hAnsi="Arial" w:cs="Arial"/>
          <w:sz w:val="20"/>
          <w:szCs w:val="20"/>
        </w:rPr>
        <w:t xml:space="preserve"> to starts, reoffenders, reoffences and OGRS.</w:t>
      </w:r>
    </w:p>
    <w:p w:rsidR="00695410" w:rsidRPr="00004346" w:rsidRDefault="00695410" w:rsidP="00695410">
      <w:pPr>
        <w:rPr>
          <w:rFonts w:ascii="Arial" w:hAnsi="Arial" w:cs="Arial"/>
          <w:sz w:val="20"/>
          <w:szCs w:val="20"/>
        </w:rPr>
      </w:pPr>
    </w:p>
    <w:p w:rsidR="008D5591" w:rsidRDefault="00B57FD1" w:rsidP="00695410">
      <w:pPr>
        <w:rPr>
          <w:rFonts w:ascii="Arial" w:hAnsi="Arial" w:cs="Arial"/>
          <w:sz w:val="20"/>
          <w:szCs w:val="20"/>
        </w:rPr>
      </w:pPr>
      <w:r>
        <w:rPr>
          <w:rFonts w:ascii="Arial" w:hAnsi="Arial" w:cs="Arial"/>
          <w:sz w:val="20"/>
          <w:szCs w:val="20"/>
        </w:rPr>
        <w:t>F</w:t>
      </w:r>
      <w:r w:rsidR="00695410" w:rsidRPr="00004346">
        <w:rPr>
          <w:rFonts w:ascii="Arial" w:hAnsi="Arial" w:cs="Arial"/>
          <w:sz w:val="20"/>
          <w:szCs w:val="20"/>
        </w:rPr>
        <w:t>igures for years 2005 – 2010 were also calculated</w:t>
      </w:r>
      <w:r>
        <w:rPr>
          <w:rFonts w:ascii="Arial" w:hAnsi="Arial" w:cs="Arial"/>
          <w:sz w:val="20"/>
          <w:szCs w:val="20"/>
        </w:rPr>
        <w:t xml:space="preserve"> using the same methodology*</w:t>
      </w:r>
      <w:r w:rsidR="00695410" w:rsidRPr="00004346">
        <w:rPr>
          <w:rFonts w:ascii="Arial" w:hAnsi="Arial" w:cs="Arial"/>
          <w:sz w:val="20"/>
          <w:szCs w:val="20"/>
        </w:rPr>
        <w:t xml:space="preserve">. </w:t>
      </w:r>
    </w:p>
    <w:p w:rsidR="00C36155" w:rsidRPr="00004346" w:rsidRDefault="00C36155" w:rsidP="00695410">
      <w:pPr>
        <w:rPr>
          <w:rFonts w:ascii="Arial" w:hAnsi="Arial" w:cs="Arial"/>
          <w:sz w:val="20"/>
          <w:szCs w:val="20"/>
        </w:rPr>
      </w:pPr>
    </w:p>
    <w:p w:rsidR="00867B84" w:rsidRPr="00004346" w:rsidRDefault="00B57FD1" w:rsidP="00867B84">
      <w:pPr>
        <w:rPr>
          <w:rFonts w:ascii="Arial" w:hAnsi="Arial" w:cs="Arial"/>
          <w:i/>
          <w:sz w:val="20"/>
          <w:szCs w:val="20"/>
        </w:rPr>
      </w:pPr>
      <w:r>
        <w:rPr>
          <w:rFonts w:ascii="Arial" w:hAnsi="Arial" w:cs="Arial"/>
          <w:i/>
          <w:sz w:val="20"/>
          <w:szCs w:val="20"/>
        </w:rPr>
        <w:t>*</w:t>
      </w:r>
      <w:r w:rsidR="008D5591" w:rsidRPr="00004346">
        <w:rPr>
          <w:rFonts w:ascii="Arial" w:hAnsi="Arial" w:cs="Arial"/>
          <w:i/>
          <w:sz w:val="20"/>
          <w:szCs w:val="20"/>
        </w:rPr>
        <w:t>The process for 2010 differed</w:t>
      </w:r>
      <w:r>
        <w:rPr>
          <w:rFonts w:ascii="Arial" w:hAnsi="Arial" w:cs="Arial"/>
          <w:i/>
          <w:sz w:val="20"/>
          <w:szCs w:val="20"/>
        </w:rPr>
        <w:t xml:space="preserve"> slightly</w:t>
      </w:r>
      <w:r w:rsidR="008D5591" w:rsidRPr="00004346">
        <w:rPr>
          <w:rFonts w:ascii="Arial" w:hAnsi="Arial" w:cs="Arial"/>
          <w:i/>
          <w:sz w:val="20"/>
          <w:szCs w:val="20"/>
        </w:rPr>
        <w:t xml:space="preserve"> because the </w:t>
      </w:r>
      <w:r w:rsidR="00867B84" w:rsidRPr="00004346">
        <w:rPr>
          <w:rFonts w:ascii="Arial" w:hAnsi="Arial" w:cs="Arial"/>
          <w:i/>
          <w:sz w:val="20"/>
          <w:szCs w:val="20"/>
        </w:rPr>
        <w:t xml:space="preserve">sentence length </w:t>
      </w:r>
      <w:r>
        <w:rPr>
          <w:rFonts w:ascii="Arial" w:hAnsi="Arial" w:cs="Arial"/>
          <w:i/>
          <w:sz w:val="20"/>
          <w:szCs w:val="20"/>
        </w:rPr>
        <w:t xml:space="preserve">recorded in the prison data system (PNOMIS) </w:t>
      </w:r>
      <w:r w:rsidR="00867B84" w:rsidRPr="00004346">
        <w:rPr>
          <w:rFonts w:ascii="Arial" w:hAnsi="Arial" w:cs="Arial"/>
          <w:i/>
          <w:sz w:val="20"/>
          <w:szCs w:val="20"/>
        </w:rPr>
        <w:t xml:space="preserve">was not </w:t>
      </w:r>
      <w:r>
        <w:rPr>
          <w:rFonts w:ascii="Arial" w:hAnsi="Arial" w:cs="Arial"/>
          <w:i/>
          <w:sz w:val="20"/>
          <w:szCs w:val="20"/>
        </w:rPr>
        <w:t xml:space="preserve">reliable in </w:t>
      </w:r>
      <w:r w:rsidR="008D5591" w:rsidRPr="00004346">
        <w:rPr>
          <w:rFonts w:ascii="Arial" w:hAnsi="Arial" w:cs="Arial"/>
          <w:i/>
          <w:sz w:val="20"/>
          <w:szCs w:val="20"/>
        </w:rPr>
        <w:t>that year</w:t>
      </w:r>
      <w:r w:rsidR="00867B84" w:rsidRPr="00004346">
        <w:rPr>
          <w:rFonts w:ascii="Arial" w:hAnsi="Arial" w:cs="Arial"/>
          <w:i/>
          <w:sz w:val="20"/>
          <w:szCs w:val="20"/>
        </w:rPr>
        <w:t xml:space="preserve"> and the sentence length band was used instead. </w:t>
      </w:r>
      <w:r w:rsidR="00E15820">
        <w:rPr>
          <w:rFonts w:ascii="Arial" w:hAnsi="Arial" w:cs="Arial"/>
          <w:i/>
          <w:sz w:val="20"/>
          <w:szCs w:val="20"/>
        </w:rPr>
        <w:t>A</w:t>
      </w:r>
      <w:r w:rsidR="00867B84" w:rsidRPr="00004346">
        <w:rPr>
          <w:rFonts w:ascii="Arial" w:hAnsi="Arial" w:cs="Arial"/>
          <w:i/>
          <w:sz w:val="20"/>
          <w:szCs w:val="20"/>
        </w:rPr>
        <w:t>ll long sentences were assumed to be in the highest range for MAPPA calculations</w:t>
      </w:r>
      <w:r w:rsidR="00E15820">
        <w:rPr>
          <w:rFonts w:ascii="Arial" w:hAnsi="Arial" w:cs="Arial"/>
          <w:i/>
          <w:sz w:val="20"/>
          <w:szCs w:val="20"/>
        </w:rPr>
        <w:t xml:space="preserve"> which</w:t>
      </w:r>
      <w:r w:rsidR="00E15820" w:rsidRPr="00E15820">
        <w:rPr>
          <w:rFonts w:ascii="Arial" w:hAnsi="Arial" w:cs="Arial"/>
          <w:i/>
          <w:sz w:val="20"/>
          <w:szCs w:val="20"/>
        </w:rPr>
        <w:t xml:space="preserve"> </w:t>
      </w:r>
      <w:r w:rsidR="00E15820" w:rsidRPr="00004346">
        <w:rPr>
          <w:rFonts w:ascii="Arial" w:hAnsi="Arial" w:cs="Arial"/>
          <w:i/>
          <w:sz w:val="20"/>
          <w:szCs w:val="20"/>
        </w:rPr>
        <w:t>could somewhat skew the data</w:t>
      </w:r>
      <w:r w:rsidR="00867B84" w:rsidRPr="00004346">
        <w:rPr>
          <w:rFonts w:ascii="Arial" w:hAnsi="Arial" w:cs="Arial"/>
          <w:i/>
          <w:sz w:val="20"/>
          <w:szCs w:val="20"/>
        </w:rPr>
        <w:t>.</w:t>
      </w:r>
    </w:p>
    <w:p w:rsidR="00050DDE" w:rsidRPr="00004346" w:rsidRDefault="00050DDE" w:rsidP="00BB3BD0">
      <w:pPr>
        <w:pStyle w:val="Heading3"/>
      </w:pPr>
      <w:r w:rsidRPr="00004346">
        <w:t>Outputs</w:t>
      </w:r>
    </w:p>
    <w:p w:rsidR="00BB3BD0" w:rsidRPr="00004346" w:rsidRDefault="00BB3BD0" w:rsidP="00050DDE">
      <w:pPr>
        <w:pStyle w:val="Heading3"/>
        <w:rPr>
          <w:sz w:val="22"/>
        </w:rPr>
      </w:pPr>
      <w:r w:rsidRPr="00004346">
        <w:rPr>
          <w:sz w:val="22"/>
        </w:rPr>
        <w:t>Aggregation by CPA</w:t>
      </w:r>
    </w:p>
    <w:p w:rsidR="00BB3BD0" w:rsidRPr="00004346" w:rsidRDefault="00E9314C" w:rsidP="00BB3BD0">
      <w:pPr>
        <w:rPr>
          <w:rFonts w:ascii="Arial" w:hAnsi="Arial" w:cs="Arial"/>
          <w:sz w:val="20"/>
          <w:szCs w:val="20"/>
        </w:rPr>
      </w:pPr>
      <w:r w:rsidRPr="00004346">
        <w:rPr>
          <w:rFonts w:ascii="Arial" w:hAnsi="Arial" w:cs="Arial"/>
          <w:sz w:val="20"/>
          <w:szCs w:val="20"/>
        </w:rPr>
        <w:t xml:space="preserve">The outputs included three main values for each CPA: </w:t>
      </w:r>
    </w:p>
    <w:p w:rsidR="00511D09" w:rsidRPr="00004346" w:rsidRDefault="00511D09" w:rsidP="00BB3BD0">
      <w:pPr>
        <w:rPr>
          <w:rFonts w:ascii="Arial" w:hAnsi="Arial" w:cs="Arial"/>
          <w:sz w:val="20"/>
          <w:szCs w:val="20"/>
        </w:rPr>
      </w:pPr>
    </w:p>
    <w:p w:rsidR="00E9314C" w:rsidRPr="00004346" w:rsidRDefault="00E9314C" w:rsidP="00D65293">
      <w:pPr>
        <w:numPr>
          <w:ilvl w:val="0"/>
          <w:numId w:val="16"/>
        </w:numPr>
        <w:rPr>
          <w:rFonts w:ascii="Arial" w:hAnsi="Arial" w:cs="Arial"/>
          <w:sz w:val="20"/>
          <w:szCs w:val="20"/>
        </w:rPr>
      </w:pPr>
      <w:r w:rsidRPr="00004346">
        <w:rPr>
          <w:rFonts w:ascii="Arial" w:hAnsi="Arial" w:cs="Arial"/>
          <w:sz w:val="20"/>
          <w:szCs w:val="20"/>
        </w:rPr>
        <w:t>Binary reoffending rate (</w:t>
      </w:r>
      <w:r w:rsidR="008C7EDC" w:rsidRPr="00004346">
        <w:rPr>
          <w:rFonts w:ascii="Arial" w:hAnsi="Arial" w:cs="Arial"/>
          <w:sz w:val="20"/>
          <w:szCs w:val="20"/>
        </w:rPr>
        <w:t xml:space="preserve">weighted </w:t>
      </w:r>
      <w:r w:rsidRPr="00004346">
        <w:rPr>
          <w:rFonts w:ascii="Arial" w:hAnsi="Arial" w:cs="Arial"/>
          <w:sz w:val="20"/>
          <w:szCs w:val="20"/>
        </w:rPr>
        <w:t>reoffenders/</w:t>
      </w:r>
      <w:r w:rsidR="008C7EDC" w:rsidRPr="00004346">
        <w:rPr>
          <w:rFonts w:ascii="Arial" w:hAnsi="Arial" w:cs="Arial"/>
          <w:sz w:val="20"/>
          <w:szCs w:val="20"/>
        </w:rPr>
        <w:t xml:space="preserve">weighted </w:t>
      </w:r>
      <w:r w:rsidRPr="00004346">
        <w:rPr>
          <w:rFonts w:ascii="Arial" w:hAnsi="Arial" w:cs="Arial"/>
          <w:sz w:val="20"/>
          <w:szCs w:val="20"/>
        </w:rPr>
        <w:t>starts)</w:t>
      </w:r>
    </w:p>
    <w:p w:rsidR="00E9314C" w:rsidRPr="00004346" w:rsidRDefault="00E9314C" w:rsidP="00E9314C">
      <w:pPr>
        <w:numPr>
          <w:ilvl w:val="0"/>
          <w:numId w:val="16"/>
        </w:numPr>
        <w:rPr>
          <w:rFonts w:ascii="Arial" w:hAnsi="Arial" w:cs="Arial"/>
          <w:sz w:val="20"/>
          <w:szCs w:val="20"/>
        </w:rPr>
      </w:pPr>
      <w:r w:rsidRPr="00004346">
        <w:rPr>
          <w:rFonts w:ascii="Arial" w:hAnsi="Arial" w:cs="Arial"/>
          <w:sz w:val="20"/>
          <w:szCs w:val="20"/>
        </w:rPr>
        <w:t>Frequency reoffending rate (</w:t>
      </w:r>
      <w:r w:rsidR="008C7EDC" w:rsidRPr="00004346">
        <w:rPr>
          <w:rFonts w:ascii="Arial" w:hAnsi="Arial" w:cs="Arial"/>
          <w:sz w:val="20"/>
          <w:szCs w:val="20"/>
        </w:rPr>
        <w:t xml:space="preserve">weighted </w:t>
      </w:r>
      <w:r w:rsidRPr="00004346">
        <w:rPr>
          <w:rFonts w:ascii="Arial" w:hAnsi="Arial" w:cs="Arial"/>
          <w:sz w:val="20"/>
          <w:szCs w:val="20"/>
        </w:rPr>
        <w:t>reoffences/</w:t>
      </w:r>
      <w:r w:rsidR="008C7EDC" w:rsidRPr="00004346">
        <w:rPr>
          <w:rFonts w:ascii="Arial" w:hAnsi="Arial" w:cs="Arial"/>
          <w:sz w:val="20"/>
          <w:szCs w:val="20"/>
        </w:rPr>
        <w:t xml:space="preserve">weighted </w:t>
      </w:r>
      <w:r w:rsidRPr="00004346">
        <w:rPr>
          <w:rFonts w:ascii="Arial" w:hAnsi="Arial" w:cs="Arial"/>
          <w:sz w:val="20"/>
          <w:szCs w:val="20"/>
        </w:rPr>
        <w:t>reoffenders)</w:t>
      </w:r>
    </w:p>
    <w:p w:rsidR="00E9314C" w:rsidRPr="00004346" w:rsidRDefault="00E9314C" w:rsidP="00E9314C">
      <w:pPr>
        <w:numPr>
          <w:ilvl w:val="0"/>
          <w:numId w:val="16"/>
        </w:numPr>
        <w:rPr>
          <w:rFonts w:ascii="Arial" w:hAnsi="Arial" w:cs="Arial"/>
          <w:sz w:val="20"/>
          <w:szCs w:val="20"/>
        </w:rPr>
      </w:pPr>
      <w:r w:rsidRPr="00004346">
        <w:rPr>
          <w:rFonts w:ascii="Arial" w:hAnsi="Arial" w:cs="Arial"/>
          <w:sz w:val="20"/>
          <w:szCs w:val="20"/>
        </w:rPr>
        <w:t>Average OGRS4/G score (weighted average of the OGRS4/G score)</w:t>
      </w:r>
    </w:p>
    <w:p w:rsidR="00E9314C" w:rsidRPr="00004346" w:rsidRDefault="00E9314C" w:rsidP="00E9314C">
      <w:pPr>
        <w:rPr>
          <w:rFonts w:ascii="Arial" w:hAnsi="Arial" w:cs="Arial"/>
          <w:sz w:val="20"/>
          <w:szCs w:val="20"/>
        </w:rPr>
      </w:pPr>
    </w:p>
    <w:p w:rsidR="00E9314C" w:rsidRPr="00004346" w:rsidRDefault="00511D09" w:rsidP="00E9314C">
      <w:pPr>
        <w:rPr>
          <w:rFonts w:ascii="Arial" w:hAnsi="Arial" w:cs="Arial"/>
          <w:sz w:val="20"/>
          <w:szCs w:val="20"/>
        </w:rPr>
      </w:pPr>
      <w:r w:rsidRPr="00004346">
        <w:rPr>
          <w:rFonts w:ascii="Arial" w:hAnsi="Arial" w:cs="Arial"/>
          <w:sz w:val="20"/>
          <w:szCs w:val="20"/>
        </w:rPr>
        <w:t>p</w:t>
      </w:r>
      <w:r w:rsidR="00E9314C" w:rsidRPr="00004346">
        <w:rPr>
          <w:rFonts w:ascii="Arial" w:hAnsi="Arial" w:cs="Arial"/>
          <w:sz w:val="20"/>
          <w:szCs w:val="20"/>
        </w:rPr>
        <w:t>lus three supporting values:</w:t>
      </w:r>
    </w:p>
    <w:p w:rsidR="00511D09" w:rsidRPr="00004346" w:rsidRDefault="00511D09" w:rsidP="00E9314C">
      <w:pPr>
        <w:rPr>
          <w:rFonts w:ascii="Arial" w:hAnsi="Arial" w:cs="Arial"/>
          <w:sz w:val="20"/>
          <w:szCs w:val="20"/>
        </w:rPr>
      </w:pPr>
    </w:p>
    <w:p w:rsidR="00E9314C" w:rsidRPr="00004346" w:rsidRDefault="00E9314C" w:rsidP="00E9314C">
      <w:pPr>
        <w:numPr>
          <w:ilvl w:val="0"/>
          <w:numId w:val="16"/>
        </w:numPr>
        <w:rPr>
          <w:rFonts w:ascii="Arial" w:hAnsi="Arial" w:cs="Arial"/>
          <w:sz w:val="20"/>
          <w:szCs w:val="20"/>
        </w:rPr>
      </w:pPr>
      <w:r w:rsidRPr="00004346">
        <w:rPr>
          <w:rFonts w:ascii="Arial" w:hAnsi="Arial" w:cs="Arial"/>
          <w:sz w:val="20"/>
          <w:szCs w:val="20"/>
        </w:rPr>
        <w:t>Weighted starts</w:t>
      </w:r>
    </w:p>
    <w:p w:rsidR="00E9314C" w:rsidRPr="00004346" w:rsidRDefault="00E9314C" w:rsidP="00E9314C">
      <w:pPr>
        <w:numPr>
          <w:ilvl w:val="0"/>
          <w:numId w:val="16"/>
        </w:numPr>
        <w:rPr>
          <w:rFonts w:ascii="Arial" w:hAnsi="Arial" w:cs="Arial"/>
          <w:sz w:val="20"/>
          <w:szCs w:val="20"/>
        </w:rPr>
      </w:pPr>
      <w:r w:rsidRPr="00004346">
        <w:rPr>
          <w:rFonts w:ascii="Arial" w:hAnsi="Arial" w:cs="Arial"/>
          <w:sz w:val="20"/>
          <w:szCs w:val="20"/>
        </w:rPr>
        <w:t>Weighted reoffenders</w:t>
      </w:r>
    </w:p>
    <w:p w:rsidR="00E9314C" w:rsidRPr="00004346" w:rsidRDefault="00E9314C" w:rsidP="00E9314C">
      <w:pPr>
        <w:numPr>
          <w:ilvl w:val="0"/>
          <w:numId w:val="16"/>
        </w:numPr>
        <w:rPr>
          <w:rFonts w:ascii="Arial" w:hAnsi="Arial" w:cs="Arial"/>
          <w:sz w:val="20"/>
          <w:szCs w:val="20"/>
        </w:rPr>
      </w:pPr>
      <w:r w:rsidRPr="00004346">
        <w:rPr>
          <w:rFonts w:ascii="Arial" w:hAnsi="Arial" w:cs="Arial"/>
          <w:sz w:val="20"/>
          <w:szCs w:val="20"/>
        </w:rPr>
        <w:t>Weighted reoffences</w:t>
      </w:r>
    </w:p>
    <w:p w:rsidR="00050DDE" w:rsidRPr="002950B4" w:rsidRDefault="00857DF8" w:rsidP="00050DDE">
      <w:pPr>
        <w:pStyle w:val="Heading3"/>
      </w:pPr>
      <w:r w:rsidRPr="002950B4">
        <w:t>Thresholds and Termination</w:t>
      </w:r>
    </w:p>
    <w:p w:rsidR="00050DDE" w:rsidRPr="00004346" w:rsidRDefault="0056080E" w:rsidP="00050DDE">
      <w:pPr>
        <w:rPr>
          <w:rFonts w:ascii="Arial" w:hAnsi="Arial" w:cs="Arial"/>
          <w:sz w:val="20"/>
          <w:szCs w:val="20"/>
        </w:rPr>
      </w:pPr>
      <w:r w:rsidRPr="00004346">
        <w:rPr>
          <w:rFonts w:ascii="Arial" w:hAnsi="Arial" w:cs="Arial"/>
          <w:sz w:val="20"/>
          <w:szCs w:val="20"/>
        </w:rPr>
        <w:t xml:space="preserve">The thresholds for payment increase/reduction and for contract termination were calculated based on the methodology described </w:t>
      </w:r>
      <w:r w:rsidR="003556EF">
        <w:rPr>
          <w:rFonts w:ascii="Arial" w:hAnsi="Arial" w:cs="Arial"/>
          <w:sz w:val="20"/>
          <w:szCs w:val="20"/>
        </w:rPr>
        <w:t>in</w:t>
      </w:r>
      <w:r w:rsidRPr="00004346">
        <w:rPr>
          <w:rFonts w:ascii="Arial" w:hAnsi="Arial" w:cs="Arial"/>
          <w:sz w:val="20"/>
          <w:szCs w:val="20"/>
        </w:rPr>
        <w:t xml:space="preserve"> </w:t>
      </w:r>
      <w:r w:rsidR="00DA6A0D">
        <w:rPr>
          <w:rFonts w:ascii="Arial" w:hAnsi="Arial" w:cs="Arial"/>
          <w:sz w:val="20"/>
          <w:szCs w:val="20"/>
        </w:rPr>
        <w:t>Schedule 11 (Payment Mechanism) of the draft Amended and Restated Services Agreement.</w:t>
      </w:r>
    </w:p>
    <w:p w:rsidR="00BB3BD0" w:rsidRPr="00004346" w:rsidRDefault="00BB3BD0" w:rsidP="00484179">
      <w:pPr>
        <w:rPr>
          <w:rFonts w:ascii="Arial" w:hAnsi="Arial" w:cs="Arial"/>
          <w:sz w:val="20"/>
          <w:szCs w:val="20"/>
        </w:rPr>
      </w:pPr>
    </w:p>
    <w:p w:rsidR="00484179" w:rsidRPr="00004346" w:rsidRDefault="00484179" w:rsidP="00484179">
      <w:pPr>
        <w:rPr>
          <w:rFonts w:ascii="Arial" w:hAnsi="Arial" w:cs="Arial"/>
          <w:sz w:val="20"/>
          <w:szCs w:val="20"/>
        </w:rPr>
      </w:pPr>
      <w:r w:rsidRPr="00004346">
        <w:rPr>
          <w:rFonts w:ascii="Arial" w:hAnsi="Arial" w:cs="Arial"/>
          <w:sz w:val="20"/>
          <w:szCs w:val="20"/>
        </w:rPr>
        <w:t xml:space="preserve">The following lines are just a summary. The </w:t>
      </w:r>
      <w:r w:rsidR="00CB1904">
        <w:rPr>
          <w:rFonts w:ascii="Arial" w:hAnsi="Arial" w:cs="Arial"/>
          <w:sz w:val="20"/>
          <w:szCs w:val="20"/>
        </w:rPr>
        <w:t>same methodology was applied for</w:t>
      </w:r>
      <w:r w:rsidRPr="00004346">
        <w:rPr>
          <w:rFonts w:ascii="Arial" w:hAnsi="Arial" w:cs="Arial"/>
          <w:sz w:val="20"/>
          <w:szCs w:val="20"/>
        </w:rPr>
        <w:t xml:space="preserve"> </w:t>
      </w:r>
      <w:r w:rsidR="003556EF">
        <w:rPr>
          <w:rFonts w:ascii="Arial" w:hAnsi="Arial" w:cs="Arial"/>
          <w:sz w:val="20"/>
          <w:szCs w:val="20"/>
        </w:rPr>
        <w:t>every</w:t>
      </w:r>
      <w:r w:rsidRPr="00004346">
        <w:rPr>
          <w:rFonts w:ascii="Arial" w:hAnsi="Arial" w:cs="Arial"/>
          <w:sz w:val="20"/>
          <w:szCs w:val="20"/>
        </w:rPr>
        <w:t xml:space="preserve"> </w:t>
      </w:r>
      <w:r w:rsidR="003556EF">
        <w:rPr>
          <w:rFonts w:ascii="Arial" w:hAnsi="Arial" w:cs="Arial"/>
          <w:sz w:val="20"/>
          <w:szCs w:val="20"/>
        </w:rPr>
        <w:t>CPA</w:t>
      </w:r>
      <w:r w:rsidRPr="00004346">
        <w:rPr>
          <w:rFonts w:ascii="Arial" w:hAnsi="Arial" w:cs="Arial"/>
          <w:sz w:val="20"/>
          <w:szCs w:val="20"/>
        </w:rPr>
        <w:t>.</w:t>
      </w:r>
    </w:p>
    <w:p w:rsidR="00484179" w:rsidRPr="00004346" w:rsidRDefault="00484179" w:rsidP="00484179">
      <w:pPr>
        <w:rPr>
          <w:rFonts w:ascii="Arial" w:hAnsi="Arial" w:cs="Arial"/>
          <w:sz w:val="20"/>
          <w:szCs w:val="20"/>
        </w:rPr>
      </w:pPr>
    </w:p>
    <w:p w:rsidR="00484179" w:rsidRPr="00004346" w:rsidRDefault="00484179" w:rsidP="00484179">
      <w:pPr>
        <w:rPr>
          <w:rFonts w:ascii="Arial" w:hAnsi="Arial" w:cs="Arial"/>
          <w:b/>
          <w:sz w:val="20"/>
          <w:szCs w:val="20"/>
        </w:rPr>
      </w:pPr>
      <w:r w:rsidRPr="00004346">
        <w:rPr>
          <w:rFonts w:ascii="Arial" w:hAnsi="Arial" w:cs="Arial"/>
          <w:b/>
          <w:sz w:val="20"/>
          <w:szCs w:val="20"/>
        </w:rPr>
        <w:t>Binary reoffending measure</w:t>
      </w:r>
    </w:p>
    <w:p w:rsidR="00484179" w:rsidRPr="00004346" w:rsidRDefault="00484179" w:rsidP="00484179">
      <w:pPr>
        <w:rPr>
          <w:rFonts w:ascii="Arial" w:hAnsi="Arial" w:cs="Arial"/>
          <w:sz w:val="20"/>
          <w:szCs w:val="20"/>
        </w:rPr>
      </w:pPr>
      <w:r w:rsidRPr="00004346">
        <w:rPr>
          <w:rFonts w:ascii="Arial" w:hAnsi="Arial" w:cs="Arial"/>
          <w:sz w:val="20"/>
          <w:szCs w:val="20"/>
        </w:rPr>
        <w:t>The upper and lower thresholds for</w:t>
      </w:r>
      <w:r w:rsidR="008112B6" w:rsidRPr="00004346">
        <w:rPr>
          <w:rFonts w:ascii="Arial" w:hAnsi="Arial" w:cs="Arial"/>
          <w:sz w:val="20"/>
          <w:szCs w:val="20"/>
        </w:rPr>
        <w:t xml:space="preserve"> quarterly</w:t>
      </w:r>
      <w:r w:rsidRPr="00004346">
        <w:rPr>
          <w:rFonts w:ascii="Arial" w:hAnsi="Arial" w:cs="Arial"/>
          <w:sz w:val="20"/>
          <w:szCs w:val="20"/>
        </w:rPr>
        <w:t xml:space="preserve"> </w:t>
      </w:r>
      <w:r w:rsidR="003F5FEC">
        <w:rPr>
          <w:rFonts w:ascii="Arial" w:hAnsi="Arial" w:cs="Arial"/>
          <w:sz w:val="20"/>
          <w:szCs w:val="20"/>
        </w:rPr>
        <w:t xml:space="preserve">binary PbR </w:t>
      </w:r>
      <w:r w:rsidRPr="00004346">
        <w:rPr>
          <w:rFonts w:ascii="Arial" w:hAnsi="Arial" w:cs="Arial"/>
          <w:sz w:val="20"/>
          <w:szCs w:val="20"/>
        </w:rPr>
        <w:t>payment</w:t>
      </w:r>
      <w:r w:rsidR="003F5FEC">
        <w:rPr>
          <w:rFonts w:ascii="Arial" w:hAnsi="Arial" w:cs="Arial"/>
          <w:sz w:val="20"/>
          <w:szCs w:val="20"/>
        </w:rPr>
        <w:t>s</w:t>
      </w:r>
      <w:r w:rsidRPr="00004346">
        <w:rPr>
          <w:rFonts w:ascii="Arial" w:hAnsi="Arial" w:cs="Arial"/>
          <w:sz w:val="20"/>
          <w:szCs w:val="20"/>
        </w:rPr>
        <w:t xml:space="preserve"> were calculated as an 80% confidence interval around the mean value for 2011.</w:t>
      </w:r>
      <w:r w:rsidR="008112B6" w:rsidRPr="00004346">
        <w:rPr>
          <w:rFonts w:ascii="Arial" w:hAnsi="Arial" w:cs="Arial"/>
          <w:sz w:val="20"/>
          <w:szCs w:val="20"/>
        </w:rPr>
        <w:t xml:space="preserve"> The variability was calculated from the 28 quarters </w:t>
      </w:r>
      <w:r w:rsidR="001D672A">
        <w:rPr>
          <w:rFonts w:ascii="Arial" w:hAnsi="Arial" w:cs="Arial"/>
          <w:sz w:val="20"/>
          <w:szCs w:val="20"/>
        </w:rPr>
        <w:t>of data</w:t>
      </w:r>
      <w:r w:rsidR="008112B6" w:rsidRPr="00004346">
        <w:rPr>
          <w:rFonts w:ascii="Arial" w:hAnsi="Arial" w:cs="Arial"/>
          <w:sz w:val="20"/>
          <w:szCs w:val="20"/>
        </w:rPr>
        <w:t xml:space="preserve"> </w:t>
      </w:r>
      <w:r w:rsidR="001D672A">
        <w:rPr>
          <w:rFonts w:ascii="Arial" w:hAnsi="Arial" w:cs="Arial"/>
          <w:sz w:val="20"/>
          <w:szCs w:val="20"/>
        </w:rPr>
        <w:t xml:space="preserve">from </w:t>
      </w:r>
      <w:r w:rsidR="008112B6" w:rsidRPr="00004346">
        <w:rPr>
          <w:rFonts w:ascii="Arial" w:hAnsi="Arial" w:cs="Arial"/>
          <w:sz w:val="20"/>
          <w:szCs w:val="20"/>
        </w:rPr>
        <w:t xml:space="preserve">Q1 2005 </w:t>
      </w:r>
      <w:r w:rsidR="001D672A">
        <w:rPr>
          <w:rFonts w:ascii="Arial" w:hAnsi="Arial" w:cs="Arial"/>
          <w:sz w:val="20"/>
          <w:szCs w:val="20"/>
        </w:rPr>
        <w:t>to</w:t>
      </w:r>
      <w:r w:rsidR="008112B6" w:rsidRPr="00004346">
        <w:rPr>
          <w:rFonts w:ascii="Arial" w:hAnsi="Arial" w:cs="Arial"/>
          <w:sz w:val="20"/>
          <w:szCs w:val="20"/>
        </w:rPr>
        <w:t xml:space="preserve"> Q4 2011, subtracting </w:t>
      </w:r>
      <w:r w:rsidR="008A0982">
        <w:rPr>
          <w:rFonts w:ascii="Arial" w:hAnsi="Arial" w:cs="Arial"/>
          <w:sz w:val="20"/>
          <w:szCs w:val="20"/>
        </w:rPr>
        <w:t xml:space="preserve">the effect of </w:t>
      </w:r>
      <w:r w:rsidR="001D343A">
        <w:rPr>
          <w:rFonts w:ascii="Arial" w:hAnsi="Arial" w:cs="Arial"/>
          <w:sz w:val="20"/>
          <w:szCs w:val="20"/>
        </w:rPr>
        <w:t>any</w:t>
      </w:r>
      <w:r w:rsidR="001D343A" w:rsidRPr="00004346">
        <w:rPr>
          <w:rFonts w:ascii="Arial" w:hAnsi="Arial" w:cs="Arial"/>
          <w:sz w:val="20"/>
          <w:szCs w:val="20"/>
        </w:rPr>
        <w:t xml:space="preserve"> </w:t>
      </w:r>
      <w:r w:rsidR="008112B6" w:rsidRPr="00004346">
        <w:rPr>
          <w:rFonts w:ascii="Arial" w:hAnsi="Arial" w:cs="Arial"/>
          <w:sz w:val="20"/>
          <w:szCs w:val="20"/>
        </w:rPr>
        <w:t>linear trend.</w:t>
      </w:r>
    </w:p>
    <w:p w:rsidR="008112B6" w:rsidRPr="00004346" w:rsidRDefault="008112B6" w:rsidP="00484179">
      <w:pPr>
        <w:rPr>
          <w:rFonts w:ascii="Arial" w:hAnsi="Arial" w:cs="Arial"/>
          <w:sz w:val="20"/>
          <w:szCs w:val="20"/>
        </w:rPr>
      </w:pPr>
      <w:r w:rsidRPr="00004346">
        <w:rPr>
          <w:rFonts w:ascii="Arial" w:hAnsi="Arial" w:cs="Arial"/>
          <w:sz w:val="20"/>
          <w:szCs w:val="20"/>
        </w:rPr>
        <w:t>T</w:t>
      </w:r>
      <w:r w:rsidR="00F22134" w:rsidRPr="00004346">
        <w:rPr>
          <w:rFonts w:ascii="Arial" w:hAnsi="Arial" w:cs="Arial"/>
          <w:sz w:val="20"/>
          <w:szCs w:val="20"/>
        </w:rPr>
        <w:t xml:space="preserve">he equivalent thresholds </w:t>
      </w:r>
      <w:r w:rsidR="00242335">
        <w:rPr>
          <w:rFonts w:ascii="Arial" w:hAnsi="Arial" w:cs="Arial"/>
          <w:sz w:val="20"/>
          <w:szCs w:val="20"/>
        </w:rPr>
        <w:t xml:space="preserve">for </w:t>
      </w:r>
      <w:r w:rsidR="00242335" w:rsidRPr="00004346">
        <w:rPr>
          <w:rFonts w:ascii="Arial" w:hAnsi="Arial" w:cs="Arial"/>
          <w:sz w:val="20"/>
          <w:szCs w:val="20"/>
        </w:rPr>
        <w:t xml:space="preserve">annual </w:t>
      </w:r>
      <w:r w:rsidR="00242335">
        <w:rPr>
          <w:rFonts w:ascii="Arial" w:hAnsi="Arial" w:cs="Arial"/>
          <w:sz w:val="20"/>
          <w:szCs w:val="20"/>
        </w:rPr>
        <w:t xml:space="preserve">PbR top-up payments </w:t>
      </w:r>
      <w:r w:rsidR="00F22134" w:rsidRPr="00004346">
        <w:rPr>
          <w:rFonts w:ascii="Arial" w:hAnsi="Arial" w:cs="Arial"/>
          <w:sz w:val="20"/>
          <w:szCs w:val="20"/>
        </w:rPr>
        <w:t xml:space="preserve">are </w:t>
      </w:r>
      <w:r w:rsidR="00242335">
        <w:rPr>
          <w:rFonts w:ascii="Arial" w:hAnsi="Arial" w:cs="Arial"/>
          <w:sz w:val="20"/>
          <w:szCs w:val="20"/>
        </w:rPr>
        <w:t xml:space="preserve">simply </w:t>
      </w:r>
      <w:r w:rsidR="00F22134" w:rsidRPr="00004346">
        <w:rPr>
          <w:rFonts w:ascii="Arial" w:hAnsi="Arial" w:cs="Arial"/>
          <w:sz w:val="20"/>
          <w:szCs w:val="20"/>
        </w:rPr>
        <w:t>half the size</w:t>
      </w:r>
      <w:r w:rsidR="00242335">
        <w:rPr>
          <w:rFonts w:ascii="Arial" w:hAnsi="Arial" w:cs="Arial"/>
          <w:sz w:val="20"/>
          <w:szCs w:val="20"/>
        </w:rPr>
        <w:t xml:space="preserve"> of the quarterly thresholds</w:t>
      </w:r>
      <w:r w:rsidR="00F22134" w:rsidRPr="00004346">
        <w:rPr>
          <w:rFonts w:ascii="Arial" w:hAnsi="Arial" w:cs="Arial"/>
          <w:sz w:val="20"/>
          <w:szCs w:val="20"/>
        </w:rPr>
        <w:t>.</w:t>
      </w:r>
    </w:p>
    <w:p w:rsidR="00F22134" w:rsidRPr="00004346" w:rsidRDefault="00F22134" w:rsidP="00484179">
      <w:pPr>
        <w:rPr>
          <w:rFonts w:ascii="Arial" w:hAnsi="Arial" w:cs="Arial"/>
          <w:sz w:val="20"/>
          <w:szCs w:val="20"/>
        </w:rPr>
      </w:pPr>
    </w:p>
    <w:p w:rsidR="00F22134" w:rsidRPr="00004346" w:rsidRDefault="00F22134" w:rsidP="00484179">
      <w:pPr>
        <w:rPr>
          <w:rFonts w:ascii="Arial" w:hAnsi="Arial" w:cs="Arial"/>
          <w:sz w:val="20"/>
          <w:szCs w:val="20"/>
        </w:rPr>
      </w:pPr>
      <w:r w:rsidRPr="00004346">
        <w:rPr>
          <w:rFonts w:ascii="Arial" w:hAnsi="Arial" w:cs="Arial"/>
          <w:sz w:val="20"/>
          <w:szCs w:val="20"/>
        </w:rPr>
        <w:t xml:space="preserve">The annual termination point was calculated as the upper </w:t>
      </w:r>
      <w:r w:rsidR="003F5FEC">
        <w:rPr>
          <w:rFonts w:ascii="Arial" w:hAnsi="Arial" w:cs="Arial"/>
          <w:sz w:val="20"/>
          <w:szCs w:val="20"/>
        </w:rPr>
        <w:t>bound</w:t>
      </w:r>
      <w:r w:rsidR="003F5FEC" w:rsidRPr="00004346">
        <w:rPr>
          <w:rFonts w:ascii="Arial" w:hAnsi="Arial" w:cs="Arial"/>
          <w:sz w:val="20"/>
          <w:szCs w:val="20"/>
        </w:rPr>
        <w:t xml:space="preserve"> </w:t>
      </w:r>
      <w:r w:rsidRPr="00004346">
        <w:rPr>
          <w:rFonts w:ascii="Arial" w:hAnsi="Arial" w:cs="Arial"/>
          <w:sz w:val="20"/>
          <w:szCs w:val="20"/>
        </w:rPr>
        <w:t>of a 94.5% interval.</w:t>
      </w:r>
    </w:p>
    <w:p w:rsidR="00F22134" w:rsidRDefault="00F22134" w:rsidP="00484179">
      <w:pPr>
        <w:rPr>
          <w:rFonts w:ascii="Arial" w:hAnsi="Arial" w:cs="Arial"/>
          <w:sz w:val="20"/>
          <w:szCs w:val="20"/>
        </w:rPr>
      </w:pPr>
    </w:p>
    <w:p w:rsidR="002C738B" w:rsidRDefault="002C738B" w:rsidP="00484179">
      <w:pPr>
        <w:rPr>
          <w:rFonts w:ascii="Arial" w:hAnsi="Arial" w:cs="Arial"/>
          <w:sz w:val="20"/>
          <w:szCs w:val="20"/>
        </w:rPr>
      </w:pPr>
    </w:p>
    <w:p w:rsidR="002C738B" w:rsidRPr="00004346" w:rsidRDefault="002C738B" w:rsidP="00484179">
      <w:pPr>
        <w:rPr>
          <w:rFonts w:ascii="Arial" w:hAnsi="Arial" w:cs="Arial"/>
          <w:sz w:val="20"/>
          <w:szCs w:val="20"/>
        </w:rPr>
      </w:pPr>
    </w:p>
    <w:p w:rsidR="00F22134" w:rsidRPr="00004346" w:rsidRDefault="00F22134" w:rsidP="00F22134">
      <w:pPr>
        <w:rPr>
          <w:rFonts w:ascii="Arial" w:hAnsi="Arial" w:cs="Arial"/>
          <w:b/>
          <w:sz w:val="20"/>
          <w:szCs w:val="20"/>
        </w:rPr>
      </w:pPr>
      <w:r w:rsidRPr="00004346">
        <w:rPr>
          <w:rFonts w:ascii="Arial" w:hAnsi="Arial" w:cs="Arial"/>
          <w:b/>
          <w:sz w:val="20"/>
          <w:szCs w:val="20"/>
        </w:rPr>
        <w:lastRenderedPageBreak/>
        <w:t>Frequency reoffending measure</w:t>
      </w:r>
    </w:p>
    <w:p w:rsidR="00F22134" w:rsidRPr="00004346" w:rsidRDefault="00F22134" w:rsidP="00484179">
      <w:pPr>
        <w:rPr>
          <w:rFonts w:ascii="Arial" w:hAnsi="Arial" w:cs="Arial"/>
          <w:sz w:val="20"/>
          <w:szCs w:val="20"/>
        </w:rPr>
      </w:pPr>
      <w:r w:rsidRPr="00004346">
        <w:rPr>
          <w:rFonts w:ascii="Arial" w:hAnsi="Arial" w:cs="Arial"/>
          <w:sz w:val="20"/>
          <w:szCs w:val="20"/>
        </w:rPr>
        <w:t>The annual termination threshold for the frequency measure was calculated as the upper limit of the two sided 99% confidence interval.</w:t>
      </w:r>
    </w:p>
    <w:p w:rsidR="004032D3" w:rsidRPr="00004346" w:rsidRDefault="004032D3" w:rsidP="00F22134">
      <w:pPr>
        <w:rPr>
          <w:rFonts w:ascii="Arial" w:hAnsi="Arial" w:cs="Arial"/>
          <w:i/>
          <w:sz w:val="20"/>
          <w:szCs w:val="20"/>
        </w:rPr>
      </w:pPr>
    </w:p>
    <w:p w:rsidR="004032D3" w:rsidRPr="00004346" w:rsidRDefault="00F22134" w:rsidP="00CC05BD">
      <w:pPr>
        <w:rPr>
          <w:rFonts w:ascii="Arial" w:hAnsi="Arial" w:cs="Arial"/>
          <w:sz w:val="20"/>
          <w:szCs w:val="20"/>
        </w:rPr>
      </w:pPr>
      <w:r w:rsidRPr="00004346">
        <w:rPr>
          <w:rFonts w:ascii="Arial" w:hAnsi="Arial" w:cs="Arial"/>
          <w:i/>
          <w:sz w:val="20"/>
          <w:szCs w:val="20"/>
        </w:rPr>
        <w:t>Note: all confidence intervals were calculated assuming normality of the data.</w:t>
      </w:r>
    </w:p>
    <w:sectPr w:rsidR="004032D3" w:rsidRPr="00004346">
      <w:headerReference w:type="default" r:id="rId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F07" w:rsidRDefault="00D12F07">
      <w:r>
        <w:separator/>
      </w:r>
    </w:p>
  </w:endnote>
  <w:endnote w:type="continuationSeparator" w:id="0">
    <w:p w:rsidR="00D12F07" w:rsidRDefault="00D1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94" w:rsidRDefault="00FE5C94" w:rsidP="00F17E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5C94" w:rsidRDefault="00FE5C94" w:rsidP="004E18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94" w:rsidRDefault="00FE5C94" w:rsidP="00F17E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A8A">
      <w:rPr>
        <w:rStyle w:val="PageNumber"/>
        <w:noProof/>
      </w:rPr>
      <w:t>1</w:t>
    </w:r>
    <w:r>
      <w:rPr>
        <w:rStyle w:val="PageNumber"/>
      </w:rPr>
      <w:fldChar w:fldCharType="end"/>
    </w:r>
  </w:p>
  <w:p w:rsidR="00FE5C94" w:rsidRDefault="00FE5C94" w:rsidP="004E18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F07" w:rsidRDefault="00D12F07">
      <w:r>
        <w:separator/>
      </w:r>
    </w:p>
  </w:footnote>
  <w:footnote w:type="continuationSeparator" w:id="0">
    <w:p w:rsidR="00D12F07" w:rsidRDefault="00D12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94" w:rsidRPr="00B1469D" w:rsidRDefault="00FE5C94" w:rsidP="00EE0293">
    <w:pPr>
      <w:jc w:val="right"/>
      <w:rPr>
        <w:rFonts w:ascii="Arial" w:hAnsi="Arial" w:cs="Arial"/>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F81"/>
    <w:multiLevelType w:val="hybridMultilevel"/>
    <w:tmpl w:val="81F65538"/>
    <w:lvl w:ilvl="0" w:tplc="21B20448">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21B20448">
      <w:numFmt w:val="bullet"/>
      <w:lvlText w:val="-"/>
      <w:lvlJc w:val="left"/>
      <w:pPr>
        <w:tabs>
          <w:tab w:val="num" w:pos="2160"/>
        </w:tabs>
        <w:ind w:left="2160" w:hanging="360"/>
      </w:pPr>
      <w:rPr>
        <w:rFonts w:ascii="Arial" w:eastAsia="Times New Roman" w:hAnsi="Arial" w:cs="Aria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76446"/>
    <w:multiLevelType w:val="hybridMultilevel"/>
    <w:tmpl w:val="2AD8F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7365D"/>
    <w:multiLevelType w:val="hybridMultilevel"/>
    <w:tmpl w:val="834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277AA"/>
    <w:multiLevelType w:val="multilevel"/>
    <w:tmpl w:val="2250E3D8"/>
    <w:lvl w:ilv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hint="default"/>
      </w:rPr>
    </w:lvl>
    <w:lvl w:ilvl="2">
      <w:numFmt w:val="bullet"/>
      <w:lvlText w:val="-"/>
      <w:lvlJc w:val="left"/>
      <w:pPr>
        <w:tabs>
          <w:tab w:val="num" w:pos="2160"/>
        </w:tabs>
        <w:ind w:left="2160" w:hanging="360"/>
      </w:pPr>
      <w:rPr>
        <w:rFonts w:ascii="Arial" w:eastAsia="Times New Roman" w:hAnsi="Arial" w:cs="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03FEC"/>
    <w:multiLevelType w:val="hybridMultilevel"/>
    <w:tmpl w:val="EFD454B0"/>
    <w:lvl w:ilvl="0" w:tplc="21B20448">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B20885"/>
    <w:multiLevelType w:val="hybridMultilevel"/>
    <w:tmpl w:val="23665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041AE"/>
    <w:multiLevelType w:val="hybridMultilevel"/>
    <w:tmpl w:val="4E2C4A2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79409A7"/>
    <w:multiLevelType w:val="hybridMultilevel"/>
    <w:tmpl w:val="DB92FA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707EAA"/>
    <w:multiLevelType w:val="multilevel"/>
    <w:tmpl w:val="EC10EB5C"/>
    <w:lvl w:ilv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hint="default"/>
      </w:rPr>
    </w:lvl>
    <w:lvl w:ilvl="2">
      <w:numFmt w:val="bullet"/>
      <w:lvlText w:val="-"/>
      <w:lvlJc w:val="left"/>
      <w:pPr>
        <w:tabs>
          <w:tab w:val="num" w:pos="2160"/>
        </w:tabs>
        <w:ind w:left="2160" w:hanging="360"/>
      </w:pPr>
      <w:rPr>
        <w:rFonts w:ascii="Arial" w:eastAsia="Times New Roman" w:hAnsi="Arial" w:cs="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D5696A"/>
    <w:multiLevelType w:val="hybridMultilevel"/>
    <w:tmpl w:val="B9686AC2"/>
    <w:lvl w:ilvl="0" w:tplc="21B2044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EF2D12"/>
    <w:multiLevelType w:val="hybridMultilevel"/>
    <w:tmpl w:val="7230FF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D311B1D"/>
    <w:multiLevelType w:val="hybridMultilevel"/>
    <w:tmpl w:val="B85895DA"/>
    <w:lvl w:ilvl="0" w:tplc="21B2044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833900"/>
    <w:multiLevelType w:val="hybridMultilevel"/>
    <w:tmpl w:val="ECE46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8958A4"/>
    <w:multiLevelType w:val="hybridMultilevel"/>
    <w:tmpl w:val="ABAC693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5AE42B19"/>
    <w:multiLevelType w:val="hybridMultilevel"/>
    <w:tmpl w:val="3D380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9E3EE3"/>
    <w:multiLevelType w:val="hybridMultilevel"/>
    <w:tmpl w:val="7E4804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E8B4674"/>
    <w:multiLevelType w:val="multilevel"/>
    <w:tmpl w:val="2642061E"/>
    <w:lvl w:ilv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556A59"/>
    <w:multiLevelType w:val="multilevel"/>
    <w:tmpl w:val="7284BA94"/>
    <w:lvl w:ilv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7E78E9"/>
    <w:multiLevelType w:val="hybridMultilevel"/>
    <w:tmpl w:val="EC10EB5C"/>
    <w:lvl w:ilvl="0" w:tplc="21B20448">
      <w:numFmt w:val="bullet"/>
      <w:lvlText w:val="-"/>
      <w:lvlJc w:val="left"/>
      <w:pPr>
        <w:tabs>
          <w:tab w:val="num" w:pos="720"/>
        </w:tabs>
        <w:ind w:left="720" w:hanging="360"/>
      </w:pPr>
      <w:rPr>
        <w:rFonts w:ascii="Arial" w:eastAsia="Times New Roman" w:hAnsi="Arial" w:cs="Arial" w:hint="default"/>
      </w:rPr>
    </w:lvl>
    <w:lvl w:ilvl="1" w:tplc="0809000F">
      <w:start w:val="1"/>
      <w:numFmt w:val="decimal"/>
      <w:lvlText w:val="%2."/>
      <w:lvlJc w:val="left"/>
      <w:pPr>
        <w:tabs>
          <w:tab w:val="num" w:pos="1440"/>
        </w:tabs>
        <w:ind w:left="1440" w:hanging="360"/>
      </w:pPr>
      <w:rPr>
        <w:rFonts w:hint="default"/>
      </w:rPr>
    </w:lvl>
    <w:lvl w:ilvl="2" w:tplc="21B20448">
      <w:numFmt w:val="bullet"/>
      <w:lvlText w:val="-"/>
      <w:lvlJc w:val="left"/>
      <w:pPr>
        <w:tabs>
          <w:tab w:val="num" w:pos="2160"/>
        </w:tabs>
        <w:ind w:left="2160" w:hanging="360"/>
      </w:pPr>
      <w:rPr>
        <w:rFonts w:ascii="Arial" w:eastAsia="Times New Roman" w:hAnsi="Arial" w:cs="Aria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CA11F7"/>
    <w:multiLevelType w:val="hybridMultilevel"/>
    <w:tmpl w:val="D3F03C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9"/>
  </w:num>
  <w:num w:numId="3">
    <w:abstractNumId w:val="4"/>
  </w:num>
  <w:num w:numId="4">
    <w:abstractNumId w:val="18"/>
  </w:num>
  <w:num w:numId="5">
    <w:abstractNumId w:val="16"/>
  </w:num>
  <w:num w:numId="6">
    <w:abstractNumId w:val="17"/>
  </w:num>
  <w:num w:numId="7">
    <w:abstractNumId w:val="11"/>
  </w:num>
  <w:num w:numId="8">
    <w:abstractNumId w:val="13"/>
  </w:num>
  <w:num w:numId="9">
    <w:abstractNumId w:val="14"/>
  </w:num>
  <w:num w:numId="10">
    <w:abstractNumId w:val="6"/>
  </w:num>
  <w:num w:numId="11">
    <w:abstractNumId w:val="3"/>
  </w:num>
  <w:num w:numId="12">
    <w:abstractNumId w:val="5"/>
  </w:num>
  <w:num w:numId="13">
    <w:abstractNumId w:val="1"/>
  </w:num>
  <w:num w:numId="14">
    <w:abstractNumId w:val="7"/>
  </w:num>
  <w:num w:numId="15">
    <w:abstractNumId w:val="15"/>
  </w:num>
  <w:num w:numId="16">
    <w:abstractNumId w:val="10"/>
  </w:num>
  <w:num w:numId="17">
    <w:abstractNumId w:val="8"/>
  </w:num>
  <w:num w:numId="18">
    <w:abstractNumId w:val="0"/>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8"/>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BA"/>
    <w:rsid w:val="00004346"/>
    <w:rsid w:val="00023F5F"/>
    <w:rsid w:val="00050DDE"/>
    <w:rsid w:val="0005217D"/>
    <w:rsid w:val="00071D53"/>
    <w:rsid w:val="00072D8C"/>
    <w:rsid w:val="000771BE"/>
    <w:rsid w:val="00077316"/>
    <w:rsid w:val="000778CA"/>
    <w:rsid w:val="000809E5"/>
    <w:rsid w:val="00080D4E"/>
    <w:rsid w:val="00093346"/>
    <w:rsid w:val="0009527B"/>
    <w:rsid w:val="000A0B96"/>
    <w:rsid w:val="000A347F"/>
    <w:rsid w:val="000A50D9"/>
    <w:rsid w:val="000B4F77"/>
    <w:rsid w:val="000B776A"/>
    <w:rsid w:val="000C4B19"/>
    <w:rsid w:val="000D015D"/>
    <w:rsid w:val="000D70CF"/>
    <w:rsid w:val="000E1186"/>
    <w:rsid w:val="000F0C37"/>
    <w:rsid w:val="00100764"/>
    <w:rsid w:val="001048C6"/>
    <w:rsid w:val="001077FA"/>
    <w:rsid w:val="001111E2"/>
    <w:rsid w:val="00111E3B"/>
    <w:rsid w:val="00117E99"/>
    <w:rsid w:val="00122BB7"/>
    <w:rsid w:val="00126755"/>
    <w:rsid w:val="001370F5"/>
    <w:rsid w:val="00143FEA"/>
    <w:rsid w:val="00156C2D"/>
    <w:rsid w:val="00157B47"/>
    <w:rsid w:val="001A3CA3"/>
    <w:rsid w:val="001D16B5"/>
    <w:rsid w:val="001D343A"/>
    <w:rsid w:val="001D475C"/>
    <w:rsid w:val="001D58C1"/>
    <w:rsid w:val="001D672A"/>
    <w:rsid w:val="001E1BD4"/>
    <w:rsid w:val="001E69EC"/>
    <w:rsid w:val="001F1544"/>
    <w:rsid w:val="002023EF"/>
    <w:rsid w:val="00203800"/>
    <w:rsid w:val="00233700"/>
    <w:rsid w:val="00237B50"/>
    <w:rsid w:val="002400E3"/>
    <w:rsid w:val="00241476"/>
    <w:rsid w:val="00242335"/>
    <w:rsid w:val="002429D4"/>
    <w:rsid w:val="00243F22"/>
    <w:rsid w:val="002465FB"/>
    <w:rsid w:val="00251C87"/>
    <w:rsid w:val="00255F43"/>
    <w:rsid w:val="00267D7C"/>
    <w:rsid w:val="002950B4"/>
    <w:rsid w:val="00296DE6"/>
    <w:rsid w:val="002A2A32"/>
    <w:rsid w:val="002B4BB5"/>
    <w:rsid w:val="002C2A99"/>
    <w:rsid w:val="002C4C92"/>
    <w:rsid w:val="002C56B1"/>
    <w:rsid w:val="002C738B"/>
    <w:rsid w:val="002D3F94"/>
    <w:rsid w:val="002D5B88"/>
    <w:rsid w:val="002D6745"/>
    <w:rsid w:val="002F1670"/>
    <w:rsid w:val="002F2DFA"/>
    <w:rsid w:val="002F3AAF"/>
    <w:rsid w:val="002F5217"/>
    <w:rsid w:val="002F6CA1"/>
    <w:rsid w:val="0030044A"/>
    <w:rsid w:val="00300F43"/>
    <w:rsid w:val="00327227"/>
    <w:rsid w:val="00330CF7"/>
    <w:rsid w:val="00331510"/>
    <w:rsid w:val="0033295E"/>
    <w:rsid w:val="00336AE3"/>
    <w:rsid w:val="00344702"/>
    <w:rsid w:val="003556EF"/>
    <w:rsid w:val="00355BD8"/>
    <w:rsid w:val="0035673C"/>
    <w:rsid w:val="003647FF"/>
    <w:rsid w:val="00365E1B"/>
    <w:rsid w:val="00367AD2"/>
    <w:rsid w:val="003814F9"/>
    <w:rsid w:val="00394AA5"/>
    <w:rsid w:val="00397036"/>
    <w:rsid w:val="003A1167"/>
    <w:rsid w:val="003A68C7"/>
    <w:rsid w:val="003C1642"/>
    <w:rsid w:val="003C3965"/>
    <w:rsid w:val="003C3F12"/>
    <w:rsid w:val="003C6F6F"/>
    <w:rsid w:val="003D3F72"/>
    <w:rsid w:val="003D5C41"/>
    <w:rsid w:val="003E1E79"/>
    <w:rsid w:val="003E23E5"/>
    <w:rsid w:val="003F5FEC"/>
    <w:rsid w:val="004032D3"/>
    <w:rsid w:val="004108C2"/>
    <w:rsid w:val="00420723"/>
    <w:rsid w:val="0042091D"/>
    <w:rsid w:val="00426559"/>
    <w:rsid w:val="0042736F"/>
    <w:rsid w:val="00430750"/>
    <w:rsid w:val="004363B0"/>
    <w:rsid w:val="0044190C"/>
    <w:rsid w:val="0044260B"/>
    <w:rsid w:val="00457874"/>
    <w:rsid w:val="00474EA1"/>
    <w:rsid w:val="00481905"/>
    <w:rsid w:val="00484179"/>
    <w:rsid w:val="004A19E3"/>
    <w:rsid w:val="004B16C7"/>
    <w:rsid w:val="004C59C3"/>
    <w:rsid w:val="004C65E6"/>
    <w:rsid w:val="004C712F"/>
    <w:rsid w:val="004E187A"/>
    <w:rsid w:val="004E2DA7"/>
    <w:rsid w:val="004F2EBE"/>
    <w:rsid w:val="004F4CAB"/>
    <w:rsid w:val="00502502"/>
    <w:rsid w:val="00511D09"/>
    <w:rsid w:val="00514814"/>
    <w:rsid w:val="00520DA7"/>
    <w:rsid w:val="005215FA"/>
    <w:rsid w:val="00536E2D"/>
    <w:rsid w:val="005517B2"/>
    <w:rsid w:val="0056080E"/>
    <w:rsid w:val="00573B4A"/>
    <w:rsid w:val="00574F84"/>
    <w:rsid w:val="00577F97"/>
    <w:rsid w:val="00583F09"/>
    <w:rsid w:val="00585ABF"/>
    <w:rsid w:val="005913D9"/>
    <w:rsid w:val="00592197"/>
    <w:rsid w:val="005A1096"/>
    <w:rsid w:val="005A2A09"/>
    <w:rsid w:val="005A2B9D"/>
    <w:rsid w:val="005B0588"/>
    <w:rsid w:val="005B1DA0"/>
    <w:rsid w:val="005B480A"/>
    <w:rsid w:val="005B78F8"/>
    <w:rsid w:val="005E4C5C"/>
    <w:rsid w:val="005E652F"/>
    <w:rsid w:val="00601675"/>
    <w:rsid w:val="00612410"/>
    <w:rsid w:val="00616A14"/>
    <w:rsid w:val="00631AF5"/>
    <w:rsid w:val="0063776D"/>
    <w:rsid w:val="0065020B"/>
    <w:rsid w:val="00654767"/>
    <w:rsid w:val="0065661E"/>
    <w:rsid w:val="00662DB1"/>
    <w:rsid w:val="00673231"/>
    <w:rsid w:val="00684B24"/>
    <w:rsid w:val="00684D18"/>
    <w:rsid w:val="00692EEB"/>
    <w:rsid w:val="00695410"/>
    <w:rsid w:val="006A31A9"/>
    <w:rsid w:val="006A6EB1"/>
    <w:rsid w:val="006B4512"/>
    <w:rsid w:val="006D52B3"/>
    <w:rsid w:val="006E09C5"/>
    <w:rsid w:val="006E1ED8"/>
    <w:rsid w:val="0070305A"/>
    <w:rsid w:val="007055D9"/>
    <w:rsid w:val="00707797"/>
    <w:rsid w:val="00710084"/>
    <w:rsid w:val="00711F65"/>
    <w:rsid w:val="00721173"/>
    <w:rsid w:val="007268E2"/>
    <w:rsid w:val="00726B5C"/>
    <w:rsid w:val="0074361C"/>
    <w:rsid w:val="00743A77"/>
    <w:rsid w:val="007533EE"/>
    <w:rsid w:val="00784416"/>
    <w:rsid w:val="00785525"/>
    <w:rsid w:val="007A28B0"/>
    <w:rsid w:val="007B1841"/>
    <w:rsid w:val="007C084C"/>
    <w:rsid w:val="007F56CC"/>
    <w:rsid w:val="008112B6"/>
    <w:rsid w:val="008127BA"/>
    <w:rsid w:val="0081394E"/>
    <w:rsid w:val="00817452"/>
    <w:rsid w:val="00820241"/>
    <w:rsid w:val="00825F23"/>
    <w:rsid w:val="00826996"/>
    <w:rsid w:val="00841877"/>
    <w:rsid w:val="008422A4"/>
    <w:rsid w:val="00857DF8"/>
    <w:rsid w:val="00863563"/>
    <w:rsid w:val="008668AE"/>
    <w:rsid w:val="00867B84"/>
    <w:rsid w:val="00872FB3"/>
    <w:rsid w:val="00896BDC"/>
    <w:rsid w:val="008A06EE"/>
    <w:rsid w:val="008A0982"/>
    <w:rsid w:val="008A361B"/>
    <w:rsid w:val="008A5771"/>
    <w:rsid w:val="008A5D81"/>
    <w:rsid w:val="008B39BE"/>
    <w:rsid w:val="008C24C5"/>
    <w:rsid w:val="008C7EDC"/>
    <w:rsid w:val="008D5591"/>
    <w:rsid w:val="008E0CB5"/>
    <w:rsid w:val="008E6D79"/>
    <w:rsid w:val="008E7A91"/>
    <w:rsid w:val="008F7012"/>
    <w:rsid w:val="00911331"/>
    <w:rsid w:val="00923EFB"/>
    <w:rsid w:val="0093325E"/>
    <w:rsid w:val="00936D97"/>
    <w:rsid w:val="00976616"/>
    <w:rsid w:val="0099133C"/>
    <w:rsid w:val="0099281B"/>
    <w:rsid w:val="009A2A8F"/>
    <w:rsid w:val="009B033C"/>
    <w:rsid w:val="009B0784"/>
    <w:rsid w:val="009B4DA0"/>
    <w:rsid w:val="009C06F5"/>
    <w:rsid w:val="009C6927"/>
    <w:rsid w:val="009D7DCB"/>
    <w:rsid w:val="009E0541"/>
    <w:rsid w:val="009E2DD6"/>
    <w:rsid w:val="009E3EF2"/>
    <w:rsid w:val="009E4AB1"/>
    <w:rsid w:val="009F5221"/>
    <w:rsid w:val="00A10BBC"/>
    <w:rsid w:val="00A33990"/>
    <w:rsid w:val="00A36206"/>
    <w:rsid w:val="00A50B66"/>
    <w:rsid w:val="00A517F5"/>
    <w:rsid w:val="00A6535D"/>
    <w:rsid w:val="00A7288B"/>
    <w:rsid w:val="00A82248"/>
    <w:rsid w:val="00A82F6D"/>
    <w:rsid w:val="00A903E4"/>
    <w:rsid w:val="00A9293E"/>
    <w:rsid w:val="00A9449E"/>
    <w:rsid w:val="00AA4863"/>
    <w:rsid w:val="00AB1386"/>
    <w:rsid w:val="00AB2802"/>
    <w:rsid w:val="00AB6B58"/>
    <w:rsid w:val="00AB7D8D"/>
    <w:rsid w:val="00AC38E0"/>
    <w:rsid w:val="00AD4DE9"/>
    <w:rsid w:val="00AE3C8B"/>
    <w:rsid w:val="00AE3D7E"/>
    <w:rsid w:val="00AE42B4"/>
    <w:rsid w:val="00AE46BF"/>
    <w:rsid w:val="00AE56C4"/>
    <w:rsid w:val="00AE7BFF"/>
    <w:rsid w:val="00AF4B39"/>
    <w:rsid w:val="00AF4C2C"/>
    <w:rsid w:val="00B10342"/>
    <w:rsid w:val="00B1469D"/>
    <w:rsid w:val="00B14E2F"/>
    <w:rsid w:val="00B15C62"/>
    <w:rsid w:val="00B340D5"/>
    <w:rsid w:val="00B50F4F"/>
    <w:rsid w:val="00B54A2D"/>
    <w:rsid w:val="00B55D1E"/>
    <w:rsid w:val="00B57FD1"/>
    <w:rsid w:val="00B61F0A"/>
    <w:rsid w:val="00B63C3B"/>
    <w:rsid w:val="00B66404"/>
    <w:rsid w:val="00B90EBE"/>
    <w:rsid w:val="00B9138F"/>
    <w:rsid w:val="00BA1B18"/>
    <w:rsid w:val="00BA32BE"/>
    <w:rsid w:val="00BB239C"/>
    <w:rsid w:val="00BB3BD0"/>
    <w:rsid w:val="00BB4BD9"/>
    <w:rsid w:val="00BD31C6"/>
    <w:rsid w:val="00BE63D6"/>
    <w:rsid w:val="00BE6799"/>
    <w:rsid w:val="00C01550"/>
    <w:rsid w:val="00C02F28"/>
    <w:rsid w:val="00C03F73"/>
    <w:rsid w:val="00C113BA"/>
    <w:rsid w:val="00C14337"/>
    <w:rsid w:val="00C26AAF"/>
    <w:rsid w:val="00C27B9C"/>
    <w:rsid w:val="00C36155"/>
    <w:rsid w:val="00C424C3"/>
    <w:rsid w:val="00C4569E"/>
    <w:rsid w:val="00C5763E"/>
    <w:rsid w:val="00C6334F"/>
    <w:rsid w:val="00C76164"/>
    <w:rsid w:val="00C76619"/>
    <w:rsid w:val="00C84DC8"/>
    <w:rsid w:val="00C9093F"/>
    <w:rsid w:val="00C9357C"/>
    <w:rsid w:val="00CA00F7"/>
    <w:rsid w:val="00CA5079"/>
    <w:rsid w:val="00CB1904"/>
    <w:rsid w:val="00CC05BD"/>
    <w:rsid w:val="00CD19D6"/>
    <w:rsid w:val="00CD2EB0"/>
    <w:rsid w:val="00CD7D54"/>
    <w:rsid w:val="00CE2AF8"/>
    <w:rsid w:val="00CE2B55"/>
    <w:rsid w:val="00CF2C8C"/>
    <w:rsid w:val="00D12F07"/>
    <w:rsid w:val="00D12F4F"/>
    <w:rsid w:val="00D21012"/>
    <w:rsid w:val="00D236CF"/>
    <w:rsid w:val="00D2628A"/>
    <w:rsid w:val="00D27B42"/>
    <w:rsid w:val="00D36149"/>
    <w:rsid w:val="00D36DC5"/>
    <w:rsid w:val="00D4134C"/>
    <w:rsid w:val="00D43557"/>
    <w:rsid w:val="00D50A4D"/>
    <w:rsid w:val="00D51BC3"/>
    <w:rsid w:val="00D65293"/>
    <w:rsid w:val="00D721C9"/>
    <w:rsid w:val="00D72A52"/>
    <w:rsid w:val="00D73927"/>
    <w:rsid w:val="00D76360"/>
    <w:rsid w:val="00D81458"/>
    <w:rsid w:val="00DA50FB"/>
    <w:rsid w:val="00DA57B2"/>
    <w:rsid w:val="00DA6A0D"/>
    <w:rsid w:val="00DB17C5"/>
    <w:rsid w:val="00DB1F15"/>
    <w:rsid w:val="00DB34ED"/>
    <w:rsid w:val="00DB7F89"/>
    <w:rsid w:val="00DD2252"/>
    <w:rsid w:val="00DF51A0"/>
    <w:rsid w:val="00DF6E4D"/>
    <w:rsid w:val="00DF7AEB"/>
    <w:rsid w:val="00E06A20"/>
    <w:rsid w:val="00E15820"/>
    <w:rsid w:val="00E3022D"/>
    <w:rsid w:val="00E36A8A"/>
    <w:rsid w:val="00E40A76"/>
    <w:rsid w:val="00E45EF8"/>
    <w:rsid w:val="00E51A5C"/>
    <w:rsid w:val="00E527A4"/>
    <w:rsid w:val="00E6227D"/>
    <w:rsid w:val="00E867EB"/>
    <w:rsid w:val="00E9314C"/>
    <w:rsid w:val="00E96C04"/>
    <w:rsid w:val="00EA0A7B"/>
    <w:rsid w:val="00EA26F7"/>
    <w:rsid w:val="00EA49A6"/>
    <w:rsid w:val="00EA7D36"/>
    <w:rsid w:val="00EB34E0"/>
    <w:rsid w:val="00EB3D64"/>
    <w:rsid w:val="00EB5A5A"/>
    <w:rsid w:val="00EB7860"/>
    <w:rsid w:val="00EC0C52"/>
    <w:rsid w:val="00EC6481"/>
    <w:rsid w:val="00ED6FB2"/>
    <w:rsid w:val="00EE0293"/>
    <w:rsid w:val="00EE70B3"/>
    <w:rsid w:val="00EF17B5"/>
    <w:rsid w:val="00F10F4F"/>
    <w:rsid w:val="00F136BF"/>
    <w:rsid w:val="00F1741B"/>
    <w:rsid w:val="00F17E9D"/>
    <w:rsid w:val="00F22134"/>
    <w:rsid w:val="00F334B6"/>
    <w:rsid w:val="00F34962"/>
    <w:rsid w:val="00F36FF6"/>
    <w:rsid w:val="00F44322"/>
    <w:rsid w:val="00F560BB"/>
    <w:rsid w:val="00F63B23"/>
    <w:rsid w:val="00F70810"/>
    <w:rsid w:val="00F81C18"/>
    <w:rsid w:val="00F82016"/>
    <w:rsid w:val="00F8615F"/>
    <w:rsid w:val="00F90E7B"/>
    <w:rsid w:val="00F934D3"/>
    <w:rsid w:val="00FA1445"/>
    <w:rsid w:val="00FA63C9"/>
    <w:rsid w:val="00FB0D3B"/>
    <w:rsid w:val="00FB2A4D"/>
    <w:rsid w:val="00FC01D8"/>
    <w:rsid w:val="00FC6930"/>
    <w:rsid w:val="00FE5C94"/>
    <w:rsid w:val="00FF5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113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113B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2">
    <w:name w:val="Style2"/>
    <w:basedOn w:val="Normal"/>
    <w:rsid w:val="00DF51A0"/>
    <w:rPr>
      <w:rFonts w:ascii="Arial" w:hAnsi="Arial" w:cs="Arial"/>
      <w:b/>
      <w:bCs/>
      <w:szCs w:val="26"/>
    </w:rPr>
  </w:style>
  <w:style w:type="paragraph" w:customStyle="1" w:styleId="Style3">
    <w:name w:val="Style3"/>
    <w:basedOn w:val="FootnoteText"/>
    <w:rsid w:val="00D50A4D"/>
    <w:rPr>
      <w:rFonts w:ascii="Arial" w:eastAsia="ヒラギノ角ゴ Pro W3" w:hAnsi="Arial" w:cs="Arial"/>
      <w:color w:val="000000"/>
      <w:lang w:eastAsia="en-US"/>
    </w:rPr>
  </w:style>
  <w:style w:type="paragraph" w:styleId="FootnoteText">
    <w:name w:val="footnote text"/>
    <w:basedOn w:val="Normal"/>
    <w:semiHidden/>
    <w:rsid w:val="00D50A4D"/>
    <w:rPr>
      <w:sz w:val="20"/>
      <w:szCs w:val="20"/>
    </w:rPr>
  </w:style>
  <w:style w:type="character" w:customStyle="1" w:styleId="Heading3Char">
    <w:name w:val="Heading 3 Char"/>
    <w:link w:val="Heading3"/>
    <w:rsid w:val="00C113BA"/>
    <w:rPr>
      <w:rFonts w:ascii="Arial" w:hAnsi="Arial" w:cs="Arial"/>
      <w:b/>
      <w:bCs/>
      <w:sz w:val="26"/>
      <w:szCs w:val="26"/>
      <w:lang w:val="en-GB" w:eastAsia="en-GB" w:bidi="ar-SA"/>
    </w:rPr>
  </w:style>
  <w:style w:type="paragraph" w:styleId="Footer">
    <w:name w:val="footer"/>
    <w:basedOn w:val="Normal"/>
    <w:rsid w:val="004E187A"/>
    <w:pPr>
      <w:tabs>
        <w:tab w:val="center" w:pos="4153"/>
        <w:tab w:val="right" w:pos="8306"/>
      </w:tabs>
    </w:pPr>
  </w:style>
  <w:style w:type="character" w:styleId="PageNumber">
    <w:name w:val="page number"/>
    <w:basedOn w:val="DefaultParagraphFont"/>
    <w:rsid w:val="004E187A"/>
  </w:style>
  <w:style w:type="character" w:styleId="CommentReference">
    <w:name w:val="annotation reference"/>
    <w:semiHidden/>
    <w:rsid w:val="00DD2252"/>
    <w:rPr>
      <w:sz w:val="16"/>
      <w:szCs w:val="16"/>
    </w:rPr>
  </w:style>
  <w:style w:type="paragraph" w:styleId="CommentText">
    <w:name w:val="annotation text"/>
    <w:basedOn w:val="Normal"/>
    <w:semiHidden/>
    <w:rsid w:val="00DD2252"/>
    <w:rPr>
      <w:sz w:val="20"/>
      <w:szCs w:val="20"/>
    </w:rPr>
  </w:style>
  <w:style w:type="paragraph" w:styleId="CommentSubject">
    <w:name w:val="annotation subject"/>
    <w:basedOn w:val="CommentText"/>
    <w:next w:val="CommentText"/>
    <w:semiHidden/>
    <w:rsid w:val="00DD2252"/>
    <w:rPr>
      <w:b/>
      <w:bCs/>
    </w:rPr>
  </w:style>
  <w:style w:type="paragraph" w:styleId="BalloonText">
    <w:name w:val="Balloon Text"/>
    <w:basedOn w:val="Normal"/>
    <w:semiHidden/>
    <w:rsid w:val="00DD2252"/>
    <w:rPr>
      <w:rFonts w:ascii="Tahoma" w:hAnsi="Tahoma" w:cs="Tahoma"/>
      <w:sz w:val="16"/>
      <w:szCs w:val="16"/>
    </w:rPr>
  </w:style>
  <w:style w:type="table" w:styleId="TableGrid">
    <w:name w:val="Table Grid"/>
    <w:basedOn w:val="TableNormal"/>
    <w:rsid w:val="00397036"/>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0293"/>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39320">
      <w:bodyDiv w:val="1"/>
      <w:marLeft w:val="0"/>
      <w:marRight w:val="0"/>
      <w:marTop w:val="0"/>
      <w:marBottom w:val="0"/>
      <w:divBdr>
        <w:top w:val="none" w:sz="0" w:space="0" w:color="auto"/>
        <w:left w:val="none" w:sz="0" w:space="0" w:color="auto"/>
        <w:bottom w:val="none" w:sz="0" w:space="0" w:color="auto"/>
        <w:right w:val="none" w:sz="0" w:space="0" w:color="auto"/>
      </w:divBdr>
      <w:divsChild>
        <w:div w:id="38286347">
          <w:marLeft w:val="0"/>
          <w:marRight w:val="0"/>
          <w:marTop w:val="0"/>
          <w:marBottom w:val="0"/>
          <w:divBdr>
            <w:top w:val="none" w:sz="0" w:space="0" w:color="auto"/>
            <w:left w:val="none" w:sz="0" w:space="0" w:color="auto"/>
            <w:bottom w:val="none" w:sz="0" w:space="0" w:color="auto"/>
            <w:right w:val="none" w:sz="0" w:space="0" w:color="auto"/>
          </w:divBdr>
        </w:div>
        <w:div w:id="485364687">
          <w:marLeft w:val="0"/>
          <w:marRight w:val="0"/>
          <w:marTop w:val="0"/>
          <w:marBottom w:val="0"/>
          <w:divBdr>
            <w:top w:val="none" w:sz="0" w:space="0" w:color="auto"/>
            <w:left w:val="none" w:sz="0" w:space="0" w:color="auto"/>
            <w:bottom w:val="none" w:sz="0" w:space="0" w:color="auto"/>
            <w:right w:val="none" w:sz="0" w:space="0" w:color="auto"/>
          </w:divBdr>
        </w:div>
        <w:div w:id="1804423125">
          <w:marLeft w:val="0"/>
          <w:marRight w:val="0"/>
          <w:marTop w:val="0"/>
          <w:marBottom w:val="0"/>
          <w:divBdr>
            <w:top w:val="none" w:sz="0" w:space="0" w:color="auto"/>
            <w:left w:val="none" w:sz="0" w:space="0" w:color="auto"/>
            <w:bottom w:val="none" w:sz="0" w:space="0" w:color="auto"/>
            <w:right w:val="none" w:sz="0" w:space="0" w:color="auto"/>
          </w:divBdr>
        </w:div>
      </w:divsChild>
    </w:div>
    <w:div w:id="2079744146">
      <w:bodyDiv w:val="1"/>
      <w:marLeft w:val="0"/>
      <w:marRight w:val="0"/>
      <w:marTop w:val="0"/>
      <w:marBottom w:val="0"/>
      <w:divBdr>
        <w:top w:val="none" w:sz="0" w:space="0" w:color="auto"/>
        <w:left w:val="none" w:sz="0" w:space="0" w:color="auto"/>
        <w:bottom w:val="none" w:sz="0" w:space="0" w:color="auto"/>
        <w:right w:val="none" w:sz="0" w:space="0" w:color="auto"/>
      </w:divBdr>
      <w:divsChild>
        <w:div w:id="408112964">
          <w:blockQuote w:val="1"/>
          <w:marLeft w:val="68"/>
          <w:marRight w:val="0"/>
          <w:marTop w:val="100"/>
          <w:marBottom w:val="100"/>
          <w:divBdr>
            <w:top w:val="none" w:sz="0" w:space="0" w:color="auto"/>
            <w:left w:val="single" w:sz="12" w:space="3" w:color="000080"/>
            <w:bottom w:val="none" w:sz="0" w:space="0" w:color="auto"/>
            <w:right w:val="none" w:sz="0" w:space="0" w:color="auto"/>
          </w:divBdr>
          <w:divsChild>
            <w:div w:id="9051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1694</Words>
  <Characters>9661</Characters>
  <Application>Microsoft Office Word</Application>
  <DocSecurity>2</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2014-05-08T14:23:00Z</cp:lastPrinted>
  <dcterms:created xsi:type="dcterms:W3CDTF">2016-10-26T10:36:00Z</dcterms:created>
  <dcterms:modified xsi:type="dcterms:W3CDTF">2016-10-26T10:36:00Z</dcterms:modified>
</cp:coreProperties>
</file>