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74FFB2" w14:textId="77777777" w:rsidR="0003254F" w:rsidRPr="00C556BB" w:rsidRDefault="00C8690F" w:rsidP="00C556BB">
      <w:pPr>
        <w:rPr>
          <w:b/>
          <w:sz w:val="28"/>
          <w:szCs w:val="28"/>
        </w:rPr>
      </w:pPr>
      <w:r w:rsidRPr="00C556BB">
        <w:rPr>
          <w:b/>
          <w:sz w:val="28"/>
          <w:szCs w:val="28"/>
        </w:rPr>
        <w:t>SPOLIATION ADVISORY PANEL</w:t>
      </w:r>
    </w:p>
    <w:p w14:paraId="7A822DB2" w14:textId="77777777" w:rsidR="0003254F" w:rsidRPr="00C556BB" w:rsidRDefault="0003254F" w:rsidP="00C556BB">
      <w:pPr>
        <w:spacing w:line="240" w:lineRule="auto"/>
        <w:rPr>
          <w:sz w:val="24"/>
          <w:szCs w:val="24"/>
        </w:rPr>
      </w:pPr>
    </w:p>
    <w:p w14:paraId="5E8F49B4" w14:textId="77777777" w:rsidR="003679D4" w:rsidRDefault="003679D4" w:rsidP="00C556BB">
      <w:pPr>
        <w:spacing w:line="240" w:lineRule="auto"/>
        <w:rPr>
          <w:sz w:val="24"/>
          <w:szCs w:val="24"/>
        </w:rPr>
      </w:pPr>
    </w:p>
    <w:p w14:paraId="6F20044A" w14:textId="77777777" w:rsidR="0003254F" w:rsidRPr="00C556BB" w:rsidRDefault="00C8690F" w:rsidP="00C556BB">
      <w:pPr>
        <w:spacing w:line="240" w:lineRule="auto"/>
        <w:rPr>
          <w:sz w:val="24"/>
          <w:szCs w:val="24"/>
        </w:rPr>
      </w:pPr>
      <w:r w:rsidRPr="00C556BB">
        <w:rPr>
          <w:sz w:val="24"/>
          <w:szCs w:val="24"/>
        </w:rPr>
        <w:t>Guidance note</w:t>
      </w:r>
      <w:r w:rsidR="00D04A8D" w:rsidRPr="00C556BB">
        <w:rPr>
          <w:sz w:val="24"/>
          <w:szCs w:val="24"/>
        </w:rPr>
        <w:t>s</w:t>
      </w:r>
      <w:r w:rsidRPr="00C556BB">
        <w:rPr>
          <w:sz w:val="24"/>
          <w:szCs w:val="24"/>
        </w:rPr>
        <w:t xml:space="preserve"> for the parties on providing information relating to a claim</w:t>
      </w:r>
    </w:p>
    <w:p w14:paraId="6391E498" w14:textId="77777777" w:rsidR="00CC1AE4" w:rsidRDefault="00CC1AE4" w:rsidP="00C556BB">
      <w:pPr>
        <w:spacing w:line="240" w:lineRule="auto"/>
        <w:rPr>
          <w:sz w:val="24"/>
          <w:szCs w:val="24"/>
        </w:rPr>
      </w:pPr>
    </w:p>
    <w:p w14:paraId="616F795C" w14:textId="77777777" w:rsidR="003679D4" w:rsidRPr="00C556BB" w:rsidRDefault="003679D4" w:rsidP="00C556BB">
      <w:pPr>
        <w:spacing w:line="240" w:lineRule="auto"/>
        <w:rPr>
          <w:sz w:val="24"/>
          <w:szCs w:val="24"/>
        </w:rPr>
      </w:pPr>
    </w:p>
    <w:p w14:paraId="2042CA7D" w14:textId="0DA138B6" w:rsidR="0003254F" w:rsidRPr="00BA4AB6" w:rsidRDefault="00C8690F" w:rsidP="00BA4AB6">
      <w:pPr>
        <w:pStyle w:val="ListParagraph"/>
        <w:numPr>
          <w:ilvl w:val="0"/>
          <w:numId w:val="4"/>
        </w:numPr>
        <w:spacing w:line="240" w:lineRule="auto"/>
        <w:rPr>
          <w:sz w:val="24"/>
          <w:szCs w:val="24"/>
        </w:rPr>
      </w:pPr>
      <w:r w:rsidRPr="00BA4AB6">
        <w:rPr>
          <w:sz w:val="24"/>
          <w:szCs w:val="24"/>
        </w:rPr>
        <w:t>The</w:t>
      </w:r>
      <w:r w:rsidR="00D04A8D" w:rsidRPr="00BA4AB6">
        <w:rPr>
          <w:sz w:val="24"/>
          <w:szCs w:val="24"/>
        </w:rPr>
        <w:t xml:space="preserve"> Secretary of State may designate a</w:t>
      </w:r>
      <w:r w:rsidRPr="00BA4AB6">
        <w:rPr>
          <w:sz w:val="24"/>
          <w:szCs w:val="24"/>
        </w:rPr>
        <w:t xml:space="preserve"> Spoliation Advisory Panel (“the Panel”) </w:t>
      </w:r>
      <w:r w:rsidR="00D04A8D" w:rsidRPr="00BA4AB6">
        <w:rPr>
          <w:sz w:val="24"/>
          <w:szCs w:val="24"/>
        </w:rPr>
        <w:t xml:space="preserve">to </w:t>
      </w:r>
      <w:r w:rsidRPr="00BA4AB6">
        <w:rPr>
          <w:sz w:val="24"/>
          <w:szCs w:val="24"/>
        </w:rPr>
        <w:t xml:space="preserve">consider claims from anyone (or from any one or more of their heirs) who lost possession of a cultural object during the Nazi era (1933-1945), where such an object is (a) now in the possession of a UK national collection, or (b) in the possession of another UK museum or gallery established for the public benefit.  </w:t>
      </w:r>
      <w:r w:rsidR="00D04A8D" w:rsidRPr="00BA4AB6">
        <w:rPr>
          <w:sz w:val="24"/>
          <w:szCs w:val="24"/>
        </w:rPr>
        <w:t>A</w:t>
      </w:r>
      <w:r w:rsidRPr="00BA4AB6">
        <w:rPr>
          <w:sz w:val="24"/>
          <w:szCs w:val="24"/>
        </w:rPr>
        <w:t xml:space="preserve"> Panel </w:t>
      </w:r>
      <w:r w:rsidR="00D04A8D" w:rsidRPr="00BA4AB6">
        <w:rPr>
          <w:sz w:val="24"/>
          <w:szCs w:val="24"/>
        </w:rPr>
        <w:t>may also be designated</w:t>
      </w:r>
      <w:r w:rsidRPr="00BA4AB6">
        <w:rPr>
          <w:sz w:val="24"/>
          <w:szCs w:val="24"/>
        </w:rPr>
        <w:t xml:space="preserve"> to </w:t>
      </w:r>
      <w:proofErr w:type="gramStart"/>
      <w:r w:rsidRPr="00BA4AB6">
        <w:rPr>
          <w:sz w:val="24"/>
          <w:szCs w:val="24"/>
        </w:rPr>
        <w:t>advise</w:t>
      </w:r>
      <w:proofErr w:type="gramEnd"/>
      <w:r w:rsidRPr="00BA4AB6">
        <w:rPr>
          <w:sz w:val="24"/>
          <w:szCs w:val="24"/>
        </w:rPr>
        <w:t xml:space="preserve"> about any claim for an item in a private collection at the joint request of the claimant and the owner.</w:t>
      </w:r>
    </w:p>
    <w:p w14:paraId="3D5EED6F" w14:textId="77777777" w:rsidR="00C8690F" w:rsidRPr="00C556BB" w:rsidRDefault="00C8690F" w:rsidP="00C556BB">
      <w:pPr>
        <w:spacing w:line="240" w:lineRule="auto"/>
        <w:rPr>
          <w:sz w:val="24"/>
          <w:szCs w:val="24"/>
        </w:rPr>
      </w:pPr>
    </w:p>
    <w:p w14:paraId="7DC794DC" w14:textId="7D094441" w:rsidR="0003254F" w:rsidRPr="00BA4AB6" w:rsidRDefault="00C8690F" w:rsidP="00BA4AB6">
      <w:pPr>
        <w:pStyle w:val="ListParagraph"/>
        <w:numPr>
          <w:ilvl w:val="0"/>
          <w:numId w:val="4"/>
        </w:numPr>
        <w:spacing w:line="240" w:lineRule="auto"/>
        <w:rPr>
          <w:sz w:val="24"/>
          <w:szCs w:val="24"/>
        </w:rPr>
      </w:pPr>
      <w:bookmarkStart w:id="0" w:name="h.amxp0tpelu78" w:colFirst="0" w:colLast="0"/>
      <w:bookmarkEnd w:id="0"/>
      <w:r w:rsidRPr="00BA4AB6">
        <w:rPr>
          <w:sz w:val="24"/>
          <w:szCs w:val="24"/>
        </w:rPr>
        <w:t>On receipt of a claim, the Secretary of State will decide, on the basis of the above, whether to designate a Panel to consider the claim</w:t>
      </w:r>
      <w:r w:rsidR="003E7E44" w:rsidRPr="00BA4AB6">
        <w:rPr>
          <w:sz w:val="24"/>
          <w:szCs w:val="24"/>
        </w:rPr>
        <w:t>, whether</w:t>
      </w:r>
      <w:r w:rsidRPr="00BA4AB6">
        <w:rPr>
          <w:sz w:val="24"/>
          <w:szCs w:val="24"/>
        </w:rPr>
        <w:t xml:space="preserve"> </w:t>
      </w:r>
      <w:r w:rsidR="003E7E44" w:rsidRPr="00BA4AB6">
        <w:rPr>
          <w:sz w:val="24"/>
          <w:szCs w:val="24"/>
        </w:rPr>
        <w:t>for the purposes</w:t>
      </w:r>
      <w:r w:rsidRPr="00BA4AB6">
        <w:rPr>
          <w:sz w:val="24"/>
          <w:szCs w:val="24"/>
        </w:rPr>
        <w:t xml:space="preserve"> of the Holocaust (Return of Cultural Objects) Act 2009 (the Act)</w:t>
      </w:r>
      <w:r w:rsidR="003E7E44" w:rsidRPr="00BA4AB6">
        <w:rPr>
          <w:sz w:val="24"/>
          <w:szCs w:val="24"/>
        </w:rPr>
        <w:t xml:space="preserve"> or otherwise</w:t>
      </w:r>
      <w:r w:rsidRPr="00BA4AB6">
        <w:rPr>
          <w:sz w:val="24"/>
          <w:szCs w:val="24"/>
        </w:rPr>
        <w:t>.</w:t>
      </w:r>
    </w:p>
    <w:p w14:paraId="6CA6BE72" w14:textId="77777777" w:rsidR="00C8690F" w:rsidRPr="00C556BB" w:rsidRDefault="00C8690F" w:rsidP="00C556BB">
      <w:pPr>
        <w:spacing w:line="240" w:lineRule="auto"/>
        <w:rPr>
          <w:sz w:val="24"/>
          <w:szCs w:val="24"/>
        </w:rPr>
      </w:pPr>
    </w:p>
    <w:p w14:paraId="53E50570" w14:textId="77777777" w:rsidR="00545765" w:rsidRPr="00BA4AB6" w:rsidRDefault="00C8690F" w:rsidP="00BA4AB6">
      <w:pPr>
        <w:pStyle w:val="ListParagraph"/>
        <w:numPr>
          <w:ilvl w:val="0"/>
          <w:numId w:val="4"/>
        </w:numPr>
        <w:spacing w:line="240" w:lineRule="auto"/>
        <w:rPr>
          <w:sz w:val="24"/>
          <w:szCs w:val="24"/>
        </w:rPr>
      </w:pPr>
      <w:bookmarkStart w:id="1" w:name="h.solyuybyk6kk" w:colFirst="0" w:colLast="0"/>
      <w:bookmarkEnd w:id="1"/>
      <w:r w:rsidRPr="00BA4AB6">
        <w:rPr>
          <w:sz w:val="24"/>
          <w:szCs w:val="24"/>
        </w:rPr>
        <w:t>To enable the Secretary of State to do so and for the Panel to begin work on assessing a claim, the parties should provide the Panel with sufficient information regarding the object, its present location and the circumstances in which it was lost, amongst other things.  These guidance notes have been prepared in order to assist the parties in formulating their case for the Panel's consideration and to enable the Panel to process the claim expeditiously.</w:t>
      </w:r>
    </w:p>
    <w:p w14:paraId="140E746E" w14:textId="77777777" w:rsidR="00545765" w:rsidRPr="00C556BB" w:rsidRDefault="00545765" w:rsidP="00C556BB">
      <w:pPr>
        <w:spacing w:line="240" w:lineRule="auto"/>
        <w:rPr>
          <w:sz w:val="24"/>
          <w:szCs w:val="24"/>
        </w:rPr>
      </w:pPr>
    </w:p>
    <w:p w14:paraId="0995522B" w14:textId="77777777" w:rsidR="00545765" w:rsidRPr="00BA4AB6" w:rsidRDefault="00545765" w:rsidP="00BA4AB6">
      <w:pPr>
        <w:pStyle w:val="ListParagraph"/>
        <w:numPr>
          <w:ilvl w:val="0"/>
          <w:numId w:val="4"/>
        </w:numPr>
        <w:spacing w:line="240" w:lineRule="auto"/>
        <w:rPr>
          <w:sz w:val="24"/>
          <w:szCs w:val="24"/>
        </w:rPr>
      </w:pPr>
      <w:r w:rsidRPr="00BA4AB6">
        <w:rPr>
          <w:sz w:val="24"/>
          <w:szCs w:val="24"/>
        </w:rPr>
        <w:t>In accordance with the principles of fairness and transparency, all parties are expected to disclose anything relevant which emerges from their research, whether or not they perceive it to be helpful to their case. The Panel will require as full a picture as possible to enable it to achieve a fair and just solution.</w:t>
      </w:r>
    </w:p>
    <w:p w14:paraId="407DE38F" w14:textId="77777777" w:rsidR="0003254F" w:rsidRDefault="0003254F" w:rsidP="00C556BB">
      <w:pPr>
        <w:spacing w:line="240" w:lineRule="auto"/>
        <w:rPr>
          <w:sz w:val="24"/>
          <w:szCs w:val="24"/>
        </w:rPr>
      </w:pPr>
    </w:p>
    <w:p w14:paraId="7C860956" w14:textId="4936D04E" w:rsidR="0003254F" w:rsidRPr="00BA4AB6" w:rsidRDefault="00C8690F" w:rsidP="00BA4AB6">
      <w:pPr>
        <w:pStyle w:val="ListParagraph"/>
        <w:numPr>
          <w:ilvl w:val="0"/>
          <w:numId w:val="4"/>
        </w:numPr>
        <w:spacing w:line="240" w:lineRule="auto"/>
        <w:rPr>
          <w:sz w:val="24"/>
          <w:szCs w:val="24"/>
        </w:rPr>
      </w:pPr>
      <w:r w:rsidRPr="00BA4AB6">
        <w:rPr>
          <w:sz w:val="24"/>
          <w:szCs w:val="24"/>
        </w:rPr>
        <w:t xml:space="preserve">A </w:t>
      </w:r>
      <w:r w:rsidRPr="00F96DBB">
        <w:rPr>
          <w:b/>
          <w:sz w:val="24"/>
          <w:szCs w:val="24"/>
        </w:rPr>
        <w:t>claimant's statement of case</w:t>
      </w:r>
      <w:r w:rsidRPr="00BA4AB6">
        <w:rPr>
          <w:sz w:val="24"/>
          <w:szCs w:val="24"/>
        </w:rPr>
        <w:t xml:space="preserve"> should include:</w:t>
      </w:r>
    </w:p>
    <w:p w14:paraId="466CF05E" w14:textId="77777777" w:rsidR="003679D4" w:rsidRDefault="003679D4" w:rsidP="003679D4">
      <w:pPr>
        <w:pStyle w:val="ListParagraph"/>
        <w:spacing w:line="240" w:lineRule="auto"/>
        <w:rPr>
          <w:sz w:val="24"/>
          <w:szCs w:val="24"/>
        </w:rPr>
      </w:pPr>
    </w:p>
    <w:p w14:paraId="3D212FDD" w14:textId="1D763A83" w:rsidR="0003254F" w:rsidRDefault="00BA4AB6" w:rsidP="00BA4AB6">
      <w:pPr>
        <w:pStyle w:val="Heading4"/>
        <w:numPr>
          <w:ilvl w:val="0"/>
          <w:numId w:val="5"/>
        </w:numPr>
        <w:spacing w:before="0" w:line="240" w:lineRule="auto"/>
        <w:rPr>
          <w:rFonts w:ascii="Arial" w:eastAsia="Arial" w:hAnsi="Arial" w:cs="Arial"/>
          <w:color w:val="000000"/>
          <w:sz w:val="24"/>
          <w:szCs w:val="24"/>
          <w:u w:val="none"/>
        </w:rPr>
      </w:pPr>
      <w:proofErr w:type="gramStart"/>
      <w:r>
        <w:rPr>
          <w:rFonts w:ascii="Arial" w:eastAsia="Arial" w:hAnsi="Arial" w:cs="Arial"/>
          <w:color w:val="000000"/>
          <w:sz w:val="24"/>
          <w:szCs w:val="24"/>
          <w:u w:val="none"/>
        </w:rPr>
        <w:t>a</w:t>
      </w:r>
      <w:proofErr w:type="gramEnd"/>
      <w:r>
        <w:rPr>
          <w:rFonts w:ascii="Arial" w:eastAsia="Arial" w:hAnsi="Arial" w:cs="Arial"/>
          <w:color w:val="000000"/>
          <w:sz w:val="24"/>
          <w:szCs w:val="24"/>
          <w:u w:val="none"/>
        </w:rPr>
        <w:t xml:space="preserve"> description of the object</w:t>
      </w:r>
      <w:r w:rsidR="00C8690F" w:rsidRPr="00C556BB">
        <w:rPr>
          <w:rFonts w:ascii="Arial" w:eastAsia="Arial" w:hAnsi="Arial" w:cs="Arial"/>
          <w:color w:val="000000"/>
          <w:sz w:val="24"/>
          <w:szCs w:val="24"/>
          <w:u w:val="none"/>
        </w:rPr>
        <w:t xml:space="preserve"> and its present location;</w:t>
      </w:r>
    </w:p>
    <w:p w14:paraId="5C4E28C1" w14:textId="77777777" w:rsidR="003679D4" w:rsidRPr="003679D4" w:rsidRDefault="003679D4" w:rsidP="003679D4">
      <w:pPr>
        <w:pStyle w:val="Normal1"/>
      </w:pPr>
    </w:p>
    <w:p w14:paraId="3D36026F" w14:textId="77777777" w:rsidR="0003254F" w:rsidRDefault="00C8690F" w:rsidP="00BA4AB6">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the original person or body that lost possession of the object, and the circumstances in which the loss occurred (including, where possible, documentary evidence (e.g. the auction records of any forced sale, the price realised upon sale etc.));</w:t>
      </w:r>
    </w:p>
    <w:p w14:paraId="3D7E4F74" w14:textId="77777777" w:rsidR="003679D4" w:rsidRPr="003679D4" w:rsidRDefault="003679D4" w:rsidP="003679D4">
      <w:pPr>
        <w:pStyle w:val="Normal1"/>
      </w:pPr>
    </w:p>
    <w:p w14:paraId="5C082B4C" w14:textId="77777777" w:rsidR="0003254F" w:rsidRDefault="00C8690F" w:rsidP="00BA4AB6">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a</w:t>
      </w:r>
      <w:proofErr w:type="gramEnd"/>
      <w:r w:rsidRPr="00C556BB">
        <w:rPr>
          <w:rFonts w:ascii="Arial" w:eastAsia="Arial" w:hAnsi="Arial" w:cs="Arial"/>
          <w:color w:val="000000"/>
          <w:sz w:val="24"/>
          <w:szCs w:val="24"/>
          <w:u w:val="none"/>
        </w:rPr>
        <w:t xml:space="preserve"> description of the object's provenance, including (where possible) evidence that the object was in the original person or body's ownership or possession when it was lost;</w:t>
      </w:r>
    </w:p>
    <w:p w14:paraId="31BAD8BA" w14:textId="77777777" w:rsidR="003679D4" w:rsidRPr="003679D4" w:rsidRDefault="003679D4" w:rsidP="003679D4">
      <w:pPr>
        <w:pStyle w:val="Normal1"/>
      </w:pPr>
    </w:p>
    <w:p w14:paraId="4071EDAF" w14:textId="77777777" w:rsidR="0003254F" w:rsidRDefault="00C8690F" w:rsidP="00BA4AB6">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lastRenderedPageBreak/>
        <w:t>if</w:t>
      </w:r>
      <w:proofErr w:type="gramEnd"/>
      <w:r w:rsidRPr="00C556BB">
        <w:rPr>
          <w:rFonts w:ascii="Arial" w:eastAsia="Arial" w:hAnsi="Arial" w:cs="Arial"/>
          <w:color w:val="000000"/>
          <w:sz w:val="24"/>
          <w:szCs w:val="24"/>
          <w:u w:val="none"/>
        </w:rPr>
        <w:t xml:space="preserve"> the claimant is an heir of the person who lost possession, evidence (e.g. a grant of probate or an inheritance certificate) demonstrating that the claimant is the surviving heir of such person or, where there is more than one surviving heir, evidence for each surviving heir;</w:t>
      </w:r>
    </w:p>
    <w:p w14:paraId="68192B43" w14:textId="77777777" w:rsidR="003679D4" w:rsidRPr="003679D4" w:rsidRDefault="003679D4" w:rsidP="003679D4">
      <w:pPr>
        <w:pStyle w:val="Normal1"/>
      </w:pPr>
    </w:p>
    <w:p w14:paraId="6DB81BB4" w14:textId="77777777" w:rsidR="0003254F" w:rsidRDefault="00C8690F" w:rsidP="00BA4AB6">
      <w:pPr>
        <w:pStyle w:val="Heading4"/>
        <w:numPr>
          <w:ilvl w:val="0"/>
          <w:numId w:val="5"/>
        </w:numPr>
        <w:spacing w:before="0" w:line="240" w:lineRule="auto"/>
        <w:rPr>
          <w:rFonts w:ascii="Arial" w:eastAsia="Arial" w:hAnsi="Arial" w:cs="Arial"/>
          <w:color w:val="000000"/>
          <w:sz w:val="24"/>
          <w:szCs w:val="24"/>
          <w:u w:val="none"/>
        </w:rPr>
      </w:pPr>
      <w:r w:rsidRPr="00C556BB">
        <w:rPr>
          <w:rFonts w:ascii="Arial" w:eastAsia="Arial" w:hAnsi="Arial" w:cs="Arial"/>
          <w:color w:val="000000"/>
          <w:sz w:val="24"/>
          <w:szCs w:val="24"/>
          <w:u w:val="none"/>
        </w:rPr>
        <w:t>where a claimant also acts on behalf of any other party, a copy of the document (such as a power of attorney or a court order) authorising the claimant to act in that capacity;</w:t>
      </w:r>
    </w:p>
    <w:p w14:paraId="289DA56C" w14:textId="77777777" w:rsidR="003679D4" w:rsidRPr="003679D4" w:rsidRDefault="003679D4" w:rsidP="003679D4">
      <w:pPr>
        <w:pStyle w:val="Normal1"/>
      </w:pPr>
    </w:p>
    <w:p w14:paraId="4B0BAD05" w14:textId="77777777" w:rsidR="0003254F" w:rsidRDefault="00C8690F" w:rsidP="00F96DBB">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the steps taken to obtain information about the object from the institution or owner;</w:t>
      </w:r>
    </w:p>
    <w:p w14:paraId="42DFF248" w14:textId="77777777" w:rsidR="003679D4" w:rsidRPr="003679D4" w:rsidRDefault="003679D4" w:rsidP="003679D4">
      <w:pPr>
        <w:pStyle w:val="Normal1"/>
      </w:pPr>
    </w:p>
    <w:p w14:paraId="19F9708F" w14:textId="0E808393" w:rsidR="001004DD" w:rsidRDefault="00C8690F" w:rsidP="00F96DBB">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any previous claim</w:t>
      </w:r>
      <w:r w:rsidR="001004DD" w:rsidRPr="00C556BB">
        <w:rPr>
          <w:rFonts w:ascii="Arial" w:eastAsia="Arial" w:hAnsi="Arial" w:cs="Arial"/>
          <w:color w:val="000000"/>
          <w:sz w:val="24"/>
          <w:szCs w:val="24"/>
          <w:u w:val="none"/>
        </w:rPr>
        <w:t xml:space="preserve"> in relation</w:t>
      </w:r>
      <w:r w:rsidR="000B3BF0" w:rsidRPr="00C556BB">
        <w:rPr>
          <w:rFonts w:ascii="Arial" w:eastAsia="Arial" w:hAnsi="Arial" w:cs="Arial"/>
          <w:color w:val="000000"/>
          <w:sz w:val="24"/>
          <w:szCs w:val="24"/>
          <w:u w:val="none"/>
        </w:rPr>
        <w:t xml:space="preserve"> </w:t>
      </w:r>
      <w:r w:rsidR="001004DD" w:rsidRPr="00C556BB">
        <w:rPr>
          <w:rFonts w:ascii="Arial" w:eastAsia="Arial" w:hAnsi="Arial" w:cs="Arial"/>
          <w:color w:val="000000"/>
          <w:sz w:val="24"/>
          <w:szCs w:val="24"/>
          <w:u w:val="none"/>
        </w:rPr>
        <w:t>to</w:t>
      </w:r>
      <w:r w:rsidR="000B3BF0" w:rsidRPr="00C556BB">
        <w:rPr>
          <w:rFonts w:ascii="Arial" w:eastAsia="Arial" w:hAnsi="Arial" w:cs="Arial"/>
          <w:color w:val="000000"/>
          <w:sz w:val="24"/>
          <w:szCs w:val="24"/>
          <w:u w:val="none"/>
        </w:rPr>
        <w:t xml:space="preserve"> either</w:t>
      </w:r>
      <w:r w:rsidR="001004DD" w:rsidRPr="00C556BB">
        <w:rPr>
          <w:rFonts w:ascii="Arial" w:eastAsia="Arial" w:hAnsi="Arial" w:cs="Arial"/>
          <w:color w:val="000000"/>
          <w:sz w:val="24"/>
          <w:szCs w:val="24"/>
          <w:u w:val="none"/>
        </w:rPr>
        <w:t xml:space="preserve"> the object</w:t>
      </w:r>
      <w:r w:rsidR="000B3BF0" w:rsidRPr="00C556BB">
        <w:rPr>
          <w:rFonts w:ascii="Arial" w:eastAsia="Arial" w:hAnsi="Arial" w:cs="Arial"/>
          <w:color w:val="000000"/>
          <w:sz w:val="24"/>
          <w:szCs w:val="24"/>
          <w:u w:val="none"/>
        </w:rPr>
        <w:t xml:space="preserve"> in question</w:t>
      </w:r>
      <w:r w:rsidR="001004DD" w:rsidRPr="00C556BB">
        <w:rPr>
          <w:rFonts w:ascii="Arial" w:eastAsia="Arial" w:hAnsi="Arial" w:cs="Arial"/>
          <w:color w:val="000000"/>
          <w:sz w:val="24"/>
          <w:szCs w:val="24"/>
          <w:u w:val="none"/>
        </w:rPr>
        <w:t xml:space="preserve"> or other objects from the same collection, in this or any other jurisdiction;</w:t>
      </w:r>
    </w:p>
    <w:p w14:paraId="245E8A07" w14:textId="77777777" w:rsidR="003679D4" w:rsidRPr="003679D4" w:rsidRDefault="003679D4" w:rsidP="003679D4">
      <w:pPr>
        <w:pStyle w:val="Normal1"/>
      </w:pPr>
    </w:p>
    <w:p w14:paraId="115FEC54" w14:textId="4E18328C" w:rsidR="0003254F" w:rsidRDefault="001004DD" w:rsidP="00F96DBB">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any claims for compensation made by the claimant or their heir(s) to the</w:t>
      </w:r>
      <w:r w:rsidR="00E511D7">
        <w:rPr>
          <w:rFonts w:ascii="Arial" w:eastAsia="Arial" w:hAnsi="Arial" w:cs="Arial"/>
          <w:color w:val="000000"/>
          <w:sz w:val="24"/>
          <w:szCs w:val="24"/>
          <w:u w:val="none"/>
        </w:rPr>
        <w:t xml:space="preserve"> German Federal Office for Central Services and Unresolved Property Issues (BADV) or the West German Federal Indemnification Law Authority (BEG);</w:t>
      </w:r>
      <w:r w:rsidR="00C8690F" w:rsidRPr="00C556BB">
        <w:rPr>
          <w:rFonts w:ascii="Arial" w:eastAsia="Arial" w:hAnsi="Arial" w:cs="Arial"/>
          <w:color w:val="000000"/>
          <w:sz w:val="24"/>
          <w:szCs w:val="24"/>
          <w:u w:val="none"/>
        </w:rPr>
        <w:t xml:space="preserve"> </w:t>
      </w:r>
    </w:p>
    <w:p w14:paraId="59E1E829" w14:textId="77777777" w:rsidR="003679D4" w:rsidRPr="003679D4" w:rsidRDefault="003679D4" w:rsidP="003679D4">
      <w:pPr>
        <w:pStyle w:val="Normal1"/>
      </w:pPr>
    </w:p>
    <w:p w14:paraId="27FA05D8" w14:textId="77777777" w:rsidR="0003254F" w:rsidRDefault="00C8690F" w:rsidP="00F96DBB">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the</w:t>
      </w:r>
      <w:proofErr w:type="gramEnd"/>
      <w:r w:rsidRPr="00C556BB">
        <w:rPr>
          <w:rFonts w:ascii="Arial" w:eastAsia="Arial" w:hAnsi="Arial" w:cs="Arial"/>
          <w:color w:val="000000"/>
          <w:sz w:val="24"/>
          <w:szCs w:val="24"/>
          <w:u w:val="none"/>
        </w:rPr>
        <w:t xml:space="preserve"> results of any research carried out on the object, including details of any archives consulted;</w:t>
      </w:r>
    </w:p>
    <w:p w14:paraId="4A9460E2" w14:textId="77777777" w:rsidR="003679D4" w:rsidRPr="003679D4" w:rsidRDefault="003679D4" w:rsidP="003679D4">
      <w:pPr>
        <w:pStyle w:val="Normal1"/>
      </w:pPr>
    </w:p>
    <w:p w14:paraId="3DBEF334" w14:textId="77777777" w:rsidR="0003254F" w:rsidRDefault="00C8690F" w:rsidP="00F96DBB">
      <w:pPr>
        <w:pStyle w:val="Heading4"/>
        <w:numPr>
          <w:ilvl w:val="0"/>
          <w:numId w:val="5"/>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copies</w:t>
      </w:r>
      <w:proofErr w:type="gramEnd"/>
      <w:r w:rsidRPr="00C556BB">
        <w:rPr>
          <w:rFonts w:ascii="Arial" w:eastAsia="Arial" w:hAnsi="Arial" w:cs="Arial"/>
          <w:color w:val="000000"/>
          <w:sz w:val="24"/>
          <w:szCs w:val="24"/>
          <w:u w:val="none"/>
        </w:rPr>
        <w:t xml:space="preserve"> of any witness statements or other documentary evidence relied upon or referred to in the statement of case; and</w:t>
      </w:r>
    </w:p>
    <w:p w14:paraId="39559ED6" w14:textId="77777777" w:rsidR="003679D4" w:rsidRPr="003679D4" w:rsidRDefault="003679D4" w:rsidP="003679D4">
      <w:pPr>
        <w:pStyle w:val="Normal1"/>
      </w:pPr>
    </w:p>
    <w:p w14:paraId="6184F385" w14:textId="77777777" w:rsidR="0003254F" w:rsidRPr="00C556BB" w:rsidRDefault="00C8690F" w:rsidP="00F96DBB">
      <w:pPr>
        <w:pStyle w:val="Heading4"/>
        <w:numPr>
          <w:ilvl w:val="0"/>
          <w:numId w:val="5"/>
        </w:numPr>
        <w:spacing w:before="0" w:line="240" w:lineRule="auto"/>
        <w:rPr>
          <w:rFonts w:ascii="Arial" w:eastAsia="Arial" w:hAnsi="Arial" w:cs="Arial"/>
          <w:color w:val="000000"/>
          <w:sz w:val="24"/>
          <w:szCs w:val="24"/>
        </w:rPr>
      </w:pPr>
      <w:r w:rsidRPr="00C556BB">
        <w:rPr>
          <w:rFonts w:ascii="Arial" w:eastAsia="Arial" w:hAnsi="Arial" w:cs="Arial"/>
          <w:color w:val="000000"/>
          <w:sz w:val="24"/>
          <w:szCs w:val="24"/>
          <w:u w:val="none"/>
        </w:rPr>
        <w:t xml:space="preserve">English translations of any foreign language documents. </w:t>
      </w:r>
    </w:p>
    <w:p w14:paraId="447F2928" w14:textId="77777777" w:rsidR="0003254F" w:rsidRPr="00C556BB" w:rsidRDefault="0003254F" w:rsidP="00C556BB">
      <w:pPr>
        <w:pStyle w:val="Normal1"/>
        <w:spacing w:line="240" w:lineRule="auto"/>
        <w:ind w:left="2160"/>
        <w:rPr>
          <w:sz w:val="24"/>
          <w:szCs w:val="24"/>
        </w:rPr>
      </w:pPr>
    </w:p>
    <w:p w14:paraId="7D32AD11" w14:textId="77777777" w:rsidR="00F96DBB" w:rsidRDefault="00F96DBB" w:rsidP="003679D4">
      <w:pPr>
        <w:pStyle w:val="Heading1"/>
        <w:spacing w:before="0" w:line="240" w:lineRule="auto"/>
        <w:contextualSpacing w:val="0"/>
        <w:rPr>
          <w:rFonts w:ascii="Arial" w:eastAsia="Arial" w:hAnsi="Arial" w:cs="Arial"/>
          <w:sz w:val="24"/>
          <w:szCs w:val="24"/>
        </w:rPr>
      </w:pPr>
    </w:p>
    <w:p w14:paraId="1C265280" w14:textId="77777777" w:rsidR="00F96DBB" w:rsidRDefault="00F96DBB" w:rsidP="003679D4">
      <w:pPr>
        <w:pStyle w:val="Heading1"/>
        <w:spacing w:before="0" w:line="240" w:lineRule="auto"/>
        <w:contextualSpacing w:val="0"/>
        <w:rPr>
          <w:rFonts w:ascii="Arial" w:eastAsia="Arial" w:hAnsi="Arial" w:cs="Arial"/>
          <w:sz w:val="24"/>
          <w:szCs w:val="24"/>
        </w:rPr>
      </w:pPr>
    </w:p>
    <w:p w14:paraId="3E52D40A" w14:textId="797C578E" w:rsidR="003679D4" w:rsidRDefault="00C8690F" w:rsidP="00E511D7">
      <w:pPr>
        <w:pStyle w:val="Heading1"/>
        <w:numPr>
          <w:ilvl w:val="0"/>
          <w:numId w:val="4"/>
        </w:numPr>
        <w:spacing w:before="0" w:line="240" w:lineRule="auto"/>
        <w:contextualSpacing w:val="0"/>
        <w:rPr>
          <w:rFonts w:ascii="Arial" w:eastAsia="Arial" w:hAnsi="Arial" w:cs="Arial"/>
          <w:sz w:val="24"/>
          <w:szCs w:val="24"/>
        </w:rPr>
      </w:pPr>
      <w:r w:rsidRPr="00C556BB">
        <w:rPr>
          <w:rFonts w:ascii="Arial" w:eastAsia="Arial" w:hAnsi="Arial" w:cs="Arial"/>
          <w:sz w:val="24"/>
          <w:szCs w:val="24"/>
        </w:rPr>
        <w:t xml:space="preserve">An </w:t>
      </w:r>
      <w:r w:rsidRPr="00F96DBB">
        <w:rPr>
          <w:rFonts w:ascii="Arial" w:eastAsia="Arial" w:hAnsi="Arial" w:cs="Arial"/>
          <w:b/>
          <w:sz w:val="24"/>
          <w:szCs w:val="24"/>
        </w:rPr>
        <w:t>institution or owner's statement of case</w:t>
      </w:r>
      <w:r w:rsidRPr="00C556BB">
        <w:rPr>
          <w:rFonts w:ascii="Arial" w:eastAsia="Arial" w:hAnsi="Arial" w:cs="Arial"/>
          <w:sz w:val="24"/>
          <w:szCs w:val="24"/>
        </w:rPr>
        <w:t xml:space="preserve"> should include:</w:t>
      </w:r>
    </w:p>
    <w:p w14:paraId="02FB281B" w14:textId="77777777" w:rsidR="003679D4" w:rsidRPr="003679D4" w:rsidRDefault="003679D4" w:rsidP="003679D4">
      <w:pPr>
        <w:pStyle w:val="Normal1"/>
        <w:ind w:left="720"/>
      </w:pPr>
    </w:p>
    <w:p w14:paraId="7C118356" w14:textId="4BE2037A" w:rsidR="0003254F" w:rsidRDefault="00C8690F" w:rsidP="00E511D7">
      <w:pPr>
        <w:pStyle w:val="Heading1"/>
        <w:numPr>
          <w:ilvl w:val="0"/>
          <w:numId w:val="7"/>
        </w:numPr>
        <w:spacing w:before="0" w:line="240" w:lineRule="auto"/>
        <w:contextualSpacing w:val="0"/>
        <w:rPr>
          <w:rFonts w:ascii="Arial" w:eastAsia="Arial" w:hAnsi="Arial" w:cs="Arial"/>
          <w:sz w:val="24"/>
          <w:szCs w:val="24"/>
        </w:rPr>
      </w:pPr>
      <w:proofErr w:type="gramStart"/>
      <w:r w:rsidRPr="00C556BB">
        <w:rPr>
          <w:rFonts w:ascii="Arial" w:eastAsia="Arial" w:hAnsi="Arial" w:cs="Arial"/>
          <w:sz w:val="24"/>
          <w:szCs w:val="24"/>
        </w:rPr>
        <w:t>a</w:t>
      </w:r>
      <w:proofErr w:type="gramEnd"/>
      <w:r w:rsidRPr="00C556BB">
        <w:rPr>
          <w:rFonts w:ascii="Arial" w:eastAsia="Arial" w:hAnsi="Arial" w:cs="Arial"/>
          <w:sz w:val="24"/>
          <w:szCs w:val="24"/>
        </w:rPr>
        <w:t xml:space="preserve"> description of the object (including a copy of any relevant catalogue entry), and its present location;</w:t>
      </w:r>
    </w:p>
    <w:p w14:paraId="38AC3CFB" w14:textId="77777777" w:rsidR="003679D4" w:rsidRPr="003679D4" w:rsidRDefault="003679D4" w:rsidP="003679D4">
      <w:pPr>
        <w:pStyle w:val="Normal1"/>
      </w:pPr>
    </w:p>
    <w:p w14:paraId="46E87DBE" w14:textId="77777777" w:rsidR="0003254F" w:rsidRDefault="00C8690F" w:rsidP="00E511D7">
      <w:pPr>
        <w:pStyle w:val="Heading4"/>
        <w:numPr>
          <w:ilvl w:val="0"/>
          <w:numId w:val="7"/>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the object's provenance and acquisition and the price paid upon acquisition;</w:t>
      </w:r>
    </w:p>
    <w:p w14:paraId="42AC44F9" w14:textId="77777777" w:rsidR="003679D4" w:rsidRPr="003679D4" w:rsidRDefault="003679D4" w:rsidP="003679D4">
      <w:pPr>
        <w:pStyle w:val="Normal1"/>
      </w:pPr>
    </w:p>
    <w:p w14:paraId="602CB378" w14:textId="77777777" w:rsidR="0003254F" w:rsidRDefault="00C8690F" w:rsidP="00E511D7">
      <w:pPr>
        <w:pStyle w:val="Heading4"/>
        <w:numPr>
          <w:ilvl w:val="0"/>
          <w:numId w:val="7"/>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details</w:t>
      </w:r>
      <w:proofErr w:type="gramEnd"/>
      <w:r w:rsidRPr="00C556BB">
        <w:rPr>
          <w:rFonts w:ascii="Arial" w:eastAsia="Arial" w:hAnsi="Arial" w:cs="Arial"/>
          <w:color w:val="000000"/>
          <w:sz w:val="24"/>
          <w:szCs w:val="24"/>
          <w:u w:val="none"/>
        </w:rPr>
        <w:t xml:space="preserve"> of any conditions attaching to the object where it is a gift or bequest;</w:t>
      </w:r>
    </w:p>
    <w:p w14:paraId="65DECB7D" w14:textId="77777777" w:rsidR="003679D4" w:rsidRPr="003679D4" w:rsidRDefault="003679D4" w:rsidP="003679D4">
      <w:pPr>
        <w:pStyle w:val="Normal1"/>
      </w:pPr>
    </w:p>
    <w:p w14:paraId="2DEDED71" w14:textId="77777777" w:rsidR="0003254F" w:rsidRDefault="00C8690F" w:rsidP="00E511D7">
      <w:pPr>
        <w:pStyle w:val="Heading4"/>
        <w:numPr>
          <w:ilvl w:val="0"/>
          <w:numId w:val="7"/>
        </w:numPr>
        <w:spacing w:before="0" w:line="240" w:lineRule="auto"/>
        <w:rPr>
          <w:rFonts w:ascii="Arial" w:eastAsia="Arial" w:hAnsi="Arial" w:cs="Arial"/>
          <w:color w:val="000000"/>
          <w:sz w:val="24"/>
          <w:szCs w:val="24"/>
          <w:u w:val="none"/>
        </w:rPr>
      </w:pPr>
      <w:proofErr w:type="gramStart"/>
      <w:r w:rsidRPr="00C556BB">
        <w:rPr>
          <w:rFonts w:ascii="Arial" w:eastAsia="Arial" w:hAnsi="Arial" w:cs="Arial"/>
          <w:color w:val="000000"/>
          <w:sz w:val="24"/>
          <w:szCs w:val="24"/>
          <w:u w:val="none"/>
        </w:rPr>
        <w:t>copies</w:t>
      </w:r>
      <w:proofErr w:type="gramEnd"/>
      <w:r w:rsidRPr="00C556BB">
        <w:rPr>
          <w:rFonts w:ascii="Arial" w:eastAsia="Arial" w:hAnsi="Arial" w:cs="Arial"/>
          <w:color w:val="000000"/>
          <w:sz w:val="24"/>
          <w:szCs w:val="24"/>
          <w:u w:val="none"/>
        </w:rPr>
        <w:t xml:space="preserve"> of any witness statements or other documentary evidence relied upon or referred to in the statement of case; and</w:t>
      </w:r>
    </w:p>
    <w:p w14:paraId="2F315BBE" w14:textId="77777777" w:rsidR="003679D4" w:rsidRPr="003679D4" w:rsidRDefault="003679D4" w:rsidP="003679D4">
      <w:pPr>
        <w:pStyle w:val="Normal1"/>
      </w:pPr>
    </w:p>
    <w:p w14:paraId="1BBAE2A4" w14:textId="77777777" w:rsidR="0003254F" w:rsidRPr="00C556BB" w:rsidRDefault="00C8690F" w:rsidP="00E511D7">
      <w:pPr>
        <w:pStyle w:val="Heading4"/>
        <w:numPr>
          <w:ilvl w:val="0"/>
          <w:numId w:val="7"/>
        </w:numPr>
        <w:spacing w:before="0" w:line="240" w:lineRule="auto"/>
        <w:rPr>
          <w:rFonts w:ascii="Arial" w:eastAsia="Arial" w:hAnsi="Arial" w:cs="Arial"/>
          <w:color w:val="000000"/>
          <w:sz w:val="24"/>
          <w:szCs w:val="24"/>
        </w:rPr>
      </w:pPr>
      <w:r w:rsidRPr="00C556BB">
        <w:rPr>
          <w:rFonts w:ascii="Arial" w:eastAsia="Arial" w:hAnsi="Arial" w:cs="Arial"/>
          <w:color w:val="000000"/>
          <w:sz w:val="24"/>
          <w:szCs w:val="24"/>
          <w:u w:val="none"/>
        </w:rPr>
        <w:t>English translations of any foreign language documents.</w:t>
      </w:r>
    </w:p>
    <w:p w14:paraId="6B957834" w14:textId="77777777" w:rsidR="0003254F" w:rsidRPr="00C556BB" w:rsidRDefault="0003254F" w:rsidP="00C556BB">
      <w:pPr>
        <w:pStyle w:val="Normal1"/>
        <w:spacing w:line="240" w:lineRule="auto"/>
        <w:ind w:left="2160"/>
        <w:rPr>
          <w:sz w:val="24"/>
          <w:szCs w:val="24"/>
        </w:rPr>
      </w:pPr>
    </w:p>
    <w:p w14:paraId="60315FCB" w14:textId="3F53F7D9" w:rsidR="0003254F" w:rsidRDefault="00C8690F" w:rsidP="00E511D7">
      <w:pPr>
        <w:pStyle w:val="Heading1"/>
        <w:numPr>
          <w:ilvl w:val="0"/>
          <w:numId w:val="4"/>
        </w:numPr>
        <w:spacing w:before="0" w:line="240" w:lineRule="auto"/>
        <w:contextualSpacing w:val="0"/>
        <w:rPr>
          <w:rFonts w:ascii="Arial" w:eastAsia="Arial" w:hAnsi="Arial" w:cs="Arial"/>
          <w:sz w:val="24"/>
          <w:szCs w:val="24"/>
        </w:rPr>
      </w:pPr>
      <w:r w:rsidRPr="00C556BB">
        <w:rPr>
          <w:rFonts w:ascii="Arial" w:eastAsia="Arial" w:hAnsi="Arial" w:cs="Arial"/>
          <w:sz w:val="24"/>
          <w:szCs w:val="24"/>
        </w:rPr>
        <w:lastRenderedPageBreak/>
        <w:t>The parties' statements of case and any correspondence concerning the claim should be directed to the Secretary to the Panel.</w:t>
      </w:r>
    </w:p>
    <w:p w14:paraId="135816E7" w14:textId="77777777" w:rsidR="003679D4" w:rsidRPr="003679D4" w:rsidRDefault="003679D4" w:rsidP="003679D4">
      <w:pPr>
        <w:pStyle w:val="Normal1"/>
      </w:pPr>
    </w:p>
    <w:p w14:paraId="43BE25C1" w14:textId="25D57231" w:rsidR="000B3BF0" w:rsidRDefault="000B3BF0" w:rsidP="00E511D7">
      <w:pPr>
        <w:pStyle w:val="Heading1"/>
        <w:numPr>
          <w:ilvl w:val="0"/>
          <w:numId w:val="4"/>
        </w:numPr>
        <w:spacing w:before="0" w:line="240" w:lineRule="auto"/>
        <w:contextualSpacing w:val="0"/>
        <w:rPr>
          <w:rFonts w:ascii="Arial" w:eastAsia="Arial" w:hAnsi="Arial" w:cs="Arial"/>
          <w:sz w:val="24"/>
          <w:szCs w:val="24"/>
        </w:rPr>
      </w:pPr>
      <w:r w:rsidRPr="00C556BB">
        <w:rPr>
          <w:rFonts w:ascii="Arial" w:eastAsia="Arial" w:hAnsi="Arial" w:cs="Arial"/>
          <w:sz w:val="24"/>
          <w:szCs w:val="24"/>
        </w:rPr>
        <w:t>The parties’ attention is drawn to</w:t>
      </w:r>
      <w:r w:rsidR="00694A37">
        <w:rPr>
          <w:rFonts w:ascii="Arial" w:eastAsia="Arial" w:hAnsi="Arial" w:cs="Arial"/>
          <w:sz w:val="24"/>
          <w:szCs w:val="24"/>
        </w:rPr>
        <w:t xml:space="preserve"> the Panel’s Rules of Procedure on the Spoliation Advisory Panel website </w:t>
      </w:r>
    </w:p>
    <w:p w14:paraId="088A8ED5" w14:textId="57E89C59" w:rsidR="00694A37" w:rsidRPr="00694A37" w:rsidRDefault="00694A37" w:rsidP="00694A37">
      <w:pPr>
        <w:pStyle w:val="Normal1"/>
        <w:ind w:left="720"/>
      </w:pPr>
      <w:hyperlink r:id="rId5" w:history="1">
        <w:r w:rsidRPr="009366A9">
          <w:rPr>
            <w:rStyle w:val="Hyperlink"/>
          </w:rPr>
          <w:t>https://www.gov.uk/government/groups/sp</w:t>
        </w:r>
        <w:bookmarkStart w:id="2" w:name="_GoBack"/>
        <w:bookmarkEnd w:id="2"/>
        <w:r w:rsidRPr="009366A9">
          <w:rPr>
            <w:rStyle w:val="Hyperlink"/>
          </w:rPr>
          <w:t>o</w:t>
        </w:r>
        <w:r w:rsidRPr="009366A9">
          <w:rPr>
            <w:rStyle w:val="Hyperlink"/>
          </w:rPr>
          <w:t>liation-advisory-panel</w:t>
        </w:r>
      </w:hyperlink>
      <w:r>
        <w:tab/>
      </w:r>
    </w:p>
    <w:p w14:paraId="13D65778" w14:textId="68007011" w:rsidR="003679D4" w:rsidRDefault="003679D4" w:rsidP="00C556BB">
      <w:pPr>
        <w:pStyle w:val="Heading1"/>
        <w:spacing w:before="0" w:line="240" w:lineRule="auto"/>
        <w:contextualSpacing w:val="0"/>
        <w:rPr>
          <w:rFonts w:ascii="Arial" w:eastAsia="Arial" w:hAnsi="Arial" w:cs="Arial"/>
          <w:sz w:val="24"/>
          <w:szCs w:val="24"/>
        </w:rPr>
      </w:pPr>
    </w:p>
    <w:p w14:paraId="6134E727" w14:textId="40A58454" w:rsidR="0003254F" w:rsidRPr="00C556BB" w:rsidRDefault="003679D4" w:rsidP="00E511D7">
      <w:pPr>
        <w:pStyle w:val="Heading1"/>
        <w:numPr>
          <w:ilvl w:val="0"/>
          <w:numId w:val="4"/>
        </w:numPr>
        <w:spacing w:before="0" w:line="240" w:lineRule="auto"/>
        <w:contextualSpacing w:val="0"/>
        <w:rPr>
          <w:rFonts w:ascii="Arial" w:eastAsia="Arial" w:hAnsi="Arial" w:cs="Arial"/>
          <w:sz w:val="24"/>
          <w:szCs w:val="24"/>
        </w:rPr>
      </w:pPr>
      <w:r>
        <w:rPr>
          <w:rFonts w:ascii="Arial" w:eastAsia="Arial" w:hAnsi="Arial" w:cs="Arial"/>
          <w:sz w:val="24"/>
          <w:szCs w:val="24"/>
        </w:rPr>
        <w:t>T</w:t>
      </w:r>
      <w:r w:rsidR="00C8690F" w:rsidRPr="00C556BB">
        <w:rPr>
          <w:rFonts w:ascii="Arial" w:eastAsia="Arial" w:hAnsi="Arial" w:cs="Arial"/>
          <w:sz w:val="24"/>
          <w:szCs w:val="24"/>
        </w:rPr>
        <w:t>he following is a link to the Panel’s earlier reports which may also be of assistance in understanding the type of information the Panel needs to have in considering a claim;</w:t>
      </w:r>
    </w:p>
    <w:p w14:paraId="4594BF66" w14:textId="77777777" w:rsidR="0003254F" w:rsidRPr="00C556BB" w:rsidRDefault="0003254F" w:rsidP="00C556BB">
      <w:pPr>
        <w:pStyle w:val="Normal1"/>
        <w:spacing w:line="240" w:lineRule="auto"/>
        <w:rPr>
          <w:sz w:val="24"/>
          <w:szCs w:val="24"/>
        </w:rPr>
      </w:pPr>
    </w:p>
    <w:p w14:paraId="767F8C09" w14:textId="77777777" w:rsidR="0003254F" w:rsidRPr="00C556BB" w:rsidRDefault="00694A37" w:rsidP="00C556BB">
      <w:pPr>
        <w:pStyle w:val="Normal1"/>
        <w:spacing w:line="240" w:lineRule="auto"/>
        <w:rPr>
          <w:sz w:val="24"/>
          <w:szCs w:val="24"/>
        </w:rPr>
      </w:pPr>
      <w:hyperlink r:id="rId6" w:anchor="panel-reports">
        <w:r w:rsidR="00C8690F" w:rsidRPr="00C556BB">
          <w:rPr>
            <w:color w:val="1155CC"/>
            <w:sz w:val="24"/>
            <w:szCs w:val="24"/>
            <w:u w:val="single"/>
          </w:rPr>
          <w:t>https://www.gov.uk/government/groups/spoliation-advisory-panel#panel-reports</w:t>
        </w:r>
      </w:hyperlink>
    </w:p>
    <w:p w14:paraId="162C2943" w14:textId="77777777" w:rsidR="0003254F" w:rsidRPr="00C556BB" w:rsidRDefault="0003254F" w:rsidP="00C556BB">
      <w:pPr>
        <w:pStyle w:val="Normal1"/>
        <w:spacing w:line="240" w:lineRule="auto"/>
        <w:rPr>
          <w:sz w:val="24"/>
          <w:szCs w:val="24"/>
        </w:rPr>
      </w:pPr>
    </w:p>
    <w:p w14:paraId="73F4BDE9" w14:textId="77777777" w:rsidR="0003254F" w:rsidRPr="00C556BB" w:rsidRDefault="0003254F" w:rsidP="00C556BB">
      <w:pPr>
        <w:pStyle w:val="Normal1"/>
        <w:spacing w:line="240" w:lineRule="auto"/>
        <w:rPr>
          <w:sz w:val="24"/>
          <w:szCs w:val="24"/>
        </w:rPr>
      </w:pPr>
    </w:p>
    <w:p w14:paraId="0F26846A" w14:textId="77777777" w:rsidR="0003254F" w:rsidRPr="00C556BB" w:rsidRDefault="0003254F" w:rsidP="00C556BB">
      <w:pPr>
        <w:pStyle w:val="Normal1"/>
        <w:spacing w:line="240" w:lineRule="auto"/>
        <w:rPr>
          <w:sz w:val="24"/>
          <w:szCs w:val="24"/>
        </w:rPr>
      </w:pPr>
    </w:p>
    <w:p w14:paraId="53B29838" w14:textId="77777777" w:rsidR="0003254F" w:rsidRPr="00C556BB" w:rsidRDefault="00C8690F" w:rsidP="00C556BB">
      <w:pPr>
        <w:pStyle w:val="Heading1"/>
        <w:spacing w:before="0" w:line="240" w:lineRule="auto"/>
        <w:contextualSpacing w:val="0"/>
        <w:rPr>
          <w:sz w:val="24"/>
          <w:szCs w:val="24"/>
        </w:rPr>
      </w:pPr>
      <w:r w:rsidRPr="00C556BB">
        <w:rPr>
          <w:rFonts w:ascii="Arial" w:eastAsia="Arial" w:hAnsi="Arial" w:cs="Arial"/>
          <w:b/>
          <w:sz w:val="24"/>
          <w:szCs w:val="24"/>
        </w:rPr>
        <w:t xml:space="preserve">Mark </w:t>
      </w:r>
      <w:proofErr w:type="spellStart"/>
      <w:r w:rsidRPr="00C556BB">
        <w:rPr>
          <w:rFonts w:ascii="Arial" w:eastAsia="Arial" w:hAnsi="Arial" w:cs="Arial"/>
          <w:b/>
          <w:sz w:val="24"/>
          <w:szCs w:val="24"/>
        </w:rPr>
        <w:t>Caldon</w:t>
      </w:r>
      <w:proofErr w:type="spellEnd"/>
      <w:r w:rsidRPr="00C556BB">
        <w:rPr>
          <w:rFonts w:ascii="Arial" w:eastAsia="Arial" w:hAnsi="Arial" w:cs="Arial"/>
          <w:b/>
          <w:sz w:val="24"/>
          <w:szCs w:val="24"/>
        </w:rPr>
        <w:tab/>
      </w:r>
      <w:r w:rsidRPr="00C556BB">
        <w:rPr>
          <w:rFonts w:ascii="Arial" w:eastAsia="Arial" w:hAnsi="Arial" w:cs="Arial"/>
          <w:b/>
          <w:sz w:val="24"/>
          <w:szCs w:val="24"/>
        </w:rPr>
        <w:br/>
        <w:t>Secretary to the Spoliation Advisory Panel</w:t>
      </w:r>
      <w:r w:rsidRPr="00C556BB">
        <w:rPr>
          <w:rFonts w:ascii="Arial" w:eastAsia="Arial" w:hAnsi="Arial" w:cs="Arial"/>
          <w:sz w:val="24"/>
          <w:szCs w:val="24"/>
        </w:rPr>
        <w:tab/>
      </w:r>
      <w:r w:rsidRPr="00C556BB">
        <w:rPr>
          <w:rFonts w:ascii="Arial" w:eastAsia="Arial" w:hAnsi="Arial" w:cs="Arial"/>
          <w:sz w:val="24"/>
          <w:szCs w:val="24"/>
        </w:rPr>
        <w:br/>
        <w:t>Department for Culture, Media &amp; Sport</w:t>
      </w:r>
      <w:r w:rsidRPr="00C556BB">
        <w:rPr>
          <w:rFonts w:ascii="Arial" w:eastAsia="Arial" w:hAnsi="Arial" w:cs="Arial"/>
          <w:sz w:val="24"/>
          <w:szCs w:val="24"/>
        </w:rPr>
        <w:tab/>
      </w:r>
      <w:r w:rsidRPr="00C556BB">
        <w:rPr>
          <w:rFonts w:ascii="Arial" w:eastAsia="Arial" w:hAnsi="Arial" w:cs="Arial"/>
          <w:sz w:val="24"/>
          <w:szCs w:val="24"/>
        </w:rPr>
        <w:br/>
        <w:t>100 Parliament Street</w:t>
      </w:r>
      <w:r w:rsidRPr="00C556BB">
        <w:rPr>
          <w:rFonts w:ascii="Arial" w:eastAsia="Arial" w:hAnsi="Arial" w:cs="Arial"/>
          <w:sz w:val="24"/>
          <w:szCs w:val="24"/>
        </w:rPr>
        <w:tab/>
      </w:r>
      <w:r w:rsidRPr="00C556BB">
        <w:rPr>
          <w:rFonts w:ascii="Arial" w:eastAsia="Arial" w:hAnsi="Arial" w:cs="Arial"/>
          <w:sz w:val="24"/>
          <w:szCs w:val="24"/>
        </w:rPr>
        <w:br/>
        <w:t>London</w:t>
      </w:r>
      <w:r w:rsidRPr="00C556BB">
        <w:rPr>
          <w:rFonts w:ascii="Arial" w:eastAsia="Arial" w:hAnsi="Arial" w:cs="Arial"/>
          <w:sz w:val="24"/>
          <w:szCs w:val="24"/>
        </w:rPr>
        <w:tab/>
      </w:r>
      <w:r w:rsidRPr="00C556BB">
        <w:rPr>
          <w:rFonts w:ascii="Arial" w:eastAsia="Arial" w:hAnsi="Arial" w:cs="Arial"/>
          <w:sz w:val="24"/>
          <w:szCs w:val="24"/>
        </w:rPr>
        <w:br/>
        <w:t>SW1A 2BQ</w:t>
      </w:r>
      <w:r w:rsidRPr="00C556BB">
        <w:rPr>
          <w:rFonts w:ascii="Arial" w:eastAsia="Arial" w:hAnsi="Arial" w:cs="Arial"/>
          <w:sz w:val="24"/>
          <w:szCs w:val="24"/>
        </w:rPr>
        <w:tab/>
      </w:r>
      <w:r w:rsidRPr="00C556BB">
        <w:rPr>
          <w:rFonts w:ascii="Arial" w:eastAsia="Arial" w:hAnsi="Arial" w:cs="Arial"/>
          <w:sz w:val="24"/>
          <w:szCs w:val="24"/>
        </w:rPr>
        <w:br/>
        <w:t>United Kingdom</w:t>
      </w:r>
    </w:p>
    <w:p w14:paraId="058681A7" w14:textId="77777777" w:rsidR="0003254F" w:rsidRPr="00C556BB" w:rsidRDefault="00C8690F" w:rsidP="00C556BB">
      <w:pPr>
        <w:pStyle w:val="Heading1"/>
        <w:spacing w:before="0" w:line="240" w:lineRule="auto"/>
        <w:contextualSpacing w:val="0"/>
        <w:rPr>
          <w:sz w:val="24"/>
          <w:szCs w:val="24"/>
        </w:rPr>
      </w:pPr>
      <w:r w:rsidRPr="00C556BB">
        <w:rPr>
          <w:rFonts w:ascii="Arial" w:eastAsia="Arial" w:hAnsi="Arial" w:cs="Arial"/>
          <w:sz w:val="24"/>
          <w:szCs w:val="24"/>
        </w:rPr>
        <w:t>mark.caldon@culture.gov.uk</w:t>
      </w:r>
    </w:p>
    <w:p w14:paraId="142886F6" w14:textId="77777777" w:rsidR="0003254F" w:rsidRPr="00C556BB" w:rsidRDefault="0003254F" w:rsidP="00C556BB">
      <w:pPr>
        <w:pStyle w:val="Normal1"/>
        <w:spacing w:line="240" w:lineRule="auto"/>
        <w:rPr>
          <w:sz w:val="24"/>
          <w:szCs w:val="24"/>
        </w:rPr>
      </w:pPr>
    </w:p>
    <w:sectPr w:rsidR="0003254F" w:rsidRPr="00C556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9E1"/>
    <w:multiLevelType w:val="hybridMultilevel"/>
    <w:tmpl w:val="ADC2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3261A"/>
    <w:multiLevelType w:val="hybridMultilevel"/>
    <w:tmpl w:val="DE10C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71B9"/>
    <w:multiLevelType w:val="hybridMultilevel"/>
    <w:tmpl w:val="F830F608"/>
    <w:lvl w:ilvl="0" w:tplc="C952E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A45DC"/>
    <w:multiLevelType w:val="multilevel"/>
    <w:tmpl w:val="9242824E"/>
    <w:lvl w:ilvl="0">
      <w:start w:val="1"/>
      <w:numFmt w:val="decimal"/>
      <w:lvlText w:val="%1"/>
      <w:lvlJc w:val="left"/>
      <w:pPr>
        <w:ind w:left="907" w:firstLine="0"/>
      </w:pPr>
      <w:rPr>
        <w:u w:val="none"/>
      </w:rPr>
    </w:lvl>
    <w:lvl w:ilvl="1">
      <w:start w:val="1"/>
      <w:numFmt w:val="decimal"/>
      <w:lvlText w:val="%1.%2"/>
      <w:lvlJc w:val="left"/>
      <w:pPr>
        <w:ind w:left="907" w:firstLine="0"/>
      </w:pPr>
      <w:rPr>
        <w:u w:val="none"/>
      </w:rPr>
    </w:lvl>
    <w:lvl w:ilvl="2">
      <w:start w:val="1"/>
      <w:numFmt w:val="decimal"/>
      <w:lvlText w:val="%1.%2.%3"/>
      <w:lvlJc w:val="left"/>
      <w:pPr>
        <w:ind w:left="907" w:firstLine="0"/>
      </w:pPr>
      <w:rPr>
        <w:u w:val="none"/>
      </w:rPr>
    </w:lvl>
    <w:lvl w:ilvl="3">
      <w:start w:val="1"/>
      <w:numFmt w:val="lowerLetter"/>
      <w:lvlText w:val="(%4)"/>
      <w:lvlJc w:val="left"/>
      <w:pPr>
        <w:ind w:left="1474" w:firstLine="907"/>
      </w:pPr>
      <w:rPr>
        <w:u w:val="none"/>
      </w:rPr>
    </w:lvl>
    <w:lvl w:ilvl="4">
      <w:start w:val="1"/>
      <w:numFmt w:val="lowerRoman"/>
      <w:lvlText w:val="(%5)"/>
      <w:lvlJc w:val="left"/>
      <w:pPr>
        <w:ind w:left="2041" w:firstLine="1473"/>
      </w:pPr>
      <w:rPr>
        <w:u w:val="none"/>
      </w:rPr>
    </w:lvl>
    <w:lvl w:ilvl="5">
      <w:start w:val="1"/>
      <w:numFmt w:val="upperLetter"/>
      <w:lvlText w:val="(%6)"/>
      <w:lvlJc w:val="left"/>
      <w:pPr>
        <w:ind w:left="2608" w:firstLine="2041"/>
      </w:pPr>
      <w:rPr>
        <w:u w:val="none"/>
      </w:rPr>
    </w:lvl>
    <w:lvl w:ilvl="6">
      <w:start w:val="1"/>
      <w:numFmt w:val="decimal"/>
      <w:lvlText w:val="(%7)"/>
      <w:lvlJc w:val="left"/>
      <w:pPr>
        <w:ind w:left="3175" w:firstLine="2608"/>
      </w:pPr>
      <w:rPr>
        <w:u w:val="none"/>
      </w:rPr>
    </w:lvl>
    <w:lvl w:ilvl="7">
      <w:start w:val="1"/>
      <w:numFmt w:val="lowerLetter"/>
      <w:lvlText w:val="(%8)"/>
      <w:lvlJc w:val="left"/>
      <w:pPr>
        <w:ind w:left="3742" w:firstLine="3175"/>
      </w:pPr>
      <w:rPr>
        <w:u w:val="none"/>
      </w:rPr>
    </w:lvl>
    <w:lvl w:ilvl="8">
      <w:start w:val="1"/>
      <w:numFmt w:val="lowerRoman"/>
      <w:lvlText w:val="(%9)"/>
      <w:lvlJc w:val="left"/>
      <w:pPr>
        <w:ind w:left="4309" w:firstLine="3742"/>
      </w:pPr>
      <w:rPr>
        <w:u w:val="none"/>
      </w:rPr>
    </w:lvl>
  </w:abstractNum>
  <w:abstractNum w:abstractNumId="4" w15:restartNumberingAfterBreak="0">
    <w:nsid w:val="2FE46F41"/>
    <w:multiLevelType w:val="multilevel"/>
    <w:tmpl w:val="A2FAC3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2372588"/>
    <w:multiLevelType w:val="hybridMultilevel"/>
    <w:tmpl w:val="FB06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A6DEF"/>
    <w:multiLevelType w:val="hybridMultilevel"/>
    <w:tmpl w:val="93E4F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E7489"/>
    <w:multiLevelType w:val="hybridMultilevel"/>
    <w:tmpl w:val="D010918C"/>
    <w:lvl w:ilvl="0" w:tplc="C952EB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4F"/>
    <w:rsid w:val="0003254F"/>
    <w:rsid w:val="000B3BF0"/>
    <w:rsid w:val="001004DD"/>
    <w:rsid w:val="003679D4"/>
    <w:rsid w:val="003E7E44"/>
    <w:rsid w:val="00545765"/>
    <w:rsid w:val="005C6789"/>
    <w:rsid w:val="00694A37"/>
    <w:rsid w:val="007755AF"/>
    <w:rsid w:val="007C1A8D"/>
    <w:rsid w:val="007F1023"/>
    <w:rsid w:val="009577B7"/>
    <w:rsid w:val="00961E75"/>
    <w:rsid w:val="00A36B42"/>
    <w:rsid w:val="00AB0AF4"/>
    <w:rsid w:val="00AF3D55"/>
    <w:rsid w:val="00B63D60"/>
    <w:rsid w:val="00BA4AB6"/>
    <w:rsid w:val="00C556BB"/>
    <w:rsid w:val="00C8690F"/>
    <w:rsid w:val="00CC1AE4"/>
    <w:rsid w:val="00D04A8D"/>
    <w:rsid w:val="00E511D7"/>
    <w:rsid w:val="00F9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B481F"/>
  <w15:docId w15:val="{1551EAA7-CD90-4B79-9802-72D87F27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D04A8D"/>
    <w:rPr>
      <w:sz w:val="16"/>
      <w:szCs w:val="16"/>
    </w:rPr>
  </w:style>
  <w:style w:type="paragraph" w:styleId="CommentText">
    <w:name w:val="annotation text"/>
    <w:basedOn w:val="Normal"/>
    <w:link w:val="CommentTextChar"/>
    <w:uiPriority w:val="99"/>
    <w:semiHidden/>
    <w:unhideWhenUsed/>
    <w:rsid w:val="00D04A8D"/>
    <w:pPr>
      <w:spacing w:line="240" w:lineRule="auto"/>
    </w:pPr>
    <w:rPr>
      <w:sz w:val="20"/>
    </w:rPr>
  </w:style>
  <w:style w:type="character" w:customStyle="1" w:styleId="CommentTextChar">
    <w:name w:val="Comment Text Char"/>
    <w:basedOn w:val="DefaultParagraphFont"/>
    <w:link w:val="CommentText"/>
    <w:uiPriority w:val="99"/>
    <w:semiHidden/>
    <w:rsid w:val="00D04A8D"/>
    <w:rPr>
      <w:sz w:val="20"/>
    </w:rPr>
  </w:style>
  <w:style w:type="paragraph" w:styleId="CommentSubject">
    <w:name w:val="annotation subject"/>
    <w:basedOn w:val="CommentText"/>
    <w:next w:val="CommentText"/>
    <w:link w:val="CommentSubjectChar"/>
    <w:uiPriority w:val="99"/>
    <w:semiHidden/>
    <w:unhideWhenUsed/>
    <w:rsid w:val="00D04A8D"/>
    <w:rPr>
      <w:b/>
      <w:bCs/>
    </w:rPr>
  </w:style>
  <w:style w:type="character" w:customStyle="1" w:styleId="CommentSubjectChar">
    <w:name w:val="Comment Subject Char"/>
    <w:basedOn w:val="CommentTextChar"/>
    <w:link w:val="CommentSubject"/>
    <w:uiPriority w:val="99"/>
    <w:semiHidden/>
    <w:rsid w:val="00D04A8D"/>
    <w:rPr>
      <w:b/>
      <w:bCs/>
      <w:sz w:val="20"/>
    </w:rPr>
  </w:style>
  <w:style w:type="paragraph" w:styleId="BalloonText">
    <w:name w:val="Balloon Text"/>
    <w:basedOn w:val="Normal"/>
    <w:link w:val="BalloonTextChar"/>
    <w:uiPriority w:val="99"/>
    <w:semiHidden/>
    <w:unhideWhenUsed/>
    <w:rsid w:val="00D04A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8D"/>
    <w:rPr>
      <w:rFonts w:ascii="Segoe UI" w:hAnsi="Segoe UI" w:cs="Segoe UI"/>
      <w:sz w:val="18"/>
      <w:szCs w:val="18"/>
    </w:rPr>
  </w:style>
  <w:style w:type="paragraph" w:styleId="ListParagraph">
    <w:name w:val="List Paragraph"/>
    <w:basedOn w:val="Normal"/>
    <w:uiPriority w:val="34"/>
    <w:qFormat/>
    <w:rsid w:val="00C556BB"/>
    <w:pPr>
      <w:ind w:left="720"/>
      <w:contextualSpacing/>
    </w:pPr>
  </w:style>
  <w:style w:type="character" w:styleId="Hyperlink">
    <w:name w:val="Hyperlink"/>
    <w:basedOn w:val="DefaultParagraphFont"/>
    <w:uiPriority w:val="99"/>
    <w:unhideWhenUsed/>
    <w:rsid w:val="00694A37"/>
    <w:rPr>
      <w:color w:val="0000FF" w:themeColor="hyperlink"/>
      <w:u w:val="single"/>
    </w:rPr>
  </w:style>
  <w:style w:type="character" w:styleId="FollowedHyperlink">
    <w:name w:val="FollowedHyperlink"/>
    <w:basedOn w:val="DefaultParagraphFont"/>
    <w:uiPriority w:val="99"/>
    <w:semiHidden/>
    <w:unhideWhenUsed/>
    <w:rsid w:val="00694A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0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groups/spoliation-advisory-panel" TargetMode="External"/><Relationship Id="rId5" Type="http://schemas.openxmlformats.org/officeDocument/2006/relationships/hyperlink" Target="https://www.gov.uk/government/groups/spoliation-advisory-pan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Curwen</dc:creator>
  <cp:lastModifiedBy>Andrew Calnan</cp:lastModifiedBy>
  <cp:revision>2</cp:revision>
  <dcterms:created xsi:type="dcterms:W3CDTF">2016-10-07T10:13:00Z</dcterms:created>
  <dcterms:modified xsi:type="dcterms:W3CDTF">2016-10-07T10:13:00Z</dcterms:modified>
</cp:coreProperties>
</file>