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3331190" cy="690181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1190" cy="690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Source – central government departments payment performance data as published on their GOV.UK pages:</w:t>
      </w:r>
    </w:p>
    <w:tbl>
      <w:tblPr>
        <w:tblStyle w:val="Table1"/>
        <w:bidi w:val="0"/>
        <w:tblW w:w="21972.000000000004" w:type="dxa"/>
        <w:jc w:val="left"/>
        <w:tblInd w:w="-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5"/>
        <w:gridCol w:w="4185"/>
        <w:gridCol w:w="3959"/>
        <w:gridCol w:w="4677"/>
        <w:gridCol w:w="4536"/>
        <w:tblGridChange w:id="0">
          <w:tblGrid>
            <w:gridCol w:w="4615"/>
            <w:gridCol w:w="4185"/>
            <w:gridCol w:w="3959"/>
            <w:gridCol w:w="4677"/>
            <w:gridCol w:w="45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DfE (inc. NCTL &amp; STA)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data not published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8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1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DWP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1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1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1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HMRC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2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Cabinet Office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23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2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DfT (core)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2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DCLG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29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3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Office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3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MoJ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35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3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FCO (inc. FCO Services)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38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39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4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DfID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published data </w:t>
            </w:r>
            <w:hyperlink r:id="rId4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4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4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DCMS (core)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4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4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4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HMT (group)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published data </w:t>
            </w:r>
            <w:hyperlink r:id="rId4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hyperlink r:id="rId4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49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50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51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hyperlink r:id="rId52">
        <w:r w:rsidDel="00000000" w:rsidR="00000000" w:rsidRPr="00000000">
          <w:rPr>
            <w:rtl w:val="0"/>
          </w:rPr>
        </w:r>
      </w:hyperlink>
    </w:p>
    <w:sectPr>
      <w:pgSz w:h="16839" w:w="23814"/>
      <w:pgMar w:bottom="1134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gov.uk/government/collections/foreign-and-commonwealth-office-prompt-payment-data" TargetMode="External"/><Relationship Id="rId42" Type="http://schemas.openxmlformats.org/officeDocument/2006/relationships/hyperlink" Target="https://www.gov.uk/government/publications/dfid-payment-performance-2015" TargetMode="External"/><Relationship Id="rId41" Type="http://schemas.openxmlformats.org/officeDocument/2006/relationships/hyperlink" Target="https://www.gov.uk/government/publications/dfid-payment-performance-2015" TargetMode="External"/><Relationship Id="rId44" Type="http://schemas.openxmlformats.org/officeDocument/2006/relationships/hyperlink" Target="https://www.gov.uk/government/publications/dcms-prompt-payment-performance" TargetMode="External"/><Relationship Id="rId43" Type="http://schemas.openxmlformats.org/officeDocument/2006/relationships/hyperlink" Target="https://www.gov.uk/government/publications/dfid-payment-performance-2015" TargetMode="External"/><Relationship Id="rId46" Type="http://schemas.openxmlformats.org/officeDocument/2006/relationships/hyperlink" Target="https://www.gov.uk/government/publications/dcms-prompt-payment-performance" TargetMode="External"/><Relationship Id="rId45" Type="http://schemas.openxmlformats.org/officeDocument/2006/relationships/hyperlink" Target="https://www.gov.uk/government/publications/dcms-prompt-payment-performanc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defra-prompt-payment-performance-report" TargetMode="External"/><Relationship Id="rId48" Type="http://schemas.openxmlformats.org/officeDocument/2006/relationships/hyperlink" Target="https://www.gov.uk/government/publications/hm-treasury-group-payment-performance" TargetMode="External"/><Relationship Id="rId47" Type="http://schemas.openxmlformats.org/officeDocument/2006/relationships/hyperlink" Target="https://www.gov.uk/government/publications/hm-treasury-group-payment-performance" TargetMode="External"/><Relationship Id="rId49" Type="http://schemas.openxmlformats.org/officeDocument/2006/relationships/hyperlink" Target="https://www.gov.uk/government/publications/hm-treasury-group-payment-performance" TargetMode="External"/><Relationship Id="rId5" Type="http://schemas.openxmlformats.org/officeDocument/2006/relationships/image" Target="media/image01.png"/><Relationship Id="rId6" Type="http://schemas.openxmlformats.org/officeDocument/2006/relationships/hyperlink" Target="https://www.gov.uk/government/publications/prompt-payment-data-for-dfe-2015-to-2016-financial-year" TargetMode="External"/><Relationship Id="rId7" Type="http://schemas.openxmlformats.org/officeDocument/2006/relationships/hyperlink" Target="https://www.gov.uk/government/publications/prompt-payment-data-for-dfe-2015-to-2016-financial-year" TargetMode="External"/><Relationship Id="rId8" Type="http://schemas.openxmlformats.org/officeDocument/2006/relationships/hyperlink" Target="https://www.gov.uk/government/publications/defra-prompt-payment-performance-report" TargetMode="External"/><Relationship Id="rId31" Type="http://schemas.openxmlformats.org/officeDocument/2006/relationships/hyperlink" Target="https://www.gov.uk/government/publications/dclg-and-pins-prompt-payment-data-2015" TargetMode="External"/><Relationship Id="rId30" Type="http://schemas.openxmlformats.org/officeDocument/2006/relationships/hyperlink" Target="https://www.gov.uk/government/publications/dclg-and-pins-prompt-payment-data-2015" TargetMode="External"/><Relationship Id="rId33" Type="http://schemas.openxmlformats.org/officeDocument/2006/relationships/hyperlink" Target="https://www.gov.uk/government/publications/home-office-prompt-payment-data-2015-to-2016" TargetMode="External"/><Relationship Id="rId32" Type="http://schemas.openxmlformats.org/officeDocument/2006/relationships/hyperlink" Target="https://www.gov.uk/government/publications/home-office-prompt-payment-data-2015-to-2016" TargetMode="External"/><Relationship Id="rId35" Type="http://schemas.openxmlformats.org/officeDocument/2006/relationships/hyperlink" Target="https://www.gov.uk/government/organisations/ministry-of-justice/about/procurement" TargetMode="External"/><Relationship Id="rId34" Type="http://schemas.openxmlformats.org/officeDocument/2006/relationships/hyperlink" Target="https://www.gov.uk/government/publications/home-office-prompt-payment-data-2015-to-2016" TargetMode="External"/><Relationship Id="rId37" Type="http://schemas.openxmlformats.org/officeDocument/2006/relationships/hyperlink" Target="https://www.gov.uk/government/organisations/ministry-of-justice/about/procurement" TargetMode="External"/><Relationship Id="rId36" Type="http://schemas.openxmlformats.org/officeDocument/2006/relationships/hyperlink" Target="https://www.gov.uk/government/organisations/ministry-of-justice/about/procurement" TargetMode="External"/><Relationship Id="rId39" Type="http://schemas.openxmlformats.org/officeDocument/2006/relationships/hyperlink" Target="https://www.gov.uk/government/collections/foreign-and-commonwealth-office-prompt-payment-data" TargetMode="External"/><Relationship Id="rId38" Type="http://schemas.openxmlformats.org/officeDocument/2006/relationships/hyperlink" Target="https://www.gov.uk/government/collections/foreign-and-commonwealth-office-prompt-payment-data" TargetMode="External"/><Relationship Id="rId20" Type="http://schemas.openxmlformats.org/officeDocument/2006/relationships/hyperlink" Target="https://www.gov.uk/government/publications/hmrc-prompt-payment-performance-report/hmrc-prompt-payment-performance-results" TargetMode="External"/><Relationship Id="rId22" Type="http://schemas.openxmlformats.org/officeDocument/2006/relationships/hyperlink" Target="https://www.gov.uk/government/publications/hmrc-prompt-payment-performance-report/hmrc-prompt-payment-performance-results" TargetMode="External"/><Relationship Id="rId21" Type="http://schemas.openxmlformats.org/officeDocument/2006/relationships/hyperlink" Target="https://www.gov.uk/government/publications/hmrc-prompt-payment-performance-report/hmrc-prompt-payment-performance-results" TargetMode="External"/><Relationship Id="rId24" Type="http://schemas.openxmlformats.org/officeDocument/2006/relationships/hyperlink" Target="https://www.gov.uk/government/publications/cabinet-office-prompt-payment-data" TargetMode="External"/><Relationship Id="rId23" Type="http://schemas.openxmlformats.org/officeDocument/2006/relationships/hyperlink" Target="https://www.gov.uk/government/publications/cabinet-office-prompt-payment-data" TargetMode="External"/><Relationship Id="rId26" Type="http://schemas.openxmlformats.org/officeDocument/2006/relationships/hyperlink" Target="https://www.gov.uk/government/publications/prompt-payment-statistics" TargetMode="External"/><Relationship Id="rId25" Type="http://schemas.openxmlformats.org/officeDocument/2006/relationships/hyperlink" Target="https://www.gov.uk/government/publications/cabinet-office-prompt-payment-data" TargetMode="External"/><Relationship Id="rId28" Type="http://schemas.openxmlformats.org/officeDocument/2006/relationships/hyperlink" Target="https://www.gov.uk/government/publications/prompt-payment-statistics" TargetMode="External"/><Relationship Id="rId27" Type="http://schemas.openxmlformats.org/officeDocument/2006/relationships/hyperlink" Target="https://www.gov.uk/government/publications/prompt-payment-statistics" TargetMode="External"/><Relationship Id="rId29" Type="http://schemas.openxmlformats.org/officeDocument/2006/relationships/hyperlink" Target="https://www.gov.uk/government/publications/dclg-and-pins-prompt-payment-data-2015" TargetMode="External"/><Relationship Id="rId51" Type="http://schemas.openxmlformats.org/officeDocument/2006/relationships/hyperlink" Target="https://www.gov.uk/government/publications/hm-treasury-group-payment-performance" TargetMode="External"/><Relationship Id="rId50" Type="http://schemas.openxmlformats.org/officeDocument/2006/relationships/hyperlink" Target="https://www.gov.uk/government/publications/hm-treasury-group-payment-performance" TargetMode="External"/><Relationship Id="rId52" Type="http://schemas.openxmlformats.org/officeDocument/2006/relationships/hyperlink" Target="https://www.gov.uk/government/publications/hm-treasury-group-payment-performance" TargetMode="External"/><Relationship Id="rId11" Type="http://schemas.openxmlformats.org/officeDocument/2006/relationships/hyperlink" Target="https://www.gov.uk/government/organisations/department-for-work-pensions/about/procurement" TargetMode="External"/><Relationship Id="rId10" Type="http://schemas.openxmlformats.org/officeDocument/2006/relationships/hyperlink" Target="https://www.gov.uk/government/publications/department-of-health-prompt-payment-of-suppliers-data/department-of-health-prompt-payment-of-suppliers-data-2016" TargetMode="External"/><Relationship Id="rId13" Type="http://schemas.openxmlformats.org/officeDocument/2006/relationships/hyperlink" Target="https://www.gov.uk/government/organisations/department-for-work-pensions/about/procurement" TargetMode="External"/><Relationship Id="rId12" Type="http://schemas.openxmlformats.org/officeDocument/2006/relationships/hyperlink" Target="https://www.gov.uk/government/organisations/department-for-work-pensions/about/procurement" TargetMode="External"/><Relationship Id="rId15" Type="http://schemas.openxmlformats.org/officeDocument/2006/relationships/hyperlink" Target="https://www.gov.uk/government/collections/bis-prompt-payment-data" TargetMode="External"/><Relationship Id="rId14" Type="http://schemas.openxmlformats.org/officeDocument/2006/relationships/hyperlink" Target="https://www.gov.uk/government/collections/bis-prompt-payment-data" TargetMode="External"/><Relationship Id="rId17" Type="http://schemas.openxmlformats.org/officeDocument/2006/relationships/hyperlink" Target="https://www.gov.uk/government/collections/ministry-of-defence-supplier-invoicing-and-payment-information" TargetMode="External"/><Relationship Id="rId16" Type="http://schemas.openxmlformats.org/officeDocument/2006/relationships/hyperlink" Target="https://www.gov.uk/government/collections/bis-prompt-payment-data" TargetMode="External"/><Relationship Id="rId19" Type="http://schemas.openxmlformats.org/officeDocument/2006/relationships/hyperlink" Target="https://www.gov.uk/government/collections/ministry-of-defence-supplier-invoicing-and-payment-information" TargetMode="External"/><Relationship Id="rId18" Type="http://schemas.openxmlformats.org/officeDocument/2006/relationships/hyperlink" Target="https://www.gov.uk/government/collections/ministry-of-defence-supplier-invoicing-and-payment-information" TargetMode="External"/></Relationships>
</file>