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62"/>
        <w:gridCol w:w="2445"/>
        <w:gridCol w:w="2375"/>
      </w:tblGrid>
      <w:tr w:rsidR="00FF3847" w:rsidRPr="00FF3847" w14:paraId="7AAB6611" w14:textId="77777777" w:rsidTr="005B0108">
        <w:tc>
          <w:tcPr>
            <w:tcW w:w="9561" w:type="dxa"/>
            <w:gridSpan w:val="4"/>
          </w:tcPr>
          <w:p w14:paraId="238D315C" w14:textId="77777777" w:rsidR="00730BA1" w:rsidRPr="00FF3847" w:rsidRDefault="00730BA1" w:rsidP="00730BA1">
            <w:pPr>
              <w:tabs>
                <w:tab w:val="clear" w:pos="720"/>
              </w:tabs>
              <w:ind w:left="0" w:firstLine="0"/>
              <w:jc w:val="center"/>
              <w:rPr>
                <w:b/>
                <w:color w:val="000000" w:themeColor="text1"/>
              </w:rPr>
            </w:pPr>
            <w:r w:rsidRPr="00FF3847">
              <w:rPr>
                <w:b/>
                <w:color w:val="000000" w:themeColor="text1"/>
              </w:rPr>
              <w:t>Document Control Sheet</w:t>
            </w:r>
          </w:p>
        </w:tc>
      </w:tr>
      <w:tr w:rsidR="00FF3847" w:rsidRPr="00FF3847" w14:paraId="15EEE914" w14:textId="77777777" w:rsidTr="005B0108">
        <w:tc>
          <w:tcPr>
            <w:tcW w:w="4741" w:type="dxa"/>
            <w:gridSpan w:val="2"/>
          </w:tcPr>
          <w:p w14:paraId="1C779D9A" w14:textId="77777777" w:rsidR="00730BA1" w:rsidRPr="00FF3847" w:rsidRDefault="00730BA1" w:rsidP="001749BE">
            <w:pPr>
              <w:tabs>
                <w:tab w:val="clear" w:pos="720"/>
              </w:tabs>
              <w:ind w:left="0" w:firstLine="0"/>
              <w:rPr>
                <w:color w:val="000000" w:themeColor="text1"/>
              </w:rPr>
            </w:pPr>
            <w:r w:rsidRPr="00FF3847">
              <w:rPr>
                <w:color w:val="000000" w:themeColor="text1"/>
              </w:rPr>
              <w:t xml:space="preserve">Author </w:t>
            </w:r>
            <w:r w:rsidR="001749BE" w:rsidRPr="00FF3847">
              <w:rPr>
                <w:color w:val="000000" w:themeColor="text1"/>
              </w:rPr>
              <w:t>and Owner</w:t>
            </w:r>
          </w:p>
        </w:tc>
        <w:tc>
          <w:tcPr>
            <w:tcW w:w="4820" w:type="dxa"/>
            <w:gridSpan w:val="2"/>
          </w:tcPr>
          <w:p w14:paraId="33E5E780" w14:textId="77777777" w:rsidR="00730BA1" w:rsidRPr="00FF3847" w:rsidRDefault="0023077F" w:rsidP="006F6463">
            <w:pPr>
              <w:tabs>
                <w:tab w:val="clear" w:pos="720"/>
              </w:tabs>
              <w:ind w:left="0" w:firstLine="0"/>
              <w:rPr>
                <w:color w:val="000000" w:themeColor="text1"/>
              </w:rPr>
            </w:pPr>
            <w:r>
              <w:t>Matthew Collantine</w:t>
            </w:r>
          </w:p>
        </w:tc>
      </w:tr>
      <w:tr w:rsidR="00FF3847" w:rsidRPr="00FF3847" w14:paraId="5E9DB82C" w14:textId="77777777" w:rsidTr="005B0108">
        <w:tc>
          <w:tcPr>
            <w:tcW w:w="4741" w:type="dxa"/>
            <w:gridSpan w:val="2"/>
          </w:tcPr>
          <w:p w14:paraId="09705400" w14:textId="77777777" w:rsidR="00730BA1" w:rsidRPr="00FF3847" w:rsidRDefault="00730BA1" w:rsidP="006F6463">
            <w:pPr>
              <w:tabs>
                <w:tab w:val="clear" w:pos="720"/>
              </w:tabs>
              <w:ind w:left="0" w:firstLine="0"/>
              <w:rPr>
                <w:color w:val="000000" w:themeColor="text1"/>
              </w:rPr>
            </w:pPr>
            <w:r w:rsidRPr="00FF3847">
              <w:rPr>
                <w:color w:val="000000" w:themeColor="text1"/>
              </w:rPr>
              <w:t>Document Path and Livelink number</w:t>
            </w:r>
          </w:p>
        </w:tc>
        <w:tc>
          <w:tcPr>
            <w:tcW w:w="4820" w:type="dxa"/>
            <w:gridSpan w:val="2"/>
          </w:tcPr>
          <w:p w14:paraId="35532C2A" w14:textId="77777777" w:rsidR="0023077F" w:rsidRDefault="0023077F" w:rsidP="0023077F">
            <w:pPr>
              <w:tabs>
                <w:tab w:val="clear" w:pos="720"/>
              </w:tabs>
              <w:ind w:left="0" w:firstLine="0"/>
            </w:pPr>
            <w:r>
              <w:t>Livelink – QMS Live – S&amp;CS</w:t>
            </w:r>
          </w:p>
          <w:p w14:paraId="52D20885" w14:textId="19D158AD" w:rsidR="008008F8" w:rsidRPr="00FF3847" w:rsidRDefault="00276721" w:rsidP="0023077F">
            <w:pPr>
              <w:tabs>
                <w:tab w:val="clear" w:pos="720"/>
              </w:tabs>
              <w:ind w:left="0" w:firstLine="0"/>
              <w:rPr>
                <w:color w:val="000000" w:themeColor="text1"/>
              </w:rPr>
            </w:pPr>
            <w:hyperlink r:id="rId8" w:history="1">
              <w:r w:rsidR="000A5690">
                <w:rPr>
                  <w:rStyle w:val="Hyperlink"/>
                </w:rPr>
                <w:t>SCS Folder</w:t>
              </w:r>
            </w:hyperlink>
          </w:p>
        </w:tc>
      </w:tr>
      <w:tr w:rsidR="00FF3847" w:rsidRPr="00FF3847" w14:paraId="52BE7214" w14:textId="77777777" w:rsidTr="005B0108">
        <w:tc>
          <w:tcPr>
            <w:tcW w:w="4741" w:type="dxa"/>
            <w:gridSpan w:val="2"/>
          </w:tcPr>
          <w:p w14:paraId="63AF525D" w14:textId="77777777" w:rsidR="00730BA1" w:rsidRPr="00FF3847" w:rsidRDefault="00730BA1" w:rsidP="006F6463">
            <w:pPr>
              <w:tabs>
                <w:tab w:val="clear" w:pos="720"/>
              </w:tabs>
              <w:ind w:left="0" w:firstLine="0"/>
              <w:rPr>
                <w:color w:val="000000" w:themeColor="text1"/>
              </w:rPr>
            </w:pPr>
            <w:r w:rsidRPr="00FF3847">
              <w:rPr>
                <w:color w:val="000000" w:themeColor="text1"/>
              </w:rPr>
              <w:t>Version number</w:t>
            </w:r>
          </w:p>
        </w:tc>
        <w:tc>
          <w:tcPr>
            <w:tcW w:w="4820" w:type="dxa"/>
            <w:gridSpan w:val="2"/>
          </w:tcPr>
          <w:p w14:paraId="57F7A694" w14:textId="3F18DDED" w:rsidR="00730BA1" w:rsidRPr="00FF3847" w:rsidRDefault="0023077F" w:rsidP="006F6463">
            <w:pPr>
              <w:tabs>
                <w:tab w:val="clear" w:pos="720"/>
              </w:tabs>
              <w:ind w:left="0" w:firstLine="0"/>
              <w:rPr>
                <w:color w:val="000000" w:themeColor="text1"/>
              </w:rPr>
            </w:pPr>
            <w:r>
              <w:t>V</w:t>
            </w:r>
            <w:r w:rsidR="00276721">
              <w:t>5</w:t>
            </w:r>
          </w:p>
        </w:tc>
      </w:tr>
      <w:tr w:rsidR="00FF3847" w:rsidRPr="00FF3847" w14:paraId="5ECE0CC1" w14:textId="77777777" w:rsidTr="005B0108">
        <w:tc>
          <w:tcPr>
            <w:tcW w:w="4741" w:type="dxa"/>
            <w:gridSpan w:val="2"/>
          </w:tcPr>
          <w:p w14:paraId="6F2B3BD6" w14:textId="77777777" w:rsidR="00730BA1" w:rsidRPr="00FF3847" w:rsidRDefault="00730BA1" w:rsidP="006F6463">
            <w:pPr>
              <w:tabs>
                <w:tab w:val="clear" w:pos="720"/>
              </w:tabs>
              <w:ind w:left="0" w:firstLine="0"/>
              <w:rPr>
                <w:color w:val="000000" w:themeColor="text1"/>
              </w:rPr>
            </w:pPr>
            <w:r w:rsidRPr="00FF3847">
              <w:rPr>
                <w:color w:val="000000" w:themeColor="text1"/>
              </w:rPr>
              <w:t xml:space="preserve">Status </w:t>
            </w:r>
          </w:p>
        </w:tc>
        <w:tc>
          <w:tcPr>
            <w:tcW w:w="4820" w:type="dxa"/>
            <w:gridSpan w:val="2"/>
          </w:tcPr>
          <w:p w14:paraId="68A36106" w14:textId="77777777" w:rsidR="00730BA1" w:rsidRPr="00FF3847" w:rsidRDefault="0023077F" w:rsidP="006F6463">
            <w:pPr>
              <w:tabs>
                <w:tab w:val="clear" w:pos="720"/>
              </w:tabs>
              <w:ind w:left="0" w:firstLine="0"/>
              <w:rPr>
                <w:color w:val="000000" w:themeColor="text1"/>
              </w:rPr>
            </w:pPr>
            <w:r>
              <w:t>Live</w:t>
            </w:r>
          </w:p>
        </w:tc>
      </w:tr>
      <w:tr w:rsidR="00FF3847" w:rsidRPr="00FF3847" w14:paraId="1997DF48" w14:textId="77777777" w:rsidTr="005B0108">
        <w:tc>
          <w:tcPr>
            <w:tcW w:w="4741" w:type="dxa"/>
            <w:gridSpan w:val="2"/>
          </w:tcPr>
          <w:p w14:paraId="21CC1F55" w14:textId="77777777" w:rsidR="00730BA1" w:rsidRPr="00FF3847" w:rsidRDefault="00730BA1" w:rsidP="006F6463">
            <w:pPr>
              <w:tabs>
                <w:tab w:val="clear" w:pos="720"/>
              </w:tabs>
              <w:ind w:left="0" w:firstLine="0"/>
              <w:rPr>
                <w:color w:val="000000" w:themeColor="text1"/>
              </w:rPr>
            </w:pPr>
            <w:r w:rsidRPr="00FF3847">
              <w:rPr>
                <w:color w:val="000000" w:themeColor="text1"/>
              </w:rPr>
              <w:t>Version Publication date</w:t>
            </w:r>
          </w:p>
        </w:tc>
        <w:tc>
          <w:tcPr>
            <w:tcW w:w="4820" w:type="dxa"/>
            <w:gridSpan w:val="2"/>
          </w:tcPr>
          <w:p w14:paraId="2EDAC3D7" w14:textId="27BBFB30" w:rsidR="00730BA1" w:rsidRPr="00FF3847" w:rsidRDefault="00276721" w:rsidP="006F6463">
            <w:pPr>
              <w:tabs>
                <w:tab w:val="clear" w:pos="720"/>
              </w:tabs>
              <w:ind w:left="0" w:firstLine="0"/>
              <w:rPr>
                <w:color w:val="000000" w:themeColor="text1"/>
              </w:rPr>
            </w:pPr>
            <w:r>
              <w:rPr>
                <w:color w:val="000000" w:themeColor="text1"/>
              </w:rPr>
              <w:t>September 2022</w:t>
            </w:r>
          </w:p>
        </w:tc>
      </w:tr>
      <w:tr w:rsidR="00FF3847" w:rsidRPr="00FF3847" w14:paraId="32236E2C" w14:textId="77777777" w:rsidTr="005B0108">
        <w:tc>
          <w:tcPr>
            <w:tcW w:w="4741" w:type="dxa"/>
            <w:gridSpan w:val="2"/>
          </w:tcPr>
          <w:p w14:paraId="725D8E44" w14:textId="77777777" w:rsidR="00730BA1" w:rsidRPr="00FF3847" w:rsidRDefault="00730BA1" w:rsidP="001749BE">
            <w:pPr>
              <w:tabs>
                <w:tab w:val="clear" w:pos="720"/>
              </w:tabs>
              <w:ind w:left="0" w:firstLine="0"/>
              <w:rPr>
                <w:color w:val="000000" w:themeColor="text1"/>
              </w:rPr>
            </w:pPr>
            <w:r w:rsidRPr="00FF3847">
              <w:rPr>
                <w:color w:val="000000" w:themeColor="text1"/>
              </w:rPr>
              <w:t xml:space="preserve">Related </w:t>
            </w:r>
            <w:r w:rsidR="001749BE" w:rsidRPr="00FF3847">
              <w:rPr>
                <w:color w:val="000000" w:themeColor="text1"/>
              </w:rPr>
              <w:t>QMS Documents</w:t>
            </w:r>
          </w:p>
        </w:tc>
        <w:tc>
          <w:tcPr>
            <w:tcW w:w="4820" w:type="dxa"/>
            <w:gridSpan w:val="2"/>
          </w:tcPr>
          <w:p w14:paraId="0A27C0FD" w14:textId="0F4391F5" w:rsidR="00730BA1" w:rsidRPr="00FF3847" w:rsidRDefault="00730BA1" w:rsidP="006F6463">
            <w:pPr>
              <w:tabs>
                <w:tab w:val="clear" w:pos="720"/>
              </w:tabs>
              <w:ind w:left="0" w:firstLine="0"/>
              <w:rPr>
                <w:color w:val="000000" w:themeColor="text1"/>
              </w:rPr>
            </w:pPr>
          </w:p>
        </w:tc>
      </w:tr>
      <w:tr w:rsidR="00FF3847" w:rsidRPr="00FF3847" w14:paraId="3C62D42D" w14:textId="77777777" w:rsidTr="005B0108">
        <w:tc>
          <w:tcPr>
            <w:tcW w:w="4741" w:type="dxa"/>
            <w:gridSpan w:val="2"/>
          </w:tcPr>
          <w:p w14:paraId="144653AC" w14:textId="77777777" w:rsidR="00730BA1" w:rsidRPr="00FF3847" w:rsidRDefault="008008F8" w:rsidP="006F6463">
            <w:pPr>
              <w:tabs>
                <w:tab w:val="clear" w:pos="720"/>
              </w:tabs>
              <w:ind w:left="0" w:firstLine="0"/>
              <w:rPr>
                <w:color w:val="000000" w:themeColor="text1"/>
              </w:rPr>
            </w:pPr>
            <w:r w:rsidRPr="00FF3847">
              <w:rPr>
                <w:color w:val="000000" w:themeColor="text1"/>
              </w:rPr>
              <w:t>Review Frequency and Date</w:t>
            </w:r>
          </w:p>
        </w:tc>
        <w:tc>
          <w:tcPr>
            <w:tcW w:w="4820" w:type="dxa"/>
            <w:gridSpan w:val="2"/>
          </w:tcPr>
          <w:p w14:paraId="69049E1C" w14:textId="77777777" w:rsidR="002A18A8" w:rsidRDefault="002A18A8" w:rsidP="002A18A8">
            <w:pPr>
              <w:tabs>
                <w:tab w:val="clear" w:pos="720"/>
              </w:tabs>
              <w:ind w:left="0" w:firstLine="0"/>
            </w:pPr>
            <w:r>
              <w:t xml:space="preserve">Annual </w:t>
            </w:r>
          </w:p>
          <w:p w14:paraId="713293F3" w14:textId="48D68C4E" w:rsidR="008008F8" w:rsidRPr="00FF3847" w:rsidRDefault="00276721" w:rsidP="002A18A8">
            <w:pPr>
              <w:tabs>
                <w:tab w:val="clear" w:pos="720"/>
              </w:tabs>
              <w:ind w:left="0" w:firstLine="0"/>
              <w:rPr>
                <w:color w:val="000000" w:themeColor="text1"/>
              </w:rPr>
            </w:pPr>
            <w:r>
              <w:rPr>
                <w:color w:val="000000" w:themeColor="text1"/>
              </w:rPr>
              <w:t>Sept</w:t>
            </w:r>
            <w:r w:rsidR="002A18A8">
              <w:rPr>
                <w:color w:val="000000" w:themeColor="text1"/>
              </w:rPr>
              <w:t xml:space="preserve"> </w:t>
            </w:r>
            <w:r w:rsidR="002A18A8">
              <w:t>202</w:t>
            </w:r>
            <w:r>
              <w:t>3</w:t>
            </w:r>
          </w:p>
        </w:tc>
      </w:tr>
      <w:tr w:rsidR="00FF3847" w:rsidRPr="00FF3847" w14:paraId="09261C32" w14:textId="77777777" w:rsidTr="005B0108">
        <w:tc>
          <w:tcPr>
            <w:tcW w:w="4741" w:type="dxa"/>
            <w:gridSpan w:val="2"/>
          </w:tcPr>
          <w:p w14:paraId="3672A8C7" w14:textId="77777777" w:rsidR="00730BA1" w:rsidRPr="00FF3847" w:rsidRDefault="008008F8" w:rsidP="006F6463">
            <w:pPr>
              <w:tabs>
                <w:tab w:val="clear" w:pos="720"/>
              </w:tabs>
              <w:ind w:left="0" w:firstLine="0"/>
              <w:rPr>
                <w:color w:val="000000" w:themeColor="text1"/>
              </w:rPr>
            </w:pPr>
            <w:r w:rsidRPr="00FF3847">
              <w:rPr>
                <w:color w:val="000000" w:themeColor="text1"/>
              </w:rPr>
              <w:t>Approved by and Date</w:t>
            </w:r>
          </w:p>
        </w:tc>
        <w:tc>
          <w:tcPr>
            <w:tcW w:w="4820" w:type="dxa"/>
            <w:gridSpan w:val="2"/>
          </w:tcPr>
          <w:p w14:paraId="67C19961" w14:textId="509FF3A3" w:rsidR="00730BA1" w:rsidRPr="00FF3847" w:rsidRDefault="003D45DE" w:rsidP="006F6463">
            <w:pPr>
              <w:tabs>
                <w:tab w:val="clear" w:pos="720"/>
              </w:tabs>
              <w:ind w:left="0" w:firstLine="0"/>
              <w:rPr>
                <w:color w:val="000000" w:themeColor="text1"/>
              </w:rPr>
            </w:pPr>
            <w:r>
              <w:t xml:space="preserve">Matt Shreeve </w:t>
            </w:r>
            <w:r w:rsidR="00276721">
              <w:rPr>
                <w:color w:val="000000" w:themeColor="text1"/>
              </w:rPr>
              <w:t>Sept 2022</w:t>
            </w:r>
          </w:p>
        </w:tc>
      </w:tr>
      <w:tr w:rsidR="00FF3847" w:rsidRPr="00FF3847" w14:paraId="467962E2" w14:textId="77777777" w:rsidTr="005B0108">
        <w:tc>
          <w:tcPr>
            <w:tcW w:w="4741" w:type="dxa"/>
            <w:gridSpan w:val="2"/>
          </w:tcPr>
          <w:p w14:paraId="16146A9B" w14:textId="77777777" w:rsidR="00730BA1" w:rsidRPr="00FF3847" w:rsidRDefault="008008F8" w:rsidP="006F6463">
            <w:pPr>
              <w:tabs>
                <w:tab w:val="clear" w:pos="720"/>
              </w:tabs>
              <w:ind w:left="0" w:firstLine="0"/>
              <w:rPr>
                <w:color w:val="000000" w:themeColor="text1"/>
              </w:rPr>
            </w:pPr>
            <w:r w:rsidRPr="00FF3847">
              <w:rPr>
                <w:color w:val="000000" w:themeColor="text1"/>
              </w:rPr>
              <w:t xml:space="preserve">Distribution </w:t>
            </w:r>
          </w:p>
        </w:tc>
        <w:tc>
          <w:tcPr>
            <w:tcW w:w="4820" w:type="dxa"/>
            <w:gridSpan w:val="2"/>
          </w:tcPr>
          <w:p w14:paraId="284A77E1" w14:textId="78802E67" w:rsidR="00730BA1" w:rsidRPr="00FF3847" w:rsidRDefault="008008F8" w:rsidP="008008F8">
            <w:pPr>
              <w:tabs>
                <w:tab w:val="clear" w:pos="720"/>
              </w:tabs>
              <w:ind w:left="0" w:firstLine="0"/>
              <w:rPr>
                <w:color w:val="000000" w:themeColor="text1"/>
              </w:rPr>
            </w:pPr>
            <w:r w:rsidRPr="00FF3847">
              <w:rPr>
                <w:color w:val="000000" w:themeColor="text1"/>
              </w:rPr>
              <w:t>All NDA staff</w:t>
            </w:r>
          </w:p>
          <w:p w14:paraId="4BE5B5B9" w14:textId="77777777" w:rsidR="008008F8" w:rsidRPr="00FF3847" w:rsidRDefault="008008F8" w:rsidP="008008F8">
            <w:pPr>
              <w:tabs>
                <w:tab w:val="clear" w:pos="720"/>
              </w:tabs>
              <w:ind w:left="0" w:firstLine="0"/>
              <w:rPr>
                <w:color w:val="000000" w:themeColor="text1"/>
              </w:rPr>
            </w:pPr>
          </w:p>
        </w:tc>
      </w:tr>
      <w:tr w:rsidR="00FF3847" w:rsidRPr="00FF3847" w14:paraId="60AD1354" w14:textId="77777777" w:rsidTr="005B0108">
        <w:tc>
          <w:tcPr>
            <w:tcW w:w="2379" w:type="dxa"/>
          </w:tcPr>
          <w:p w14:paraId="39D3486D" w14:textId="77777777" w:rsidR="001665CB" w:rsidRPr="00FF3847" w:rsidRDefault="001665CB" w:rsidP="006F6463">
            <w:pPr>
              <w:tabs>
                <w:tab w:val="clear" w:pos="720"/>
              </w:tabs>
              <w:ind w:left="0" w:firstLine="0"/>
              <w:rPr>
                <w:b/>
                <w:color w:val="000000" w:themeColor="text1"/>
              </w:rPr>
            </w:pPr>
            <w:r w:rsidRPr="00FF3847">
              <w:rPr>
                <w:b/>
                <w:color w:val="000000" w:themeColor="text1"/>
              </w:rPr>
              <w:t>Version</w:t>
            </w:r>
          </w:p>
        </w:tc>
        <w:tc>
          <w:tcPr>
            <w:tcW w:w="2362" w:type="dxa"/>
          </w:tcPr>
          <w:p w14:paraId="798E4CA5" w14:textId="77777777" w:rsidR="001665CB" w:rsidRPr="00FF3847" w:rsidRDefault="001665CB" w:rsidP="006F6463">
            <w:pPr>
              <w:tabs>
                <w:tab w:val="clear" w:pos="720"/>
              </w:tabs>
              <w:ind w:left="0" w:firstLine="0"/>
              <w:rPr>
                <w:b/>
                <w:color w:val="000000" w:themeColor="text1"/>
              </w:rPr>
            </w:pPr>
            <w:r w:rsidRPr="00FF3847">
              <w:rPr>
                <w:b/>
                <w:color w:val="000000" w:themeColor="text1"/>
              </w:rPr>
              <w:t>Date</w:t>
            </w:r>
          </w:p>
        </w:tc>
        <w:tc>
          <w:tcPr>
            <w:tcW w:w="2445" w:type="dxa"/>
          </w:tcPr>
          <w:p w14:paraId="631F47FB" w14:textId="77777777" w:rsidR="001665CB" w:rsidRPr="00FF3847" w:rsidRDefault="001665CB" w:rsidP="008008F8">
            <w:pPr>
              <w:tabs>
                <w:tab w:val="clear" w:pos="720"/>
              </w:tabs>
              <w:ind w:left="0" w:firstLine="0"/>
              <w:rPr>
                <w:b/>
                <w:color w:val="000000" w:themeColor="text1"/>
              </w:rPr>
            </w:pPr>
            <w:r w:rsidRPr="00FF3847">
              <w:rPr>
                <w:b/>
                <w:color w:val="000000" w:themeColor="text1"/>
              </w:rPr>
              <w:t>Comments/Change</w:t>
            </w:r>
          </w:p>
        </w:tc>
        <w:tc>
          <w:tcPr>
            <w:tcW w:w="2375" w:type="dxa"/>
          </w:tcPr>
          <w:p w14:paraId="421953B5" w14:textId="77777777" w:rsidR="001665CB" w:rsidRPr="00FF3847" w:rsidRDefault="001665CB" w:rsidP="008008F8">
            <w:pPr>
              <w:tabs>
                <w:tab w:val="clear" w:pos="720"/>
              </w:tabs>
              <w:ind w:left="0" w:firstLine="0"/>
              <w:rPr>
                <w:b/>
                <w:color w:val="000000" w:themeColor="text1"/>
              </w:rPr>
            </w:pPr>
            <w:r w:rsidRPr="00FF3847">
              <w:rPr>
                <w:b/>
                <w:color w:val="000000" w:themeColor="text1"/>
              </w:rPr>
              <w:t>Author</w:t>
            </w:r>
          </w:p>
        </w:tc>
      </w:tr>
      <w:tr w:rsidR="003D45DE" w:rsidRPr="00FF3847" w14:paraId="322E7F49" w14:textId="77777777" w:rsidTr="005B0108">
        <w:tc>
          <w:tcPr>
            <w:tcW w:w="2379" w:type="dxa"/>
          </w:tcPr>
          <w:p w14:paraId="6ACB6FC7" w14:textId="645E45AC" w:rsidR="003D45DE" w:rsidRDefault="00583058" w:rsidP="003D45DE">
            <w:pPr>
              <w:tabs>
                <w:tab w:val="clear" w:pos="720"/>
              </w:tabs>
              <w:ind w:left="0" w:firstLine="0"/>
            </w:pPr>
            <w:r>
              <w:t>3</w:t>
            </w:r>
          </w:p>
        </w:tc>
        <w:tc>
          <w:tcPr>
            <w:tcW w:w="2362" w:type="dxa"/>
          </w:tcPr>
          <w:p w14:paraId="198C2593" w14:textId="77777777" w:rsidR="003D45DE" w:rsidRDefault="003D45DE" w:rsidP="003D45DE">
            <w:pPr>
              <w:tabs>
                <w:tab w:val="clear" w:pos="720"/>
              </w:tabs>
              <w:ind w:left="0" w:firstLine="0"/>
            </w:pPr>
            <w:r>
              <w:rPr>
                <w:color w:val="000000" w:themeColor="text1"/>
              </w:rPr>
              <w:t xml:space="preserve">August </w:t>
            </w:r>
            <w:r>
              <w:t>2020</w:t>
            </w:r>
          </w:p>
        </w:tc>
        <w:tc>
          <w:tcPr>
            <w:tcW w:w="2445" w:type="dxa"/>
          </w:tcPr>
          <w:p w14:paraId="308A2AAE" w14:textId="5C070708" w:rsidR="003D45DE" w:rsidRPr="00FF3847" w:rsidRDefault="003D45DE" w:rsidP="003D45DE">
            <w:pPr>
              <w:tabs>
                <w:tab w:val="clear" w:pos="720"/>
              </w:tabs>
              <w:ind w:left="0" w:firstLine="0"/>
              <w:rPr>
                <w:color w:val="000000" w:themeColor="text1"/>
              </w:rPr>
            </w:pPr>
            <w:r>
              <w:t>Review original TAC1</w:t>
            </w:r>
            <w:r w:rsidR="00CC2E08">
              <w:t>0</w:t>
            </w:r>
            <w:r>
              <w:t xml:space="preserve"> document and update. Change to </w:t>
            </w:r>
            <w:r w:rsidR="00854D7B">
              <w:t xml:space="preserve">new </w:t>
            </w:r>
            <w:r>
              <w:t>procedure</w:t>
            </w:r>
            <w:r w:rsidR="00854D7B">
              <w:t xml:space="preserve"> template.</w:t>
            </w:r>
          </w:p>
        </w:tc>
        <w:tc>
          <w:tcPr>
            <w:tcW w:w="2375" w:type="dxa"/>
          </w:tcPr>
          <w:p w14:paraId="3F942A7B" w14:textId="77777777" w:rsidR="003D45DE" w:rsidRPr="00FF3847" w:rsidRDefault="003D45DE" w:rsidP="003D45DE">
            <w:pPr>
              <w:tabs>
                <w:tab w:val="clear" w:pos="720"/>
              </w:tabs>
              <w:ind w:left="0" w:firstLine="0"/>
              <w:rPr>
                <w:color w:val="000000" w:themeColor="text1"/>
              </w:rPr>
            </w:pPr>
            <w:r>
              <w:t>Matthew Collantine</w:t>
            </w:r>
          </w:p>
        </w:tc>
      </w:tr>
      <w:tr w:rsidR="00FF3847" w:rsidRPr="00FF3847" w14:paraId="415B26D6" w14:textId="77777777" w:rsidTr="005B0108">
        <w:tc>
          <w:tcPr>
            <w:tcW w:w="2379" w:type="dxa"/>
          </w:tcPr>
          <w:p w14:paraId="3CD5DBC0" w14:textId="7EBFC29C" w:rsidR="001665CB" w:rsidRPr="00FF3847" w:rsidRDefault="00E771C2" w:rsidP="006F6463">
            <w:pPr>
              <w:tabs>
                <w:tab w:val="clear" w:pos="720"/>
              </w:tabs>
              <w:ind w:left="0" w:firstLine="0"/>
              <w:rPr>
                <w:color w:val="000000" w:themeColor="text1"/>
              </w:rPr>
            </w:pPr>
            <w:r>
              <w:rPr>
                <w:color w:val="000000" w:themeColor="text1"/>
              </w:rPr>
              <w:t>4</w:t>
            </w:r>
          </w:p>
        </w:tc>
        <w:tc>
          <w:tcPr>
            <w:tcW w:w="2362" w:type="dxa"/>
          </w:tcPr>
          <w:p w14:paraId="735C327C" w14:textId="7755FF6E" w:rsidR="001665CB" w:rsidRPr="00FF3847" w:rsidRDefault="00E771C2" w:rsidP="006F6463">
            <w:pPr>
              <w:tabs>
                <w:tab w:val="clear" w:pos="720"/>
              </w:tabs>
              <w:ind w:left="0" w:firstLine="0"/>
              <w:rPr>
                <w:color w:val="000000" w:themeColor="text1"/>
              </w:rPr>
            </w:pPr>
            <w:r>
              <w:rPr>
                <w:color w:val="000000" w:themeColor="text1"/>
              </w:rPr>
              <w:t>August 2021</w:t>
            </w:r>
          </w:p>
        </w:tc>
        <w:tc>
          <w:tcPr>
            <w:tcW w:w="2445" w:type="dxa"/>
          </w:tcPr>
          <w:p w14:paraId="3309A1CE" w14:textId="1B6A9738" w:rsidR="001665CB" w:rsidRPr="00FF3847" w:rsidRDefault="00E771C2" w:rsidP="008008F8">
            <w:pPr>
              <w:tabs>
                <w:tab w:val="clear" w:pos="720"/>
              </w:tabs>
              <w:ind w:left="0" w:firstLine="0"/>
              <w:rPr>
                <w:color w:val="000000" w:themeColor="text1"/>
              </w:rPr>
            </w:pPr>
            <w:r>
              <w:rPr>
                <w:color w:val="000000" w:themeColor="text1"/>
              </w:rPr>
              <w:t>Reviewed. Changed versioning.</w:t>
            </w:r>
          </w:p>
        </w:tc>
        <w:tc>
          <w:tcPr>
            <w:tcW w:w="2375" w:type="dxa"/>
          </w:tcPr>
          <w:p w14:paraId="13911EE6" w14:textId="1FCA08F8" w:rsidR="001665CB" w:rsidRPr="00FF3847" w:rsidRDefault="00E771C2" w:rsidP="008008F8">
            <w:pPr>
              <w:tabs>
                <w:tab w:val="clear" w:pos="720"/>
              </w:tabs>
              <w:ind w:left="0" w:firstLine="0"/>
              <w:rPr>
                <w:color w:val="000000" w:themeColor="text1"/>
              </w:rPr>
            </w:pPr>
            <w:r>
              <w:rPr>
                <w:color w:val="000000" w:themeColor="text1"/>
              </w:rPr>
              <w:t>Paul Jacka</w:t>
            </w:r>
          </w:p>
        </w:tc>
      </w:tr>
      <w:tr w:rsidR="00276721" w:rsidRPr="00FF3847" w14:paraId="2968FA65" w14:textId="77777777" w:rsidTr="005B0108">
        <w:tc>
          <w:tcPr>
            <w:tcW w:w="2379" w:type="dxa"/>
          </w:tcPr>
          <w:p w14:paraId="45737D04" w14:textId="3B5ABB46" w:rsidR="00276721" w:rsidRDefault="00276721" w:rsidP="006F6463">
            <w:pPr>
              <w:tabs>
                <w:tab w:val="clear" w:pos="720"/>
              </w:tabs>
              <w:ind w:left="0" w:firstLine="0"/>
              <w:rPr>
                <w:color w:val="000000" w:themeColor="text1"/>
              </w:rPr>
            </w:pPr>
            <w:r>
              <w:rPr>
                <w:color w:val="000000" w:themeColor="text1"/>
              </w:rPr>
              <w:t>5</w:t>
            </w:r>
          </w:p>
        </w:tc>
        <w:tc>
          <w:tcPr>
            <w:tcW w:w="2362" w:type="dxa"/>
          </w:tcPr>
          <w:p w14:paraId="7A8FE834" w14:textId="018A6C06" w:rsidR="00276721" w:rsidRDefault="00276721" w:rsidP="006F6463">
            <w:pPr>
              <w:tabs>
                <w:tab w:val="clear" w:pos="720"/>
              </w:tabs>
              <w:ind w:left="0" w:firstLine="0"/>
              <w:rPr>
                <w:color w:val="000000" w:themeColor="text1"/>
              </w:rPr>
            </w:pPr>
            <w:r>
              <w:rPr>
                <w:color w:val="000000" w:themeColor="text1"/>
              </w:rPr>
              <w:t>September 2022</w:t>
            </w:r>
          </w:p>
        </w:tc>
        <w:tc>
          <w:tcPr>
            <w:tcW w:w="2445" w:type="dxa"/>
          </w:tcPr>
          <w:p w14:paraId="7DCC11D1" w14:textId="09928C32" w:rsidR="00276721" w:rsidRDefault="00276721" w:rsidP="008008F8">
            <w:pPr>
              <w:tabs>
                <w:tab w:val="clear" w:pos="720"/>
              </w:tabs>
              <w:ind w:left="0" w:firstLine="0"/>
              <w:rPr>
                <w:color w:val="000000" w:themeColor="text1"/>
              </w:rPr>
            </w:pPr>
            <w:r>
              <w:rPr>
                <w:color w:val="000000" w:themeColor="text1"/>
              </w:rPr>
              <w:t>Reviewed and version</w:t>
            </w:r>
          </w:p>
        </w:tc>
        <w:tc>
          <w:tcPr>
            <w:tcW w:w="2375" w:type="dxa"/>
          </w:tcPr>
          <w:p w14:paraId="18D473BE" w14:textId="51597D4D" w:rsidR="00276721" w:rsidRDefault="00276721" w:rsidP="008008F8">
            <w:pPr>
              <w:tabs>
                <w:tab w:val="clear" w:pos="720"/>
              </w:tabs>
              <w:ind w:left="0" w:firstLine="0"/>
              <w:rPr>
                <w:color w:val="000000" w:themeColor="text1"/>
              </w:rPr>
            </w:pPr>
            <w:r>
              <w:rPr>
                <w:color w:val="000000" w:themeColor="text1"/>
              </w:rPr>
              <w:t>Paul Jacka</w:t>
            </w:r>
          </w:p>
        </w:tc>
      </w:tr>
      <w:tr w:rsidR="00FF3847" w:rsidRPr="00FF3847" w14:paraId="0D5C3E9C" w14:textId="77777777" w:rsidTr="005B0108">
        <w:tc>
          <w:tcPr>
            <w:tcW w:w="9561" w:type="dxa"/>
            <w:gridSpan w:val="4"/>
          </w:tcPr>
          <w:p w14:paraId="60EDABF1" w14:textId="77777777" w:rsidR="008008F8" w:rsidRPr="00FF3847" w:rsidRDefault="008008F8" w:rsidP="008008F8">
            <w:pPr>
              <w:pStyle w:val="Default"/>
              <w:jc w:val="center"/>
              <w:rPr>
                <w:b/>
                <w:bCs/>
                <w:color w:val="000000" w:themeColor="text1"/>
                <w:sz w:val="22"/>
                <w:szCs w:val="22"/>
              </w:rPr>
            </w:pPr>
          </w:p>
          <w:p w14:paraId="18EA3257" w14:textId="77777777" w:rsidR="008008F8" w:rsidRPr="00FF3847" w:rsidRDefault="008008F8" w:rsidP="008008F8">
            <w:pPr>
              <w:pStyle w:val="Default"/>
              <w:jc w:val="center"/>
              <w:rPr>
                <w:color w:val="000000" w:themeColor="text1"/>
                <w:sz w:val="22"/>
                <w:szCs w:val="22"/>
              </w:rPr>
            </w:pPr>
            <w:r w:rsidRPr="00FF3847">
              <w:rPr>
                <w:b/>
                <w:bCs/>
                <w:color w:val="000000" w:themeColor="text1"/>
                <w:sz w:val="22"/>
                <w:szCs w:val="22"/>
              </w:rPr>
              <w:t xml:space="preserve">Please note that the version of this document contained within the </w:t>
            </w:r>
            <w:r w:rsidR="00D55E74" w:rsidRPr="00FF3847">
              <w:rPr>
                <w:b/>
                <w:bCs/>
                <w:color w:val="000000" w:themeColor="text1"/>
                <w:sz w:val="22"/>
                <w:szCs w:val="22"/>
              </w:rPr>
              <w:t xml:space="preserve">QMS is the only </w:t>
            </w:r>
            <w:r w:rsidRPr="00FF3847">
              <w:rPr>
                <w:b/>
                <w:bCs/>
                <w:color w:val="000000" w:themeColor="text1"/>
                <w:sz w:val="22"/>
                <w:szCs w:val="22"/>
              </w:rPr>
              <w:t>version that is maintained.</w:t>
            </w:r>
          </w:p>
          <w:p w14:paraId="6B99FBC2" w14:textId="77777777" w:rsidR="008008F8" w:rsidRPr="00FF3847" w:rsidRDefault="008008F8" w:rsidP="008008F8">
            <w:pPr>
              <w:tabs>
                <w:tab w:val="clear" w:pos="720"/>
              </w:tabs>
              <w:ind w:left="0" w:firstLine="0"/>
              <w:jc w:val="center"/>
              <w:rPr>
                <w:color w:val="000000" w:themeColor="text1"/>
              </w:rPr>
            </w:pPr>
            <w:r w:rsidRPr="00FF3847">
              <w:rPr>
                <w:color w:val="000000" w:themeColor="text1"/>
                <w:sz w:val="22"/>
                <w:szCs w:val="22"/>
              </w:rPr>
              <w:t>Any printed copies should therefore be viewed as “uncontrolled” and as such, may not necessarily contain the latest updates and amendments.</w:t>
            </w:r>
          </w:p>
        </w:tc>
      </w:tr>
    </w:tbl>
    <w:p w14:paraId="26DAA756" w14:textId="77777777" w:rsidR="00730BA1" w:rsidRPr="00FF3847" w:rsidRDefault="00730BA1" w:rsidP="006F6463">
      <w:pPr>
        <w:tabs>
          <w:tab w:val="clear" w:pos="720"/>
        </w:tabs>
        <w:ind w:left="0" w:firstLine="0"/>
        <w:rPr>
          <w:color w:val="000000" w:themeColor="text1"/>
        </w:rPr>
      </w:pPr>
    </w:p>
    <w:p w14:paraId="2D525EB7" w14:textId="77777777" w:rsidR="00730BA1" w:rsidRPr="00FF3847" w:rsidRDefault="00730BA1" w:rsidP="006F6463">
      <w:pPr>
        <w:tabs>
          <w:tab w:val="clear" w:pos="720"/>
        </w:tabs>
        <w:ind w:left="0" w:firstLine="0"/>
        <w:rPr>
          <w:color w:val="000000" w:themeColor="text1"/>
        </w:rPr>
      </w:pPr>
    </w:p>
    <w:p w14:paraId="4C086F77" w14:textId="77777777" w:rsidR="00402D26" w:rsidRPr="00FF3847" w:rsidRDefault="00402D26" w:rsidP="006F6463">
      <w:pPr>
        <w:tabs>
          <w:tab w:val="clear" w:pos="720"/>
        </w:tabs>
        <w:ind w:left="0" w:firstLine="0"/>
        <w:rPr>
          <w:color w:val="000000" w:themeColor="text1"/>
        </w:rPr>
      </w:pPr>
    </w:p>
    <w:p w14:paraId="7AA91207" w14:textId="77777777" w:rsidR="005B0108" w:rsidRPr="00FF3847" w:rsidRDefault="005B0108">
      <w:pPr>
        <w:tabs>
          <w:tab w:val="clear" w:pos="720"/>
        </w:tabs>
        <w:spacing w:before="0"/>
        <w:ind w:left="0" w:firstLine="0"/>
        <w:rPr>
          <w:color w:val="000000" w:themeColor="text1"/>
          <w:sz w:val="52"/>
          <w:szCs w:val="52"/>
        </w:rPr>
      </w:pPr>
      <w:r w:rsidRPr="00FF3847">
        <w:rPr>
          <w:color w:val="000000" w:themeColor="text1"/>
          <w:sz w:val="52"/>
          <w:szCs w:val="52"/>
        </w:rPr>
        <w:br w:type="page"/>
      </w:r>
    </w:p>
    <w:p w14:paraId="432582AA" w14:textId="77777777" w:rsidR="008008F8" w:rsidRPr="00FF3847" w:rsidRDefault="008008F8"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lastRenderedPageBreak/>
        <w:t>Scope</w:t>
      </w:r>
    </w:p>
    <w:p w14:paraId="1B4180D4" w14:textId="54E137ED" w:rsid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This document</w:t>
      </w:r>
      <w:r>
        <w:rPr>
          <w:rStyle w:val="FootnoteReference"/>
          <w:color w:val="000000" w:themeColor="text1"/>
        </w:rPr>
        <w:footnoteReference w:id="1"/>
      </w:r>
      <w:r w:rsidRPr="00CB21F6">
        <w:rPr>
          <w:color w:val="000000" w:themeColor="text1"/>
        </w:rPr>
        <w:t xml:space="preserve">  provides requirements to suppliers and contractors working for, and on behalf of, the Nuclear Decommissioning Authority’s Corporate Centr</w:t>
      </w:r>
      <w:r w:rsidR="0061645B">
        <w:rPr>
          <w:color w:val="000000" w:themeColor="text1"/>
        </w:rPr>
        <w:t>e</w:t>
      </w:r>
      <w:r w:rsidRPr="00CB21F6">
        <w:rPr>
          <w:color w:val="000000" w:themeColor="text1"/>
        </w:rPr>
        <w:t xml:space="preserve"> (NDA).</w:t>
      </w:r>
    </w:p>
    <w:p w14:paraId="0778820B" w14:textId="2FD50C31"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Cyber Essentials is a government-backed, industry supported scheme that defines a set of controls which, when properly implemented, provide organisations with basic protection from the most prevalent forms of threat coming from the internet.</w:t>
      </w:r>
    </w:p>
    <w:p w14:paraId="43F612F2" w14:textId="069778B3" w:rsidR="00FF3847"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The Nuclear Decommissioning Authority’s Corporate Center (NDA) is taking steps to reduce the levels of cyber security risk in its supply chain. NDA will in future require all suppliers bidding for certain contracts, which are assessed to pose an element of information risk, to meet the requirements of the Cyber Essentials scheme. Suppliers can choose to either become Cyber Essentials certified or will need to satisfy NDA that they meet the requirements of Cyber Essentials through technically competent independent verification.</w:t>
      </w:r>
    </w:p>
    <w:p w14:paraId="1EA77DC6" w14:textId="77777777" w:rsidR="00CB21F6" w:rsidRPr="00CB21F6" w:rsidRDefault="00CB21F6" w:rsidP="00CB21F6">
      <w:pPr>
        <w:tabs>
          <w:tab w:val="clear" w:pos="720"/>
        </w:tabs>
        <w:ind w:left="0" w:firstLine="0"/>
        <w:rPr>
          <w:color w:val="000000" w:themeColor="text1"/>
        </w:rPr>
      </w:pPr>
    </w:p>
    <w:p w14:paraId="52419445" w14:textId="77777777" w:rsidR="00353ADA" w:rsidRPr="00FF3847" w:rsidRDefault="00353ADA"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Responsibilities</w:t>
      </w:r>
    </w:p>
    <w:p w14:paraId="6E85B996" w14:textId="0A8760C1"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NDA will require suppliers to demonstrably meet the technical requirements of Cyber Essentials by the contract start date, and certainly prior to any data being passed to the supplier (excluding that data which is solely tender and contracts related). Evidence of recertification or independent assurance that the supplier continues to meet the requirements of Cyber Essentials should be provided to the Contract Lead/Procurement Department on an annual basis.</w:t>
      </w:r>
    </w:p>
    <w:p w14:paraId="1B2D977F" w14:textId="7ED7925B"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The requirement for suppliers to demonstrate their compliance with the Cyber Essentials technical requirements must be flowed down the supply chain, and therefore a lead supplier would be expected to seek assurance that their sub-contractors are suitably compliant as well. The supply chain will also need to subsequently apply the same test as it flows work down into further sub-contracts, however it is recognised that the scoping statement may not be applicable at some of these lower levels.</w:t>
      </w:r>
    </w:p>
    <w:p w14:paraId="6F408EC7" w14:textId="77777777" w:rsidR="005E792B" w:rsidRPr="00FF3847" w:rsidRDefault="005E792B" w:rsidP="00186748">
      <w:pPr>
        <w:tabs>
          <w:tab w:val="clear" w:pos="720"/>
        </w:tabs>
        <w:spacing w:before="0" w:after="120"/>
        <w:ind w:left="0" w:firstLine="0"/>
        <w:jc w:val="both"/>
        <w:rPr>
          <w:rFonts w:cs="Arial"/>
          <w:color w:val="000000" w:themeColor="text1"/>
        </w:rPr>
      </w:pPr>
    </w:p>
    <w:p w14:paraId="6119CA38" w14:textId="48FE149A" w:rsidR="00353ADA" w:rsidRDefault="00353ADA" w:rsidP="00353ADA">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Definitions</w:t>
      </w:r>
    </w:p>
    <w:p w14:paraId="08F4B2D3" w14:textId="60D8DEF8"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Cyber Essentials is not typically used to assess stand-alone computers which have no connection to the internet or any other computers. Suppliers using isolated stand-alone computers must be able to demonstrate adequate security controls through the issuing of Security Operating Procedures (SyOPs), which NDA may choose to review.</w:t>
      </w:r>
    </w:p>
    <w:p w14:paraId="2E7CF2B0" w14:textId="4D93700F"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 xml:space="preserve">When a supplier is providing a cloud-based solution or hosted service to NDA (e.g. Software as a service, or SaaS), then Cyber Essentials is appropriate for assuring </w:t>
      </w:r>
      <w:r w:rsidRPr="00CB21F6">
        <w:rPr>
          <w:color w:val="000000" w:themeColor="text1"/>
        </w:rPr>
        <w:lastRenderedPageBreak/>
        <w:t>the supplier but is not necessarily appropriate for assuring the supplier’s product. A cloud-based solution would be separately assured via a more appropriate means, like NDA’s Cloud Adoption Workbook.</w:t>
      </w:r>
    </w:p>
    <w:p w14:paraId="6B6E12D0" w14:textId="3B56379C" w:rsidR="0050657D"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The OFFICIAL classification will contain a wide range of information of varying sensitivities and with differing consequences resulting from compromise or loss.</w:t>
      </w:r>
    </w:p>
    <w:p w14:paraId="75A0215A" w14:textId="77777777" w:rsidR="00EB6EBF" w:rsidRPr="00EB6EBF" w:rsidRDefault="00EB6EBF" w:rsidP="00EB6EBF">
      <w:pPr>
        <w:tabs>
          <w:tab w:val="clear" w:pos="720"/>
        </w:tabs>
        <w:ind w:left="0" w:firstLine="0"/>
        <w:rPr>
          <w:color w:val="000000" w:themeColor="text1"/>
        </w:rPr>
      </w:pPr>
    </w:p>
    <w:p w14:paraId="78D4AB32" w14:textId="77777777" w:rsidR="00393377" w:rsidRPr="00FF3847" w:rsidRDefault="00402D26" w:rsidP="00393377">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Content</w:t>
      </w:r>
    </w:p>
    <w:p w14:paraId="11B8A443" w14:textId="77777777" w:rsidR="00186748" w:rsidRPr="00FF3847" w:rsidRDefault="00186748" w:rsidP="00186748">
      <w:pPr>
        <w:tabs>
          <w:tab w:val="clear" w:pos="720"/>
        </w:tabs>
        <w:spacing w:before="0"/>
        <w:ind w:left="0" w:firstLine="0"/>
        <w:rPr>
          <w:color w:val="000000" w:themeColor="text1"/>
        </w:rPr>
      </w:pPr>
    </w:p>
    <w:p w14:paraId="738264FF" w14:textId="5BACBA14" w:rsidR="0050657D" w:rsidRPr="00FF3847" w:rsidRDefault="00CB21F6" w:rsidP="0050657D">
      <w:pPr>
        <w:tabs>
          <w:tab w:val="clear" w:pos="720"/>
        </w:tabs>
        <w:rPr>
          <w:b/>
          <w:bCs/>
          <w:color w:val="000000" w:themeColor="text1"/>
        </w:rPr>
      </w:pPr>
      <w:r>
        <w:rPr>
          <w:b/>
          <w:bCs/>
          <w:color w:val="000000" w:themeColor="text1"/>
        </w:rPr>
        <w:t>A</w:t>
      </w:r>
      <w:r w:rsidRPr="00CB21F6">
        <w:rPr>
          <w:b/>
          <w:bCs/>
          <w:color w:val="000000" w:themeColor="text1"/>
        </w:rPr>
        <w:t>PPLICATION OF CYBER ESSENTIALS</w:t>
      </w:r>
    </w:p>
    <w:p w14:paraId="1618BAB9" w14:textId="7464260B"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 xml:space="preserve">It is realised that not all contracts are appropriate for such assurance, and therefore we are keen not to add additional costs onto suppliers unnecessarily. However where a contract is likely to be dealing with significant volumes of personal data (payroll, </w:t>
      </w:r>
      <w:r w:rsidR="007734CB">
        <w:rPr>
          <w:color w:val="000000" w:themeColor="text1"/>
        </w:rPr>
        <w:t>HR</w:t>
      </w:r>
      <w:r w:rsidRPr="00CB21F6">
        <w:rPr>
          <w:color w:val="000000" w:themeColor="text1"/>
        </w:rPr>
        <w:t>, medical, etc.), or is likely to have a Security Aspects Letter (SAL) which covers the processing of OFFICIAL-SENSITIVE information on their own computer systems then it is appropriate to request the supplier to provide evidence that they are competent to process and store such information. In the examples above it would be necessary to request that they provide evidence that they have met the requirements of the Cyber Essentials Plus scheme.</w:t>
      </w:r>
    </w:p>
    <w:p w14:paraId="1231B873" w14:textId="0A515A67"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Where the level of assurance required appears unclear then the upper standard should be applied. i.e. when there is uncertainty in the choice between Cyber Essentials and Cyber Essentials Plus then the requirements of the latter should be chosen as the default. For cyber risk levels of moderate and above it may be necessary to seek additional assurances above those offered by Cyber Essentials Plus.</w:t>
      </w:r>
    </w:p>
    <w:p w14:paraId="6A9EA450" w14:textId="1D267A0C" w:rsidR="00186748" w:rsidRPr="00FF3847"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There is no direct correlation between ISO27001 (Information Security Management) and the Cyber Essentials scheme; being certified to ISO27001 does not provide an equivalent level of assurance unless the Cyber Essentials requirements have been included in the scope of ISO27001, and verified as such.</w:t>
      </w:r>
    </w:p>
    <w:p w14:paraId="77B0165A" w14:textId="77777777" w:rsidR="00186748" w:rsidRPr="00FF3847" w:rsidRDefault="00186748" w:rsidP="00186748">
      <w:pPr>
        <w:tabs>
          <w:tab w:val="clear" w:pos="720"/>
        </w:tabs>
        <w:spacing w:before="0"/>
        <w:ind w:left="0" w:firstLine="0"/>
        <w:rPr>
          <w:color w:val="000000" w:themeColor="text1"/>
        </w:rPr>
      </w:pPr>
    </w:p>
    <w:p w14:paraId="39567714" w14:textId="73E1DA08" w:rsidR="00186748" w:rsidRPr="00FF3847" w:rsidRDefault="00CB21F6" w:rsidP="00CB21F6">
      <w:pPr>
        <w:tabs>
          <w:tab w:val="clear" w:pos="720"/>
        </w:tabs>
        <w:rPr>
          <w:b/>
          <w:bCs/>
          <w:color w:val="000000" w:themeColor="text1"/>
        </w:rPr>
      </w:pPr>
      <w:r w:rsidRPr="00CB21F6">
        <w:rPr>
          <w:b/>
          <w:bCs/>
          <w:color w:val="000000" w:themeColor="text1"/>
        </w:rPr>
        <w:t>LEVELS OF ASSURANCE</w:t>
      </w:r>
    </w:p>
    <w:p w14:paraId="51071F62" w14:textId="05F2A6C7" w:rsidR="00CB21F6" w:rsidRPr="00CB21F6" w:rsidRDefault="00CB21F6" w:rsidP="00CB21F6">
      <w:pPr>
        <w:pStyle w:val="ListParagraph"/>
        <w:numPr>
          <w:ilvl w:val="1"/>
          <w:numId w:val="16"/>
        </w:numPr>
        <w:tabs>
          <w:tab w:val="clear" w:pos="720"/>
        </w:tabs>
        <w:ind w:left="567" w:hanging="567"/>
        <w:rPr>
          <w:color w:val="000000" w:themeColor="text1"/>
        </w:rPr>
      </w:pPr>
      <w:r w:rsidRPr="00CB21F6">
        <w:rPr>
          <w:color w:val="000000" w:themeColor="text1"/>
        </w:rPr>
        <w:t>Selecting an appropriate level of assurance using the Cyber Essentials scheme based on the types of information:</w:t>
      </w:r>
    </w:p>
    <w:p w14:paraId="194BCA45" w14:textId="77777777" w:rsidR="00CB21F6" w:rsidRPr="00853548" w:rsidRDefault="00CB21F6" w:rsidP="00CB21F6">
      <w:pPr>
        <w:rPr>
          <w:rFonts w:cs="Arial"/>
          <w:sz w:val="22"/>
          <w:szCs w:val="22"/>
        </w:rPr>
      </w:pPr>
    </w:p>
    <w:tbl>
      <w:tblPr>
        <w:tblW w:w="10120" w:type="dxa"/>
        <w:tblLook w:val="04A0" w:firstRow="1" w:lastRow="0" w:firstColumn="1" w:lastColumn="0" w:noHBand="0" w:noVBand="1"/>
      </w:tblPr>
      <w:tblGrid>
        <w:gridCol w:w="5320"/>
        <w:gridCol w:w="1600"/>
        <w:gridCol w:w="1600"/>
        <w:gridCol w:w="1600"/>
      </w:tblGrid>
      <w:tr w:rsidR="005D2EC3" w:rsidRPr="005D2EC3" w14:paraId="689F4EEE" w14:textId="77777777" w:rsidTr="005D2EC3">
        <w:trPr>
          <w:trHeight w:val="660"/>
        </w:trPr>
        <w:tc>
          <w:tcPr>
            <w:tcW w:w="53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A08283" w14:textId="77777777" w:rsidR="005D2EC3" w:rsidRPr="005D2EC3" w:rsidRDefault="005D2EC3" w:rsidP="005D2EC3">
            <w:pPr>
              <w:tabs>
                <w:tab w:val="clear" w:pos="720"/>
              </w:tabs>
              <w:spacing w:before="0"/>
              <w:ind w:left="0" w:firstLine="0"/>
              <w:jc w:val="center"/>
              <w:rPr>
                <w:rFonts w:ascii="Times New Roman" w:hAnsi="Times New Roman"/>
                <w:color w:val="000000"/>
                <w:sz w:val="20"/>
                <w:szCs w:val="20"/>
                <w:lang w:val="en-GB" w:eastAsia="en-GB"/>
              </w:rPr>
            </w:pPr>
            <w:r w:rsidRPr="005D2EC3">
              <w:rPr>
                <w:rFonts w:ascii="Times New Roman" w:hAnsi="Times New Roman"/>
                <w:color w:val="000000"/>
                <w:sz w:val="20"/>
                <w:szCs w:val="20"/>
                <w:lang w:val="en-GB" w:eastAsia="en-GB"/>
              </w:rPr>
              <w:t> </w:t>
            </w:r>
          </w:p>
        </w:tc>
        <w:tc>
          <w:tcPr>
            <w:tcW w:w="1600" w:type="dxa"/>
            <w:tcBorders>
              <w:top w:val="single" w:sz="8" w:space="0" w:color="auto"/>
              <w:left w:val="nil"/>
              <w:bottom w:val="single" w:sz="8" w:space="0" w:color="auto"/>
              <w:right w:val="single" w:sz="8" w:space="0" w:color="auto"/>
            </w:tcBorders>
            <w:shd w:val="clear" w:color="000000" w:fill="D9D9D9"/>
            <w:vAlign w:val="center"/>
            <w:hideMark/>
          </w:tcPr>
          <w:p w14:paraId="10BB8F12"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Essentials</w:t>
            </w:r>
          </w:p>
        </w:tc>
        <w:tc>
          <w:tcPr>
            <w:tcW w:w="1600" w:type="dxa"/>
            <w:tcBorders>
              <w:top w:val="single" w:sz="8" w:space="0" w:color="auto"/>
              <w:left w:val="nil"/>
              <w:bottom w:val="single" w:sz="8" w:space="0" w:color="auto"/>
              <w:right w:val="single" w:sz="8" w:space="0" w:color="auto"/>
            </w:tcBorders>
            <w:shd w:val="clear" w:color="000000" w:fill="D9D9D9"/>
            <w:vAlign w:val="center"/>
            <w:hideMark/>
          </w:tcPr>
          <w:p w14:paraId="066C50DA"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Essentials Plus</w:t>
            </w:r>
          </w:p>
        </w:tc>
        <w:tc>
          <w:tcPr>
            <w:tcW w:w="1600" w:type="dxa"/>
            <w:tcBorders>
              <w:top w:val="single" w:sz="8" w:space="0" w:color="auto"/>
              <w:left w:val="nil"/>
              <w:bottom w:val="single" w:sz="8" w:space="0" w:color="auto"/>
              <w:right w:val="single" w:sz="8" w:space="0" w:color="auto"/>
            </w:tcBorders>
            <w:shd w:val="clear" w:color="000000" w:fill="D9D9D9"/>
            <w:vAlign w:val="center"/>
            <w:hideMark/>
          </w:tcPr>
          <w:p w14:paraId="04666E3A"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Cloud Adoption Workbook</w:t>
            </w:r>
          </w:p>
        </w:tc>
      </w:tr>
      <w:tr w:rsidR="005D2EC3" w:rsidRPr="005D2EC3" w14:paraId="009F161F"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42A3F294"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 xml:space="preserve">Processing </w:t>
            </w:r>
            <w:r w:rsidRPr="005D2EC3">
              <w:rPr>
                <w:rFonts w:cs="Arial"/>
                <w:b/>
                <w:bCs/>
                <w:color w:val="000000"/>
                <w:sz w:val="18"/>
                <w:szCs w:val="18"/>
                <w:lang w:eastAsia="en-GB"/>
              </w:rPr>
              <w:t xml:space="preserve">any amount </w:t>
            </w:r>
            <w:r w:rsidRPr="005D2EC3">
              <w:rPr>
                <w:rFonts w:cs="Arial"/>
                <w:color w:val="000000"/>
                <w:sz w:val="18"/>
                <w:szCs w:val="18"/>
                <w:lang w:eastAsia="en-GB"/>
              </w:rPr>
              <w:t>of NDA OFFICIAL-SENSITIVE information on their own computer systems.</w:t>
            </w:r>
          </w:p>
        </w:tc>
        <w:tc>
          <w:tcPr>
            <w:tcW w:w="1600" w:type="dxa"/>
            <w:tcBorders>
              <w:top w:val="nil"/>
              <w:left w:val="nil"/>
              <w:bottom w:val="single" w:sz="8" w:space="0" w:color="auto"/>
              <w:right w:val="single" w:sz="8" w:space="0" w:color="auto"/>
            </w:tcBorders>
            <w:shd w:val="clear" w:color="auto" w:fill="auto"/>
            <w:noWrap/>
            <w:vAlign w:val="center"/>
            <w:hideMark/>
          </w:tcPr>
          <w:p w14:paraId="269DE3BF"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noWrap/>
            <w:vAlign w:val="center"/>
            <w:hideMark/>
          </w:tcPr>
          <w:p w14:paraId="1236D0E9"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c>
          <w:tcPr>
            <w:tcW w:w="1600" w:type="dxa"/>
            <w:tcBorders>
              <w:top w:val="nil"/>
              <w:left w:val="nil"/>
              <w:bottom w:val="single" w:sz="8" w:space="0" w:color="auto"/>
              <w:right w:val="single" w:sz="8" w:space="0" w:color="auto"/>
            </w:tcBorders>
            <w:shd w:val="clear" w:color="auto" w:fill="auto"/>
            <w:vAlign w:val="center"/>
            <w:hideMark/>
          </w:tcPr>
          <w:p w14:paraId="5BF928CD"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r>
      <w:tr w:rsidR="005D2EC3" w:rsidRPr="005D2EC3" w14:paraId="689D8B5B"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722047F9"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lastRenderedPageBreak/>
              <w:t>Processing personal information on their own computer systems (relating to &lt;100 people)</w:t>
            </w:r>
          </w:p>
        </w:tc>
        <w:tc>
          <w:tcPr>
            <w:tcW w:w="1600" w:type="dxa"/>
            <w:tcBorders>
              <w:top w:val="nil"/>
              <w:left w:val="nil"/>
              <w:bottom w:val="single" w:sz="8" w:space="0" w:color="auto"/>
              <w:right w:val="single" w:sz="8" w:space="0" w:color="auto"/>
            </w:tcBorders>
            <w:shd w:val="clear" w:color="auto" w:fill="auto"/>
            <w:noWrap/>
            <w:vAlign w:val="center"/>
            <w:hideMark/>
          </w:tcPr>
          <w:p w14:paraId="5B761BCF"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c>
          <w:tcPr>
            <w:tcW w:w="1600" w:type="dxa"/>
            <w:tcBorders>
              <w:top w:val="nil"/>
              <w:left w:val="nil"/>
              <w:bottom w:val="single" w:sz="8" w:space="0" w:color="auto"/>
              <w:right w:val="single" w:sz="8" w:space="0" w:color="auto"/>
            </w:tcBorders>
            <w:shd w:val="clear" w:color="auto" w:fill="auto"/>
            <w:noWrap/>
            <w:vAlign w:val="center"/>
            <w:hideMark/>
          </w:tcPr>
          <w:p w14:paraId="5D15BF6C"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vAlign w:val="center"/>
            <w:hideMark/>
          </w:tcPr>
          <w:p w14:paraId="265D694E"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r>
      <w:tr w:rsidR="005D2EC3" w:rsidRPr="005D2EC3" w14:paraId="40E7AA47"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7EF820D5"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 xml:space="preserve">Processing </w:t>
            </w:r>
            <w:r w:rsidRPr="005D2EC3">
              <w:rPr>
                <w:rFonts w:cs="Arial"/>
                <w:b/>
                <w:bCs/>
                <w:color w:val="000000"/>
                <w:sz w:val="18"/>
                <w:szCs w:val="18"/>
                <w:lang w:eastAsia="en-GB"/>
              </w:rPr>
              <w:t>significant</w:t>
            </w:r>
            <w:r w:rsidRPr="005D2EC3">
              <w:rPr>
                <w:rFonts w:cs="Arial"/>
                <w:color w:val="000000"/>
                <w:sz w:val="18"/>
                <w:szCs w:val="18"/>
                <w:lang w:eastAsia="en-GB"/>
              </w:rPr>
              <w:t xml:space="preserve"> volumes of personal information on their own computer systems on behalf of NDA (relating to &gt;=100 people)</w:t>
            </w:r>
          </w:p>
        </w:tc>
        <w:tc>
          <w:tcPr>
            <w:tcW w:w="1600" w:type="dxa"/>
            <w:tcBorders>
              <w:top w:val="nil"/>
              <w:left w:val="nil"/>
              <w:bottom w:val="single" w:sz="8" w:space="0" w:color="auto"/>
              <w:right w:val="single" w:sz="8" w:space="0" w:color="auto"/>
            </w:tcBorders>
            <w:shd w:val="clear" w:color="auto" w:fill="auto"/>
            <w:noWrap/>
            <w:vAlign w:val="center"/>
            <w:hideMark/>
          </w:tcPr>
          <w:p w14:paraId="10109879"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noWrap/>
            <w:vAlign w:val="center"/>
            <w:hideMark/>
          </w:tcPr>
          <w:p w14:paraId="67B60EA1"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c>
          <w:tcPr>
            <w:tcW w:w="1600" w:type="dxa"/>
            <w:tcBorders>
              <w:top w:val="nil"/>
              <w:left w:val="nil"/>
              <w:bottom w:val="single" w:sz="8" w:space="0" w:color="auto"/>
              <w:right w:val="single" w:sz="8" w:space="0" w:color="auto"/>
            </w:tcBorders>
            <w:shd w:val="clear" w:color="auto" w:fill="auto"/>
            <w:vAlign w:val="center"/>
            <w:hideMark/>
          </w:tcPr>
          <w:p w14:paraId="4E5C2AED"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r>
      <w:tr w:rsidR="005D2EC3" w:rsidRPr="005D2EC3" w14:paraId="397F5748"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127C3A04"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Processing NDA OFFICIAL information on their own computer systems (relating to &lt;50 records)</w:t>
            </w:r>
          </w:p>
        </w:tc>
        <w:tc>
          <w:tcPr>
            <w:tcW w:w="1600" w:type="dxa"/>
            <w:tcBorders>
              <w:top w:val="nil"/>
              <w:left w:val="nil"/>
              <w:bottom w:val="single" w:sz="8" w:space="0" w:color="auto"/>
              <w:right w:val="single" w:sz="8" w:space="0" w:color="auto"/>
            </w:tcBorders>
            <w:shd w:val="clear" w:color="auto" w:fill="auto"/>
            <w:noWrap/>
            <w:vAlign w:val="center"/>
            <w:hideMark/>
          </w:tcPr>
          <w:p w14:paraId="42CA6539"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c>
          <w:tcPr>
            <w:tcW w:w="1600" w:type="dxa"/>
            <w:tcBorders>
              <w:top w:val="nil"/>
              <w:left w:val="nil"/>
              <w:bottom w:val="single" w:sz="8" w:space="0" w:color="auto"/>
              <w:right w:val="single" w:sz="8" w:space="0" w:color="auto"/>
            </w:tcBorders>
            <w:shd w:val="clear" w:color="auto" w:fill="auto"/>
            <w:noWrap/>
            <w:vAlign w:val="center"/>
            <w:hideMark/>
          </w:tcPr>
          <w:p w14:paraId="699A1744"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vAlign w:val="center"/>
            <w:hideMark/>
          </w:tcPr>
          <w:p w14:paraId="577B8A8E"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r>
      <w:tr w:rsidR="005D2EC3" w:rsidRPr="005D2EC3" w14:paraId="00A2AF20"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65443BFF"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 xml:space="preserve">Processing </w:t>
            </w:r>
            <w:r w:rsidRPr="005D2EC3">
              <w:rPr>
                <w:rFonts w:cs="Arial"/>
                <w:b/>
                <w:bCs/>
                <w:color w:val="000000"/>
                <w:sz w:val="18"/>
                <w:szCs w:val="18"/>
                <w:lang w:eastAsia="en-GB"/>
              </w:rPr>
              <w:t>significant</w:t>
            </w:r>
            <w:r w:rsidRPr="005D2EC3">
              <w:rPr>
                <w:rFonts w:cs="Arial"/>
                <w:color w:val="000000"/>
                <w:sz w:val="18"/>
                <w:szCs w:val="18"/>
                <w:lang w:eastAsia="en-GB"/>
              </w:rPr>
              <w:t xml:space="preserve"> volumes of NDA OFFICIAL information on their own computer systems (relating to &gt;=50 records)</w:t>
            </w:r>
          </w:p>
        </w:tc>
        <w:tc>
          <w:tcPr>
            <w:tcW w:w="1600" w:type="dxa"/>
            <w:tcBorders>
              <w:top w:val="nil"/>
              <w:left w:val="nil"/>
              <w:bottom w:val="single" w:sz="8" w:space="0" w:color="auto"/>
              <w:right w:val="single" w:sz="8" w:space="0" w:color="auto"/>
            </w:tcBorders>
            <w:shd w:val="clear" w:color="auto" w:fill="auto"/>
            <w:noWrap/>
            <w:vAlign w:val="center"/>
            <w:hideMark/>
          </w:tcPr>
          <w:p w14:paraId="05BE937C"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noWrap/>
            <w:vAlign w:val="center"/>
            <w:hideMark/>
          </w:tcPr>
          <w:p w14:paraId="7B2CBA75"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c>
          <w:tcPr>
            <w:tcW w:w="1600" w:type="dxa"/>
            <w:tcBorders>
              <w:top w:val="nil"/>
              <w:left w:val="nil"/>
              <w:bottom w:val="single" w:sz="8" w:space="0" w:color="auto"/>
              <w:right w:val="single" w:sz="8" w:space="0" w:color="auto"/>
            </w:tcBorders>
            <w:shd w:val="clear" w:color="auto" w:fill="auto"/>
            <w:vAlign w:val="center"/>
            <w:hideMark/>
          </w:tcPr>
          <w:p w14:paraId="7DFA2677"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r>
      <w:tr w:rsidR="005D2EC3" w:rsidRPr="005D2EC3" w14:paraId="23B216B4" w14:textId="77777777" w:rsidTr="005D2EC3">
        <w:trPr>
          <w:trHeight w:val="780"/>
        </w:trPr>
        <w:tc>
          <w:tcPr>
            <w:tcW w:w="5320" w:type="dxa"/>
            <w:tcBorders>
              <w:top w:val="nil"/>
              <w:left w:val="single" w:sz="8" w:space="0" w:color="auto"/>
              <w:bottom w:val="single" w:sz="8" w:space="0" w:color="auto"/>
              <w:right w:val="single" w:sz="8" w:space="0" w:color="auto"/>
            </w:tcBorders>
            <w:shd w:val="clear" w:color="auto" w:fill="auto"/>
            <w:vAlign w:val="center"/>
            <w:hideMark/>
          </w:tcPr>
          <w:p w14:paraId="7C2516E5"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Cloud-based solutions or hosted services (e.g. Software as a service, or SaaS)</w:t>
            </w:r>
          </w:p>
        </w:tc>
        <w:tc>
          <w:tcPr>
            <w:tcW w:w="1600" w:type="dxa"/>
            <w:tcBorders>
              <w:top w:val="nil"/>
              <w:left w:val="nil"/>
              <w:bottom w:val="single" w:sz="8" w:space="0" w:color="auto"/>
              <w:right w:val="single" w:sz="8" w:space="0" w:color="auto"/>
            </w:tcBorders>
            <w:shd w:val="clear" w:color="auto" w:fill="auto"/>
            <w:noWrap/>
            <w:vAlign w:val="center"/>
            <w:hideMark/>
          </w:tcPr>
          <w:p w14:paraId="35EC38D8"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noWrap/>
            <w:vAlign w:val="center"/>
            <w:hideMark/>
          </w:tcPr>
          <w:p w14:paraId="424D79D4"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w:t>
            </w:r>
          </w:p>
        </w:tc>
        <w:tc>
          <w:tcPr>
            <w:tcW w:w="1600" w:type="dxa"/>
            <w:tcBorders>
              <w:top w:val="nil"/>
              <w:left w:val="nil"/>
              <w:bottom w:val="single" w:sz="8" w:space="0" w:color="auto"/>
              <w:right w:val="single" w:sz="8" w:space="0" w:color="auto"/>
            </w:tcBorders>
            <w:shd w:val="clear" w:color="auto" w:fill="auto"/>
            <w:vAlign w:val="center"/>
            <w:hideMark/>
          </w:tcPr>
          <w:p w14:paraId="31479F2C"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YES</w:t>
            </w:r>
          </w:p>
        </w:tc>
      </w:tr>
    </w:tbl>
    <w:p w14:paraId="04886DE4" w14:textId="77777777" w:rsidR="00CB21F6" w:rsidRPr="00455396" w:rsidRDefault="00CB21F6" w:rsidP="00CB21F6">
      <w:pPr>
        <w:rPr>
          <w:rFonts w:cs="Arial"/>
          <w:sz w:val="22"/>
          <w:szCs w:val="22"/>
        </w:rPr>
      </w:pPr>
    </w:p>
    <w:p w14:paraId="00EC7848" w14:textId="77777777" w:rsidR="00CB21F6" w:rsidRPr="00455396" w:rsidRDefault="00CB21F6" w:rsidP="00CB21F6">
      <w:pPr>
        <w:ind w:left="709" w:hanging="709"/>
        <w:rPr>
          <w:rFonts w:cs="Arial"/>
          <w:sz w:val="22"/>
          <w:szCs w:val="22"/>
        </w:rPr>
      </w:pPr>
      <w:r w:rsidRPr="00CB21F6">
        <w:rPr>
          <w:color w:val="000000" w:themeColor="text1"/>
        </w:rPr>
        <w:t>3.2</w:t>
      </w:r>
      <w:r w:rsidRPr="00CB21F6">
        <w:rPr>
          <w:color w:val="000000" w:themeColor="text1"/>
        </w:rPr>
        <w:tab/>
        <w:t>Selecting an appropriate level of assurance using the Cyber Essentials scheme can also</w:t>
      </w:r>
      <w:r w:rsidRPr="00455396">
        <w:rPr>
          <w:rFonts w:cs="Arial"/>
          <w:sz w:val="22"/>
          <w:szCs w:val="22"/>
        </w:rPr>
        <w:t xml:space="preserve"> be based on the potential cyber risk level:</w:t>
      </w:r>
    </w:p>
    <w:p w14:paraId="0ACF1B55" w14:textId="77777777" w:rsidR="00CB21F6" w:rsidRPr="00455396" w:rsidRDefault="00CB21F6" w:rsidP="00CB21F6">
      <w:pPr>
        <w:rPr>
          <w:rFonts w:cs="Arial"/>
        </w:rPr>
      </w:pPr>
    </w:p>
    <w:tbl>
      <w:tblPr>
        <w:tblW w:w="10160" w:type="dxa"/>
        <w:tblLook w:val="04A0" w:firstRow="1" w:lastRow="0" w:firstColumn="1" w:lastColumn="0" w:noHBand="0" w:noVBand="1"/>
      </w:tblPr>
      <w:tblGrid>
        <w:gridCol w:w="1380"/>
        <w:gridCol w:w="6580"/>
        <w:gridCol w:w="2200"/>
      </w:tblGrid>
      <w:tr w:rsidR="005D2EC3" w:rsidRPr="005D2EC3" w14:paraId="09DFC6C2" w14:textId="77777777" w:rsidTr="005D2EC3">
        <w:trPr>
          <w:trHeight w:val="495"/>
        </w:trPr>
        <w:tc>
          <w:tcPr>
            <w:tcW w:w="1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8BDD96E"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Risk Level</w:t>
            </w:r>
          </w:p>
        </w:tc>
        <w:tc>
          <w:tcPr>
            <w:tcW w:w="6580" w:type="dxa"/>
            <w:tcBorders>
              <w:top w:val="single" w:sz="8" w:space="0" w:color="auto"/>
              <w:left w:val="nil"/>
              <w:bottom w:val="single" w:sz="8" w:space="0" w:color="auto"/>
              <w:right w:val="single" w:sz="8" w:space="0" w:color="auto"/>
            </w:tcBorders>
            <w:shd w:val="clear" w:color="000000" w:fill="D9D9D9"/>
            <w:vAlign w:val="center"/>
            <w:hideMark/>
          </w:tcPr>
          <w:p w14:paraId="464B0B54"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Criteria</w:t>
            </w:r>
          </w:p>
        </w:tc>
        <w:tc>
          <w:tcPr>
            <w:tcW w:w="2200" w:type="dxa"/>
            <w:tcBorders>
              <w:top w:val="single" w:sz="8" w:space="0" w:color="auto"/>
              <w:left w:val="nil"/>
              <w:bottom w:val="single" w:sz="8" w:space="0" w:color="auto"/>
              <w:right w:val="single" w:sz="8" w:space="0" w:color="auto"/>
            </w:tcBorders>
            <w:shd w:val="clear" w:color="000000" w:fill="D9D9D9"/>
            <w:vAlign w:val="center"/>
            <w:hideMark/>
          </w:tcPr>
          <w:p w14:paraId="47FE8276"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Essentials</w:t>
            </w:r>
          </w:p>
        </w:tc>
      </w:tr>
      <w:tr w:rsidR="005D2EC3" w:rsidRPr="005D2EC3" w14:paraId="46668565" w14:textId="77777777" w:rsidTr="005D2EC3">
        <w:trPr>
          <w:trHeight w:val="169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8D8A471"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Insignificant</w:t>
            </w:r>
          </w:p>
        </w:tc>
        <w:tc>
          <w:tcPr>
            <w:tcW w:w="6580" w:type="dxa"/>
            <w:tcBorders>
              <w:top w:val="nil"/>
              <w:left w:val="nil"/>
              <w:bottom w:val="single" w:sz="8" w:space="0" w:color="auto"/>
              <w:right w:val="single" w:sz="8" w:space="0" w:color="auto"/>
            </w:tcBorders>
            <w:shd w:val="clear" w:color="auto" w:fill="auto"/>
            <w:vAlign w:val="center"/>
            <w:hideMark/>
          </w:tcPr>
          <w:p w14:paraId="5A296415"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Contracts may be exempt where the use of Cyber Essentials can be demonstrated to be either not relevant or clearly disproportionate, such as where a cyber security risk is assessed as insignificant. In such cases it is suggested that a decision audit trail is recorded. E.g. There are certain contracts where there is no realistic cyber threat, for example communications/marketing planning services and certain facilities-related contracts.</w:t>
            </w:r>
          </w:p>
        </w:tc>
        <w:tc>
          <w:tcPr>
            <w:tcW w:w="2200" w:type="dxa"/>
            <w:tcBorders>
              <w:top w:val="nil"/>
              <w:left w:val="nil"/>
              <w:bottom w:val="single" w:sz="8" w:space="0" w:color="auto"/>
              <w:right w:val="single" w:sz="8" w:space="0" w:color="auto"/>
            </w:tcBorders>
            <w:shd w:val="clear" w:color="auto" w:fill="auto"/>
            <w:vAlign w:val="center"/>
            <w:hideMark/>
          </w:tcPr>
          <w:p w14:paraId="00F15C17"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N/a</w:t>
            </w:r>
          </w:p>
        </w:tc>
      </w:tr>
      <w:tr w:rsidR="005D2EC3" w:rsidRPr="005D2EC3" w14:paraId="17A7B29D" w14:textId="77777777" w:rsidTr="005D2EC3">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6183F85"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Very Low</w:t>
            </w:r>
          </w:p>
        </w:tc>
        <w:tc>
          <w:tcPr>
            <w:tcW w:w="6580" w:type="dxa"/>
            <w:tcBorders>
              <w:top w:val="nil"/>
              <w:left w:val="nil"/>
              <w:bottom w:val="single" w:sz="8" w:space="0" w:color="auto"/>
              <w:right w:val="single" w:sz="8" w:space="0" w:color="auto"/>
            </w:tcBorders>
            <w:shd w:val="clear" w:color="auto" w:fill="auto"/>
            <w:vAlign w:val="center"/>
            <w:hideMark/>
          </w:tcPr>
          <w:p w14:paraId="4B49AFBA"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For contracts where a basic threat is faced (i.e. simple hacking, phishing or spyware) and where any attacker is likely to be opportunistic, unskilled and non-persistent. The sorts of contracts this will apply to are likely to be those covering commodity purchases or standard service provisions e.g. office supplies or the disposal of non-sensitive waste.</w:t>
            </w:r>
          </w:p>
        </w:tc>
        <w:tc>
          <w:tcPr>
            <w:tcW w:w="2200" w:type="dxa"/>
            <w:tcBorders>
              <w:top w:val="nil"/>
              <w:left w:val="nil"/>
              <w:bottom w:val="single" w:sz="8" w:space="0" w:color="auto"/>
              <w:right w:val="single" w:sz="8" w:space="0" w:color="auto"/>
            </w:tcBorders>
            <w:shd w:val="clear" w:color="auto" w:fill="auto"/>
            <w:vAlign w:val="center"/>
            <w:hideMark/>
          </w:tcPr>
          <w:p w14:paraId="64E74750"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Essentials</w:t>
            </w:r>
          </w:p>
        </w:tc>
      </w:tr>
      <w:tr w:rsidR="005D2EC3" w:rsidRPr="005D2EC3" w14:paraId="00CF0894" w14:textId="77777777" w:rsidTr="005D2EC3">
        <w:trPr>
          <w:trHeight w:val="169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77BEFC1"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Low</w:t>
            </w:r>
          </w:p>
        </w:tc>
        <w:tc>
          <w:tcPr>
            <w:tcW w:w="6580" w:type="dxa"/>
            <w:tcBorders>
              <w:top w:val="nil"/>
              <w:left w:val="nil"/>
              <w:bottom w:val="single" w:sz="8" w:space="0" w:color="auto"/>
              <w:right w:val="single" w:sz="8" w:space="0" w:color="auto"/>
            </w:tcBorders>
            <w:shd w:val="clear" w:color="auto" w:fill="auto"/>
            <w:vAlign w:val="center"/>
            <w:hideMark/>
          </w:tcPr>
          <w:p w14:paraId="08A973DE"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For contracts where the threat may be slightly more targeted (i.e. involving spear phishing, whaling or ransomware and where attackers are semi-skilled but may not be persistent). It is likely to apply to contracts for research or services but not where these are dealing with Sensitive Nuclear Information. This profile is likely to apply primarily to contracts handling information classified as OFFICIAL but may also occasionally apply to those involving small quantities of OFFICIAL-SENSITIVE.</w:t>
            </w:r>
          </w:p>
        </w:tc>
        <w:tc>
          <w:tcPr>
            <w:tcW w:w="2200" w:type="dxa"/>
            <w:tcBorders>
              <w:top w:val="nil"/>
              <w:left w:val="nil"/>
              <w:bottom w:val="single" w:sz="8" w:space="0" w:color="auto"/>
              <w:right w:val="single" w:sz="8" w:space="0" w:color="auto"/>
            </w:tcBorders>
            <w:shd w:val="clear" w:color="auto" w:fill="auto"/>
            <w:vAlign w:val="center"/>
            <w:hideMark/>
          </w:tcPr>
          <w:p w14:paraId="67CEBA54"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Cyber Essentials Plus</w:t>
            </w:r>
          </w:p>
        </w:tc>
      </w:tr>
      <w:tr w:rsidR="005D2EC3" w:rsidRPr="005D2EC3" w14:paraId="3C06E7C4" w14:textId="77777777" w:rsidTr="005D2EC3">
        <w:trPr>
          <w:trHeight w:val="193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2188C400"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lastRenderedPageBreak/>
              <w:t>Moderate</w:t>
            </w:r>
          </w:p>
        </w:tc>
        <w:tc>
          <w:tcPr>
            <w:tcW w:w="6580" w:type="dxa"/>
            <w:tcBorders>
              <w:top w:val="nil"/>
              <w:left w:val="nil"/>
              <w:bottom w:val="single" w:sz="8" w:space="0" w:color="auto"/>
              <w:right w:val="single" w:sz="8" w:space="0" w:color="auto"/>
            </w:tcBorders>
            <w:shd w:val="clear" w:color="auto" w:fill="auto"/>
            <w:vAlign w:val="center"/>
            <w:hideMark/>
          </w:tcPr>
          <w:p w14:paraId="16D3EA41" w14:textId="77777777" w:rsidR="005D2EC3" w:rsidRPr="005D2EC3" w:rsidRDefault="005D2EC3" w:rsidP="005D2EC3">
            <w:pPr>
              <w:tabs>
                <w:tab w:val="clear" w:pos="720"/>
              </w:tabs>
              <w:spacing w:before="0"/>
              <w:ind w:left="0" w:firstLine="0"/>
              <w:rPr>
                <w:rFonts w:cs="Arial"/>
                <w:color w:val="000000"/>
                <w:sz w:val="18"/>
                <w:szCs w:val="18"/>
                <w:lang w:val="en-GB" w:eastAsia="en-GB"/>
              </w:rPr>
            </w:pPr>
            <w:r w:rsidRPr="005D2EC3">
              <w:rPr>
                <w:rFonts w:cs="Arial"/>
                <w:color w:val="000000"/>
                <w:sz w:val="18"/>
                <w:szCs w:val="18"/>
                <w:lang w:eastAsia="en-GB"/>
              </w:rPr>
              <w:t>For contracts subject to more advanced threats that are tailored and targeted with the objective of gaining access to specific assets or enacting denial of service. The attacker is likely to be persistent, organised and either be skilled or have access to skills e.g. cyber criminals or hacktivists. This will likely apply to contracts that involve handling greater volumes of, or more sensitive, personal information, and those involving larger quantities of OFFICIAL-SENSITIVE information. Contracts that involve the handling of Sensitive Nuclear Information are considered to be in this level.</w:t>
            </w:r>
          </w:p>
        </w:tc>
        <w:tc>
          <w:tcPr>
            <w:tcW w:w="2200" w:type="dxa"/>
            <w:tcBorders>
              <w:top w:val="nil"/>
              <w:left w:val="nil"/>
              <w:bottom w:val="single" w:sz="8" w:space="0" w:color="auto"/>
              <w:right w:val="single" w:sz="8" w:space="0" w:color="auto"/>
            </w:tcBorders>
            <w:shd w:val="clear" w:color="auto" w:fill="auto"/>
            <w:vAlign w:val="center"/>
            <w:hideMark/>
          </w:tcPr>
          <w:p w14:paraId="5ACE6BB5" w14:textId="77777777" w:rsidR="005D2EC3" w:rsidRPr="005D2EC3" w:rsidRDefault="005D2EC3" w:rsidP="005D2EC3">
            <w:pPr>
              <w:tabs>
                <w:tab w:val="clear" w:pos="720"/>
              </w:tabs>
              <w:spacing w:before="0"/>
              <w:ind w:left="0" w:firstLine="0"/>
              <w:jc w:val="center"/>
              <w:rPr>
                <w:rFonts w:cs="Arial"/>
                <w:color w:val="000000"/>
                <w:sz w:val="18"/>
                <w:szCs w:val="18"/>
                <w:lang w:val="en-GB" w:eastAsia="en-GB"/>
              </w:rPr>
            </w:pPr>
            <w:r w:rsidRPr="005D2EC3">
              <w:rPr>
                <w:rFonts w:cs="Arial"/>
                <w:color w:val="000000"/>
                <w:sz w:val="18"/>
                <w:szCs w:val="18"/>
                <w:lang w:eastAsia="en-GB"/>
              </w:rPr>
              <w:t xml:space="preserve">Additional assurances above those provided by Cyber Essentials Plus </w:t>
            </w:r>
          </w:p>
        </w:tc>
      </w:tr>
    </w:tbl>
    <w:p w14:paraId="491646BA" w14:textId="77777777" w:rsidR="00186748" w:rsidRPr="00FF3847" w:rsidRDefault="00186748" w:rsidP="0013385E">
      <w:pPr>
        <w:tabs>
          <w:tab w:val="clear" w:pos="720"/>
        </w:tabs>
        <w:ind w:left="0" w:firstLine="0"/>
        <w:rPr>
          <w:color w:val="000000" w:themeColor="text1"/>
        </w:rPr>
      </w:pPr>
    </w:p>
    <w:p w14:paraId="76A42FA6" w14:textId="77777777" w:rsidR="00393377" w:rsidRPr="00FF3847" w:rsidRDefault="00393377" w:rsidP="00393377">
      <w:pPr>
        <w:pStyle w:val="ListParagraph"/>
        <w:numPr>
          <w:ilvl w:val="0"/>
          <w:numId w:val="16"/>
        </w:numPr>
        <w:tabs>
          <w:tab w:val="clear" w:pos="720"/>
        </w:tabs>
        <w:ind w:left="567" w:hanging="567"/>
        <w:rPr>
          <w:color w:val="000000" w:themeColor="text1"/>
          <w:sz w:val="52"/>
          <w:szCs w:val="52"/>
        </w:rPr>
      </w:pPr>
      <w:r w:rsidRPr="00FF3847">
        <w:rPr>
          <w:color w:val="000000" w:themeColor="text1"/>
          <w:sz w:val="52"/>
          <w:szCs w:val="52"/>
        </w:rPr>
        <w:t>Documentation</w:t>
      </w:r>
    </w:p>
    <w:p w14:paraId="13C4EA98" w14:textId="77777777" w:rsidR="00393377" w:rsidRPr="00FF3847" w:rsidRDefault="00393377" w:rsidP="00393377">
      <w:pPr>
        <w:tabs>
          <w:tab w:val="clear" w:pos="720"/>
        </w:tabs>
        <w:spacing w:before="0"/>
        <w:ind w:left="0" w:firstLine="0"/>
        <w:rPr>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902"/>
        <w:gridCol w:w="1699"/>
        <w:gridCol w:w="3362"/>
      </w:tblGrid>
      <w:tr w:rsidR="00FF3847" w:rsidRPr="00FF3847" w14:paraId="2A57C27E" w14:textId="77777777" w:rsidTr="00D55E74">
        <w:tc>
          <w:tcPr>
            <w:tcW w:w="2667" w:type="dxa"/>
          </w:tcPr>
          <w:p w14:paraId="0468834B"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Document reference</w:t>
            </w:r>
          </w:p>
        </w:tc>
        <w:tc>
          <w:tcPr>
            <w:tcW w:w="1931" w:type="dxa"/>
          </w:tcPr>
          <w:p w14:paraId="38817EF5"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Document type</w:t>
            </w:r>
          </w:p>
        </w:tc>
        <w:tc>
          <w:tcPr>
            <w:tcW w:w="1725" w:type="dxa"/>
          </w:tcPr>
          <w:p w14:paraId="5AF04502"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Function owner</w:t>
            </w:r>
          </w:p>
        </w:tc>
        <w:tc>
          <w:tcPr>
            <w:tcW w:w="3478" w:type="dxa"/>
          </w:tcPr>
          <w:p w14:paraId="4E944CEB" w14:textId="77777777" w:rsidR="00393377" w:rsidRPr="00FF3847" w:rsidRDefault="00393377" w:rsidP="00393377">
            <w:pPr>
              <w:tabs>
                <w:tab w:val="clear" w:pos="720"/>
              </w:tabs>
              <w:spacing w:before="0"/>
              <w:ind w:left="0" w:firstLine="0"/>
              <w:rPr>
                <w:b/>
                <w:color w:val="000000" w:themeColor="text1"/>
              </w:rPr>
            </w:pPr>
            <w:r w:rsidRPr="00FF3847">
              <w:rPr>
                <w:b/>
                <w:color w:val="000000" w:themeColor="text1"/>
              </w:rPr>
              <w:t>Paper (location) or electronic</w:t>
            </w:r>
          </w:p>
        </w:tc>
      </w:tr>
      <w:tr w:rsidR="00FF3847" w:rsidRPr="00FF3847" w14:paraId="35E1316D" w14:textId="77777777" w:rsidTr="00D55E74">
        <w:tc>
          <w:tcPr>
            <w:tcW w:w="2667" w:type="dxa"/>
          </w:tcPr>
          <w:p w14:paraId="03CD1D91" w14:textId="77777777" w:rsidR="00393377" w:rsidRPr="00FF3847" w:rsidRDefault="00393377" w:rsidP="00393377">
            <w:pPr>
              <w:tabs>
                <w:tab w:val="clear" w:pos="720"/>
              </w:tabs>
              <w:spacing w:before="0"/>
              <w:ind w:left="0" w:firstLine="0"/>
              <w:rPr>
                <w:i/>
                <w:color w:val="000000" w:themeColor="text1"/>
              </w:rPr>
            </w:pPr>
          </w:p>
        </w:tc>
        <w:tc>
          <w:tcPr>
            <w:tcW w:w="1931" w:type="dxa"/>
          </w:tcPr>
          <w:p w14:paraId="6EF3E338" w14:textId="77777777" w:rsidR="00393377" w:rsidRPr="00FF3847" w:rsidRDefault="00393377" w:rsidP="00393377">
            <w:pPr>
              <w:tabs>
                <w:tab w:val="clear" w:pos="720"/>
              </w:tabs>
              <w:spacing w:before="0"/>
              <w:ind w:left="0" w:firstLine="0"/>
              <w:rPr>
                <w:i/>
                <w:color w:val="000000" w:themeColor="text1"/>
              </w:rPr>
            </w:pPr>
          </w:p>
        </w:tc>
        <w:tc>
          <w:tcPr>
            <w:tcW w:w="1725" w:type="dxa"/>
          </w:tcPr>
          <w:p w14:paraId="1D60C73E" w14:textId="77777777" w:rsidR="00393377" w:rsidRPr="00FF3847" w:rsidRDefault="00393377" w:rsidP="00393377">
            <w:pPr>
              <w:tabs>
                <w:tab w:val="clear" w:pos="720"/>
              </w:tabs>
              <w:spacing w:before="0"/>
              <w:ind w:left="0" w:firstLine="0"/>
              <w:rPr>
                <w:i/>
                <w:color w:val="000000" w:themeColor="text1"/>
              </w:rPr>
            </w:pPr>
          </w:p>
        </w:tc>
        <w:tc>
          <w:tcPr>
            <w:tcW w:w="3478" w:type="dxa"/>
          </w:tcPr>
          <w:p w14:paraId="24C85E95" w14:textId="77777777" w:rsidR="00393377" w:rsidRPr="00FF3847" w:rsidRDefault="00393377" w:rsidP="00393377">
            <w:pPr>
              <w:tabs>
                <w:tab w:val="clear" w:pos="720"/>
              </w:tabs>
              <w:spacing w:before="0"/>
              <w:ind w:left="0" w:firstLine="0"/>
              <w:rPr>
                <w:i/>
                <w:color w:val="000000" w:themeColor="text1"/>
              </w:rPr>
            </w:pPr>
          </w:p>
        </w:tc>
      </w:tr>
      <w:tr w:rsidR="00FF3847" w:rsidRPr="00FF3847" w14:paraId="630A55BA" w14:textId="77777777" w:rsidTr="00D55E74">
        <w:tc>
          <w:tcPr>
            <w:tcW w:w="2667" w:type="dxa"/>
          </w:tcPr>
          <w:p w14:paraId="1B31FE63" w14:textId="77777777" w:rsidR="00393377" w:rsidRPr="00FF3847" w:rsidRDefault="00393377" w:rsidP="00393377">
            <w:pPr>
              <w:tabs>
                <w:tab w:val="clear" w:pos="720"/>
              </w:tabs>
              <w:spacing w:before="0"/>
              <w:ind w:left="0" w:firstLine="0"/>
              <w:rPr>
                <w:color w:val="000000" w:themeColor="text1"/>
              </w:rPr>
            </w:pPr>
          </w:p>
        </w:tc>
        <w:tc>
          <w:tcPr>
            <w:tcW w:w="1931" w:type="dxa"/>
          </w:tcPr>
          <w:p w14:paraId="67F8E2FF" w14:textId="77777777" w:rsidR="00393377" w:rsidRPr="00FF3847" w:rsidRDefault="00393377" w:rsidP="00393377">
            <w:pPr>
              <w:tabs>
                <w:tab w:val="clear" w:pos="720"/>
              </w:tabs>
              <w:spacing w:before="0"/>
              <w:ind w:left="0" w:firstLine="0"/>
              <w:rPr>
                <w:color w:val="000000" w:themeColor="text1"/>
              </w:rPr>
            </w:pPr>
          </w:p>
        </w:tc>
        <w:tc>
          <w:tcPr>
            <w:tcW w:w="1725" w:type="dxa"/>
          </w:tcPr>
          <w:p w14:paraId="522931F8" w14:textId="77777777" w:rsidR="00393377" w:rsidRPr="00FF3847" w:rsidRDefault="00393377" w:rsidP="00393377">
            <w:pPr>
              <w:tabs>
                <w:tab w:val="clear" w:pos="720"/>
              </w:tabs>
              <w:spacing w:before="0"/>
              <w:ind w:left="0" w:firstLine="0"/>
              <w:rPr>
                <w:color w:val="000000" w:themeColor="text1"/>
              </w:rPr>
            </w:pPr>
          </w:p>
        </w:tc>
        <w:tc>
          <w:tcPr>
            <w:tcW w:w="3478" w:type="dxa"/>
          </w:tcPr>
          <w:p w14:paraId="116ECF10" w14:textId="77777777" w:rsidR="00393377" w:rsidRPr="00FF3847" w:rsidRDefault="00393377" w:rsidP="00393377">
            <w:pPr>
              <w:tabs>
                <w:tab w:val="clear" w:pos="720"/>
              </w:tabs>
              <w:spacing w:before="0"/>
              <w:ind w:left="0" w:firstLine="0"/>
              <w:rPr>
                <w:color w:val="000000" w:themeColor="text1"/>
              </w:rPr>
            </w:pPr>
          </w:p>
        </w:tc>
      </w:tr>
    </w:tbl>
    <w:p w14:paraId="1E87B443" w14:textId="77777777" w:rsidR="00D75092" w:rsidRPr="00FF3847" w:rsidRDefault="00D75092" w:rsidP="006F6463">
      <w:pPr>
        <w:tabs>
          <w:tab w:val="clear" w:pos="720"/>
        </w:tabs>
        <w:ind w:left="0" w:firstLine="0"/>
        <w:rPr>
          <w:color w:val="000000" w:themeColor="text1"/>
        </w:rPr>
      </w:pPr>
    </w:p>
    <w:p w14:paraId="571B3333" w14:textId="77777777" w:rsidR="00D75092" w:rsidRPr="00FF3847" w:rsidRDefault="00D75092" w:rsidP="006F6463">
      <w:pPr>
        <w:tabs>
          <w:tab w:val="clear" w:pos="720"/>
        </w:tabs>
        <w:ind w:left="0" w:firstLine="0"/>
        <w:rPr>
          <w:color w:val="000000" w:themeColor="text1"/>
        </w:rPr>
      </w:pPr>
    </w:p>
    <w:p w14:paraId="49880298" w14:textId="77777777" w:rsidR="00D75092" w:rsidRPr="00FF3847" w:rsidRDefault="00D75092" w:rsidP="006F6463">
      <w:pPr>
        <w:tabs>
          <w:tab w:val="clear" w:pos="720"/>
        </w:tabs>
        <w:ind w:left="0" w:firstLine="0"/>
        <w:rPr>
          <w:color w:val="000000" w:themeColor="text1"/>
        </w:rPr>
      </w:pPr>
    </w:p>
    <w:sectPr w:rsidR="00D75092" w:rsidRPr="00FF3847" w:rsidSect="007946F3">
      <w:headerReference w:type="default" r:id="rId9"/>
      <w:footerReference w:type="default" r:id="rId10"/>
      <w:headerReference w:type="first" r:id="rId11"/>
      <w:footerReference w:type="first" r:id="rId12"/>
      <w:pgSz w:w="11907" w:h="16840" w:code="9"/>
      <w:pgMar w:top="2238" w:right="1259" w:bottom="244" w:left="1077" w:header="142" w:footer="7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C60D" w14:textId="77777777" w:rsidR="00BD64DE" w:rsidRDefault="00BD64DE">
      <w:r>
        <w:separator/>
      </w:r>
    </w:p>
  </w:endnote>
  <w:endnote w:type="continuationSeparator" w:id="0">
    <w:p w14:paraId="480758A3" w14:textId="77777777" w:rsidR="00BD64DE" w:rsidRDefault="00BD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E985" w14:textId="0716D666" w:rsidR="007946F3" w:rsidRPr="00EA10CD" w:rsidRDefault="00E771C2" w:rsidP="007946F3">
    <w:pPr>
      <w:pStyle w:val="Footer"/>
    </w:pPr>
    <w:r>
      <w:rPr>
        <w:noProof/>
        <w:sz w:val="20"/>
        <w:szCs w:val="20"/>
        <w:lang w:val="en-GB" w:eastAsia="en-GB"/>
      </w:rPr>
      <mc:AlternateContent>
        <mc:Choice Requires="wps">
          <w:drawing>
            <wp:anchor distT="0" distB="0" distL="114300" distR="114300" simplePos="0" relativeHeight="251680768" behindDoc="0" locked="0" layoutInCell="0" allowOverlap="1" wp14:anchorId="122BCBD8" wp14:editId="2EB29DB5">
              <wp:simplePos x="0" y="0"/>
              <wp:positionH relativeFrom="page">
                <wp:posOffset>0</wp:posOffset>
              </wp:positionH>
              <wp:positionV relativeFrom="page">
                <wp:posOffset>10229215</wp:posOffset>
              </wp:positionV>
              <wp:extent cx="7560945" cy="273050"/>
              <wp:effectExtent l="0" t="0" r="0" b="12700"/>
              <wp:wrapNone/>
              <wp:docPr id="4" name="MSIPCM0c184646a180c125f8df8637"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67F18" w14:textId="31728446" w:rsidR="00E771C2" w:rsidRPr="00E771C2" w:rsidRDefault="00E771C2" w:rsidP="00E771C2">
                          <w:pPr>
                            <w:spacing w:before="0"/>
                            <w:ind w:left="0"/>
                            <w:jc w:val="center"/>
                            <w:rPr>
                              <w:rFonts w:ascii="Calibri" w:hAnsi="Calibri" w:cs="Calibri"/>
                              <w:color w:val="000000"/>
                              <w:sz w:val="20"/>
                            </w:rPr>
                          </w:pPr>
                          <w:r w:rsidRPr="00E771C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2BCBD8" id="_x0000_t202" coordsize="21600,21600" o:spt="202" path="m,l,21600r21600,l21600,xe">
              <v:stroke joinstyle="miter"/>
              <v:path gradientshapeok="t" o:connecttype="rect"/>
            </v:shapetype>
            <v:shape id="MSIPCM0c184646a180c125f8df8637" o:spid="_x0000_s1027" type="#_x0000_t202" alt="{&quot;HashCode&quot;:-1264847310,&quot;Height&quot;:842.0,&quot;Width&quot;:595.0,&quot;Placement&quot;:&quot;Footer&quot;,&quot;Index&quot;:&quot;Primary&quot;,&quot;Section&quot;:1,&quot;Top&quot;:0.0,&quot;Left&quot;:0.0}" style="position:absolute;margin-left:0;margin-top:805.4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P3IqhsQIAAE4FAAAO&#10;AAAAAAAAAAAAAAAAAC4CAABkcnMvZTJvRG9jLnhtbFBLAQItABQABgAIAAAAIQARcqd+3wAAAAsB&#10;AAAPAAAAAAAAAAAAAAAAAAsFAABkcnMvZG93bnJldi54bWxQSwUGAAAAAAQABADzAAAAFwYAAAAA&#10;" o:allowincell="f" filled="f" stroked="f" strokeweight=".5pt">
              <v:fill o:detectmouseclick="t"/>
              <v:textbox inset=",0,,0">
                <w:txbxContent>
                  <w:p w14:paraId="72B67F18" w14:textId="31728446" w:rsidR="00E771C2" w:rsidRPr="00E771C2" w:rsidRDefault="00E771C2" w:rsidP="00E771C2">
                    <w:pPr>
                      <w:spacing w:before="0"/>
                      <w:ind w:left="0"/>
                      <w:jc w:val="center"/>
                      <w:rPr>
                        <w:rFonts w:ascii="Calibri" w:hAnsi="Calibri" w:cs="Calibri"/>
                        <w:color w:val="000000"/>
                        <w:sz w:val="20"/>
                      </w:rPr>
                    </w:pPr>
                    <w:r w:rsidRPr="00E771C2">
                      <w:rPr>
                        <w:rFonts w:ascii="Calibri" w:hAnsi="Calibri" w:cs="Calibri"/>
                        <w:color w:val="000000"/>
                        <w:sz w:val="20"/>
                      </w:rPr>
                      <w:t>OFFICIAL</w:t>
                    </w:r>
                  </w:p>
                </w:txbxContent>
              </v:textbox>
              <w10:wrap anchorx="page" anchory="page"/>
            </v:shape>
          </w:pict>
        </mc:Fallback>
      </mc:AlternateContent>
    </w:r>
    <w:r w:rsidR="007946F3" w:rsidRPr="00917D48">
      <w:rPr>
        <w:noProof/>
        <w:sz w:val="20"/>
        <w:szCs w:val="20"/>
        <w:lang w:val="en-GB" w:eastAsia="en-GB"/>
      </w:rPr>
      <mc:AlternateContent>
        <mc:Choice Requires="wps">
          <w:drawing>
            <wp:anchor distT="0" distB="0" distL="114300" distR="114300" simplePos="0" relativeHeight="251678720" behindDoc="0" locked="0" layoutInCell="1" allowOverlap="1" wp14:anchorId="7255E520" wp14:editId="6443FC87">
              <wp:simplePos x="0" y="0"/>
              <wp:positionH relativeFrom="column">
                <wp:posOffset>344805</wp:posOffset>
              </wp:positionH>
              <wp:positionV relativeFrom="paragraph">
                <wp:posOffset>149225</wp:posOffset>
              </wp:positionV>
              <wp:extent cx="5572125" cy="495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3A785C17" w14:textId="0DC1EE95" w:rsidR="007946F3" w:rsidRPr="00EB2A74" w:rsidRDefault="007946F3" w:rsidP="007946F3">
                          <w:pPr>
                            <w:jc w:val="cent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E520" id="Text Box 2" o:spid="_x0000_s1028" type="#_x0000_t202" style="position:absolute;margin-left:27.15pt;margin-top:11.75pt;width:4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" filled="f" stroked="f">
              <v:textbox>
                <w:txbxContent>
                  <w:p w14:paraId="3A785C17" w14:textId="0DC1EE95" w:rsidR="007946F3" w:rsidRPr="00EB2A74" w:rsidRDefault="007946F3" w:rsidP="007946F3">
                    <w:pPr>
                      <w:jc w:val="center"/>
                      <w:rPr>
                        <w:b/>
                        <w:sz w:val="16"/>
                      </w:rPr>
                    </w:pPr>
                  </w:p>
                </w:txbxContent>
              </v:textbox>
            </v:shape>
          </w:pict>
        </mc:Fallback>
      </mc:AlternateContent>
    </w:r>
    <w:r w:rsidR="007946F3">
      <w:rPr>
        <w:noProof/>
        <w:lang w:val="en-GB" w:eastAsia="en-GB"/>
      </w:rPr>
      <mc:AlternateContent>
        <mc:Choice Requires="wps">
          <w:drawing>
            <wp:anchor distT="0" distB="0" distL="114300" distR="114300" simplePos="0" relativeHeight="251679744" behindDoc="0" locked="0" layoutInCell="1" allowOverlap="1" wp14:anchorId="1F3BA348" wp14:editId="4DF3CBA2">
              <wp:simplePos x="0" y="0"/>
              <wp:positionH relativeFrom="column">
                <wp:posOffset>11429</wp:posOffset>
              </wp:positionH>
              <wp:positionV relativeFrom="paragraph">
                <wp:posOffset>135255</wp:posOffset>
              </wp:positionV>
              <wp:extent cx="6086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DF75A"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" strokecolor="#37424a" strokeweight=".25pt"/>
          </w:pict>
        </mc:Fallback>
      </mc:AlternateContent>
    </w:r>
  </w:p>
  <w:p w14:paraId="781866C9" w14:textId="77777777" w:rsidR="007946F3" w:rsidRDefault="007946F3" w:rsidP="007946F3">
    <w:pPr>
      <w:pStyle w:val="Footer"/>
      <w:tabs>
        <w:tab w:val="clear" w:pos="4153"/>
        <w:tab w:val="clear" w:pos="8306"/>
        <w:tab w:val="right" w:pos="9498"/>
      </w:tabs>
      <w:spacing w:before="0"/>
      <w:rPr>
        <w:rStyle w:val="PageNumber"/>
      </w:rPr>
    </w:pPr>
    <w:r>
      <w:rPr>
        <w:rStyle w:val="PageNumber"/>
      </w:rPr>
      <w:tab/>
    </w:r>
  </w:p>
  <w:p w14:paraId="5B2C1432" w14:textId="77777777" w:rsidR="007946F3" w:rsidRPr="00FD1C9A" w:rsidRDefault="007946F3" w:rsidP="007946F3">
    <w:pPr>
      <w:pStyle w:val="Footer"/>
      <w:tabs>
        <w:tab w:val="clear" w:pos="4153"/>
        <w:tab w:val="clear" w:pos="8306"/>
        <w:tab w:val="right" w:pos="9498"/>
      </w:tabs>
      <w:spacing w:befor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65C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FAA1" w14:textId="77777777" w:rsidR="00FD1C9A" w:rsidRPr="00EA10CD" w:rsidRDefault="00917D48" w:rsidP="00FD1C9A">
    <w:pPr>
      <w:pStyle w:val="Footer"/>
    </w:pPr>
    <w:r w:rsidRPr="00917D48">
      <w:rPr>
        <w:noProof/>
        <w:sz w:val="20"/>
        <w:szCs w:val="20"/>
        <w:lang w:val="en-GB" w:eastAsia="en-GB"/>
      </w:rPr>
      <mc:AlternateContent>
        <mc:Choice Requires="wps">
          <w:drawing>
            <wp:anchor distT="0" distB="0" distL="114300" distR="114300" simplePos="0" relativeHeight="251670528" behindDoc="0" locked="0" layoutInCell="1" allowOverlap="1" wp14:anchorId="2F188104" wp14:editId="5A1A3B3C">
              <wp:simplePos x="0" y="0"/>
              <wp:positionH relativeFrom="column">
                <wp:posOffset>344805</wp:posOffset>
              </wp:positionH>
              <wp:positionV relativeFrom="paragraph">
                <wp:posOffset>149225</wp:posOffset>
              </wp:positionV>
              <wp:extent cx="5572125" cy="495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4069EDBB"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88104" id="_x0000_t202" coordsize="21600,21600" o:spt="202" path="m,l,21600r21600,l21600,xe">
              <v:stroke joinstyle="miter"/>
              <v:path gradientshapeok="t" o:connecttype="rect"/>
            </v:shapetype>
            <v:shape id="_x0000_s1027" type="#_x0000_t202" style="position:absolute;margin-left:27.15pt;margin-top:11.75pt;width:43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" filled="f" stroked="f">
              <v:textbox>
                <w:txbxContent>
                  <w:p w14:paraId="4069EDBB"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v:textbox>
            </v:shape>
          </w:pict>
        </mc:Fallback>
      </mc:AlternateContent>
    </w:r>
    <w:r w:rsidR="00FD1C9A">
      <w:rPr>
        <w:noProof/>
        <w:lang w:val="en-GB" w:eastAsia="en-GB"/>
      </w:rPr>
      <mc:AlternateContent>
        <mc:Choice Requires="wps">
          <w:drawing>
            <wp:anchor distT="0" distB="0" distL="114300" distR="114300" simplePos="0" relativeHeight="251671552" behindDoc="0" locked="0" layoutInCell="1" allowOverlap="1" wp14:anchorId="3B5F6342" wp14:editId="556FBB7C">
              <wp:simplePos x="0" y="0"/>
              <wp:positionH relativeFrom="column">
                <wp:posOffset>11429</wp:posOffset>
              </wp:positionH>
              <wp:positionV relativeFrom="paragraph">
                <wp:posOffset>135255</wp:posOffset>
              </wp:positionV>
              <wp:extent cx="608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9B34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a6&#10;hxbdAQAADwQAAA4AAAAAAAAAAAAAAAAALgIAAGRycy9lMm9Eb2MueG1sUEsBAi0AFAAGAAgAAAAh&#10;AClUn4zaAAAABwEAAA8AAAAAAAAAAAAAAAAANwQAAGRycy9kb3ducmV2LnhtbFBLBQYAAAAABAAE&#10;APMAAAA+BQAAAAA=&#10;" strokecolor="#37424a" strokeweight=".25pt"/>
          </w:pict>
        </mc:Fallback>
      </mc:AlternateContent>
    </w:r>
  </w:p>
  <w:p w14:paraId="495ED77E" w14:textId="77777777" w:rsidR="00917D48" w:rsidRDefault="00FD1C9A" w:rsidP="00917D48">
    <w:pPr>
      <w:pStyle w:val="Footer"/>
      <w:tabs>
        <w:tab w:val="clear" w:pos="4153"/>
        <w:tab w:val="clear" w:pos="8306"/>
        <w:tab w:val="right" w:pos="9498"/>
      </w:tabs>
      <w:spacing w:before="0"/>
      <w:rPr>
        <w:rStyle w:val="PageNumber"/>
      </w:rPr>
    </w:pPr>
    <w:r>
      <w:rPr>
        <w:rStyle w:val="PageNumber"/>
      </w:rPr>
      <w:tab/>
    </w:r>
  </w:p>
  <w:p w14:paraId="567DD0EB" w14:textId="77777777" w:rsidR="00223AE4" w:rsidRPr="00FD1C9A" w:rsidRDefault="00917D48" w:rsidP="00917D48">
    <w:pPr>
      <w:pStyle w:val="Footer"/>
      <w:tabs>
        <w:tab w:val="clear" w:pos="4153"/>
        <w:tab w:val="clear" w:pos="8306"/>
        <w:tab w:val="right" w:pos="9498"/>
      </w:tabs>
      <w:spacing w:before="0"/>
    </w:pPr>
    <w:r>
      <w:rPr>
        <w:rStyle w:val="PageNumber"/>
      </w:rPr>
      <w:tab/>
    </w:r>
    <w:r w:rsidR="00FD1C9A">
      <w:rPr>
        <w:rStyle w:val="PageNumber"/>
      </w:rPr>
      <w:fldChar w:fldCharType="begin"/>
    </w:r>
    <w:r w:rsidR="00FD1C9A">
      <w:rPr>
        <w:rStyle w:val="PageNumber"/>
      </w:rPr>
      <w:instrText xml:space="preserve"> PAGE </w:instrText>
    </w:r>
    <w:r w:rsidR="00FD1C9A">
      <w:rPr>
        <w:rStyle w:val="PageNumber"/>
      </w:rPr>
      <w:fldChar w:fldCharType="separate"/>
    </w:r>
    <w:r w:rsidR="007946F3">
      <w:rPr>
        <w:rStyle w:val="PageNumber"/>
        <w:noProof/>
      </w:rPr>
      <w:t>1</w:t>
    </w:r>
    <w:r w:rsidR="00FD1C9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B36C" w14:textId="77777777" w:rsidR="00BD64DE" w:rsidRDefault="00BD64DE">
      <w:r>
        <w:separator/>
      </w:r>
    </w:p>
  </w:footnote>
  <w:footnote w:type="continuationSeparator" w:id="0">
    <w:p w14:paraId="09557AA2" w14:textId="77777777" w:rsidR="00BD64DE" w:rsidRDefault="00BD64DE">
      <w:r>
        <w:continuationSeparator/>
      </w:r>
    </w:p>
  </w:footnote>
  <w:footnote w:id="1">
    <w:p w14:paraId="53C8D4FA" w14:textId="2AEF119C" w:rsidR="00CB21F6" w:rsidRPr="00CB21F6" w:rsidRDefault="00CB21F6">
      <w:pPr>
        <w:pStyle w:val="FootnoteText"/>
        <w:rPr>
          <w:lang w:val="en-GB"/>
        </w:rPr>
      </w:pPr>
      <w:r>
        <w:rPr>
          <w:rStyle w:val="FootnoteReference"/>
        </w:rPr>
        <w:footnoteRef/>
      </w:r>
      <w:r>
        <w:t xml:space="preserve"> </w:t>
      </w:r>
      <w:r w:rsidRPr="00CB21F6">
        <w:t>This document was previously known was TAC10.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7243" w14:textId="0F10BD92" w:rsidR="007946F3" w:rsidRDefault="00E771C2" w:rsidP="00730BA1">
    <w:pPr>
      <w:pStyle w:val="Header"/>
      <w:tabs>
        <w:tab w:val="clear" w:pos="720"/>
        <w:tab w:val="clear" w:pos="8306"/>
      </w:tabs>
      <w:ind w:left="2835" w:right="-539" w:firstLine="0"/>
      <w:jc w:val="center"/>
      <w:rPr>
        <w:sz w:val="20"/>
      </w:rPr>
    </w:pPr>
    <w:r>
      <w:rPr>
        <w:b/>
        <w:noProof/>
        <w:sz w:val="16"/>
        <w:lang w:val="en-GB" w:eastAsia="en-GB"/>
      </w:rPr>
      <mc:AlternateContent>
        <mc:Choice Requires="wps">
          <w:drawing>
            <wp:anchor distT="0" distB="0" distL="114300" distR="114300" simplePos="0" relativeHeight="251681792" behindDoc="0" locked="0" layoutInCell="0" allowOverlap="1" wp14:anchorId="10454E4D" wp14:editId="29D98B62">
              <wp:simplePos x="0" y="0"/>
              <wp:positionH relativeFrom="page">
                <wp:posOffset>0</wp:posOffset>
              </wp:positionH>
              <wp:positionV relativeFrom="page">
                <wp:posOffset>190500</wp:posOffset>
              </wp:positionV>
              <wp:extent cx="7560945" cy="273050"/>
              <wp:effectExtent l="0" t="0" r="0" b="12700"/>
              <wp:wrapNone/>
              <wp:docPr id="5" name="MSIPCMc90343ad8eca400d2c714f78" descr="{&quot;HashCode&quot;:-128898487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8BC9A" w14:textId="7508038E" w:rsidR="00E771C2" w:rsidRPr="00E771C2" w:rsidRDefault="00E771C2" w:rsidP="00E771C2">
                          <w:pPr>
                            <w:spacing w:before="0"/>
                            <w:ind w:left="0"/>
                            <w:jc w:val="center"/>
                            <w:rPr>
                              <w:rFonts w:ascii="Calibri" w:hAnsi="Calibri" w:cs="Calibri"/>
                              <w:color w:val="000000"/>
                              <w:sz w:val="20"/>
                            </w:rPr>
                          </w:pPr>
                          <w:r w:rsidRPr="00E771C2">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454E4D" id="_x0000_t202" coordsize="21600,21600" o:spt="202" path="m,l,21600r21600,l21600,xe">
              <v:stroke joinstyle="miter"/>
              <v:path gradientshapeok="t" o:connecttype="rect"/>
            </v:shapetype>
            <v:shape id="MSIPCMc90343ad8eca400d2c714f78" o:spid="_x0000_s1026" type="#_x0000_t202" alt="{&quot;HashCode&quot;:-1288984879,&quot;Height&quot;:842.0,&quot;Width&quot;:595.0,&quot;Placement&quot;:&quot;Header&quot;,&quot;Index&quot;:&quot;Primary&quot;,&quot;Section&quot;:1,&quot;Top&quot;:0.0,&quot;Left&quot;:0.0}" style="position:absolute;left:0;text-align:left;margin-left:0;margin-top:1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7ziD0K8CAABHBQAADgAAAAAA&#10;AAAAAAAAAAAuAgAAZHJzL2Uyb0RvYy54bWxQSwECLQAUAAYACAAAACEACjmFiNwAAAAHAQAADwAA&#10;AAAAAAAAAAAAAAAJBQAAZHJzL2Rvd25yZXYueG1sUEsFBgAAAAAEAAQA8wAAABIGAAAAAA==&#10;" o:allowincell="f" filled="f" stroked="f" strokeweight=".5pt">
              <v:fill o:detectmouseclick="t"/>
              <v:textbox inset=",0,,0">
                <w:txbxContent>
                  <w:p w14:paraId="0628BC9A" w14:textId="7508038E" w:rsidR="00E771C2" w:rsidRPr="00E771C2" w:rsidRDefault="00E771C2" w:rsidP="00E771C2">
                    <w:pPr>
                      <w:spacing w:before="0"/>
                      <w:ind w:left="0"/>
                      <w:jc w:val="center"/>
                      <w:rPr>
                        <w:rFonts w:ascii="Calibri" w:hAnsi="Calibri" w:cs="Calibri"/>
                        <w:color w:val="000000"/>
                        <w:sz w:val="20"/>
                      </w:rPr>
                    </w:pPr>
                    <w:r w:rsidRPr="00E771C2">
                      <w:rPr>
                        <w:rFonts w:ascii="Calibri" w:hAnsi="Calibri" w:cs="Calibri"/>
                        <w:color w:val="000000"/>
                        <w:sz w:val="20"/>
                      </w:rPr>
                      <w:t>OFFICIAL</w:t>
                    </w:r>
                  </w:p>
                </w:txbxContent>
              </v:textbox>
              <w10:wrap anchorx="page" anchory="page"/>
            </v:shape>
          </w:pict>
        </mc:Fallback>
      </mc:AlternateContent>
    </w:r>
    <w:r w:rsidR="007946F3" w:rsidRPr="00FD1C9A">
      <w:rPr>
        <w:b/>
        <w:noProof/>
        <w:sz w:val="16"/>
        <w:lang w:val="en-GB" w:eastAsia="en-GB"/>
      </w:rPr>
      <w:drawing>
        <wp:anchor distT="0" distB="0" distL="114300" distR="114300" simplePos="0" relativeHeight="251673600" behindDoc="1" locked="0" layoutInCell="1" allowOverlap="1" wp14:anchorId="1B0C4542" wp14:editId="40C9BFD5">
          <wp:simplePos x="0" y="0"/>
          <wp:positionH relativeFrom="page">
            <wp:posOffset>224902</wp:posOffset>
          </wp:positionH>
          <wp:positionV relativeFrom="page">
            <wp:posOffset>-1270</wp:posOffset>
          </wp:positionV>
          <wp:extent cx="1806575" cy="18065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1806575"/>
                  </a:xfrm>
                  <a:prstGeom prst="rect">
                    <a:avLst/>
                  </a:prstGeom>
                </pic:spPr>
              </pic:pic>
            </a:graphicData>
          </a:graphic>
          <wp14:sizeRelH relativeFrom="page">
            <wp14:pctWidth>0</wp14:pctWidth>
          </wp14:sizeRelH>
          <wp14:sizeRelV relativeFrom="page">
            <wp14:pctHeight>0</wp14:pctHeight>
          </wp14:sizeRelV>
        </wp:anchor>
      </w:drawing>
    </w:r>
    <w:r w:rsidR="007946F3" w:rsidRPr="00FD1C9A">
      <w:rPr>
        <w:b/>
        <w:noProof/>
        <w:sz w:val="16"/>
        <w:lang w:val="en-GB" w:eastAsia="en-GB"/>
      </w:rPr>
      <w:drawing>
        <wp:anchor distT="0" distB="0" distL="114300" distR="114300" simplePos="0" relativeHeight="251657216" behindDoc="1" locked="0" layoutInCell="1" allowOverlap="1" wp14:anchorId="16D11377" wp14:editId="6DE481D6">
          <wp:simplePos x="0" y="0"/>
          <wp:positionH relativeFrom="page">
            <wp:align>left</wp:align>
          </wp:positionH>
          <wp:positionV relativeFrom="page">
            <wp:align>top</wp:align>
          </wp:positionV>
          <wp:extent cx="1807200" cy="18072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639" w:type="dxa"/>
      <w:tblInd w:w="108" w:type="dxa"/>
      <w:tblBorders>
        <w:bottom w:val="single" w:sz="4" w:space="0" w:color="000000" w:themeColor="text1"/>
      </w:tblBorders>
      <w:tblLayout w:type="fixed"/>
      <w:tblLook w:val="0000" w:firstRow="0" w:lastRow="0" w:firstColumn="0" w:lastColumn="0" w:noHBand="0" w:noVBand="0"/>
    </w:tblPr>
    <w:tblGrid>
      <w:gridCol w:w="1843"/>
      <w:gridCol w:w="6095"/>
      <w:gridCol w:w="1701"/>
    </w:tblGrid>
    <w:tr w:rsidR="007946F3" w14:paraId="24140A64" w14:textId="77777777" w:rsidTr="007946F3">
      <w:trPr>
        <w:trHeight w:val="649"/>
      </w:trPr>
      <w:tc>
        <w:tcPr>
          <w:tcW w:w="1843" w:type="dxa"/>
          <w:vMerge w:val="restart"/>
        </w:tcPr>
        <w:p w14:paraId="73CC4A94" w14:textId="77777777" w:rsidR="007946F3" w:rsidRPr="00FD1C9A" w:rsidRDefault="007946F3" w:rsidP="007946F3">
          <w:pPr>
            <w:pStyle w:val="Header"/>
            <w:tabs>
              <w:tab w:val="clear" w:pos="720"/>
            </w:tabs>
            <w:ind w:left="34" w:right="-539" w:firstLine="0"/>
            <w:jc w:val="center"/>
            <w:rPr>
              <w:b/>
              <w:sz w:val="16"/>
            </w:rPr>
          </w:pPr>
        </w:p>
      </w:tc>
      <w:tc>
        <w:tcPr>
          <w:tcW w:w="7796" w:type="dxa"/>
          <w:gridSpan w:val="2"/>
        </w:tcPr>
        <w:p w14:paraId="7F561296" w14:textId="259A19DE" w:rsidR="007946F3" w:rsidRPr="007946F3" w:rsidRDefault="007946F3" w:rsidP="007946F3">
          <w:pPr>
            <w:pStyle w:val="Header"/>
            <w:tabs>
              <w:tab w:val="clear" w:pos="720"/>
            </w:tabs>
            <w:ind w:left="34" w:right="-539" w:firstLine="0"/>
            <w:jc w:val="center"/>
            <w:rPr>
              <w:b/>
              <w:sz w:val="16"/>
            </w:rPr>
          </w:pPr>
        </w:p>
      </w:tc>
    </w:tr>
    <w:tr w:rsidR="007946F3" w14:paraId="10A16C47" w14:textId="77777777" w:rsidTr="007946F3">
      <w:trPr>
        <w:trHeight w:val="1551"/>
      </w:trPr>
      <w:tc>
        <w:tcPr>
          <w:tcW w:w="1843" w:type="dxa"/>
          <w:vMerge/>
        </w:tcPr>
        <w:p w14:paraId="2FDF6895" w14:textId="77777777" w:rsidR="007946F3" w:rsidRDefault="007946F3" w:rsidP="0025612B">
          <w:pPr>
            <w:pStyle w:val="Heading2"/>
          </w:pPr>
        </w:p>
      </w:tc>
      <w:tc>
        <w:tcPr>
          <w:tcW w:w="6095" w:type="dxa"/>
        </w:tcPr>
        <w:p w14:paraId="28BBF632" w14:textId="546B0A94" w:rsidR="007946F3" w:rsidRPr="00E02705" w:rsidRDefault="00D445B3" w:rsidP="0025612B">
          <w:pPr>
            <w:pStyle w:val="Heading2"/>
          </w:pPr>
          <w:r w:rsidRPr="00D445B3">
            <w:t>Cyber Essentials Certification</w:t>
          </w:r>
        </w:p>
        <w:p w14:paraId="4DE09C61" w14:textId="2169F8BE" w:rsidR="007946F3" w:rsidRPr="000B1001" w:rsidRDefault="007946F3" w:rsidP="0025612B">
          <w:pPr>
            <w:pStyle w:val="Heading2"/>
          </w:pPr>
          <w:r w:rsidRPr="00E02705">
            <w:t xml:space="preserve">Doc No: </w:t>
          </w:r>
          <w:r w:rsidR="000A5690">
            <w:t>SCPR12</w:t>
          </w:r>
        </w:p>
      </w:tc>
      <w:tc>
        <w:tcPr>
          <w:tcW w:w="1701" w:type="dxa"/>
        </w:tcPr>
        <w:p w14:paraId="3CDC0244" w14:textId="6823D89C" w:rsidR="007946F3" w:rsidRPr="000B1001" w:rsidRDefault="007946F3" w:rsidP="00730BA1">
          <w:pPr>
            <w:pStyle w:val="Heading2"/>
            <w:spacing w:before="240" w:after="0"/>
            <w:contextualSpacing/>
            <w:rPr>
              <w:b w:val="0"/>
              <w:sz w:val="22"/>
            </w:rPr>
          </w:pPr>
          <w:r w:rsidRPr="000B1001">
            <w:rPr>
              <w:b w:val="0"/>
              <w:sz w:val="22"/>
            </w:rPr>
            <w:t>Version:</w:t>
          </w:r>
          <w:r w:rsidR="00730BA1">
            <w:rPr>
              <w:b w:val="0"/>
              <w:sz w:val="22"/>
            </w:rPr>
            <w:t xml:space="preserve"> </w:t>
          </w:r>
          <w:r w:rsidR="00276721">
            <w:rPr>
              <w:b w:val="0"/>
              <w:sz w:val="22"/>
            </w:rPr>
            <w:t>5</w:t>
          </w:r>
        </w:p>
        <w:p w14:paraId="5F4FBA0D" w14:textId="1E4629D4" w:rsidR="007946F3" w:rsidRDefault="007946F3" w:rsidP="00186748">
          <w:pPr>
            <w:pStyle w:val="Footer"/>
            <w:tabs>
              <w:tab w:val="left" w:pos="720"/>
            </w:tabs>
            <w:ind w:right="-114"/>
            <w:rPr>
              <w:sz w:val="24"/>
              <w:lang w:val="fr-FR"/>
            </w:rPr>
          </w:pPr>
          <w:r w:rsidRPr="000B1001">
            <w:rPr>
              <w:rFonts w:cs="Arial"/>
              <w:sz w:val="22"/>
            </w:rPr>
            <w:t>Date:</w:t>
          </w:r>
          <w:r w:rsidR="00186748">
            <w:rPr>
              <w:rFonts w:cs="Arial"/>
              <w:sz w:val="22"/>
            </w:rPr>
            <w:t xml:space="preserve"> </w:t>
          </w:r>
          <w:r w:rsidR="00276721">
            <w:rPr>
              <w:rFonts w:cs="Arial"/>
              <w:sz w:val="22"/>
            </w:rPr>
            <w:t>Sep</w:t>
          </w:r>
          <w:r w:rsidR="00186748">
            <w:rPr>
              <w:rFonts w:cs="Arial"/>
              <w:sz w:val="22"/>
            </w:rPr>
            <w:t xml:space="preserve"> 202</w:t>
          </w:r>
          <w:r w:rsidR="00276721">
            <w:rPr>
              <w:rFonts w:cs="Arial"/>
              <w:sz w:val="22"/>
            </w:rPr>
            <w:t>2</w:t>
          </w:r>
        </w:p>
      </w:tc>
    </w:tr>
  </w:tbl>
  <w:p w14:paraId="1BC39452" w14:textId="77777777" w:rsidR="00223AE4" w:rsidRPr="007946F3" w:rsidRDefault="00223AE4" w:rsidP="0079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DC05" w14:textId="77777777" w:rsidR="00760D41" w:rsidRDefault="00FD1C9A" w:rsidP="000B1001">
    <w:pPr>
      <w:pStyle w:val="Header"/>
      <w:tabs>
        <w:tab w:val="clear" w:pos="720"/>
      </w:tabs>
      <w:ind w:left="2835" w:right="-539" w:firstLine="0"/>
      <w:jc w:val="center"/>
      <w:rPr>
        <w:sz w:val="20"/>
      </w:rPr>
    </w:pPr>
    <w:r w:rsidRPr="00FD1C9A">
      <w:rPr>
        <w:b/>
        <w:noProof/>
        <w:sz w:val="16"/>
        <w:lang w:val="en-GB" w:eastAsia="en-GB"/>
      </w:rPr>
      <w:drawing>
        <wp:anchor distT="0" distB="0" distL="114300" distR="114300" simplePos="0" relativeHeight="251668480" behindDoc="1" locked="0" layoutInCell="1" allowOverlap="1" wp14:anchorId="1CD7F4D3" wp14:editId="23D7F681">
          <wp:simplePos x="0" y="0"/>
          <wp:positionH relativeFrom="page">
            <wp:align>left</wp:align>
          </wp:positionH>
          <wp:positionV relativeFrom="page">
            <wp:align>top</wp:align>
          </wp:positionV>
          <wp:extent cx="1807200" cy="18072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10314" w:type="dxa"/>
      <w:tblBorders>
        <w:bottom w:val="single" w:sz="4" w:space="0" w:color="000000" w:themeColor="text1"/>
      </w:tblBorders>
      <w:tblLayout w:type="fixed"/>
      <w:tblLook w:val="0000" w:firstRow="0" w:lastRow="0" w:firstColumn="0" w:lastColumn="0" w:noHBand="0" w:noVBand="0"/>
    </w:tblPr>
    <w:tblGrid>
      <w:gridCol w:w="7621"/>
      <w:gridCol w:w="2693"/>
    </w:tblGrid>
    <w:tr w:rsidR="000B1001" w14:paraId="7D6B3B63" w14:textId="77777777" w:rsidTr="007946F3">
      <w:tc>
        <w:tcPr>
          <w:tcW w:w="10314" w:type="dxa"/>
          <w:gridSpan w:val="2"/>
        </w:tcPr>
        <w:p w14:paraId="340F6BE2" w14:textId="77777777" w:rsidR="000B1001" w:rsidRPr="00FD1C9A" w:rsidRDefault="000B1001" w:rsidP="000B1001">
          <w:pPr>
            <w:pStyle w:val="Header"/>
            <w:tabs>
              <w:tab w:val="clear" w:pos="720"/>
            </w:tabs>
            <w:ind w:left="1843" w:right="-539" w:firstLine="0"/>
            <w:jc w:val="center"/>
            <w:rPr>
              <w:b/>
              <w:sz w:val="16"/>
            </w:rPr>
          </w:pPr>
          <w:r w:rsidRPr="00FD1C9A">
            <w:rPr>
              <w:b/>
              <w:sz w:val="16"/>
            </w:rPr>
            <w:t xml:space="preserve">OFFICIAL-SENSITIVE / OFFICIAL-SENSITIVE: PERSONAL / </w:t>
          </w:r>
          <w:r>
            <w:rPr>
              <w:b/>
              <w:sz w:val="16"/>
            </w:rPr>
            <w:br/>
          </w:r>
          <w:r w:rsidRPr="00FD1C9A">
            <w:rPr>
              <w:b/>
              <w:sz w:val="16"/>
            </w:rPr>
            <w:t>OFFICIAL-SENSITIVE: COMMERCIAL / OFFICIAL-SENSITIVE:SNI (delete as applicable)</w:t>
          </w:r>
        </w:p>
        <w:p w14:paraId="4EAA7C31" w14:textId="77777777" w:rsidR="000B1001" w:rsidRDefault="000B1001" w:rsidP="0025612B">
          <w:pPr>
            <w:pStyle w:val="Footer"/>
            <w:tabs>
              <w:tab w:val="left" w:pos="720"/>
            </w:tabs>
            <w:spacing w:after="120"/>
            <w:rPr>
              <w:sz w:val="24"/>
            </w:rPr>
          </w:pPr>
        </w:p>
      </w:tc>
    </w:tr>
    <w:tr w:rsidR="000B1001" w14:paraId="48649EA4" w14:textId="77777777" w:rsidTr="007946F3">
      <w:tc>
        <w:tcPr>
          <w:tcW w:w="7621" w:type="dxa"/>
        </w:tcPr>
        <w:p w14:paraId="15D25222" w14:textId="77777777" w:rsidR="000B1001" w:rsidRDefault="000B1001" w:rsidP="000B1001">
          <w:pPr>
            <w:pStyle w:val="Heading2"/>
          </w:pPr>
          <w:r>
            <w:t>Procedure Title: Arial, 1</w:t>
          </w:r>
          <w:r w:rsidRPr="006F6463">
            <w:t>6pt</w:t>
          </w:r>
        </w:p>
        <w:p w14:paraId="40A59DEB" w14:textId="77777777" w:rsidR="000B1001" w:rsidRPr="000B1001" w:rsidRDefault="000B1001" w:rsidP="000B1001">
          <w:pPr>
            <w:pStyle w:val="Heading2"/>
          </w:pPr>
          <w:r w:rsidRPr="006F6463">
            <w:t>Doc No: Arial, Bold, 16pt</w:t>
          </w:r>
        </w:p>
      </w:tc>
      <w:tc>
        <w:tcPr>
          <w:tcW w:w="2693" w:type="dxa"/>
        </w:tcPr>
        <w:p w14:paraId="2CA829B9" w14:textId="77777777" w:rsidR="000B1001" w:rsidRPr="000B1001" w:rsidRDefault="000B1001" w:rsidP="000B1001">
          <w:pPr>
            <w:pStyle w:val="Heading2"/>
            <w:spacing w:before="240" w:after="0"/>
            <w:contextualSpacing/>
            <w:jc w:val="right"/>
            <w:rPr>
              <w:b w:val="0"/>
              <w:sz w:val="22"/>
            </w:rPr>
          </w:pPr>
          <w:r w:rsidRPr="000B1001">
            <w:rPr>
              <w:b w:val="0"/>
              <w:sz w:val="22"/>
            </w:rPr>
            <w:t>Version:</w:t>
          </w:r>
        </w:p>
        <w:p w14:paraId="4A556085" w14:textId="77777777" w:rsidR="000B1001" w:rsidRDefault="000B1001" w:rsidP="000B1001">
          <w:pPr>
            <w:pStyle w:val="Footer"/>
            <w:tabs>
              <w:tab w:val="left" w:pos="720"/>
            </w:tabs>
            <w:jc w:val="right"/>
            <w:rPr>
              <w:sz w:val="24"/>
              <w:lang w:val="fr-FR"/>
            </w:rPr>
          </w:pPr>
          <w:r w:rsidRPr="000B1001">
            <w:rPr>
              <w:rFonts w:cs="Arial"/>
              <w:sz w:val="22"/>
            </w:rPr>
            <w:t>Date:</w:t>
          </w:r>
        </w:p>
      </w:tc>
    </w:tr>
  </w:tbl>
  <w:p w14:paraId="5726C8A0" w14:textId="77777777" w:rsidR="000B1001" w:rsidRPr="000B1001" w:rsidRDefault="000B1001" w:rsidP="000B10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6F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A7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C7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A8F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5AC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1C2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85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8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43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48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63DD"/>
    <w:multiLevelType w:val="hybridMultilevel"/>
    <w:tmpl w:val="65CE1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0EA62EFD"/>
    <w:multiLevelType w:val="hybridMultilevel"/>
    <w:tmpl w:val="BAE42F38"/>
    <w:lvl w:ilvl="0" w:tplc="08090001">
      <w:start w:val="1"/>
      <w:numFmt w:val="bullet"/>
      <w:lvlText w:val=""/>
      <w:lvlJc w:val="left"/>
      <w:pPr>
        <w:tabs>
          <w:tab w:val="num" w:pos="1287"/>
        </w:tabs>
        <w:ind w:left="1287" w:hanging="360"/>
      </w:pPr>
      <w:rPr>
        <w:rFonts w:ascii="Symbol" w:hAnsi="Symbol" w:cs="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1C726B73"/>
    <w:multiLevelType w:val="multilevel"/>
    <w:tmpl w:val="6698455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3178"/>
    <w:multiLevelType w:val="hybridMultilevel"/>
    <w:tmpl w:val="0B6E0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F1CE5"/>
    <w:multiLevelType w:val="hybridMultilevel"/>
    <w:tmpl w:val="465E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94C"/>
    <w:multiLevelType w:val="hybridMultilevel"/>
    <w:tmpl w:val="6698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350EF"/>
    <w:multiLevelType w:val="hybridMultilevel"/>
    <w:tmpl w:val="AE1AB916"/>
    <w:lvl w:ilvl="0" w:tplc="15A80D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A246A"/>
    <w:multiLevelType w:val="hybridMultilevel"/>
    <w:tmpl w:val="6EDC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45826"/>
    <w:multiLevelType w:val="multilevel"/>
    <w:tmpl w:val="6698455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D5CDF"/>
    <w:multiLevelType w:val="multilevel"/>
    <w:tmpl w:val="BD5C0ED4"/>
    <w:lvl w:ilvl="0">
      <w:start w:val="1"/>
      <w:numFmt w:val="decimal"/>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7"/>
  </w:num>
  <w:num w:numId="2">
    <w:abstractNumId w:val="15"/>
  </w:num>
  <w:num w:numId="3">
    <w:abstractNumId w:val="18"/>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9"/>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B1"/>
    <w:rsid w:val="00000F92"/>
    <w:rsid w:val="00024257"/>
    <w:rsid w:val="000263FB"/>
    <w:rsid w:val="00085605"/>
    <w:rsid w:val="000A5690"/>
    <w:rsid w:val="000B1001"/>
    <w:rsid w:val="000C28CC"/>
    <w:rsid w:val="0013174F"/>
    <w:rsid w:val="0013385E"/>
    <w:rsid w:val="001613CC"/>
    <w:rsid w:val="00165A73"/>
    <w:rsid w:val="00165EEB"/>
    <w:rsid w:val="001665CB"/>
    <w:rsid w:val="001749BE"/>
    <w:rsid w:val="00186748"/>
    <w:rsid w:val="001C4CB4"/>
    <w:rsid w:val="001F0C5F"/>
    <w:rsid w:val="00223072"/>
    <w:rsid w:val="00223AE4"/>
    <w:rsid w:val="0023077F"/>
    <w:rsid w:val="0023304D"/>
    <w:rsid w:val="00236E58"/>
    <w:rsid w:val="0025461C"/>
    <w:rsid w:val="00276721"/>
    <w:rsid w:val="002A18A8"/>
    <w:rsid w:val="002C24C4"/>
    <w:rsid w:val="002C4E89"/>
    <w:rsid w:val="002E468A"/>
    <w:rsid w:val="002F7F9D"/>
    <w:rsid w:val="0032049A"/>
    <w:rsid w:val="0033020F"/>
    <w:rsid w:val="00332EB4"/>
    <w:rsid w:val="00353ADA"/>
    <w:rsid w:val="0036203E"/>
    <w:rsid w:val="00393377"/>
    <w:rsid w:val="003B64CE"/>
    <w:rsid w:val="003C41D8"/>
    <w:rsid w:val="003C4659"/>
    <w:rsid w:val="003C4E6F"/>
    <w:rsid w:val="003D45DE"/>
    <w:rsid w:val="003E1F4F"/>
    <w:rsid w:val="004011A9"/>
    <w:rsid w:val="00402D26"/>
    <w:rsid w:val="00407AFD"/>
    <w:rsid w:val="00421126"/>
    <w:rsid w:val="00446AB1"/>
    <w:rsid w:val="00451C3D"/>
    <w:rsid w:val="0047628D"/>
    <w:rsid w:val="0048151B"/>
    <w:rsid w:val="004B123A"/>
    <w:rsid w:val="004B617C"/>
    <w:rsid w:val="004C12F6"/>
    <w:rsid w:val="004C410B"/>
    <w:rsid w:val="004E0351"/>
    <w:rsid w:val="0050657D"/>
    <w:rsid w:val="005171F1"/>
    <w:rsid w:val="00583058"/>
    <w:rsid w:val="005A4A3F"/>
    <w:rsid w:val="005A4B8F"/>
    <w:rsid w:val="005B0108"/>
    <w:rsid w:val="005B5640"/>
    <w:rsid w:val="005D2EC3"/>
    <w:rsid w:val="005E792B"/>
    <w:rsid w:val="006042D6"/>
    <w:rsid w:val="0061645B"/>
    <w:rsid w:val="006449F9"/>
    <w:rsid w:val="0064750B"/>
    <w:rsid w:val="00662DC6"/>
    <w:rsid w:val="00673CB3"/>
    <w:rsid w:val="006A30B0"/>
    <w:rsid w:val="006B0DBE"/>
    <w:rsid w:val="006B6B00"/>
    <w:rsid w:val="006C3508"/>
    <w:rsid w:val="006F2062"/>
    <w:rsid w:val="006F6463"/>
    <w:rsid w:val="00713755"/>
    <w:rsid w:val="00714FF9"/>
    <w:rsid w:val="007308D8"/>
    <w:rsid w:val="00730BA1"/>
    <w:rsid w:val="00736969"/>
    <w:rsid w:val="00760D41"/>
    <w:rsid w:val="007734CB"/>
    <w:rsid w:val="00776A1A"/>
    <w:rsid w:val="007946F3"/>
    <w:rsid w:val="008008F8"/>
    <w:rsid w:val="0080219E"/>
    <w:rsid w:val="008358A9"/>
    <w:rsid w:val="00854D7B"/>
    <w:rsid w:val="00895DE7"/>
    <w:rsid w:val="00897F86"/>
    <w:rsid w:val="009137E6"/>
    <w:rsid w:val="00917D48"/>
    <w:rsid w:val="00937220"/>
    <w:rsid w:val="009C7E6D"/>
    <w:rsid w:val="009E1D18"/>
    <w:rsid w:val="009F5F13"/>
    <w:rsid w:val="00A300B1"/>
    <w:rsid w:val="00A64F82"/>
    <w:rsid w:val="00A76522"/>
    <w:rsid w:val="00AB29CE"/>
    <w:rsid w:val="00AD06EA"/>
    <w:rsid w:val="00AE3D98"/>
    <w:rsid w:val="00B02EE6"/>
    <w:rsid w:val="00B31871"/>
    <w:rsid w:val="00BD64DE"/>
    <w:rsid w:val="00BE12F0"/>
    <w:rsid w:val="00C23177"/>
    <w:rsid w:val="00C92422"/>
    <w:rsid w:val="00CA1349"/>
    <w:rsid w:val="00CB09B7"/>
    <w:rsid w:val="00CB21F6"/>
    <w:rsid w:val="00CB7B14"/>
    <w:rsid w:val="00CC2E08"/>
    <w:rsid w:val="00CC7B07"/>
    <w:rsid w:val="00CD4FC8"/>
    <w:rsid w:val="00D445B3"/>
    <w:rsid w:val="00D55DA6"/>
    <w:rsid w:val="00D55E74"/>
    <w:rsid w:val="00D75092"/>
    <w:rsid w:val="00DC0702"/>
    <w:rsid w:val="00DC2B5A"/>
    <w:rsid w:val="00E02705"/>
    <w:rsid w:val="00E52364"/>
    <w:rsid w:val="00E650D5"/>
    <w:rsid w:val="00E67821"/>
    <w:rsid w:val="00E771C2"/>
    <w:rsid w:val="00EA10CD"/>
    <w:rsid w:val="00EB2A74"/>
    <w:rsid w:val="00EB5DB7"/>
    <w:rsid w:val="00EB6EBF"/>
    <w:rsid w:val="00EE1652"/>
    <w:rsid w:val="00EE2ABF"/>
    <w:rsid w:val="00EF6936"/>
    <w:rsid w:val="00EF77B5"/>
    <w:rsid w:val="00F80C5D"/>
    <w:rsid w:val="00F82D67"/>
    <w:rsid w:val="00FB3518"/>
    <w:rsid w:val="00FC6F7F"/>
    <w:rsid w:val="00FD1C9A"/>
    <w:rsid w:val="00FE1D33"/>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99FB5"/>
  <w15:docId w15:val="{70CCF8A1-26E8-4DDA-B3BF-563CAAA3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69"/>
    <w:pPr>
      <w:tabs>
        <w:tab w:val="left" w:pos="720"/>
      </w:tabs>
      <w:spacing w:before="120"/>
      <w:ind w:left="720" w:hanging="720"/>
    </w:pPr>
    <w:rPr>
      <w:rFonts w:ascii="Arial" w:hAnsi="Arial"/>
      <w:sz w:val="24"/>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paragraph" w:customStyle="1" w:styleId="Default">
    <w:name w:val="Default"/>
    <w:rsid w:val="00730B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08F8"/>
    <w:pPr>
      <w:contextualSpacing/>
    </w:pPr>
  </w:style>
  <w:style w:type="paragraph" w:styleId="FootnoteText">
    <w:name w:val="footnote text"/>
    <w:basedOn w:val="Normal"/>
    <w:link w:val="FootnoteTextChar"/>
    <w:unhideWhenUsed/>
    <w:rsid w:val="00D55DA6"/>
    <w:pPr>
      <w:spacing w:before="0"/>
    </w:pPr>
    <w:rPr>
      <w:sz w:val="20"/>
      <w:szCs w:val="20"/>
    </w:rPr>
  </w:style>
  <w:style w:type="character" w:customStyle="1" w:styleId="FootnoteTextChar">
    <w:name w:val="Footnote Text Char"/>
    <w:basedOn w:val="DefaultParagraphFont"/>
    <w:link w:val="FootnoteText"/>
    <w:rsid w:val="00D55DA6"/>
    <w:rPr>
      <w:rFonts w:ascii="Arial" w:hAnsi="Arial"/>
      <w:lang w:val="en-US" w:eastAsia="en-US"/>
    </w:rPr>
  </w:style>
  <w:style w:type="character" w:styleId="FootnoteReference">
    <w:name w:val="footnote reference"/>
    <w:basedOn w:val="DefaultParagraphFont"/>
    <w:semiHidden/>
    <w:unhideWhenUsed/>
    <w:rsid w:val="00D55DA6"/>
    <w:rPr>
      <w:vertAlign w:val="superscript"/>
    </w:rPr>
  </w:style>
  <w:style w:type="character" w:styleId="Hyperlink">
    <w:name w:val="Hyperlink"/>
    <w:basedOn w:val="DefaultParagraphFont"/>
    <w:uiPriority w:val="99"/>
    <w:semiHidden/>
    <w:unhideWhenUsed/>
    <w:rsid w:val="000A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5103">
      <w:bodyDiv w:val="1"/>
      <w:marLeft w:val="0"/>
      <w:marRight w:val="0"/>
      <w:marTop w:val="0"/>
      <w:marBottom w:val="0"/>
      <w:divBdr>
        <w:top w:val="none" w:sz="0" w:space="0" w:color="auto"/>
        <w:left w:val="none" w:sz="0" w:space="0" w:color="auto"/>
        <w:bottom w:val="none" w:sz="0" w:space="0" w:color="auto"/>
        <w:right w:val="none" w:sz="0" w:space="0" w:color="auto"/>
      </w:divBdr>
    </w:div>
    <w:div w:id="632178047">
      <w:bodyDiv w:val="1"/>
      <w:marLeft w:val="0"/>
      <w:marRight w:val="0"/>
      <w:marTop w:val="0"/>
      <w:marBottom w:val="0"/>
      <w:divBdr>
        <w:top w:val="none" w:sz="0" w:space="0" w:color="auto"/>
        <w:left w:val="none" w:sz="0" w:space="0" w:color="auto"/>
        <w:bottom w:val="none" w:sz="0" w:space="0" w:color="auto"/>
        <w:right w:val="none" w:sz="0" w:space="0" w:color="auto"/>
      </w:divBdr>
    </w:div>
    <w:div w:id="643899252">
      <w:bodyDiv w:val="1"/>
      <w:marLeft w:val="0"/>
      <w:marRight w:val="0"/>
      <w:marTop w:val="0"/>
      <w:marBottom w:val="0"/>
      <w:divBdr>
        <w:top w:val="none" w:sz="0" w:space="0" w:color="auto"/>
        <w:left w:val="none" w:sz="0" w:space="0" w:color="auto"/>
        <w:bottom w:val="none" w:sz="0" w:space="0" w:color="auto"/>
        <w:right w:val="none" w:sz="0" w:space="0" w:color="auto"/>
      </w:divBdr>
    </w:div>
    <w:div w:id="1212229080">
      <w:bodyDiv w:val="1"/>
      <w:marLeft w:val="0"/>
      <w:marRight w:val="0"/>
      <w:marTop w:val="0"/>
      <w:marBottom w:val="0"/>
      <w:divBdr>
        <w:top w:val="none" w:sz="0" w:space="0" w:color="auto"/>
        <w:left w:val="none" w:sz="0" w:space="0" w:color="auto"/>
        <w:bottom w:val="none" w:sz="0" w:space="0" w:color="auto"/>
        <w:right w:val="none" w:sz="0" w:space="0" w:color="auto"/>
      </w:divBdr>
    </w:div>
    <w:div w:id="1229803340">
      <w:bodyDiv w:val="1"/>
      <w:marLeft w:val="0"/>
      <w:marRight w:val="0"/>
      <w:marTop w:val="0"/>
      <w:marBottom w:val="0"/>
      <w:divBdr>
        <w:top w:val="none" w:sz="0" w:space="0" w:color="auto"/>
        <w:left w:val="none" w:sz="0" w:space="0" w:color="auto"/>
        <w:bottom w:val="none" w:sz="0" w:space="0" w:color="auto"/>
        <w:right w:val="none" w:sz="0" w:space="0" w:color="auto"/>
      </w:divBdr>
    </w:div>
    <w:div w:id="1451044564">
      <w:bodyDiv w:val="1"/>
      <w:marLeft w:val="0"/>
      <w:marRight w:val="0"/>
      <w:marTop w:val="0"/>
      <w:marBottom w:val="0"/>
      <w:divBdr>
        <w:top w:val="none" w:sz="0" w:space="0" w:color="auto"/>
        <w:left w:val="none" w:sz="0" w:space="0" w:color="auto"/>
        <w:bottom w:val="none" w:sz="0" w:space="0" w:color="auto"/>
        <w:right w:val="none" w:sz="0" w:space="0" w:color="auto"/>
      </w:divBdr>
    </w:div>
    <w:div w:id="1823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ahqewc01/livelink/llisapi.dll?func=ll&amp;objId=22848649&amp;objAction=browse&amp;viewTyp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hodgson\AppData\Local\Microsoft\Windows\Temporary%20Internet%20Files\Content.IE5\26WR4MNC\NDA%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6" ma:contentTypeDescription="Create a new document." ma:contentTypeScope="" ma:versionID="770d6b717f2a1587123ad864dde31777">
  <xsd:schema xmlns:xsd="http://www.w3.org/2001/XMLSchema" xmlns:xs="http://www.w3.org/2001/XMLSchema" xmlns:p="http://schemas.microsoft.com/office/2006/metadata/properties" xmlns:ns2="f8c9c0bf-a0c2-4dab-bdae-1bf3f37029cf" xmlns:ns3="a18509c7-911e-4ae4-9023-88257a17fed2" targetNamespace="http://schemas.microsoft.com/office/2006/metadata/properties" ma:root="true" ma:fieldsID="25e322810387b03a5a37cc5a77fda267" ns2:_="" ns3:_="">
    <xsd:import namespace="f8c9c0bf-a0c2-4dab-bdae-1bf3f37029cf"/>
    <xsd:import namespace="a18509c7-911e-4ae4-9023-88257a17fe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cdbdfe-e54f-4a2e-b241-30ee248b12d3}"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7f6b35-f2d1-4acf-b82a-a8ced64140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D9CC6-6C5A-463D-B8DE-304E30F56321}">
  <ds:schemaRefs>
    <ds:schemaRef ds:uri="http://schemas.openxmlformats.org/officeDocument/2006/bibliography"/>
  </ds:schemaRefs>
</ds:datastoreItem>
</file>

<file path=customXml/itemProps2.xml><?xml version="1.0" encoding="utf-8"?>
<ds:datastoreItem xmlns:ds="http://schemas.openxmlformats.org/officeDocument/2006/customXml" ds:itemID="{82BB684B-2494-423F-B9C2-7F9F85BD028F}"/>
</file>

<file path=customXml/itemProps3.xml><?xml version="1.0" encoding="utf-8"?>
<ds:datastoreItem xmlns:ds="http://schemas.openxmlformats.org/officeDocument/2006/customXml" ds:itemID="{E091BCC5-26D0-4C5C-BFAA-6BEF255616C4}"/>
</file>

<file path=docProps/app.xml><?xml version="1.0" encoding="utf-8"?>
<Properties xmlns="http://schemas.openxmlformats.org/officeDocument/2006/extended-properties" xmlns:vt="http://schemas.openxmlformats.org/officeDocument/2006/docPropsVTypes">
  <Template>NDA General Document Template</Template>
  <TotalTime>7</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Nuclear Decommissioning Authority</dc:creator>
  <cp:lastModifiedBy>Jacka, Paul</cp:lastModifiedBy>
  <cp:revision>2</cp:revision>
  <cp:lastPrinted>2019-01-22T13:54:00Z</cp:lastPrinted>
  <dcterms:created xsi:type="dcterms:W3CDTF">2022-09-05T15:21:00Z</dcterms:created>
  <dcterms:modified xsi:type="dcterms:W3CDTF">2022-09-05T15:21:00Z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2022-09-05T15:21:10Z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db994073-7186-475a-b0d1-0b0804f19f3c</vt:lpwstr>
  </property>
  <property fmtid="{D5CDD505-2E9C-101B-9397-08002B2CF9AE}" pid="8" name="MSIP_Label_4b4c8e33-e9bd-4b03-9952-88e447410871_ContentBits">
    <vt:lpwstr>3</vt:lpwstr>
  </property>
</Properties>
</file>