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75807" w14:textId="77777777" w:rsidR="00730BA1" w:rsidRDefault="00730BA1" w:rsidP="004844EC">
      <w:pPr>
        <w:tabs>
          <w:tab w:val="clear" w:pos="720"/>
        </w:tabs>
        <w:ind w:left="0" w:right="-210" w:firstLine="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268"/>
        <w:gridCol w:w="3827"/>
        <w:gridCol w:w="1911"/>
      </w:tblGrid>
      <w:tr w:rsidR="00730BA1" w14:paraId="0E8433B1" w14:textId="77777777" w:rsidTr="00321C9B">
        <w:tc>
          <w:tcPr>
            <w:tcW w:w="9561" w:type="dxa"/>
            <w:gridSpan w:val="4"/>
          </w:tcPr>
          <w:p w14:paraId="7C98D72F" w14:textId="77777777" w:rsidR="00730BA1" w:rsidRPr="008008F8" w:rsidRDefault="00730BA1" w:rsidP="00730BA1">
            <w:pPr>
              <w:tabs>
                <w:tab w:val="clear" w:pos="720"/>
              </w:tabs>
              <w:ind w:left="0" w:firstLine="0"/>
              <w:jc w:val="center"/>
              <w:rPr>
                <w:b/>
              </w:rPr>
            </w:pPr>
            <w:r w:rsidRPr="008008F8">
              <w:rPr>
                <w:b/>
              </w:rPr>
              <w:t>Document Control Sheet</w:t>
            </w:r>
          </w:p>
        </w:tc>
      </w:tr>
      <w:tr w:rsidR="006105C2" w14:paraId="68175B10" w14:textId="77777777" w:rsidTr="00321C9B">
        <w:tc>
          <w:tcPr>
            <w:tcW w:w="3823" w:type="dxa"/>
            <w:gridSpan w:val="2"/>
          </w:tcPr>
          <w:p w14:paraId="00BFCC78" w14:textId="77777777" w:rsidR="00730BA1" w:rsidRDefault="00730BA1" w:rsidP="001749BE">
            <w:pPr>
              <w:tabs>
                <w:tab w:val="clear" w:pos="720"/>
              </w:tabs>
              <w:ind w:left="0" w:firstLine="0"/>
            </w:pPr>
            <w:r>
              <w:t xml:space="preserve">Author </w:t>
            </w:r>
            <w:r w:rsidR="001749BE">
              <w:t>and Owner</w:t>
            </w:r>
          </w:p>
        </w:tc>
        <w:tc>
          <w:tcPr>
            <w:tcW w:w="5738" w:type="dxa"/>
            <w:gridSpan w:val="2"/>
          </w:tcPr>
          <w:p w14:paraId="5913CFCA" w14:textId="0C5A8584" w:rsidR="00730BA1" w:rsidRDefault="00FB3278" w:rsidP="006F6463">
            <w:pPr>
              <w:tabs>
                <w:tab w:val="clear" w:pos="720"/>
              </w:tabs>
              <w:ind w:left="0" w:firstLine="0"/>
            </w:pPr>
            <w:r>
              <w:t>Matthew Collantine</w:t>
            </w:r>
          </w:p>
        </w:tc>
      </w:tr>
      <w:tr w:rsidR="006105C2" w14:paraId="3FD292CC" w14:textId="77777777" w:rsidTr="00321C9B">
        <w:tc>
          <w:tcPr>
            <w:tcW w:w="3823" w:type="dxa"/>
            <w:gridSpan w:val="2"/>
          </w:tcPr>
          <w:p w14:paraId="630D6295" w14:textId="77777777" w:rsidR="00730BA1" w:rsidRDefault="00730BA1" w:rsidP="006F6463">
            <w:pPr>
              <w:tabs>
                <w:tab w:val="clear" w:pos="720"/>
              </w:tabs>
              <w:ind w:left="0" w:firstLine="0"/>
            </w:pPr>
            <w:r>
              <w:t>Document Path and Livelink number</w:t>
            </w:r>
          </w:p>
        </w:tc>
        <w:tc>
          <w:tcPr>
            <w:tcW w:w="5738" w:type="dxa"/>
            <w:gridSpan w:val="2"/>
          </w:tcPr>
          <w:p w14:paraId="138BCBF1" w14:textId="45BB09DF" w:rsidR="00730BA1" w:rsidRDefault="00730BA1" w:rsidP="00730BA1">
            <w:pPr>
              <w:tabs>
                <w:tab w:val="clear" w:pos="720"/>
              </w:tabs>
              <w:ind w:left="0" w:firstLine="0"/>
            </w:pPr>
            <w:r>
              <w:t xml:space="preserve">Livelink – QMS Live – </w:t>
            </w:r>
            <w:r w:rsidR="00496611">
              <w:t>S&amp;CS</w:t>
            </w:r>
            <w:r>
              <w:t xml:space="preserve"> </w:t>
            </w:r>
          </w:p>
          <w:p w14:paraId="751B9FE9" w14:textId="283BFFA5" w:rsidR="008008F8" w:rsidRDefault="007E5CE8" w:rsidP="008008F8">
            <w:pPr>
              <w:tabs>
                <w:tab w:val="clear" w:pos="720"/>
              </w:tabs>
              <w:ind w:left="0" w:firstLine="0"/>
            </w:pPr>
            <w:hyperlink r:id="rId8" w:history="1">
              <w:r w:rsidR="006105C2">
                <w:rPr>
                  <w:rStyle w:val="Hyperlink"/>
                </w:rPr>
                <w:t>35489581</w:t>
              </w:r>
            </w:hyperlink>
          </w:p>
        </w:tc>
      </w:tr>
      <w:tr w:rsidR="006105C2" w14:paraId="58E6E36B" w14:textId="77777777" w:rsidTr="00321C9B">
        <w:tc>
          <w:tcPr>
            <w:tcW w:w="3823" w:type="dxa"/>
            <w:gridSpan w:val="2"/>
          </w:tcPr>
          <w:p w14:paraId="0C567E58" w14:textId="77777777" w:rsidR="00730BA1" w:rsidRDefault="00730BA1" w:rsidP="006F6463">
            <w:pPr>
              <w:tabs>
                <w:tab w:val="clear" w:pos="720"/>
              </w:tabs>
              <w:ind w:left="0" w:firstLine="0"/>
            </w:pPr>
            <w:r>
              <w:t>Version number</w:t>
            </w:r>
          </w:p>
        </w:tc>
        <w:tc>
          <w:tcPr>
            <w:tcW w:w="5738" w:type="dxa"/>
            <w:gridSpan w:val="2"/>
          </w:tcPr>
          <w:p w14:paraId="6D39AE76" w14:textId="733FA638" w:rsidR="00730BA1" w:rsidRDefault="00496611" w:rsidP="006F6463">
            <w:pPr>
              <w:tabs>
                <w:tab w:val="clear" w:pos="720"/>
              </w:tabs>
              <w:ind w:left="0" w:firstLine="0"/>
            </w:pPr>
            <w:r>
              <w:t>V</w:t>
            </w:r>
            <w:r w:rsidR="002106E5">
              <w:t>9</w:t>
            </w:r>
          </w:p>
        </w:tc>
      </w:tr>
      <w:tr w:rsidR="006105C2" w14:paraId="41334A62" w14:textId="77777777" w:rsidTr="00321C9B">
        <w:tc>
          <w:tcPr>
            <w:tcW w:w="3823" w:type="dxa"/>
            <w:gridSpan w:val="2"/>
          </w:tcPr>
          <w:p w14:paraId="2CAF7822" w14:textId="77777777" w:rsidR="00730BA1" w:rsidRDefault="00730BA1" w:rsidP="006F6463">
            <w:pPr>
              <w:tabs>
                <w:tab w:val="clear" w:pos="720"/>
              </w:tabs>
              <w:ind w:left="0" w:firstLine="0"/>
            </w:pPr>
            <w:r>
              <w:t xml:space="preserve">Status </w:t>
            </w:r>
          </w:p>
        </w:tc>
        <w:tc>
          <w:tcPr>
            <w:tcW w:w="5738" w:type="dxa"/>
            <w:gridSpan w:val="2"/>
          </w:tcPr>
          <w:p w14:paraId="62A07848" w14:textId="358A782D" w:rsidR="00730BA1" w:rsidRDefault="00496611" w:rsidP="006F6463">
            <w:pPr>
              <w:tabs>
                <w:tab w:val="clear" w:pos="720"/>
              </w:tabs>
              <w:ind w:left="0" w:firstLine="0"/>
            </w:pPr>
            <w:r>
              <w:t>Live</w:t>
            </w:r>
          </w:p>
        </w:tc>
      </w:tr>
      <w:tr w:rsidR="006105C2" w14:paraId="0375C684" w14:textId="77777777" w:rsidTr="00321C9B">
        <w:tc>
          <w:tcPr>
            <w:tcW w:w="3823" w:type="dxa"/>
            <w:gridSpan w:val="2"/>
          </w:tcPr>
          <w:p w14:paraId="67B95E7A" w14:textId="77777777" w:rsidR="00730BA1" w:rsidRDefault="00730BA1" w:rsidP="006F6463">
            <w:pPr>
              <w:tabs>
                <w:tab w:val="clear" w:pos="720"/>
              </w:tabs>
              <w:ind w:left="0" w:firstLine="0"/>
            </w:pPr>
            <w:r>
              <w:t>Version Publication date</w:t>
            </w:r>
          </w:p>
        </w:tc>
        <w:tc>
          <w:tcPr>
            <w:tcW w:w="5738" w:type="dxa"/>
            <w:gridSpan w:val="2"/>
          </w:tcPr>
          <w:p w14:paraId="4D6A5618" w14:textId="7288BF24" w:rsidR="00730BA1" w:rsidRDefault="00321C9B" w:rsidP="006F6463">
            <w:pPr>
              <w:tabs>
                <w:tab w:val="clear" w:pos="720"/>
              </w:tabs>
              <w:ind w:left="0" w:firstLine="0"/>
            </w:pPr>
            <w:r>
              <w:t>September</w:t>
            </w:r>
            <w:r w:rsidR="00496611">
              <w:t xml:space="preserve"> 202</w:t>
            </w:r>
            <w:r w:rsidR="002106E5">
              <w:t>2</w:t>
            </w:r>
          </w:p>
        </w:tc>
      </w:tr>
      <w:tr w:rsidR="006105C2" w14:paraId="599E31CD" w14:textId="77777777" w:rsidTr="00321C9B">
        <w:tc>
          <w:tcPr>
            <w:tcW w:w="3823" w:type="dxa"/>
            <w:gridSpan w:val="2"/>
          </w:tcPr>
          <w:p w14:paraId="584D69BA" w14:textId="77777777" w:rsidR="00730BA1" w:rsidRDefault="00730BA1" w:rsidP="001749BE">
            <w:pPr>
              <w:tabs>
                <w:tab w:val="clear" w:pos="720"/>
              </w:tabs>
              <w:ind w:left="0" w:firstLine="0"/>
            </w:pPr>
            <w:r>
              <w:t xml:space="preserve">Related </w:t>
            </w:r>
            <w:r w:rsidR="001749BE">
              <w:t>QMS Documents</w:t>
            </w:r>
          </w:p>
        </w:tc>
        <w:tc>
          <w:tcPr>
            <w:tcW w:w="5738" w:type="dxa"/>
            <w:gridSpan w:val="2"/>
          </w:tcPr>
          <w:p w14:paraId="2CDDF21E" w14:textId="3CFFA824" w:rsidR="00730BA1" w:rsidRDefault="00E2407E" w:rsidP="006F6463">
            <w:pPr>
              <w:tabs>
                <w:tab w:val="clear" w:pos="720"/>
              </w:tabs>
              <w:ind w:left="0" w:firstLine="0"/>
            </w:pPr>
            <w:r w:rsidRPr="006105C2">
              <w:t>SCPR13</w:t>
            </w:r>
          </w:p>
        </w:tc>
      </w:tr>
      <w:tr w:rsidR="006105C2" w14:paraId="0B84B49C" w14:textId="77777777" w:rsidTr="00321C9B">
        <w:tc>
          <w:tcPr>
            <w:tcW w:w="3823" w:type="dxa"/>
            <w:gridSpan w:val="2"/>
          </w:tcPr>
          <w:p w14:paraId="24E97B90" w14:textId="77777777" w:rsidR="00730BA1" w:rsidRDefault="008008F8" w:rsidP="006F6463">
            <w:pPr>
              <w:tabs>
                <w:tab w:val="clear" w:pos="720"/>
              </w:tabs>
              <w:ind w:left="0" w:firstLine="0"/>
            </w:pPr>
            <w:r>
              <w:t>Review Frequency and Date</w:t>
            </w:r>
          </w:p>
        </w:tc>
        <w:tc>
          <w:tcPr>
            <w:tcW w:w="5738" w:type="dxa"/>
            <w:gridSpan w:val="2"/>
          </w:tcPr>
          <w:p w14:paraId="2C3600FB" w14:textId="7A3F4605" w:rsidR="008008F8" w:rsidRDefault="008008F8" w:rsidP="006F6463">
            <w:pPr>
              <w:tabs>
                <w:tab w:val="clear" w:pos="720"/>
              </w:tabs>
              <w:ind w:left="0" w:firstLine="0"/>
            </w:pPr>
            <w:r>
              <w:t>Annual</w:t>
            </w:r>
          </w:p>
          <w:p w14:paraId="2ED06378" w14:textId="0AE6B4CB" w:rsidR="008008F8" w:rsidRDefault="00321C9B" w:rsidP="006F6463">
            <w:pPr>
              <w:tabs>
                <w:tab w:val="clear" w:pos="720"/>
              </w:tabs>
              <w:ind w:left="0" w:firstLine="0"/>
            </w:pPr>
            <w:r>
              <w:t>September</w:t>
            </w:r>
            <w:r w:rsidR="00496611">
              <w:t xml:space="preserve"> 202</w:t>
            </w:r>
            <w:r w:rsidR="002106E5">
              <w:t>3</w:t>
            </w:r>
          </w:p>
        </w:tc>
      </w:tr>
      <w:tr w:rsidR="006105C2" w14:paraId="679736D9" w14:textId="77777777" w:rsidTr="00321C9B">
        <w:tc>
          <w:tcPr>
            <w:tcW w:w="3823" w:type="dxa"/>
            <w:gridSpan w:val="2"/>
          </w:tcPr>
          <w:p w14:paraId="7D11791E" w14:textId="77777777" w:rsidR="00730BA1" w:rsidRDefault="008008F8" w:rsidP="006F6463">
            <w:pPr>
              <w:tabs>
                <w:tab w:val="clear" w:pos="720"/>
              </w:tabs>
              <w:ind w:left="0" w:firstLine="0"/>
            </w:pPr>
            <w:r>
              <w:t>Approved by and Date</w:t>
            </w:r>
          </w:p>
        </w:tc>
        <w:tc>
          <w:tcPr>
            <w:tcW w:w="5738" w:type="dxa"/>
            <w:gridSpan w:val="2"/>
          </w:tcPr>
          <w:p w14:paraId="686C0188" w14:textId="259BB3FD" w:rsidR="00FB3278" w:rsidRDefault="00321C9B" w:rsidP="006F6463">
            <w:pPr>
              <w:tabs>
                <w:tab w:val="clear" w:pos="720"/>
              </w:tabs>
              <w:ind w:left="0" w:firstLine="0"/>
            </w:pPr>
            <w:r>
              <w:t>Matthew Collantine</w:t>
            </w:r>
          </w:p>
          <w:p w14:paraId="6A2D515C" w14:textId="3236347D" w:rsidR="00730BA1" w:rsidRDefault="00321C9B" w:rsidP="006F6463">
            <w:pPr>
              <w:tabs>
                <w:tab w:val="clear" w:pos="720"/>
              </w:tabs>
              <w:ind w:left="0" w:firstLine="0"/>
            </w:pPr>
            <w:r>
              <w:rPr>
                <w:color w:val="000000" w:themeColor="text1"/>
              </w:rPr>
              <w:t>September</w:t>
            </w:r>
            <w:r w:rsidR="00FB3278">
              <w:rPr>
                <w:color w:val="000000" w:themeColor="text1"/>
              </w:rPr>
              <w:t xml:space="preserve"> </w:t>
            </w:r>
            <w:r w:rsidR="00FB3278">
              <w:t>202</w:t>
            </w:r>
            <w:r w:rsidR="002106E5">
              <w:t>2</w:t>
            </w:r>
          </w:p>
        </w:tc>
      </w:tr>
      <w:tr w:rsidR="006105C2" w14:paraId="6A6CAFB8" w14:textId="77777777" w:rsidTr="00321C9B">
        <w:tc>
          <w:tcPr>
            <w:tcW w:w="3823" w:type="dxa"/>
            <w:gridSpan w:val="2"/>
          </w:tcPr>
          <w:p w14:paraId="2F200969" w14:textId="77777777" w:rsidR="00730BA1" w:rsidRDefault="008008F8" w:rsidP="006F6463">
            <w:pPr>
              <w:tabs>
                <w:tab w:val="clear" w:pos="720"/>
              </w:tabs>
              <w:ind w:left="0" w:firstLine="0"/>
            </w:pPr>
            <w:r>
              <w:t xml:space="preserve">Distribution </w:t>
            </w:r>
          </w:p>
        </w:tc>
        <w:tc>
          <w:tcPr>
            <w:tcW w:w="5738" w:type="dxa"/>
            <w:gridSpan w:val="2"/>
          </w:tcPr>
          <w:p w14:paraId="41A4CD81" w14:textId="7BF75CAE" w:rsidR="008008F8" w:rsidRDefault="008008F8" w:rsidP="008008F8">
            <w:pPr>
              <w:tabs>
                <w:tab w:val="clear" w:pos="720"/>
              </w:tabs>
              <w:ind w:left="0" w:firstLine="0"/>
            </w:pPr>
            <w:r>
              <w:t>All NDA staff</w:t>
            </w:r>
          </w:p>
        </w:tc>
      </w:tr>
      <w:tr w:rsidR="006105C2" w:rsidRPr="001665CB" w14:paraId="22315DA3" w14:textId="77777777" w:rsidTr="00321C9B">
        <w:tc>
          <w:tcPr>
            <w:tcW w:w="1555" w:type="dxa"/>
          </w:tcPr>
          <w:p w14:paraId="669E0839" w14:textId="77777777" w:rsidR="001665CB" w:rsidRPr="001665CB" w:rsidRDefault="001665CB" w:rsidP="006F6463">
            <w:pPr>
              <w:tabs>
                <w:tab w:val="clear" w:pos="720"/>
              </w:tabs>
              <w:ind w:left="0" w:firstLine="0"/>
              <w:rPr>
                <w:b/>
              </w:rPr>
            </w:pPr>
            <w:r w:rsidRPr="001665CB">
              <w:rPr>
                <w:b/>
              </w:rPr>
              <w:t>Version</w:t>
            </w:r>
          </w:p>
        </w:tc>
        <w:tc>
          <w:tcPr>
            <w:tcW w:w="2268" w:type="dxa"/>
          </w:tcPr>
          <w:p w14:paraId="57AE5F80" w14:textId="77777777" w:rsidR="001665CB" w:rsidRPr="001665CB" w:rsidRDefault="001665CB" w:rsidP="006F6463">
            <w:pPr>
              <w:tabs>
                <w:tab w:val="clear" w:pos="720"/>
              </w:tabs>
              <w:ind w:left="0" w:firstLine="0"/>
              <w:rPr>
                <w:b/>
              </w:rPr>
            </w:pPr>
            <w:r w:rsidRPr="001665CB">
              <w:rPr>
                <w:b/>
              </w:rPr>
              <w:t>Date</w:t>
            </w:r>
          </w:p>
        </w:tc>
        <w:tc>
          <w:tcPr>
            <w:tcW w:w="3827" w:type="dxa"/>
          </w:tcPr>
          <w:p w14:paraId="5792A7D0" w14:textId="77777777" w:rsidR="001665CB" w:rsidRPr="001665CB" w:rsidRDefault="001665CB" w:rsidP="008008F8">
            <w:pPr>
              <w:tabs>
                <w:tab w:val="clear" w:pos="720"/>
              </w:tabs>
              <w:ind w:left="0" w:firstLine="0"/>
              <w:rPr>
                <w:b/>
              </w:rPr>
            </w:pPr>
            <w:r w:rsidRPr="001665CB">
              <w:rPr>
                <w:b/>
              </w:rPr>
              <w:t>Comments/Change</w:t>
            </w:r>
          </w:p>
        </w:tc>
        <w:tc>
          <w:tcPr>
            <w:tcW w:w="1911" w:type="dxa"/>
          </w:tcPr>
          <w:p w14:paraId="303CA923" w14:textId="77777777" w:rsidR="001665CB" w:rsidRPr="001665CB" w:rsidRDefault="001665CB" w:rsidP="008008F8">
            <w:pPr>
              <w:tabs>
                <w:tab w:val="clear" w:pos="720"/>
              </w:tabs>
              <w:ind w:left="0" w:firstLine="0"/>
              <w:rPr>
                <w:b/>
              </w:rPr>
            </w:pPr>
            <w:r w:rsidRPr="001665CB">
              <w:rPr>
                <w:b/>
              </w:rPr>
              <w:t>Author</w:t>
            </w:r>
          </w:p>
        </w:tc>
      </w:tr>
      <w:tr w:rsidR="006105C2" w14:paraId="47BA2352" w14:textId="77777777" w:rsidTr="00321C9B">
        <w:tc>
          <w:tcPr>
            <w:tcW w:w="1555" w:type="dxa"/>
          </w:tcPr>
          <w:p w14:paraId="5AE1F959" w14:textId="30510536" w:rsidR="001665CB" w:rsidRDefault="00E6418D" w:rsidP="006F6463">
            <w:pPr>
              <w:tabs>
                <w:tab w:val="clear" w:pos="720"/>
              </w:tabs>
              <w:ind w:left="0" w:firstLine="0"/>
            </w:pPr>
            <w:r>
              <w:t>6</w:t>
            </w:r>
          </w:p>
        </w:tc>
        <w:tc>
          <w:tcPr>
            <w:tcW w:w="2268" w:type="dxa"/>
          </w:tcPr>
          <w:p w14:paraId="2A27C1F2" w14:textId="03B44A8D" w:rsidR="001665CB" w:rsidRDefault="00FB3278" w:rsidP="006F6463">
            <w:pPr>
              <w:tabs>
                <w:tab w:val="clear" w:pos="720"/>
              </w:tabs>
              <w:ind w:left="0" w:firstLine="0"/>
            </w:pPr>
            <w:r>
              <w:t>August 2020</w:t>
            </w:r>
          </w:p>
        </w:tc>
        <w:tc>
          <w:tcPr>
            <w:tcW w:w="3827" w:type="dxa"/>
          </w:tcPr>
          <w:p w14:paraId="6B7C5274" w14:textId="77777777" w:rsidR="001665CB" w:rsidRDefault="00FB3278" w:rsidP="008008F8">
            <w:pPr>
              <w:tabs>
                <w:tab w:val="clear" w:pos="720"/>
              </w:tabs>
              <w:ind w:left="0" w:firstLine="0"/>
            </w:pPr>
            <w:r>
              <w:t>Review original IPPR01-TAC09 document, update and convert to the new procedure template</w:t>
            </w:r>
          </w:p>
          <w:p w14:paraId="524828FF" w14:textId="0B17D163" w:rsidR="00E2407E" w:rsidRDefault="00E2407E" w:rsidP="008008F8">
            <w:pPr>
              <w:tabs>
                <w:tab w:val="clear" w:pos="720"/>
              </w:tabs>
              <w:ind w:left="0" w:firstLine="0"/>
            </w:pPr>
            <w:r>
              <w:t>New number allocated to move into security area</w:t>
            </w:r>
          </w:p>
        </w:tc>
        <w:tc>
          <w:tcPr>
            <w:tcW w:w="1911" w:type="dxa"/>
          </w:tcPr>
          <w:p w14:paraId="35598E70" w14:textId="79EF56B4" w:rsidR="001665CB" w:rsidRDefault="00FB3278" w:rsidP="008008F8">
            <w:pPr>
              <w:tabs>
                <w:tab w:val="clear" w:pos="720"/>
              </w:tabs>
              <w:ind w:left="0" w:firstLine="0"/>
            </w:pPr>
            <w:r>
              <w:t>Matthew Collantine</w:t>
            </w:r>
          </w:p>
        </w:tc>
      </w:tr>
      <w:tr w:rsidR="006105C2" w14:paraId="38DF4CF6" w14:textId="77777777" w:rsidTr="00321C9B">
        <w:tc>
          <w:tcPr>
            <w:tcW w:w="1555" w:type="dxa"/>
          </w:tcPr>
          <w:p w14:paraId="0C9529D5" w14:textId="6DD090D8" w:rsidR="007A0DD9" w:rsidRDefault="00D93D3E" w:rsidP="006F6463">
            <w:pPr>
              <w:tabs>
                <w:tab w:val="clear" w:pos="720"/>
              </w:tabs>
              <w:ind w:left="0" w:firstLine="0"/>
            </w:pPr>
            <w:r>
              <w:t xml:space="preserve">7 </w:t>
            </w:r>
          </w:p>
        </w:tc>
        <w:tc>
          <w:tcPr>
            <w:tcW w:w="2268" w:type="dxa"/>
          </w:tcPr>
          <w:p w14:paraId="5172861A" w14:textId="088CBA1E" w:rsidR="007A0DD9" w:rsidRDefault="00D93D3E" w:rsidP="006F6463">
            <w:pPr>
              <w:tabs>
                <w:tab w:val="clear" w:pos="720"/>
              </w:tabs>
              <w:ind w:left="0" w:firstLine="0"/>
            </w:pPr>
            <w:r>
              <w:t>October 2020</w:t>
            </w:r>
          </w:p>
        </w:tc>
        <w:tc>
          <w:tcPr>
            <w:tcW w:w="3827" w:type="dxa"/>
          </w:tcPr>
          <w:p w14:paraId="318F765A" w14:textId="22C8CB0F" w:rsidR="007A0DD9" w:rsidRDefault="00D93D3E" w:rsidP="008008F8">
            <w:pPr>
              <w:tabs>
                <w:tab w:val="clear" w:pos="720"/>
              </w:tabs>
              <w:ind w:left="0" w:firstLine="0"/>
            </w:pPr>
            <w:r>
              <w:t>update to section 4.8 to align with the rest of the Policies and processes.</w:t>
            </w:r>
          </w:p>
        </w:tc>
        <w:tc>
          <w:tcPr>
            <w:tcW w:w="1911" w:type="dxa"/>
          </w:tcPr>
          <w:p w14:paraId="67BC2B8A" w14:textId="4250885E" w:rsidR="007A0DD9" w:rsidRDefault="00D93D3E" w:rsidP="008008F8">
            <w:pPr>
              <w:tabs>
                <w:tab w:val="clear" w:pos="720"/>
              </w:tabs>
              <w:ind w:left="0" w:firstLine="0"/>
            </w:pPr>
            <w:r>
              <w:t>Paul Jacka</w:t>
            </w:r>
          </w:p>
        </w:tc>
      </w:tr>
      <w:tr w:rsidR="00321C9B" w14:paraId="729E9B6A" w14:textId="77777777" w:rsidTr="00321C9B">
        <w:tc>
          <w:tcPr>
            <w:tcW w:w="1555" w:type="dxa"/>
          </w:tcPr>
          <w:p w14:paraId="351C6802" w14:textId="49BD353B" w:rsidR="00321C9B" w:rsidRDefault="00321C9B" w:rsidP="006F6463">
            <w:pPr>
              <w:tabs>
                <w:tab w:val="clear" w:pos="720"/>
              </w:tabs>
              <w:ind w:left="0" w:firstLine="0"/>
            </w:pPr>
            <w:r>
              <w:t>8</w:t>
            </w:r>
          </w:p>
        </w:tc>
        <w:tc>
          <w:tcPr>
            <w:tcW w:w="2268" w:type="dxa"/>
          </w:tcPr>
          <w:p w14:paraId="1DCEEE31" w14:textId="1B9F0CA9" w:rsidR="00321C9B" w:rsidRDefault="00321C9B" w:rsidP="006F6463">
            <w:pPr>
              <w:tabs>
                <w:tab w:val="clear" w:pos="720"/>
              </w:tabs>
              <w:ind w:left="0" w:firstLine="0"/>
            </w:pPr>
            <w:r>
              <w:t>September 2021</w:t>
            </w:r>
          </w:p>
        </w:tc>
        <w:tc>
          <w:tcPr>
            <w:tcW w:w="3827" w:type="dxa"/>
          </w:tcPr>
          <w:p w14:paraId="2694A2FF" w14:textId="070C2558" w:rsidR="00321C9B" w:rsidRDefault="00321C9B" w:rsidP="008008F8">
            <w:pPr>
              <w:tabs>
                <w:tab w:val="clear" w:pos="720"/>
              </w:tabs>
              <w:ind w:left="0" w:firstLine="0"/>
            </w:pPr>
            <w:r>
              <w:t>Reviewed and redated</w:t>
            </w:r>
          </w:p>
        </w:tc>
        <w:tc>
          <w:tcPr>
            <w:tcW w:w="1911" w:type="dxa"/>
          </w:tcPr>
          <w:p w14:paraId="2F3DD845" w14:textId="6806BC3E" w:rsidR="00321C9B" w:rsidRDefault="00321C9B" w:rsidP="008008F8">
            <w:pPr>
              <w:tabs>
                <w:tab w:val="clear" w:pos="720"/>
              </w:tabs>
              <w:ind w:left="0" w:firstLine="0"/>
            </w:pPr>
            <w:r>
              <w:t>Paul Jacka</w:t>
            </w:r>
          </w:p>
        </w:tc>
      </w:tr>
      <w:tr w:rsidR="002106E5" w14:paraId="26611E93" w14:textId="77777777" w:rsidTr="00321C9B">
        <w:tc>
          <w:tcPr>
            <w:tcW w:w="1555" w:type="dxa"/>
          </w:tcPr>
          <w:p w14:paraId="548CD164" w14:textId="76DEC0F2" w:rsidR="002106E5" w:rsidRDefault="002106E5" w:rsidP="006F6463">
            <w:pPr>
              <w:tabs>
                <w:tab w:val="clear" w:pos="720"/>
              </w:tabs>
              <w:ind w:left="0" w:firstLine="0"/>
            </w:pPr>
            <w:r>
              <w:t>9</w:t>
            </w:r>
          </w:p>
        </w:tc>
        <w:tc>
          <w:tcPr>
            <w:tcW w:w="2268" w:type="dxa"/>
          </w:tcPr>
          <w:p w14:paraId="3949C15F" w14:textId="0BA319C1" w:rsidR="002106E5" w:rsidRDefault="002106E5" w:rsidP="006F6463">
            <w:pPr>
              <w:tabs>
                <w:tab w:val="clear" w:pos="720"/>
              </w:tabs>
              <w:ind w:left="0" w:firstLine="0"/>
            </w:pPr>
            <w:r>
              <w:t>Sept 2022</w:t>
            </w:r>
          </w:p>
        </w:tc>
        <w:tc>
          <w:tcPr>
            <w:tcW w:w="3827" w:type="dxa"/>
          </w:tcPr>
          <w:p w14:paraId="5D8C1D65" w14:textId="043F83B5" w:rsidR="002106E5" w:rsidRDefault="002106E5" w:rsidP="008008F8">
            <w:pPr>
              <w:tabs>
                <w:tab w:val="clear" w:pos="720"/>
              </w:tabs>
              <w:ind w:left="0" w:firstLine="0"/>
            </w:pPr>
            <w:r>
              <w:t>Reviewed and dated</w:t>
            </w:r>
          </w:p>
        </w:tc>
        <w:tc>
          <w:tcPr>
            <w:tcW w:w="1911" w:type="dxa"/>
          </w:tcPr>
          <w:p w14:paraId="63509B42" w14:textId="05D22D82" w:rsidR="002106E5" w:rsidRDefault="002106E5" w:rsidP="008008F8">
            <w:pPr>
              <w:tabs>
                <w:tab w:val="clear" w:pos="720"/>
              </w:tabs>
              <w:ind w:left="0" w:firstLine="0"/>
            </w:pPr>
            <w:r>
              <w:t>Paul Jacka</w:t>
            </w:r>
          </w:p>
        </w:tc>
      </w:tr>
      <w:tr w:rsidR="008008F8" w14:paraId="03AE0C0E" w14:textId="77777777" w:rsidTr="00321C9B">
        <w:tc>
          <w:tcPr>
            <w:tcW w:w="9561" w:type="dxa"/>
            <w:gridSpan w:val="4"/>
          </w:tcPr>
          <w:p w14:paraId="5D22D1B7" w14:textId="77777777" w:rsidR="008008F8" w:rsidRDefault="008008F8" w:rsidP="008008F8">
            <w:pPr>
              <w:pStyle w:val="Default"/>
              <w:jc w:val="center"/>
              <w:rPr>
                <w:b/>
                <w:bCs/>
                <w:sz w:val="22"/>
                <w:szCs w:val="22"/>
              </w:rPr>
            </w:pPr>
          </w:p>
          <w:p w14:paraId="1BD4503F" w14:textId="77777777" w:rsidR="008008F8" w:rsidRDefault="008008F8" w:rsidP="008008F8">
            <w:pPr>
              <w:pStyle w:val="Default"/>
              <w:jc w:val="center"/>
              <w:rPr>
                <w:sz w:val="22"/>
                <w:szCs w:val="22"/>
              </w:rPr>
            </w:pPr>
            <w:r>
              <w:rPr>
                <w:b/>
                <w:bCs/>
                <w:sz w:val="22"/>
                <w:szCs w:val="22"/>
              </w:rPr>
              <w:t xml:space="preserve">Please note that the version of this document contained within the </w:t>
            </w:r>
            <w:r w:rsidR="00D55E74">
              <w:rPr>
                <w:b/>
                <w:bCs/>
                <w:sz w:val="22"/>
                <w:szCs w:val="22"/>
              </w:rPr>
              <w:t xml:space="preserve">QMS is the only </w:t>
            </w:r>
            <w:r>
              <w:rPr>
                <w:b/>
                <w:bCs/>
                <w:sz w:val="22"/>
                <w:szCs w:val="22"/>
              </w:rPr>
              <w:t>version that is maintained.</w:t>
            </w:r>
          </w:p>
          <w:p w14:paraId="3B17308B" w14:textId="77777777" w:rsidR="008008F8" w:rsidRDefault="008008F8" w:rsidP="008008F8">
            <w:pPr>
              <w:tabs>
                <w:tab w:val="clear" w:pos="720"/>
              </w:tabs>
              <w:ind w:left="0" w:firstLine="0"/>
              <w:jc w:val="center"/>
            </w:pPr>
            <w:r>
              <w:rPr>
                <w:sz w:val="22"/>
                <w:szCs w:val="22"/>
              </w:rPr>
              <w:t>Any printed copies should therefore be viewed as “uncontrolled” and as such, may not necessarily contain the latest updates and amendments.</w:t>
            </w:r>
          </w:p>
        </w:tc>
      </w:tr>
    </w:tbl>
    <w:p w14:paraId="546C91CE" w14:textId="5135D2B2" w:rsidR="00321C9B" w:rsidRDefault="00321C9B" w:rsidP="006F6463">
      <w:pPr>
        <w:tabs>
          <w:tab w:val="clear" w:pos="720"/>
        </w:tabs>
        <w:ind w:left="0" w:firstLine="0"/>
      </w:pPr>
    </w:p>
    <w:p w14:paraId="18E0D35A" w14:textId="77777777" w:rsidR="00321C9B" w:rsidRDefault="00321C9B">
      <w:pPr>
        <w:tabs>
          <w:tab w:val="clear" w:pos="720"/>
        </w:tabs>
        <w:spacing w:before="0"/>
        <w:ind w:left="0" w:firstLine="0"/>
      </w:pPr>
      <w:r>
        <w:br w:type="page"/>
      </w:r>
    </w:p>
    <w:p w14:paraId="7B71A0E1" w14:textId="77777777" w:rsidR="007A0DD9" w:rsidRDefault="007A0DD9" w:rsidP="006F6463">
      <w:pPr>
        <w:tabs>
          <w:tab w:val="clear" w:pos="720"/>
        </w:tabs>
        <w:ind w:left="0" w:firstLine="0"/>
      </w:pPr>
    </w:p>
    <w:p w14:paraId="39261468" w14:textId="204B0ED5" w:rsidR="00175DB3" w:rsidRPr="00FF3847" w:rsidRDefault="008008F8" w:rsidP="00175DB3">
      <w:pPr>
        <w:pStyle w:val="ListParagraph"/>
        <w:numPr>
          <w:ilvl w:val="0"/>
          <w:numId w:val="16"/>
        </w:numPr>
        <w:tabs>
          <w:tab w:val="clear" w:pos="720"/>
        </w:tabs>
        <w:ind w:left="567" w:hanging="567"/>
        <w:rPr>
          <w:color w:val="000000" w:themeColor="text1"/>
          <w:sz w:val="52"/>
          <w:szCs w:val="52"/>
        </w:rPr>
      </w:pPr>
      <w:r w:rsidRPr="008008F8">
        <w:rPr>
          <w:sz w:val="52"/>
          <w:szCs w:val="52"/>
        </w:rPr>
        <w:t>Scope</w:t>
      </w:r>
      <w:r w:rsidR="00175DB3" w:rsidRPr="00175DB3">
        <w:rPr>
          <w:color w:val="000000" w:themeColor="text1"/>
          <w:sz w:val="52"/>
          <w:szCs w:val="52"/>
        </w:rPr>
        <w:t xml:space="preserve"> </w:t>
      </w:r>
    </w:p>
    <w:p w14:paraId="682FF78F" w14:textId="51471E28" w:rsidR="00175DB3" w:rsidRDefault="00175DB3" w:rsidP="00175DB3">
      <w:pPr>
        <w:pStyle w:val="ListParagraph"/>
        <w:numPr>
          <w:ilvl w:val="1"/>
          <w:numId w:val="16"/>
        </w:numPr>
        <w:tabs>
          <w:tab w:val="clear" w:pos="720"/>
        </w:tabs>
        <w:ind w:left="567" w:hanging="567"/>
        <w:rPr>
          <w:color w:val="000000" w:themeColor="text1"/>
        </w:rPr>
      </w:pPr>
      <w:r w:rsidRPr="00175DB3">
        <w:rPr>
          <w:color w:val="000000" w:themeColor="text1"/>
        </w:rPr>
        <w:t>This procedure</w:t>
      </w:r>
      <w:r w:rsidR="00E07E8F">
        <w:rPr>
          <w:rStyle w:val="FootnoteReference"/>
          <w:color w:val="000000" w:themeColor="text1"/>
        </w:rPr>
        <w:footnoteReference w:id="1"/>
      </w:r>
      <w:r w:rsidR="003A069D">
        <w:rPr>
          <w:color w:val="000000" w:themeColor="text1"/>
        </w:rPr>
        <w:t xml:space="preserve"> </w:t>
      </w:r>
      <w:r w:rsidRPr="00175DB3">
        <w:rPr>
          <w:color w:val="000000" w:themeColor="text1"/>
        </w:rPr>
        <w:t>describes the responsibilities of handling NDA information to all staff including contractors</w:t>
      </w:r>
      <w:r>
        <w:rPr>
          <w:color w:val="000000" w:themeColor="text1"/>
        </w:rPr>
        <w:t>.</w:t>
      </w:r>
    </w:p>
    <w:p w14:paraId="2CABE8B4" w14:textId="1A665635" w:rsidR="00175DB3" w:rsidRPr="00175DB3" w:rsidRDefault="00175DB3" w:rsidP="00175DB3">
      <w:pPr>
        <w:pStyle w:val="ListParagraph"/>
        <w:numPr>
          <w:ilvl w:val="1"/>
          <w:numId w:val="16"/>
        </w:numPr>
        <w:tabs>
          <w:tab w:val="clear" w:pos="720"/>
        </w:tabs>
        <w:ind w:left="567" w:hanging="567"/>
        <w:rPr>
          <w:color w:val="000000" w:themeColor="text1"/>
        </w:rPr>
      </w:pPr>
      <w:r w:rsidRPr="00175DB3">
        <w:rPr>
          <w:color w:val="000000" w:themeColor="text1"/>
        </w:rPr>
        <w:t>Everyone who works with OFFICIAL information (including Contractors) has a duty of confidentiality and a responsibility to safeguard any such information or data that they have access to.  OFFICIAL information must be handled with care to prevent loss or compromise.</w:t>
      </w:r>
    </w:p>
    <w:p w14:paraId="5BE1A5EE" w14:textId="4321E625" w:rsidR="00B64749" w:rsidRPr="007E2194" w:rsidRDefault="007E2194" w:rsidP="00175DB3">
      <w:pPr>
        <w:pStyle w:val="ListParagraph"/>
        <w:numPr>
          <w:ilvl w:val="1"/>
          <w:numId w:val="16"/>
        </w:numPr>
        <w:tabs>
          <w:tab w:val="clear" w:pos="720"/>
        </w:tabs>
        <w:ind w:left="567" w:hanging="567"/>
        <w:rPr>
          <w:color w:val="000000" w:themeColor="text1"/>
        </w:rPr>
      </w:pPr>
      <w:r w:rsidRPr="007E2194">
        <w:rPr>
          <w:rFonts w:cs="Arial"/>
        </w:rPr>
        <w:t xml:space="preserve">This document provides Contractors with the requirements for managing OFFICIAL information; additional information can be found in the Government’s Security Policy Framework and Security Classifications documents.   </w:t>
      </w:r>
    </w:p>
    <w:p w14:paraId="7B60B8F4" w14:textId="609E3C1D" w:rsidR="008008F8" w:rsidRDefault="008008F8" w:rsidP="00175DB3">
      <w:pPr>
        <w:pStyle w:val="ListParagraph"/>
        <w:tabs>
          <w:tab w:val="clear" w:pos="720"/>
        </w:tabs>
        <w:ind w:left="567" w:firstLine="0"/>
        <w:rPr>
          <w:color w:val="000000" w:themeColor="text1"/>
        </w:rPr>
      </w:pPr>
    </w:p>
    <w:p w14:paraId="56DC6868" w14:textId="77777777" w:rsidR="004B6A94" w:rsidRPr="00175DB3" w:rsidRDefault="004B6A94" w:rsidP="00175DB3">
      <w:pPr>
        <w:pStyle w:val="ListParagraph"/>
        <w:tabs>
          <w:tab w:val="clear" w:pos="720"/>
        </w:tabs>
        <w:ind w:left="567" w:firstLine="0"/>
        <w:rPr>
          <w:color w:val="000000" w:themeColor="text1"/>
        </w:rPr>
      </w:pPr>
    </w:p>
    <w:p w14:paraId="48A46339" w14:textId="77777777" w:rsidR="00393377" w:rsidRPr="00D55E74" w:rsidRDefault="00393377" w:rsidP="008008F8">
      <w:pPr>
        <w:pStyle w:val="Default"/>
        <w:spacing w:line="276" w:lineRule="atLeast"/>
        <w:ind w:right="268"/>
        <w:jc w:val="both"/>
        <w:rPr>
          <w:lang w:eastAsia="en-US"/>
        </w:rPr>
      </w:pPr>
    </w:p>
    <w:p w14:paraId="657F61D7" w14:textId="77777777" w:rsidR="00353ADA" w:rsidRDefault="00353ADA" w:rsidP="00353ADA">
      <w:pPr>
        <w:pStyle w:val="ListParagraph"/>
        <w:numPr>
          <w:ilvl w:val="0"/>
          <w:numId w:val="16"/>
        </w:numPr>
        <w:tabs>
          <w:tab w:val="clear" w:pos="720"/>
        </w:tabs>
        <w:ind w:left="567" w:hanging="567"/>
        <w:rPr>
          <w:sz w:val="52"/>
          <w:szCs w:val="52"/>
        </w:rPr>
      </w:pPr>
      <w:r w:rsidRPr="00353ADA">
        <w:rPr>
          <w:sz w:val="52"/>
          <w:szCs w:val="52"/>
        </w:rPr>
        <w:t>Responsibilities</w:t>
      </w:r>
    </w:p>
    <w:p w14:paraId="402BBB55" w14:textId="70C497A9" w:rsidR="003024E3" w:rsidRDefault="003024E3" w:rsidP="003024E3">
      <w:pPr>
        <w:pStyle w:val="ListParagraph"/>
        <w:numPr>
          <w:ilvl w:val="1"/>
          <w:numId w:val="16"/>
        </w:numPr>
        <w:tabs>
          <w:tab w:val="clear" w:pos="720"/>
        </w:tabs>
        <w:ind w:left="567" w:hanging="567"/>
        <w:rPr>
          <w:color w:val="000000" w:themeColor="text1"/>
        </w:rPr>
      </w:pPr>
      <w:r w:rsidRPr="004B6A94">
        <w:rPr>
          <w:b/>
          <w:bCs/>
          <w:color w:val="000000" w:themeColor="text1"/>
        </w:rPr>
        <w:t>NDA</w:t>
      </w:r>
      <w:r w:rsidRPr="00CB21F6">
        <w:rPr>
          <w:color w:val="000000" w:themeColor="text1"/>
        </w:rPr>
        <w:t xml:space="preserve"> </w:t>
      </w:r>
      <w:r w:rsidR="004B6A94">
        <w:rPr>
          <w:color w:val="000000" w:themeColor="text1"/>
        </w:rPr>
        <w:t xml:space="preserve">- </w:t>
      </w:r>
      <w:r w:rsidRPr="00CB21F6">
        <w:rPr>
          <w:color w:val="000000" w:themeColor="text1"/>
        </w:rPr>
        <w:t>will require suppliers to demonstra</w:t>
      </w:r>
      <w:r>
        <w:rPr>
          <w:color w:val="000000" w:themeColor="text1"/>
        </w:rPr>
        <w:t>te</w:t>
      </w:r>
      <w:r w:rsidR="007E2194">
        <w:rPr>
          <w:color w:val="000000" w:themeColor="text1"/>
        </w:rPr>
        <w:t>,</w:t>
      </w:r>
      <w:r>
        <w:rPr>
          <w:color w:val="000000" w:themeColor="text1"/>
        </w:rPr>
        <w:t xml:space="preserve"> evidence how every person who requires access to OFFICIAL information is informed and complies with the requirements established in this document.</w:t>
      </w:r>
    </w:p>
    <w:p w14:paraId="13A83D3D" w14:textId="7B12C51F" w:rsidR="003024E3" w:rsidRPr="007E2194" w:rsidRDefault="007E2194" w:rsidP="003024E3">
      <w:pPr>
        <w:pStyle w:val="ListParagraph"/>
        <w:numPr>
          <w:ilvl w:val="1"/>
          <w:numId w:val="16"/>
        </w:numPr>
        <w:tabs>
          <w:tab w:val="clear" w:pos="720"/>
        </w:tabs>
        <w:ind w:left="567" w:hanging="567"/>
        <w:rPr>
          <w:color w:val="000000" w:themeColor="text1"/>
        </w:rPr>
      </w:pPr>
      <w:r w:rsidRPr="004B6A94">
        <w:rPr>
          <w:rFonts w:cs="Arial"/>
          <w:b/>
          <w:bCs/>
        </w:rPr>
        <w:t>The primary contractor</w:t>
      </w:r>
      <w:r w:rsidRPr="007E2194">
        <w:rPr>
          <w:rFonts w:cs="Arial"/>
        </w:rPr>
        <w:t xml:space="preserve"> </w:t>
      </w:r>
      <w:r w:rsidR="004B6A94">
        <w:rPr>
          <w:rFonts w:cs="Arial"/>
        </w:rPr>
        <w:t xml:space="preserve">- </w:t>
      </w:r>
      <w:r w:rsidRPr="007E2194">
        <w:rPr>
          <w:rFonts w:cs="Arial"/>
        </w:rPr>
        <w:t>is responsible for cascading these requirements to any sub-contractors it may work with and for ensuring the requirements are fully implemented. Primary contractors must obtain authority to employ sub-contractors from the Authority.</w:t>
      </w:r>
    </w:p>
    <w:p w14:paraId="2D715B7B" w14:textId="0724E5B4" w:rsidR="007E2194" w:rsidRPr="00282326" w:rsidRDefault="00282326" w:rsidP="003024E3">
      <w:pPr>
        <w:pStyle w:val="ListParagraph"/>
        <w:numPr>
          <w:ilvl w:val="1"/>
          <w:numId w:val="16"/>
        </w:numPr>
        <w:tabs>
          <w:tab w:val="clear" w:pos="720"/>
        </w:tabs>
        <w:ind w:left="567" w:hanging="567"/>
        <w:rPr>
          <w:color w:val="000000" w:themeColor="text1"/>
        </w:rPr>
      </w:pPr>
      <w:r w:rsidRPr="004B6A94">
        <w:rPr>
          <w:rFonts w:cs="Arial"/>
          <w:b/>
          <w:bCs/>
          <w:color w:val="000000" w:themeColor="text1"/>
        </w:rPr>
        <w:t>Individuals</w:t>
      </w:r>
      <w:r w:rsidRPr="00282326">
        <w:rPr>
          <w:rFonts w:cs="Arial"/>
          <w:color w:val="000000" w:themeColor="text1"/>
        </w:rPr>
        <w:t xml:space="preserve"> </w:t>
      </w:r>
      <w:r w:rsidR="004B6A94">
        <w:rPr>
          <w:rFonts w:cs="Arial"/>
          <w:color w:val="000000" w:themeColor="text1"/>
        </w:rPr>
        <w:t xml:space="preserve">- </w:t>
      </w:r>
      <w:r w:rsidRPr="00282326">
        <w:rPr>
          <w:rFonts w:cs="Arial"/>
          <w:color w:val="000000" w:themeColor="text1"/>
        </w:rPr>
        <w:t>are personally accountable for protecting all OFFICIAL information in their care</w:t>
      </w:r>
      <w:r>
        <w:rPr>
          <w:rFonts w:cs="Arial"/>
          <w:color w:val="000000" w:themeColor="text1"/>
        </w:rPr>
        <w:t>.</w:t>
      </w:r>
    </w:p>
    <w:p w14:paraId="6A9DB65D" w14:textId="363530AF" w:rsidR="00353ADA" w:rsidRPr="001A1DD2" w:rsidRDefault="003024E3" w:rsidP="004B6A94">
      <w:pPr>
        <w:pStyle w:val="ListParagraph"/>
        <w:numPr>
          <w:ilvl w:val="1"/>
          <w:numId w:val="16"/>
        </w:numPr>
        <w:tabs>
          <w:tab w:val="clear" w:pos="720"/>
        </w:tabs>
        <w:ind w:left="567" w:hanging="567"/>
        <w:rPr>
          <w:rFonts w:cs="Arial"/>
          <w:color w:val="000000" w:themeColor="text1"/>
        </w:rPr>
      </w:pPr>
      <w:r w:rsidRPr="00CB21F6">
        <w:rPr>
          <w:color w:val="000000" w:themeColor="text1"/>
        </w:rPr>
        <w:t xml:space="preserve"> </w:t>
      </w:r>
      <w:r w:rsidR="004B6A94" w:rsidRPr="004B6A94">
        <w:rPr>
          <w:b/>
          <w:bCs/>
          <w:color w:val="000000" w:themeColor="text1"/>
        </w:rPr>
        <w:t>NDA Information Governance and Security Team</w:t>
      </w:r>
      <w:r w:rsidR="004B6A94">
        <w:rPr>
          <w:color w:val="000000" w:themeColor="text1"/>
        </w:rPr>
        <w:t xml:space="preserve"> – When engaging with contractors this team may review, comment and request further clarification from any supplier to ensure NDA information is being protected accordingly.</w:t>
      </w:r>
    </w:p>
    <w:p w14:paraId="3F120881" w14:textId="0D31473E" w:rsidR="001A1DD2" w:rsidRPr="0020446B" w:rsidRDefault="001A1DD2" w:rsidP="004B6A94">
      <w:pPr>
        <w:pStyle w:val="ListParagraph"/>
        <w:numPr>
          <w:ilvl w:val="1"/>
          <w:numId w:val="16"/>
        </w:numPr>
        <w:tabs>
          <w:tab w:val="clear" w:pos="720"/>
        </w:tabs>
        <w:ind w:left="567" w:hanging="567"/>
        <w:rPr>
          <w:rFonts w:cs="Arial"/>
          <w:color w:val="000000" w:themeColor="text1"/>
        </w:rPr>
      </w:pPr>
      <w:r w:rsidRPr="001A1DD2">
        <w:rPr>
          <w:rFonts w:cs="Arial"/>
          <w:b/>
          <w:bCs/>
        </w:rPr>
        <w:t>The Contractor shall</w:t>
      </w:r>
      <w:r w:rsidRPr="001A1DD2">
        <w:rPr>
          <w:rFonts w:cs="Arial"/>
        </w:rPr>
        <w:t xml:space="preserve"> - when creating, modifying, </w:t>
      </w:r>
      <w:proofErr w:type="gramStart"/>
      <w:r w:rsidRPr="001A1DD2">
        <w:rPr>
          <w:rFonts w:cs="Arial"/>
        </w:rPr>
        <w:t>processing</w:t>
      </w:r>
      <w:proofErr w:type="gramEnd"/>
      <w:r w:rsidRPr="001A1DD2">
        <w:rPr>
          <w:rFonts w:cs="Arial"/>
        </w:rPr>
        <w:t xml:space="preserve"> or annotating OFFICIAL information, consider whether any additional controls are likely to be necessary to protect it.  Such considerations shall always take account of the sensitivity and the need to protect it from compromise by attackers with bounded capabilities and resources.</w:t>
      </w:r>
    </w:p>
    <w:p w14:paraId="3686DC08" w14:textId="7E6D3722" w:rsidR="0020446B" w:rsidRPr="009164F9" w:rsidRDefault="0020446B" w:rsidP="004B6A94">
      <w:pPr>
        <w:pStyle w:val="ListParagraph"/>
        <w:numPr>
          <w:ilvl w:val="1"/>
          <w:numId w:val="16"/>
        </w:numPr>
        <w:tabs>
          <w:tab w:val="clear" w:pos="720"/>
        </w:tabs>
        <w:ind w:left="567" w:hanging="567"/>
        <w:rPr>
          <w:rFonts w:cs="Arial"/>
          <w:color w:val="000000" w:themeColor="text1"/>
        </w:rPr>
      </w:pPr>
      <w:r w:rsidRPr="0020446B">
        <w:rPr>
          <w:rFonts w:cs="Arial"/>
          <w:b/>
          <w:bCs/>
        </w:rPr>
        <w:t>The Contractor shall</w:t>
      </w:r>
      <w:r>
        <w:rPr>
          <w:rFonts w:cs="Arial"/>
        </w:rPr>
        <w:t xml:space="preserve"> -</w:t>
      </w:r>
      <w:r w:rsidRPr="0020446B">
        <w:rPr>
          <w:rFonts w:cs="Arial"/>
        </w:rPr>
        <w:t xml:space="preserve"> apply any controls specified in handling advice provided with any OFFICIAL information received, or which are otherwise stipulated by NDA. Handle all information with the appropriate degree of care to prevent loss, compromise, or inappropriate access.  </w:t>
      </w:r>
    </w:p>
    <w:p w14:paraId="3A83F195" w14:textId="4C28FC4D" w:rsidR="00393377" w:rsidRPr="009164F9" w:rsidRDefault="00CD1577" w:rsidP="009164F9">
      <w:pPr>
        <w:pStyle w:val="ListParagraph"/>
        <w:numPr>
          <w:ilvl w:val="1"/>
          <w:numId w:val="16"/>
        </w:numPr>
        <w:tabs>
          <w:tab w:val="clear" w:pos="720"/>
        </w:tabs>
        <w:ind w:left="567" w:hanging="567"/>
        <w:rPr>
          <w:rFonts w:cs="Arial"/>
          <w:color w:val="000000" w:themeColor="text1"/>
        </w:rPr>
      </w:pPr>
      <w:r w:rsidRPr="009164F9">
        <w:rPr>
          <w:rFonts w:cs="Arial"/>
          <w:b/>
          <w:bCs/>
        </w:rPr>
        <w:t>Contractors</w:t>
      </w:r>
      <w:r w:rsidRPr="009164F9">
        <w:rPr>
          <w:rFonts w:cs="Arial"/>
        </w:rPr>
        <w:t xml:space="preserve"> - must have a breach management system in place</w:t>
      </w:r>
      <w:r w:rsidR="009164F9" w:rsidRPr="009164F9">
        <w:rPr>
          <w:rFonts w:cs="Arial"/>
          <w:color w:val="000000"/>
        </w:rPr>
        <w:t>.</w:t>
      </w:r>
    </w:p>
    <w:p w14:paraId="623479C1" w14:textId="77777777" w:rsidR="00353ADA" w:rsidRPr="00353ADA" w:rsidRDefault="00353ADA" w:rsidP="00353ADA">
      <w:pPr>
        <w:pStyle w:val="ListParagraph"/>
        <w:numPr>
          <w:ilvl w:val="0"/>
          <w:numId w:val="16"/>
        </w:numPr>
        <w:tabs>
          <w:tab w:val="clear" w:pos="720"/>
        </w:tabs>
        <w:ind w:left="567" w:hanging="567"/>
        <w:rPr>
          <w:sz w:val="52"/>
          <w:szCs w:val="52"/>
        </w:rPr>
      </w:pPr>
      <w:r w:rsidRPr="00353ADA">
        <w:rPr>
          <w:sz w:val="52"/>
          <w:szCs w:val="52"/>
        </w:rPr>
        <w:lastRenderedPageBreak/>
        <w:t>Definitions</w:t>
      </w:r>
    </w:p>
    <w:p w14:paraId="37D04BC0" w14:textId="04732C0E" w:rsidR="000A1173" w:rsidRPr="000659F1" w:rsidRDefault="004B6A94" w:rsidP="00393377">
      <w:pPr>
        <w:tabs>
          <w:tab w:val="clear" w:pos="720"/>
        </w:tabs>
        <w:spacing w:before="0"/>
        <w:ind w:left="0" w:firstLine="0"/>
        <w:rPr>
          <w:rFonts w:cs="Arial"/>
          <w:i/>
          <w:color w:val="FF0000"/>
          <w:spacing w:val="-2"/>
        </w:rPr>
      </w:pPr>
      <w:r w:rsidRPr="004B6A94">
        <w:rPr>
          <w:i/>
          <w:color w:val="FF0000"/>
        </w:rPr>
        <w:t xml:space="preserve"> </w:t>
      </w:r>
    </w:p>
    <w:p w14:paraId="0F5DFD94" w14:textId="0F5EC74A" w:rsidR="000A1173" w:rsidRPr="00BE536D" w:rsidRDefault="00D25646" w:rsidP="000A1173">
      <w:pPr>
        <w:pStyle w:val="ListParagraph"/>
        <w:numPr>
          <w:ilvl w:val="1"/>
          <w:numId w:val="16"/>
        </w:numPr>
        <w:tabs>
          <w:tab w:val="clear" w:pos="720"/>
        </w:tabs>
        <w:ind w:left="567" w:hanging="567"/>
        <w:rPr>
          <w:color w:val="000000" w:themeColor="text1"/>
        </w:rPr>
      </w:pPr>
      <w:r w:rsidRPr="00D25646">
        <w:rPr>
          <w:rFonts w:cs="Arial"/>
          <w:b/>
          <w:bCs/>
        </w:rPr>
        <w:t>OFFICIAL information</w:t>
      </w:r>
      <w:r>
        <w:rPr>
          <w:rFonts w:cs="Arial"/>
        </w:rPr>
        <w:t xml:space="preserve"> - </w:t>
      </w:r>
      <w:r w:rsidR="000A1173" w:rsidRPr="00B64749">
        <w:rPr>
          <w:rFonts w:cs="Arial"/>
        </w:rPr>
        <w:t xml:space="preserve">All information created, processed, used, </w:t>
      </w:r>
      <w:proofErr w:type="gramStart"/>
      <w:r w:rsidR="000A1173" w:rsidRPr="00B64749">
        <w:rPr>
          <w:rFonts w:cs="Arial"/>
        </w:rPr>
        <w:t>stored</w:t>
      </w:r>
      <w:proofErr w:type="gramEnd"/>
      <w:r w:rsidR="000A1173" w:rsidRPr="00B64749">
        <w:rPr>
          <w:rFonts w:cs="Arial"/>
        </w:rPr>
        <w:t xml:space="preserve"> or shared by or on behalf of </w:t>
      </w:r>
      <w:r w:rsidR="000A1173">
        <w:rPr>
          <w:rFonts w:cs="Arial"/>
        </w:rPr>
        <w:t>NDA</w:t>
      </w:r>
      <w:r w:rsidR="000A1173" w:rsidRPr="00B64749">
        <w:rPr>
          <w:rFonts w:cs="Arial"/>
        </w:rPr>
        <w:t xml:space="preserve"> in the conduct of its business is, at minimum OFFICIAL information:  It has intrinsic value and requires an appropriate degree of protection.</w:t>
      </w:r>
    </w:p>
    <w:p w14:paraId="7BB09B5F" w14:textId="251679BD" w:rsidR="00BE536D" w:rsidRDefault="00BE536D" w:rsidP="000A1173">
      <w:pPr>
        <w:pStyle w:val="ListParagraph"/>
        <w:numPr>
          <w:ilvl w:val="1"/>
          <w:numId w:val="16"/>
        </w:numPr>
        <w:tabs>
          <w:tab w:val="clear" w:pos="720"/>
        </w:tabs>
        <w:ind w:left="567" w:hanging="567"/>
        <w:rPr>
          <w:rFonts w:cs="Arial"/>
        </w:rPr>
      </w:pPr>
      <w:r>
        <w:rPr>
          <w:rFonts w:cs="Arial"/>
        </w:rPr>
        <w:t xml:space="preserve">Throughout this document there will be reference to current legislations and acts, these include but not limited to; </w:t>
      </w:r>
      <w:bookmarkStart w:id="0" w:name="_Hlk83209001"/>
      <w:r w:rsidRPr="00BE536D">
        <w:rPr>
          <w:rFonts w:cs="Arial"/>
        </w:rPr>
        <w:t xml:space="preserve">Official Secrets Acts </w:t>
      </w:r>
      <w:r w:rsidR="00BD7006">
        <w:rPr>
          <w:rFonts w:cs="Arial"/>
        </w:rPr>
        <w:t xml:space="preserve">of 1911 </w:t>
      </w:r>
      <w:r w:rsidR="0096533C">
        <w:rPr>
          <w:rFonts w:cs="Arial"/>
        </w:rPr>
        <w:t>to</w:t>
      </w:r>
      <w:r w:rsidR="00BD7006">
        <w:rPr>
          <w:rFonts w:cs="Arial"/>
        </w:rPr>
        <w:t xml:space="preserve"> </w:t>
      </w:r>
      <w:r w:rsidRPr="00BE536D">
        <w:rPr>
          <w:rFonts w:cs="Arial"/>
        </w:rPr>
        <w:t>1989</w:t>
      </w:r>
      <w:r>
        <w:rPr>
          <w:rFonts w:cs="Arial"/>
        </w:rPr>
        <w:t xml:space="preserve">, </w:t>
      </w:r>
      <w:r w:rsidRPr="00BE536D">
        <w:rPr>
          <w:rFonts w:cs="Arial"/>
        </w:rPr>
        <w:t>Data Protection Act 2018</w:t>
      </w:r>
      <w:r w:rsidR="00A54D1C">
        <w:rPr>
          <w:rFonts w:cs="Arial"/>
        </w:rPr>
        <w:t xml:space="preserve"> (DPA)</w:t>
      </w:r>
      <w:r w:rsidRPr="00BE536D">
        <w:rPr>
          <w:rFonts w:cs="Arial"/>
        </w:rPr>
        <w:t xml:space="preserve">, </w:t>
      </w:r>
      <w:r w:rsidR="0096371A">
        <w:rPr>
          <w:rFonts w:cs="Arial"/>
        </w:rPr>
        <w:t xml:space="preserve">UK </w:t>
      </w:r>
      <w:r w:rsidRPr="00BE536D">
        <w:rPr>
          <w:rFonts w:cs="Arial"/>
        </w:rPr>
        <w:t xml:space="preserve">General Data Protection Regulation </w:t>
      </w:r>
      <w:r w:rsidR="00A54D1C">
        <w:rPr>
          <w:rFonts w:cs="Arial"/>
        </w:rPr>
        <w:t>(</w:t>
      </w:r>
      <w:r w:rsidR="0096371A">
        <w:rPr>
          <w:rFonts w:cs="Arial"/>
        </w:rPr>
        <w:t xml:space="preserve">UK </w:t>
      </w:r>
      <w:r w:rsidR="00A54D1C">
        <w:rPr>
          <w:rFonts w:cs="Arial"/>
        </w:rPr>
        <w:t>GDPR</w:t>
      </w:r>
      <w:proofErr w:type="gramStart"/>
      <w:r w:rsidR="00A54D1C">
        <w:rPr>
          <w:rFonts w:cs="Arial"/>
        </w:rPr>
        <w:t>)</w:t>
      </w:r>
      <w:r w:rsidR="006D38EF" w:rsidRPr="006D38EF">
        <w:rPr>
          <w:rFonts w:cs="Arial"/>
        </w:rPr>
        <w:t xml:space="preserve"> </w:t>
      </w:r>
      <w:r w:rsidR="006D38EF">
        <w:rPr>
          <w:rFonts w:cs="Arial"/>
        </w:rPr>
        <w:t>)</w:t>
      </w:r>
      <w:proofErr w:type="gramEnd"/>
      <w:r w:rsidR="006D38EF">
        <w:rPr>
          <w:rFonts w:cs="Arial"/>
        </w:rPr>
        <w:t xml:space="preserve">,  </w:t>
      </w:r>
      <w:r w:rsidR="006D38EF" w:rsidRPr="00562A3E">
        <w:rPr>
          <w:rFonts w:cs="Arial"/>
        </w:rPr>
        <w:t>Environmental Information Regulations</w:t>
      </w:r>
      <w:r w:rsidR="006D38EF">
        <w:rPr>
          <w:rFonts w:cs="Arial"/>
        </w:rPr>
        <w:t xml:space="preserve"> (EIR)</w:t>
      </w:r>
      <w:r w:rsidR="006D38EF" w:rsidRPr="00562A3E">
        <w:rPr>
          <w:rFonts w:cs="Arial"/>
        </w:rPr>
        <w:t xml:space="preserve"> 2004</w:t>
      </w:r>
      <w:r w:rsidR="00A54D1C">
        <w:rPr>
          <w:rFonts w:cs="Arial"/>
        </w:rPr>
        <w:t xml:space="preserve"> </w:t>
      </w:r>
      <w:r w:rsidRPr="00BE536D">
        <w:rPr>
          <w:rFonts w:cs="Arial"/>
        </w:rPr>
        <w:t>and the Freedom of Information Act 2000</w:t>
      </w:r>
      <w:r w:rsidR="00A54D1C">
        <w:rPr>
          <w:rFonts w:cs="Arial"/>
        </w:rPr>
        <w:t xml:space="preserve"> (FoI)</w:t>
      </w:r>
      <w:r w:rsidRPr="00BE536D">
        <w:rPr>
          <w:rFonts w:cs="Arial"/>
        </w:rPr>
        <w:t>.</w:t>
      </w:r>
    </w:p>
    <w:bookmarkEnd w:id="0"/>
    <w:p w14:paraId="0D682BEC" w14:textId="35A378C0" w:rsidR="001D1D1B" w:rsidRDefault="001D1D1B" w:rsidP="000A1173">
      <w:pPr>
        <w:pStyle w:val="ListParagraph"/>
        <w:numPr>
          <w:ilvl w:val="1"/>
          <w:numId w:val="16"/>
        </w:numPr>
        <w:tabs>
          <w:tab w:val="clear" w:pos="720"/>
        </w:tabs>
        <w:ind w:left="567" w:hanging="567"/>
        <w:rPr>
          <w:rFonts w:cs="Arial"/>
        </w:rPr>
      </w:pPr>
      <w:r w:rsidRPr="001D1D1B">
        <w:rPr>
          <w:rFonts w:cs="Arial"/>
          <w:b/>
          <w:bCs/>
        </w:rPr>
        <w:t>Release of information</w:t>
      </w:r>
      <w:r>
        <w:rPr>
          <w:rFonts w:cs="Arial"/>
        </w:rPr>
        <w:t xml:space="preserve"> - </w:t>
      </w:r>
      <w:r w:rsidRPr="001D1D1B">
        <w:rPr>
          <w:rFonts w:cs="Arial"/>
        </w:rPr>
        <w:t>“Release”, in th</w:t>
      </w:r>
      <w:r>
        <w:rPr>
          <w:rFonts w:cs="Arial"/>
        </w:rPr>
        <w:t>is</w:t>
      </w:r>
      <w:r w:rsidRPr="001D1D1B">
        <w:rPr>
          <w:rFonts w:cs="Arial"/>
        </w:rPr>
        <w:t xml:space="preserve"> context, means to disclose without any requirements relating to its subsequent protection</w:t>
      </w:r>
      <w:r>
        <w:rPr>
          <w:rFonts w:cs="Arial"/>
        </w:rPr>
        <w:t>.</w:t>
      </w:r>
    </w:p>
    <w:p w14:paraId="5B5C38A3" w14:textId="42100FAA" w:rsidR="0020446B" w:rsidRDefault="0020446B" w:rsidP="000A1173">
      <w:pPr>
        <w:pStyle w:val="ListParagraph"/>
        <w:numPr>
          <w:ilvl w:val="1"/>
          <w:numId w:val="16"/>
        </w:numPr>
        <w:tabs>
          <w:tab w:val="clear" w:pos="720"/>
        </w:tabs>
        <w:ind w:left="567" w:hanging="567"/>
        <w:rPr>
          <w:rFonts w:cs="Arial"/>
        </w:rPr>
      </w:pPr>
      <w:r w:rsidRPr="00D01235">
        <w:rPr>
          <w:rFonts w:cs="Arial"/>
          <w:b/>
          <w:bCs/>
        </w:rPr>
        <w:t>Inappropriate access</w:t>
      </w:r>
      <w:r w:rsidR="00D01235">
        <w:rPr>
          <w:rFonts w:cs="Arial"/>
        </w:rPr>
        <w:t xml:space="preserve"> -</w:t>
      </w:r>
      <w:r w:rsidRPr="00D01235">
        <w:rPr>
          <w:rFonts w:cs="Arial"/>
        </w:rPr>
        <w:t xml:space="preserve"> means access by a person other than a person who requires access to that information for the Contractor to deliver the service(s) </w:t>
      </w:r>
      <w:r w:rsidR="00D01235">
        <w:rPr>
          <w:rFonts w:cs="Arial"/>
        </w:rPr>
        <w:t>NDA</w:t>
      </w:r>
      <w:r w:rsidRPr="00D01235">
        <w:rPr>
          <w:rFonts w:cs="Arial"/>
        </w:rPr>
        <w:t xml:space="preserve"> has contracted it to provide.</w:t>
      </w:r>
    </w:p>
    <w:p w14:paraId="2CA3572E" w14:textId="631A24B9" w:rsidR="00D01235" w:rsidRDefault="00D01235" w:rsidP="000A1173">
      <w:pPr>
        <w:pStyle w:val="ListParagraph"/>
        <w:numPr>
          <w:ilvl w:val="1"/>
          <w:numId w:val="16"/>
        </w:numPr>
        <w:tabs>
          <w:tab w:val="clear" w:pos="720"/>
        </w:tabs>
        <w:ind w:left="567" w:hanging="567"/>
        <w:rPr>
          <w:rFonts w:cs="Arial"/>
        </w:rPr>
      </w:pPr>
      <w:r>
        <w:rPr>
          <w:rFonts w:cs="Arial"/>
          <w:b/>
          <w:bCs/>
        </w:rPr>
        <w:t xml:space="preserve">Appropriate degree of care </w:t>
      </w:r>
      <w:r>
        <w:rPr>
          <w:rFonts w:cs="Arial"/>
        </w:rPr>
        <w:t>– means:</w:t>
      </w:r>
    </w:p>
    <w:p w14:paraId="3E28CF1C" w14:textId="77777777" w:rsidR="00D01235" w:rsidRPr="00D01235" w:rsidRDefault="00D01235" w:rsidP="009164F9">
      <w:pPr>
        <w:pStyle w:val="ListParagraph"/>
        <w:numPr>
          <w:ilvl w:val="0"/>
          <w:numId w:val="18"/>
        </w:numPr>
        <w:tabs>
          <w:tab w:val="clear" w:pos="720"/>
        </w:tabs>
        <w:spacing w:before="0"/>
        <w:ind w:left="1134" w:hanging="283"/>
        <w:rPr>
          <w:rFonts w:cs="Arial"/>
        </w:rPr>
      </w:pPr>
      <w:r w:rsidRPr="00D01235">
        <w:rPr>
          <w:rFonts w:cs="Arial"/>
        </w:rPr>
        <w:t xml:space="preserve">the baseline controls specified in this document, </w:t>
      </w:r>
      <w:proofErr w:type="gramStart"/>
      <w:r w:rsidRPr="00D01235">
        <w:rPr>
          <w:rFonts w:cs="Arial"/>
        </w:rPr>
        <w:t>or;</w:t>
      </w:r>
      <w:proofErr w:type="gramEnd"/>
    </w:p>
    <w:p w14:paraId="3E9E4322" w14:textId="56D5F43B" w:rsidR="00D01235" w:rsidRPr="00D01235" w:rsidRDefault="00D01235" w:rsidP="009164F9">
      <w:pPr>
        <w:pStyle w:val="ListParagraph"/>
        <w:numPr>
          <w:ilvl w:val="0"/>
          <w:numId w:val="18"/>
        </w:numPr>
        <w:tabs>
          <w:tab w:val="clear" w:pos="720"/>
        </w:tabs>
        <w:spacing w:before="0"/>
        <w:ind w:left="1134" w:hanging="283"/>
        <w:rPr>
          <w:rFonts w:cs="Arial"/>
        </w:rPr>
      </w:pPr>
      <w:bookmarkStart w:id="1" w:name="_Ref410291513"/>
      <w:r w:rsidRPr="00D01235">
        <w:rPr>
          <w:rFonts w:cs="Arial"/>
        </w:rPr>
        <w:t xml:space="preserve">additional controls that the Contractor considers more appropriate, </w:t>
      </w:r>
      <w:r w:rsidR="00FA2510" w:rsidRPr="00D01235">
        <w:rPr>
          <w:rFonts w:cs="Arial"/>
        </w:rPr>
        <w:t>considering</w:t>
      </w:r>
      <w:r w:rsidRPr="00D01235">
        <w:rPr>
          <w:rFonts w:cs="Arial"/>
        </w:rPr>
        <w:t xml:space="preserve"> the sensitivity of the OFFICIAL information in question and the need to protect it from compromise by attackers with bounded capabilities and resources.</w:t>
      </w:r>
      <w:bookmarkEnd w:id="1"/>
    </w:p>
    <w:p w14:paraId="31CC7C04" w14:textId="7C9A3009" w:rsidR="00D01235" w:rsidRDefault="001B6252" w:rsidP="000A1173">
      <w:pPr>
        <w:pStyle w:val="ListParagraph"/>
        <w:numPr>
          <w:ilvl w:val="1"/>
          <w:numId w:val="16"/>
        </w:numPr>
        <w:tabs>
          <w:tab w:val="clear" w:pos="720"/>
        </w:tabs>
        <w:ind w:left="567" w:hanging="567"/>
        <w:rPr>
          <w:rFonts w:cs="Arial"/>
        </w:rPr>
      </w:pPr>
      <w:r w:rsidRPr="001B6252">
        <w:rPr>
          <w:rFonts w:cs="Arial"/>
          <w:b/>
          <w:bCs/>
        </w:rPr>
        <w:t>Attackers with bounded capabilities and resources</w:t>
      </w:r>
      <w:r>
        <w:rPr>
          <w:rFonts w:cs="Arial"/>
        </w:rPr>
        <w:t xml:space="preserve"> – include single-issue pressure groups, private investigators, competent individual hackers, hacktivists, individuals that might commit theft and any other individuals or groups presenting an equivalent level of threat to NDA.</w:t>
      </w:r>
    </w:p>
    <w:p w14:paraId="046EEC87" w14:textId="4231C667" w:rsidR="007C3964" w:rsidRDefault="007C3964" w:rsidP="000A1173">
      <w:pPr>
        <w:pStyle w:val="ListParagraph"/>
        <w:numPr>
          <w:ilvl w:val="1"/>
          <w:numId w:val="16"/>
        </w:numPr>
        <w:tabs>
          <w:tab w:val="clear" w:pos="720"/>
        </w:tabs>
        <w:ind w:left="567" w:hanging="567"/>
        <w:rPr>
          <w:rFonts w:cs="Arial"/>
        </w:rPr>
      </w:pPr>
      <w:r>
        <w:rPr>
          <w:rFonts w:cs="Arial"/>
          <w:b/>
          <w:bCs/>
        </w:rPr>
        <w:t xml:space="preserve">Personnel security checks </w:t>
      </w:r>
      <w:r>
        <w:rPr>
          <w:rFonts w:cs="Arial"/>
        </w:rPr>
        <w:t xml:space="preserve">– depending on the information level and sensitivity NDA may require those personnel to undergo additional security checks such as but not limited to; Baseline Personnel Security Standard (BPSS), National Security </w:t>
      </w:r>
      <w:r w:rsidR="0099627C">
        <w:rPr>
          <w:rFonts w:cs="Arial"/>
        </w:rPr>
        <w:t xml:space="preserve">Vetting </w:t>
      </w:r>
      <w:r>
        <w:rPr>
          <w:rFonts w:cs="Arial"/>
        </w:rPr>
        <w:t>Clearance (SC)</w:t>
      </w:r>
      <w:r w:rsidR="00486890">
        <w:rPr>
          <w:rFonts w:cs="Arial"/>
        </w:rPr>
        <w:t>.</w:t>
      </w:r>
    </w:p>
    <w:p w14:paraId="7CA7C7CA" w14:textId="0C45E8FD" w:rsidR="00486890" w:rsidRPr="00D01235" w:rsidRDefault="00486890" w:rsidP="000A1173">
      <w:pPr>
        <w:pStyle w:val="ListParagraph"/>
        <w:numPr>
          <w:ilvl w:val="1"/>
          <w:numId w:val="16"/>
        </w:numPr>
        <w:tabs>
          <w:tab w:val="clear" w:pos="720"/>
        </w:tabs>
        <w:ind w:left="567" w:hanging="567"/>
        <w:rPr>
          <w:rFonts w:cs="Arial"/>
        </w:rPr>
      </w:pPr>
      <w:r>
        <w:rPr>
          <w:rFonts w:cs="Arial"/>
          <w:b/>
          <w:bCs/>
        </w:rPr>
        <w:t xml:space="preserve">Vetting Authority </w:t>
      </w:r>
      <w:r>
        <w:rPr>
          <w:rFonts w:cs="Arial"/>
        </w:rPr>
        <w:t xml:space="preserve">– an organization which is either formally approved by the Office for Nuclear Regulation (ONR), police authority or Defence Business Services. </w:t>
      </w:r>
    </w:p>
    <w:p w14:paraId="351F6007" w14:textId="0FB3CEC7" w:rsidR="000A1173" w:rsidRDefault="000A1173" w:rsidP="00393377">
      <w:pPr>
        <w:tabs>
          <w:tab w:val="clear" w:pos="720"/>
        </w:tabs>
        <w:spacing w:before="0"/>
        <w:ind w:left="0" w:firstLine="0"/>
        <w:rPr>
          <w:rFonts w:cs="Arial"/>
          <w:spacing w:val="-2"/>
        </w:rPr>
      </w:pPr>
    </w:p>
    <w:p w14:paraId="001060CB" w14:textId="61C5D033" w:rsidR="00A76185" w:rsidRDefault="00A76185">
      <w:pPr>
        <w:tabs>
          <w:tab w:val="clear" w:pos="720"/>
        </w:tabs>
        <w:spacing w:before="0"/>
        <w:ind w:left="0" w:firstLine="0"/>
        <w:rPr>
          <w:rFonts w:cs="Arial"/>
          <w:spacing w:val="-2"/>
        </w:rPr>
      </w:pPr>
      <w:r>
        <w:rPr>
          <w:rFonts w:cs="Arial"/>
          <w:spacing w:val="-2"/>
        </w:rPr>
        <w:br w:type="page"/>
      </w:r>
    </w:p>
    <w:p w14:paraId="7CD117BB" w14:textId="77777777" w:rsidR="000A1173" w:rsidRPr="00D55E74" w:rsidRDefault="000A1173" w:rsidP="00393377">
      <w:pPr>
        <w:tabs>
          <w:tab w:val="clear" w:pos="720"/>
        </w:tabs>
        <w:spacing w:before="0"/>
        <w:ind w:left="0" w:firstLine="0"/>
        <w:rPr>
          <w:rFonts w:cs="Arial"/>
          <w:spacing w:val="-2"/>
        </w:rPr>
      </w:pPr>
    </w:p>
    <w:p w14:paraId="63CC3FF8" w14:textId="77777777" w:rsidR="00393377" w:rsidRPr="00393377" w:rsidRDefault="00402D26" w:rsidP="00393377">
      <w:pPr>
        <w:pStyle w:val="ListParagraph"/>
        <w:numPr>
          <w:ilvl w:val="0"/>
          <w:numId w:val="16"/>
        </w:numPr>
        <w:tabs>
          <w:tab w:val="clear" w:pos="720"/>
        </w:tabs>
        <w:ind w:left="567" w:hanging="567"/>
        <w:rPr>
          <w:sz w:val="52"/>
          <w:szCs w:val="52"/>
        </w:rPr>
      </w:pPr>
      <w:r>
        <w:rPr>
          <w:sz w:val="52"/>
          <w:szCs w:val="52"/>
        </w:rPr>
        <w:t>Content</w:t>
      </w:r>
    </w:p>
    <w:p w14:paraId="1C3B61C2" w14:textId="4E1D4156" w:rsidR="00191E4E" w:rsidRPr="00191E4E" w:rsidRDefault="00191E4E" w:rsidP="00191E4E">
      <w:pPr>
        <w:pStyle w:val="ListParagraph"/>
        <w:numPr>
          <w:ilvl w:val="1"/>
          <w:numId w:val="16"/>
        </w:numPr>
        <w:tabs>
          <w:tab w:val="clear" w:pos="720"/>
        </w:tabs>
        <w:ind w:left="567" w:hanging="567"/>
        <w:rPr>
          <w:color w:val="000000" w:themeColor="text1"/>
        </w:rPr>
      </w:pPr>
      <w:r w:rsidRPr="00191E4E">
        <w:rPr>
          <w:rFonts w:cs="Arial"/>
        </w:rPr>
        <w:t>Occasionally information or documents may be received from other parties which do not bear a classification marking.  The Contractor shall, for the avoidance of doubt, treat such unmarked information as OFFICIAL.</w:t>
      </w:r>
    </w:p>
    <w:p w14:paraId="08120FC7" w14:textId="015103B6" w:rsidR="00191E4E" w:rsidRPr="00191E4E" w:rsidRDefault="00191E4E" w:rsidP="00191E4E">
      <w:pPr>
        <w:pStyle w:val="ListParagraph"/>
        <w:numPr>
          <w:ilvl w:val="1"/>
          <w:numId w:val="16"/>
        </w:numPr>
        <w:tabs>
          <w:tab w:val="clear" w:pos="720"/>
        </w:tabs>
        <w:ind w:left="567" w:hanging="567"/>
        <w:rPr>
          <w:color w:val="000000" w:themeColor="text1"/>
        </w:rPr>
      </w:pPr>
      <w:r w:rsidRPr="00191E4E">
        <w:rPr>
          <w:rFonts w:cs="Arial"/>
        </w:rPr>
        <w:t xml:space="preserve">The security requirements and restrictions do not apply to information that has been published or otherwise been made widely available to the </w:t>
      </w:r>
      <w:proofErr w:type="gramStart"/>
      <w:r w:rsidRPr="00191E4E">
        <w:rPr>
          <w:rFonts w:cs="Arial"/>
        </w:rPr>
        <w:t>general public</w:t>
      </w:r>
      <w:proofErr w:type="gramEnd"/>
      <w:r w:rsidRPr="00191E4E">
        <w:rPr>
          <w:rFonts w:cs="Arial"/>
        </w:rPr>
        <w:t xml:space="preserve"> by </w:t>
      </w:r>
      <w:r w:rsidR="007C5ECD">
        <w:rPr>
          <w:rFonts w:cs="Arial"/>
        </w:rPr>
        <w:t xml:space="preserve">NDA </w:t>
      </w:r>
      <w:r w:rsidRPr="00191E4E">
        <w:rPr>
          <w:rFonts w:cs="Arial"/>
        </w:rPr>
        <w:t>or any of their predecessor organisations, or which the Contractor is required or directed to release to:</w:t>
      </w:r>
    </w:p>
    <w:p w14:paraId="37F3F94B" w14:textId="77777777" w:rsidR="00191E4E" w:rsidRPr="00191E4E" w:rsidRDefault="00191E4E" w:rsidP="00191E4E">
      <w:pPr>
        <w:pStyle w:val="NoSpacing"/>
        <w:rPr>
          <w:sz w:val="24"/>
        </w:rPr>
      </w:pPr>
    </w:p>
    <w:p w14:paraId="25AF8E56" w14:textId="45C904B2" w:rsidR="00191E4E" w:rsidRPr="00191E4E" w:rsidRDefault="00191E4E" w:rsidP="009164F9">
      <w:pPr>
        <w:pStyle w:val="ListParagraph"/>
        <w:numPr>
          <w:ilvl w:val="0"/>
          <w:numId w:val="19"/>
        </w:numPr>
        <w:tabs>
          <w:tab w:val="clear" w:pos="720"/>
        </w:tabs>
        <w:spacing w:before="0"/>
        <w:ind w:left="1134" w:hanging="283"/>
        <w:rPr>
          <w:rFonts w:cs="Arial"/>
        </w:rPr>
      </w:pPr>
      <w:r w:rsidRPr="00191E4E">
        <w:rPr>
          <w:rFonts w:cs="Arial"/>
        </w:rPr>
        <w:t>individuals or groups of individuals, who are not under contract (directly or indirectly) to the Authority, or to the public in general, to deliver the service(s) the Authority has contracted it to provide; or</w:t>
      </w:r>
    </w:p>
    <w:p w14:paraId="5AF435C8" w14:textId="6707A287" w:rsidR="00191E4E" w:rsidRPr="00191E4E" w:rsidRDefault="00191E4E" w:rsidP="009164F9">
      <w:pPr>
        <w:pStyle w:val="ListParagraph"/>
        <w:numPr>
          <w:ilvl w:val="0"/>
          <w:numId w:val="19"/>
        </w:numPr>
        <w:tabs>
          <w:tab w:val="clear" w:pos="720"/>
        </w:tabs>
        <w:spacing w:before="0"/>
        <w:ind w:left="1134" w:hanging="283"/>
        <w:rPr>
          <w:rFonts w:cs="Arial"/>
        </w:rPr>
      </w:pPr>
      <w:r w:rsidRPr="00191E4E">
        <w:rPr>
          <w:rFonts w:cs="Arial"/>
        </w:rPr>
        <w:t>a third party under a statutory requirement (</w:t>
      </w:r>
      <w:proofErr w:type="gramStart"/>
      <w:r w:rsidRPr="00191E4E">
        <w:rPr>
          <w:rFonts w:cs="Arial"/>
        </w:rPr>
        <w:t>e.g.</w:t>
      </w:r>
      <w:proofErr w:type="gramEnd"/>
      <w:r w:rsidRPr="00191E4E">
        <w:rPr>
          <w:rFonts w:cs="Arial"/>
        </w:rPr>
        <w:t xml:space="preserve"> the </w:t>
      </w:r>
      <w:bookmarkStart w:id="2" w:name="_Hlk48641776"/>
      <w:r w:rsidRPr="00191E4E">
        <w:rPr>
          <w:rFonts w:cs="Arial"/>
        </w:rPr>
        <w:t xml:space="preserve">Data Protection Act 2018 </w:t>
      </w:r>
      <w:bookmarkEnd w:id="2"/>
      <w:r w:rsidRPr="00191E4E">
        <w:rPr>
          <w:rFonts w:cs="Arial"/>
        </w:rPr>
        <w:t xml:space="preserve">(Including </w:t>
      </w:r>
      <w:bookmarkStart w:id="3" w:name="_Hlk48641794"/>
      <w:r w:rsidR="0096371A">
        <w:rPr>
          <w:rFonts w:cs="Arial"/>
        </w:rPr>
        <w:t xml:space="preserve">UK </w:t>
      </w:r>
      <w:r w:rsidRPr="00191E4E">
        <w:rPr>
          <w:rFonts w:cs="Arial"/>
        </w:rPr>
        <w:t>General Data Protection Regulation</w:t>
      </w:r>
      <w:r w:rsidR="006D38EF">
        <w:rPr>
          <w:rFonts w:cs="Arial"/>
        </w:rPr>
        <w:t xml:space="preserve">, </w:t>
      </w:r>
      <w:r w:rsidR="006D38EF" w:rsidRPr="008A2B8E">
        <w:rPr>
          <w:rFonts w:cs="Arial"/>
        </w:rPr>
        <w:t>Environmental Information Regulations (EIR) 2004</w:t>
      </w:r>
      <w:r w:rsidRPr="00191E4E">
        <w:rPr>
          <w:rFonts w:cs="Arial"/>
        </w:rPr>
        <w:t xml:space="preserve"> </w:t>
      </w:r>
      <w:bookmarkEnd w:id="3"/>
      <w:r w:rsidRPr="00191E4E">
        <w:rPr>
          <w:rFonts w:cs="Arial"/>
        </w:rPr>
        <w:t>or the Freedom of Information Act 2000).</w:t>
      </w:r>
    </w:p>
    <w:p w14:paraId="66E51CA6" w14:textId="0A953503" w:rsidR="001D52AE" w:rsidRPr="00DA109E" w:rsidRDefault="001D52AE" w:rsidP="001D52AE">
      <w:pPr>
        <w:pStyle w:val="ListParagraph"/>
        <w:numPr>
          <w:ilvl w:val="1"/>
          <w:numId w:val="16"/>
        </w:numPr>
        <w:tabs>
          <w:tab w:val="clear" w:pos="720"/>
        </w:tabs>
        <w:ind w:left="567" w:hanging="567"/>
        <w:rPr>
          <w:color w:val="000000" w:themeColor="text1"/>
        </w:rPr>
      </w:pPr>
      <w:r w:rsidRPr="001D52AE">
        <w:rPr>
          <w:rFonts w:cs="Arial"/>
        </w:rPr>
        <w:t xml:space="preserve">If the Contractor identifies information as particularly sensitive, with a clear and justifiable need to reinforce the ‘need to know’ (for </w:t>
      </w:r>
      <w:proofErr w:type="gramStart"/>
      <w:r w:rsidRPr="001D52AE">
        <w:rPr>
          <w:rFonts w:cs="Arial"/>
        </w:rPr>
        <w:t>example;</w:t>
      </w:r>
      <w:proofErr w:type="gramEnd"/>
      <w:r w:rsidRPr="001D52AE">
        <w:rPr>
          <w:rFonts w:cs="Arial"/>
        </w:rPr>
        <w:t xml:space="preserve"> sensitive personal data, commercial or financial data), a conspicuous marking of OFFICIAL-SENSITIVE shall be considered.  In such cases the Contractor shall seek the advice of </w:t>
      </w:r>
      <w:r>
        <w:rPr>
          <w:rFonts w:cs="Arial"/>
        </w:rPr>
        <w:t>NDA</w:t>
      </w:r>
      <w:r w:rsidRPr="001D52AE">
        <w:rPr>
          <w:rFonts w:cs="Arial"/>
        </w:rPr>
        <w:t>.</w:t>
      </w:r>
    </w:p>
    <w:p w14:paraId="00F069BF" w14:textId="54D92A27" w:rsidR="00DA109E" w:rsidRPr="00DA109E" w:rsidRDefault="00DA109E" w:rsidP="00DA109E">
      <w:pPr>
        <w:pStyle w:val="ListParagraph"/>
        <w:numPr>
          <w:ilvl w:val="1"/>
          <w:numId w:val="16"/>
        </w:numPr>
        <w:tabs>
          <w:tab w:val="clear" w:pos="720"/>
        </w:tabs>
        <w:ind w:left="567" w:hanging="567"/>
        <w:rPr>
          <w:color w:val="000000" w:themeColor="text1"/>
        </w:rPr>
      </w:pPr>
      <w:r w:rsidRPr="00DA109E">
        <w:rPr>
          <w:rFonts w:cs="Arial"/>
        </w:rPr>
        <w:t xml:space="preserve">When considering the sensitivity of OFFICIAL information, the Contractor shall </w:t>
      </w:r>
      <w:proofErr w:type="gramStart"/>
      <w:r w:rsidRPr="00DA109E">
        <w:rPr>
          <w:rFonts w:cs="Arial"/>
        </w:rPr>
        <w:t>take into account</w:t>
      </w:r>
      <w:proofErr w:type="gramEnd"/>
      <w:r w:rsidRPr="00DA109E">
        <w:rPr>
          <w:rFonts w:cs="Arial"/>
        </w:rPr>
        <w:t xml:space="preserve"> the degree to which its compromise or loss would be likely to:</w:t>
      </w:r>
    </w:p>
    <w:p w14:paraId="22157265" w14:textId="77777777" w:rsidR="00DA109E" w:rsidRPr="00DA109E" w:rsidRDefault="00DA109E" w:rsidP="00DA109E">
      <w:pPr>
        <w:ind w:left="709" w:hanging="709"/>
        <w:rPr>
          <w:rFonts w:cs="Arial"/>
        </w:rPr>
      </w:pPr>
    </w:p>
    <w:p w14:paraId="2BD25467" w14:textId="191F7488" w:rsidR="00DA109E" w:rsidRPr="00DA109E" w:rsidRDefault="00DA109E" w:rsidP="009164F9">
      <w:pPr>
        <w:pStyle w:val="ListParagraph"/>
        <w:numPr>
          <w:ilvl w:val="0"/>
          <w:numId w:val="20"/>
        </w:numPr>
        <w:tabs>
          <w:tab w:val="clear" w:pos="720"/>
        </w:tabs>
        <w:spacing w:before="0"/>
        <w:ind w:left="1134" w:hanging="283"/>
        <w:rPr>
          <w:rFonts w:cs="Arial"/>
        </w:rPr>
      </w:pPr>
      <w:r w:rsidRPr="00DA109E">
        <w:rPr>
          <w:rFonts w:cs="Arial"/>
        </w:rPr>
        <w:t xml:space="preserve">have damaging consequences for an individual (or individuals), </w:t>
      </w:r>
      <w:r>
        <w:rPr>
          <w:rFonts w:cs="Arial"/>
        </w:rPr>
        <w:t>NDA</w:t>
      </w:r>
      <w:r w:rsidRPr="00DA109E">
        <w:rPr>
          <w:rFonts w:cs="Arial"/>
        </w:rPr>
        <w:t xml:space="preserve">, UK Government or any other organisation, if lost, stolen or published in the </w:t>
      </w:r>
      <w:proofErr w:type="gramStart"/>
      <w:r w:rsidRPr="00DA109E">
        <w:rPr>
          <w:rFonts w:cs="Arial"/>
        </w:rPr>
        <w:t>media;</w:t>
      </w:r>
      <w:proofErr w:type="gramEnd"/>
    </w:p>
    <w:p w14:paraId="3EFCABE0" w14:textId="77777777" w:rsidR="00DA109E" w:rsidRPr="00DA109E" w:rsidRDefault="00DA109E" w:rsidP="009164F9">
      <w:pPr>
        <w:pStyle w:val="ListParagraph"/>
        <w:numPr>
          <w:ilvl w:val="0"/>
          <w:numId w:val="20"/>
        </w:numPr>
        <w:tabs>
          <w:tab w:val="clear" w:pos="720"/>
        </w:tabs>
        <w:spacing w:before="0"/>
        <w:ind w:left="1134" w:hanging="283"/>
        <w:rPr>
          <w:rFonts w:cs="Arial"/>
        </w:rPr>
      </w:pPr>
      <w:r w:rsidRPr="00DA109E">
        <w:rPr>
          <w:rFonts w:cs="Arial"/>
        </w:rPr>
        <w:t xml:space="preserve">cause significant or substantial distress to individuals or a group of </w:t>
      </w:r>
      <w:proofErr w:type="gramStart"/>
      <w:r w:rsidRPr="00DA109E">
        <w:rPr>
          <w:rFonts w:cs="Arial"/>
        </w:rPr>
        <w:t>people;</w:t>
      </w:r>
      <w:proofErr w:type="gramEnd"/>
    </w:p>
    <w:p w14:paraId="7E5A9842" w14:textId="77777777" w:rsidR="00DA109E" w:rsidRPr="00DA109E" w:rsidRDefault="00DA109E" w:rsidP="009164F9">
      <w:pPr>
        <w:pStyle w:val="ListParagraph"/>
        <w:numPr>
          <w:ilvl w:val="0"/>
          <w:numId w:val="20"/>
        </w:numPr>
        <w:tabs>
          <w:tab w:val="clear" w:pos="720"/>
        </w:tabs>
        <w:spacing w:before="0"/>
        <w:ind w:left="1134" w:hanging="283"/>
        <w:rPr>
          <w:rFonts w:cs="Arial"/>
        </w:rPr>
      </w:pPr>
      <w:r w:rsidRPr="00DA109E">
        <w:rPr>
          <w:rFonts w:cs="Arial"/>
        </w:rPr>
        <w:t xml:space="preserve">breach undertakings to maintain the confidentiality of information provided by third </w:t>
      </w:r>
      <w:proofErr w:type="gramStart"/>
      <w:r w:rsidRPr="00DA109E">
        <w:rPr>
          <w:rFonts w:cs="Arial"/>
        </w:rPr>
        <w:t>parties;</w:t>
      </w:r>
      <w:proofErr w:type="gramEnd"/>
    </w:p>
    <w:p w14:paraId="74902970" w14:textId="243EE99C" w:rsidR="00DA109E" w:rsidRPr="00DA109E" w:rsidRDefault="00DA109E" w:rsidP="009164F9">
      <w:pPr>
        <w:pStyle w:val="ListParagraph"/>
        <w:numPr>
          <w:ilvl w:val="0"/>
          <w:numId w:val="20"/>
        </w:numPr>
        <w:tabs>
          <w:tab w:val="clear" w:pos="720"/>
        </w:tabs>
        <w:spacing w:before="0"/>
        <w:ind w:left="1134" w:hanging="283"/>
        <w:rPr>
          <w:rFonts w:cs="Arial"/>
        </w:rPr>
      </w:pPr>
      <w:r w:rsidRPr="00DA109E">
        <w:rPr>
          <w:rFonts w:cs="Arial"/>
        </w:rPr>
        <w:t xml:space="preserve">breach statutory restrictions on the disclosure of information (including those under the Official Secrets Acts 1911 to 1989, the Data Protection Act </w:t>
      </w:r>
      <w:r w:rsidR="003576B5">
        <w:rPr>
          <w:rFonts w:cs="Arial"/>
        </w:rPr>
        <w:t xml:space="preserve">2018, </w:t>
      </w:r>
      <w:r w:rsidR="003576B5" w:rsidRPr="00562A3E">
        <w:rPr>
          <w:rFonts w:cs="Arial"/>
        </w:rPr>
        <w:t>Environmental Information Regulations</w:t>
      </w:r>
      <w:r w:rsidR="003576B5">
        <w:rPr>
          <w:rFonts w:cs="Arial"/>
        </w:rPr>
        <w:t xml:space="preserve"> (EIR)</w:t>
      </w:r>
      <w:r w:rsidR="003576B5" w:rsidRPr="00562A3E">
        <w:rPr>
          <w:rFonts w:cs="Arial"/>
        </w:rPr>
        <w:t xml:space="preserve"> 2004 </w:t>
      </w:r>
      <w:r w:rsidR="003576B5" w:rsidRPr="00BE536D">
        <w:rPr>
          <w:rFonts w:cs="Arial"/>
        </w:rPr>
        <w:t xml:space="preserve">and </w:t>
      </w:r>
      <w:r w:rsidRPr="00DA109E">
        <w:rPr>
          <w:rFonts w:cs="Arial"/>
        </w:rPr>
        <w:t>the Anti-terrorism, Crime and Security Act 2001</w:t>
      </w:r>
      <w:proofErr w:type="gramStart"/>
      <w:r w:rsidRPr="00DA109E">
        <w:rPr>
          <w:rFonts w:cs="Arial"/>
        </w:rPr>
        <w:t>);</w:t>
      </w:r>
      <w:proofErr w:type="gramEnd"/>
    </w:p>
    <w:p w14:paraId="5992AB7E" w14:textId="77777777" w:rsidR="00DA109E" w:rsidRPr="00DA109E" w:rsidRDefault="00DA109E" w:rsidP="009164F9">
      <w:pPr>
        <w:pStyle w:val="ListParagraph"/>
        <w:numPr>
          <w:ilvl w:val="0"/>
          <w:numId w:val="20"/>
        </w:numPr>
        <w:tabs>
          <w:tab w:val="clear" w:pos="720"/>
        </w:tabs>
        <w:spacing w:before="0"/>
        <w:ind w:left="1134" w:hanging="283"/>
        <w:rPr>
          <w:rFonts w:cs="Arial"/>
        </w:rPr>
      </w:pPr>
      <w:r w:rsidRPr="00DA109E">
        <w:rPr>
          <w:rFonts w:cs="Arial"/>
        </w:rPr>
        <w:t xml:space="preserve">undermine the proper management of the public sector and its </w:t>
      </w:r>
      <w:proofErr w:type="gramStart"/>
      <w:r w:rsidRPr="00DA109E">
        <w:rPr>
          <w:rFonts w:cs="Arial"/>
        </w:rPr>
        <w:t>operations;</w:t>
      </w:r>
      <w:proofErr w:type="gramEnd"/>
    </w:p>
    <w:p w14:paraId="6AC9D9B6" w14:textId="77777777" w:rsidR="00DA109E" w:rsidRPr="00DA109E" w:rsidRDefault="00DA109E" w:rsidP="009164F9">
      <w:pPr>
        <w:pStyle w:val="ListParagraph"/>
        <w:numPr>
          <w:ilvl w:val="0"/>
          <w:numId w:val="20"/>
        </w:numPr>
        <w:tabs>
          <w:tab w:val="clear" w:pos="720"/>
        </w:tabs>
        <w:spacing w:before="0"/>
        <w:ind w:left="1134" w:hanging="283"/>
        <w:rPr>
          <w:rFonts w:cs="Arial"/>
        </w:rPr>
      </w:pPr>
      <w:r w:rsidRPr="00DA109E">
        <w:rPr>
          <w:rFonts w:cs="Arial"/>
        </w:rPr>
        <w:t xml:space="preserve">disrupt national </w:t>
      </w:r>
      <w:proofErr w:type="gramStart"/>
      <w:r w:rsidRPr="00DA109E">
        <w:rPr>
          <w:rFonts w:cs="Arial"/>
        </w:rPr>
        <w:t>operations;</w:t>
      </w:r>
      <w:proofErr w:type="gramEnd"/>
    </w:p>
    <w:p w14:paraId="5CB20C42" w14:textId="77777777" w:rsidR="00DA109E" w:rsidRPr="00DA109E" w:rsidRDefault="00DA109E" w:rsidP="009164F9">
      <w:pPr>
        <w:pStyle w:val="ListParagraph"/>
        <w:numPr>
          <w:ilvl w:val="0"/>
          <w:numId w:val="20"/>
        </w:numPr>
        <w:tabs>
          <w:tab w:val="clear" w:pos="720"/>
        </w:tabs>
        <w:spacing w:before="0"/>
        <w:ind w:left="1134" w:hanging="283"/>
        <w:rPr>
          <w:rFonts w:cs="Arial"/>
        </w:rPr>
      </w:pPr>
      <w:r w:rsidRPr="00DA109E">
        <w:rPr>
          <w:rFonts w:cs="Arial"/>
        </w:rPr>
        <w:t>impede the development or operation of UK Government policies; or</w:t>
      </w:r>
    </w:p>
    <w:p w14:paraId="358D249B" w14:textId="77777777" w:rsidR="00DA109E" w:rsidRPr="00DA109E" w:rsidRDefault="00DA109E" w:rsidP="009164F9">
      <w:pPr>
        <w:pStyle w:val="ListParagraph"/>
        <w:numPr>
          <w:ilvl w:val="0"/>
          <w:numId w:val="20"/>
        </w:numPr>
        <w:tabs>
          <w:tab w:val="clear" w:pos="720"/>
        </w:tabs>
        <w:spacing w:before="0"/>
        <w:ind w:left="1134" w:hanging="283"/>
        <w:rPr>
          <w:rFonts w:cs="Arial"/>
        </w:rPr>
      </w:pPr>
      <w:r w:rsidRPr="00DA109E">
        <w:rPr>
          <w:rFonts w:cs="Arial"/>
        </w:rPr>
        <w:t>Substantially undermine the financial viability of major organisations.</w:t>
      </w:r>
    </w:p>
    <w:p w14:paraId="36C961DE" w14:textId="295C550D" w:rsidR="00DA109E" w:rsidRPr="00BC7348" w:rsidRDefault="00BC7348" w:rsidP="00BC7348">
      <w:pPr>
        <w:pStyle w:val="ListParagraph"/>
        <w:numPr>
          <w:ilvl w:val="1"/>
          <w:numId w:val="16"/>
        </w:numPr>
        <w:tabs>
          <w:tab w:val="clear" w:pos="720"/>
        </w:tabs>
        <w:ind w:left="567" w:hanging="567"/>
        <w:rPr>
          <w:color w:val="000000" w:themeColor="text1"/>
        </w:rPr>
      </w:pPr>
      <w:r w:rsidRPr="00BC7348">
        <w:rPr>
          <w:rFonts w:cs="Arial"/>
        </w:rPr>
        <w:t>When assessing</w:t>
      </w:r>
      <w:r w:rsidRPr="00BC7348" w:rsidDel="000A384C">
        <w:rPr>
          <w:rFonts w:cs="Arial"/>
        </w:rPr>
        <w:t xml:space="preserve"> </w:t>
      </w:r>
      <w:r w:rsidRPr="00BC7348">
        <w:rPr>
          <w:rFonts w:cs="Arial"/>
        </w:rPr>
        <w:t xml:space="preserve">the sensitivity of OFFICIAL information, consideration shall not be limited to the implications of its compromise or loss in isolation; but must </w:t>
      </w:r>
      <w:proofErr w:type="gramStart"/>
      <w:r w:rsidRPr="00BC7348">
        <w:rPr>
          <w:rFonts w:cs="Arial"/>
        </w:rPr>
        <w:t>take into account</w:t>
      </w:r>
      <w:proofErr w:type="gramEnd"/>
      <w:r w:rsidRPr="00BC7348">
        <w:rPr>
          <w:rFonts w:cs="Arial"/>
        </w:rPr>
        <w:t xml:space="preserve"> the effects of the aggregation, accumulation and association of the </w:t>
      </w:r>
      <w:r w:rsidRPr="00BC7348">
        <w:rPr>
          <w:rFonts w:cs="Arial"/>
        </w:rPr>
        <w:lastRenderedPageBreak/>
        <w:t>OFFICIAL information in question with other OFFICIAL information handled by the Contractor.</w:t>
      </w:r>
    </w:p>
    <w:p w14:paraId="1ABF5450" w14:textId="42E09AD0" w:rsidR="00BC7348" w:rsidRPr="00BC7348" w:rsidRDefault="00BC7348" w:rsidP="00BC7348">
      <w:pPr>
        <w:pStyle w:val="ListParagraph"/>
        <w:numPr>
          <w:ilvl w:val="1"/>
          <w:numId w:val="16"/>
        </w:numPr>
        <w:tabs>
          <w:tab w:val="clear" w:pos="720"/>
        </w:tabs>
        <w:ind w:left="567" w:hanging="567"/>
        <w:rPr>
          <w:color w:val="000000" w:themeColor="text1"/>
        </w:rPr>
      </w:pPr>
      <w:r w:rsidRPr="00BC7348">
        <w:rPr>
          <w:rFonts w:cs="Arial"/>
        </w:rPr>
        <w:t xml:space="preserve">Where the Contractor considers additional controls to protect OFFICIAL information from inappropriate access, those further controls will be specified in handling advice provided with the OFFICIAL information in question.  Such advice shall describe the </w:t>
      </w:r>
      <w:proofErr w:type="gramStart"/>
      <w:r w:rsidRPr="00BC7348">
        <w:rPr>
          <w:rFonts w:cs="Arial"/>
        </w:rPr>
        <w:t>particular sensitivities</w:t>
      </w:r>
      <w:proofErr w:type="gramEnd"/>
      <w:r w:rsidRPr="00BC7348">
        <w:rPr>
          <w:rFonts w:cs="Arial"/>
        </w:rPr>
        <w:t xml:space="preserve"> of the information and provide meaningful guidance on how it should be handled.  It should be presented in accordance with the following formula:</w:t>
      </w:r>
    </w:p>
    <w:p w14:paraId="39123C7B" w14:textId="77777777" w:rsidR="00BC7348" w:rsidRPr="00BC7348" w:rsidRDefault="00BC7348" w:rsidP="007F6B82">
      <w:pPr>
        <w:tabs>
          <w:tab w:val="clear" w:pos="720"/>
          <w:tab w:val="left" w:pos="1134"/>
        </w:tabs>
        <w:ind w:left="1134" w:hanging="283"/>
        <w:rPr>
          <w:rFonts w:cs="Arial"/>
          <w:i/>
        </w:rPr>
      </w:pPr>
      <w:r w:rsidRPr="00BC7348">
        <w:rPr>
          <w:rFonts w:cs="Arial"/>
          <w:i/>
        </w:rPr>
        <w:tab/>
        <w:t xml:space="preserve">&lt;the </w:t>
      </w:r>
      <w:proofErr w:type="gramStart"/>
      <w:r w:rsidRPr="00BC7348">
        <w:rPr>
          <w:rFonts w:cs="Arial"/>
          <w:i/>
        </w:rPr>
        <w:t>particular sensitivity</w:t>
      </w:r>
      <w:proofErr w:type="gramEnd"/>
      <w:r w:rsidRPr="00BC7348">
        <w:rPr>
          <w:rFonts w:cs="Arial"/>
          <w:i/>
        </w:rPr>
        <w:t xml:space="preserve"> of the information&gt; &lt;what the handler is allowed to do with the information&gt; &lt;what the handler needs to do to ensure it is given the appropriate level of protection&gt;</w:t>
      </w:r>
    </w:p>
    <w:p w14:paraId="4498B525" w14:textId="504A3B05" w:rsidR="00BC7348" w:rsidRPr="00BC7348" w:rsidRDefault="00BC7348" w:rsidP="00BC7348">
      <w:pPr>
        <w:pStyle w:val="ListParagraph"/>
        <w:numPr>
          <w:ilvl w:val="1"/>
          <w:numId w:val="16"/>
        </w:numPr>
        <w:tabs>
          <w:tab w:val="clear" w:pos="720"/>
        </w:tabs>
        <w:ind w:left="567" w:hanging="567"/>
        <w:rPr>
          <w:color w:val="000000" w:themeColor="text1"/>
        </w:rPr>
      </w:pPr>
      <w:r w:rsidRPr="00BC7348">
        <w:rPr>
          <w:rFonts w:cs="Arial"/>
        </w:rPr>
        <w:t>The handling advice shall be displayed in a place where it would be most obvious to the handler (</w:t>
      </w:r>
      <w:proofErr w:type="spellStart"/>
      <w:r w:rsidRPr="00BC7348">
        <w:rPr>
          <w:rFonts w:cs="Arial"/>
        </w:rPr>
        <w:t>e.g</w:t>
      </w:r>
      <w:proofErr w:type="spellEnd"/>
      <w:r w:rsidRPr="00BC7348">
        <w:rPr>
          <w:rFonts w:cs="Arial"/>
        </w:rPr>
        <w:t>:  top of the first page of a document or email containing the information).</w:t>
      </w:r>
    </w:p>
    <w:p w14:paraId="1D62B695" w14:textId="6191C1C5" w:rsidR="00BC7348" w:rsidRDefault="00BC7348" w:rsidP="0038790E">
      <w:pPr>
        <w:pStyle w:val="ListParagraph"/>
        <w:tabs>
          <w:tab w:val="clear" w:pos="720"/>
        </w:tabs>
        <w:ind w:left="567" w:firstLine="0"/>
        <w:rPr>
          <w:color w:val="000000" w:themeColor="text1"/>
        </w:rPr>
      </w:pPr>
    </w:p>
    <w:p w14:paraId="44A38A30" w14:textId="3823B472" w:rsidR="00135C61" w:rsidRPr="0038790E" w:rsidRDefault="0038790E" w:rsidP="0038790E">
      <w:pPr>
        <w:pStyle w:val="ListParagraph"/>
        <w:tabs>
          <w:tab w:val="clear" w:pos="720"/>
        </w:tabs>
        <w:ind w:left="567" w:firstLine="0"/>
        <w:rPr>
          <w:b/>
          <w:bCs/>
          <w:color w:val="000000" w:themeColor="text1"/>
        </w:rPr>
      </w:pPr>
      <w:r w:rsidRPr="0038790E">
        <w:rPr>
          <w:b/>
          <w:bCs/>
          <w:color w:val="000000" w:themeColor="text1"/>
        </w:rPr>
        <w:t>Baseline controls for OFFICIAL Information</w:t>
      </w:r>
    </w:p>
    <w:p w14:paraId="4CCE54FA" w14:textId="77777777" w:rsidR="0038790E" w:rsidRPr="0038790E" w:rsidRDefault="0038790E" w:rsidP="0038790E">
      <w:pPr>
        <w:pStyle w:val="ListParagraph"/>
        <w:tabs>
          <w:tab w:val="clear" w:pos="720"/>
        </w:tabs>
        <w:ind w:left="567" w:firstLine="0"/>
        <w:rPr>
          <w:b/>
          <w:bCs/>
          <w:color w:val="000000" w:themeColor="text1"/>
        </w:rPr>
      </w:pPr>
    </w:p>
    <w:p w14:paraId="59DDE1BD" w14:textId="16724091" w:rsidR="00135C61" w:rsidRPr="0038790E" w:rsidRDefault="0038790E" w:rsidP="0038790E">
      <w:pPr>
        <w:pStyle w:val="ListParagraph"/>
        <w:tabs>
          <w:tab w:val="clear" w:pos="720"/>
        </w:tabs>
        <w:ind w:left="567" w:firstLine="0"/>
        <w:rPr>
          <w:b/>
          <w:bCs/>
          <w:color w:val="000000" w:themeColor="text1"/>
        </w:rPr>
      </w:pPr>
      <w:r w:rsidRPr="0038790E">
        <w:rPr>
          <w:b/>
          <w:bCs/>
          <w:color w:val="000000" w:themeColor="text1"/>
        </w:rPr>
        <w:t>Access and Personnel Security</w:t>
      </w:r>
    </w:p>
    <w:p w14:paraId="38E94EA5" w14:textId="0AAC659B" w:rsidR="00135C61" w:rsidRPr="0038790E" w:rsidRDefault="0038790E" w:rsidP="0038790E">
      <w:pPr>
        <w:pStyle w:val="ListParagraph"/>
        <w:numPr>
          <w:ilvl w:val="1"/>
          <w:numId w:val="16"/>
        </w:numPr>
        <w:tabs>
          <w:tab w:val="clear" w:pos="720"/>
        </w:tabs>
        <w:ind w:left="567" w:hanging="567"/>
        <w:rPr>
          <w:color w:val="000000" w:themeColor="text1"/>
        </w:rPr>
      </w:pPr>
      <w:bookmarkStart w:id="4" w:name="_Hlk53413603"/>
      <w:r w:rsidRPr="0038790E">
        <w:rPr>
          <w:rFonts w:cs="Arial"/>
        </w:rPr>
        <w:t xml:space="preserve">Anyone requiring access to OFFICIAL information only, specifically excluding access to that classified as OFFICIAL-SENSITIVE, and who does not need unescorted access to NDA premises, shall be subject to pre-employment checks that include as a minimum: </w:t>
      </w:r>
      <w:r w:rsidR="00886B59" w:rsidRPr="00E11B31">
        <w:rPr>
          <w:rFonts w:cs="Arial"/>
        </w:rPr>
        <w:t xml:space="preserve">HMG Baseline Personnel Security </w:t>
      </w:r>
      <w:r w:rsidR="00886B59">
        <w:rPr>
          <w:rFonts w:cs="Arial"/>
        </w:rPr>
        <w:t>S</w:t>
      </w:r>
      <w:r w:rsidR="00886B59" w:rsidRPr="00E11B31">
        <w:rPr>
          <w:rFonts w:cs="Arial"/>
        </w:rPr>
        <w:t>tandard</w:t>
      </w:r>
      <w:r w:rsidR="00886B59">
        <w:rPr>
          <w:rFonts w:cs="Arial"/>
        </w:rPr>
        <w:t xml:space="preserve"> (BPSS)</w:t>
      </w:r>
      <w:r w:rsidRPr="0038790E">
        <w:rPr>
          <w:rFonts w:cs="Arial"/>
        </w:rPr>
        <w:t xml:space="preserve">. </w:t>
      </w:r>
      <w:bookmarkEnd w:id="4"/>
      <w:r w:rsidRPr="0038790E">
        <w:rPr>
          <w:rFonts w:cs="Arial"/>
        </w:rPr>
        <w:t xml:space="preserve">Suppliers must inform NDA where the nationality (including dual or former nationality) of any person falls outside of countries in the EEA, NATO, </w:t>
      </w:r>
      <w:proofErr w:type="gramStart"/>
      <w:r w:rsidRPr="0038790E">
        <w:rPr>
          <w:rFonts w:cs="Arial"/>
        </w:rPr>
        <w:t>Japan</w:t>
      </w:r>
      <w:proofErr w:type="gramEnd"/>
      <w:r w:rsidRPr="0038790E">
        <w:rPr>
          <w:rFonts w:cs="Arial"/>
        </w:rPr>
        <w:t xml:space="preserve"> or a country which shares the same Head of State as the UK prior to the individual in question being given any access to information.  </w:t>
      </w:r>
    </w:p>
    <w:p w14:paraId="33F5A249" w14:textId="095F299D" w:rsidR="00135C61" w:rsidRPr="00E11B31" w:rsidRDefault="00E11B31" w:rsidP="001D52AE">
      <w:pPr>
        <w:pStyle w:val="ListParagraph"/>
        <w:numPr>
          <w:ilvl w:val="1"/>
          <w:numId w:val="16"/>
        </w:numPr>
        <w:tabs>
          <w:tab w:val="clear" w:pos="720"/>
        </w:tabs>
        <w:ind w:left="567" w:hanging="567"/>
        <w:rPr>
          <w:color w:val="000000" w:themeColor="text1"/>
        </w:rPr>
      </w:pPr>
      <w:r w:rsidRPr="00E11B31">
        <w:rPr>
          <w:rFonts w:cs="Arial"/>
        </w:rPr>
        <w:t xml:space="preserve">Any supplier staff/sub-contractors requiring access to OFFICIAL-SENSITIVE information shall be subject to pre-employment checks that include the HMG Baseline Personnel Security standard as a minimum. Under Nuclear Regulation NDA can only accept BPSS clearances carried out by “ONR </w:t>
      </w:r>
      <w:proofErr w:type="spellStart"/>
      <w:r w:rsidRPr="00E11B31">
        <w:rPr>
          <w:rFonts w:cs="Arial"/>
        </w:rPr>
        <w:t>recognised</w:t>
      </w:r>
      <w:proofErr w:type="spellEnd"/>
      <w:r w:rsidRPr="00E11B31">
        <w:rPr>
          <w:rFonts w:cs="Arial"/>
        </w:rPr>
        <w:t xml:space="preserve"> Signing Authorities”, requirements should be confirmed with the NDA Vetting Team prior to commencing any clearance checks and Supplier staff will be required to undergo the NDA Security Induction before accessing OFFICIAL-SENSITIVE information.</w:t>
      </w:r>
    </w:p>
    <w:p w14:paraId="727CFD03" w14:textId="5EB779CE" w:rsidR="00135C61" w:rsidRPr="0010292B" w:rsidRDefault="0010292B" w:rsidP="001D52AE">
      <w:pPr>
        <w:pStyle w:val="ListParagraph"/>
        <w:numPr>
          <w:ilvl w:val="1"/>
          <w:numId w:val="16"/>
        </w:numPr>
        <w:tabs>
          <w:tab w:val="clear" w:pos="720"/>
        </w:tabs>
        <w:ind w:left="567" w:hanging="567"/>
        <w:rPr>
          <w:color w:val="000000" w:themeColor="text1"/>
        </w:rPr>
      </w:pPr>
      <w:r w:rsidRPr="0010292B">
        <w:rPr>
          <w:rFonts w:cs="Arial"/>
        </w:rPr>
        <w:t>A Baseline Personnel Security Standard (BPSS) shall be required as a minimum if an NDA pass or IT network account is required.</w:t>
      </w:r>
    </w:p>
    <w:p w14:paraId="219F11C2" w14:textId="66949B98" w:rsidR="0038790E" w:rsidRPr="0055179D" w:rsidRDefault="0055179D" w:rsidP="001D52AE">
      <w:pPr>
        <w:pStyle w:val="ListParagraph"/>
        <w:numPr>
          <w:ilvl w:val="1"/>
          <w:numId w:val="16"/>
        </w:numPr>
        <w:tabs>
          <w:tab w:val="clear" w:pos="720"/>
        </w:tabs>
        <w:ind w:left="567" w:hanging="567"/>
        <w:rPr>
          <w:color w:val="000000" w:themeColor="text1"/>
        </w:rPr>
      </w:pPr>
      <w:proofErr w:type="gramStart"/>
      <w:r w:rsidRPr="0055179D">
        <w:rPr>
          <w:rFonts w:cs="Arial"/>
        </w:rPr>
        <w:t>Typically</w:t>
      </w:r>
      <w:proofErr w:type="gramEnd"/>
      <w:r w:rsidRPr="0055179D">
        <w:rPr>
          <w:rFonts w:cs="Arial"/>
        </w:rPr>
        <w:t xml:space="preserve"> where contracts involve access to Secret SNI information Supplier staff shall require National Security Vetting clearance at SC level and Supplier staff will be required to undergo the Buyer Security Induction.</w:t>
      </w:r>
    </w:p>
    <w:p w14:paraId="07070C1E" w14:textId="3FC8BC83" w:rsidR="0038790E" w:rsidRPr="007E6338" w:rsidRDefault="007E6338" w:rsidP="001D52AE">
      <w:pPr>
        <w:pStyle w:val="ListParagraph"/>
        <w:numPr>
          <w:ilvl w:val="1"/>
          <w:numId w:val="16"/>
        </w:numPr>
        <w:tabs>
          <w:tab w:val="clear" w:pos="720"/>
        </w:tabs>
        <w:ind w:left="567" w:hanging="567"/>
        <w:rPr>
          <w:color w:val="000000" w:themeColor="text1"/>
        </w:rPr>
      </w:pPr>
      <w:r w:rsidRPr="007E6338">
        <w:rPr>
          <w:rFonts w:cs="Arial"/>
        </w:rPr>
        <w:t>There may be some instances where NDA require higher level clearances, where this incidence occurs NDA will stipulate this to the Supplier in writing, usually during Tender stage of the procurement process.</w:t>
      </w:r>
    </w:p>
    <w:p w14:paraId="1ECCB05F" w14:textId="37E7F78A" w:rsidR="0038790E" w:rsidRPr="0084600B" w:rsidRDefault="0084600B" w:rsidP="001D52AE">
      <w:pPr>
        <w:pStyle w:val="ListParagraph"/>
        <w:numPr>
          <w:ilvl w:val="1"/>
          <w:numId w:val="16"/>
        </w:numPr>
        <w:tabs>
          <w:tab w:val="clear" w:pos="720"/>
        </w:tabs>
        <w:ind w:left="567" w:hanging="567"/>
        <w:rPr>
          <w:color w:val="000000" w:themeColor="text1"/>
        </w:rPr>
      </w:pPr>
      <w:r w:rsidRPr="0084600B">
        <w:rPr>
          <w:rFonts w:cs="Arial"/>
        </w:rPr>
        <w:t xml:space="preserve">In respect of the Contractor’s employees already holding a security clearance, but where the Authority is not the Vetting Authority, the Contractor shall prior to any work </w:t>
      </w:r>
      <w:r w:rsidRPr="0084600B">
        <w:rPr>
          <w:rFonts w:cs="Arial"/>
        </w:rPr>
        <w:lastRenderedPageBreak/>
        <w:t>commencing provide the Authority’s Contract Lead with the employee’s name, date of birth, and the contact details of the relevant vetting authority.</w:t>
      </w:r>
    </w:p>
    <w:p w14:paraId="6D09AA39" w14:textId="77777777" w:rsidR="00CF7855" w:rsidRDefault="00CF7855" w:rsidP="00CF7855">
      <w:pPr>
        <w:pStyle w:val="ListParagraph"/>
        <w:tabs>
          <w:tab w:val="clear" w:pos="720"/>
        </w:tabs>
        <w:ind w:left="567" w:firstLine="0"/>
        <w:rPr>
          <w:color w:val="000000" w:themeColor="text1"/>
        </w:rPr>
      </w:pPr>
    </w:p>
    <w:p w14:paraId="6DD2E905" w14:textId="094D141F" w:rsidR="0038790E" w:rsidRPr="00CF7855" w:rsidRDefault="00CF7855" w:rsidP="00CF7855">
      <w:pPr>
        <w:pStyle w:val="ListParagraph"/>
        <w:tabs>
          <w:tab w:val="clear" w:pos="720"/>
        </w:tabs>
        <w:ind w:left="567" w:firstLine="0"/>
        <w:rPr>
          <w:b/>
          <w:bCs/>
          <w:color w:val="000000" w:themeColor="text1"/>
        </w:rPr>
      </w:pPr>
      <w:r w:rsidRPr="00CF7855">
        <w:rPr>
          <w:b/>
          <w:bCs/>
          <w:color w:val="000000" w:themeColor="text1"/>
        </w:rPr>
        <w:t>Information in hard-copy or on removable, recordable media</w:t>
      </w:r>
    </w:p>
    <w:p w14:paraId="7FD6353E" w14:textId="0984D91A" w:rsidR="0038790E" w:rsidRPr="00CF7855" w:rsidRDefault="00CF7855" w:rsidP="001D52AE">
      <w:pPr>
        <w:pStyle w:val="ListParagraph"/>
        <w:numPr>
          <w:ilvl w:val="1"/>
          <w:numId w:val="16"/>
        </w:numPr>
        <w:tabs>
          <w:tab w:val="clear" w:pos="720"/>
        </w:tabs>
        <w:ind w:left="567" w:hanging="567"/>
        <w:rPr>
          <w:color w:val="000000" w:themeColor="text1"/>
        </w:rPr>
      </w:pPr>
      <w:r w:rsidRPr="00CF7855">
        <w:rPr>
          <w:rFonts w:cs="Arial"/>
        </w:rPr>
        <w:t>The Contractor shall ensure that paper documents, records, etc. (or parts thereof) containing OFFICIAL information are photocopied or scanned into electronic form only if it is necessary for the Contractor to do so.</w:t>
      </w:r>
      <w:r w:rsidR="00996834" w:rsidRPr="00996834">
        <w:rPr>
          <w:rFonts w:cs="Arial"/>
          <w:sz w:val="20"/>
          <w:szCs w:val="20"/>
        </w:rPr>
        <w:t xml:space="preserve"> </w:t>
      </w:r>
      <w:r w:rsidR="00996834" w:rsidRPr="00B42719">
        <w:rPr>
          <w:rStyle w:val="FootnoteReference"/>
          <w:rFonts w:cs="Arial"/>
          <w:sz w:val="20"/>
          <w:szCs w:val="20"/>
        </w:rPr>
        <w:footnoteReference w:id="2"/>
      </w:r>
    </w:p>
    <w:p w14:paraId="0BB92701" w14:textId="3B8E6AA0" w:rsidR="0038790E" w:rsidRPr="00F7189E" w:rsidRDefault="00F7189E" w:rsidP="001D52AE">
      <w:pPr>
        <w:pStyle w:val="ListParagraph"/>
        <w:numPr>
          <w:ilvl w:val="1"/>
          <w:numId w:val="16"/>
        </w:numPr>
        <w:tabs>
          <w:tab w:val="clear" w:pos="720"/>
        </w:tabs>
        <w:ind w:left="567" w:hanging="567"/>
        <w:rPr>
          <w:color w:val="000000" w:themeColor="text1"/>
        </w:rPr>
      </w:pPr>
      <w:r w:rsidRPr="00F7189E">
        <w:rPr>
          <w:rFonts w:cs="Arial"/>
        </w:rPr>
        <w:t>The Contractor shall ensure that all paper documents, records, etc., portable IT equipment (</w:t>
      </w:r>
      <w:proofErr w:type="gramStart"/>
      <w:r w:rsidRPr="00F7189E">
        <w:rPr>
          <w:rFonts w:cs="Arial"/>
        </w:rPr>
        <w:t>e.g.</w:t>
      </w:r>
      <w:proofErr w:type="gramEnd"/>
      <w:r w:rsidRPr="00F7189E">
        <w:rPr>
          <w:rFonts w:cs="Arial"/>
        </w:rPr>
        <w:t xml:space="preserve"> laptops, tablets</w:t>
      </w:r>
      <w:r>
        <w:rPr>
          <w:rFonts w:cs="Arial"/>
        </w:rPr>
        <w:t>, smart phones</w:t>
      </w:r>
      <w:r w:rsidRPr="00F7189E">
        <w:rPr>
          <w:rFonts w:cs="Arial"/>
        </w:rPr>
        <w:t>) and portable digital media (e.g. memory sticks, CD ROMs) containing OFFICIAL information are stored in locked office furniture (e.g. desk drawer, cupboard, filing cabinet) within a secure building, when not in use.  The key(s) to the office furniture must be securely held.</w:t>
      </w:r>
      <w:r w:rsidR="00996834" w:rsidRPr="00996834">
        <w:rPr>
          <w:rFonts w:cs="Arial"/>
          <w:sz w:val="20"/>
          <w:szCs w:val="20"/>
        </w:rPr>
        <w:t xml:space="preserve"> </w:t>
      </w:r>
      <w:r w:rsidR="00996834" w:rsidRPr="00B42719">
        <w:rPr>
          <w:rStyle w:val="FootnoteReference"/>
          <w:rFonts w:cs="Arial"/>
          <w:sz w:val="20"/>
          <w:szCs w:val="20"/>
        </w:rPr>
        <w:footnoteReference w:id="3"/>
      </w:r>
    </w:p>
    <w:p w14:paraId="2C77C4BF" w14:textId="47ADC3F8" w:rsidR="00264756" w:rsidRPr="00790F73" w:rsidRDefault="00790F73" w:rsidP="001D52AE">
      <w:pPr>
        <w:pStyle w:val="ListParagraph"/>
        <w:numPr>
          <w:ilvl w:val="1"/>
          <w:numId w:val="16"/>
        </w:numPr>
        <w:tabs>
          <w:tab w:val="clear" w:pos="720"/>
        </w:tabs>
        <w:ind w:left="567" w:hanging="567"/>
        <w:rPr>
          <w:color w:val="000000" w:themeColor="text1"/>
        </w:rPr>
      </w:pPr>
      <w:r w:rsidRPr="00790F73">
        <w:rPr>
          <w:rFonts w:cs="Arial"/>
        </w:rPr>
        <w:t>The Contractor shall ensure, when moving OFFICIAL information by hand that the information is not capable of being seen by anyone that would not be granted access to it.  The Contractor should avoid OFFICIAL information being overlooked by others if it is being worked on whilst it is in transit and, when it is not being worked on, ensure it is obscured from sight by an opaque cover (</w:t>
      </w:r>
      <w:proofErr w:type="gramStart"/>
      <w:r w:rsidRPr="00790F73">
        <w:rPr>
          <w:rFonts w:cs="Arial"/>
        </w:rPr>
        <w:t>e.g.</w:t>
      </w:r>
      <w:proofErr w:type="gramEnd"/>
      <w:r w:rsidRPr="00790F73">
        <w:rPr>
          <w:rFonts w:cs="Arial"/>
        </w:rPr>
        <w:t xml:space="preserve"> a document should be carried in an envelope, a case or closed bag).</w:t>
      </w:r>
    </w:p>
    <w:p w14:paraId="036ACC88" w14:textId="41D1997A" w:rsidR="00264756" w:rsidRPr="00790F73" w:rsidRDefault="00790F73" w:rsidP="001D52AE">
      <w:pPr>
        <w:pStyle w:val="ListParagraph"/>
        <w:numPr>
          <w:ilvl w:val="1"/>
          <w:numId w:val="16"/>
        </w:numPr>
        <w:tabs>
          <w:tab w:val="clear" w:pos="720"/>
        </w:tabs>
        <w:ind w:left="567" w:hanging="567"/>
        <w:rPr>
          <w:color w:val="000000" w:themeColor="text1"/>
        </w:rPr>
      </w:pPr>
      <w:r w:rsidRPr="00790F73">
        <w:rPr>
          <w:rFonts w:cs="Arial"/>
        </w:rPr>
        <w:t>The Contractor shall ensure, when transmitting OFFICIAL information by post or courier that it is contained in a single, unused envelope or parcel wrapping and that a return address is provided on the back of the envelope or parcel.  The outside of the envelope or parcel must NOT be marked OFFICIAL (or with any other marking that might convey the nature of the information it contains).</w:t>
      </w:r>
    </w:p>
    <w:p w14:paraId="6F151AE6" w14:textId="7235B5CE" w:rsidR="00264756" w:rsidRDefault="00C62730" w:rsidP="001D52AE">
      <w:pPr>
        <w:pStyle w:val="ListParagraph"/>
        <w:numPr>
          <w:ilvl w:val="1"/>
          <w:numId w:val="16"/>
        </w:numPr>
        <w:tabs>
          <w:tab w:val="clear" w:pos="720"/>
        </w:tabs>
        <w:ind w:left="567" w:hanging="567"/>
        <w:rPr>
          <w:color w:val="000000" w:themeColor="text1"/>
        </w:rPr>
      </w:pPr>
      <w:r w:rsidRPr="00C62730">
        <w:rPr>
          <w:rFonts w:cs="Arial"/>
        </w:rPr>
        <w:t xml:space="preserve">The Contractor shall not carry out bulk transfers of documents, records, etc. containing OFFICIAL information without having undertaken an assessment of the risks associated with the proposed method of transfer and having obtained the prior (written) authorisation of the relevant Information Asset Owner.  Advice on the likely suitability of proposed methods of transfer and assessments of their risks may be sought from the </w:t>
      </w:r>
      <w:r w:rsidR="0072416C">
        <w:rPr>
          <w:rFonts w:cs="Arial"/>
        </w:rPr>
        <w:t>NDA’s</w:t>
      </w:r>
      <w:r w:rsidRPr="00C62730">
        <w:rPr>
          <w:rFonts w:cs="Arial"/>
        </w:rPr>
        <w:t xml:space="preserve"> Security Manager.</w:t>
      </w:r>
    </w:p>
    <w:p w14:paraId="649E8A8C" w14:textId="5226890E" w:rsidR="0069455B" w:rsidRPr="0069455B" w:rsidRDefault="0069455B" w:rsidP="0069455B">
      <w:pPr>
        <w:pStyle w:val="ListParagraph"/>
        <w:numPr>
          <w:ilvl w:val="1"/>
          <w:numId w:val="16"/>
        </w:numPr>
        <w:tabs>
          <w:tab w:val="clear" w:pos="720"/>
        </w:tabs>
        <w:ind w:left="567" w:hanging="567"/>
        <w:rPr>
          <w:color w:val="000000" w:themeColor="text1"/>
        </w:rPr>
      </w:pPr>
      <w:r w:rsidRPr="0069455B">
        <w:rPr>
          <w:rFonts w:cs="Arial"/>
        </w:rPr>
        <w:t xml:space="preserve">Once the Contractor no longer needs access to the OFFICIAL information to deliver the service(s) that </w:t>
      </w:r>
      <w:r>
        <w:rPr>
          <w:rFonts w:cs="Arial"/>
        </w:rPr>
        <w:t>NDA</w:t>
      </w:r>
      <w:r w:rsidRPr="0069455B">
        <w:rPr>
          <w:rFonts w:cs="Arial"/>
        </w:rPr>
        <w:t xml:space="preserve"> has contracted it to supply, or to fulfil any other legal or contractual obligations (to </w:t>
      </w:r>
      <w:r>
        <w:rPr>
          <w:rFonts w:cs="Arial"/>
        </w:rPr>
        <w:t>NDA</w:t>
      </w:r>
      <w:r w:rsidRPr="0069455B">
        <w:rPr>
          <w:rFonts w:cs="Arial"/>
        </w:rPr>
        <w:t xml:space="preserve"> or a third party), the Contractor shall ensure that, where the OFFICIAL information in question is contained in or on:</w:t>
      </w:r>
    </w:p>
    <w:p w14:paraId="31361891" w14:textId="2B64D021" w:rsidR="0069455B" w:rsidRPr="0069455B" w:rsidRDefault="0069455B" w:rsidP="009164F9">
      <w:pPr>
        <w:pStyle w:val="ListParagraph"/>
        <w:numPr>
          <w:ilvl w:val="0"/>
          <w:numId w:val="21"/>
        </w:numPr>
        <w:tabs>
          <w:tab w:val="clear" w:pos="720"/>
        </w:tabs>
        <w:spacing w:before="0"/>
        <w:ind w:left="1134" w:hanging="283"/>
        <w:rPr>
          <w:rFonts w:cs="Arial"/>
        </w:rPr>
      </w:pPr>
      <w:r w:rsidRPr="0069455B">
        <w:rPr>
          <w:rFonts w:cs="Arial"/>
        </w:rPr>
        <w:t xml:space="preserve">a paper </w:t>
      </w:r>
      <w:proofErr w:type="gramStart"/>
      <w:r w:rsidRPr="0069455B">
        <w:rPr>
          <w:rFonts w:cs="Arial"/>
        </w:rPr>
        <w:t>document;</w:t>
      </w:r>
      <w:proofErr w:type="gramEnd"/>
      <w:r w:rsidRPr="0069455B">
        <w:rPr>
          <w:rFonts w:cs="Arial"/>
        </w:rPr>
        <w:t xml:space="preserve"> the paper document is either returned to </w:t>
      </w:r>
      <w:r>
        <w:rPr>
          <w:rFonts w:cs="Arial"/>
        </w:rPr>
        <w:t>NDA</w:t>
      </w:r>
      <w:r w:rsidRPr="0069455B">
        <w:rPr>
          <w:rFonts w:cs="Arial"/>
        </w:rPr>
        <w:t xml:space="preserve"> or shredded on the Contractor’s premises in accordance with HMG Information Assurance (IA) Standard No. 5 (Secure </w:t>
      </w:r>
      <w:proofErr w:type="spellStart"/>
      <w:r w:rsidRPr="0069455B">
        <w:rPr>
          <w:rFonts w:cs="Arial"/>
        </w:rPr>
        <w:t>Sanitisation</w:t>
      </w:r>
      <w:proofErr w:type="spellEnd"/>
      <w:r w:rsidRPr="0069455B">
        <w:rPr>
          <w:rFonts w:cs="Arial"/>
        </w:rPr>
        <w:t>) before being disposed of from the Contractor’s premises;</w:t>
      </w:r>
    </w:p>
    <w:p w14:paraId="0359483F" w14:textId="559146FF" w:rsidR="0069455B" w:rsidRPr="0069455B" w:rsidRDefault="0069455B" w:rsidP="009164F9">
      <w:pPr>
        <w:pStyle w:val="ListParagraph"/>
        <w:numPr>
          <w:ilvl w:val="0"/>
          <w:numId w:val="21"/>
        </w:numPr>
        <w:tabs>
          <w:tab w:val="clear" w:pos="720"/>
        </w:tabs>
        <w:spacing w:before="0"/>
        <w:ind w:left="1134" w:hanging="283"/>
        <w:rPr>
          <w:rStyle w:val="Hyperlink"/>
          <w:rFonts w:cs="Arial"/>
        </w:rPr>
      </w:pPr>
      <w:r w:rsidRPr="0069455B">
        <w:rPr>
          <w:rFonts w:cs="Arial"/>
        </w:rPr>
        <w:lastRenderedPageBreak/>
        <w:t xml:space="preserve">a magnetic or optical media; the information or media should either be returned to </w:t>
      </w:r>
      <w:r>
        <w:rPr>
          <w:rFonts w:cs="Arial"/>
        </w:rPr>
        <w:t>NDA,</w:t>
      </w:r>
      <w:r w:rsidRPr="0069455B">
        <w:rPr>
          <w:rFonts w:cs="Arial"/>
        </w:rPr>
        <w:t xml:space="preserve"> destroyed or sanitised at the Contractor’s premises in accordance with HMG Information Assurance (IA) Standard No. 5 (Secure </w:t>
      </w:r>
      <w:proofErr w:type="spellStart"/>
      <w:r w:rsidRPr="0069455B">
        <w:rPr>
          <w:rFonts w:cs="Arial"/>
        </w:rPr>
        <w:t>Sanitisation</w:t>
      </w:r>
      <w:proofErr w:type="spellEnd"/>
      <w:proofErr w:type="gramStart"/>
      <w:r w:rsidRPr="0069455B">
        <w:rPr>
          <w:rFonts w:cs="Arial"/>
        </w:rPr>
        <w:t>);</w:t>
      </w:r>
      <w:proofErr w:type="gramEnd"/>
    </w:p>
    <w:p w14:paraId="13355D00" w14:textId="3C762CB9" w:rsidR="0069455B" w:rsidRPr="0069455B" w:rsidRDefault="0069455B" w:rsidP="009164F9">
      <w:pPr>
        <w:pStyle w:val="ListParagraph"/>
        <w:numPr>
          <w:ilvl w:val="0"/>
          <w:numId w:val="21"/>
        </w:numPr>
        <w:tabs>
          <w:tab w:val="clear" w:pos="720"/>
        </w:tabs>
        <w:spacing w:before="0"/>
        <w:ind w:left="1134" w:right="-23" w:hanging="283"/>
        <w:rPr>
          <w:rFonts w:cs="Arial"/>
        </w:rPr>
      </w:pPr>
      <w:r w:rsidRPr="0069455B">
        <w:rPr>
          <w:rStyle w:val="Hyperlink"/>
          <w:rFonts w:cs="Arial"/>
        </w:rPr>
        <w:t xml:space="preserve">In respect of information destroyed by the Contractor, the Contractor shall provide </w:t>
      </w:r>
      <w:r>
        <w:rPr>
          <w:rStyle w:val="Hyperlink"/>
          <w:rFonts w:cs="Arial"/>
        </w:rPr>
        <w:t>NDA</w:t>
      </w:r>
      <w:r w:rsidRPr="0069455B">
        <w:rPr>
          <w:rStyle w:val="Hyperlink"/>
          <w:rFonts w:cs="Arial"/>
        </w:rPr>
        <w:t xml:space="preserve"> with written confirmation that all of </w:t>
      </w:r>
      <w:r>
        <w:rPr>
          <w:rStyle w:val="Hyperlink"/>
          <w:rFonts w:cs="Arial"/>
        </w:rPr>
        <w:t>NDA</w:t>
      </w:r>
      <w:r w:rsidRPr="0069455B">
        <w:rPr>
          <w:rStyle w:val="Hyperlink"/>
          <w:rFonts w:cs="Arial"/>
        </w:rPr>
        <w:t>’s material pertaining to the work the contractor was engaged for (and whether classified or not) has been destroyed.</w:t>
      </w:r>
    </w:p>
    <w:p w14:paraId="0562ABE8" w14:textId="013D80C0" w:rsidR="00790F73" w:rsidRDefault="00790F73" w:rsidP="00CD1577">
      <w:pPr>
        <w:pStyle w:val="ListParagraph"/>
        <w:tabs>
          <w:tab w:val="clear" w:pos="720"/>
        </w:tabs>
        <w:ind w:left="567" w:firstLine="0"/>
        <w:rPr>
          <w:color w:val="000000" w:themeColor="text1"/>
        </w:rPr>
      </w:pPr>
    </w:p>
    <w:p w14:paraId="697E012B" w14:textId="0EABF47C" w:rsidR="00790F73" w:rsidRPr="00CD1577" w:rsidRDefault="00CD1577" w:rsidP="00CD1577">
      <w:pPr>
        <w:pStyle w:val="ListParagraph"/>
        <w:tabs>
          <w:tab w:val="clear" w:pos="720"/>
        </w:tabs>
        <w:ind w:left="567" w:firstLine="0"/>
        <w:rPr>
          <w:b/>
          <w:bCs/>
          <w:color w:val="000000" w:themeColor="text1"/>
        </w:rPr>
      </w:pPr>
      <w:r w:rsidRPr="00CD1577">
        <w:rPr>
          <w:b/>
          <w:bCs/>
          <w:color w:val="000000" w:themeColor="text1"/>
        </w:rPr>
        <w:t>Breaches and Incident Reporting</w:t>
      </w:r>
    </w:p>
    <w:p w14:paraId="1CDFD403" w14:textId="2EC149BD" w:rsidR="00CD1577" w:rsidRPr="00CD1577" w:rsidRDefault="00CD1577" w:rsidP="00CD1577">
      <w:pPr>
        <w:pStyle w:val="ListParagraph"/>
        <w:numPr>
          <w:ilvl w:val="1"/>
          <w:numId w:val="16"/>
        </w:numPr>
        <w:tabs>
          <w:tab w:val="clear" w:pos="720"/>
        </w:tabs>
        <w:ind w:left="567" w:hanging="567"/>
        <w:rPr>
          <w:color w:val="000000" w:themeColor="text1"/>
        </w:rPr>
      </w:pPr>
      <w:r w:rsidRPr="00CD1577">
        <w:rPr>
          <w:rFonts w:cs="Arial"/>
        </w:rPr>
        <w:t xml:space="preserve">Contractors must have a breach management system in place to aid the detection and reporting of inappropriate </w:t>
      </w:r>
      <w:proofErr w:type="spellStart"/>
      <w:r w:rsidRPr="00CD1577">
        <w:rPr>
          <w:rFonts w:cs="Arial"/>
        </w:rPr>
        <w:t>behaviours</w:t>
      </w:r>
      <w:proofErr w:type="spellEnd"/>
      <w:r w:rsidRPr="00CD1577">
        <w:rPr>
          <w:rFonts w:cs="Arial"/>
        </w:rPr>
        <w:t>, enable disciplinary procedures to be enforced and assist with criminal proceedings.</w:t>
      </w:r>
    </w:p>
    <w:p w14:paraId="5ACF0884" w14:textId="1B7AB7F3" w:rsidR="00E95E0C" w:rsidRPr="009164F9" w:rsidRDefault="00651477" w:rsidP="00651477">
      <w:pPr>
        <w:pStyle w:val="ListParagraph"/>
        <w:numPr>
          <w:ilvl w:val="1"/>
          <w:numId w:val="16"/>
        </w:numPr>
        <w:tabs>
          <w:tab w:val="clear" w:pos="720"/>
        </w:tabs>
        <w:ind w:left="567" w:hanging="567"/>
        <w:rPr>
          <w:color w:val="000000" w:themeColor="text1"/>
        </w:rPr>
      </w:pPr>
      <w:r w:rsidRPr="00651477">
        <w:rPr>
          <w:rFonts w:cs="Arial"/>
        </w:rPr>
        <w:t xml:space="preserve">Immediately upon it becoming known to the Contractor, any event involving the theft, loss, or significant inappropriate access to </w:t>
      </w:r>
      <w:r>
        <w:rPr>
          <w:rFonts w:cs="Arial"/>
        </w:rPr>
        <w:t>NDA</w:t>
      </w:r>
      <w:r w:rsidRPr="00651477">
        <w:rPr>
          <w:rFonts w:cs="Arial"/>
        </w:rPr>
        <w:t xml:space="preserve">’s OFFICIAL information, shall be reported to </w:t>
      </w:r>
      <w:r>
        <w:rPr>
          <w:rFonts w:cs="Arial"/>
        </w:rPr>
        <w:t>NDA</w:t>
      </w:r>
      <w:r w:rsidRPr="00651477">
        <w:rPr>
          <w:rFonts w:cs="Arial"/>
        </w:rPr>
        <w:t xml:space="preserve"> by the most expedient means.</w:t>
      </w:r>
    </w:p>
    <w:p w14:paraId="0C40C35F" w14:textId="4F1D88FD" w:rsidR="00790F73" w:rsidRPr="00651477" w:rsidRDefault="00A51D95" w:rsidP="00651477">
      <w:pPr>
        <w:pStyle w:val="ListParagraph"/>
        <w:numPr>
          <w:ilvl w:val="1"/>
          <w:numId w:val="16"/>
        </w:numPr>
        <w:tabs>
          <w:tab w:val="clear" w:pos="720"/>
        </w:tabs>
        <w:ind w:left="567" w:hanging="567"/>
        <w:rPr>
          <w:color w:val="000000" w:themeColor="text1"/>
        </w:rPr>
      </w:pPr>
      <w:r>
        <w:t xml:space="preserve">Email </w:t>
      </w:r>
      <w:r w:rsidR="00E95E0C">
        <w:t xml:space="preserve">breach and incident </w:t>
      </w:r>
      <w:r>
        <w:t>reports to “security.reporting@nda.gov.uk”</w:t>
      </w:r>
    </w:p>
    <w:p w14:paraId="4BAD3C6C" w14:textId="77777777" w:rsidR="00790F73" w:rsidRPr="001D52AE" w:rsidRDefault="00790F73" w:rsidP="00651477">
      <w:pPr>
        <w:pStyle w:val="ListParagraph"/>
        <w:tabs>
          <w:tab w:val="clear" w:pos="720"/>
        </w:tabs>
        <w:ind w:left="567" w:firstLine="0"/>
        <w:rPr>
          <w:color w:val="000000" w:themeColor="text1"/>
        </w:rPr>
      </w:pPr>
    </w:p>
    <w:p w14:paraId="6F73EC65" w14:textId="77777777" w:rsidR="001D52AE" w:rsidRPr="001D52AE" w:rsidRDefault="001D52AE" w:rsidP="00BC7348">
      <w:pPr>
        <w:pStyle w:val="ListParagraph"/>
        <w:tabs>
          <w:tab w:val="clear" w:pos="720"/>
        </w:tabs>
        <w:ind w:left="360" w:firstLine="0"/>
        <w:rPr>
          <w:color w:val="000000" w:themeColor="text1"/>
        </w:rPr>
      </w:pPr>
    </w:p>
    <w:p w14:paraId="24240A9C" w14:textId="77777777" w:rsidR="00C02899" w:rsidRDefault="00C02899" w:rsidP="00393377">
      <w:pPr>
        <w:tabs>
          <w:tab w:val="clear" w:pos="720"/>
        </w:tabs>
        <w:spacing w:before="0"/>
        <w:ind w:left="0" w:firstLine="0"/>
      </w:pPr>
    </w:p>
    <w:p w14:paraId="5988F468" w14:textId="77777777" w:rsidR="00D55E74" w:rsidRDefault="00D55E74" w:rsidP="00393377">
      <w:pPr>
        <w:tabs>
          <w:tab w:val="clear" w:pos="720"/>
        </w:tabs>
        <w:spacing w:before="0"/>
        <w:ind w:left="0" w:firstLine="0"/>
      </w:pPr>
    </w:p>
    <w:p w14:paraId="76150E99" w14:textId="77777777" w:rsidR="00393377" w:rsidRPr="00393377" w:rsidRDefault="00393377" w:rsidP="00393377">
      <w:pPr>
        <w:pStyle w:val="ListParagraph"/>
        <w:numPr>
          <w:ilvl w:val="0"/>
          <w:numId w:val="16"/>
        </w:numPr>
        <w:tabs>
          <w:tab w:val="clear" w:pos="720"/>
        </w:tabs>
        <w:ind w:left="567" w:hanging="567"/>
        <w:rPr>
          <w:sz w:val="52"/>
          <w:szCs w:val="52"/>
        </w:rPr>
      </w:pPr>
      <w:r w:rsidRPr="00393377">
        <w:rPr>
          <w:sz w:val="52"/>
          <w:szCs w:val="52"/>
        </w:rPr>
        <w:t>Documentation</w:t>
      </w:r>
    </w:p>
    <w:p w14:paraId="7E10A11C" w14:textId="77777777" w:rsidR="00393377" w:rsidRDefault="00393377" w:rsidP="00393377">
      <w:pPr>
        <w:tabs>
          <w:tab w:val="clear" w:pos="720"/>
        </w:tabs>
        <w:spacing w:before="0"/>
        <w:ind w:left="0" w:firstLine="0"/>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075"/>
        <w:gridCol w:w="1985"/>
        <w:gridCol w:w="2903"/>
      </w:tblGrid>
      <w:tr w:rsidR="00393377" w14:paraId="7B1D7BFC" w14:textId="77777777" w:rsidTr="00166953">
        <w:tc>
          <w:tcPr>
            <w:tcW w:w="2598" w:type="dxa"/>
          </w:tcPr>
          <w:p w14:paraId="5F01B7FD" w14:textId="77777777" w:rsidR="00393377" w:rsidRPr="00393377" w:rsidRDefault="00393377" w:rsidP="00393377">
            <w:pPr>
              <w:tabs>
                <w:tab w:val="clear" w:pos="720"/>
              </w:tabs>
              <w:spacing w:before="0"/>
              <w:ind w:left="0" w:firstLine="0"/>
              <w:rPr>
                <w:b/>
              </w:rPr>
            </w:pPr>
            <w:r w:rsidRPr="00393377">
              <w:rPr>
                <w:b/>
              </w:rPr>
              <w:t>Document reference</w:t>
            </w:r>
          </w:p>
        </w:tc>
        <w:tc>
          <w:tcPr>
            <w:tcW w:w="2075" w:type="dxa"/>
          </w:tcPr>
          <w:p w14:paraId="5FFC58D3" w14:textId="77777777" w:rsidR="00393377" w:rsidRPr="00393377" w:rsidRDefault="00393377" w:rsidP="00393377">
            <w:pPr>
              <w:tabs>
                <w:tab w:val="clear" w:pos="720"/>
              </w:tabs>
              <w:spacing w:before="0"/>
              <w:ind w:left="0" w:firstLine="0"/>
              <w:rPr>
                <w:b/>
              </w:rPr>
            </w:pPr>
            <w:r w:rsidRPr="00393377">
              <w:rPr>
                <w:b/>
              </w:rPr>
              <w:t>Document type</w:t>
            </w:r>
          </w:p>
        </w:tc>
        <w:tc>
          <w:tcPr>
            <w:tcW w:w="1985" w:type="dxa"/>
          </w:tcPr>
          <w:p w14:paraId="6EE8706A" w14:textId="77777777" w:rsidR="00393377" w:rsidRPr="00393377" w:rsidRDefault="00393377" w:rsidP="00393377">
            <w:pPr>
              <w:tabs>
                <w:tab w:val="clear" w:pos="720"/>
              </w:tabs>
              <w:spacing w:before="0"/>
              <w:ind w:left="0" w:firstLine="0"/>
              <w:rPr>
                <w:b/>
              </w:rPr>
            </w:pPr>
            <w:r w:rsidRPr="00393377">
              <w:rPr>
                <w:b/>
              </w:rPr>
              <w:t>Function owner</w:t>
            </w:r>
          </w:p>
        </w:tc>
        <w:tc>
          <w:tcPr>
            <w:tcW w:w="2903" w:type="dxa"/>
          </w:tcPr>
          <w:p w14:paraId="662D8393" w14:textId="77777777" w:rsidR="00393377" w:rsidRPr="00393377" w:rsidRDefault="00393377" w:rsidP="00393377">
            <w:pPr>
              <w:tabs>
                <w:tab w:val="clear" w:pos="720"/>
              </w:tabs>
              <w:spacing w:before="0"/>
              <w:ind w:left="0" w:firstLine="0"/>
              <w:rPr>
                <w:b/>
              </w:rPr>
            </w:pPr>
            <w:r w:rsidRPr="00393377">
              <w:rPr>
                <w:b/>
              </w:rPr>
              <w:t>Paper (location) or electronic</w:t>
            </w:r>
          </w:p>
        </w:tc>
      </w:tr>
      <w:tr w:rsidR="00393377" w14:paraId="180EDFCE" w14:textId="77777777" w:rsidTr="00166953">
        <w:tc>
          <w:tcPr>
            <w:tcW w:w="2598" w:type="dxa"/>
          </w:tcPr>
          <w:p w14:paraId="352A6DBB" w14:textId="01D8F8C4" w:rsidR="00393377" w:rsidRPr="00393377" w:rsidRDefault="00393377" w:rsidP="00393377">
            <w:pPr>
              <w:tabs>
                <w:tab w:val="clear" w:pos="720"/>
              </w:tabs>
              <w:spacing w:before="0"/>
              <w:ind w:left="0" w:firstLine="0"/>
              <w:rPr>
                <w:i/>
              </w:rPr>
            </w:pPr>
          </w:p>
        </w:tc>
        <w:tc>
          <w:tcPr>
            <w:tcW w:w="2075" w:type="dxa"/>
          </w:tcPr>
          <w:p w14:paraId="37C06A16" w14:textId="6FB5D5F5" w:rsidR="00393377" w:rsidRPr="00393377" w:rsidRDefault="00393377" w:rsidP="00393377">
            <w:pPr>
              <w:tabs>
                <w:tab w:val="clear" w:pos="720"/>
              </w:tabs>
              <w:spacing w:before="0"/>
              <w:ind w:left="0" w:firstLine="0"/>
              <w:rPr>
                <w:i/>
              </w:rPr>
            </w:pPr>
          </w:p>
        </w:tc>
        <w:tc>
          <w:tcPr>
            <w:tcW w:w="1985" w:type="dxa"/>
          </w:tcPr>
          <w:p w14:paraId="6BB2AEF2" w14:textId="3984DB55" w:rsidR="00393377" w:rsidRPr="00393377" w:rsidRDefault="00393377" w:rsidP="00393377">
            <w:pPr>
              <w:tabs>
                <w:tab w:val="clear" w:pos="720"/>
              </w:tabs>
              <w:spacing w:before="0"/>
              <w:ind w:left="0" w:firstLine="0"/>
              <w:rPr>
                <w:i/>
              </w:rPr>
            </w:pPr>
          </w:p>
        </w:tc>
        <w:tc>
          <w:tcPr>
            <w:tcW w:w="2903" w:type="dxa"/>
          </w:tcPr>
          <w:p w14:paraId="40EE7BC4" w14:textId="25E318E9" w:rsidR="00393377" w:rsidRPr="00393377" w:rsidRDefault="00393377" w:rsidP="00393377">
            <w:pPr>
              <w:tabs>
                <w:tab w:val="clear" w:pos="720"/>
              </w:tabs>
              <w:spacing w:before="0"/>
              <w:ind w:left="0" w:firstLine="0"/>
              <w:rPr>
                <w:i/>
              </w:rPr>
            </w:pPr>
          </w:p>
        </w:tc>
      </w:tr>
      <w:tr w:rsidR="00393377" w14:paraId="7C1A1B7A" w14:textId="77777777" w:rsidTr="00166953">
        <w:tc>
          <w:tcPr>
            <w:tcW w:w="2598" w:type="dxa"/>
          </w:tcPr>
          <w:p w14:paraId="0DAC8DE6" w14:textId="77777777" w:rsidR="00393377" w:rsidRPr="00393377" w:rsidRDefault="00393377" w:rsidP="00393377">
            <w:pPr>
              <w:tabs>
                <w:tab w:val="clear" w:pos="720"/>
              </w:tabs>
              <w:spacing w:before="0"/>
              <w:ind w:left="0" w:firstLine="0"/>
            </w:pPr>
          </w:p>
        </w:tc>
        <w:tc>
          <w:tcPr>
            <w:tcW w:w="2075" w:type="dxa"/>
          </w:tcPr>
          <w:p w14:paraId="2FCC5C8A" w14:textId="77777777" w:rsidR="00393377" w:rsidRPr="00393377" w:rsidRDefault="00393377" w:rsidP="00393377">
            <w:pPr>
              <w:tabs>
                <w:tab w:val="clear" w:pos="720"/>
              </w:tabs>
              <w:spacing w:before="0"/>
              <w:ind w:left="0" w:firstLine="0"/>
            </w:pPr>
          </w:p>
        </w:tc>
        <w:tc>
          <w:tcPr>
            <w:tcW w:w="1985" w:type="dxa"/>
          </w:tcPr>
          <w:p w14:paraId="4E06E583" w14:textId="77777777" w:rsidR="00393377" w:rsidRPr="00393377" w:rsidRDefault="00393377" w:rsidP="00393377">
            <w:pPr>
              <w:tabs>
                <w:tab w:val="clear" w:pos="720"/>
              </w:tabs>
              <w:spacing w:before="0"/>
              <w:ind w:left="0" w:firstLine="0"/>
            </w:pPr>
          </w:p>
        </w:tc>
        <w:tc>
          <w:tcPr>
            <w:tcW w:w="2903" w:type="dxa"/>
          </w:tcPr>
          <w:p w14:paraId="799FA216" w14:textId="77777777" w:rsidR="00393377" w:rsidRPr="00393377" w:rsidRDefault="00393377" w:rsidP="00393377">
            <w:pPr>
              <w:tabs>
                <w:tab w:val="clear" w:pos="720"/>
              </w:tabs>
              <w:spacing w:before="0"/>
              <w:ind w:left="0" w:firstLine="0"/>
            </w:pPr>
          </w:p>
        </w:tc>
      </w:tr>
    </w:tbl>
    <w:p w14:paraId="109D1055" w14:textId="77777777" w:rsidR="00D75092" w:rsidRDefault="00D75092" w:rsidP="006F6463">
      <w:pPr>
        <w:tabs>
          <w:tab w:val="clear" w:pos="720"/>
        </w:tabs>
        <w:ind w:left="0" w:firstLine="0"/>
      </w:pPr>
    </w:p>
    <w:p w14:paraId="74884DD7" w14:textId="77777777" w:rsidR="00D75092" w:rsidRDefault="00D75092" w:rsidP="006F6463">
      <w:pPr>
        <w:tabs>
          <w:tab w:val="clear" w:pos="720"/>
        </w:tabs>
        <w:ind w:left="0" w:firstLine="0"/>
      </w:pPr>
    </w:p>
    <w:p w14:paraId="2C1F1D74" w14:textId="77777777" w:rsidR="00D75092" w:rsidRDefault="00D75092" w:rsidP="006F6463">
      <w:pPr>
        <w:tabs>
          <w:tab w:val="clear" w:pos="720"/>
        </w:tabs>
        <w:ind w:left="0" w:firstLine="0"/>
      </w:pPr>
    </w:p>
    <w:sectPr w:rsidR="00D75092" w:rsidSect="007946F3">
      <w:headerReference w:type="even" r:id="rId9"/>
      <w:headerReference w:type="default" r:id="rId10"/>
      <w:footerReference w:type="even" r:id="rId11"/>
      <w:footerReference w:type="default" r:id="rId12"/>
      <w:headerReference w:type="first" r:id="rId13"/>
      <w:footerReference w:type="first" r:id="rId14"/>
      <w:pgSz w:w="11907" w:h="16840" w:code="9"/>
      <w:pgMar w:top="2238" w:right="1259" w:bottom="244" w:left="1077" w:header="142" w:footer="7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57E3" w14:textId="77777777" w:rsidR="00F20205" w:rsidRDefault="00F20205">
      <w:r>
        <w:separator/>
      </w:r>
    </w:p>
  </w:endnote>
  <w:endnote w:type="continuationSeparator" w:id="0">
    <w:p w14:paraId="22A3B42A" w14:textId="77777777" w:rsidR="00F20205" w:rsidRDefault="00F20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DDFB" w14:textId="77777777" w:rsidR="007E5CE8" w:rsidRDefault="007E5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7017" w14:textId="74E025AF" w:rsidR="007946F3" w:rsidRPr="00EA10CD" w:rsidRDefault="002106E5" w:rsidP="007946F3">
    <w:pPr>
      <w:pStyle w:val="Footer"/>
    </w:pPr>
    <w:r>
      <w:rPr>
        <w:noProof/>
        <w:sz w:val="20"/>
        <w:szCs w:val="20"/>
        <w:lang w:val="en-GB" w:eastAsia="en-GB"/>
      </w:rPr>
      <mc:AlternateContent>
        <mc:Choice Requires="wps">
          <w:drawing>
            <wp:anchor distT="0" distB="0" distL="114300" distR="114300" simplePos="0" relativeHeight="251684864" behindDoc="0" locked="0" layoutInCell="0" allowOverlap="1" wp14:anchorId="5612A0E3" wp14:editId="3640E10A">
              <wp:simplePos x="0" y="0"/>
              <wp:positionH relativeFrom="page">
                <wp:posOffset>0</wp:posOffset>
              </wp:positionH>
              <wp:positionV relativeFrom="page">
                <wp:posOffset>10229850</wp:posOffset>
              </wp:positionV>
              <wp:extent cx="7560945" cy="273050"/>
              <wp:effectExtent l="0" t="0" r="0" b="12700"/>
              <wp:wrapNone/>
              <wp:docPr id="5" name="MSIPCM0aba4fd4946e0f39f47317ab" descr="{&quot;HashCode&quot;:-12648473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E8189C" w14:textId="78899106" w:rsidR="002106E5" w:rsidRPr="007E5CE8" w:rsidRDefault="007E5CE8" w:rsidP="007E5CE8">
                          <w:pPr>
                            <w:spacing w:before="0"/>
                            <w:ind w:left="0"/>
                            <w:jc w:val="center"/>
                            <w:rPr>
                              <w:rFonts w:ascii="Calibri" w:hAnsi="Calibri" w:cs="Calibri"/>
                              <w:color w:val="000000"/>
                              <w:sz w:val="20"/>
                            </w:rPr>
                          </w:pPr>
                          <w:r w:rsidRPr="007E5CE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12A0E3" id="_x0000_t202" coordsize="21600,21600" o:spt="202" path="m,l,21600r21600,l21600,xe">
              <v:stroke joinstyle="miter"/>
              <v:path gradientshapeok="t" o:connecttype="rect"/>
            </v:shapetype>
            <v:shape id="MSIPCM0aba4fd4946e0f39f47317ab" o:spid="_x0000_s1028" type="#_x0000_t202" alt="{&quot;HashCode&quot;:-1264847310,&quot;Height&quot;:842.0,&quot;Width&quot;:595.0,&quot;Placement&quot;:&quot;Footer&quot;,&quot;Index&quot;:&quot;Primary&quot;,&quot;Section&quot;:1,&quot;Top&quot;:0.0,&quot;Left&quot;:0.0}" style="position:absolute;margin-left:0;margin-top:805.5pt;width:595.35pt;height:21.5pt;z-index:251684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Dy7e1yGAIAACsEAAAOAAAAAAAAAAAAAAAAAC4CAABkcnMvZTJvRG9jLnhtbFBLAQItABQA&#10;BgAIAAAAIQA6h7a53wAAAAsBAAAPAAAAAAAAAAAAAAAAAHIEAABkcnMvZG93bnJldi54bWxQSwUG&#10;AAAAAAQABADzAAAAfgUAAAAA&#10;" o:allowincell="f" filled="f" stroked="f" strokeweight=".5pt">
              <v:fill o:detectmouseclick="t"/>
              <v:textbox inset=",0,,0">
                <w:txbxContent>
                  <w:p w14:paraId="6AE8189C" w14:textId="78899106" w:rsidR="002106E5" w:rsidRPr="007E5CE8" w:rsidRDefault="007E5CE8" w:rsidP="007E5CE8">
                    <w:pPr>
                      <w:spacing w:before="0"/>
                      <w:ind w:left="0"/>
                      <w:jc w:val="center"/>
                      <w:rPr>
                        <w:rFonts w:ascii="Calibri" w:hAnsi="Calibri" w:cs="Calibri"/>
                        <w:color w:val="000000"/>
                        <w:sz w:val="20"/>
                      </w:rPr>
                    </w:pPr>
                    <w:r w:rsidRPr="007E5CE8">
                      <w:rPr>
                        <w:rFonts w:ascii="Calibri" w:hAnsi="Calibri" w:cs="Calibri"/>
                        <w:color w:val="000000"/>
                        <w:sz w:val="20"/>
                      </w:rPr>
                      <w:t>OFFICIAL</w:t>
                    </w:r>
                  </w:p>
                </w:txbxContent>
              </v:textbox>
              <w10:wrap anchorx="page" anchory="page"/>
            </v:shape>
          </w:pict>
        </mc:Fallback>
      </mc:AlternateContent>
    </w:r>
    <w:r w:rsidR="007946F3" w:rsidRPr="00917D48">
      <w:rPr>
        <w:noProof/>
        <w:sz w:val="20"/>
        <w:szCs w:val="20"/>
        <w:lang w:val="en-GB" w:eastAsia="en-GB"/>
      </w:rPr>
      <mc:AlternateContent>
        <mc:Choice Requires="wps">
          <w:drawing>
            <wp:anchor distT="0" distB="0" distL="114300" distR="114300" simplePos="0" relativeHeight="251678720" behindDoc="0" locked="0" layoutInCell="1" allowOverlap="1" wp14:anchorId="0C401AAE" wp14:editId="214CD0F1">
              <wp:simplePos x="0" y="0"/>
              <wp:positionH relativeFrom="column">
                <wp:posOffset>344805</wp:posOffset>
              </wp:positionH>
              <wp:positionV relativeFrom="paragraph">
                <wp:posOffset>149225</wp:posOffset>
              </wp:positionV>
              <wp:extent cx="5572125" cy="4953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95300"/>
                      </a:xfrm>
                      <a:prstGeom prst="rect">
                        <a:avLst/>
                      </a:prstGeom>
                      <a:noFill/>
                      <a:ln w="9525">
                        <a:noFill/>
                        <a:miter lim="800000"/>
                        <a:headEnd/>
                        <a:tailEnd/>
                      </a:ln>
                    </wps:spPr>
                    <wps:txbx>
                      <w:txbxContent>
                        <w:p w14:paraId="298BD839" w14:textId="46731883" w:rsidR="007946F3" w:rsidRPr="00EB2A74" w:rsidRDefault="007946F3" w:rsidP="007946F3">
                          <w:pPr>
                            <w:jc w:val="cent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01AAE" id="_x0000_s1029" type="#_x0000_t202" style="position:absolute;margin-left:27.15pt;margin-top:11.75pt;width:438.7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" filled="f" stroked="f">
              <v:textbox>
                <w:txbxContent>
                  <w:p w14:paraId="298BD839" w14:textId="46731883" w:rsidR="007946F3" w:rsidRPr="00EB2A74" w:rsidRDefault="007946F3" w:rsidP="007946F3">
                    <w:pPr>
                      <w:jc w:val="center"/>
                      <w:rPr>
                        <w:b/>
                        <w:sz w:val="16"/>
                      </w:rPr>
                    </w:pPr>
                  </w:p>
                </w:txbxContent>
              </v:textbox>
            </v:shape>
          </w:pict>
        </mc:Fallback>
      </mc:AlternateContent>
    </w:r>
    <w:r w:rsidR="007946F3">
      <w:rPr>
        <w:noProof/>
        <w:lang w:val="en-GB" w:eastAsia="en-GB"/>
      </w:rPr>
      <mc:AlternateContent>
        <mc:Choice Requires="wps">
          <w:drawing>
            <wp:anchor distT="0" distB="0" distL="114300" distR="114300" simplePos="0" relativeHeight="251679744" behindDoc="0" locked="0" layoutInCell="1" allowOverlap="1" wp14:anchorId="0FF6D752" wp14:editId="0BAF26A8">
              <wp:simplePos x="0" y="0"/>
              <wp:positionH relativeFrom="column">
                <wp:posOffset>11429</wp:posOffset>
              </wp:positionH>
              <wp:positionV relativeFrom="paragraph">
                <wp:posOffset>135255</wp:posOffset>
              </wp:positionV>
              <wp:extent cx="60864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6086475" cy="0"/>
                      </a:xfrm>
                      <a:prstGeom prst="line">
                        <a:avLst/>
                      </a:prstGeom>
                      <a:ln w="3175">
                        <a:solidFill>
                          <a:srgbClr val="37424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AE397" id="Straight Connector 1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pt,10.65pt" to="480.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" strokecolor="#37424a" strokeweight=".25pt"/>
          </w:pict>
        </mc:Fallback>
      </mc:AlternateContent>
    </w:r>
  </w:p>
  <w:p w14:paraId="36DE0556" w14:textId="77777777" w:rsidR="007946F3" w:rsidRDefault="007946F3" w:rsidP="007946F3">
    <w:pPr>
      <w:pStyle w:val="Footer"/>
      <w:tabs>
        <w:tab w:val="clear" w:pos="4153"/>
        <w:tab w:val="clear" w:pos="8306"/>
        <w:tab w:val="right" w:pos="9498"/>
      </w:tabs>
      <w:spacing w:before="0"/>
      <w:rPr>
        <w:rStyle w:val="PageNumber"/>
      </w:rPr>
    </w:pPr>
    <w:r>
      <w:rPr>
        <w:rStyle w:val="PageNumber"/>
      </w:rPr>
      <w:tab/>
    </w:r>
  </w:p>
  <w:p w14:paraId="7E7F8C0E" w14:textId="4BA2CE1A" w:rsidR="007946F3" w:rsidRPr="00FD1C9A" w:rsidRDefault="007946F3" w:rsidP="007946F3">
    <w:pPr>
      <w:pStyle w:val="Footer"/>
      <w:tabs>
        <w:tab w:val="clear" w:pos="4153"/>
        <w:tab w:val="clear" w:pos="8306"/>
        <w:tab w:val="right" w:pos="9498"/>
      </w:tabs>
      <w:spacing w:before="0"/>
    </w:pPr>
    <w:r>
      <w:rPr>
        <w:rStyle w:val="PageNumber"/>
      </w:rPr>
      <w:tab/>
    </w:r>
    <w:r>
      <w:rPr>
        <w:rStyle w:val="PageNumber"/>
      </w:rPr>
      <w:fldChar w:fldCharType="begin"/>
    </w:r>
    <w:r>
      <w:rPr>
        <w:rStyle w:val="PageNumber"/>
      </w:rPr>
      <w:instrText xml:space="preserve"> PAGE </w:instrText>
    </w:r>
    <w:r>
      <w:rPr>
        <w:rStyle w:val="PageNumber"/>
      </w:rPr>
      <w:fldChar w:fldCharType="separate"/>
    </w:r>
    <w:r w:rsidR="001665CB">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0323" w14:textId="77777777" w:rsidR="00FD1C9A" w:rsidRPr="00EA10CD" w:rsidRDefault="00917D48" w:rsidP="00FD1C9A">
    <w:pPr>
      <w:pStyle w:val="Footer"/>
    </w:pPr>
    <w:r w:rsidRPr="00917D48">
      <w:rPr>
        <w:noProof/>
        <w:sz w:val="20"/>
        <w:szCs w:val="20"/>
        <w:lang w:val="en-GB" w:eastAsia="en-GB"/>
      </w:rPr>
      <mc:AlternateContent>
        <mc:Choice Requires="wps">
          <w:drawing>
            <wp:anchor distT="0" distB="0" distL="114300" distR="114300" simplePos="0" relativeHeight="251670528" behindDoc="0" locked="0" layoutInCell="1" allowOverlap="1" wp14:anchorId="04D5FBDD" wp14:editId="202C0110">
              <wp:simplePos x="0" y="0"/>
              <wp:positionH relativeFrom="column">
                <wp:posOffset>344805</wp:posOffset>
              </wp:positionH>
              <wp:positionV relativeFrom="paragraph">
                <wp:posOffset>149225</wp:posOffset>
              </wp:positionV>
              <wp:extent cx="5572125" cy="4953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95300"/>
                      </a:xfrm>
                      <a:prstGeom prst="rect">
                        <a:avLst/>
                      </a:prstGeom>
                      <a:noFill/>
                      <a:ln w="9525">
                        <a:noFill/>
                        <a:miter lim="800000"/>
                        <a:headEnd/>
                        <a:tailEnd/>
                      </a:ln>
                    </wps:spPr>
                    <wps:txbx>
                      <w:txbxContent>
                        <w:p w14:paraId="1FCAE929" w14:textId="77777777" w:rsidR="00FD1C9A" w:rsidRPr="00EB2A74" w:rsidRDefault="00FD1C9A" w:rsidP="00FD1C9A">
                          <w:pPr>
                            <w:jc w:val="center"/>
                            <w:rPr>
                              <w:b/>
                              <w:sz w:val="16"/>
                            </w:rPr>
                          </w:pPr>
                          <w:r w:rsidRPr="00EB2A74">
                            <w:rPr>
                              <w:b/>
                              <w:sz w:val="16"/>
                            </w:rPr>
                            <w:t xml:space="preserve">OFFICIAL-SENSITIVE / OFFICIAL-SENSITIVE: PERSONAL / </w:t>
                          </w:r>
                          <w:r w:rsidR="00917D48">
                            <w:rPr>
                              <w:b/>
                              <w:sz w:val="16"/>
                            </w:rPr>
                            <w:br/>
                          </w:r>
                          <w:r w:rsidRPr="00EB2A74">
                            <w:rPr>
                              <w:b/>
                              <w:sz w:val="16"/>
                            </w:rPr>
                            <w:t>OFFICIAL-SENSITIVE: COMMERCIAL / OFFICIAL-SENSITIVE:SNI (DELETE AS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5FBDD" id="_x0000_t202" coordsize="21600,21600" o:spt="202" path="m,l,21600r21600,l21600,xe">
              <v:stroke joinstyle="miter"/>
              <v:path gradientshapeok="t" o:connecttype="rect"/>
            </v:shapetype>
            <v:shape id="_x0000_s1028" type="#_x0000_t202" style="position:absolute;margin-left:27.15pt;margin-top:11.75pt;width:438.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" filled="f" stroked="f">
              <v:textbox>
                <w:txbxContent>
                  <w:p w14:paraId="1FCAE929" w14:textId="77777777" w:rsidR="00FD1C9A" w:rsidRPr="00EB2A74" w:rsidRDefault="00FD1C9A" w:rsidP="00FD1C9A">
                    <w:pPr>
                      <w:jc w:val="center"/>
                      <w:rPr>
                        <w:b/>
                        <w:sz w:val="16"/>
                      </w:rPr>
                    </w:pPr>
                    <w:r w:rsidRPr="00EB2A74">
                      <w:rPr>
                        <w:b/>
                        <w:sz w:val="16"/>
                      </w:rPr>
                      <w:t xml:space="preserve">OFFICIAL-SENSITIVE / OFFICIAL-SENSITIVE: PERSONAL / </w:t>
                    </w:r>
                    <w:r w:rsidR="00917D48">
                      <w:rPr>
                        <w:b/>
                        <w:sz w:val="16"/>
                      </w:rPr>
                      <w:br/>
                    </w:r>
                    <w:r w:rsidRPr="00EB2A74">
                      <w:rPr>
                        <w:b/>
                        <w:sz w:val="16"/>
                      </w:rPr>
                      <w:t>OFFICIAL-SENSITIVE: COMMERCIAL / OFFICIAL-SENSITIVE:SNI (DELETE AS APPLICABLE)</w:t>
                    </w:r>
                  </w:p>
                </w:txbxContent>
              </v:textbox>
            </v:shape>
          </w:pict>
        </mc:Fallback>
      </mc:AlternateContent>
    </w:r>
    <w:r w:rsidR="00FD1C9A">
      <w:rPr>
        <w:noProof/>
        <w:lang w:val="en-GB" w:eastAsia="en-GB"/>
      </w:rPr>
      <mc:AlternateContent>
        <mc:Choice Requires="wps">
          <w:drawing>
            <wp:anchor distT="0" distB="0" distL="114300" distR="114300" simplePos="0" relativeHeight="251671552" behindDoc="0" locked="0" layoutInCell="1" allowOverlap="1" wp14:anchorId="533189FE" wp14:editId="2E87C48B">
              <wp:simplePos x="0" y="0"/>
              <wp:positionH relativeFrom="column">
                <wp:posOffset>11429</wp:posOffset>
              </wp:positionH>
              <wp:positionV relativeFrom="paragraph">
                <wp:posOffset>135255</wp:posOffset>
              </wp:positionV>
              <wp:extent cx="60864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086475" cy="0"/>
                      </a:xfrm>
                      <a:prstGeom prst="line">
                        <a:avLst/>
                      </a:prstGeom>
                      <a:ln w="3175">
                        <a:solidFill>
                          <a:srgbClr val="37424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32B5A"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9pt,10.65pt" to="480.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" strokecolor="#37424a" strokeweight=".25pt"/>
          </w:pict>
        </mc:Fallback>
      </mc:AlternateContent>
    </w:r>
  </w:p>
  <w:p w14:paraId="3E7E5146" w14:textId="77777777" w:rsidR="00917D48" w:rsidRDefault="00FD1C9A" w:rsidP="00917D48">
    <w:pPr>
      <w:pStyle w:val="Footer"/>
      <w:tabs>
        <w:tab w:val="clear" w:pos="4153"/>
        <w:tab w:val="clear" w:pos="8306"/>
        <w:tab w:val="right" w:pos="9498"/>
      </w:tabs>
      <w:spacing w:before="0"/>
      <w:rPr>
        <w:rStyle w:val="PageNumber"/>
      </w:rPr>
    </w:pPr>
    <w:r>
      <w:rPr>
        <w:rStyle w:val="PageNumber"/>
      </w:rPr>
      <w:tab/>
    </w:r>
  </w:p>
  <w:p w14:paraId="0F00B224" w14:textId="77777777" w:rsidR="00223AE4" w:rsidRPr="00FD1C9A" w:rsidRDefault="00917D48" w:rsidP="00917D48">
    <w:pPr>
      <w:pStyle w:val="Footer"/>
      <w:tabs>
        <w:tab w:val="clear" w:pos="4153"/>
        <w:tab w:val="clear" w:pos="8306"/>
        <w:tab w:val="right" w:pos="9498"/>
      </w:tabs>
      <w:spacing w:before="0"/>
    </w:pPr>
    <w:r>
      <w:rPr>
        <w:rStyle w:val="PageNumber"/>
      </w:rPr>
      <w:tab/>
    </w:r>
    <w:r w:rsidR="00FD1C9A">
      <w:rPr>
        <w:rStyle w:val="PageNumber"/>
      </w:rPr>
      <w:fldChar w:fldCharType="begin"/>
    </w:r>
    <w:r w:rsidR="00FD1C9A">
      <w:rPr>
        <w:rStyle w:val="PageNumber"/>
      </w:rPr>
      <w:instrText xml:space="preserve"> PAGE </w:instrText>
    </w:r>
    <w:r w:rsidR="00FD1C9A">
      <w:rPr>
        <w:rStyle w:val="PageNumber"/>
      </w:rPr>
      <w:fldChar w:fldCharType="separate"/>
    </w:r>
    <w:r w:rsidR="007946F3">
      <w:rPr>
        <w:rStyle w:val="PageNumber"/>
        <w:noProof/>
      </w:rPr>
      <w:t>1</w:t>
    </w:r>
    <w:r w:rsidR="00FD1C9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C001" w14:textId="77777777" w:rsidR="00F20205" w:rsidRDefault="00F20205">
      <w:r>
        <w:separator/>
      </w:r>
    </w:p>
  </w:footnote>
  <w:footnote w:type="continuationSeparator" w:id="0">
    <w:p w14:paraId="402E872B" w14:textId="77777777" w:rsidR="00F20205" w:rsidRDefault="00F20205">
      <w:r>
        <w:continuationSeparator/>
      </w:r>
    </w:p>
  </w:footnote>
  <w:footnote w:id="1">
    <w:p w14:paraId="6DA4B878" w14:textId="10F7AED3" w:rsidR="00E07E8F" w:rsidRPr="009164F9" w:rsidRDefault="00E07E8F">
      <w:pPr>
        <w:pStyle w:val="FootnoteText"/>
        <w:rPr>
          <w:lang w:val="en-GB"/>
        </w:rPr>
      </w:pPr>
      <w:r>
        <w:rPr>
          <w:rStyle w:val="FootnoteReference"/>
        </w:rPr>
        <w:footnoteRef/>
      </w:r>
      <w:r>
        <w:t xml:space="preserve"> </w:t>
      </w:r>
      <w:r w:rsidRPr="00E07E8F">
        <w:t>This document was previously known as TAC09.</w:t>
      </w:r>
    </w:p>
  </w:footnote>
  <w:footnote w:id="2">
    <w:p w14:paraId="77EFC4BE" w14:textId="77777777" w:rsidR="00996834" w:rsidRDefault="00996834" w:rsidP="00996834">
      <w:pPr>
        <w:pStyle w:val="FootnoteText"/>
        <w:rPr>
          <w:rFonts w:cs="Arial"/>
          <w:sz w:val="18"/>
        </w:rPr>
      </w:pPr>
      <w:r>
        <w:rPr>
          <w:rStyle w:val="FootnoteReference"/>
        </w:rPr>
        <w:footnoteRef/>
      </w:r>
      <w:r>
        <w:t xml:space="preserve"> </w:t>
      </w:r>
      <w:r w:rsidRPr="003029AE">
        <w:rPr>
          <w:rFonts w:cs="Arial"/>
          <w:sz w:val="18"/>
        </w:rPr>
        <w:t>Consideration should be given to photocopier devices, particularly those on leases, which c</w:t>
      </w:r>
      <w:r>
        <w:rPr>
          <w:rFonts w:cs="Arial"/>
          <w:sz w:val="18"/>
        </w:rPr>
        <w:t>ould</w:t>
      </w:r>
      <w:r w:rsidRPr="003029AE">
        <w:rPr>
          <w:rFonts w:cs="Arial"/>
          <w:sz w:val="18"/>
        </w:rPr>
        <w:t xml:space="preserve"> contain hard drives. These hard drives</w:t>
      </w:r>
      <w:r>
        <w:rPr>
          <w:rFonts w:cs="Arial"/>
          <w:sz w:val="18"/>
        </w:rPr>
        <w:t xml:space="preserve"> can </w:t>
      </w:r>
      <w:r w:rsidRPr="003029AE">
        <w:rPr>
          <w:rFonts w:cs="Arial"/>
          <w:sz w:val="18"/>
        </w:rPr>
        <w:t>contain sensitive corporate information.</w:t>
      </w:r>
    </w:p>
    <w:p w14:paraId="445B9C38" w14:textId="77777777" w:rsidR="00996834" w:rsidRDefault="00996834" w:rsidP="00996834">
      <w:pPr>
        <w:pStyle w:val="FootnoteText"/>
      </w:pPr>
    </w:p>
  </w:footnote>
  <w:footnote w:id="3">
    <w:p w14:paraId="11606EFC" w14:textId="3BBFAC03" w:rsidR="00996834" w:rsidRPr="004A29CE" w:rsidRDefault="00996834" w:rsidP="00996834">
      <w:pPr>
        <w:pStyle w:val="FootnoteText"/>
        <w:rPr>
          <w:rFonts w:cs="Arial"/>
          <w:sz w:val="18"/>
          <w:szCs w:val="18"/>
        </w:rPr>
      </w:pPr>
      <w:r>
        <w:rPr>
          <w:rStyle w:val="FootnoteReference"/>
        </w:rPr>
        <w:footnoteRef/>
      </w:r>
      <w:r>
        <w:t xml:space="preserve"> </w:t>
      </w:r>
      <w:r>
        <w:rPr>
          <w:rFonts w:cs="Arial"/>
          <w:sz w:val="18"/>
          <w:szCs w:val="18"/>
        </w:rPr>
        <w:t xml:space="preserve">Other physical security requirements can be found within </w:t>
      </w:r>
      <w:r w:rsidR="006105C2">
        <w:rPr>
          <w:rFonts w:cs="Arial"/>
          <w:sz w:val="18"/>
          <w:szCs w:val="18"/>
        </w:rPr>
        <w:t>SCPR13</w:t>
      </w:r>
      <w:r w:rsidRPr="001C7783">
        <w:rPr>
          <w:rFonts w:cs="Arial"/>
          <w:color w:val="FF0000"/>
          <w:sz w:val="18"/>
          <w:szCs w:val="18"/>
        </w:rPr>
        <w:t xml:space="preserve"> </w:t>
      </w:r>
      <w:r>
        <w:rPr>
          <w:rFonts w:cs="Arial"/>
          <w:sz w:val="18"/>
          <w:szCs w:val="18"/>
        </w:rPr>
        <w:t>“</w:t>
      </w:r>
      <w:r w:rsidRPr="004A29CE">
        <w:rPr>
          <w:rFonts w:cs="Arial"/>
          <w:i/>
          <w:sz w:val="18"/>
          <w:szCs w:val="18"/>
        </w:rPr>
        <w:t>Technical requirements for Contractors working in non-NDA locations (Official Classification)</w:t>
      </w:r>
      <w:r>
        <w:rPr>
          <w:rFonts w:cs="Arial"/>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1894A" w14:textId="77777777" w:rsidR="007E5CE8" w:rsidRDefault="007E5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25B5" w14:textId="55DC5C0B" w:rsidR="007946F3" w:rsidRDefault="007E5CE8" w:rsidP="0084266B">
    <w:pPr>
      <w:pStyle w:val="Header"/>
      <w:tabs>
        <w:tab w:val="clear" w:pos="720"/>
        <w:tab w:val="clear" w:pos="8306"/>
      </w:tabs>
      <w:ind w:left="2835" w:right="-539" w:firstLine="0"/>
      <w:rPr>
        <w:sz w:val="20"/>
      </w:rPr>
    </w:pPr>
    <w:r>
      <w:rPr>
        <w:noProof/>
        <w:sz w:val="20"/>
        <w:szCs w:val="20"/>
        <w:lang w:val="en-GB" w:eastAsia="en-GB"/>
      </w:rPr>
      <mc:AlternateContent>
        <mc:Choice Requires="wps">
          <w:drawing>
            <wp:anchor distT="0" distB="0" distL="114300" distR="114300" simplePos="0" relativeHeight="251685888" behindDoc="0" locked="0" layoutInCell="0" allowOverlap="1" wp14:anchorId="1144B362" wp14:editId="0A129279">
              <wp:simplePos x="0" y="0"/>
              <wp:positionH relativeFrom="page">
                <wp:posOffset>0</wp:posOffset>
              </wp:positionH>
              <wp:positionV relativeFrom="page">
                <wp:posOffset>190500</wp:posOffset>
              </wp:positionV>
              <wp:extent cx="7560945" cy="273050"/>
              <wp:effectExtent l="0" t="0" r="0" b="12700"/>
              <wp:wrapNone/>
              <wp:docPr id="6" name="MSIPCMd01f4ec6883da2c8177d80b0" descr="{&quot;HashCode&quot;:-128898487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731F2D" w14:textId="1407E64A" w:rsidR="002106E5" w:rsidRPr="007E5CE8" w:rsidRDefault="007E5CE8" w:rsidP="007E5CE8">
                          <w:pPr>
                            <w:spacing w:before="0"/>
                            <w:ind w:left="0"/>
                            <w:jc w:val="center"/>
                            <w:rPr>
                              <w:rFonts w:ascii="Calibri" w:hAnsi="Calibri" w:cs="Calibri"/>
                              <w:color w:val="000000"/>
                              <w:sz w:val="20"/>
                            </w:rPr>
                          </w:pPr>
                          <w:r w:rsidRPr="007E5CE8">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44B362" id="_x0000_t202" coordsize="21600,21600" o:spt="202" path="m,l,21600r21600,l21600,xe">
              <v:stroke joinstyle="miter"/>
              <v:path gradientshapeok="t" o:connecttype="rect"/>
            </v:shapetype>
            <v:shape id="MSIPCMd01f4ec6883da2c8177d80b0" o:spid="_x0000_s1026" type="#_x0000_t202" alt="{&quot;HashCode&quot;:-1288984879,&quot;Height&quot;:842.0,&quot;Width&quot;:595.0,&quot;Placement&quot;:&quot;Header&quot;,&quot;Index&quot;:&quot;Primary&quot;,&quot;Section&quot;:1,&quot;Top&quot;:0.0,&quot;Left&quot;:0.0}" style="position:absolute;left:0;text-align:left;margin-left:0;margin-top:15pt;width:595.35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" o:allowincell="f" filled="f" stroked="f" strokeweight=".5pt">
              <v:fill o:detectmouseclick="t"/>
              <v:textbox inset=",0,,0">
                <w:txbxContent>
                  <w:p w14:paraId="60731F2D" w14:textId="1407E64A" w:rsidR="002106E5" w:rsidRPr="007E5CE8" w:rsidRDefault="007E5CE8" w:rsidP="007E5CE8">
                    <w:pPr>
                      <w:spacing w:before="0"/>
                      <w:ind w:left="0"/>
                      <w:jc w:val="center"/>
                      <w:rPr>
                        <w:rFonts w:ascii="Calibri" w:hAnsi="Calibri" w:cs="Calibri"/>
                        <w:color w:val="000000"/>
                        <w:sz w:val="20"/>
                      </w:rPr>
                    </w:pPr>
                    <w:r w:rsidRPr="007E5CE8">
                      <w:rPr>
                        <w:rFonts w:ascii="Calibri" w:hAnsi="Calibri" w:cs="Calibri"/>
                        <w:color w:val="000000"/>
                        <w:sz w:val="20"/>
                      </w:rPr>
                      <w:t>OFFICIAL</w:t>
                    </w:r>
                  </w:p>
                </w:txbxContent>
              </v:textbox>
              <w10:wrap anchorx="page" anchory="page"/>
            </v:shape>
          </w:pict>
        </mc:Fallback>
      </mc:AlternateContent>
    </w:r>
    <w:r w:rsidRPr="00917D48">
      <w:rPr>
        <w:noProof/>
        <w:sz w:val="20"/>
        <w:szCs w:val="20"/>
        <w:lang w:val="en-GB" w:eastAsia="en-GB"/>
      </w:rPr>
      <mc:AlternateContent>
        <mc:Choice Requires="wps">
          <w:drawing>
            <wp:anchor distT="0" distB="0" distL="114300" distR="114300" simplePos="0" relativeHeight="251663360" behindDoc="0" locked="0" layoutInCell="1" allowOverlap="1" wp14:anchorId="4EC79746" wp14:editId="409BD687">
              <wp:simplePos x="0" y="0"/>
              <wp:positionH relativeFrom="column">
                <wp:posOffset>13360</wp:posOffset>
              </wp:positionH>
              <wp:positionV relativeFrom="paragraph">
                <wp:posOffset>-67106</wp:posOffset>
              </wp:positionV>
              <wp:extent cx="6305266" cy="4953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266" cy="495300"/>
                      </a:xfrm>
                      <a:prstGeom prst="rect">
                        <a:avLst/>
                      </a:prstGeom>
                      <a:noFill/>
                      <a:ln w="9525">
                        <a:noFill/>
                        <a:miter lim="800000"/>
                        <a:headEnd/>
                        <a:tailEnd/>
                      </a:ln>
                    </wps:spPr>
                    <wps:txbx>
                      <w:txbxContent>
                        <w:p w14:paraId="5FBFC52D" w14:textId="0BA787C4" w:rsidR="0084266B" w:rsidRPr="00EB2A74" w:rsidRDefault="0084266B" w:rsidP="007E5CE8">
                          <w:pP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79746" id="Text Box 2" o:spid="_x0000_s1027" type="#_x0000_t202" style="position:absolute;left:0;text-align:left;margin-left:1.05pt;margin-top:-5.3pt;width:496.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" filled="f" stroked="f">
              <v:textbox>
                <w:txbxContent>
                  <w:p w14:paraId="5FBFC52D" w14:textId="0BA787C4" w:rsidR="0084266B" w:rsidRPr="00EB2A74" w:rsidRDefault="0084266B" w:rsidP="007E5CE8">
                    <w:pPr>
                      <w:rPr>
                        <w:b/>
                        <w:sz w:val="16"/>
                      </w:rPr>
                    </w:pPr>
                  </w:p>
                </w:txbxContent>
              </v:textbox>
            </v:shape>
          </w:pict>
        </mc:Fallback>
      </mc:AlternateContent>
    </w:r>
    <w:r w:rsidR="007946F3" w:rsidRPr="00FD1C9A">
      <w:rPr>
        <w:b/>
        <w:noProof/>
        <w:sz w:val="16"/>
        <w:lang w:val="en-GB" w:eastAsia="en-GB"/>
      </w:rPr>
      <w:drawing>
        <wp:anchor distT="0" distB="0" distL="114300" distR="114300" simplePos="0" relativeHeight="251659264" behindDoc="1" locked="0" layoutInCell="1" allowOverlap="1" wp14:anchorId="1D4227E1" wp14:editId="3E0E1FCA">
          <wp:simplePos x="0" y="0"/>
          <wp:positionH relativeFrom="page">
            <wp:posOffset>224902</wp:posOffset>
          </wp:positionH>
          <wp:positionV relativeFrom="page">
            <wp:posOffset>-1270</wp:posOffset>
          </wp:positionV>
          <wp:extent cx="1806575" cy="180657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A_final_logo_Black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575" cy="1806575"/>
                  </a:xfrm>
                  <a:prstGeom prst="rect">
                    <a:avLst/>
                  </a:prstGeom>
                </pic:spPr>
              </pic:pic>
            </a:graphicData>
          </a:graphic>
          <wp14:sizeRelH relativeFrom="page">
            <wp14:pctWidth>0</wp14:pctWidth>
          </wp14:sizeRelH>
          <wp14:sizeRelV relativeFrom="page">
            <wp14:pctHeight>0</wp14:pctHeight>
          </wp14:sizeRelV>
        </wp:anchor>
      </w:drawing>
    </w:r>
    <w:r w:rsidR="007946F3" w:rsidRPr="00FD1C9A">
      <w:rPr>
        <w:b/>
        <w:noProof/>
        <w:sz w:val="16"/>
        <w:lang w:val="en-GB" w:eastAsia="en-GB"/>
      </w:rPr>
      <w:drawing>
        <wp:anchor distT="0" distB="0" distL="114300" distR="114300" simplePos="0" relativeHeight="251655168" behindDoc="1" locked="0" layoutInCell="1" allowOverlap="1" wp14:anchorId="4C6F1586" wp14:editId="5C999D9B">
          <wp:simplePos x="0" y="0"/>
          <wp:positionH relativeFrom="page">
            <wp:align>left</wp:align>
          </wp:positionH>
          <wp:positionV relativeFrom="page">
            <wp:align>top</wp:align>
          </wp:positionV>
          <wp:extent cx="1807200" cy="180720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A_final_logo_Black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1807200"/>
                  </a:xfrm>
                  <a:prstGeom prst="rect">
                    <a:avLst/>
                  </a:prstGeom>
                </pic:spPr>
              </pic:pic>
            </a:graphicData>
          </a:graphic>
          <wp14:sizeRelH relativeFrom="page">
            <wp14:pctWidth>0</wp14:pctWidth>
          </wp14:sizeRelH>
          <wp14:sizeRelV relativeFrom="page">
            <wp14:pctHeight>0</wp14:pctHeight>
          </wp14:sizeRelV>
        </wp:anchor>
      </w:drawing>
    </w:r>
  </w:p>
  <w:tbl>
    <w:tblPr>
      <w:tblW w:w="9923" w:type="dxa"/>
      <w:tblInd w:w="108" w:type="dxa"/>
      <w:tblBorders>
        <w:bottom w:val="single" w:sz="4" w:space="0" w:color="000000" w:themeColor="text1"/>
      </w:tblBorders>
      <w:tblLayout w:type="fixed"/>
      <w:tblLook w:val="0000" w:firstRow="0" w:lastRow="0" w:firstColumn="0" w:lastColumn="0" w:noHBand="0" w:noVBand="0"/>
    </w:tblPr>
    <w:tblGrid>
      <w:gridCol w:w="1843"/>
      <w:gridCol w:w="6095"/>
      <w:gridCol w:w="1985"/>
    </w:tblGrid>
    <w:tr w:rsidR="007946F3" w14:paraId="69C8A5A8" w14:textId="77777777" w:rsidTr="0084266B">
      <w:trPr>
        <w:trHeight w:val="649"/>
      </w:trPr>
      <w:tc>
        <w:tcPr>
          <w:tcW w:w="1843" w:type="dxa"/>
          <w:vMerge w:val="restart"/>
        </w:tcPr>
        <w:p w14:paraId="27D5604A" w14:textId="77777777" w:rsidR="007946F3" w:rsidRPr="00FD1C9A" w:rsidRDefault="007946F3" w:rsidP="007946F3">
          <w:pPr>
            <w:pStyle w:val="Header"/>
            <w:tabs>
              <w:tab w:val="clear" w:pos="720"/>
            </w:tabs>
            <w:ind w:left="34" w:right="-539" w:firstLine="0"/>
            <w:jc w:val="center"/>
            <w:rPr>
              <w:b/>
              <w:sz w:val="16"/>
            </w:rPr>
          </w:pPr>
        </w:p>
      </w:tc>
      <w:tc>
        <w:tcPr>
          <w:tcW w:w="8080" w:type="dxa"/>
          <w:gridSpan w:val="2"/>
        </w:tcPr>
        <w:p w14:paraId="3FDBAEAB" w14:textId="049EA995" w:rsidR="007946F3" w:rsidRPr="007946F3" w:rsidRDefault="007946F3" w:rsidP="0084266B">
          <w:pPr>
            <w:jc w:val="center"/>
            <w:rPr>
              <w:b/>
              <w:sz w:val="16"/>
            </w:rPr>
          </w:pPr>
        </w:p>
      </w:tc>
    </w:tr>
    <w:tr w:rsidR="007946F3" w14:paraId="4259C0BA" w14:textId="77777777" w:rsidTr="0084266B">
      <w:trPr>
        <w:trHeight w:val="1551"/>
      </w:trPr>
      <w:tc>
        <w:tcPr>
          <w:tcW w:w="1843" w:type="dxa"/>
          <w:vMerge/>
        </w:tcPr>
        <w:p w14:paraId="518803C8" w14:textId="77777777" w:rsidR="007946F3" w:rsidRDefault="007946F3" w:rsidP="0025612B">
          <w:pPr>
            <w:pStyle w:val="Heading2"/>
          </w:pPr>
        </w:p>
      </w:tc>
      <w:tc>
        <w:tcPr>
          <w:tcW w:w="6095" w:type="dxa"/>
        </w:tcPr>
        <w:p w14:paraId="6A06031E" w14:textId="77777777" w:rsidR="007946F3" w:rsidRPr="00E02705" w:rsidRDefault="00DE280D" w:rsidP="0025612B">
          <w:pPr>
            <w:pStyle w:val="Heading2"/>
          </w:pPr>
          <w:r>
            <w:t>Information Security Responsibilities for Contractors handling NDA Information</w:t>
          </w:r>
        </w:p>
        <w:p w14:paraId="03B29295" w14:textId="50CC96D0" w:rsidR="007946F3" w:rsidRPr="000B1001" w:rsidRDefault="007946F3" w:rsidP="0025612B">
          <w:pPr>
            <w:pStyle w:val="Heading2"/>
          </w:pPr>
          <w:r w:rsidRPr="00E02705">
            <w:t xml:space="preserve">Doc No: </w:t>
          </w:r>
          <w:r w:rsidR="00E2407E">
            <w:t xml:space="preserve">SCPR11 </w:t>
          </w:r>
          <w:r w:rsidR="00E2407E" w:rsidRPr="00E2407E">
            <w:rPr>
              <w:b w:val="0"/>
              <w:bCs w:val="0"/>
              <w:sz w:val="24"/>
              <w:szCs w:val="24"/>
            </w:rPr>
            <w:t>(previously IPPR01- TAC09</w:t>
          </w:r>
          <w:r w:rsidR="00E2407E">
            <w:rPr>
              <w:b w:val="0"/>
              <w:bCs w:val="0"/>
              <w:sz w:val="24"/>
              <w:szCs w:val="24"/>
            </w:rPr>
            <w:t>)</w:t>
          </w:r>
        </w:p>
      </w:tc>
      <w:tc>
        <w:tcPr>
          <w:tcW w:w="1985" w:type="dxa"/>
        </w:tcPr>
        <w:p w14:paraId="74AE1B31" w14:textId="658AEA5C" w:rsidR="007946F3" w:rsidRPr="000B1001" w:rsidRDefault="007946F3" w:rsidP="00730BA1">
          <w:pPr>
            <w:pStyle w:val="Heading2"/>
            <w:spacing w:before="240" w:after="0"/>
            <w:contextualSpacing/>
            <w:rPr>
              <w:b w:val="0"/>
              <w:sz w:val="22"/>
            </w:rPr>
          </w:pPr>
          <w:r w:rsidRPr="000B1001">
            <w:rPr>
              <w:b w:val="0"/>
              <w:sz w:val="22"/>
            </w:rPr>
            <w:t>Version:</w:t>
          </w:r>
          <w:r w:rsidR="00730BA1">
            <w:rPr>
              <w:b w:val="0"/>
              <w:sz w:val="22"/>
            </w:rPr>
            <w:t xml:space="preserve"> </w:t>
          </w:r>
          <w:r w:rsidR="002106E5">
            <w:rPr>
              <w:b w:val="0"/>
              <w:sz w:val="22"/>
            </w:rPr>
            <w:t>9</w:t>
          </w:r>
        </w:p>
        <w:p w14:paraId="5656286D" w14:textId="473FA7B6" w:rsidR="007946F3" w:rsidRDefault="007946F3" w:rsidP="004844EC">
          <w:pPr>
            <w:pStyle w:val="Footer"/>
            <w:tabs>
              <w:tab w:val="left" w:pos="720"/>
            </w:tabs>
            <w:ind w:right="-816"/>
            <w:rPr>
              <w:sz w:val="24"/>
              <w:lang w:val="fr-FR"/>
            </w:rPr>
          </w:pPr>
          <w:r w:rsidRPr="000B1001">
            <w:rPr>
              <w:rFonts w:cs="Arial"/>
              <w:sz w:val="22"/>
            </w:rPr>
            <w:t>Date:</w:t>
          </w:r>
          <w:r w:rsidR="00DE280D">
            <w:rPr>
              <w:rFonts w:cs="Arial"/>
              <w:sz w:val="22"/>
            </w:rPr>
            <w:t xml:space="preserve"> </w:t>
          </w:r>
          <w:r w:rsidR="00321C9B">
            <w:rPr>
              <w:rFonts w:cs="Arial"/>
              <w:sz w:val="22"/>
            </w:rPr>
            <w:t>Sept</w:t>
          </w:r>
          <w:r w:rsidR="00DE280D">
            <w:rPr>
              <w:rFonts w:cs="Arial"/>
              <w:sz w:val="22"/>
            </w:rPr>
            <w:t xml:space="preserve"> 202</w:t>
          </w:r>
          <w:r w:rsidR="002106E5">
            <w:rPr>
              <w:rFonts w:cs="Arial"/>
              <w:sz w:val="22"/>
            </w:rPr>
            <w:t>2</w:t>
          </w:r>
        </w:p>
      </w:tc>
    </w:tr>
  </w:tbl>
  <w:p w14:paraId="08438554" w14:textId="77777777" w:rsidR="00223AE4" w:rsidRPr="007946F3" w:rsidRDefault="00223AE4" w:rsidP="007946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7164" w14:textId="77777777" w:rsidR="00760D41" w:rsidRDefault="00FD1C9A" w:rsidP="000B1001">
    <w:pPr>
      <w:pStyle w:val="Header"/>
      <w:tabs>
        <w:tab w:val="clear" w:pos="720"/>
      </w:tabs>
      <w:ind w:left="2835" w:right="-539" w:firstLine="0"/>
      <w:jc w:val="center"/>
      <w:rPr>
        <w:sz w:val="20"/>
      </w:rPr>
    </w:pPr>
    <w:r w:rsidRPr="00FD1C9A">
      <w:rPr>
        <w:b/>
        <w:noProof/>
        <w:sz w:val="16"/>
        <w:lang w:val="en-GB" w:eastAsia="en-GB"/>
      </w:rPr>
      <w:drawing>
        <wp:anchor distT="0" distB="0" distL="114300" distR="114300" simplePos="0" relativeHeight="251668480" behindDoc="1" locked="0" layoutInCell="1" allowOverlap="1" wp14:anchorId="596AA18B" wp14:editId="6AC43945">
          <wp:simplePos x="0" y="0"/>
          <wp:positionH relativeFrom="page">
            <wp:align>left</wp:align>
          </wp:positionH>
          <wp:positionV relativeFrom="page">
            <wp:align>top</wp:align>
          </wp:positionV>
          <wp:extent cx="1807200" cy="180720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A_final_logo_Black_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1807200"/>
                  </a:xfrm>
                  <a:prstGeom prst="rect">
                    <a:avLst/>
                  </a:prstGeom>
                </pic:spPr>
              </pic:pic>
            </a:graphicData>
          </a:graphic>
          <wp14:sizeRelH relativeFrom="page">
            <wp14:pctWidth>0</wp14:pctWidth>
          </wp14:sizeRelH>
          <wp14:sizeRelV relativeFrom="page">
            <wp14:pctHeight>0</wp14:pctHeight>
          </wp14:sizeRelV>
        </wp:anchor>
      </w:drawing>
    </w:r>
  </w:p>
  <w:tbl>
    <w:tblPr>
      <w:tblW w:w="10314" w:type="dxa"/>
      <w:tblBorders>
        <w:bottom w:val="single" w:sz="4" w:space="0" w:color="000000" w:themeColor="text1"/>
      </w:tblBorders>
      <w:tblLayout w:type="fixed"/>
      <w:tblLook w:val="0000" w:firstRow="0" w:lastRow="0" w:firstColumn="0" w:lastColumn="0" w:noHBand="0" w:noVBand="0"/>
    </w:tblPr>
    <w:tblGrid>
      <w:gridCol w:w="7621"/>
      <w:gridCol w:w="2693"/>
    </w:tblGrid>
    <w:tr w:rsidR="000B1001" w14:paraId="5BD99610" w14:textId="77777777" w:rsidTr="007946F3">
      <w:tc>
        <w:tcPr>
          <w:tcW w:w="10314" w:type="dxa"/>
          <w:gridSpan w:val="2"/>
        </w:tcPr>
        <w:p w14:paraId="33F0D47B" w14:textId="77777777" w:rsidR="000B1001" w:rsidRPr="00FD1C9A" w:rsidRDefault="000B1001" w:rsidP="000B1001">
          <w:pPr>
            <w:pStyle w:val="Header"/>
            <w:tabs>
              <w:tab w:val="clear" w:pos="720"/>
            </w:tabs>
            <w:ind w:left="1843" w:right="-539" w:firstLine="0"/>
            <w:jc w:val="center"/>
            <w:rPr>
              <w:b/>
              <w:sz w:val="16"/>
            </w:rPr>
          </w:pPr>
          <w:r w:rsidRPr="00FD1C9A">
            <w:rPr>
              <w:b/>
              <w:sz w:val="16"/>
            </w:rPr>
            <w:t xml:space="preserve">OFFICIAL-SENSITIVE / OFFICIAL-SENSITIVE: PERSONAL / </w:t>
          </w:r>
          <w:r>
            <w:rPr>
              <w:b/>
              <w:sz w:val="16"/>
            </w:rPr>
            <w:br/>
          </w:r>
          <w:r w:rsidRPr="00FD1C9A">
            <w:rPr>
              <w:b/>
              <w:sz w:val="16"/>
            </w:rPr>
            <w:t>OFFICIAL-SENSITIVE: COMMERCIAL / OFFICIAL-SENSITIVE:SNI (delete as applicable)</w:t>
          </w:r>
        </w:p>
        <w:p w14:paraId="391453A4" w14:textId="77777777" w:rsidR="000B1001" w:rsidRDefault="000B1001" w:rsidP="0025612B">
          <w:pPr>
            <w:pStyle w:val="Footer"/>
            <w:tabs>
              <w:tab w:val="left" w:pos="720"/>
            </w:tabs>
            <w:spacing w:after="120"/>
            <w:rPr>
              <w:sz w:val="24"/>
            </w:rPr>
          </w:pPr>
        </w:p>
      </w:tc>
    </w:tr>
    <w:tr w:rsidR="000B1001" w14:paraId="734CB001" w14:textId="77777777" w:rsidTr="007946F3">
      <w:tc>
        <w:tcPr>
          <w:tcW w:w="7621" w:type="dxa"/>
        </w:tcPr>
        <w:p w14:paraId="455EDBB3" w14:textId="77777777" w:rsidR="000B1001" w:rsidRDefault="000B1001" w:rsidP="000B1001">
          <w:pPr>
            <w:pStyle w:val="Heading2"/>
          </w:pPr>
          <w:r>
            <w:t>Procedure Title: Arial, 1</w:t>
          </w:r>
          <w:r w:rsidRPr="006F6463">
            <w:t>6pt</w:t>
          </w:r>
        </w:p>
        <w:p w14:paraId="631F2D7A" w14:textId="77777777" w:rsidR="000B1001" w:rsidRPr="000B1001" w:rsidRDefault="000B1001" w:rsidP="000B1001">
          <w:pPr>
            <w:pStyle w:val="Heading2"/>
          </w:pPr>
          <w:r w:rsidRPr="006F6463">
            <w:t>Doc No: Arial, Bold, 16pt</w:t>
          </w:r>
        </w:p>
      </w:tc>
      <w:tc>
        <w:tcPr>
          <w:tcW w:w="2693" w:type="dxa"/>
        </w:tcPr>
        <w:p w14:paraId="3E209E27" w14:textId="77777777" w:rsidR="000B1001" w:rsidRPr="000B1001" w:rsidRDefault="000B1001" w:rsidP="000B1001">
          <w:pPr>
            <w:pStyle w:val="Heading2"/>
            <w:spacing w:before="240" w:after="0"/>
            <w:contextualSpacing/>
            <w:jc w:val="right"/>
            <w:rPr>
              <w:b w:val="0"/>
              <w:sz w:val="22"/>
            </w:rPr>
          </w:pPr>
          <w:r w:rsidRPr="000B1001">
            <w:rPr>
              <w:b w:val="0"/>
              <w:sz w:val="22"/>
            </w:rPr>
            <w:t>Version:</w:t>
          </w:r>
        </w:p>
        <w:p w14:paraId="0460092D" w14:textId="77777777" w:rsidR="000B1001" w:rsidRDefault="000B1001" w:rsidP="000B1001">
          <w:pPr>
            <w:pStyle w:val="Footer"/>
            <w:tabs>
              <w:tab w:val="left" w:pos="720"/>
            </w:tabs>
            <w:jc w:val="right"/>
            <w:rPr>
              <w:sz w:val="24"/>
              <w:lang w:val="fr-FR"/>
            </w:rPr>
          </w:pPr>
          <w:r w:rsidRPr="000B1001">
            <w:rPr>
              <w:rFonts w:cs="Arial"/>
              <w:sz w:val="22"/>
            </w:rPr>
            <w:t>Date:</w:t>
          </w:r>
        </w:p>
      </w:tc>
    </w:tr>
  </w:tbl>
  <w:p w14:paraId="6008FA17" w14:textId="77777777" w:rsidR="000B1001" w:rsidRPr="000B1001" w:rsidRDefault="000B1001" w:rsidP="000B10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E6F3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EA7C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C7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A8F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5AC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1C2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185D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E8E7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B43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B488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963DD"/>
    <w:multiLevelType w:val="hybridMultilevel"/>
    <w:tmpl w:val="65CE10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0EA62EFD"/>
    <w:multiLevelType w:val="hybridMultilevel"/>
    <w:tmpl w:val="BAE42F38"/>
    <w:lvl w:ilvl="0" w:tplc="08090001">
      <w:start w:val="1"/>
      <w:numFmt w:val="bullet"/>
      <w:lvlText w:val=""/>
      <w:lvlJc w:val="left"/>
      <w:pPr>
        <w:tabs>
          <w:tab w:val="num" w:pos="1287"/>
        </w:tabs>
        <w:ind w:left="1287" w:hanging="360"/>
      </w:pPr>
      <w:rPr>
        <w:rFonts w:ascii="Symbol" w:hAnsi="Symbol" w:cs="Symbol"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cs="Wingdings" w:hint="default"/>
      </w:rPr>
    </w:lvl>
    <w:lvl w:ilvl="3" w:tplc="08090001">
      <w:start w:val="1"/>
      <w:numFmt w:val="bullet"/>
      <w:lvlText w:val=""/>
      <w:lvlJc w:val="left"/>
      <w:pPr>
        <w:tabs>
          <w:tab w:val="num" w:pos="3447"/>
        </w:tabs>
        <w:ind w:left="3447" w:hanging="360"/>
      </w:pPr>
      <w:rPr>
        <w:rFonts w:ascii="Symbol" w:hAnsi="Symbol" w:cs="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cs="Wingdings" w:hint="default"/>
      </w:rPr>
    </w:lvl>
    <w:lvl w:ilvl="6" w:tplc="08090001">
      <w:start w:val="1"/>
      <w:numFmt w:val="bullet"/>
      <w:lvlText w:val=""/>
      <w:lvlJc w:val="left"/>
      <w:pPr>
        <w:tabs>
          <w:tab w:val="num" w:pos="5607"/>
        </w:tabs>
        <w:ind w:left="5607" w:hanging="360"/>
      </w:pPr>
      <w:rPr>
        <w:rFonts w:ascii="Symbol" w:hAnsi="Symbol" w:cs="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cs="Wingdings" w:hint="default"/>
      </w:rPr>
    </w:lvl>
  </w:abstractNum>
  <w:abstractNum w:abstractNumId="12" w15:restartNumberingAfterBreak="0">
    <w:nsid w:val="1C726B73"/>
    <w:multiLevelType w:val="multilevel"/>
    <w:tmpl w:val="6698455A"/>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A09E8"/>
    <w:multiLevelType w:val="hybridMultilevel"/>
    <w:tmpl w:val="3E103EEC"/>
    <w:lvl w:ilvl="0" w:tplc="08090001">
      <w:start w:val="1"/>
      <w:numFmt w:val="bullet"/>
      <w:lvlText w:val=""/>
      <w:lvlJc w:val="left"/>
      <w:pPr>
        <w:ind w:left="1440" w:hanging="360"/>
      </w:pPr>
      <w:rPr>
        <w:rFonts w:ascii="Symbol" w:hAnsi="Symbol" w:hint="default"/>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52350FC"/>
    <w:multiLevelType w:val="hybridMultilevel"/>
    <w:tmpl w:val="45A2C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AF08E7"/>
    <w:multiLevelType w:val="hybridMultilevel"/>
    <w:tmpl w:val="6DB419CC"/>
    <w:lvl w:ilvl="0" w:tplc="08090001">
      <w:start w:val="1"/>
      <w:numFmt w:val="bullet"/>
      <w:lvlText w:val=""/>
      <w:lvlJc w:val="left"/>
      <w:pPr>
        <w:ind w:left="1440" w:hanging="360"/>
      </w:pPr>
      <w:rPr>
        <w:rFonts w:ascii="Symbol" w:hAnsi="Symbol" w:hint="default"/>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36D494C"/>
    <w:multiLevelType w:val="hybridMultilevel"/>
    <w:tmpl w:val="66984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4A246A"/>
    <w:multiLevelType w:val="hybridMultilevel"/>
    <w:tmpl w:val="6EDC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45826"/>
    <w:multiLevelType w:val="multilevel"/>
    <w:tmpl w:val="6698455A"/>
    <w:lvl w:ilvl="0">
      <w:start w:val="1"/>
      <w:numFmt w:val="bullet"/>
      <w:lvlText w:val=""/>
      <w:lvlJc w:val="left"/>
      <w:pPr>
        <w:tabs>
          <w:tab w:val="num" w:pos="72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B52B82"/>
    <w:multiLevelType w:val="hybridMultilevel"/>
    <w:tmpl w:val="064275C8"/>
    <w:lvl w:ilvl="0" w:tplc="08090001">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6DD5CD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6"/>
  </w:num>
  <w:num w:numId="3">
    <w:abstractNumId w:val="18"/>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20"/>
  </w:num>
  <w:num w:numId="17">
    <w:abstractNumId w:val="11"/>
  </w:num>
  <w:num w:numId="18">
    <w:abstractNumId w:val="13"/>
  </w:num>
  <w:num w:numId="19">
    <w:abstractNumId w:val="14"/>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1"/>
    <w:rsid w:val="00000F92"/>
    <w:rsid w:val="00024257"/>
    <w:rsid w:val="000263FB"/>
    <w:rsid w:val="000659F1"/>
    <w:rsid w:val="000A1173"/>
    <w:rsid w:val="000B1001"/>
    <w:rsid w:val="000C28CC"/>
    <w:rsid w:val="000E519E"/>
    <w:rsid w:val="0010292B"/>
    <w:rsid w:val="0013174F"/>
    <w:rsid w:val="00135C61"/>
    <w:rsid w:val="001613CC"/>
    <w:rsid w:val="00165A73"/>
    <w:rsid w:val="00165EEB"/>
    <w:rsid w:val="001665CB"/>
    <w:rsid w:val="00166953"/>
    <w:rsid w:val="001749BE"/>
    <w:rsid w:val="00175DB3"/>
    <w:rsid w:val="00191E4E"/>
    <w:rsid w:val="001A1DD2"/>
    <w:rsid w:val="001B6252"/>
    <w:rsid w:val="001C4CB4"/>
    <w:rsid w:val="001C7783"/>
    <w:rsid w:val="001D1D1B"/>
    <w:rsid w:val="001D52AE"/>
    <w:rsid w:val="001F0C5F"/>
    <w:rsid w:val="0020446B"/>
    <w:rsid w:val="002062DE"/>
    <w:rsid w:val="002106E5"/>
    <w:rsid w:val="00223AE4"/>
    <w:rsid w:val="00227BBA"/>
    <w:rsid w:val="00236E58"/>
    <w:rsid w:val="0025461C"/>
    <w:rsid w:val="00264756"/>
    <w:rsid w:val="00282326"/>
    <w:rsid w:val="00287388"/>
    <w:rsid w:val="00296153"/>
    <w:rsid w:val="002C4E89"/>
    <w:rsid w:val="002F3DC1"/>
    <w:rsid w:val="002F7F9D"/>
    <w:rsid w:val="003024E3"/>
    <w:rsid w:val="0032049A"/>
    <w:rsid w:val="00321C9B"/>
    <w:rsid w:val="0033020F"/>
    <w:rsid w:val="00332EB4"/>
    <w:rsid w:val="00353ADA"/>
    <w:rsid w:val="003576B5"/>
    <w:rsid w:val="0036203E"/>
    <w:rsid w:val="0038790E"/>
    <w:rsid w:val="00393377"/>
    <w:rsid w:val="003A069D"/>
    <w:rsid w:val="003B64CE"/>
    <w:rsid w:val="003C4659"/>
    <w:rsid w:val="003C4E6F"/>
    <w:rsid w:val="003E1F4F"/>
    <w:rsid w:val="00402D26"/>
    <w:rsid w:val="00403D07"/>
    <w:rsid w:val="00407AFD"/>
    <w:rsid w:val="00421126"/>
    <w:rsid w:val="0048151B"/>
    <w:rsid w:val="004844EC"/>
    <w:rsid w:val="00486890"/>
    <w:rsid w:val="00496611"/>
    <w:rsid w:val="004B123A"/>
    <w:rsid w:val="004B617C"/>
    <w:rsid w:val="004B6A94"/>
    <w:rsid w:val="004C12F6"/>
    <w:rsid w:val="004C410B"/>
    <w:rsid w:val="004E33C8"/>
    <w:rsid w:val="004F37CD"/>
    <w:rsid w:val="005171F1"/>
    <w:rsid w:val="005315FF"/>
    <w:rsid w:val="0055179D"/>
    <w:rsid w:val="005A4A3F"/>
    <w:rsid w:val="005A4B8F"/>
    <w:rsid w:val="005B5640"/>
    <w:rsid w:val="006042D6"/>
    <w:rsid w:val="006105C2"/>
    <w:rsid w:val="006449F9"/>
    <w:rsid w:val="0064750B"/>
    <w:rsid w:val="00651477"/>
    <w:rsid w:val="00661CB3"/>
    <w:rsid w:val="00662DC6"/>
    <w:rsid w:val="0069455B"/>
    <w:rsid w:val="006A30B0"/>
    <w:rsid w:val="006B0DBE"/>
    <w:rsid w:val="006B6B00"/>
    <w:rsid w:val="006C3508"/>
    <w:rsid w:val="006D38EF"/>
    <w:rsid w:val="006F1B37"/>
    <w:rsid w:val="006F6463"/>
    <w:rsid w:val="006F6858"/>
    <w:rsid w:val="0072416C"/>
    <w:rsid w:val="007308D8"/>
    <w:rsid w:val="00730BA1"/>
    <w:rsid w:val="00736969"/>
    <w:rsid w:val="00760D41"/>
    <w:rsid w:val="00770756"/>
    <w:rsid w:val="00776A1A"/>
    <w:rsid w:val="00790F73"/>
    <w:rsid w:val="007946F3"/>
    <w:rsid w:val="007A0DD9"/>
    <w:rsid w:val="007C3964"/>
    <w:rsid w:val="007C5ECD"/>
    <w:rsid w:val="007E076C"/>
    <w:rsid w:val="007E2194"/>
    <w:rsid w:val="007E5CE8"/>
    <w:rsid w:val="007E6338"/>
    <w:rsid w:val="007F6B82"/>
    <w:rsid w:val="008008F8"/>
    <w:rsid w:val="0084266B"/>
    <w:rsid w:val="0084600B"/>
    <w:rsid w:val="00850AC9"/>
    <w:rsid w:val="00886B59"/>
    <w:rsid w:val="00895DE7"/>
    <w:rsid w:val="00897F86"/>
    <w:rsid w:val="008F4FAF"/>
    <w:rsid w:val="009137E6"/>
    <w:rsid w:val="009164F9"/>
    <w:rsid w:val="00917D48"/>
    <w:rsid w:val="00937220"/>
    <w:rsid w:val="0096371A"/>
    <w:rsid w:val="0096533C"/>
    <w:rsid w:val="0099627C"/>
    <w:rsid w:val="00996834"/>
    <w:rsid w:val="009C7E6D"/>
    <w:rsid w:val="009E1D18"/>
    <w:rsid w:val="00A300B1"/>
    <w:rsid w:val="00A51D95"/>
    <w:rsid w:val="00A54D1C"/>
    <w:rsid w:val="00A64F82"/>
    <w:rsid w:val="00A72DD9"/>
    <w:rsid w:val="00A76185"/>
    <w:rsid w:val="00A76522"/>
    <w:rsid w:val="00AE3D98"/>
    <w:rsid w:val="00B02EE6"/>
    <w:rsid w:val="00B07083"/>
    <w:rsid w:val="00B13256"/>
    <w:rsid w:val="00B31871"/>
    <w:rsid w:val="00B33956"/>
    <w:rsid w:val="00B64749"/>
    <w:rsid w:val="00BC7348"/>
    <w:rsid w:val="00BD7006"/>
    <w:rsid w:val="00BE536D"/>
    <w:rsid w:val="00C02899"/>
    <w:rsid w:val="00C1091D"/>
    <w:rsid w:val="00C23177"/>
    <w:rsid w:val="00C62730"/>
    <w:rsid w:val="00C92422"/>
    <w:rsid w:val="00CA1349"/>
    <w:rsid w:val="00CA1738"/>
    <w:rsid w:val="00CB09B7"/>
    <w:rsid w:val="00CC54DE"/>
    <w:rsid w:val="00CC7B07"/>
    <w:rsid w:val="00CD1577"/>
    <w:rsid w:val="00CD4FC8"/>
    <w:rsid w:val="00CD544F"/>
    <w:rsid w:val="00CF7855"/>
    <w:rsid w:val="00D01235"/>
    <w:rsid w:val="00D25646"/>
    <w:rsid w:val="00D55E74"/>
    <w:rsid w:val="00D75092"/>
    <w:rsid w:val="00D93D3E"/>
    <w:rsid w:val="00DA109E"/>
    <w:rsid w:val="00DA52CC"/>
    <w:rsid w:val="00DC0702"/>
    <w:rsid w:val="00DE280D"/>
    <w:rsid w:val="00E02705"/>
    <w:rsid w:val="00E07E8F"/>
    <w:rsid w:val="00E11B31"/>
    <w:rsid w:val="00E2407E"/>
    <w:rsid w:val="00E6418D"/>
    <w:rsid w:val="00E650D5"/>
    <w:rsid w:val="00E67821"/>
    <w:rsid w:val="00E95E0C"/>
    <w:rsid w:val="00EA10CD"/>
    <w:rsid w:val="00EA7ABC"/>
    <w:rsid w:val="00EB2A74"/>
    <w:rsid w:val="00EB5DB7"/>
    <w:rsid w:val="00EF6936"/>
    <w:rsid w:val="00F20205"/>
    <w:rsid w:val="00F7189E"/>
    <w:rsid w:val="00FA2510"/>
    <w:rsid w:val="00FB3278"/>
    <w:rsid w:val="00FB3518"/>
    <w:rsid w:val="00FD1C9A"/>
    <w:rsid w:val="00FE1D33"/>
    <w:rsid w:val="00FF5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B74E33"/>
  <w15:docId w15:val="{17D118FE-5F5C-4CD8-BFDF-9695222D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969"/>
    <w:pPr>
      <w:tabs>
        <w:tab w:val="left" w:pos="720"/>
      </w:tabs>
      <w:spacing w:before="120"/>
      <w:ind w:left="720" w:hanging="720"/>
    </w:pPr>
    <w:rPr>
      <w:rFonts w:ascii="Arial" w:hAnsi="Arial"/>
      <w:sz w:val="24"/>
      <w:szCs w:val="24"/>
      <w:lang w:val="en-US" w:eastAsia="en-US"/>
    </w:rPr>
  </w:style>
  <w:style w:type="paragraph" w:styleId="Heading1">
    <w:name w:val="heading 1"/>
    <w:basedOn w:val="Heading2"/>
    <w:next w:val="Normal"/>
    <w:qFormat/>
    <w:rsid w:val="0048151B"/>
    <w:pPr>
      <w:spacing w:before="120" w:after="360"/>
      <w:outlineLvl w:val="0"/>
    </w:pPr>
    <w:rPr>
      <w:b w:val="0"/>
      <w:sz w:val="52"/>
    </w:rPr>
  </w:style>
  <w:style w:type="paragraph" w:styleId="Heading2">
    <w:name w:val="heading 2"/>
    <w:basedOn w:val="Normal"/>
    <w:next w:val="Normal"/>
    <w:qFormat/>
    <w:rsid w:val="0048151B"/>
    <w:pPr>
      <w:keepNext/>
      <w:tabs>
        <w:tab w:val="clear" w:pos="720"/>
      </w:tabs>
      <w:spacing w:before="0" w:after="240"/>
      <w:ind w:left="0" w:firstLine="0"/>
      <w:outlineLvl w:val="1"/>
    </w:pPr>
    <w:rPr>
      <w:rFonts w:cs="Arial"/>
      <w:b/>
      <w:bCs/>
      <w:iCs/>
      <w:color w:val="000000" w:themeColor="text1"/>
      <w:sz w:val="32"/>
      <w:szCs w:val="28"/>
    </w:rPr>
  </w:style>
  <w:style w:type="paragraph" w:styleId="Heading3">
    <w:name w:val="heading 3"/>
    <w:basedOn w:val="Heading2"/>
    <w:next w:val="Normal"/>
    <w:qFormat/>
    <w:rsid w:val="0048151B"/>
    <w:pPr>
      <w:outlineLvl w:val="2"/>
    </w:pPr>
  </w:style>
  <w:style w:type="paragraph" w:styleId="Heading4">
    <w:name w:val="heading 4"/>
    <w:basedOn w:val="Heading2"/>
    <w:next w:val="Normal"/>
    <w:qFormat/>
    <w:rsid w:val="006F6463"/>
    <w:pPr>
      <w:spacing w:before="240"/>
      <w:outlineLvl w:val="3"/>
    </w:pPr>
    <w:rPr>
      <w:color w:val="000000"/>
      <w:sz w:val="28"/>
    </w:rPr>
  </w:style>
  <w:style w:type="paragraph" w:styleId="Heading5">
    <w:name w:val="heading 5"/>
    <w:basedOn w:val="Normal"/>
    <w:next w:val="Normal"/>
    <w:qFormat/>
    <w:rsid w:val="00165A73"/>
    <w:pPr>
      <w:spacing w:before="60" w:after="60"/>
      <w:jc w:val="righ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3508"/>
    <w:pPr>
      <w:tabs>
        <w:tab w:val="center" w:pos="4153"/>
        <w:tab w:val="right" w:pos="8306"/>
      </w:tabs>
    </w:pPr>
  </w:style>
  <w:style w:type="paragraph" w:styleId="Footer">
    <w:name w:val="footer"/>
    <w:basedOn w:val="Normal"/>
    <w:rsid w:val="00EA10CD"/>
    <w:pPr>
      <w:tabs>
        <w:tab w:val="clear" w:pos="720"/>
        <w:tab w:val="left" w:pos="0"/>
        <w:tab w:val="center" w:pos="4153"/>
        <w:tab w:val="right" w:pos="8306"/>
      </w:tabs>
      <w:ind w:left="0" w:firstLine="0"/>
    </w:pPr>
    <w:rPr>
      <w:sz w:val="16"/>
    </w:rPr>
  </w:style>
  <w:style w:type="table" w:styleId="TableGrid">
    <w:name w:val="Table Grid"/>
    <w:basedOn w:val="TableNormal"/>
    <w:rsid w:val="009137E6"/>
    <w:rPr>
      <w:rFonts w:ascii="Arial" w:hAnsi="Arial"/>
      <w:sz w:val="22"/>
    </w:rPr>
    <w:tblPr>
      <w:tblCellMar>
        <w:left w:w="115" w:type="dxa"/>
        <w:right w:w="115" w:type="dxa"/>
      </w:tblCellMar>
    </w:tblPr>
  </w:style>
  <w:style w:type="character" w:styleId="PageNumber">
    <w:name w:val="page number"/>
    <w:basedOn w:val="DefaultParagraphFont"/>
    <w:rsid w:val="000C28CC"/>
  </w:style>
  <w:style w:type="paragraph" w:customStyle="1" w:styleId="Action">
    <w:name w:val="Action"/>
    <w:basedOn w:val="Normal"/>
    <w:rsid w:val="006B6B00"/>
    <w:pPr>
      <w:ind w:firstLine="0"/>
    </w:pPr>
    <w:rPr>
      <w:b/>
    </w:rPr>
  </w:style>
  <w:style w:type="paragraph" w:customStyle="1" w:styleId="PROTECTIVEMARKING">
    <w:name w:val="PROTECTIVE MARKING"/>
    <w:basedOn w:val="Header"/>
    <w:rsid w:val="001F0C5F"/>
    <w:pPr>
      <w:tabs>
        <w:tab w:val="clear" w:pos="720"/>
      </w:tabs>
      <w:ind w:left="0" w:firstLine="0"/>
      <w:jc w:val="center"/>
    </w:pPr>
    <w:rPr>
      <w:b/>
      <w:caps/>
      <w:sz w:val="16"/>
    </w:rPr>
  </w:style>
  <w:style w:type="paragraph" w:styleId="BalloonText">
    <w:name w:val="Balloon Text"/>
    <w:basedOn w:val="Normal"/>
    <w:link w:val="BalloonTextChar"/>
    <w:rsid w:val="00EB2A74"/>
    <w:pPr>
      <w:spacing w:before="0"/>
    </w:pPr>
    <w:rPr>
      <w:rFonts w:ascii="Tahoma" w:hAnsi="Tahoma" w:cs="Tahoma"/>
      <w:sz w:val="16"/>
      <w:szCs w:val="16"/>
    </w:rPr>
  </w:style>
  <w:style w:type="character" w:customStyle="1" w:styleId="BalloonTextChar">
    <w:name w:val="Balloon Text Char"/>
    <w:basedOn w:val="DefaultParagraphFont"/>
    <w:link w:val="BalloonText"/>
    <w:rsid w:val="00EB2A74"/>
    <w:rPr>
      <w:rFonts w:ascii="Tahoma" w:hAnsi="Tahoma" w:cs="Tahoma"/>
      <w:sz w:val="16"/>
      <w:szCs w:val="16"/>
      <w:lang w:val="en-US" w:eastAsia="en-US"/>
    </w:rPr>
  </w:style>
  <w:style w:type="paragraph" w:customStyle="1" w:styleId="Default">
    <w:name w:val="Default"/>
    <w:rsid w:val="00730BA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008F8"/>
    <w:pPr>
      <w:contextualSpacing/>
    </w:pPr>
  </w:style>
  <w:style w:type="paragraph" w:styleId="FootnoteText">
    <w:name w:val="footnote text"/>
    <w:basedOn w:val="Normal"/>
    <w:link w:val="FootnoteTextChar"/>
    <w:unhideWhenUsed/>
    <w:rsid w:val="00175DB3"/>
    <w:pPr>
      <w:spacing w:before="0"/>
    </w:pPr>
    <w:rPr>
      <w:sz w:val="20"/>
      <w:szCs w:val="20"/>
    </w:rPr>
  </w:style>
  <w:style w:type="character" w:customStyle="1" w:styleId="FootnoteTextChar">
    <w:name w:val="Footnote Text Char"/>
    <w:basedOn w:val="DefaultParagraphFont"/>
    <w:link w:val="FootnoteText"/>
    <w:rsid w:val="00175DB3"/>
    <w:rPr>
      <w:rFonts w:ascii="Arial" w:hAnsi="Arial"/>
      <w:lang w:val="en-US" w:eastAsia="en-US"/>
    </w:rPr>
  </w:style>
  <w:style w:type="character" w:styleId="FootnoteReference">
    <w:name w:val="footnote reference"/>
    <w:basedOn w:val="DefaultParagraphFont"/>
    <w:unhideWhenUsed/>
    <w:rsid w:val="00175DB3"/>
    <w:rPr>
      <w:vertAlign w:val="superscript"/>
    </w:rPr>
  </w:style>
  <w:style w:type="paragraph" w:styleId="NoSpacing">
    <w:name w:val="No Spacing"/>
    <w:uiPriority w:val="1"/>
    <w:qFormat/>
    <w:rsid w:val="00191E4E"/>
    <w:pPr>
      <w:tabs>
        <w:tab w:val="left" w:pos="720"/>
      </w:tabs>
      <w:ind w:left="720" w:hanging="720"/>
    </w:pPr>
    <w:rPr>
      <w:rFonts w:ascii="Arial" w:hAnsi="Arial"/>
      <w:sz w:val="22"/>
      <w:szCs w:val="24"/>
      <w:lang w:val="en-US" w:eastAsia="en-US"/>
    </w:rPr>
  </w:style>
  <w:style w:type="character" w:styleId="Hyperlink">
    <w:name w:val="Hyperlink"/>
    <w:rsid w:val="0069455B"/>
    <w:rPr>
      <w:color w:val="0000FF"/>
      <w:u w:val="single"/>
    </w:rPr>
  </w:style>
  <w:style w:type="character" w:styleId="UnresolvedMention">
    <w:name w:val="Unresolved Mention"/>
    <w:basedOn w:val="DefaultParagraphFont"/>
    <w:uiPriority w:val="99"/>
    <w:semiHidden/>
    <w:unhideWhenUsed/>
    <w:rsid w:val="00A72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29080">
      <w:bodyDiv w:val="1"/>
      <w:marLeft w:val="0"/>
      <w:marRight w:val="0"/>
      <w:marTop w:val="0"/>
      <w:marBottom w:val="0"/>
      <w:divBdr>
        <w:top w:val="none" w:sz="0" w:space="0" w:color="auto"/>
        <w:left w:val="none" w:sz="0" w:space="0" w:color="auto"/>
        <w:bottom w:val="none" w:sz="0" w:space="0" w:color="auto"/>
        <w:right w:val="none" w:sz="0" w:space="0" w:color="auto"/>
      </w:divBdr>
    </w:div>
    <w:div w:id="1451044564">
      <w:bodyDiv w:val="1"/>
      <w:marLeft w:val="0"/>
      <w:marRight w:val="0"/>
      <w:marTop w:val="0"/>
      <w:marBottom w:val="0"/>
      <w:divBdr>
        <w:top w:val="none" w:sz="0" w:space="0" w:color="auto"/>
        <w:left w:val="none" w:sz="0" w:space="0" w:color="auto"/>
        <w:bottom w:val="none" w:sz="0" w:space="0" w:color="auto"/>
        <w:right w:val="none" w:sz="0" w:space="0" w:color="auto"/>
      </w:divBdr>
    </w:div>
    <w:div w:id="182376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dahqewc01/livelink/llisapi.dll?func=ll&amp;objaction=overview&amp;objid=35489581"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hodgson\AppData\Local\Microsoft\Windows\Temporary%20Internet%20Files\Content.IE5\26WR4MNC\NDA%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DB08E4EF099340AFA7F578C17E791E" ma:contentTypeVersion="16" ma:contentTypeDescription="Create a new document." ma:contentTypeScope="" ma:versionID="770d6b717f2a1587123ad864dde31777">
  <xsd:schema xmlns:xsd="http://www.w3.org/2001/XMLSchema" xmlns:xs="http://www.w3.org/2001/XMLSchema" xmlns:p="http://schemas.microsoft.com/office/2006/metadata/properties" xmlns:ns2="f8c9c0bf-a0c2-4dab-bdae-1bf3f37029cf" xmlns:ns3="a18509c7-911e-4ae4-9023-88257a17fed2" targetNamespace="http://schemas.microsoft.com/office/2006/metadata/properties" ma:root="true" ma:fieldsID="25e322810387b03a5a37cc5a77fda267" ns2:_="" ns3:_="">
    <xsd:import namespace="f8c9c0bf-a0c2-4dab-bdae-1bf3f37029cf"/>
    <xsd:import namespace="a18509c7-911e-4ae4-9023-88257a17fe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9c0bf-a0c2-4dab-bdae-1bf3f37029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cdbdfe-e54f-4a2e-b241-30ee248b12d3}" ma:internalName="TaxCatchAll" ma:showField="CatchAllData" ma:web="f8c9c0bf-a0c2-4dab-bdae-1bf3f37029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8509c7-911e-4ae4-9023-88257a17fed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7f6b35-f2d1-4acf-b82a-a8ced64140d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7CD95-56E5-4EB8-8E5D-1D4E3BC72B86}">
  <ds:schemaRefs>
    <ds:schemaRef ds:uri="http://schemas.openxmlformats.org/officeDocument/2006/bibliography"/>
  </ds:schemaRefs>
</ds:datastoreItem>
</file>

<file path=customXml/itemProps2.xml><?xml version="1.0" encoding="utf-8"?>
<ds:datastoreItem xmlns:ds="http://schemas.openxmlformats.org/officeDocument/2006/customXml" ds:itemID="{427EFECD-2539-4081-913A-02ACA47AC034}"/>
</file>

<file path=customXml/itemProps3.xml><?xml version="1.0" encoding="utf-8"?>
<ds:datastoreItem xmlns:ds="http://schemas.openxmlformats.org/officeDocument/2006/customXml" ds:itemID="{12AF627E-18E3-4668-B317-B0B2DFC5D10B}"/>
</file>

<file path=docProps/app.xml><?xml version="1.0" encoding="utf-8"?>
<Properties xmlns="http://schemas.openxmlformats.org/officeDocument/2006/extended-properties" xmlns:vt="http://schemas.openxmlformats.org/officeDocument/2006/docPropsVTypes">
  <Template>NDA General Document Template</Template>
  <TotalTime>3</TotalTime>
  <Pages>7</Pages>
  <Words>2134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Nuclear Decommissioning Authority</dc:creator>
  <cp:lastModifiedBy>Jacka, Paul</cp:lastModifiedBy>
  <cp:revision>3</cp:revision>
  <cp:lastPrinted>2019-01-22T13:54:00Z</cp:lastPrinted>
  <dcterms:created xsi:type="dcterms:W3CDTF">2022-09-05T15:25:00Z</dcterms:created>
  <dcterms:modified xsi:type="dcterms:W3CDTF">2022-09-05T15:27:00Z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c8e33-e9bd-4b03-9952-88e447410871_Enabled">
    <vt:lpwstr>true</vt:lpwstr>
  </property>
  <property fmtid="{D5CDD505-2E9C-101B-9397-08002B2CF9AE}" pid="3" name="MSIP_Label_4b4c8e33-e9bd-4b03-9952-88e447410871_SetDate">
    <vt:lpwstr>2022-09-05T15:27:51Z</vt:lpwstr>
  </property>
  <property fmtid="{D5CDD505-2E9C-101B-9397-08002B2CF9AE}" pid="4" name="MSIP_Label_4b4c8e33-e9bd-4b03-9952-88e447410871_Method">
    <vt:lpwstr>Privileged</vt:lpwstr>
  </property>
  <property fmtid="{D5CDD505-2E9C-101B-9397-08002B2CF9AE}" pid="5" name="MSIP_Label_4b4c8e33-e9bd-4b03-9952-88e447410871_Name">
    <vt:lpwstr>OFFICIAL</vt:lpwstr>
  </property>
  <property fmtid="{D5CDD505-2E9C-101B-9397-08002B2CF9AE}" pid="6" name="MSIP_Label_4b4c8e33-e9bd-4b03-9952-88e447410871_SiteId">
    <vt:lpwstr>ee032e7f-73e4-457a-a0c4-cfbe17e33ceb</vt:lpwstr>
  </property>
  <property fmtid="{D5CDD505-2E9C-101B-9397-08002B2CF9AE}" pid="7" name="MSIP_Label_4b4c8e33-e9bd-4b03-9952-88e447410871_ActionId">
    <vt:lpwstr>50a85de2-811b-42fd-936c-3397caaad0c7</vt:lpwstr>
  </property>
  <property fmtid="{D5CDD505-2E9C-101B-9397-08002B2CF9AE}" pid="8" name="MSIP_Label_4b4c8e33-e9bd-4b03-9952-88e447410871_ContentBits">
    <vt:lpwstr>3</vt:lpwstr>
  </property>
</Properties>
</file>