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18"/>
        <w:gridCol w:w="4098"/>
      </w:tblGrid>
      <w:tr w:rsidR="00B50649" w14:paraId="0F286F3D" w14:textId="77777777" w:rsidTr="007E190E">
        <w:trPr>
          <w:trHeight w:hRule="exact" w:val="2890"/>
        </w:trPr>
        <w:tc>
          <w:tcPr>
            <w:tcW w:w="6118" w:type="dxa"/>
            <w:tcBorders>
              <w:top w:val="single" w:sz="4" w:space="0" w:color="auto"/>
              <w:bottom w:val="single" w:sz="4" w:space="0" w:color="auto"/>
            </w:tcBorders>
            <w:shd w:val="clear" w:color="auto" w:fill="auto"/>
          </w:tcPr>
          <w:p w14:paraId="055A9692" w14:textId="77777777" w:rsidR="00463490" w:rsidRDefault="00495404" w:rsidP="007E190E">
            <w:pPr>
              <w:pStyle w:val="IAHeadLabel0"/>
              <w:spacing w:before="50"/>
              <w:ind w:left="113"/>
            </w:pPr>
            <w:r w:rsidRPr="003E0510">
              <w:t>Title</w:t>
            </w:r>
            <w:r w:rsidR="00463490">
              <w:t>:</w:t>
            </w:r>
          </w:p>
          <w:bookmarkStart w:id="0" w:name="IATitle"/>
          <w:p w14:paraId="7F4F0ACB" w14:textId="77777777" w:rsidR="007F0ED9" w:rsidRPr="00102870" w:rsidRDefault="004C1BBB" w:rsidP="005F32E7">
            <w:pPr>
              <w:pStyle w:val="IATitle"/>
            </w:pPr>
            <w:r w:rsidRPr="00102870">
              <w:fldChar w:fldCharType="begin">
                <w:ffData>
                  <w:name w:val="IATitle"/>
                  <w:enabled/>
                  <w:calcOnExit w:val="0"/>
                  <w:textInput>
                    <w:maxLength w:val="800"/>
                  </w:textInput>
                </w:ffData>
              </w:fldChar>
            </w:r>
            <w:r w:rsidRPr="005F32E7">
              <w:instrText xml:space="preserve"> FORMTEXT </w:instrText>
            </w:r>
            <w:r w:rsidRPr="00102870">
              <w:fldChar w:fldCharType="separate"/>
            </w:r>
            <w:r w:rsidR="00214EB3">
              <w:t>E</w:t>
            </w:r>
            <w:r w:rsidR="00214EB3" w:rsidRPr="00214EB3">
              <w:rPr>
                <w:rFonts w:eastAsia="Arial Unicode MS"/>
              </w:rPr>
              <w:t>mployers in</w:t>
            </w:r>
            <w:r w:rsidR="00E10426">
              <w:rPr>
                <w:rFonts w:eastAsia="Arial Unicode MS"/>
              </w:rPr>
              <w:t xml:space="preserve"> </w:t>
            </w:r>
            <w:r w:rsidR="00EE7347">
              <w:rPr>
                <w:rFonts w:eastAsia="Arial Unicode MS"/>
              </w:rPr>
              <w:t>Great Britain</w:t>
            </w:r>
            <w:r w:rsidR="00214EB3" w:rsidRPr="00214EB3">
              <w:rPr>
                <w:rFonts w:eastAsia="Arial Unicode MS"/>
              </w:rPr>
              <w:t>, with at least 250 employees, to publish information showing whether there are differences in pay between their male and female employees.</w:t>
            </w:r>
            <w:r w:rsidRPr="00102870">
              <w:fldChar w:fldCharType="end"/>
            </w:r>
            <w:bookmarkEnd w:id="0"/>
          </w:p>
          <w:p w14:paraId="165E10F3" w14:textId="77777777" w:rsidR="00E14792" w:rsidRPr="008031EC" w:rsidRDefault="00D50283" w:rsidP="007E190E">
            <w:pPr>
              <w:pStyle w:val="IAHeadTitle"/>
              <w:ind w:left="113"/>
              <w:rPr>
                <w:rStyle w:val="IANoChar"/>
              </w:rPr>
            </w:pPr>
            <w:r w:rsidRPr="007E190E">
              <w:rPr>
                <w:sz w:val="20"/>
                <w:szCs w:val="20"/>
              </w:rPr>
              <w:t xml:space="preserve">IA No: </w:t>
            </w:r>
            <w:bookmarkStart w:id="1" w:name="IANo"/>
            <w:r w:rsidR="00290335" w:rsidRPr="007E190E">
              <w:rPr>
                <w:rStyle w:val="IANoChar"/>
                <w:rFonts w:cs="Arial"/>
                <w:sz w:val="20"/>
                <w:szCs w:val="20"/>
              </w:rPr>
              <w:fldChar w:fldCharType="begin">
                <w:ffData>
                  <w:name w:val="IANo"/>
                  <w:enabled/>
                  <w:calcOnExit w:val="0"/>
                  <w:textInput>
                    <w:maxLength w:val="20"/>
                  </w:textInput>
                </w:ffData>
              </w:fldChar>
            </w:r>
            <w:r w:rsidR="00290335" w:rsidRPr="007E190E">
              <w:rPr>
                <w:rStyle w:val="IANoChar"/>
                <w:rFonts w:cs="Arial"/>
                <w:sz w:val="20"/>
                <w:szCs w:val="20"/>
              </w:rPr>
              <w:instrText xml:space="preserve"> FORMTEXT </w:instrText>
            </w:r>
            <w:r w:rsidR="00290335" w:rsidRPr="007E190E">
              <w:rPr>
                <w:rStyle w:val="IANoChar"/>
                <w:rFonts w:cs="Arial"/>
                <w:sz w:val="20"/>
                <w:szCs w:val="20"/>
              </w:rPr>
            </w:r>
            <w:r w:rsidR="00290335" w:rsidRPr="007E190E">
              <w:rPr>
                <w:rStyle w:val="IANoChar"/>
                <w:rFonts w:cs="Arial"/>
                <w:sz w:val="20"/>
                <w:szCs w:val="20"/>
              </w:rPr>
              <w:fldChar w:fldCharType="separate"/>
            </w:r>
            <w:r w:rsidR="00D96FF4">
              <w:rPr>
                <w:rStyle w:val="IANoChar"/>
                <w:rFonts w:cs="Arial"/>
                <w:sz w:val="20"/>
                <w:szCs w:val="20"/>
              </w:rPr>
              <w:t>DCMS_0001</w:t>
            </w:r>
            <w:r w:rsidR="00290335" w:rsidRPr="007E190E">
              <w:rPr>
                <w:rStyle w:val="IANoChar"/>
                <w:rFonts w:cs="Arial"/>
                <w:sz w:val="20"/>
                <w:szCs w:val="20"/>
              </w:rPr>
              <w:fldChar w:fldCharType="end"/>
            </w:r>
            <w:bookmarkEnd w:id="1"/>
          </w:p>
          <w:p w14:paraId="31BCEFDA" w14:textId="77777777" w:rsidR="00495404" w:rsidRDefault="00495404" w:rsidP="007E190E">
            <w:pPr>
              <w:pStyle w:val="IAHeadLabel"/>
              <w:ind w:left="113"/>
            </w:pPr>
            <w:r w:rsidRPr="003E0510">
              <w:t>Lead department or agency</w:t>
            </w:r>
            <w:r>
              <w:t>:</w:t>
            </w:r>
          </w:p>
          <w:bookmarkStart w:id="2" w:name="IALeadDept"/>
          <w:p w14:paraId="384A532A" w14:textId="77777777" w:rsidR="001D5EC9" w:rsidRPr="005F32E7" w:rsidRDefault="00290335" w:rsidP="005F32E7">
            <w:pPr>
              <w:pStyle w:val="IALeadDept"/>
            </w:pPr>
            <w:r w:rsidRPr="005F32E7">
              <w:fldChar w:fldCharType="begin">
                <w:ffData>
                  <w:name w:val="IALeadDept"/>
                  <w:enabled/>
                  <w:calcOnExit w:val="0"/>
                  <w:textInput>
                    <w:maxLength w:val="100"/>
                  </w:textInput>
                </w:ffData>
              </w:fldChar>
            </w:r>
            <w:r w:rsidRPr="005F32E7">
              <w:instrText xml:space="preserve"> FORMTEXT </w:instrText>
            </w:r>
            <w:r w:rsidRPr="005F32E7">
              <w:fldChar w:fldCharType="separate"/>
            </w:r>
            <w:r w:rsidR="00214EB3">
              <w:t>Government Equalities Office</w:t>
            </w:r>
            <w:r w:rsidRPr="005F32E7">
              <w:fldChar w:fldCharType="end"/>
            </w:r>
            <w:bookmarkEnd w:id="2"/>
          </w:p>
          <w:p w14:paraId="16654B5A" w14:textId="77777777" w:rsidR="00DF2F4B" w:rsidRDefault="00495404" w:rsidP="007E190E">
            <w:pPr>
              <w:pStyle w:val="IATableLabel"/>
              <w:spacing w:after="0"/>
            </w:pPr>
            <w:r w:rsidRPr="003E0510">
              <w:t>Other dep</w:t>
            </w:r>
            <w:r w:rsidRPr="00E217A2">
              <w:t>a</w:t>
            </w:r>
            <w:r w:rsidRPr="003E0510">
              <w:t>rtments or agencies:</w:t>
            </w:r>
            <w:r w:rsidR="00DF2F4B">
              <w:t xml:space="preserve"> </w:t>
            </w:r>
          </w:p>
          <w:bookmarkStart w:id="3" w:name="IAOtherDepts"/>
          <w:p w14:paraId="47086E0C" w14:textId="77777777" w:rsidR="00B93466" w:rsidRDefault="000239A7" w:rsidP="008031EC">
            <w:pPr>
              <w:pStyle w:val="IAOtherDepts"/>
            </w:pPr>
            <w:r>
              <w:fldChar w:fldCharType="begin">
                <w:ffData>
                  <w:name w:val="IAOtherDepts"/>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098" w:type="dxa"/>
            <w:tcBorders>
              <w:top w:val="single" w:sz="4" w:space="0" w:color="auto"/>
              <w:bottom w:val="single" w:sz="4" w:space="0" w:color="auto"/>
            </w:tcBorders>
            <w:shd w:val="clear" w:color="auto" w:fill="auto"/>
          </w:tcPr>
          <w:tbl>
            <w:tblPr>
              <w:tblW w:w="4088" w:type="dxa"/>
              <w:tblInd w:w="5" w:type="dxa"/>
              <w:tblBorders>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4088"/>
            </w:tblGrid>
            <w:tr w:rsidR="00B50649" w:rsidRPr="00383295" w14:paraId="2D3B1E10" w14:textId="77777777" w:rsidTr="007E190E">
              <w:trPr>
                <w:trHeight w:hRule="exact" w:val="539"/>
              </w:trPr>
              <w:tc>
                <w:tcPr>
                  <w:tcW w:w="4088" w:type="dxa"/>
                  <w:shd w:val="clear" w:color="auto" w:fill="333333"/>
                  <w:vAlign w:val="center"/>
                </w:tcPr>
                <w:p w14:paraId="29729E99" w14:textId="77777777" w:rsidR="00B50649" w:rsidRPr="00383295" w:rsidRDefault="00B50649" w:rsidP="00E90731">
                  <w:pPr>
                    <w:pStyle w:val="Title"/>
                  </w:pPr>
                  <w:r w:rsidRPr="00383295">
                    <w:t>Impact Assessment (IA)</w:t>
                  </w:r>
                </w:p>
              </w:tc>
            </w:tr>
            <w:tr w:rsidR="00B50649" w:rsidRPr="00966271" w14:paraId="3B052716" w14:textId="77777777" w:rsidTr="007E190E">
              <w:tc>
                <w:tcPr>
                  <w:tcW w:w="4088" w:type="dxa"/>
                  <w:shd w:val="clear" w:color="auto" w:fill="auto"/>
                </w:tcPr>
                <w:p w14:paraId="4FFD146B" w14:textId="77777777" w:rsidR="001F69E9" w:rsidRPr="00631B4C" w:rsidRDefault="00B50649" w:rsidP="00115D68">
                  <w:pPr>
                    <w:pStyle w:val="IATableLabel"/>
                  </w:pPr>
                  <w:r w:rsidRPr="00631B4C">
                    <w:t>Date:</w:t>
                  </w:r>
                  <w:r w:rsidR="0071686F">
                    <w:t xml:space="preserve"> </w:t>
                  </w:r>
                  <w:r w:rsidR="0018610A">
                    <w:rPr>
                      <w:rStyle w:val="IADateChar"/>
                      <w:sz w:val="20"/>
                      <w:szCs w:val="20"/>
                    </w:rPr>
                    <w:t>23/07/2015</w:t>
                  </w:r>
                </w:p>
              </w:tc>
            </w:tr>
            <w:tr w:rsidR="00B50649" w:rsidRPr="00966271" w14:paraId="119E613B" w14:textId="77777777" w:rsidTr="007E190E">
              <w:tc>
                <w:tcPr>
                  <w:tcW w:w="4088" w:type="dxa"/>
                  <w:shd w:val="clear" w:color="auto" w:fill="auto"/>
                </w:tcPr>
                <w:p w14:paraId="4FB94524" w14:textId="77777777" w:rsidR="00B50649" w:rsidRPr="007F0ED9" w:rsidRDefault="00941D69" w:rsidP="00E90731">
                  <w:pPr>
                    <w:pStyle w:val="IATableLabel"/>
                  </w:pPr>
                  <w:bookmarkStart w:id="4" w:name="Stage"/>
                  <w:r w:rsidRPr="007F0ED9">
                    <w:t xml:space="preserve">Stage: </w:t>
                  </w:r>
                  <w:r w:rsidRPr="007E190E">
                    <w:rPr>
                      <w:rStyle w:val="IAStageChar"/>
                      <w:sz w:val="20"/>
                    </w:rPr>
                    <w:fldChar w:fldCharType="begin"/>
                  </w:r>
                  <w:r w:rsidRPr="007E190E">
                    <w:rPr>
                      <w:rStyle w:val="IAStageChar"/>
                      <w:sz w:val="20"/>
                    </w:rPr>
                    <w:instrText xml:space="preserve"> DOCPROPERTY  Stage </w:instrText>
                  </w:r>
                  <w:r w:rsidRPr="007E190E">
                    <w:rPr>
                      <w:rStyle w:val="IAStageChar"/>
                      <w:sz w:val="20"/>
                    </w:rPr>
                    <w:fldChar w:fldCharType="separate"/>
                  </w:r>
                  <w:r w:rsidR="00421B29">
                    <w:rPr>
                      <w:rStyle w:val="IAStageChar"/>
                      <w:sz w:val="20"/>
                    </w:rPr>
                    <w:t>Consultation</w:t>
                  </w:r>
                  <w:r w:rsidRPr="007E190E">
                    <w:rPr>
                      <w:rStyle w:val="IAStageChar"/>
                      <w:sz w:val="20"/>
                    </w:rPr>
                    <w:fldChar w:fldCharType="end"/>
                  </w:r>
                  <w:bookmarkEnd w:id="4"/>
                </w:p>
              </w:tc>
            </w:tr>
            <w:tr w:rsidR="00B50649" w:rsidRPr="00966271" w14:paraId="45005821" w14:textId="77777777" w:rsidTr="007E190E">
              <w:tc>
                <w:tcPr>
                  <w:tcW w:w="4088" w:type="dxa"/>
                  <w:shd w:val="clear" w:color="auto" w:fill="auto"/>
                </w:tcPr>
                <w:p w14:paraId="0404BE2C" w14:textId="77777777" w:rsidR="00B50649" w:rsidRPr="007F0ED9" w:rsidRDefault="0071686F" w:rsidP="00E90731">
                  <w:pPr>
                    <w:pStyle w:val="IATableLabel"/>
                  </w:pPr>
                  <w:r w:rsidRPr="007F0ED9">
                    <w:t xml:space="preserve">Source </w:t>
                  </w:r>
                  <w:r w:rsidR="006A56C1" w:rsidRPr="007F0ED9">
                    <w:t xml:space="preserve">of </w:t>
                  </w:r>
                  <w:r w:rsidRPr="007F0ED9">
                    <w:t>intervention:</w:t>
                  </w:r>
                  <w:r w:rsidR="00B50649" w:rsidRPr="007F0ED9">
                    <w:t xml:space="preserve"> </w:t>
                  </w:r>
                  <w:bookmarkStart w:id="5" w:name="IAInterSource"/>
                  <w:r w:rsidR="00290335" w:rsidRPr="007E190E">
                    <w:rPr>
                      <w:rStyle w:val="IASOIChar"/>
                      <w:sz w:val="20"/>
                    </w:rPr>
                    <w:fldChar w:fldCharType="begin">
                      <w:ffData>
                        <w:name w:val="IAInterSource"/>
                        <w:enabled/>
                        <w:calcOnExit w:val="0"/>
                        <w:ddList>
                          <w:listEntry w:val="Domestic"/>
                          <w:listEntry w:val="EU"/>
                          <w:listEntry w:val="International"/>
                        </w:ddList>
                      </w:ffData>
                    </w:fldChar>
                  </w:r>
                  <w:r w:rsidR="00290335" w:rsidRPr="007E190E">
                    <w:rPr>
                      <w:rStyle w:val="IASOIChar"/>
                      <w:sz w:val="20"/>
                    </w:rPr>
                    <w:instrText xml:space="preserve"> FORMDROPDOWN </w:instrText>
                  </w:r>
                  <w:r w:rsidR="00714FF9">
                    <w:rPr>
                      <w:rStyle w:val="IASOIChar"/>
                      <w:sz w:val="20"/>
                    </w:rPr>
                  </w:r>
                  <w:r w:rsidR="00714FF9">
                    <w:rPr>
                      <w:rStyle w:val="IASOIChar"/>
                      <w:sz w:val="20"/>
                    </w:rPr>
                    <w:fldChar w:fldCharType="separate"/>
                  </w:r>
                  <w:r w:rsidR="00290335" w:rsidRPr="007E190E">
                    <w:rPr>
                      <w:rStyle w:val="IASOIChar"/>
                      <w:sz w:val="20"/>
                    </w:rPr>
                    <w:fldChar w:fldCharType="end"/>
                  </w:r>
                  <w:bookmarkEnd w:id="5"/>
                </w:p>
              </w:tc>
            </w:tr>
            <w:tr w:rsidR="00052F44" w:rsidRPr="007E190E" w14:paraId="2ABD70CB" w14:textId="77777777" w:rsidTr="007E190E">
              <w:tc>
                <w:tcPr>
                  <w:tcW w:w="4088" w:type="dxa"/>
                  <w:shd w:val="clear" w:color="auto" w:fill="auto"/>
                </w:tcPr>
                <w:p w14:paraId="3941C208" w14:textId="77777777" w:rsidR="00052F44" w:rsidRPr="007E190E" w:rsidRDefault="00052F44" w:rsidP="00E90731">
                  <w:pPr>
                    <w:pStyle w:val="IATableLabel"/>
                    <w:rPr>
                      <w:b w:val="0"/>
                    </w:rPr>
                  </w:pPr>
                  <w:r w:rsidRPr="007F0ED9">
                    <w:t xml:space="preserve">Type of measure: </w:t>
                  </w:r>
                  <w:bookmarkStart w:id="6" w:name="IAMeasureType"/>
                  <w:r w:rsidR="00290335" w:rsidRPr="007E190E">
                    <w:rPr>
                      <w:rStyle w:val="IATOMChar"/>
                      <w:sz w:val="20"/>
                    </w:rPr>
                    <w:fldChar w:fldCharType="begin">
                      <w:ffData>
                        <w:name w:val="IAMeasureType"/>
                        <w:enabled/>
                        <w:calcOnExit w:val="0"/>
                        <w:ddList>
                          <w:result w:val="1"/>
                          <w:listEntry w:val="Primary legislation"/>
                          <w:listEntry w:val="Secondary legislation"/>
                          <w:listEntry w:val="Other"/>
                        </w:ddList>
                      </w:ffData>
                    </w:fldChar>
                  </w:r>
                  <w:r w:rsidR="00290335" w:rsidRPr="007E190E">
                    <w:rPr>
                      <w:rStyle w:val="IATOMChar"/>
                      <w:sz w:val="20"/>
                    </w:rPr>
                    <w:instrText xml:space="preserve"> FORMDROPDOWN </w:instrText>
                  </w:r>
                  <w:r w:rsidR="00714FF9">
                    <w:rPr>
                      <w:rStyle w:val="IATOMChar"/>
                      <w:sz w:val="20"/>
                    </w:rPr>
                  </w:r>
                  <w:r w:rsidR="00714FF9">
                    <w:rPr>
                      <w:rStyle w:val="IATOMChar"/>
                      <w:sz w:val="20"/>
                    </w:rPr>
                    <w:fldChar w:fldCharType="separate"/>
                  </w:r>
                  <w:r w:rsidR="00290335" w:rsidRPr="007E190E">
                    <w:rPr>
                      <w:rStyle w:val="IATOMChar"/>
                      <w:sz w:val="20"/>
                    </w:rPr>
                    <w:fldChar w:fldCharType="end"/>
                  </w:r>
                  <w:bookmarkEnd w:id="6"/>
                </w:p>
              </w:tc>
            </w:tr>
            <w:tr w:rsidR="00B50649" w:rsidRPr="007E190E" w14:paraId="558D6464" w14:textId="77777777" w:rsidTr="007E190E">
              <w:trPr>
                <w:trHeight w:val="1115"/>
              </w:trPr>
              <w:tc>
                <w:tcPr>
                  <w:tcW w:w="4088" w:type="dxa"/>
                  <w:shd w:val="clear" w:color="auto" w:fill="auto"/>
                </w:tcPr>
                <w:p w14:paraId="409CE4F4" w14:textId="77777777" w:rsidR="00214EB3" w:rsidRDefault="00773719" w:rsidP="00214EB3">
                  <w:pPr>
                    <w:ind w:left="113" w:right="113"/>
                    <w:rPr>
                      <w:rStyle w:val="IACOEChar"/>
                      <w:b w:val="0"/>
                      <w:sz w:val="20"/>
                    </w:rPr>
                  </w:pPr>
                  <w:r w:rsidRPr="007E190E">
                    <w:rPr>
                      <w:rStyle w:val="IATableLabelCharChar"/>
                      <w:sz w:val="20"/>
                      <w:szCs w:val="20"/>
                    </w:rPr>
                    <w:t>Contact for enquiries:</w:t>
                  </w:r>
                  <w:r w:rsidRPr="00D337D1">
                    <w:t xml:space="preserve"> </w:t>
                  </w:r>
                  <w:bookmarkStart w:id="7" w:name="IAEnquiryContacts"/>
                  <w:r w:rsidRPr="007E190E">
                    <w:rPr>
                      <w:rStyle w:val="IACOEChar"/>
                      <w:b w:val="0"/>
                      <w:sz w:val="20"/>
                    </w:rPr>
                    <w:fldChar w:fldCharType="begin">
                      <w:ffData>
                        <w:name w:val="IAEnquiryContacts"/>
                        <w:enabled/>
                        <w:calcOnExit w:val="0"/>
                        <w:textInput>
                          <w:maxLength w:val="200"/>
                        </w:textInput>
                      </w:ffData>
                    </w:fldChar>
                  </w:r>
                  <w:r w:rsidRPr="007E190E">
                    <w:rPr>
                      <w:rStyle w:val="IACOEChar"/>
                      <w:b w:val="0"/>
                      <w:sz w:val="20"/>
                    </w:rPr>
                    <w:instrText xml:space="preserve"> FORMTEXT </w:instrText>
                  </w:r>
                  <w:r w:rsidRPr="007E190E">
                    <w:rPr>
                      <w:rStyle w:val="IACOEChar"/>
                      <w:b w:val="0"/>
                      <w:sz w:val="20"/>
                    </w:rPr>
                  </w:r>
                  <w:r w:rsidRPr="007E190E">
                    <w:rPr>
                      <w:rStyle w:val="IACOEChar"/>
                      <w:b w:val="0"/>
                      <w:sz w:val="20"/>
                    </w:rPr>
                    <w:fldChar w:fldCharType="separate"/>
                  </w:r>
                </w:p>
                <w:p w14:paraId="5E0829DF" w14:textId="77777777" w:rsidR="00214EB3" w:rsidRDefault="00214EB3" w:rsidP="007E190E">
                  <w:pPr>
                    <w:ind w:left="113" w:right="113"/>
                    <w:rPr>
                      <w:rStyle w:val="IATableLabelCharChar"/>
                      <w:sz w:val="20"/>
                      <w:szCs w:val="20"/>
                    </w:rPr>
                  </w:pPr>
                  <w:r>
                    <w:rPr>
                      <w:rStyle w:val="IATableLabelCharChar"/>
                      <w:sz w:val="20"/>
                      <w:szCs w:val="20"/>
                    </w:rPr>
                    <w:t xml:space="preserve">Kobini Ananth 020 7211 2227 </w:t>
                  </w:r>
                </w:p>
                <w:p w14:paraId="7A3B49EB" w14:textId="77777777" w:rsidR="00214EB3" w:rsidRDefault="00214EB3" w:rsidP="007E190E">
                  <w:pPr>
                    <w:ind w:left="113" w:right="113"/>
                    <w:rPr>
                      <w:rStyle w:val="IACOEChar"/>
                      <w:b w:val="0"/>
                      <w:sz w:val="20"/>
                    </w:rPr>
                  </w:pPr>
                  <w:r>
                    <w:rPr>
                      <w:rStyle w:val="IATableLabelCharChar"/>
                      <w:sz w:val="20"/>
                      <w:szCs w:val="20"/>
                    </w:rPr>
                    <w:t>Sharmin Choudhury</w:t>
                  </w:r>
                  <w:r w:rsidR="00F22FE4">
                    <w:rPr>
                      <w:rStyle w:val="IATableLabelCharChar"/>
                      <w:sz w:val="20"/>
                      <w:szCs w:val="20"/>
                    </w:rPr>
                    <w:t xml:space="preserve"> (GEO)</w:t>
                  </w:r>
                  <w:r>
                    <w:rPr>
                      <w:rStyle w:val="IATableLabelCharChar"/>
                      <w:sz w:val="20"/>
                      <w:szCs w:val="20"/>
                    </w:rPr>
                    <w:t xml:space="preserve"> 020 7211 2060</w:t>
                  </w:r>
                </w:p>
                <w:p w14:paraId="4F8FAA84" w14:textId="77777777" w:rsidR="00023080" w:rsidRPr="000F004E" w:rsidRDefault="00773719" w:rsidP="00214EB3">
                  <w:pPr>
                    <w:ind w:left="113" w:right="113"/>
                  </w:pPr>
                  <w:r w:rsidRPr="007E190E">
                    <w:rPr>
                      <w:rStyle w:val="IACOEChar"/>
                      <w:b w:val="0"/>
                      <w:sz w:val="20"/>
                    </w:rPr>
                    <w:fldChar w:fldCharType="end"/>
                  </w:r>
                  <w:bookmarkEnd w:id="7"/>
                </w:p>
              </w:tc>
            </w:tr>
            <w:tr w:rsidR="000C1D45" w:rsidRPr="007E190E" w14:paraId="422D1563" w14:textId="77777777" w:rsidTr="007E190E">
              <w:trPr>
                <w:trHeight w:val="1115"/>
              </w:trPr>
              <w:tc>
                <w:tcPr>
                  <w:tcW w:w="4088" w:type="dxa"/>
                  <w:shd w:val="clear" w:color="auto" w:fill="auto"/>
                </w:tcPr>
                <w:p w14:paraId="2C513363" w14:textId="77777777" w:rsidR="000C1D45" w:rsidRPr="007E190E" w:rsidRDefault="000C1D45" w:rsidP="00A32793">
                  <w:pPr>
                    <w:pStyle w:val="IATableLines"/>
                    <w:rPr>
                      <w:b/>
                      <w:color w:val="000000"/>
                      <w:sz w:val="20"/>
                    </w:rPr>
                  </w:pPr>
                </w:p>
              </w:tc>
            </w:tr>
            <w:tr w:rsidR="000C1D45" w:rsidRPr="007E190E" w14:paraId="77D02F61" w14:textId="77777777" w:rsidTr="007E190E">
              <w:trPr>
                <w:trHeight w:val="1115"/>
              </w:trPr>
              <w:tc>
                <w:tcPr>
                  <w:tcW w:w="4088" w:type="dxa"/>
                  <w:shd w:val="clear" w:color="auto" w:fill="auto"/>
                </w:tcPr>
                <w:p w14:paraId="569A4830" w14:textId="77777777" w:rsidR="000C1D45" w:rsidRPr="007E190E" w:rsidRDefault="000C1D45" w:rsidP="00A32793">
                  <w:pPr>
                    <w:pStyle w:val="IATableLines"/>
                    <w:rPr>
                      <w:b/>
                      <w:color w:val="000000"/>
                      <w:sz w:val="20"/>
                    </w:rPr>
                  </w:pPr>
                </w:p>
              </w:tc>
            </w:tr>
            <w:tr w:rsidR="000C1D45" w:rsidRPr="007E190E" w14:paraId="5CD3B874" w14:textId="77777777" w:rsidTr="007E190E">
              <w:trPr>
                <w:trHeight w:val="1115"/>
              </w:trPr>
              <w:tc>
                <w:tcPr>
                  <w:tcW w:w="4088" w:type="dxa"/>
                  <w:shd w:val="clear" w:color="auto" w:fill="auto"/>
                </w:tcPr>
                <w:p w14:paraId="08B68332" w14:textId="77777777" w:rsidR="000C1D45" w:rsidRPr="007E190E" w:rsidRDefault="000C1D45" w:rsidP="00A32793">
                  <w:pPr>
                    <w:pStyle w:val="IATableLines"/>
                    <w:rPr>
                      <w:b/>
                      <w:color w:val="000000"/>
                      <w:sz w:val="20"/>
                    </w:rPr>
                  </w:pPr>
                </w:p>
              </w:tc>
            </w:tr>
            <w:tr w:rsidR="000C1D45" w:rsidRPr="007E190E" w14:paraId="6E30D141" w14:textId="77777777" w:rsidTr="007E190E">
              <w:trPr>
                <w:trHeight w:val="1115"/>
              </w:trPr>
              <w:tc>
                <w:tcPr>
                  <w:tcW w:w="4088" w:type="dxa"/>
                  <w:shd w:val="clear" w:color="auto" w:fill="auto"/>
                </w:tcPr>
                <w:p w14:paraId="4158292F" w14:textId="77777777" w:rsidR="000C1D45" w:rsidRPr="007E190E" w:rsidRDefault="000C1D45" w:rsidP="00A32793">
                  <w:pPr>
                    <w:pStyle w:val="IATableLines"/>
                    <w:rPr>
                      <w:b/>
                      <w:color w:val="000000"/>
                      <w:sz w:val="20"/>
                    </w:rPr>
                  </w:pPr>
                </w:p>
              </w:tc>
            </w:tr>
            <w:tr w:rsidR="000C1D45" w:rsidRPr="007E190E" w14:paraId="4DBF60E3" w14:textId="77777777" w:rsidTr="007E190E">
              <w:trPr>
                <w:trHeight w:val="1115"/>
              </w:trPr>
              <w:tc>
                <w:tcPr>
                  <w:tcW w:w="4088" w:type="dxa"/>
                  <w:shd w:val="clear" w:color="auto" w:fill="auto"/>
                </w:tcPr>
                <w:p w14:paraId="61D89B01" w14:textId="77777777" w:rsidR="000C1D45" w:rsidRPr="007E190E" w:rsidRDefault="000C1D45" w:rsidP="00A32793">
                  <w:pPr>
                    <w:pStyle w:val="IATableLines"/>
                    <w:rPr>
                      <w:b/>
                      <w:color w:val="000000"/>
                      <w:sz w:val="20"/>
                    </w:rPr>
                  </w:pPr>
                </w:p>
              </w:tc>
            </w:tr>
            <w:tr w:rsidR="000C1D45" w:rsidRPr="007E190E" w14:paraId="6338BEE6" w14:textId="77777777" w:rsidTr="007E190E">
              <w:trPr>
                <w:trHeight w:val="1115"/>
              </w:trPr>
              <w:tc>
                <w:tcPr>
                  <w:tcW w:w="4088" w:type="dxa"/>
                  <w:shd w:val="clear" w:color="auto" w:fill="auto"/>
                </w:tcPr>
                <w:p w14:paraId="41F4B10B" w14:textId="77777777" w:rsidR="000C1D45" w:rsidRPr="007E190E" w:rsidRDefault="000C1D45" w:rsidP="00A32793">
                  <w:pPr>
                    <w:pStyle w:val="IATableLines"/>
                    <w:rPr>
                      <w:b/>
                      <w:color w:val="000000"/>
                      <w:sz w:val="20"/>
                    </w:rPr>
                  </w:pPr>
                </w:p>
              </w:tc>
            </w:tr>
          </w:tbl>
          <w:p w14:paraId="13005779" w14:textId="77777777" w:rsidR="00B50649" w:rsidRPr="007E190E" w:rsidRDefault="00B50649">
            <w:pPr>
              <w:rPr>
                <w:rFonts w:eastAsia="SimSun"/>
              </w:rPr>
            </w:pPr>
          </w:p>
        </w:tc>
        <w:bookmarkStart w:id="8" w:name="_GoBack"/>
        <w:bookmarkEnd w:id="8"/>
      </w:tr>
      <w:tr w:rsidR="000C1D45" w:rsidRPr="007E190E" w14:paraId="08E74C6B" w14:textId="77777777" w:rsidTr="007E190E">
        <w:trPr>
          <w:trHeight w:hRule="exact" w:val="410"/>
        </w:trPr>
        <w:tc>
          <w:tcPr>
            <w:tcW w:w="6118" w:type="dxa"/>
            <w:tcBorders>
              <w:top w:val="single" w:sz="4" w:space="0" w:color="auto"/>
              <w:left w:val="nil"/>
              <w:bottom w:val="single" w:sz="4" w:space="0" w:color="auto"/>
              <w:right w:val="single" w:sz="4" w:space="0" w:color="auto"/>
            </w:tcBorders>
            <w:shd w:val="clear" w:color="auto" w:fill="auto"/>
          </w:tcPr>
          <w:p w14:paraId="1D402611" w14:textId="77777777" w:rsidR="000C1D45" w:rsidRPr="007E190E" w:rsidRDefault="000C1D45" w:rsidP="007E190E">
            <w:pPr>
              <w:pStyle w:val="Heading1"/>
              <w:spacing w:before="60"/>
              <w:rPr>
                <w:rFonts w:eastAsia="SimSun" w:hint="eastAsia"/>
                <w:sz w:val="28"/>
                <w:szCs w:val="28"/>
              </w:rPr>
            </w:pPr>
            <w:r w:rsidRPr="007E190E">
              <w:rPr>
                <w:rFonts w:eastAsia="SimSun"/>
                <w:sz w:val="28"/>
                <w:szCs w:val="28"/>
              </w:rPr>
              <w:t xml:space="preserve">Summary: Intervention and Options </w:t>
            </w:r>
          </w:p>
          <w:p w14:paraId="410128C7" w14:textId="77777777" w:rsidR="000C1D45" w:rsidRPr="007E190E" w:rsidRDefault="000C1D45" w:rsidP="007E190E">
            <w:pPr>
              <w:pStyle w:val="IAHeadLabel0"/>
              <w:spacing w:before="50"/>
              <w:ind w:left="113"/>
              <w:rPr>
                <w:sz w:val="28"/>
                <w:szCs w:val="28"/>
              </w:rPr>
            </w:pPr>
          </w:p>
        </w:tc>
        <w:tc>
          <w:tcPr>
            <w:tcW w:w="4098" w:type="dxa"/>
            <w:tcBorders>
              <w:top w:val="single" w:sz="4" w:space="0" w:color="auto"/>
              <w:left w:val="single" w:sz="4" w:space="0" w:color="auto"/>
              <w:bottom w:val="single" w:sz="4" w:space="0" w:color="auto"/>
              <w:right w:val="single" w:sz="4" w:space="0" w:color="auto"/>
            </w:tcBorders>
            <w:shd w:val="clear" w:color="auto" w:fill="E0E0E0"/>
            <w:vAlign w:val="center"/>
          </w:tcPr>
          <w:p w14:paraId="64862286" w14:textId="4CD44BCE" w:rsidR="000C1D45" w:rsidRPr="007E190E" w:rsidRDefault="000C1D45" w:rsidP="00AB3130">
            <w:pPr>
              <w:pStyle w:val="Title"/>
              <w:rPr>
                <w:rFonts w:eastAsia="SimSun"/>
                <w:b/>
                <w:color w:val="auto"/>
                <w:sz w:val="24"/>
                <w:szCs w:val="24"/>
              </w:rPr>
            </w:pPr>
            <w:r w:rsidRPr="007E190E">
              <w:rPr>
                <w:rFonts w:eastAsia="SimSun"/>
                <w:b/>
                <w:color w:val="auto"/>
                <w:sz w:val="24"/>
                <w:szCs w:val="24"/>
              </w:rPr>
              <w:t>RPC</w:t>
            </w:r>
            <w:r w:rsidR="00EC6B93" w:rsidRPr="007E190E">
              <w:rPr>
                <w:rFonts w:eastAsia="SimSun"/>
                <w:b/>
                <w:color w:val="auto"/>
                <w:sz w:val="24"/>
                <w:szCs w:val="24"/>
              </w:rPr>
              <w:t xml:space="preserve"> Opinion</w:t>
            </w:r>
            <w:r w:rsidRPr="007E190E">
              <w:rPr>
                <w:rFonts w:eastAsia="SimSun"/>
                <w:b/>
                <w:color w:val="auto"/>
                <w:sz w:val="24"/>
                <w:szCs w:val="24"/>
              </w:rPr>
              <w:t xml:space="preserve">: </w:t>
            </w:r>
            <w:r w:rsidR="00AB3130">
              <w:rPr>
                <w:rFonts w:eastAsia="SimSun"/>
                <w:b/>
                <w:color w:val="auto"/>
                <w:sz w:val="24"/>
                <w:szCs w:val="24"/>
              </w:rPr>
              <w:t>GREEN</w:t>
            </w:r>
          </w:p>
        </w:tc>
      </w:tr>
      <w:tr w:rsidR="00372A69" w:rsidRPr="007E190E" w14:paraId="2E7F309E" w14:textId="77777777" w:rsidTr="007E190E">
        <w:trPr>
          <w:trHeight w:hRule="exact" w:val="90"/>
        </w:trPr>
        <w:tc>
          <w:tcPr>
            <w:tcW w:w="10216" w:type="dxa"/>
            <w:gridSpan w:val="2"/>
            <w:tcBorders>
              <w:top w:val="single" w:sz="4" w:space="0" w:color="auto"/>
              <w:left w:val="nil"/>
              <w:bottom w:val="nil"/>
              <w:right w:val="single" w:sz="4" w:space="0" w:color="auto"/>
            </w:tcBorders>
            <w:shd w:val="clear" w:color="auto" w:fill="auto"/>
          </w:tcPr>
          <w:p w14:paraId="2C6B6144" w14:textId="77777777" w:rsidR="00372A69" w:rsidRPr="007E190E" w:rsidRDefault="00372A69" w:rsidP="00372A69">
            <w:pPr>
              <w:rPr>
                <w:rFonts w:eastAsia="SimSun"/>
              </w:rPr>
            </w:pPr>
          </w:p>
        </w:tc>
      </w:tr>
    </w:tbl>
    <w:p w14:paraId="6078D8BD" w14:textId="77777777" w:rsidR="007E190E" w:rsidRPr="007E190E" w:rsidRDefault="007E190E" w:rsidP="007E190E">
      <w:pPr>
        <w:rPr>
          <w:vanish/>
        </w:rPr>
      </w:pPr>
      <w:bookmarkStart w:id="9" w:name="CostText"/>
    </w:p>
    <w:tbl>
      <w:tblPr>
        <w:tblW w:w="10201" w:type="dxa"/>
        <w:tblBorders>
          <w:top w:val="single" w:sz="4" w:space="0" w:color="auto"/>
          <w:left w:val="single" w:sz="4" w:space="0" w:color="auto"/>
          <w:bottom w:val="single" w:sz="4" w:space="0" w:color="auto"/>
          <w:right w:val="single" w:sz="4" w:space="0" w:color="auto"/>
        </w:tblBorders>
        <w:shd w:val="clear" w:color="auto" w:fill="E0E0E0"/>
        <w:tblLayout w:type="fixed"/>
        <w:tblCellMar>
          <w:left w:w="0" w:type="dxa"/>
          <w:right w:w="0" w:type="dxa"/>
        </w:tblCellMar>
        <w:tblLook w:val="01E0" w:firstRow="1" w:lastRow="1" w:firstColumn="1" w:lastColumn="1" w:noHBand="0" w:noVBand="0"/>
      </w:tblPr>
      <w:tblGrid>
        <w:gridCol w:w="1967"/>
        <w:gridCol w:w="1603"/>
        <w:gridCol w:w="2492"/>
        <w:gridCol w:w="1961"/>
        <w:gridCol w:w="2178"/>
      </w:tblGrid>
      <w:tr w:rsidR="00372A69" w:rsidRPr="000E02BE" w14:paraId="38E75B45" w14:textId="77777777" w:rsidTr="00041AE2">
        <w:trPr>
          <w:trHeight w:hRule="exact" w:val="409"/>
        </w:trPr>
        <w:tc>
          <w:tcPr>
            <w:tcW w:w="10201" w:type="dxa"/>
            <w:gridSpan w:val="5"/>
            <w:tcBorders>
              <w:top w:val="single" w:sz="4" w:space="0" w:color="auto"/>
              <w:bottom w:val="nil"/>
              <w:right w:val="single" w:sz="4" w:space="0" w:color="auto"/>
            </w:tcBorders>
            <w:shd w:val="clear" w:color="auto" w:fill="E0E0E0"/>
          </w:tcPr>
          <w:p w14:paraId="171FC578" w14:textId="77777777" w:rsidR="00372A69" w:rsidRPr="000E02BE" w:rsidRDefault="00372A69" w:rsidP="006A0557">
            <w:pPr>
              <w:pStyle w:val="IATableLabel"/>
              <w:ind w:left="0"/>
              <w:jc w:val="center"/>
            </w:pPr>
            <w:r>
              <w:t>Cost of Preferred (or more likely) Option</w:t>
            </w:r>
            <w:bookmarkEnd w:id="9"/>
          </w:p>
        </w:tc>
      </w:tr>
      <w:tr w:rsidR="00372A69" w:rsidRPr="000E02BE" w14:paraId="187503C1" w14:textId="77777777" w:rsidTr="00041AE2">
        <w:trPr>
          <w:trHeight w:hRule="exact" w:val="751"/>
        </w:trPr>
        <w:tc>
          <w:tcPr>
            <w:tcW w:w="1967" w:type="dxa"/>
            <w:tcBorders>
              <w:top w:val="single" w:sz="4" w:space="0" w:color="auto"/>
              <w:bottom w:val="nil"/>
              <w:right w:val="single" w:sz="4" w:space="0" w:color="auto"/>
            </w:tcBorders>
            <w:shd w:val="clear" w:color="auto" w:fill="E0E0E0"/>
            <w:vAlign w:val="center"/>
          </w:tcPr>
          <w:p w14:paraId="1EA53545" w14:textId="77777777" w:rsidR="00372A69" w:rsidRPr="000E02BE" w:rsidRDefault="00372A69" w:rsidP="006A0557">
            <w:pPr>
              <w:pStyle w:val="IATableLabel"/>
              <w:spacing w:before="0" w:after="0"/>
            </w:pPr>
            <w:r>
              <w:t>Total Net Present Value</w:t>
            </w:r>
          </w:p>
        </w:tc>
        <w:tc>
          <w:tcPr>
            <w:tcW w:w="1603" w:type="dxa"/>
            <w:tcBorders>
              <w:top w:val="single" w:sz="4" w:space="0" w:color="auto"/>
              <w:bottom w:val="nil"/>
              <w:right w:val="single" w:sz="4" w:space="0" w:color="auto"/>
            </w:tcBorders>
            <w:shd w:val="clear" w:color="auto" w:fill="E0E0E0"/>
            <w:vAlign w:val="center"/>
          </w:tcPr>
          <w:p w14:paraId="42F94B51" w14:textId="77777777" w:rsidR="00372A69" w:rsidRPr="000E02BE" w:rsidRDefault="00372A69" w:rsidP="006A0557">
            <w:pPr>
              <w:pStyle w:val="IATableLabel"/>
              <w:spacing w:before="0" w:after="0"/>
            </w:pPr>
            <w:r>
              <w:t>Business Net Present Value</w:t>
            </w:r>
          </w:p>
        </w:tc>
        <w:tc>
          <w:tcPr>
            <w:tcW w:w="2492" w:type="dxa"/>
            <w:tcBorders>
              <w:top w:val="single" w:sz="4" w:space="0" w:color="auto"/>
              <w:bottom w:val="nil"/>
              <w:right w:val="single" w:sz="4" w:space="0" w:color="auto"/>
            </w:tcBorders>
            <w:shd w:val="clear" w:color="auto" w:fill="E0E0E0"/>
            <w:vAlign w:val="center"/>
          </w:tcPr>
          <w:p w14:paraId="70CB458E" w14:textId="77777777" w:rsidR="00372A69" w:rsidRPr="000E02BE" w:rsidRDefault="00372A69" w:rsidP="006A0557">
            <w:pPr>
              <w:pStyle w:val="IATableLabel"/>
              <w:spacing w:before="0" w:after="0"/>
            </w:pPr>
            <w:r>
              <w:t xml:space="preserve">Net cost </w:t>
            </w:r>
            <w:r w:rsidR="00332B05">
              <w:t xml:space="preserve">to business </w:t>
            </w:r>
            <w:r>
              <w:t>per year</w:t>
            </w:r>
            <w:r w:rsidR="006656EC">
              <w:t xml:space="preserve"> </w:t>
            </w:r>
            <w:r w:rsidR="006656EC" w:rsidRPr="006656EC">
              <w:rPr>
                <w:b w:val="0"/>
              </w:rPr>
              <w:t>(</w:t>
            </w:r>
            <w:r w:rsidR="00332B05" w:rsidRPr="00332B05">
              <w:rPr>
                <w:b w:val="0"/>
                <w:sz w:val="16"/>
                <w:szCs w:val="16"/>
              </w:rPr>
              <w:t>EANCB</w:t>
            </w:r>
            <w:r w:rsidR="00332B05">
              <w:rPr>
                <w:b w:val="0"/>
              </w:rPr>
              <w:t xml:space="preserve"> </w:t>
            </w:r>
            <w:r w:rsidR="006656EC" w:rsidRPr="006656EC">
              <w:rPr>
                <w:b w:val="0"/>
                <w:sz w:val="16"/>
                <w:szCs w:val="16"/>
              </w:rPr>
              <w:t xml:space="preserve">on 2009 </w:t>
            </w:r>
            <w:r w:rsidR="006656EC">
              <w:rPr>
                <w:b w:val="0"/>
                <w:sz w:val="16"/>
                <w:szCs w:val="16"/>
              </w:rPr>
              <w:t>prices</w:t>
            </w:r>
            <w:r w:rsidR="006656EC" w:rsidRPr="006656EC">
              <w:rPr>
                <w:b w:val="0"/>
                <w:sz w:val="16"/>
                <w:szCs w:val="16"/>
              </w:rPr>
              <w:t>)</w:t>
            </w:r>
          </w:p>
        </w:tc>
        <w:tc>
          <w:tcPr>
            <w:tcW w:w="1961" w:type="dxa"/>
            <w:tcBorders>
              <w:top w:val="single" w:sz="4" w:space="0" w:color="auto"/>
              <w:left w:val="single" w:sz="4" w:space="0" w:color="auto"/>
              <w:bottom w:val="nil"/>
              <w:right w:val="nil"/>
            </w:tcBorders>
            <w:shd w:val="clear" w:color="auto" w:fill="E0E0E0"/>
            <w:vAlign w:val="center"/>
          </w:tcPr>
          <w:p w14:paraId="41383E57" w14:textId="77777777" w:rsidR="00372A69" w:rsidRPr="000E02BE" w:rsidRDefault="00372A69" w:rsidP="006A0557">
            <w:pPr>
              <w:pStyle w:val="IATableLabel"/>
              <w:spacing w:before="0" w:after="0"/>
            </w:pPr>
            <w:r w:rsidRPr="000E02BE">
              <w:t xml:space="preserve">In scope of </w:t>
            </w:r>
            <w:r>
              <w:t>On</w:t>
            </w:r>
            <w:r w:rsidR="00290335">
              <w:t>e</w:t>
            </w:r>
            <w:r>
              <w:t xml:space="preserve">-In, </w:t>
            </w:r>
            <w:r w:rsidR="003228BF">
              <w:t>Two</w:t>
            </w:r>
            <w:r>
              <w:t>-Out</w:t>
            </w:r>
            <w:r w:rsidRPr="000E02BE">
              <w:t>?</w:t>
            </w:r>
          </w:p>
        </w:tc>
        <w:tc>
          <w:tcPr>
            <w:tcW w:w="2178" w:type="dxa"/>
            <w:tcBorders>
              <w:top w:val="single" w:sz="4" w:space="0" w:color="auto"/>
              <w:left w:val="nil"/>
              <w:bottom w:val="nil"/>
              <w:right w:val="single" w:sz="4" w:space="0" w:color="auto"/>
            </w:tcBorders>
            <w:shd w:val="clear" w:color="auto" w:fill="E0E0E0"/>
            <w:vAlign w:val="center"/>
          </w:tcPr>
          <w:p w14:paraId="25BC5CDC" w14:textId="77777777" w:rsidR="00372A69" w:rsidRDefault="00372A69" w:rsidP="006A0557">
            <w:pPr>
              <w:pStyle w:val="IATableLabel"/>
              <w:spacing w:before="0" w:after="0"/>
              <w:ind w:left="0"/>
            </w:pPr>
            <w:r w:rsidRPr="000E02BE">
              <w:t>Measure qualifies as</w:t>
            </w:r>
          </w:p>
          <w:p w14:paraId="464321D0" w14:textId="77777777" w:rsidR="00463490" w:rsidRPr="000E02BE" w:rsidRDefault="00463490" w:rsidP="006A0557">
            <w:pPr>
              <w:pStyle w:val="IATableLabel"/>
              <w:spacing w:before="0" w:after="0"/>
              <w:ind w:left="0"/>
            </w:pPr>
          </w:p>
        </w:tc>
      </w:tr>
      <w:bookmarkStart w:id="10" w:name="IATNPV"/>
      <w:tr w:rsidR="00372A69" w:rsidRPr="0061761A" w14:paraId="78B94ADD" w14:textId="77777777" w:rsidTr="00041AE2">
        <w:trPr>
          <w:trHeight w:hRule="exact" w:val="446"/>
        </w:trPr>
        <w:tc>
          <w:tcPr>
            <w:tcW w:w="1967" w:type="dxa"/>
            <w:tcBorders>
              <w:top w:val="nil"/>
              <w:bottom w:val="single" w:sz="4" w:space="0" w:color="auto"/>
              <w:right w:val="single" w:sz="4" w:space="0" w:color="auto"/>
            </w:tcBorders>
            <w:shd w:val="clear" w:color="auto" w:fill="E0E0E0"/>
            <w:vAlign w:val="center"/>
          </w:tcPr>
          <w:p w14:paraId="5C1DB8C3" w14:textId="77777777" w:rsidR="00372A69" w:rsidRPr="000E02BE" w:rsidRDefault="005A0B86" w:rsidP="00AA501F">
            <w:pPr>
              <w:pStyle w:val="IAIIOTNPV"/>
            </w:pPr>
            <w:r>
              <w:fldChar w:fldCharType="begin">
                <w:ffData>
                  <w:name w:val="IATNPV"/>
                  <w:enabled/>
                  <w:calcOnExit w:val="0"/>
                  <w:textInput>
                    <w:default w:val="£m"/>
                    <w:maxLength w:val="9"/>
                  </w:textInput>
                </w:ffData>
              </w:fldChar>
            </w:r>
            <w:r>
              <w:instrText xml:space="preserve"> FORMTEXT </w:instrText>
            </w:r>
            <w:r>
              <w:fldChar w:fldCharType="separate"/>
            </w:r>
            <w:r w:rsidR="00EE3A72">
              <w:t>-£34.</w:t>
            </w:r>
            <w:r w:rsidR="00AA501F">
              <w:t>97</w:t>
            </w:r>
            <w:r w:rsidR="00EE3A72">
              <w:t>m</w:t>
            </w:r>
            <w:r>
              <w:fldChar w:fldCharType="end"/>
            </w:r>
            <w:bookmarkEnd w:id="10"/>
          </w:p>
        </w:tc>
        <w:bookmarkStart w:id="11" w:name="IABNPV"/>
        <w:tc>
          <w:tcPr>
            <w:tcW w:w="1603" w:type="dxa"/>
            <w:tcBorders>
              <w:top w:val="nil"/>
              <w:bottom w:val="single" w:sz="4" w:space="0" w:color="auto"/>
              <w:right w:val="single" w:sz="4" w:space="0" w:color="auto"/>
            </w:tcBorders>
            <w:shd w:val="clear" w:color="auto" w:fill="E0E0E0"/>
            <w:vAlign w:val="center"/>
          </w:tcPr>
          <w:p w14:paraId="7B45ECC6" w14:textId="77777777" w:rsidR="00372A69" w:rsidRPr="000E02BE" w:rsidRDefault="005A0B86" w:rsidP="00AA501F">
            <w:pPr>
              <w:pStyle w:val="IAIOBNPV"/>
            </w:pPr>
            <w:r>
              <w:fldChar w:fldCharType="begin">
                <w:ffData>
                  <w:name w:val="IABNPV"/>
                  <w:enabled/>
                  <w:calcOnExit w:val="0"/>
                  <w:textInput>
                    <w:default w:val="£m"/>
                    <w:maxLength w:val="9"/>
                  </w:textInput>
                </w:ffData>
              </w:fldChar>
            </w:r>
            <w:r>
              <w:instrText xml:space="preserve"> FORMTEXT </w:instrText>
            </w:r>
            <w:r>
              <w:fldChar w:fldCharType="separate"/>
            </w:r>
            <w:r w:rsidR="008D1958">
              <w:rPr>
                <w:noProof/>
              </w:rPr>
              <w:t>-</w:t>
            </w:r>
            <w:r w:rsidR="00EE3A72" w:rsidRPr="00EE3A72">
              <w:rPr>
                <w:noProof/>
              </w:rPr>
              <w:t>£34.</w:t>
            </w:r>
            <w:r w:rsidR="00AA501F">
              <w:rPr>
                <w:noProof/>
              </w:rPr>
              <w:t>97</w:t>
            </w:r>
            <w:r w:rsidR="00EE3A72" w:rsidRPr="00EE3A72">
              <w:rPr>
                <w:noProof/>
              </w:rPr>
              <w:t>m</w:t>
            </w:r>
            <w:r>
              <w:fldChar w:fldCharType="end"/>
            </w:r>
            <w:bookmarkEnd w:id="11"/>
          </w:p>
        </w:tc>
        <w:bookmarkStart w:id="12" w:name="IANCTBPY"/>
        <w:tc>
          <w:tcPr>
            <w:tcW w:w="2492" w:type="dxa"/>
            <w:tcBorders>
              <w:top w:val="nil"/>
              <w:bottom w:val="single" w:sz="4" w:space="0" w:color="auto"/>
              <w:right w:val="single" w:sz="4" w:space="0" w:color="auto"/>
            </w:tcBorders>
            <w:shd w:val="clear" w:color="auto" w:fill="E0E0E0"/>
            <w:vAlign w:val="center"/>
          </w:tcPr>
          <w:p w14:paraId="44996343" w14:textId="77777777" w:rsidR="00372A69" w:rsidRPr="000E02BE" w:rsidRDefault="005A0B86" w:rsidP="00AA501F">
            <w:pPr>
              <w:pStyle w:val="IAIONCTBPY"/>
            </w:pPr>
            <w:r>
              <w:fldChar w:fldCharType="begin">
                <w:ffData>
                  <w:name w:val="IANCTBPY"/>
                  <w:enabled/>
                  <w:calcOnExit w:val="0"/>
                  <w:textInput>
                    <w:default w:val="£m"/>
                    <w:maxLength w:val="9"/>
                  </w:textInput>
                </w:ffData>
              </w:fldChar>
            </w:r>
            <w:r>
              <w:instrText xml:space="preserve"> FORMTEXT </w:instrText>
            </w:r>
            <w:r>
              <w:fldChar w:fldCharType="separate"/>
            </w:r>
            <w:r w:rsidR="008D1958">
              <w:t>£</w:t>
            </w:r>
            <w:r w:rsidR="00AA501F">
              <w:t>3.00</w:t>
            </w:r>
            <w:r w:rsidR="008D1958">
              <w:t>m</w:t>
            </w:r>
            <w:r>
              <w:fldChar w:fldCharType="end"/>
            </w:r>
            <w:bookmarkEnd w:id="12"/>
          </w:p>
        </w:tc>
        <w:bookmarkStart w:id="13" w:name="IAInScopeInOut"/>
        <w:tc>
          <w:tcPr>
            <w:tcW w:w="1961" w:type="dxa"/>
            <w:tcBorders>
              <w:top w:val="nil"/>
              <w:left w:val="single" w:sz="4" w:space="0" w:color="auto"/>
              <w:bottom w:val="single" w:sz="4" w:space="0" w:color="auto"/>
              <w:right w:val="single" w:sz="4" w:space="0" w:color="auto"/>
            </w:tcBorders>
            <w:shd w:val="clear" w:color="auto" w:fill="E0E0E0"/>
            <w:vAlign w:val="center"/>
          </w:tcPr>
          <w:p w14:paraId="4B81DA94" w14:textId="77777777" w:rsidR="00372A69" w:rsidRPr="000E02BE" w:rsidRDefault="003B1336" w:rsidP="008369A3">
            <w:pPr>
              <w:pStyle w:val="IAIOInScopeInOut"/>
            </w:pPr>
            <w:r>
              <w:fldChar w:fldCharType="begin">
                <w:ffData>
                  <w:name w:val="IAInScopeInOut"/>
                  <w:enabled/>
                  <w:calcOnExit w:val="0"/>
                  <w:ddList>
                    <w:result w:val="1"/>
                    <w:listEntry w:val="Yes/No"/>
                    <w:listEntry w:val="Yes"/>
                    <w:listEntry w:val="No"/>
                  </w:ddList>
                </w:ffData>
              </w:fldChar>
            </w:r>
            <w:r>
              <w:instrText xml:space="preserve"> FORMDROPDOWN </w:instrText>
            </w:r>
            <w:r w:rsidR="00714FF9">
              <w:fldChar w:fldCharType="separate"/>
            </w:r>
            <w:r>
              <w:fldChar w:fldCharType="end"/>
            </w:r>
            <w:bookmarkEnd w:id="13"/>
          </w:p>
        </w:tc>
        <w:bookmarkStart w:id="14" w:name="IAPrefMQ"/>
        <w:tc>
          <w:tcPr>
            <w:tcW w:w="2178" w:type="dxa"/>
            <w:tcBorders>
              <w:top w:val="nil"/>
              <w:left w:val="single" w:sz="4" w:space="0" w:color="auto"/>
              <w:bottom w:val="single" w:sz="4" w:space="0" w:color="auto"/>
              <w:right w:val="single" w:sz="4" w:space="0" w:color="auto"/>
            </w:tcBorders>
            <w:shd w:val="clear" w:color="auto" w:fill="E0E0E0"/>
            <w:vAlign w:val="center"/>
          </w:tcPr>
          <w:p w14:paraId="4FAB466B" w14:textId="77777777" w:rsidR="00372A69" w:rsidRPr="000E02BE" w:rsidRDefault="003B1336" w:rsidP="008369A3">
            <w:pPr>
              <w:pStyle w:val="IAIOPrefMQ"/>
            </w:pPr>
            <w:r>
              <w:fldChar w:fldCharType="begin">
                <w:ffData>
                  <w:name w:val="IAPrefMQ"/>
                  <w:enabled/>
                  <w:calcOnExit w:val="0"/>
                  <w:ddList>
                    <w:result w:val="1"/>
                    <w:listEntry w:val="In/Out/zero net cost"/>
                    <w:listEntry w:val="IN"/>
                    <w:listEntry w:val="OUT"/>
                    <w:listEntry w:val="Zero Net Cost"/>
                    <w:listEntry w:val="NA"/>
                  </w:ddList>
                </w:ffData>
              </w:fldChar>
            </w:r>
            <w:r>
              <w:instrText xml:space="preserve"> FORMDROPDOWN </w:instrText>
            </w:r>
            <w:r w:rsidR="00714FF9">
              <w:fldChar w:fldCharType="separate"/>
            </w:r>
            <w:r>
              <w:fldChar w:fldCharType="end"/>
            </w:r>
            <w:bookmarkEnd w:id="14"/>
          </w:p>
        </w:tc>
      </w:tr>
      <w:tr w:rsidR="007208D9" w:rsidRPr="00826F71" w14:paraId="059B8F6B" w14:textId="77777777" w:rsidTr="00706EE1">
        <w:tblPrEx>
          <w:shd w:val="clear" w:color="auto" w:fill="auto"/>
        </w:tblPrEx>
        <w:trPr>
          <w:trHeight w:hRule="exact" w:val="3672"/>
        </w:trPr>
        <w:tc>
          <w:tcPr>
            <w:tcW w:w="10201" w:type="dxa"/>
            <w:gridSpan w:val="5"/>
            <w:tcBorders>
              <w:top w:val="single" w:sz="4" w:space="0" w:color="auto"/>
              <w:left w:val="single" w:sz="4" w:space="0" w:color="auto"/>
              <w:bottom w:val="single" w:sz="4" w:space="0" w:color="auto"/>
              <w:right w:val="single" w:sz="4" w:space="0" w:color="auto"/>
            </w:tcBorders>
          </w:tcPr>
          <w:p w14:paraId="7779F1E0" w14:textId="77777777" w:rsidR="007208D9" w:rsidRPr="00EA0B74" w:rsidRDefault="00214EB3" w:rsidP="008369A3">
            <w:pPr>
              <w:pStyle w:val="IAIOQ1"/>
            </w:pPr>
            <w:bookmarkStart w:id="15" w:name="Summary1"/>
            <w:r>
              <w:t>What is the problem under consideration? Why is government intervention necessary?</w:t>
            </w:r>
            <w:bookmarkEnd w:id="15"/>
          </w:p>
          <w:bookmarkStart w:id="16" w:name="IAIOA1"/>
          <w:p w14:paraId="1C41064E" w14:textId="5D9B5354" w:rsidR="00E75380" w:rsidRPr="005C57E3" w:rsidRDefault="008369A3" w:rsidP="00200023">
            <w:pPr>
              <w:pStyle w:val="IATableLines"/>
              <w:rPr>
                <w:sz w:val="21"/>
                <w:szCs w:val="21"/>
              </w:rPr>
            </w:pPr>
            <w:r w:rsidRPr="00C7009E">
              <w:rPr>
                <w:sz w:val="21"/>
                <w:szCs w:val="21"/>
              </w:rPr>
              <w:fldChar w:fldCharType="begin">
                <w:ffData>
                  <w:name w:val="IAIOA1"/>
                  <w:enabled/>
                  <w:calcOnExit w:val="0"/>
                  <w:textInput>
                    <w:default w:val="Maximum of 7 lines"/>
                    <w:maxLength w:val="800"/>
                  </w:textInput>
                </w:ffData>
              </w:fldChar>
            </w:r>
            <w:r w:rsidRPr="000F5D27">
              <w:rPr>
                <w:sz w:val="21"/>
                <w:szCs w:val="21"/>
              </w:rPr>
              <w:instrText xml:space="preserve"> FORMTEXT </w:instrText>
            </w:r>
            <w:r w:rsidRPr="00C7009E">
              <w:rPr>
                <w:sz w:val="21"/>
                <w:szCs w:val="21"/>
              </w:rPr>
            </w:r>
            <w:r w:rsidRPr="00C7009E">
              <w:rPr>
                <w:sz w:val="21"/>
                <w:szCs w:val="21"/>
              </w:rPr>
              <w:fldChar w:fldCharType="separate"/>
            </w:r>
            <w:r w:rsidR="00E168DF" w:rsidRPr="000F5D27">
              <w:rPr>
                <w:sz w:val="21"/>
                <w:szCs w:val="21"/>
              </w:rPr>
              <w:t xml:space="preserve">The UK's gender pay gap </w:t>
            </w:r>
            <w:r w:rsidR="00BC66E8" w:rsidRPr="000F5D27">
              <w:rPr>
                <w:sz w:val="21"/>
                <w:szCs w:val="21"/>
              </w:rPr>
              <w:t>(GPG)</w:t>
            </w:r>
            <w:r w:rsidR="00E168DF" w:rsidRPr="000F5D27">
              <w:rPr>
                <w:sz w:val="21"/>
                <w:szCs w:val="21"/>
              </w:rPr>
              <w:t xml:space="preserve"> has fallen over time but</w:t>
            </w:r>
            <w:r w:rsidR="00B469D8" w:rsidRPr="000F5D27">
              <w:rPr>
                <w:sz w:val="21"/>
                <w:szCs w:val="21"/>
              </w:rPr>
              <w:t xml:space="preserve"> </w:t>
            </w:r>
            <w:r w:rsidR="00E168DF" w:rsidRPr="000F5D27">
              <w:rPr>
                <w:sz w:val="21"/>
                <w:szCs w:val="21"/>
              </w:rPr>
              <w:t>progress has been slow</w:t>
            </w:r>
            <w:r w:rsidR="00BC66E8" w:rsidRPr="000F5D27">
              <w:rPr>
                <w:sz w:val="21"/>
                <w:szCs w:val="21"/>
              </w:rPr>
              <w:t xml:space="preserve"> as Parliamentary debates and high profile media campaigns continue to highlight</w:t>
            </w:r>
            <w:r w:rsidR="00E168DF" w:rsidRPr="000F5D27">
              <w:rPr>
                <w:sz w:val="21"/>
                <w:szCs w:val="21"/>
              </w:rPr>
              <w:t>. To accelerate progress, the Government</w:t>
            </w:r>
            <w:r w:rsidR="00BC66E8" w:rsidRPr="000F5D27">
              <w:rPr>
                <w:sz w:val="21"/>
                <w:szCs w:val="21"/>
              </w:rPr>
              <w:t>, with cross-party support,</w:t>
            </w:r>
            <w:r w:rsidR="00E168DF" w:rsidRPr="000F5D27">
              <w:rPr>
                <w:sz w:val="21"/>
                <w:szCs w:val="21"/>
              </w:rPr>
              <w:t xml:space="preserve"> intends to </w:t>
            </w:r>
            <w:r w:rsidR="00BC66E8" w:rsidRPr="000F5D27">
              <w:rPr>
                <w:sz w:val="21"/>
                <w:szCs w:val="21"/>
              </w:rPr>
              <w:t>follow through on its manifesto commitment</w:t>
            </w:r>
            <w:r w:rsidR="00E168DF" w:rsidRPr="000F5D27">
              <w:rPr>
                <w:sz w:val="21"/>
                <w:szCs w:val="21"/>
              </w:rPr>
              <w:t xml:space="preserve"> </w:t>
            </w:r>
            <w:r w:rsidR="00D5573D" w:rsidRPr="000F5D27">
              <w:rPr>
                <w:sz w:val="21"/>
                <w:szCs w:val="21"/>
              </w:rPr>
              <w:t xml:space="preserve">to </w:t>
            </w:r>
            <w:r w:rsidR="00E168DF" w:rsidRPr="000F5D27">
              <w:rPr>
                <w:sz w:val="21"/>
                <w:szCs w:val="21"/>
              </w:rPr>
              <w:t>requir</w:t>
            </w:r>
            <w:r w:rsidR="00D5573D" w:rsidRPr="000F5D27">
              <w:rPr>
                <w:sz w:val="21"/>
                <w:szCs w:val="21"/>
              </w:rPr>
              <w:t>e</w:t>
            </w:r>
            <w:r w:rsidR="00E168DF" w:rsidRPr="000F5D27">
              <w:rPr>
                <w:sz w:val="21"/>
                <w:szCs w:val="21"/>
              </w:rPr>
              <w:t xml:space="preserve"> employers with at least 250 employees to publish information showing whether there is a difference in pay between male and female employees</w:t>
            </w:r>
            <w:r w:rsidR="00820C4D" w:rsidRPr="000F5D27">
              <w:rPr>
                <w:sz w:val="21"/>
                <w:szCs w:val="21"/>
              </w:rPr>
              <w:t xml:space="preserve"> by implementing section 78 Equality Act 2010</w:t>
            </w:r>
            <w:r w:rsidR="00E168DF" w:rsidRPr="000F5D27">
              <w:rPr>
                <w:sz w:val="21"/>
                <w:szCs w:val="21"/>
              </w:rPr>
              <w:t xml:space="preserve">. </w:t>
            </w:r>
            <w:r w:rsidR="008A6243" w:rsidRPr="000F5D27">
              <w:rPr>
                <w:sz w:val="21"/>
                <w:szCs w:val="21"/>
              </w:rPr>
              <w:t xml:space="preserve"> </w:t>
            </w:r>
            <w:r w:rsidR="00200023">
              <w:rPr>
                <w:sz w:val="21"/>
                <w:szCs w:val="21"/>
              </w:rPr>
              <w:t>S</w:t>
            </w:r>
            <w:r w:rsidR="005C57E3" w:rsidRPr="000F5D27">
              <w:rPr>
                <w:sz w:val="21"/>
                <w:szCs w:val="21"/>
              </w:rPr>
              <w:t>ome of the gender pay gap may be due to employers not observi</w:t>
            </w:r>
            <w:r w:rsidR="007A1020">
              <w:rPr>
                <w:sz w:val="21"/>
                <w:szCs w:val="21"/>
              </w:rPr>
              <w:t>ng the potential gains from changes to HR policies that make</w:t>
            </w:r>
            <w:r w:rsidR="005C57E3" w:rsidRPr="000F5D27">
              <w:rPr>
                <w:sz w:val="21"/>
                <w:szCs w:val="21"/>
              </w:rPr>
              <w:t xml:space="preserve"> the bes</w:t>
            </w:r>
            <w:r w:rsidR="00200023">
              <w:rPr>
                <w:sz w:val="21"/>
                <w:szCs w:val="21"/>
              </w:rPr>
              <w:t xml:space="preserve">t use of their female employees. </w:t>
            </w:r>
            <w:r w:rsidR="00F05E69">
              <w:rPr>
                <w:sz w:val="21"/>
                <w:szCs w:val="21"/>
              </w:rPr>
              <w:t xml:space="preserve"> Some employers are not aware that they have a GPG. </w:t>
            </w:r>
            <w:r w:rsidR="00200023">
              <w:rPr>
                <w:sz w:val="21"/>
                <w:szCs w:val="21"/>
              </w:rPr>
              <w:t xml:space="preserve">Transparency can provide employers with </w:t>
            </w:r>
            <w:r w:rsidR="00965D28" w:rsidRPr="000F5D27">
              <w:rPr>
                <w:sz w:val="21"/>
                <w:szCs w:val="21"/>
              </w:rPr>
              <w:t>greater insight into</w:t>
            </w:r>
            <w:r w:rsidR="00794540" w:rsidRPr="000F5D27">
              <w:rPr>
                <w:sz w:val="21"/>
                <w:szCs w:val="21"/>
              </w:rPr>
              <w:t xml:space="preserve"> </w:t>
            </w:r>
            <w:r w:rsidR="00965D28" w:rsidRPr="000F5D27">
              <w:rPr>
                <w:sz w:val="21"/>
                <w:szCs w:val="21"/>
              </w:rPr>
              <w:t>progress</w:t>
            </w:r>
            <w:r w:rsidR="00D5573D" w:rsidRPr="000F5D27">
              <w:rPr>
                <w:sz w:val="21"/>
                <w:szCs w:val="21"/>
              </w:rPr>
              <w:t xml:space="preserve">, </w:t>
            </w:r>
            <w:r w:rsidR="00706EE1">
              <w:rPr>
                <w:rFonts w:cs="Arial"/>
                <w:color w:val="222222"/>
                <w:sz w:val="21"/>
                <w:szCs w:val="21"/>
                <w:shd w:val="clear" w:color="auto" w:fill="FFFFFF"/>
              </w:rPr>
              <w:t xml:space="preserve">driving a greater focus on analysis particularly in light of the board level interest that publication of information can generate, thereby </w:t>
            </w:r>
            <w:r w:rsidR="00D5573D" w:rsidRPr="000F5D27">
              <w:rPr>
                <w:sz w:val="21"/>
                <w:szCs w:val="21"/>
              </w:rPr>
              <w:t xml:space="preserve">prompting </w:t>
            </w:r>
            <w:r w:rsidR="00965D28" w:rsidRPr="000F5D27">
              <w:rPr>
                <w:sz w:val="21"/>
                <w:szCs w:val="21"/>
              </w:rPr>
              <w:t>chang</w:t>
            </w:r>
            <w:r w:rsidR="00D5573D" w:rsidRPr="000F5D27">
              <w:rPr>
                <w:sz w:val="21"/>
                <w:szCs w:val="21"/>
              </w:rPr>
              <w:t>e</w:t>
            </w:r>
            <w:r w:rsidR="00200023">
              <w:rPr>
                <w:sz w:val="21"/>
                <w:szCs w:val="21"/>
              </w:rPr>
              <w:t>s</w:t>
            </w:r>
            <w:r w:rsidR="00D5573D" w:rsidRPr="000F5D27">
              <w:rPr>
                <w:sz w:val="21"/>
                <w:szCs w:val="21"/>
              </w:rPr>
              <w:t xml:space="preserve"> </w:t>
            </w:r>
            <w:r w:rsidR="00041AE2">
              <w:rPr>
                <w:sz w:val="21"/>
                <w:szCs w:val="21"/>
              </w:rPr>
              <w:t xml:space="preserve">to, </w:t>
            </w:r>
            <w:r w:rsidR="00D5573D" w:rsidRPr="000F5D27">
              <w:rPr>
                <w:sz w:val="21"/>
                <w:szCs w:val="21"/>
              </w:rPr>
              <w:t xml:space="preserve">or </w:t>
            </w:r>
            <w:r w:rsidR="00AF3842" w:rsidRPr="000F5D27">
              <w:rPr>
                <w:sz w:val="21"/>
                <w:szCs w:val="21"/>
              </w:rPr>
              <w:t>review</w:t>
            </w:r>
            <w:r w:rsidR="00200023">
              <w:rPr>
                <w:sz w:val="21"/>
                <w:szCs w:val="21"/>
              </w:rPr>
              <w:t>s</w:t>
            </w:r>
            <w:r w:rsidR="00D5573D" w:rsidRPr="000F5D27">
              <w:rPr>
                <w:sz w:val="21"/>
                <w:szCs w:val="21"/>
              </w:rPr>
              <w:t xml:space="preserve"> </w:t>
            </w:r>
            <w:r w:rsidR="00200023">
              <w:rPr>
                <w:sz w:val="21"/>
                <w:szCs w:val="21"/>
              </w:rPr>
              <w:t>of</w:t>
            </w:r>
            <w:r w:rsidR="00041AE2">
              <w:rPr>
                <w:sz w:val="21"/>
                <w:szCs w:val="21"/>
              </w:rPr>
              <w:t>,</w:t>
            </w:r>
            <w:r w:rsidR="00200023">
              <w:rPr>
                <w:sz w:val="21"/>
                <w:szCs w:val="21"/>
              </w:rPr>
              <w:t xml:space="preserve"> </w:t>
            </w:r>
            <w:r w:rsidR="00965D28" w:rsidRPr="000F5D27">
              <w:rPr>
                <w:sz w:val="21"/>
                <w:szCs w:val="21"/>
              </w:rPr>
              <w:t>their working practices</w:t>
            </w:r>
            <w:r w:rsidR="00794540" w:rsidRPr="000F5D27">
              <w:rPr>
                <w:sz w:val="21"/>
                <w:szCs w:val="21"/>
              </w:rPr>
              <w:t xml:space="preserve"> and policies</w:t>
            </w:r>
            <w:r w:rsidR="00040A05">
              <w:rPr>
                <w:sz w:val="21"/>
                <w:szCs w:val="21"/>
              </w:rPr>
              <w:t xml:space="preserve">, </w:t>
            </w:r>
            <w:r w:rsidR="00200023">
              <w:rPr>
                <w:sz w:val="21"/>
                <w:szCs w:val="21"/>
              </w:rPr>
              <w:t>cater</w:t>
            </w:r>
            <w:r w:rsidR="00041AE2">
              <w:rPr>
                <w:sz w:val="21"/>
                <w:szCs w:val="21"/>
              </w:rPr>
              <w:t>ing</w:t>
            </w:r>
            <w:r w:rsidR="00200023">
              <w:rPr>
                <w:sz w:val="21"/>
                <w:szCs w:val="21"/>
              </w:rPr>
              <w:t xml:space="preserve"> more to the needs of employees</w:t>
            </w:r>
            <w:r w:rsidR="00041AE2">
              <w:rPr>
                <w:sz w:val="21"/>
                <w:szCs w:val="21"/>
              </w:rPr>
              <w:t>. This</w:t>
            </w:r>
            <w:r w:rsidR="00200023">
              <w:rPr>
                <w:sz w:val="21"/>
                <w:szCs w:val="21"/>
              </w:rPr>
              <w:t xml:space="preserve"> could </w:t>
            </w:r>
            <w:r w:rsidR="00923001" w:rsidRPr="000F5D27">
              <w:rPr>
                <w:sz w:val="21"/>
                <w:szCs w:val="21"/>
              </w:rPr>
              <w:t xml:space="preserve">lead to a </w:t>
            </w:r>
            <w:r w:rsidR="00965D28" w:rsidRPr="000F5D27">
              <w:rPr>
                <w:sz w:val="21"/>
                <w:szCs w:val="21"/>
              </w:rPr>
              <w:t>reduc</w:t>
            </w:r>
            <w:r w:rsidR="00923001" w:rsidRPr="000F5D27">
              <w:rPr>
                <w:sz w:val="21"/>
                <w:szCs w:val="21"/>
              </w:rPr>
              <w:t>tion in</w:t>
            </w:r>
            <w:r w:rsidR="00965D28" w:rsidRPr="000F5D27">
              <w:rPr>
                <w:sz w:val="21"/>
                <w:szCs w:val="21"/>
              </w:rPr>
              <w:t xml:space="preserve"> their </w:t>
            </w:r>
            <w:r w:rsidR="00807946" w:rsidRPr="000F5D27">
              <w:rPr>
                <w:sz w:val="21"/>
                <w:szCs w:val="21"/>
              </w:rPr>
              <w:t>GPG</w:t>
            </w:r>
            <w:r w:rsidR="00923001" w:rsidRPr="000F5D27">
              <w:rPr>
                <w:sz w:val="21"/>
                <w:szCs w:val="21"/>
              </w:rPr>
              <w:t xml:space="preserve">s </w:t>
            </w:r>
            <w:r w:rsidR="00041AE2">
              <w:rPr>
                <w:sz w:val="21"/>
                <w:szCs w:val="21"/>
              </w:rPr>
              <w:t xml:space="preserve">and </w:t>
            </w:r>
            <w:r w:rsidR="00965D28" w:rsidRPr="000F5D27">
              <w:rPr>
                <w:sz w:val="21"/>
                <w:szCs w:val="21"/>
              </w:rPr>
              <w:t>accelerate p</w:t>
            </w:r>
            <w:r w:rsidR="00D5573D" w:rsidRPr="000F5D27">
              <w:rPr>
                <w:sz w:val="21"/>
                <w:szCs w:val="21"/>
              </w:rPr>
              <w:t xml:space="preserve">rogress in relation to </w:t>
            </w:r>
            <w:r w:rsidR="00965D28" w:rsidRPr="000F5D27">
              <w:rPr>
                <w:sz w:val="21"/>
                <w:szCs w:val="21"/>
              </w:rPr>
              <w:t xml:space="preserve">the </w:t>
            </w:r>
            <w:r w:rsidR="00D5573D" w:rsidRPr="000F5D27">
              <w:rPr>
                <w:sz w:val="21"/>
                <w:szCs w:val="21"/>
              </w:rPr>
              <w:t xml:space="preserve">UK's </w:t>
            </w:r>
            <w:r w:rsidR="00965D28" w:rsidRPr="000F5D27">
              <w:rPr>
                <w:sz w:val="21"/>
                <w:szCs w:val="21"/>
              </w:rPr>
              <w:t xml:space="preserve">overall </w:t>
            </w:r>
            <w:r w:rsidR="008A6243" w:rsidRPr="000F5D27">
              <w:rPr>
                <w:sz w:val="21"/>
                <w:szCs w:val="21"/>
              </w:rPr>
              <w:t>GPG</w:t>
            </w:r>
            <w:r w:rsidR="00AF3842" w:rsidRPr="000F5D27">
              <w:rPr>
                <w:sz w:val="21"/>
                <w:szCs w:val="21"/>
              </w:rPr>
              <w:t>.</w:t>
            </w:r>
            <w:r w:rsidR="00965D28" w:rsidRPr="000F5D27">
              <w:rPr>
                <w:sz w:val="21"/>
                <w:szCs w:val="21"/>
              </w:rPr>
              <w:t xml:space="preserve">  </w:t>
            </w:r>
            <w:r w:rsidRPr="00C7009E">
              <w:rPr>
                <w:sz w:val="21"/>
                <w:szCs w:val="21"/>
              </w:rPr>
              <w:fldChar w:fldCharType="end"/>
            </w:r>
            <w:bookmarkEnd w:id="16"/>
          </w:p>
        </w:tc>
      </w:tr>
    </w:tbl>
    <w:p w14:paraId="3BD9AE60" w14:textId="77777777" w:rsidR="007208D9" w:rsidRDefault="007208D9" w:rsidP="007208D9">
      <w:pPr>
        <w:pStyle w:val="IASpacer"/>
      </w:pPr>
    </w:p>
    <w:tbl>
      <w:tblPr>
        <w:tblW w:w="4994"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183"/>
      </w:tblGrid>
      <w:tr w:rsidR="007208D9" w:rsidRPr="00826F71" w14:paraId="19E61DB5" w14:textId="77777777" w:rsidTr="007A1020">
        <w:trPr>
          <w:trHeight w:hRule="exact" w:val="2744"/>
        </w:trPr>
        <w:tc>
          <w:tcPr>
            <w:tcW w:w="10182" w:type="dxa"/>
          </w:tcPr>
          <w:p w14:paraId="29035CB0" w14:textId="77777777" w:rsidR="007208D9" w:rsidRPr="00EA0B74" w:rsidRDefault="00214EB3" w:rsidP="008369A3">
            <w:pPr>
              <w:pStyle w:val="IAIOQ2"/>
            </w:pPr>
            <w:bookmarkStart w:id="17" w:name="Summary2"/>
            <w:r>
              <w:t>What are the policy objectives and the intended effects?</w:t>
            </w:r>
            <w:bookmarkEnd w:id="17"/>
          </w:p>
          <w:bookmarkStart w:id="18" w:name="IAIOA2"/>
          <w:p w14:paraId="01078E2E" w14:textId="77777777" w:rsidR="00E75380" w:rsidRPr="000B3122" w:rsidRDefault="008369A3" w:rsidP="004F1009">
            <w:pPr>
              <w:pStyle w:val="IATableLines"/>
              <w:rPr>
                <w:sz w:val="21"/>
                <w:szCs w:val="21"/>
              </w:rPr>
            </w:pPr>
            <w:r w:rsidRPr="000B3122">
              <w:rPr>
                <w:sz w:val="21"/>
                <w:szCs w:val="21"/>
              </w:rPr>
              <w:fldChar w:fldCharType="begin">
                <w:ffData>
                  <w:name w:val="IAIOA2"/>
                  <w:enabled/>
                  <w:calcOnExit w:val="0"/>
                  <w:textInput>
                    <w:default w:val="Maximum of 7 lines"/>
                    <w:maxLength w:val="800"/>
                  </w:textInput>
                </w:ffData>
              </w:fldChar>
            </w:r>
            <w:r w:rsidRPr="000B3122">
              <w:rPr>
                <w:sz w:val="21"/>
                <w:szCs w:val="21"/>
              </w:rPr>
              <w:instrText xml:space="preserve"> FORMTEXT </w:instrText>
            </w:r>
            <w:r w:rsidRPr="000B3122">
              <w:rPr>
                <w:sz w:val="21"/>
                <w:szCs w:val="21"/>
              </w:rPr>
            </w:r>
            <w:r w:rsidRPr="000B3122">
              <w:rPr>
                <w:sz w:val="21"/>
                <w:szCs w:val="21"/>
              </w:rPr>
              <w:fldChar w:fldCharType="separate"/>
            </w:r>
            <w:r w:rsidR="00CF5A35" w:rsidRPr="000B3122">
              <w:rPr>
                <w:noProof/>
                <w:sz w:val="21"/>
                <w:szCs w:val="21"/>
              </w:rPr>
              <w:t xml:space="preserve">The Government's  </w:t>
            </w:r>
            <w:r w:rsidR="007A1020">
              <w:rPr>
                <w:noProof/>
                <w:sz w:val="21"/>
                <w:szCs w:val="21"/>
              </w:rPr>
              <w:t xml:space="preserve">commitment to closing </w:t>
            </w:r>
            <w:r w:rsidR="00CF5A35" w:rsidRPr="000B3122">
              <w:rPr>
                <w:noProof/>
                <w:sz w:val="21"/>
                <w:szCs w:val="21"/>
              </w:rPr>
              <w:t xml:space="preserve">the </w:t>
            </w:r>
            <w:r w:rsidR="00F22FE4" w:rsidRPr="000B3122">
              <w:rPr>
                <w:noProof/>
                <w:sz w:val="21"/>
                <w:szCs w:val="21"/>
              </w:rPr>
              <w:t>UK's GPG</w:t>
            </w:r>
            <w:r w:rsidR="007A1020">
              <w:rPr>
                <w:noProof/>
                <w:sz w:val="21"/>
                <w:szCs w:val="21"/>
              </w:rPr>
              <w:t xml:space="preserve"> is a priority</w:t>
            </w:r>
            <w:r w:rsidR="007D59EE" w:rsidRPr="000B3122">
              <w:rPr>
                <w:noProof/>
                <w:sz w:val="21"/>
                <w:szCs w:val="21"/>
              </w:rPr>
              <w:t xml:space="preserve">. </w:t>
            </w:r>
            <w:r w:rsidR="00041AE2">
              <w:rPr>
                <w:noProof/>
                <w:sz w:val="21"/>
                <w:szCs w:val="21"/>
              </w:rPr>
              <w:t xml:space="preserve">Causes of </w:t>
            </w:r>
            <w:r w:rsidR="007D59EE" w:rsidRPr="000B3122">
              <w:rPr>
                <w:noProof/>
                <w:sz w:val="21"/>
                <w:szCs w:val="21"/>
              </w:rPr>
              <w:t xml:space="preserve">the GPG </w:t>
            </w:r>
            <w:r w:rsidR="00041AE2">
              <w:rPr>
                <w:noProof/>
                <w:sz w:val="21"/>
                <w:szCs w:val="21"/>
              </w:rPr>
              <w:t>are complex</w:t>
            </w:r>
            <w:r w:rsidR="007F6D31">
              <w:rPr>
                <w:noProof/>
                <w:sz w:val="21"/>
                <w:szCs w:val="21"/>
              </w:rPr>
              <w:t xml:space="preserve">. </w:t>
            </w:r>
            <w:r w:rsidR="00F22FE4" w:rsidRPr="000B3122">
              <w:rPr>
                <w:noProof/>
                <w:sz w:val="21"/>
                <w:szCs w:val="21"/>
              </w:rPr>
              <w:t xml:space="preserve"> </w:t>
            </w:r>
            <w:r w:rsidR="007F6D31">
              <w:rPr>
                <w:noProof/>
                <w:sz w:val="21"/>
                <w:szCs w:val="21"/>
              </w:rPr>
              <w:t>W</w:t>
            </w:r>
            <w:r w:rsidR="004F1009" w:rsidRPr="000B3122">
              <w:rPr>
                <w:noProof/>
                <w:sz w:val="21"/>
                <w:szCs w:val="21"/>
              </w:rPr>
              <w:t>omen</w:t>
            </w:r>
            <w:r w:rsidR="009221E2" w:rsidRPr="000B3122">
              <w:rPr>
                <w:noProof/>
                <w:sz w:val="21"/>
                <w:szCs w:val="21"/>
              </w:rPr>
              <w:t xml:space="preserve"> </w:t>
            </w:r>
            <w:r w:rsidR="007F6D31">
              <w:rPr>
                <w:noProof/>
                <w:sz w:val="21"/>
                <w:szCs w:val="21"/>
              </w:rPr>
              <w:t>still tend</w:t>
            </w:r>
            <w:r w:rsidR="00041AE2">
              <w:rPr>
                <w:noProof/>
                <w:sz w:val="21"/>
                <w:szCs w:val="21"/>
              </w:rPr>
              <w:t xml:space="preserve"> to work in lower paid sectors</w:t>
            </w:r>
            <w:r w:rsidR="007F6D31">
              <w:rPr>
                <w:noProof/>
                <w:sz w:val="21"/>
                <w:szCs w:val="21"/>
              </w:rPr>
              <w:t xml:space="preserve"> and are less likely to progress to senior positions. Reasons for this can include women</w:t>
            </w:r>
            <w:r w:rsidR="00041AE2">
              <w:rPr>
                <w:noProof/>
                <w:sz w:val="21"/>
                <w:szCs w:val="21"/>
              </w:rPr>
              <w:t xml:space="preserve"> </w:t>
            </w:r>
            <w:r w:rsidR="009221E2" w:rsidRPr="000B3122">
              <w:rPr>
                <w:noProof/>
                <w:sz w:val="21"/>
                <w:szCs w:val="21"/>
              </w:rPr>
              <w:t>with childcare responsibilities</w:t>
            </w:r>
            <w:r w:rsidR="00F05E69">
              <w:rPr>
                <w:noProof/>
                <w:sz w:val="21"/>
                <w:szCs w:val="21"/>
              </w:rPr>
              <w:t xml:space="preserve"> taking career breaks and</w:t>
            </w:r>
            <w:r w:rsidR="007F6D31">
              <w:rPr>
                <w:noProof/>
                <w:sz w:val="21"/>
                <w:szCs w:val="21"/>
              </w:rPr>
              <w:t xml:space="preserve"> </w:t>
            </w:r>
            <w:r w:rsidR="009221E2" w:rsidRPr="000B3122">
              <w:rPr>
                <w:noProof/>
                <w:sz w:val="21"/>
                <w:szCs w:val="21"/>
              </w:rPr>
              <w:t>choosing to work part-time</w:t>
            </w:r>
            <w:r w:rsidR="00F22FE4" w:rsidRPr="000B3122">
              <w:rPr>
                <w:noProof/>
                <w:sz w:val="21"/>
                <w:szCs w:val="21"/>
              </w:rPr>
              <w:t xml:space="preserve">,  </w:t>
            </w:r>
            <w:r w:rsidR="00041AE2">
              <w:rPr>
                <w:noProof/>
                <w:sz w:val="21"/>
                <w:szCs w:val="21"/>
              </w:rPr>
              <w:t xml:space="preserve">with </w:t>
            </w:r>
            <w:r w:rsidR="00F22FE4" w:rsidRPr="000B3122">
              <w:rPr>
                <w:noProof/>
                <w:sz w:val="21"/>
                <w:szCs w:val="21"/>
              </w:rPr>
              <w:t xml:space="preserve">more readily </w:t>
            </w:r>
            <w:r w:rsidR="009221E2" w:rsidRPr="000B3122">
              <w:rPr>
                <w:noProof/>
                <w:sz w:val="21"/>
                <w:szCs w:val="21"/>
              </w:rPr>
              <w:t xml:space="preserve">part-time opportunities available for lower </w:t>
            </w:r>
            <w:r w:rsidR="00F22FE4" w:rsidRPr="000B3122">
              <w:rPr>
                <w:noProof/>
                <w:sz w:val="21"/>
                <w:szCs w:val="21"/>
              </w:rPr>
              <w:t xml:space="preserve">paid </w:t>
            </w:r>
            <w:r w:rsidR="009221E2" w:rsidRPr="000B3122">
              <w:rPr>
                <w:noProof/>
                <w:sz w:val="21"/>
                <w:szCs w:val="21"/>
              </w:rPr>
              <w:t xml:space="preserve">roles. </w:t>
            </w:r>
            <w:r w:rsidR="00F22FE4" w:rsidRPr="000B3122">
              <w:rPr>
                <w:noProof/>
                <w:sz w:val="21"/>
                <w:szCs w:val="21"/>
              </w:rPr>
              <w:t xml:space="preserve">The failure to pay </w:t>
            </w:r>
            <w:r w:rsidR="009221E2" w:rsidRPr="000B3122">
              <w:rPr>
                <w:noProof/>
                <w:sz w:val="21"/>
                <w:szCs w:val="21"/>
              </w:rPr>
              <w:t xml:space="preserve">men and women </w:t>
            </w:r>
            <w:r w:rsidR="00F22FE4" w:rsidRPr="000B3122">
              <w:rPr>
                <w:noProof/>
                <w:sz w:val="21"/>
                <w:szCs w:val="21"/>
              </w:rPr>
              <w:t>the same</w:t>
            </w:r>
            <w:r w:rsidR="009221E2" w:rsidRPr="000B3122">
              <w:rPr>
                <w:noProof/>
                <w:sz w:val="21"/>
                <w:szCs w:val="21"/>
              </w:rPr>
              <w:t xml:space="preserve"> for the same jo</w:t>
            </w:r>
            <w:r w:rsidR="00F22FE4" w:rsidRPr="000B3122">
              <w:rPr>
                <w:noProof/>
                <w:sz w:val="21"/>
                <w:szCs w:val="21"/>
              </w:rPr>
              <w:t>b</w:t>
            </w:r>
            <w:r w:rsidR="009221E2" w:rsidRPr="000B3122">
              <w:rPr>
                <w:noProof/>
                <w:sz w:val="21"/>
                <w:szCs w:val="21"/>
              </w:rPr>
              <w:t xml:space="preserve"> is prohibited by law</w:t>
            </w:r>
            <w:r w:rsidR="00F22FE4" w:rsidRPr="000B3122">
              <w:rPr>
                <w:noProof/>
                <w:sz w:val="21"/>
                <w:szCs w:val="21"/>
              </w:rPr>
              <w:t xml:space="preserve"> and the impact of this on the GPG is not certain</w:t>
            </w:r>
            <w:r w:rsidR="009221E2" w:rsidRPr="000B3122">
              <w:rPr>
                <w:noProof/>
                <w:sz w:val="21"/>
                <w:szCs w:val="21"/>
              </w:rPr>
              <w:t xml:space="preserve">. This measure is one of a number being considered by the Government to tackle the different drivers of the </w:t>
            </w:r>
            <w:r w:rsidR="00F22FE4" w:rsidRPr="000B3122">
              <w:rPr>
                <w:noProof/>
                <w:sz w:val="21"/>
                <w:szCs w:val="21"/>
              </w:rPr>
              <w:t>GPG</w:t>
            </w:r>
            <w:r w:rsidR="009221E2" w:rsidRPr="000B3122">
              <w:rPr>
                <w:noProof/>
                <w:sz w:val="21"/>
                <w:szCs w:val="21"/>
              </w:rPr>
              <w:t>.</w:t>
            </w:r>
            <w:r w:rsidR="00865239" w:rsidRPr="000B3122">
              <w:rPr>
                <w:noProof/>
                <w:sz w:val="21"/>
                <w:szCs w:val="21"/>
              </w:rPr>
              <w:t xml:space="preserve"> The objective of this measure is to </w:t>
            </w:r>
            <w:r w:rsidR="00A21130">
              <w:rPr>
                <w:noProof/>
                <w:sz w:val="21"/>
                <w:szCs w:val="21"/>
              </w:rPr>
              <w:t xml:space="preserve">raise awareness, </w:t>
            </w:r>
            <w:r w:rsidR="00865239" w:rsidRPr="000B3122">
              <w:rPr>
                <w:noProof/>
                <w:sz w:val="21"/>
                <w:szCs w:val="21"/>
              </w:rPr>
              <w:t>encourag</w:t>
            </w:r>
            <w:r w:rsidR="00A21130">
              <w:rPr>
                <w:noProof/>
                <w:sz w:val="21"/>
                <w:szCs w:val="21"/>
              </w:rPr>
              <w:t>ing</w:t>
            </w:r>
            <w:r w:rsidR="00865239" w:rsidRPr="000B3122">
              <w:rPr>
                <w:noProof/>
                <w:sz w:val="21"/>
                <w:szCs w:val="21"/>
              </w:rPr>
              <w:t xml:space="preserve"> employers to analyse the drivers behind their </w:t>
            </w:r>
            <w:r w:rsidR="00F22FE4" w:rsidRPr="000B3122">
              <w:rPr>
                <w:noProof/>
                <w:sz w:val="21"/>
                <w:szCs w:val="21"/>
              </w:rPr>
              <w:t>GPG</w:t>
            </w:r>
            <w:r w:rsidR="00865239" w:rsidRPr="000B3122">
              <w:rPr>
                <w:noProof/>
                <w:sz w:val="21"/>
                <w:szCs w:val="21"/>
              </w:rPr>
              <w:t xml:space="preserve"> and explore the extent to which their own policies and practices may have contributed to that gap, as opposed to other factors outside of their control.</w:t>
            </w:r>
            <w:r w:rsidRPr="000B3122">
              <w:rPr>
                <w:sz w:val="21"/>
                <w:szCs w:val="21"/>
              </w:rPr>
              <w:fldChar w:fldCharType="end"/>
            </w:r>
            <w:bookmarkEnd w:id="18"/>
            <w:r w:rsidR="007F6D31">
              <w:rPr>
                <w:sz w:val="21"/>
                <w:szCs w:val="21"/>
              </w:rPr>
              <w:t xml:space="preserve"> </w:t>
            </w:r>
          </w:p>
        </w:tc>
      </w:tr>
    </w:tbl>
    <w:p w14:paraId="2C0E5590" w14:textId="77777777" w:rsidR="007208D9" w:rsidRPr="00826F71" w:rsidRDefault="007208D9" w:rsidP="007208D9">
      <w:pPr>
        <w:pStyle w:val="IASpace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195"/>
      </w:tblGrid>
      <w:tr w:rsidR="00686F5E" w:rsidRPr="00826F71" w14:paraId="785E6B7D" w14:textId="77777777" w:rsidTr="00DC6F0D">
        <w:trPr>
          <w:trHeight w:hRule="exact" w:val="3548"/>
        </w:trPr>
        <w:tc>
          <w:tcPr>
            <w:tcW w:w="10228" w:type="dxa"/>
          </w:tcPr>
          <w:p w14:paraId="3CF54C1E" w14:textId="77777777" w:rsidR="00686F5E" w:rsidRPr="00826F71" w:rsidRDefault="00686F5E" w:rsidP="008369A3">
            <w:pPr>
              <w:pStyle w:val="IAIOQ3"/>
            </w:pPr>
            <w:bookmarkStart w:id="19" w:name="IAIOQ3"/>
            <w:bookmarkStart w:id="20" w:name="Summary3"/>
            <w:r>
              <w:t>What policy options have been considered</w:t>
            </w:r>
            <w:r w:rsidR="005D6EA8">
              <w:t>, including any alternatives to regulation</w:t>
            </w:r>
            <w:r>
              <w:t>? Please justify preferred option (further details in Evidence Base)</w:t>
            </w:r>
            <w:bookmarkEnd w:id="19"/>
          </w:p>
          <w:bookmarkStart w:id="21" w:name="IAIOA3"/>
          <w:p w14:paraId="2975F214" w14:textId="77777777" w:rsidR="00A05D7C" w:rsidRDefault="008369A3" w:rsidP="00A05D7C">
            <w:pPr>
              <w:pStyle w:val="IATableLines"/>
              <w:rPr>
                <w:noProof/>
              </w:rPr>
            </w:pPr>
            <w:r>
              <w:fldChar w:fldCharType="begin">
                <w:ffData>
                  <w:name w:val="IAIOA3"/>
                  <w:enabled/>
                  <w:calcOnExit w:val="0"/>
                  <w:textInput>
                    <w:default w:val="Maximum of 10 lines"/>
                    <w:maxLength w:val="1100"/>
                  </w:textInput>
                </w:ffData>
              </w:fldChar>
            </w:r>
            <w:r>
              <w:instrText xml:space="preserve"> FORMTEXT </w:instrText>
            </w:r>
            <w:r>
              <w:fldChar w:fldCharType="separate"/>
            </w:r>
            <w:r w:rsidR="00A05D7C">
              <w:rPr>
                <w:noProof/>
              </w:rPr>
              <w:t xml:space="preserve">The Government currently considers two policy options: </w:t>
            </w:r>
          </w:p>
          <w:p w14:paraId="2CD4BCE3" w14:textId="77777777" w:rsidR="00A05D7C" w:rsidRDefault="00A05D7C" w:rsidP="00A05D7C">
            <w:pPr>
              <w:pStyle w:val="IATableLines"/>
              <w:rPr>
                <w:noProof/>
              </w:rPr>
            </w:pPr>
            <w:r>
              <w:rPr>
                <w:noProof/>
              </w:rPr>
              <w:t xml:space="preserve">Option 0 - Do nothing: </w:t>
            </w:r>
            <w:r w:rsidR="00034125">
              <w:rPr>
                <w:noProof/>
              </w:rPr>
              <w:t>Although there was cross-party consensus to e</w:t>
            </w:r>
            <w:r>
              <w:rPr>
                <w:noProof/>
              </w:rPr>
              <w:t>ncourag</w:t>
            </w:r>
            <w:r w:rsidR="00034125">
              <w:rPr>
                <w:noProof/>
              </w:rPr>
              <w:t>e</w:t>
            </w:r>
            <w:r>
              <w:rPr>
                <w:noProof/>
              </w:rPr>
              <w:t xml:space="preserve"> employers to publish gender pay information on a voluntary basis</w:t>
            </w:r>
            <w:r w:rsidR="00DC6F0D">
              <w:rPr>
                <w:noProof/>
              </w:rPr>
              <w:t xml:space="preserve"> during the Equality Act's Parliamentary passage </w:t>
            </w:r>
            <w:r w:rsidR="00034125">
              <w:rPr>
                <w:noProof/>
              </w:rPr>
              <w:t>in 2010, this</w:t>
            </w:r>
            <w:r>
              <w:rPr>
                <w:noProof/>
              </w:rPr>
              <w:t xml:space="preserve">has not </w:t>
            </w:r>
            <w:r w:rsidR="00A67822">
              <w:rPr>
                <w:noProof/>
              </w:rPr>
              <w:t xml:space="preserve">triggered the </w:t>
            </w:r>
            <w:r>
              <w:rPr>
                <w:noProof/>
              </w:rPr>
              <w:t xml:space="preserve"> </w:t>
            </w:r>
            <w:r w:rsidR="008922EB">
              <w:rPr>
                <w:noProof/>
              </w:rPr>
              <w:t xml:space="preserve">widespread </w:t>
            </w:r>
            <w:r>
              <w:rPr>
                <w:noProof/>
              </w:rPr>
              <w:t>change</w:t>
            </w:r>
            <w:r w:rsidR="00A67822">
              <w:rPr>
                <w:noProof/>
              </w:rPr>
              <w:t>s required</w:t>
            </w:r>
            <w:r w:rsidR="008922EB">
              <w:rPr>
                <w:noProof/>
              </w:rPr>
              <w:t xml:space="preserve"> to close the GPG</w:t>
            </w:r>
            <w:r>
              <w:rPr>
                <w:noProof/>
              </w:rPr>
              <w:t>. For this reason, no alternatives to regulation have been considered.</w:t>
            </w:r>
          </w:p>
          <w:p w14:paraId="785F1F36" w14:textId="77777777" w:rsidR="00A05D7C" w:rsidRDefault="00A05D7C" w:rsidP="00A05D7C">
            <w:pPr>
              <w:pStyle w:val="IATableLines"/>
              <w:rPr>
                <w:noProof/>
              </w:rPr>
            </w:pPr>
            <w:r>
              <w:rPr>
                <w:noProof/>
              </w:rPr>
              <w:t xml:space="preserve">Option 1 -  </w:t>
            </w:r>
            <w:r w:rsidR="00C067FE">
              <w:rPr>
                <w:noProof/>
              </w:rPr>
              <w:t>Mand</w:t>
            </w:r>
            <w:r w:rsidR="00042284">
              <w:rPr>
                <w:noProof/>
              </w:rPr>
              <w:t>a</w:t>
            </w:r>
            <w:r w:rsidR="00C067FE">
              <w:rPr>
                <w:noProof/>
              </w:rPr>
              <w:t xml:space="preserve">tory </w:t>
            </w:r>
            <w:r w:rsidR="00042284">
              <w:rPr>
                <w:noProof/>
              </w:rPr>
              <w:t>r</w:t>
            </w:r>
            <w:r>
              <w:rPr>
                <w:noProof/>
              </w:rPr>
              <w:t xml:space="preserve">eporting using (a) single gender pay gap figure  (b) single figure and supporting narrative </w:t>
            </w:r>
          </w:p>
          <w:p w14:paraId="743D5725" w14:textId="77777777" w:rsidR="00A05D7C" w:rsidRDefault="00A05D7C" w:rsidP="00A05D7C">
            <w:pPr>
              <w:pStyle w:val="IATableLines"/>
              <w:rPr>
                <w:noProof/>
              </w:rPr>
            </w:pPr>
            <w:r>
              <w:rPr>
                <w:noProof/>
              </w:rPr>
              <w:t xml:space="preserve">Option 2 - </w:t>
            </w:r>
            <w:r w:rsidR="000C47D0">
              <w:rPr>
                <w:noProof/>
              </w:rPr>
              <w:t xml:space="preserve"> </w:t>
            </w:r>
            <w:r w:rsidR="00042284">
              <w:rPr>
                <w:noProof/>
              </w:rPr>
              <w:t>Mandatory r</w:t>
            </w:r>
            <w:r>
              <w:rPr>
                <w:noProof/>
              </w:rPr>
              <w:t>eporting using (a) breakdown of data, e.g: grading structure</w:t>
            </w:r>
            <w:r w:rsidR="00235802">
              <w:rPr>
                <w:noProof/>
              </w:rPr>
              <w:t xml:space="preserve"> or</w:t>
            </w:r>
            <w:r>
              <w:rPr>
                <w:noProof/>
              </w:rPr>
              <w:t xml:space="preserve"> full/part-time (b) breakdown of data and supporting narrative</w:t>
            </w:r>
            <w:r w:rsidR="00C067FE">
              <w:rPr>
                <w:noProof/>
              </w:rPr>
              <w:t>.</w:t>
            </w:r>
          </w:p>
          <w:p w14:paraId="70452272" w14:textId="77777777" w:rsidR="000C47D0" w:rsidRDefault="000C47D0" w:rsidP="00A05D7C">
            <w:pPr>
              <w:pStyle w:val="IATableLines"/>
              <w:rPr>
                <w:noProof/>
              </w:rPr>
            </w:pPr>
          </w:p>
          <w:p w14:paraId="274760EF" w14:textId="77777777" w:rsidR="00D50283" w:rsidRPr="00C120C0" w:rsidRDefault="00A05D7C" w:rsidP="00042284">
            <w:pPr>
              <w:pStyle w:val="IATableLines"/>
            </w:pPr>
            <w:r>
              <w:rPr>
                <w:noProof/>
              </w:rPr>
              <w:t xml:space="preserve">The Department </w:t>
            </w:r>
            <w:r w:rsidR="000C47D0">
              <w:rPr>
                <w:noProof/>
              </w:rPr>
              <w:t xml:space="preserve">will use feedback from the consultation in order to arrive at its preferred option. </w:t>
            </w:r>
            <w:r w:rsidR="008369A3">
              <w:fldChar w:fldCharType="end"/>
            </w:r>
            <w:bookmarkEnd w:id="21"/>
            <w:r w:rsidR="00034125">
              <w:t xml:space="preserve"> </w:t>
            </w:r>
          </w:p>
        </w:tc>
      </w:tr>
    </w:tbl>
    <w:p w14:paraId="594EA33A" w14:textId="77777777" w:rsidR="00686F5E" w:rsidRDefault="00686F5E">
      <w:pPr>
        <w:pStyle w:val="IASpacer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95"/>
      </w:tblGrid>
      <w:tr w:rsidR="00720FFE" w14:paraId="727C2C4F" w14:textId="77777777" w:rsidTr="007E190E">
        <w:tc>
          <w:tcPr>
            <w:tcW w:w="5000" w:type="pct"/>
            <w:shd w:val="clear" w:color="auto" w:fill="auto"/>
          </w:tcPr>
          <w:p w14:paraId="38D8DBFC" w14:textId="2455EC97" w:rsidR="00720FFE" w:rsidRPr="007E190E" w:rsidRDefault="00720FFE" w:rsidP="001A04D2">
            <w:pPr>
              <w:pStyle w:val="IATableLabel"/>
              <w:rPr>
                <w:b w:val="0"/>
                <w:sz w:val="22"/>
                <w:szCs w:val="22"/>
              </w:rPr>
            </w:pPr>
            <w:r w:rsidRPr="00D02C89">
              <w:lastRenderedPageBreak/>
              <w:t xml:space="preserve">Will the policy be reviewed?  </w:t>
            </w:r>
            <w:r w:rsidRPr="007E190E">
              <w:rPr>
                <w:b w:val="0"/>
                <w:sz w:val="22"/>
                <w:szCs w:val="22"/>
              </w:rPr>
              <w:t xml:space="preserve">It </w:t>
            </w:r>
            <w:bookmarkStart w:id="22" w:name="IAPolicyReview"/>
            <w:r w:rsidR="00BB249D" w:rsidRPr="007E190E">
              <w:rPr>
                <w:rStyle w:val="IAIOPolicyReviewChar"/>
              </w:rPr>
              <w:fldChar w:fldCharType="begin">
                <w:ffData>
                  <w:name w:val="IAPolicyReview"/>
                  <w:enabled/>
                  <w:calcOnExit w:val="0"/>
                  <w:ddList>
                    <w:result w:val="1"/>
                    <w:listEntry w:val="will/will not"/>
                    <w:listEntry w:val="will"/>
                    <w:listEntry w:val="will not"/>
                  </w:ddList>
                </w:ffData>
              </w:fldChar>
            </w:r>
            <w:r w:rsidR="00BB249D" w:rsidRPr="007E190E">
              <w:rPr>
                <w:rStyle w:val="IAIOPolicyReviewChar"/>
              </w:rPr>
              <w:instrText xml:space="preserve"> FORMDROPDOWN </w:instrText>
            </w:r>
            <w:r w:rsidR="00714FF9">
              <w:rPr>
                <w:rStyle w:val="IAIOPolicyReviewChar"/>
              </w:rPr>
            </w:r>
            <w:r w:rsidR="00714FF9">
              <w:rPr>
                <w:rStyle w:val="IAIOPolicyReviewChar"/>
              </w:rPr>
              <w:fldChar w:fldCharType="separate"/>
            </w:r>
            <w:r w:rsidR="00BB249D" w:rsidRPr="007E190E">
              <w:rPr>
                <w:rStyle w:val="IAIOPolicyReviewChar"/>
              </w:rPr>
              <w:fldChar w:fldCharType="end"/>
            </w:r>
            <w:bookmarkEnd w:id="22"/>
            <w:r w:rsidR="00026EE5">
              <w:rPr>
                <w:rStyle w:val="IAIOPolicyReviewChar"/>
              </w:rPr>
              <w:t xml:space="preserve"> </w:t>
            </w:r>
            <w:r w:rsidRPr="007E190E">
              <w:rPr>
                <w:b w:val="0"/>
                <w:sz w:val="22"/>
                <w:szCs w:val="22"/>
              </w:rPr>
              <w:t>be reviewed.</w:t>
            </w:r>
            <w:r w:rsidRPr="007E190E">
              <w:rPr>
                <w:sz w:val="22"/>
                <w:szCs w:val="22"/>
              </w:rPr>
              <w:t xml:space="preserve"> </w:t>
            </w:r>
            <w:r w:rsidRPr="00D02C89">
              <w:t xml:space="preserve"> I</w:t>
            </w:r>
            <w:r w:rsidR="001A04D2">
              <w:t xml:space="preserve">f applicable, set review date: </w:t>
            </w:r>
            <w:r w:rsidR="001A04D2" w:rsidRPr="001A04D2">
              <w:rPr>
                <w:b w:val="0"/>
              </w:rPr>
              <w:t>5 years after commencement</w:t>
            </w:r>
          </w:p>
        </w:tc>
      </w:tr>
    </w:tbl>
    <w:p w14:paraId="20BCC3C5" w14:textId="77777777" w:rsidR="007E190E" w:rsidRPr="007E190E" w:rsidRDefault="007E190E" w:rsidP="007E190E">
      <w:pPr>
        <w:rPr>
          <w:vanish/>
        </w:rPr>
      </w:pPr>
      <w:bookmarkStart w:id="23" w:name="Summary4"/>
      <w:bookmarkEnd w:id="20"/>
    </w:p>
    <w:tbl>
      <w:tblPr>
        <w:tblW w:w="499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0" w:type="dxa"/>
          <w:right w:w="0" w:type="dxa"/>
        </w:tblCellMar>
        <w:tblLook w:val="01E0" w:firstRow="1" w:lastRow="1" w:firstColumn="1" w:lastColumn="1" w:noHBand="0" w:noVBand="0"/>
      </w:tblPr>
      <w:tblGrid>
        <w:gridCol w:w="5276"/>
        <w:gridCol w:w="981"/>
        <w:gridCol w:w="981"/>
        <w:gridCol w:w="981"/>
        <w:gridCol w:w="347"/>
        <w:gridCol w:w="634"/>
        <w:gridCol w:w="981"/>
      </w:tblGrid>
      <w:tr w:rsidR="006656EC" w:rsidRPr="00D50283" w14:paraId="7B15F30A" w14:textId="77777777">
        <w:trPr>
          <w:trHeight w:hRule="exact" w:val="340"/>
        </w:trPr>
        <w:tc>
          <w:tcPr>
            <w:tcW w:w="7252" w:type="dxa"/>
            <w:gridSpan w:val="3"/>
            <w:shd w:val="clear" w:color="auto" w:fill="E0E0E0"/>
            <w:vAlign w:val="center"/>
          </w:tcPr>
          <w:p w14:paraId="04AF13CB" w14:textId="77777777" w:rsidR="006656EC" w:rsidRPr="00D50283" w:rsidRDefault="006656EC" w:rsidP="006A0557">
            <w:pPr>
              <w:pStyle w:val="IATableText"/>
              <w:spacing w:before="0" w:after="0"/>
              <w:rPr>
                <w:sz w:val="20"/>
              </w:rPr>
            </w:pPr>
            <w:r w:rsidRPr="00D50283">
              <w:rPr>
                <w:iCs/>
                <w:sz w:val="20"/>
              </w:rPr>
              <w:t>Does implementation go beyond minimum EU requirements?</w:t>
            </w:r>
          </w:p>
        </w:tc>
        <w:bookmarkStart w:id="24" w:name="IACheckEU"/>
        <w:tc>
          <w:tcPr>
            <w:tcW w:w="2949" w:type="dxa"/>
            <w:gridSpan w:val="4"/>
            <w:tcBorders>
              <w:bottom w:val="single" w:sz="4" w:space="0" w:color="auto"/>
            </w:tcBorders>
            <w:shd w:val="clear" w:color="auto" w:fill="E0E0E0"/>
            <w:vAlign w:val="center"/>
          </w:tcPr>
          <w:p w14:paraId="4B970134" w14:textId="77777777" w:rsidR="006656EC" w:rsidRPr="00D50283" w:rsidRDefault="00BB249D" w:rsidP="00F91F5A">
            <w:pPr>
              <w:pStyle w:val="IAIOCheckEU"/>
            </w:pPr>
            <w:r>
              <w:fldChar w:fldCharType="begin">
                <w:ffData>
                  <w:name w:val="IACheckEU"/>
                  <w:enabled/>
                  <w:calcOnExit w:val="0"/>
                  <w:ddList>
                    <w:result w:val="3"/>
                    <w:listEntry w:val="Yes / No / N/A"/>
                    <w:listEntry w:val="Yes"/>
                    <w:listEntry w:val="No"/>
                    <w:listEntry w:val="N/A"/>
                  </w:ddList>
                </w:ffData>
              </w:fldChar>
            </w:r>
            <w:r>
              <w:instrText xml:space="preserve"> FORMDROPDOWN </w:instrText>
            </w:r>
            <w:r w:rsidR="00714FF9">
              <w:fldChar w:fldCharType="separate"/>
            </w:r>
            <w:r>
              <w:fldChar w:fldCharType="end"/>
            </w:r>
            <w:bookmarkEnd w:id="24"/>
          </w:p>
        </w:tc>
      </w:tr>
      <w:tr w:rsidR="006656EC" w:rsidRPr="00D50283" w14:paraId="766432F6" w14:textId="77777777">
        <w:trPr>
          <w:trHeight w:val="460"/>
        </w:trPr>
        <w:tc>
          <w:tcPr>
            <w:tcW w:w="5286" w:type="dxa"/>
            <w:shd w:val="clear" w:color="auto" w:fill="E0E0E0"/>
            <w:vAlign w:val="center"/>
          </w:tcPr>
          <w:p w14:paraId="1419CDF5" w14:textId="77777777" w:rsidR="006656EC" w:rsidRPr="00D50283" w:rsidRDefault="006656EC" w:rsidP="006A0557">
            <w:pPr>
              <w:pStyle w:val="IATableText"/>
              <w:spacing w:before="0" w:after="0"/>
              <w:rPr>
                <w:sz w:val="20"/>
              </w:rPr>
            </w:pPr>
            <w:r w:rsidRPr="00D50283">
              <w:rPr>
                <w:rFonts w:cs="Arial"/>
                <w:sz w:val="20"/>
              </w:rPr>
              <w:t>Are a</w:t>
            </w:r>
            <w:r>
              <w:rPr>
                <w:rFonts w:cs="Arial"/>
                <w:sz w:val="20"/>
              </w:rPr>
              <w:t>ny of these organisations in scope</w:t>
            </w:r>
            <w:r w:rsidRPr="00D50283">
              <w:rPr>
                <w:rFonts w:cs="Arial"/>
                <w:sz w:val="20"/>
              </w:rPr>
              <w:t>?</w:t>
            </w:r>
            <w:r>
              <w:rPr>
                <w:rFonts w:cs="Arial"/>
                <w:sz w:val="20"/>
              </w:rPr>
              <w:t xml:space="preserve"> If Micros not exempted set out reason in Evidence Base.</w:t>
            </w:r>
          </w:p>
        </w:tc>
        <w:tc>
          <w:tcPr>
            <w:tcW w:w="983" w:type="dxa"/>
            <w:shd w:val="clear" w:color="auto" w:fill="E0E0E0"/>
            <w:vAlign w:val="center"/>
          </w:tcPr>
          <w:p w14:paraId="3CFEE547" w14:textId="77777777" w:rsidR="006656EC" w:rsidRPr="00720FFE" w:rsidRDefault="006656EC" w:rsidP="006A0557">
            <w:pPr>
              <w:pStyle w:val="IATableLines"/>
              <w:rPr>
                <w:b/>
                <w:color w:val="000000"/>
                <w:sz w:val="20"/>
              </w:rPr>
            </w:pPr>
            <w:r w:rsidRPr="00720FFE">
              <w:rPr>
                <w:b/>
                <w:color w:val="000000"/>
                <w:sz w:val="20"/>
              </w:rPr>
              <w:t>Micro</w:t>
            </w:r>
            <w:bookmarkStart w:id="25" w:name="IACheckMicro"/>
            <w:r w:rsidR="00586D82" w:rsidRPr="00817638">
              <w:rPr>
                <w:rStyle w:val="IAIOCheckMicroChar"/>
                <w:b w:val="0"/>
                <w:sz w:val="20"/>
              </w:rPr>
              <w:fldChar w:fldCharType="begin">
                <w:ffData>
                  <w:name w:val="IACheckMicro"/>
                  <w:enabled/>
                  <w:calcOnExit w:val="0"/>
                  <w:ddList>
                    <w:result w:val="2"/>
                    <w:listEntry w:val="Yes/No"/>
                    <w:listEntry w:val="Yes"/>
                    <w:listEntry w:val="No"/>
                  </w:ddList>
                </w:ffData>
              </w:fldChar>
            </w:r>
            <w:r w:rsidR="00586D82" w:rsidRPr="00817638">
              <w:rPr>
                <w:rStyle w:val="IAIOCheckMicroChar"/>
                <w:b w:val="0"/>
                <w:sz w:val="20"/>
              </w:rPr>
              <w:instrText xml:space="preserve"> FORMDROPDOWN </w:instrText>
            </w:r>
            <w:r w:rsidR="00714FF9">
              <w:rPr>
                <w:rStyle w:val="IAIOCheckMicroChar"/>
                <w:b w:val="0"/>
                <w:sz w:val="20"/>
              </w:rPr>
            </w:r>
            <w:r w:rsidR="00714FF9">
              <w:rPr>
                <w:rStyle w:val="IAIOCheckMicroChar"/>
                <w:b w:val="0"/>
                <w:sz w:val="20"/>
              </w:rPr>
              <w:fldChar w:fldCharType="separate"/>
            </w:r>
            <w:r w:rsidR="00586D82" w:rsidRPr="00817638">
              <w:rPr>
                <w:rStyle w:val="IAIOCheckMicroChar"/>
                <w:b w:val="0"/>
                <w:sz w:val="20"/>
              </w:rPr>
              <w:fldChar w:fldCharType="end"/>
            </w:r>
            <w:bookmarkEnd w:id="25"/>
          </w:p>
        </w:tc>
        <w:tc>
          <w:tcPr>
            <w:tcW w:w="983" w:type="dxa"/>
            <w:shd w:val="clear" w:color="auto" w:fill="E0E0E0"/>
            <w:vAlign w:val="center"/>
          </w:tcPr>
          <w:p w14:paraId="19AEB441" w14:textId="77777777" w:rsidR="00586D82" w:rsidRDefault="006656EC" w:rsidP="006A0557">
            <w:pPr>
              <w:pStyle w:val="IATableLines"/>
              <w:rPr>
                <w:b/>
                <w:color w:val="000000"/>
                <w:sz w:val="20"/>
              </w:rPr>
            </w:pPr>
            <w:r w:rsidRPr="00720FFE">
              <w:rPr>
                <w:b/>
                <w:color w:val="000000"/>
                <w:sz w:val="20"/>
              </w:rPr>
              <w:t>&lt; 20</w:t>
            </w:r>
          </w:p>
          <w:p w14:paraId="5E45E4D3" w14:textId="77777777" w:rsidR="006656EC" w:rsidRPr="00720FFE" w:rsidRDefault="00BB249D" w:rsidP="00D478C9">
            <w:pPr>
              <w:pStyle w:val="IAIOCheck20"/>
              <w:rPr>
                <w:b/>
                <w:color w:val="000000"/>
              </w:rPr>
            </w:pPr>
            <w:r>
              <w:rPr>
                <w:b/>
                <w:color w:val="000000"/>
              </w:rPr>
              <w:t xml:space="preserve"> </w:t>
            </w:r>
            <w:bookmarkStart w:id="26" w:name="IACheck20"/>
            <w:r w:rsidR="00072272">
              <w:fldChar w:fldCharType="begin">
                <w:ffData>
                  <w:name w:val="IACheck20"/>
                  <w:enabled/>
                  <w:calcOnExit w:val="0"/>
                  <w:ddList>
                    <w:result w:val="2"/>
                    <w:listEntry w:val="Yes/No"/>
                    <w:listEntry w:val="Yes"/>
                    <w:listEntry w:val="No"/>
                  </w:ddList>
                </w:ffData>
              </w:fldChar>
            </w:r>
            <w:r w:rsidR="00072272">
              <w:instrText xml:space="preserve"> FORMDROPDOWN </w:instrText>
            </w:r>
            <w:r w:rsidR="00714FF9">
              <w:fldChar w:fldCharType="separate"/>
            </w:r>
            <w:r w:rsidR="00072272">
              <w:fldChar w:fldCharType="end"/>
            </w:r>
            <w:bookmarkEnd w:id="26"/>
          </w:p>
        </w:tc>
        <w:tc>
          <w:tcPr>
            <w:tcW w:w="983" w:type="dxa"/>
            <w:shd w:val="clear" w:color="auto" w:fill="E0E0E0"/>
            <w:vAlign w:val="center"/>
          </w:tcPr>
          <w:p w14:paraId="3A6849DF" w14:textId="77777777" w:rsidR="006656EC" w:rsidRPr="00720FFE" w:rsidRDefault="006656EC" w:rsidP="006A0557">
            <w:pPr>
              <w:pStyle w:val="IATableLines"/>
              <w:rPr>
                <w:b/>
                <w:color w:val="000000"/>
                <w:sz w:val="20"/>
              </w:rPr>
            </w:pPr>
            <w:r w:rsidRPr="00720FFE">
              <w:rPr>
                <w:b/>
                <w:color w:val="000000"/>
                <w:sz w:val="20"/>
              </w:rPr>
              <w:t>Small</w:t>
            </w:r>
            <w:bookmarkStart w:id="27" w:name="IACheckSmall"/>
            <w:r w:rsidR="00072272" w:rsidRPr="00817638">
              <w:rPr>
                <w:rStyle w:val="IAIOCheckSmallChar"/>
                <w:b w:val="0"/>
                <w:sz w:val="20"/>
              </w:rPr>
              <w:fldChar w:fldCharType="begin">
                <w:ffData>
                  <w:name w:val="IACheckSmall"/>
                  <w:enabled/>
                  <w:calcOnExit w:val="0"/>
                  <w:ddList>
                    <w:result w:val="2"/>
                    <w:listEntry w:val="Yes/No"/>
                    <w:listEntry w:val="Yes"/>
                    <w:listEntry w:val="No"/>
                  </w:ddList>
                </w:ffData>
              </w:fldChar>
            </w:r>
            <w:r w:rsidR="00072272" w:rsidRPr="00817638">
              <w:rPr>
                <w:rStyle w:val="IAIOCheckSmallChar"/>
                <w:b w:val="0"/>
                <w:sz w:val="20"/>
              </w:rPr>
              <w:instrText xml:space="preserve"> FORMDROPDOWN </w:instrText>
            </w:r>
            <w:r w:rsidR="00714FF9">
              <w:rPr>
                <w:rStyle w:val="IAIOCheckSmallChar"/>
                <w:b w:val="0"/>
                <w:sz w:val="20"/>
              </w:rPr>
            </w:r>
            <w:r w:rsidR="00714FF9">
              <w:rPr>
                <w:rStyle w:val="IAIOCheckSmallChar"/>
                <w:b w:val="0"/>
                <w:sz w:val="20"/>
              </w:rPr>
              <w:fldChar w:fldCharType="separate"/>
            </w:r>
            <w:r w:rsidR="00072272" w:rsidRPr="00817638">
              <w:rPr>
                <w:rStyle w:val="IAIOCheckSmallChar"/>
                <w:b w:val="0"/>
                <w:sz w:val="20"/>
              </w:rPr>
              <w:fldChar w:fldCharType="end"/>
            </w:r>
            <w:bookmarkEnd w:id="27"/>
          </w:p>
        </w:tc>
        <w:tc>
          <w:tcPr>
            <w:tcW w:w="983" w:type="dxa"/>
            <w:gridSpan w:val="2"/>
            <w:shd w:val="clear" w:color="auto" w:fill="E0E0E0"/>
            <w:vAlign w:val="center"/>
          </w:tcPr>
          <w:p w14:paraId="4DE6B3F9" w14:textId="77777777" w:rsidR="006656EC" w:rsidRPr="00720FFE" w:rsidRDefault="006656EC" w:rsidP="006A0557">
            <w:pPr>
              <w:pStyle w:val="IATableLines"/>
              <w:rPr>
                <w:b/>
                <w:color w:val="000000"/>
                <w:sz w:val="20"/>
              </w:rPr>
            </w:pPr>
            <w:r w:rsidRPr="00720FFE">
              <w:rPr>
                <w:b/>
                <w:color w:val="000000"/>
                <w:sz w:val="20"/>
              </w:rPr>
              <w:t>Medium</w:t>
            </w:r>
            <w:bookmarkStart w:id="28" w:name="IACheckMedium"/>
            <w:r w:rsidR="00072272" w:rsidRPr="00817638">
              <w:rPr>
                <w:rStyle w:val="IAIOCheckMediumChar"/>
                <w:b w:val="0"/>
                <w:sz w:val="20"/>
              </w:rPr>
              <w:fldChar w:fldCharType="begin">
                <w:ffData>
                  <w:name w:val="IACheckMedium"/>
                  <w:enabled/>
                  <w:calcOnExit w:val="0"/>
                  <w:ddList>
                    <w:result w:val="2"/>
                    <w:listEntry w:val="Yes/No"/>
                    <w:listEntry w:val="Yes"/>
                    <w:listEntry w:val="No"/>
                  </w:ddList>
                </w:ffData>
              </w:fldChar>
            </w:r>
            <w:r w:rsidR="00072272" w:rsidRPr="00817638">
              <w:rPr>
                <w:rStyle w:val="IAIOCheckMediumChar"/>
                <w:b w:val="0"/>
                <w:sz w:val="20"/>
              </w:rPr>
              <w:instrText xml:space="preserve"> FORMDROPDOWN </w:instrText>
            </w:r>
            <w:r w:rsidR="00714FF9">
              <w:rPr>
                <w:rStyle w:val="IAIOCheckMediumChar"/>
                <w:b w:val="0"/>
                <w:sz w:val="20"/>
              </w:rPr>
            </w:r>
            <w:r w:rsidR="00714FF9">
              <w:rPr>
                <w:rStyle w:val="IAIOCheckMediumChar"/>
                <w:b w:val="0"/>
                <w:sz w:val="20"/>
              </w:rPr>
              <w:fldChar w:fldCharType="separate"/>
            </w:r>
            <w:r w:rsidR="00072272" w:rsidRPr="00817638">
              <w:rPr>
                <w:rStyle w:val="IAIOCheckMediumChar"/>
                <w:b w:val="0"/>
                <w:sz w:val="20"/>
              </w:rPr>
              <w:fldChar w:fldCharType="end"/>
            </w:r>
            <w:bookmarkEnd w:id="28"/>
          </w:p>
        </w:tc>
        <w:tc>
          <w:tcPr>
            <w:tcW w:w="983" w:type="dxa"/>
            <w:shd w:val="clear" w:color="auto" w:fill="E0E0E0"/>
            <w:vAlign w:val="center"/>
          </w:tcPr>
          <w:p w14:paraId="269327A2" w14:textId="77777777" w:rsidR="006656EC" w:rsidRPr="00720FFE" w:rsidRDefault="006656EC" w:rsidP="006A0557">
            <w:pPr>
              <w:pStyle w:val="IATableLines"/>
              <w:rPr>
                <w:b/>
                <w:color w:val="000000"/>
                <w:sz w:val="20"/>
              </w:rPr>
            </w:pPr>
            <w:r w:rsidRPr="00720FFE">
              <w:rPr>
                <w:b/>
                <w:color w:val="000000"/>
                <w:sz w:val="20"/>
              </w:rPr>
              <w:t>Large</w:t>
            </w:r>
            <w:bookmarkStart w:id="29" w:name="IACheckLarge"/>
            <w:r w:rsidR="00072272" w:rsidRPr="00817638">
              <w:rPr>
                <w:rStyle w:val="IAIOCheckLargeChar"/>
                <w:b w:val="0"/>
                <w:sz w:val="20"/>
              </w:rPr>
              <w:fldChar w:fldCharType="begin">
                <w:ffData>
                  <w:name w:val="IACheckLarge"/>
                  <w:enabled/>
                  <w:calcOnExit w:val="0"/>
                  <w:ddList>
                    <w:result w:val="1"/>
                    <w:listEntry w:val="Yes/No"/>
                    <w:listEntry w:val="Yes"/>
                    <w:listEntry w:val="No"/>
                  </w:ddList>
                </w:ffData>
              </w:fldChar>
            </w:r>
            <w:r w:rsidR="00072272" w:rsidRPr="00817638">
              <w:rPr>
                <w:rStyle w:val="IAIOCheckLargeChar"/>
                <w:b w:val="0"/>
                <w:sz w:val="20"/>
              </w:rPr>
              <w:instrText xml:space="preserve"> FORMDROPDOWN </w:instrText>
            </w:r>
            <w:r w:rsidR="00714FF9">
              <w:rPr>
                <w:rStyle w:val="IAIOCheckLargeChar"/>
                <w:b w:val="0"/>
                <w:sz w:val="20"/>
              </w:rPr>
            </w:r>
            <w:r w:rsidR="00714FF9">
              <w:rPr>
                <w:rStyle w:val="IAIOCheckLargeChar"/>
                <w:b w:val="0"/>
                <w:sz w:val="20"/>
              </w:rPr>
              <w:fldChar w:fldCharType="separate"/>
            </w:r>
            <w:r w:rsidR="00072272" w:rsidRPr="00817638">
              <w:rPr>
                <w:rStyle w:val="IAIOCheckLargeChar"/>
                <w:b w:val="0"/>
                <w:sz w:val="20"/>
              </w:rPr>
              <w:fldChar w:fldCharType="end"/>
            </w:r>
            <w:bookmarkEnd w:id="29"/>
          </w:p>
        </w:tc>
      </w:tr>
      <w:tr w:rsidR="00817638" w14:paraId="7DF7914D" w14:textId="77777777">
        <w:tblPrEx>
          <w:shd w:val="clear" w:color="auto" w:fill="auto"/>
        </w:tblPrEx>
        <w:trPr>
          <w:trHeight w:hRule="exact" w:val="567"/>
        </w:trPr>
        <w:tc>
          <w:tcPr>
            <w:tcW w:w="7252"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7D0401A6" w14:textId="77777777" w:rsidR="00817638" w:rsidRDefault="00817638" w:rsidP="006A0557">
            <w:pPr>
              <w:pStyle w:val="IATableText"/>
              <w:spacing w:before="0" w:after="0"/>
              <w:rPr>
                <w:rFonts w:eastAsia="Times New Roman"/>
                <w:sz w:val="16"/>
                <w:szCs w:val="16"/>
              </w:rPr>
            </w:pPr>
            <w:r>
              <w:rPr>
                <w:rFonts w:cs="Arial"/>
                <w:sz w:val="20"/>
              </w:rPr>
              <w:t>What is the CO</w:t>
            </w:r>
            <w:r w:rsidRPr="00FC07D5">
              <w:rPr>
                <w:rFonts w:cs="Arial"/>
                <w:sz w:val="20"/>
                <w:vertAlign w:val="subscript"/>
              </w:rPr>
              <w:t>2</w:t>
            </w:r>
            <w:r>
              <w:rPr>
                <w:rFonts w:cs="Arial"/>
                <w:sz w:val="20"/>
              </w:rPr>
              <w:t xml:space="preserve"> equivalent change in greenhouse gas emissions? </w:t>
            </w:r>
            <w:r>
              <w:rPr>
                <w:rFonts w:cs="Arial"/>
                <w:sz w:val="20"/>
              </w:rPr>
              <w:br/>
              <w:t xml:space="preserve">(Million tonnes </w:t>
            </w:r>
            <w:r w:rsidR="00FC07D5">
              <w:rPr>
                <w:rFonts w:cs="Arial"/>
                <w:sz w:val="20"/>
              </w:rPr>
              <w:t>CO</w:t>
            </w:r>
            <w:r w:rsidR="00FC07D5" w:rsidRPr="00FC07D5">
              <w:rPr>
                <w:rFonts w:cs="Arial"/>
                <w:sz w:val="20"/>
                <w:vertAlign w:val="subscript"/>
              </w:rPr>
              <w:t>2</w:t>
            </w:r>
            <w:r>
              <w:rPr>
                <w:rFonts w:cs="Arial"/>
                <w:sz w:val="20"/>
              </w:rPr>
              <w:t xml:space="preserve"> equivalent)</w:t>
            </w:r>
            <w:r>
              <w:rPr>
                <w:spacing w:val="0"/>
                <w:sz w:val="18"/>
              </w:rPr>
              <w:t xml:space="preserve">  </w:t>
            </w:r>
          </w:p>
        </w:tc>
        <w:tc>
          <w:tcPr>
            <w:tcW w:w="1331" w:type="dxa"/>
            <w:gridSpan w:val="2"/>
            <w:tcBorders>
              <w:top w:val="single" w:sz="4" w:space="0" w:color="auto"/>
              <w:left w:val="single" w:sz="4" w:space="0" w:color="auto"/>
              <w:bottom w:val="single" w:sz="4" w:space="0" w:color="auto"/>
              <w:right w:val="single" w:sz="4" w:space="0" w:color="auto"/>
            </w:tcBorders>
            <w:shd w:val="clear" w:color="auto" w:fill="E0E0E0"/>
          </w:tcPr>
          <w:p w14:paraId="1DC027EE" w14:textId="77777777" w:rsidR="00817638" w:rsidRDefault="00817638" w:rsidP="008A6491">
            <w:pPr>
              <w:pStyle w:val="IATableLabel"/>
            </w:pPr>
            <w:r>
              <w:t xml:space="preserve">Traded:   </w:t>
            </w:r>
            <w:r>
              <w:br/>
            </w:r>
            <w:bookmarkStart w:id="30" w:name="IACO2Traded"/>
            <w:r w:rsidRPr="00335C9A">
              <w:rPr>
                <w:rStyle w:val="IAIOCO2TradedChar"/>
                <w:sz w:val="20"/>
              </w:rPr>
              <w:fldChar w:fldCharType="begin">
                <w:ffData>
                  <w:name w:val="IACO2Traded"/>
                  <w:enabled/>
                  <w:calcOnExit w:val="0"/>
                  <w:textInput>
                    <w:maxLength w:val="8"/>
                  </w:textInput>
                </w:ffData>
              </w:fldChar>
            </w:r>
            <w:r w:rsidRPr="00335C9A">
              <w:rPr>
                <w:rStyle w:val="IAIOCO2TradedChar"/>
                <w:sz w:val="20"/>
              </w:rPr>
              <w:instrText xml:space="preserve"> FORMTEXT </w:instrText>
            </w:r>
            <w:r w:rsidRPr="00335C9A">
              <w:rPr>
                <w:rStyle w:val="IAIOCO2TradedChar"/>
                <w:sz w:val="20"/>
              </w:rPr>
            </w:r>
            <w:r w:rsidRPr="00335C9A">
              <w:rPr>
                <w:rStyle w:val="IAIOCO2TradedChar"/>
                <w:sz w:val="20"/>
              </w:rPr>
              <w:fldChar w:fldCharType="separate"/>
            </w:r>
            <w:r w:rsidRPr="00335C9A">
              <w:rPr>
                <w:rStyle w:val="IAIOCO2TradedChar"/>
                <w:sz w:val="20"/>
              </w:rPr>
              <w:t> </w:t>
            </w:r>
            <w:r w:rsidRPr="00335C9A">
              <w:rPr>
                <w:rStyle w:val="IAIOCO2TradedChar"/>
                <w:sz w:val="20"/>
              </w:rPr>
              <w:t> </w:t>
            </w:r>
            <w:r w:rsidRPr="00335C9A">
              <w:rPr>
                <w:rStyle w:val="IAIOCO2TradedChar"/>
                <w:sz w:val="20"/>
              </w:rPr>
              <w:t> </w:t>
            </w:r>
            <w:r w:rsidRPr="00335C9A">
              <w:rPr>
                <w:rStyle w:val="IAIOCO2TradedChar"/>
                <w:sz w:val="20"/>
              </w:rPr>
              <w:t> </w:t>
            </w:r>
            <w:r w:rsidRPr="00335C9A">
              <w:rPr>
                <w:rStyle w:val="IAIOCO2TradedChar"/>
                <w:sz w:val="20"/>
              </w:rPr>
              <w:t> </w:t>
            </w:r>
            <w:r w:rsidRPr="00335C9A">
              <w:rPr>
                <w:rStyle w:val="IAIOCO2TradedChar"/>
                <w:sz w:val="20"/>
              </w:rPr>
              <w:fldChar w:fldCharType="end"/>
            </w:r>
            <w:bookmarkEnd w:id="30"/>
          </w:p>
        </w:tc>
        <w:tc>
          <w:tcPr>
            <w:tcW w:w="1618" w:type="dxa"/>
            <w:gridSpan w:val="2"/>
            <w:tcBorders>
              <w:top w:val="single" w:sz="4" w:space="0" w:color="auto"/>
              <w:left w:val="single" w:sz="4" w:space="0" w:color="auto"/>
              <w:bottom w:val="single" w:sz="4" w:space="0" w:color="auto"/>
              <w:right w:val="single" w:sz="4" w:space="0" w:color="auto"/>
            </w:tcBorders>
            <w:shd w:val="clear" w:color="auto" w:fill="E0E0E0"/>
          </w:tcPr>
          <w:p w14:paraId="6FC89B37" w14:textId="77777777" w:rsidR="00817638" w:rsidRDefault="00817638" w:rsidP="008A6491">
            <w:pPr>
              <w:pStyle w:val="IATableLabel"/>
            </w:pPr>
            <w:r>
              <w:t xml:space="preserve">Non-traded:   </w:t>
            </w:r>
            <w:r>
              <w:br/>
            </w:r>
            <w:bookmarkStart w:id="31" w:name="IACO2NonTraded"/>
            <w:r w:rsidR="008155E3">
              <w:rPr>
                <w:rStyle w:val="IAIOCO2TradedChar"/>
                <w:sz w:val="20"/>
              </w:rPr>
              <w:fldChar w:fldCharType="begin">
                <w:ffData>
                  <w:name w:val="IACO2NonTraded"/>
                  <w:enabled/>
                  <w:calcOnExit w:val="0"/>
                  <w:textInput>
                    <w:maxLength w:val="8"/>
                  </w:textInput>
                </w:ffData>
              </w:fldChar>
            </w:r>
            <w:r w:rsidR="008155E3">
              <w:rPr>
                <w:rStyle w:val="IAIOCO2TradedChar"/>
                <w:sz w:val="20"/>
              </w:rPr>
              <w:instrText xml:space="preserve"> FORMTEXT </w:instrText>
            </w:r>
            <w:r w:rsidR="008155E3">
              <w:rPr>
                <w:rStyle w:val="IAIOCO2TradedChar"/>
                <w:sz w:val="20"/>
              </w:rPr>
            </w:r>
            <w:r w:rsidR="008155E3">
              <w:rPr>
                <w:rStyle w:val="IAIOCO2TradedChar"/>
                <w:sz w:val="20"/>
              </w:rPr>
              <w:fldChar w:fldCharType="separate"/>
            </w:r>
            <w:r w:rsidR="008155E3">
              <w:rPr>
                <w:rStyle w:val="IAIOCO2TradedChar"/>
                <w:noProof/>
                <w:sz w:val="20"/>
              </w:rPr>
              <w:t> </w:t>
            </w:r>
            <w:r w:rsidR="008155E3">
              <w:rPr>
                <w:rStyle w:val="IAIOCO2TradedChar"/>
                <w:noProof/>
                <w:sz w:val="20"/>
              </w:rPr>
              <w:t> </w:t>
            </w:r>
            <w:r w:rsidR="008155E3">
              <w:rPr>
                <w:rStyle w:val="IAIOCO2TradedChar"/>
                <w:noProof/>
                <w:sz w:val="20"/>
              </w:rPr>
              <w:t> </w:t>
            </w:r>
            <w:r w:rsidR="008155E3">
              <w:rPr>
                <w:rStyle w:val="IAIOCO2TradedChar"/>
                <w:noProof/>
                <w:sz w:val="20"/>
              </w:rPr>
              <w:t> </w:t>
            </w:r>
            <w:r w:rsidR="008155E3">
              <w:rPr>
                <w:rStyle w:val="IAIOCO2TradedChar"/>
                <w:noProof/>
                <w:sz w:val="20"/>
              </w:rPr>
              <w:t> </w:t>
            </w:r>
            <w:r w:rsidR="008155E3">
              <w:rPr>
                <w:rStyle w:val="IAIOCO2TradedChar"/>
                <w:sz w:val="20"/>
              </w:rPr>
              <w:fldChar w:fldCharType="end"/>
            </w:r>
            <w:bookmarkEnd w:id="31"/>
          </w:p>
        </w:tc>
      </w:tr>
    </w:tbl>
    <w:p w14:paraId="1D8E2EC9" w14:textId="77777777" w:rsidR="00214EB3" w:rsidRPr="00DF2F4B" w:rsidRDefault="00214EB3">
      <w:pPr>
        <w:pStyle w:val="IASign-off"/>
        <w:rPr>
          <w:sz w:val="20"/>
        </w:rPr>
      </w:pPr>
      <w:bookmarkStart w:id="32" w:name="SignOfftext"/>
      <w:bookmarkEnd w:id="23"/>
      <w:r w:rsidRPr="00DF2F4B">
        <w:rPr>
          <w:sz w:val="20"/>
        </w:rPr>
        <w:t>I have read the Impact Assessment and I am satisfied that, given the available evidence, it represents a reasonable view of the likely costs, benefits and impact of the leading options.</w:t>
      </w:r>
    </w:p>
    <w:tbl>
      <w:tblPr>
        <w:tblW w:w="6011" w:type="pct"/>
        <w:tblLayout w:type="fixed"/>
        <w:tblCellMar>
          <w:left w:w="0" w:type="dxa"/>
          <w:right w:w="0" w:type="dxa"/>
        </w:tblCellMar>
        <w:tblLook w:val="0000" w:firstRow="0" w:lastRow="0" w:firstColumn="0" w:lastColumn="0" w:noHBand="0" w:noVBand="0"/>
      </w:tblPr>
      <w:tblGrid>
        <w:gridCol w:w="4815"/>
        <w:gridCol w:w="2702"/>
        <w:gridCol w:w="707"/>
        <w:gridCol w:w="2022"/>
        <w:gridCol w:w="2022"/>
      </w:tblGrid>
      <w:tr w:rsidR="007C0713" w:rsidRPr="008C17FA" w14:paraId="17D6CDA8" w14:textId="77777777" w:rsidTr="007C0713">
        <w:trPr>
          <w:cantSplit/>
          <w:trHeight w:hRule="exact" w:val="767"/>
        </w:trPr>
        <w:tc>
          <w:tcPr>
            <w:tcW w:w="1962" w:type="pct"/>
            <w:vAlign w:val="bottom"/>
          </w:tcPr>
          <w:p w14:paraId="72A59993" w14:textId="7E9EC81F" w:rsidR="007C0713" w:rsidRPr="003E1D10" w:rsidRDefault="007C0713" w:rsidP="00EE4151">
            <w:pPr>
              <w:pStyle w:val="IASignature"/>
              <w:tabs>
                <w:tab w:val="clear" w:pos="6804"/>
                <w:tab w:val="clear" w:pos="10206"/>
                <w:tab w:val="left" w:leader="dot" w:pos="7380"/>
              </w:tabs>
              <w:ind w:right="284"/>
            </w:pPr>
            <w:r w:rsidRPr="003E1D10">
              <w:t xml:space="preserve">Signed by the responsible </w:t>
            </w:r>
            <w:r w:rsidR="00EE4151">
              <w:fldChar w:fldCharType="begin">
                <w:ffData>
                  <w:name w:val="IASignedBy"/>
                  <w:enabled/>
                  <w:calcOnExit w:val="0"/>
                  <w:ddList>
                    <w:listEntry w:val="Minister"/>
                  </w:ddList>
                </w:ffData>
              </w:fldChar>
            </w:r>
            <w:bookmarkStart w:id="33" w:name="IASignedBy"/>
            <w:r w:rsidR="00EE4151">
              <w:instrText xml:space="preserve"> FORMDROPDOWN </w:instrText>
            </w:r>
            <w:r w:rsidR="00714FF9">
              <w:fldChar w:fldCharType="separate"/>
            </w:r>
            <w:r w:rsidR="00EE4151">
              <w:fldChar w:fldCharType="end"/>
            </w:r>
            <w:bookmarkEnd w:id="33"/>
            <w:r w:rsidRPr="003E1D10">
              <w:t>:</w:t>
            </w:r>
          </w:p>
        </w:tc>
        <w:tc>
          <w:tcPr>
            <w:tcW w:w="1101" w:type="pct"/>
            <w:tcBorders>
              <w:bottom w:val="dashSmallGap" w:sz="4" w:space="0" w:color="auto"/>
            </w:tcBorders>
            <w:vAlign w:val="bottom"/>
          </w:tcPr>
          <w:p w14:paraId="5601A452" w14:textId="77777777" w:rsidR="007C0713" w:rsidRPr="008C17FA" w:rsidRDefault="007C0713" w:rsidP="006A487B">
            <w:pPr>
              <w:pStyle w:val="IAIOtextSign"/>
              <w:ind w:left="113" w:right="113"/>
              <w:jc w:val="left"/>
              <w:rPr>
                <w:rFonts w:eastAsia="SimSun"/>
                <w:spacing w:val="-5"/>
                <w:sz w:val="22"/>
                <w:szCs w:val="20"/>
                <w:lang w:eastAsia="zh-CN"/>
              </w:rPr>
            </w:pPr>
          </w:p>
        </w:tc>
        <w:tc>
          <w:tcPr>
            <w:tcW w:w="288" w:type="pct"/>
            <w:vAlign w:val="bottom"/>
          </w:tcPr>
          <w:p w14:paraId="1809CAD0" w14:textId="77777777" w:rsidR="007C0713" w:rsidRPr="003E1D10" w:rsidRDefault="007C0713" w:rsidP="00CC48B0">
            <w:pPr>
              <w:pStyle w:val="IASignature"/>
              <w:tabs>
                <w:tab w:val="clear" w:pos="6804"/>
                <w:tab w:val="clear" w:pos="10206"/>
                <w:tab w:val="left" w:leader="dot" w:pos="7380"/>
              </w:tabs>
              <w:ind w:right="1"/>
            </w:pPr>
            <w:r>
              <w:t> Dat</w:t>
            </w:r>
            <w:r w:rsidRPr="003E1D10">
              <w:t>e:</w:t>
            </w:r>
          </w:p>
        </w:tc>
        <w:bookmarkStart w:id="34" w:name="SigDate"/>
        <w:tc>
          <w:tcPr>
            <w:tcW w:w="824" w:type="pct"/>
            <w:tcBorders>
              <w:bottom w:val="dashSmallGap" w:sz="4" w:space="0" w:color="auto"/>
            </w:tcBorders>
            <w:vAlign w:val="bottom"/>
          </w:tcPr>
          <w:p w14:paraId="4AB64C0D" w14:textId="77777777" w:rsidR="007C0713" w:rsidRPr="008C17FA" w:rsidRDefault="007C0713" w:rsidP="006A487B">
            <w:pPr>
              <w:pStyle w:val="IAIOSigDate"/>
              <w:ind w:left="113" w:right="113"/>
              <w:jc w:val="left"/>
              <w:rPr>
                <w:rFonts w:eastAsia="SimSun"/>
                <w:spacing w:val="-5"/>
                <w:szCs w:val="20"/>
                <w:lang w:eastAsia="zh-CN"/>
              </w:rPr>
            </w:pPr>
            <w:r w:rsidRPr="008C17FA">
              <w:rPr>
                <w:rFonts w:eastAsia="SimSun"/>
                <w:spacing w:val="-5"/>
                <w:szCs w:val="20"/>
                <w:lang w:eastAsia="zh-CN"/>
              </w:rPr>
              <w:fldChar w:fldCharType="begin">
                <w:ffData>
                  <w:name w:val="SigDate"/>
                  <w:enabled/>
                  <w:calcOnExit w:val="0"/>
                  <w:textInput/>
                </w:ffData>
              </w:fldChar>
            </w:r>
            <w:r w:rsidRPr="008C17FA">
              <w:rPr>
                <w:rFonts w:eastAsia="SimSun"/>
                <w:spacing w:val="-5"/>
                <w:szCs w:val="20"/>
                <w:lang w:eastAsia="zh-CN"/>
              </w:rPr>
              <w:instrText xml:space="preserve"> FORMTEXT </w:instrText>
            </w:r>
            <w:r w:rsidRPr="008C17FA">
              <w:rPr>
                <w:rFonts w:eastAsia="SimSun"/>
                <w:spacing w:val="-5"/>
                <w:szCs w:val="20"/>
                <w:lang w:eastAsia="zh-CN"/>
              </w:rPr>
            </w:r>
            <w:r w:rsidRPr="008C17FA">
              <w:rPr>
                <w:rFonts w:eastAsia="SimSun"/>
                <w:spacing w:val="-5"/>
                <w:szCs w:val="20"/>
                <w:lang w:eastAsia="zh-CN"/>
              </w:rPr>
              <w:fldChar w:fldCharType="separate"/>
            </w:r>
            <w:r>
              <w:rPr>
                <w:rFonts w:eastAsia="SimSun"/>
                <w:noProof/>
                <w:spacing w:val="-5"/>
                <w:szCs w:val="20"/>
                <w:lang w:eastAsia="zh-CN"/>
              </w:rPr>
              <w:t> </w:t>
            </w:r>
            <w:r>
              <w:rPr>
                <w:rFonts w:eastAsia="SimSun"/>
                <w:noProof/>
                <w:spacing w:val="-5"/>
                <w:szCs w:val="20"/>
                <w:lang w:eastAsia="zh-CN"/>
              </w:rPr>
              <w:t> </w:t>
            </w:r>
            <w:r>
              <w:rPr>
                <w:rFonts w:eastAsia="SimSun"/>
                <w:noProof/>
                <w:spacing w:val="-5"/>
                <w:szCs w:val="20"/>
                <w:lang w:eastAsia="zh-CN"/>
              </w:rPr>
              <w:t> </w:t>
            </w:r>
            <w:r>
              <w:rPr>
                <w:rFonts w:eastAsia="SimSun"/>
                <w:noProof/>
                <w:spacing w:val="-5"/>
                <w:szCs w:val="20"/>
                <w:lang w:eastAsia="zh-CN"/>
              </w:rPr>
              <w:t> </w:t>
            </w:r>
            <w:r>
              <w:rPr>
                <w:rFonts w:eastAsia="SimSun"/>
                <w:noProof/>
                <w:spacing w:val="-5"/>
                <w:szCs w:val="20"/>
                <w:lang w:eastAsia="zh-CN"/>
              </w:rPr>
              <w:t> </w:t>
            </w:r>
            <w:r w:rsidRPr="008C17FA">
              <w:rPr>
                <w:rFonts w:eastAsia="SimSun"/>
                <w:spacing w:val="-5"/>
                <w:szCs w:val="20"/>
                <w:lang w:eastAsia="zh-CN"/>
              </w:rPr>
              <w:fldChar w:fldCharType="end"/>
            </w:r>
            <w:bookmarkEnd w:id="34"/>
          </w:p>
        </w:tc>
        <w:tc>
          <w:tcPr>
            <w:tcW w:w="824" w:type="pct"/>
            <w:tcBorders>
              <w:bottom w:val="dashSmallGap" w:sz="4" w:space="0" w:color="auto"/>
            </w:tcBorders>
          </w:tcPr>
          <w:p w14:paraId="4E907B4B" w14:textId="77777777" w:rsidR="007C0713" w:rsidRPr="008C17FA" w:rsidRDefault="007C0713" w:rsidP="006A487B">
            <w:pPr>
              <w:pStyle w:val="IAIOSigDate"/>
              <w:ind w:left="113" w:right="113"/>
              <w:jc w:val="left"/>
              <w:rPr>
                <w:rFonts w:eastAsia="SimSun"/>
                <w:spacing w:val="-5"/>
                <w:szCs w:val="20"/>
                <w:lang w:eastAsia="zh-CN"/>
              </w:rPr>
            </w:pPr>
          </w:p>
        </w:tc>
      </w:tr>
      <w:bookmarkEnd w:id="32"/>
    </w:tbl>
    <w:p w14:paraId="269C5E9B" w14:textId="77777777" w:rsidR="00F1328C" w:rsidRDefault="00F1328C" w:rsidP="005A3880">
      <w:pPr>
        <w:pStyle w:val="Heading1"/>
        <w:spacing w:before="0"/>
        <w:sectPr w:rsidR="00F1328C" w:rsidSect="005A3880">
          <w:headerReference w:type="default" r:id="rId8"/>
          <w:footerReference w:type="default" r:id="rId9"/>
          <w:footnotePr>
            <w:numRestart w:val="eachSect"/>
          </w:footnotePr>
          <w:type w:val="continuous"/>
          <w:pgSz w:w="11907" w:h="16840" w:code="9"/>
          <w:pgMar w:top="680" w:right="851" w:bottom="680" w:left="851" w:header="284" w:footer="284" w:gutter="0"/>
          <w:cols w:space="708"/>
          <w:docGrid w:linePitch="360"/>
        </w:sectPr>
      </w:pPr>
    </w:p>
    <w:p w14:paraId="57E6191A" w14:textId="77777777" w:rsidR="001844B6" w:rsidRDefault="001844B6" w:rsidP="005A3880">
      <w:pPr>
        <w:pStyle w:val="Heading1"/>
        <w:spacing w:before="0"/>
      </w:pPr>
      <w:r>
        <w:lastRenderedPageBreak/>
        <w:t>Summary: Analysis &amp; Evidence</w:t>
      </w:r>
      <w:r>
        <w:tab/>
      </w:r>
      <w:r w:rsidRPr="00E3545D">
        <w:rPr>
          <w:rFonts w:ascii="Arial" w:hAnsi="Arial"/>
          <w:b w:val="0"/>
          <w:bCs w:val="0"/>
        </w:rPr>
        <w:t xml:space="preserve">Policy Option </w:t>
      </w:r>
      <w:r>
        <w:rPr>
          <w:rFonts w:ascii="Arial" w:hAnsi="Arial"/>
          <w:b w:val="0"/>
          <w:bCs w:val="0"/>
        </w:rPr>
        <w:fldChar w:fldCharType="begin"/>
      </w:r>
      <w:r>
        <w:rPr>
          <w:rFonts w:ascii="Arial" w:hAnsi="Arial"/>
          <w:b w:val="0"/>
          <w:bCs w:val="0"/>
        </w:rPr>
        <w:instrText xml:space="preserve"> SEQ Policy </w:instrText>
      </w:r>
      <w:r>
        <w:rPr>
          <w:rFonts w:ascii="Arial" w:hAnsi="Arial"/>
          <w:b w:val="0"/>
          <w:bCs w:val="0"/>
        </w:rPr>
        <w:fldChar w:fldCharType="separate"/>
      </w:r>
      <w:r w:rsidR="00714D27">
        <w:rPr>
          <w:rFonts w:ascii="Arial" w:hAnsi="Arial"/>
          <w:b w:val="0"/>
          <w:bCs w:val="0"/>
          <w:noProof/>
        </w:rPr>
        <w:t>1</w:t>
      </w:r>
      <w:r>
        <w:rPr>
          <w:rFonts w:ascii="Arial" w:hAnsi="Arial"/>
          <w:b w:val="0"/>
          <w:bCs w:val="0"/>
        </w:rPr>
        <w:fldChar w:fldCharType="end"/>
      </w:r>
    </w:p>
    <w:p w14:paraId="315DEE83" w14:textId="77777777" w:rsidR="001844B6" w:rsidRDefault="001844B6" w:rsidP="005A3880">
      <w:pPr>
        <w:pStyle w:val="IAHeadLabel"/>
        <w:spacing w:before="50"/>
      </w:pPr>
      <w:r w:rsidRPr="00892576">
        <w:t xml:space="preserve">Description: </w:t>
      </w:r>
      <w:r w:rsidRPr="006B70AF">
        <w:t xml:space="preserve"> </w:t>
      </w:r>
      <w:r w:rsidR="0071468E">
        <w:rPr>
          <w:rStyle w:val="IAPODescriptionCharChar"/>
        </w:rPr>
        <w:fldChar w:fldCharType="begin">
          <w:ffData>
            <w:name w:val="Text70"/>
            <w:enabled/>
            <w:calcOnExit w:val="0"/>
            <w:textInput>
              <w:maxLength w:val="230"/>
            </w:textInput>
          </w:ffData>
        </w:fldChar>
      </w:r>
      <w:r w:rsidR="0071468E">
        <w:rPr>
          <w:rStyle w:val="IAPODescriptionCharChar"/>
        </w:rPr>
        <w:instrText xml:space="preserve"> FORMTEXT </w:instrText>
      </w:r>
      <w:r w:rsidR="0071468E">
        <w:rPr>
          <w:rStyle w:val="IAPODescriptionCharChar"/>
        </w:rPr>
      </w:r>
      <w:r w:rsidR="0071468E">
        <w:rPr>
          <w:rStyle w:val="IAPODescriptionCharChar"/>
        </w:rPr>
        <w:fldChar w:fldCharType="separate"/>
      </w:r>
      <w:r w:rsidR="00212673" w:rsidRPr="00212673">
        <w:rPr>
          <w:rStyle w:val="IAPODescriptionCharChar"/>
          <w:noProof/>
        </w:rPr>
        <w:t>Implement Section 78 by publishing a single gender pay figure. The higher estimate is the cost to publish the figure alongside a supportive narrative</w:t>
      </w:r>
      <w:r w:rsidR="00212673">
        <w:rPr>
          <w:rStyle w:val="IAPODescriptionCharChar"/>
          <w:noProof/>
        </w:rPr>
        <w:t xml:space="preserve"> which we assume is the best estimate. </w:t>
      </w:r>
      <w:r w:rsidR="0071468E">
        <w:rPr>
          <w:rStyle w:val="IAPODescriptionCharChar"/>
        </w:rPr>
        <w:fldChar w:fldCharType="end"/>
      </w:r>
    </w:p>
    <w:p w14:paraId="7B93D8ED" w14:textId="77777777" w:rsidR="001844B6" w:rsidRDefault="001844B6" w:rsidP="005A3880">
      <w:pPr>
        <w:pStyle w:val="IAHeadLabel"/>
        <w:spacing w:before="50"/>
      </w:pPr>
      <w:r>
        <w:t>FULL ECONOMIC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1255"/>
        <w:gridCol w:w="1434"/>
        <w:gridCol w:w="1793"/>
        <w:gridCol w:w="1820"/>
        <w:gridCol w:w="2623"/>
      </w:tblGrid>
      <w:tr w:rsidR="001844B6" w:rsidRPr="007E190E" w14:paraId="68568EFD" w14:textId="77777777" w:rsidTr="007E190E">
        <w:trPr>
          <w:trHeight w:hRule="exact" w:val="312"/>
        </w:trPr>
        <w:tc>
          <w:tcPr>
            <w:tcW w:w="1265" w:type="dxa"/>
            <w:vMerge w:val="restart"/>
            <w:shd w:val="clear" w:color="auto" w:fill="auto"/>
          </w:tcPr>
          <w:p w14:paraId="71F5E4EB" w14:textId="77777777" w:rsidR="001844B6" w:rsidRPr="00826F71" w:rsidRDefault="001844B6" w:rsidP="00212673">
            <w:pPr>
              <w:pStyle w:val="POPBY"/>
            </w:pPr>
            <w:r w:rsidRPr="00826F71">
              <w:t>Price Base Year</w:t>
            </w:r>
            <w:r>
              <w:t xml:space="preserve">  </w:t>
            </w:r>
            <w:r w:rsidRPr="007E190E">
              <w:rPr>
                <w:b w:val="0"/>
              </w:rPr>
              <w:fldChar w:fldCharType="begin">
                <w:ffData>
                  <w:name w:val="Text55"/>
                  <w:enabled/>
                  <w:calcOnExit w:val="0"/>
                  <w:textInput>
                    <w:maxLength w:val="4"/>
                  </w:textInput>
                </w:ffData>
              </w:fldChar>
            </w:r>
            <w:r w:rsidRPr="007E190E">
              <w:rPr>
                <w:b w:val="0"/>
              </w:rPr>
              <w:instrText xml:space="preserve"> FORMTEXT </w:instrText>
            </w:r>
            <w:r w:rsidRPr="007E190E">
              <w:rPr>
                <w:b w:val="0"/>
              </w:rPr>
            </w:r>
            <w:r w:rsidRPr="007E190E">
              <w:rPr>
                <w:b w:val="0"/>
              </w:rPr>
              <w:fldChar w:fldCharType="separate"/>
            </w:r>
            <w:r w:rsidR="00212673">
              <w:rPr>
                <w:b w:val="0"/>
                <w:noProof/>
              </w:rPr>
              <w:t>2014</w:t>
            </w:r>
            <w:r w:rsidRPr="007E190E">
              <w:rPr>
                <w:b w:val="0"/>
              </w:rPr>
              <w:fldChar w:fldCharType="end"/>
            </w:r>
          </w:p>
        </w:tc>
        <w:tc>
          <w:tcPr>
            <w:tcW w:w="1260" w:type="dxa"/>
            <w:vMerge w:val="restart"/>
            <w:shd w:val="clear" w:color="auto" w:fill="auto"/>
          </w:tcPr>
          <w:p w14:paraId="015C1013" w14:textId="77777777" w:rsidR="001844B6" w:rsidRPr="00826F71" w:rsidRDefault="001844B6" w:rsidP="00212673">
            <w:pPr>
              <w:pStyle w:val="POPVBY"/>
            </w:pPr>
            <w:r w:rsidRPr="00826F71">
              <w:t>PV Base Year</w:t>
            </w:r>
            <w:r>
              <w:t xml:space="preserve">  </w:t>
            </w:r>
            <w:r w:rsidRPr="007E190E">
              <w:rPr>
                <w:b w:val="0"/>
              </w:rPr>
              <w:fldChar w:fldCharType="begin">
                <w:ffData>
                  <w:name w:val="Text56"/>
                  <w:enabled/>
                  <w:calcOnExit w:val="0"/>
                  <w:textInput>
                    <w:maxLength w:val="4"/>
                  </w:textInput>
                </w:ffData>
              </w:fldChar>
            </w:r>
            <w:r w:rsidRPr="007E190E">
              <w:rPr>
                <w:b w:val="0"/>
              </w:rPr>
              <w:instrText xml:space="preserve"> FORMTEXT </w:instrText>
            </w:r>
            <w:r w:rsidRPr="007E190E">
              <w:rPr>
                <w:b w:val="0"/>
              </w:rPr>
            </w:r>
            <w:r w:rsidRPr="007E190E">
              <w:rPr>
                <w:b w:val="0"/>
              </w:rPr>
              <w:fldChar w:fldCharType="separate"/>
            </w:r>
            <w:r w:rsidR="00212673">
              <w:rPr>
                <w:b w:val="0"/>
                <w:noProof/>
              </w:rPr>
              <w:t>2016</w:t>
            </w:r>
            <w:r w:rsidRPr="007E190E">
              <w:rPr>
                <w:b w:val="0"/>
              </w:rPr>
              <w:fldChar w:fldCharType="end"/>
            </w:r>
          </w:p>
        </w:tc>
        <w:tc>
          <w:tcPr>
            <w:tcW w:w="1440" w:type="dxa"/>
            <w:vMerge w:val="restart"/>
            <w:tcBorders>
              <w:right w:val="single" w:sz="12" w:space="0" w:color="auto"/>
            </w:tcBorders>
            <w:shd w:val="clear" w:color="auto" w:fill="auto"/>
          </w:tcPr>
          <w:p w14:paraId="43E15064" w14:textId="77777777" w:rsidR="001844B6" w:rsidRPr="00826F71" w:rsidRDefault="001844B6" w:rsidP="00212673">
            <w:pPr>
              <w:pStyle w:val="POTPY"/>
            </w:pPr>
            <w:r w:rsidRPr="00826F71">
              <w:t>Time Period Years</w:t>
            </w:r>
            <w:r>
              <w:t xml:space="preserve">  </w:t>
            </w:r>
            <w:r w:rsidRPr="007E190E">
              <w:rPr>
                <w:b w:val="0"/>
              </w:rPr>
              <w:fldChar w:fldCharType="begin">
                <w:ffData>
                  <w:name w:val="Text57"/>
                  <w:enabled/>
                  <w:calcOnExit w:val="0"/>
                  <w:textInput>
                    <w:maxLength w:val="4"/>
                  </w:textInput>
                </w:ffData>
              </w:fldChar>
            </w:r>
            <w:r w:rsidRPr="007E190E">
              <w:rPr>
                <w:b w:val="0"/>
              </w:rPr>
              <w:instrText xml:space="preserve"> FORMTEXT </w:instrText>
            </w:r>
            <w:r w:rsidRPr="007E190E">
              <w:rPr>
                <w:b w:val="0"/>
              </w:rPr>
            </w:r>
            <w:r w:rsidRPr="007E190E">
              <w:rPr>
                <w:b w:val="0"/>
              </w:rPr>
              <w:fldChar w:fldCharType="separate"/>
            </w:r>
            <w:r w:rsidR="00212673">
              <w:rPr>
                <w:b w:val="0"/>
                <w:noProof/>
              </w:rPr>
              <w:t>10</w:t>
            </w:r>
            <w:r w:rsidRPr="007E190E">
              <w:rPr>
                <w:b w:val="0"/>
              </w:rPr>
              <w:fldChar w:fldCharType="end"/>
            </w:r>
          </w:p>
        </w:tc>
        <w:tc>
          <w:tcPr>
            <w:tcW w:w="6260" w:type="dxa"/>
            <w:gridSpan w:val="3"/>
            <w:tcBorders>
              <w:top w:val="single" w:sz="12" w:space="0" w:color="auto"/>
              <w:left w:val="single" w:sz="12" w:space="0" w:color="auto"/>
              <w:bottom w:val="single" w:sz="4" w:space="0" w:color="auto"/>
              <w:right w:val="single" w:sz="12" w:space="0" w:color="auto"/>
            </w:tcBorders>
            <w:shd w:val="clear" w:color="auto" w:fill="FFFFFF"/>
          </w:tcPr>
          <w:p w14:paraId="35D5DB9B" w14:textId="77777777" w:rsidR="001844B6" w:rsidRPr="00826F71" w:rsidRDefault="001844B6" w:rsidP="007E190E">
            <w:pPr>
              <w:pStyle w:val="IATableLabel"/>
              <w:jc w:val="center"/>
            </w:pPr>
            <w:r w:rsidRPr="00826F71">
              <w:t xml:space="preserve">Net </w:t>
            </w:r>
            <w:r w:rsidRPr="0075393B">
              <w:t>B</w:t>
            </w:r>
            <w:r w:rsidRPr="00826F71">
              <w:t>enefit (</w:t>
            </w:r>
            <w:r>
              <w:t>Present Value (</w:t>
            </w:r>
            <w:r w:rsidRPr="00826F71">
              <w:t>PV</w:t>
            </w:r>
            <w:r>
              <w:t>)</w:t>
            </w:r>
            <w:r w:rsidRPr="00826F71">
              <w:t>)</w:t>
            </w:r>
            <w:r>
              <w:t xml:space="preserve"> (£m)</w:t>
            </w:r>
          </w:p>
        </w:tc>
      </w:tr>
      <w:tr w:rsidR="001844B6" w:rsidRPr="007E190E" w14:paraId="6EEB9535" w14:textId="77777777" w:rsidTr="007E190E">
        <w:trPr>
          <w:trHeight w:hRule="exact" w:val="340"/>
        </w:trPr>
        <w:tc>
          <w:tcPr>
            <w:tcW w:w="1265" w:type="dxa"/>
            <w:vMerge/>
            <w:shd w:val="clear" w:color="auto" w:fill="auto"/>
          </w:tcPr>
          <w:p w14:paraId="5BB87D44" w14:textId="77777777" w:rsidR="001844B6" w:rsidRPr="007E190E" w:rsidRDefault="001844B6" w:rsidP="007E190E">
            <w:pPr>
              <w:pStyle w:val="IATableNotes"/>
              <w:ind w:left="0"/>
              <w:rPr>
                <w:b/>
                <w:sz w:val="20"/>
              </w:rPr>
            </w:pPr>
          </w:p>
        </w:tc>
        <w:tc>
          <w:tcPr>
            <w:tcW w:w="1260" w:type="dxa"/>
            <w:vMerge/>
            <w:shd w:val="clear" w:color="auto" w:fill="auto"/>
          </w:tcPr>
          <w:p w14:paraId="4FAA6F1F" w14:textId="77777777" w:rsidR="001844B6" w:rsidRPr="007E190E" w:rsidRDefault="001844B6" w:rsidP="007E190E">
            <w:pPr>
              <w:pStyle w:val="IATableNotes"/>
              <w:ind w:left="0"/>
              <w:rPr>
                <w:b/>
                <w:sz w:val="20"/>
              </w:rPr>
            </w:pPr>
          </w:p>
        </w:tc>
        <w:tc>
          <w:tcPr>
            <w:tcW w:w="1440" w:type="dxa"/>
            <w:vMerge/>
            <w:tcBorders>
              <w:right w:val="single" w:sz="12" w:space="0" w:color="auto"/>
            </w:tcBorders>
            <w:shd w:val="clear" w:color="auto" w:fill="auto"/>
          </w:tcPr>
          <w:p w14:paraId="5875D4CC" w14:textId="77777777" w:rsidR="001844B6" w:rsidRPr="007E190E" w:rsidRDefault="001844B6" w:rsidP="007E190E">
            <w:pPr>
              <w:pStyle w:val="IATableNotes"/>
              <w:ind w:left="0"/>
              <w:rPr>
                <w:b/>
                <w:sz w:val="20"/>
              </w:rPr>
            </w:pPr>
          </w:p>
        </w:tc>
        <w:tc>
          <w:tcPr>
            <w:tcW w:w="1800" w:type="dxa"/>
            <w:tcBorders>
              <w:top w:val="single" w:sz="4" w:space="0" w:color="auto"/>
              <w:left w:val="single" w:sz="12" w:space="0" w:color="auto"/>
              <w:bottom w:val="single" w:sz="12" w:space="0" w:color="auto"/>
              <w:right w:val="single" w:sz="4" w:space="0" w:color="auto"/>
            </w:tcBorders>
            <w:shd w:val="clear" w:color="auto" w:fill="auto"/>
          </w:tcPr>
          <w:p w14:paraId="3B717C76" w14:textId="77777777" w:rsidR="001844B6" w:rsidRPr="007E190E" w:rsidRDefault="001844B6" w:rsidP="00AA501F">
            <w:pPr>
              <w:pStyle w:val="IATableLabel"/>
              <w:rPr>
                <w:bCs/>
              </w:rPr>
            </w:pPr>
            <w:r w:rsidRPr="00304C1D">
              <w:t>Low:</w:t>
            </w:r>
            <w:r w:rsidRPr="00826F71">
              <w:t xml:space="preserve"> </w:t>
            </w:r>
            <w:r w:rsidRPr="007E190E">
              <w:rPr>
                <w:rStyle w:val="PONBLowCharChar"/>
              </w:rPr>
              <w:fldChar w:fldCharType="begin">
                <w:ffData>
                  <w:name w:val="Text58"/>
                  <w:enabled/>
                  <w:calcOnExit w:val="0"/>
                  <w:textInput>
                    <w:default w:val="Optional"/>
                    <w:maxLength w:val="8"/>
                  </w:textInput>
                </w:ffData>
              </w:fldChar>
            </w:r>
            <w:r w:rsidRPr="007E190E">
              <w:rPr>
                <w:rStyle w:val="PONBLowCharChar"/>
              </w:rPr>
              <w:instrText xml:space="preserve"> FORMTEXT </w:instrText>
            </w:r>
            <w:r w:rsidRPr="007E190E">
              <w:rPr>
                <w:rStyle w:val="PONBLowCharChar"/>
              </w:rPr>
            </w:r>
            <w:r w:rsidRPr="007E190E">
              <w:rPr>
                <w:rStyle w:val="PONBLowCharChar"/>
              </w:rPr>
              <w:fldChar w:fldCharType="separate"/>
            </w:r>
            <w:r w:rsidR="00212673">
              <w:rPr>
                <w:rStyle w:val="PONBLowCharChar"/>
                <w:noProof/>
              </w:rPr>
              <w:t>-</w:t>
            </w:r>
            <w:r w:rsidR="009F1E3D">
              <w:rPr>
                <w:rStyle w:val="PONBLowCharChar"/>
                <w:noProof/>
              </w:rPr>
              <w:t>34.</w:t>
            </w:r>
            <w:r w:rsidR="00AA501F">
              <w:rPr>
                <w:rStyle w:val="PONBLowCharChar"/>
                <w:noProof/>
              </w:rPr>
              <w:t>97</w:t>
            </w:r>
            <w:r w:rsidRPr="007E190E">
              <w:rPr>
                <w:rStyle w:val="PONBLowCharChar"/>
              </w:rPr>
              <w:fldChar w:fldCharType="end"/>
            </w:r>
          </w:p>
        </w:tc>
        <w:tc>
          <w:tcPr>
            <w:tcW w:w="1827" w:type="dxa"/>
            <w:tcBorders>
              <w:top w:val="single" w:sz="4" w:space="0" w:color="auto"/>
              <w:left w:val="single" w:sz="4" w:space="0" w:color="auto"/>
              <w:bottom w:val="single" w:sz="12" w:space="0" w:color="auto"/>
              <w:right w:val="single" w:sz="12" w:space="0" w:color="auto"/>
            </w:tcBorders>
            <w:shd w:val="clear" w:color="auto" w:fill="auto"/>
          </w:tcPr>
          <w:p w14:paraId="0BC0995B" w14:textId="77777777" w:rsidR="001844B6" w:rsidRPr="007E190E" w:rsidRDefault="001844B6" w:rsidP="00AA501F">
            <w:pPr>
              <w:pStyle w:val="IATableLabel"/>
              <w:rPr>
                <w:rFonts w:cs="Arial"/>
                <w:bCs/>
                <w:szCs w:val="18"/>
              </w:rPr>
            </w:pPr>
            <w:r w:rsidRPr="00304C1D">
              <w:t>High:</w:t>
            </w:r>
            <w:r w:rsidRPr="00826F71">
              <w:t xml:space="preserve"> </w:t>
            </w:r>
            <w:r w:rsidRPr="007E190E">
              <w:rPr>
                <w:rStyle w:val="PONBHighChar"/>
              </w:rPr>
              <w:fldChar w:fldCharType="begin">
                <w:ffData>
                  <w:name w:val="Text59"/>
                  <w:enabled/>
                  <w:calcOnExit w:val="0"/>
                  <w:textInput>
                    <w:default w:val="Optional"/>
                    <w:maxLength w:val="8"/>
                  </w:textInput>
                </w:ffData>
              </w:fldChar>
            </w:r>
            <w:r w:rsidRPr="007E190E">
              <w:rPr>
                <w:rStyle w:val="PONBHighChar"/>
              </w:rPr>
              <w:instrText xml:space="preserve"> FORMTEXT </w:instrText>
            </w:r>
            <w:r w:rsidRPr="007E190E">
              <w:rPr>
                <w:rStyle w:val="PONBHighChar"/>
              </w:rPr>
            </w:r>
            <w:r w:rsidRPr="007E190E">
              <w:rPr>
                <w:rStyle w:val="PONBHighChar"/>
              </w:rPr>
              <w:fldChar w:fldCharType="separate"/>
            </w:r>
            <w:r w:rsidR="00212673">
              <w:rPr>
                <w:rStyle w:val="PONBHighChar"/>
                <w:noProof/>
              </w:rPr>
              <w:t>-</w:t>
            </w:r>
            <w:r w:rsidR="00AA501F">
              <w:rPr>
                <w:rStyle w:val="PONBHighChar"/>
                <w:noProof/>
              </w:rPr>
              <w:t>20.02</w:t>
            </w:r>
            <w:r w:rsidRPr="007E190E">
              <w:rPr>
                <w:rStyle w:val="PONBHighChar"/>
              </w:rPr>
              <w:fldChar w:fldCharType="end"/>
            </w:r>
          </w:p>
        </w:tc>
        <w:tc>
          <w:tcPr>
            <w:tcW w:w="2633" w:type="dxa"/>
            <w:tcBorders>
              <w:top w:val="single" w:sz="12" w:space="0" w:color="auto"/>
              <w:left w:val="single" w:sz="12" w:space="0" w:color="auto"/>
              <w:bottom w:val="single" w:sz="12" w:space="0" w:color="auto"/>
              <w:right w:val="single" w:sz="12" w:space="0" w:color="auto"/>
            </w:tcBorders>
            <w:shd w:val="clear" w:color="auto" w:fill="FFFFFF"/>
          </w:tcPr>
          <w:p w14:paraId="76C7ED68" w14:textId="77777777" w:rsidR="001844B6" w:rsidRPr="007E190E" w:rsidRDefault="001844B6" w:rsidP="00AA501F">
            <w:pPr>
              <w:pStyle w:val="IATableLabel"/>
              <w:rPr>
                <w:szCs w:val="18"/>
              </w:rPr>
            </w:pPr>
            <w:r w:rsidRPr="00304C1D">
              <w:t xml:space="preserve">Best </w:t>
            </w:r>
            <w:r>
              <w:t>E</w:t>
            </w:r>
            <w:r w:rsidRPr="00304C1D">
              <w:t>stimate:</w:t>
            </w:r>
            <w:r w:rsidRPr="00826F71">
              <w:t xml:space="preserve"> </w:t>
            </w:r>
            <w:r w:rsidRPr="007E190E">
              <w:rPr>
                <w:rStyle w:val="PONBBestEstChar"/>
              </w:rPr>
              <w:fldChar w:fldCharType="begin">
                <w:ffData>
                  <w:name w:val="Text60"/>
                  <w:enabled/>
                  <w:calcOnExit w:val="0"/>
                  <w:textInput>
                    <w:maxLength w:val="8"/>
                  </w:textInput>
                </w:ffData>
              </w:fldChar>
            </w:r>
            <w:r w:rsidRPr="007E190E">
              <w:rPr>
                <w:rStyle w:val="PONBBestEstChar"/>
              </w:rPr>
              <w:instrText xml:space="preserve"> FORMTEXT </w:instrText>
            </w:r>
            <w:r w:rsidRPr="007E190E">
              <w:rPr>
                <w:rStyle w:val="PONBBestEstChar"/>
              </w:rPr>
            </w:r>
            <w:r w:rsidRPr="007E190E">
              <w:rPr>
                <w:rStyle w:val="PONBBestEstChar"/>
              </w:rPr>
              <w:fldChar w:fldCharType="separate"/>
            </w:r>
            <w:r w:rsidR="00AA501F">
              <w:rPr>
                <w:rStyle w:val="PONBBestEstChar"/>
                <w:noProof/>
              </w:rPr>
              <w:t>-34.97</w:t>
            </w:r>
            <w:r w:rsidRPr="007E190E">
              <w:rPr>
                <w:rStyle w:val="PONBBestEstChar"/>
              </w:rPr>
              <w:fldChar w:fldCharType="end"/>
            </w:r>
          </w:p>
        </w:tc>
      </w:tr>
    </w:tbl>
    <w:p w14:paraId="5EC7F7C8" w14:textId="77777777" w:rsidR="001844B6" w:rsidRDefault="001844B6" w:rsidP="005A3880">
      <w:pPr>
        <w:pStyle w:val="IASpace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984"/>
        <w:gridCol w:w="1938"/>
        <w:gridCol w:w="785"/>
        <w:gridCol w:w="2848"/>
        <w:gridCol w:w="1765"/>
        <w:gridCol w:w="855"/>
      </w:tblGrid>
      <w:tr w:rsidR="001844B6" w:rsidRPr="007E190E" w14:paraId="6EAFF197" w14:textId="77777777" w:rsidTr="007E190E">
        <w:trPr>
          <w:trHeight w:hRule="exact" w:val="567"/>
        </w:trPr>
        <w:tc>
          <w:tcPr>
            <w:tcW w:w="1995" w:type="dxa"/>
            <w:shd w:val="clear" w:color="auto" w:fill="FFFFFF"/>
          </w:tcPr>
          <w:p w14:paraId="3879924B" w14:textId="77777777" w:rsidR="001844B6" w:rsidRPr="007E190E" w:rsidRDefault="001844B6" w:rsidP="005A3880">
            <w:pPr>
              <w:pStyle w:val="IATableLabel"/>
              <w:rPr>
                <w:sz w:val="24"/>
                <w:szCs w:val="24"/>
              </w:rPr>
            </w:pPr>
            <w:r w:rsidRPr="007E190E">
              <w:rPr>
                <w:sz w:val="24"/>
                <w:szCs w:val="24"/>
              </w:rPr>
              <w:t>COSTS (£m)</w:t>
            </w:r>
          </w:p>
        </w:tc>
        <w:tc>
          <w:tcPr>
            <w:tcW w:w="2739" w:type="dxa"/>
            <w:gridSpan w:val="2"/>
            <w:tcBorders>
              <w:top w:val="single" w:sz="12" w:space="0" w:color="auto"/>
              <w:bottom w:val="single" w:sz="6" w:space="0" w:color="auto"/>
            </w:tcBorders>
            <w:shd w:val="clear" w:color="auto" w:fill="auto"/>
          </w:tcPr>
          <w:p w14:paraId="2AEE0A89" w14:textId="77777777" w:rsidR="001844B6" w:rsidRPr="00826F71" w:rsidRDefault="001844B6" w:rsidP="007E190E">
            <w:pPr>
              <w:pStyle w:val="IATableLabel"/>
              <w:tabs>
                <w:tab w:val="right" w:pos="1800"/>
                <w:tab w:val="center" w:pos="2340"/>
              </w:tabs>
              <w:jc w:val="right"/>
            </w:pPr>
            <w:r w:rsidRPr="00826F71">
              <w:t xml:space="preserve">Total Transition </w:t>
            </w:r>
            <w:r>
              <w:br/>
            </w:r>
            <w:r>
              <w:tab/>
            </w:r>
            <w:r w:rsidRPr="007E190E">
              <w:rPr>
                <w:b w:val="0"/>
                <w:sz w:val="18"/>
                <w:szCs w:val="18"/>
              </w:rPr>
              <w:t>(Constant Price)</w:t>
            </w:r>
            <w:r>
              <w:tab/>
            </w:r>
            <w:r w:rsidRPr="007E190E">
              <w:rPr>
                <w:b w:val="0"/>
                <w:sz w:val="18"/>
                <w:szCs w:val="18"/>
              </w:rPr>
              <w:t>Yea</w:t>
            </w:r>
            <w:r w:rsidRPr="007E190E">
              <w:rPr>
                <w:b w:val="0"/>
                <w:bCs/>
                <w:sz w:val="18"/>
                <w:szCs w:val="18"/>
              </w:rPr>
              <w:t>r</w:t>
            </w:r>
            <w:r w:rsidRPr="007E190E">
              <w:rPr>
                <w:b w:val="0"/>
                <w:sz w:val="18"/>
                <w:szCs w:val="18"/>
              </w:rPr>
              <w:t>s</w:t>
            </w:r>
          </w:p>
          <w:p w14:paraId="0916E198" w14:textId="77777777" w:rsidR="001844B6" w:rsidRPr="00826F71" w:rsidRDefault="001844B6" w:rsidP="007E190E">
            <w:pPr>
              <w:pStyle w:val="IATableLabel"/>
              <w:jc w:val="right"/>
            </w:pPr>
            <w:r>
              <w:br/>
            </w:r>
          </w:p>
        </w:tc>
        <w:tc>
          <w:tcPr>
            <w:tcW w:w="2865" w:type="dxa"/>
            <w:tcBorders>
              <w:bottom w:val="single" w:sz="6" w:space="0" w:color="auto"/>
              <w:right w:val="single" w:sz="12" w:space="0" w:color="auto"/>
            </w:tcBorders>
            <w:shd w:val="clear" w:color="auto" w:fill="auto"/>
          </w:tcPr>
          <w:p w14:paraId="4DD9440F" w14:textId="77777777" w:rsidR="001844B6" w:rsidRPr="007E190E" w:rsidRDefault="001844B6" w:rsidP="007E190E">
            <w:pPr>
              <w:pStyle w:val="IATableLabel"/>
              <w:jc w:val="right"/>
              <w:rPr>
                <w:rFonts w:cs="Arial"/>
                <w:bCs/>
              </w:rPr>
            </w:pPr>
            <w:r w:rsidRPr="00826F71">
              <w:t>Average Annual</w:t>
            </w:r>
            <w:r w:rsidRPr="000C031E">
              <w:t xml:space="preserve"> </w:t>
            </w:r>
            <w:r>
              <w:br/>
            </w:r>
            <w:r w:rsidRPr="007E190E">
              <w:rPr>
                <w:b w:val="0"/>
                <w:sz w:val="18"/>
                <w:szCs w:val="18"/>
              </w:rPr>
              <w:t xml:space="preserve">(excl. Transition) </w:t>
            </w:r>
            <w:r w:rsidRPr="007E190E">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14:paraId="2314C400" w14:textId="77777777" w:rsidR="001844B6" w:rsidRPr="00826F71" w:rsidRDefault="001844B6" w:rsidP="007E190E">
            <w:pPr>
              <w:pStyle w:val="IATableLabel"/>
              <w:jc w:val="right"/>
            </w:pPr>
            <w:r w:rsidRPr="00826F71">
              <w:t>Total Cost</w:t>
            </w:r>
            <w:r w:rsidRPr="007E190E">
              <w:rPr>
                <w:b w:val="0"/>
                <w:sz w:val="18"/>
                <w:szCs w:val="18"/>
              </w:rPr>
              <w:t xml:space="preserve"> </w:t>
            </w:r>
            <w:r w:rsidRPr="007E190E">
              <w:rPr>
                <w:b w:val="0"/>
                <w:sz w:val="18"/>
                <w:szCs w:val="18"/>
              </w:rPr>
              <w:br/>
              <w:t>(Present Value)</w:t>
            </w:r>
          </w:p>
        </w:tc>
      </w:tr>
      <w:tr w:rsidR="001844B6" w:rsidRPr="007E190E" w14:paraId="53543F95" w14:textId="77777777" w:rsidTr="007E190E">
        <w:trPr>
          <w:trHeight w:hRule="exact" w:val="348"/>
        </w:trPr>
        <w:tc>
          <w:tcPr>
            <w:tcW w:w="1995" w:type="dxa"/>
            <w:tcBorders>
              <w:top w:val="single" w:sz="6" w:space="0" w:color="auto"/>
              <w:bottom w:val="single" w:sz="6" w:space="0" w:color="auto"/>
            </w:tcBorders>
            <w:shd w:val="clear" w:color="auto" w:fill="auto"/>
            <w:vAlign w:val="center"/>
          </w:tcPr>
          <w:p w14:paraId="6ED41388" w14:textId="77777777" w:rsidR="001844B6" w:rsidRPr="00F63895" w:rsidRDefault="001844B6" w:rsidP="005A3880">
            <w:pPr>
              <w:pStyle w:val="IATableLabel"/>
            </w:pPr>
            <w:r w:rsidRPr="00F63895">
              <w:t xml:space="preserve">Low </w:t>
            </w:r>
          </w:p>
        </w:tc>
        <w:tc>
          <w:tcPr>
            <w:tcW w:w="1949" w:type="dxa"/>
            <w:tcBorders>
              <w:top w:val="single" w:sz="6" w:space="0" w:color="auto"/>
              <w:bottom w:val="single" w:sz="6" w:space="0" w:color="auto"/>
            </w:tcBorders>
            <w:shd w:val="clear" w:color="auto" w:fill="auto"/>
            <w:vAlign w:val="center"/>
          </w:tcPr>
          <w:p w14:paraId="58FE34FA" w14:textId="77777777" w:rsidR="001844B6" w:rsidRPr="007E190E" w:rsidRDefault="001844B6" w:rsidP="004B384B">
            <w:pPr>
              <w:pStyle w:val="POTTCostsLow"/>
              <w:rPr>
                <w:sz w:val="20"/>
              </w:rPr>
            </w:pPr>
            <w:r w:rsidRPr="007E190E">
              <w:rPr>
                <w:sz w:val="20"/>
              </w:rPr>
              <w:fldChar w:fldCharType="begin">
                <w:ffData>
                  <w:name w:val="Text45"/>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212673">
              <w:rPr>
                <w:noProof/>
                <w:sz w:val="20"/>
              </w:rPr>
              <w:t>0.</w:t>
            </w:r>
            <w:r w:rsidR="004B384B">
              <w:rPr>
                <w:noProof/>
                <w:sz w:val="20"/>
              </w:rPr>
              <w:t>4</w:t>
            </w:r>
            <w:r w:rsidRPr="007E190E">
              <w:rPr>
                <w:sz w:val="20"/>
              </w:rPr>
              <w:fldChar w:fldCharType="end"/>
            </w:r>
          </w:p>
        </w:tc>
        <w:tc>
          <w:tcPr>
            <w:tcW w:w="790" w:type="dxa"/>
            <w:vMerge w:val="restart"/>
            <w:tcBorders>
              <w:top w:val="single" w:sz="6" w:space="0" w:color="auto"/>
            </w:tcBorders>
            <w:shd w:val="clear" w:color="auto" w:fill="auto"/>
            <w:vAlign w:val="center"/>
          </w:tcPr>
          <w:p w14:paraId="2B433C4E" w14:textId="77777777" w:rsidR="001844B6" w:rsidRPr="007E190E" w:rsidRDefault="001844B6" w:rsidP="005A3880">
            <w:pPr>
              <w:pStyle w:val="POTTCostsYear"/>
              <w:rPr>
                <w:sz w:val="20"/>
                <w:szCs w:val="20"/>
              </w:rPr>
            </w:pPr>
            <w:r w:rsidRPr="007E190E">
              <w:rPr>
                <w:sz w:val="20"/>
                <w:szCs w:val="20"/>
              </w:rPr>
              <w:fldChar w:fldCharType="begin">
                <w:ffData>
                  <w:name w:val="Text48"/>
                  <w:enabled/>
                  <w:calcOnExit w:val="0"/>
                  <w:textInput>
                    <w:maxLength w:val="3"/>
                  </w:textInput>
                </w:ffData>
              </w:fldChar>
            </w:r>
            <w:r w:rsidRPr="007E190E">
              <w:rPr>
                <w:sz w:val="20"/>
                <w:szCs w:val="20"/>
              </w:rPr>
              <w:instrText xml:space="preserve"> FORMTEXT </w:instrText>
            </w:r>
            <w:r w:rsidRPr="007E190E">
              <w:rPr>
                <w:sz w:val="20"/>
                <w:szCs w:val="20"/>
              </w:rPr>
            </w:r>
            <w:r w:rsidRPr="007E190E">
              <w:rPr>
                <w:sz w:val="20"/>
                <w:szCs w:val="20"/>
              </w:rPr>
              <w:fldChar w:fldCharType="separate"/>
            </w:r>
            <w:r w:rsidRPr="007E190E">
              <w:rPr>
                <w:noProof/>
                <w:sz w:val="20"/>
                <w:szCs w:val="20"/>
              </w:rPr>
              <w:t> </w:t>
            </w:r>
            <w:r w:rsidRPr="007E190E">
              <w:rPr>
                <w:noProof/>
                <w:sz w:val="20"/>
                <w:szCs w:val="20"/>
              </w:rPr>
              <w:t> </w:t>
            </w:r>
            <w:r w:rsidRPr="007E190E">
              <w:rPr>
                <w:noProof/>
                <w:sz w:val="20"/>
                <w:szCs w:val="20"/>
              </w:rPr>
              <w:t> </w:t>
            </w:r>
            <w:r w:rsidRPr="007E190E">
              <w:rPr>
                <w:sz w:val="20"/>
                <w:szCs w:val="20"/>
              </w:rPr>
              <w:fldChar w:fldCharType="end"/>
            </w:r>
          </w:p>
        </w:tc>
        <w:tc>
          <w:tcPr>
            <w:tcW w:w="2865" w:type="dxa"/>
            <w:tcBorders>
              <w:top w:val="single" w:sz="6" w:space="0" w:color="auto"/>
              <w:bottom w:val="single" w:sz="6" w:space="0" w:color="auto"/>
              <w:right w:val="single" w:sz="12" w:space="0" w:color="auto"/>
            </w:tcBorders>
            <w:shd w:val="clear" w:color="auto" w:fill="auto"/>
            <w:vAlign w:val="center"/>
          </w:tcPr>
          <w:p w14:paraId="4D6D3BE0" w14:textId="77777777" w:rsidR="001844B6" w:rsidRPr="007E190E" w:rsidRDefault="001844B6" w:rsidP="00AA501F">
            <w:pPr>
              <w:pStyle w:val="POAACostsLow"/>
              <w:rPr>
                <w:sz w:val="20"/>
              </w:rPr>
            </w:pPr>
            <w:r w:rsidRPr="007E190E">
              <w:rPr>
                <w:sz w:val="20"/>
              </w:rPr>
              <w:fldChar w:fldCharType="begin">
                <w:ffData>
                  <w:name w:val="Text49"/>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AA501F">
              <w:rPr>
                <w:noProof/>
                <w:sz w:val="20"/>
              </w:rPr>
              <w:t>2.3</w:t>
            </w:r>
            <w:r w:rsidRPr="007E190E">
              <w:rPr>
                <w:sz w:val="20"/>
              </w:rPr>
              <w:fldChar w:fldCharType="end"/>
            </w:r>
          </w:p>
        </w:tc>
        <w:tc>
          <w:tcPr>
            <w:tcW w:w="2636" w:type="dxa"/>
            <w:gridSpan w:val="2"/>
            <w:tcBorders>
              <w:top w:val="single" w:sz="6" w:space="0" w:color="auto"/>
              <w:left w:val="single" w:sz="12" w:space="0" w:color="auto"/>
              <w:bottom w:val="single" w:sz="6" w:space="0" w:color="auto"/>
            </w:tcBorders>
            <w:shd w:val="clear" w:color="auto" w:fill="auto"/>
            <w:vAlign w:val="center"/>
          </w:tcPr>
          <w:p w14:paraId="729EDB69" w14:textId="77777777" w:rsidR="001844B6" w:rsidRPr="007E190E" w:rsidRDefault="001844B6" w:rsidP="00AA501F">
            <w:pPr>
              <w:pStyle w:val="POTCCostsLow"/>
              <w:rPr>
                <w:sz w:val="20"/>
              </w:rPr>
            </w:pPr>
            <w:r w:rsidRPr="007E190E">
              <w:rPr>
                <w:sz w:val="20"/>
              </w:rPr>
              <w:fldChar w:fldCharType="begin">
                <w:ffData>
                  <w:name w:val="Text52"/>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AA501F">
              <w:rPr>
                <w:noProof/>
                <w:sz w:val="20"/>
              </w:rPr>
              <w:t>20.0</w:t>
            </w:r>
            <w:r w:rsidRPr="007E190E">
              <w:rPr>
                <w:sz w:val="20"/>
              </w:rPr>
              <w:fldChar w:fldCharType="end"/>
            </w:r>
          </w:p>
        </w:tc>
      </w:tr>
      <w:tr w:rsidR="001844B6" w:rsidRPr="007E190E" w14:paraId="72966192" w14:textId="77777777" w:rsidTr="007E190E">
        <w:trPr>
          <w:trHeight w:hRule="exact" w:val="348"/>
        </w:trPr>
        <w:tc>
          <w:tcPr>
            <w:tcW w:w="1995" w:type="dxa"/>
            <w:tcBorders>
              <w:top w:val="single" w:sz="6" w:space="0" w:color="auto"/>
              <w:bottom w:val="single" w:sz="12" w:space="0" w:color="auto"/>
            </w:tcBorders>
            <w:shd w:val="clear" w:color="auto" w:fill="auto"/>
            <w:vAlign w:val="center"/>
          </w:tcPr>
          <w:p w14:paraId="62181B75" w14:textId="77777777" w:rsidR="001844B6" w:rsidRPr="00F63895" w:rsidRDefault="001844B6" w:rsidP="005A3880">
            <w:pPr>
              <w:pStyle w:val="IATableLabel"/>
            </w:pPr>
            <w:r w:rsidRPr="00F63895">
              <w:t xml:space="preserve">High </w:t>
            </w:r>
          </w:p>
        </w:tc>
        <w:tc>
          <w:tcPr>
            <w:tcW w:w="1949" w:type="dxa"/>
            <w:tcBorders>
              <w:top w:val="single" w:sz="6" w:space="0" w:color="auto"/>
              <w:bottom w:val="single" w:sz="12" w:space="0" w:color="auto"/>
            </w:tcBorders>
            <w:shd w:val="clear" w:color="auto" w:fill="auto"/>
            <w:vAlign w:val="center"/>
          </w:tcPr>
          <w:p w14:paraId="51E239A9" w14:textId="77777777" w:rsidR="001844B6" w:rsidRPr="007E190E" w:rsidRDefault="001844B6" w:rsidP="004B384B">
            <w:pPr>
              <w:pStyle w:val="POTTCostsHigh"/>
              <w:rPr>
                <w:sz w:val="20"/>
              </w:rPr>
            </w:pPr>
            <w:r w:rsidRPr="007E190E">
              <w:rPr>
                <w:sz w:val="20"/>
              </w:rPr>
              <w:fldChar w:fldCharType="begin">
                <w:ffData>
                  <w:name w:val="Text46"/>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212673">
              <w:rPr>
                <w:noProof/>
                <w:sz w:val="20"/>
              </w:rPr>
              <w:t>0.</w:t>
            </w:r>
            <w:r w:rsidR="004B384B">
              <w:rPr>
                <w:noProof/>
                <w:sz w:val="20"/>
              </w:rPr>
              <w:t>4</w:t>
            </w:r>
            <w:r w:rsidRPr="007E190E">
              <w:rPr>
                <w:sz w:val="20"/>
              </w:rPr>
              <w:fldChar w:fldCharType="end"/>
            </w:r>
          </w:p>
        </w:tc>
        <w:tc>
          <w:tcPr>
            <w:tcW w:w="790" w:type="dxa"/>
            <w:vMerge/>
            <w:shd w:val="clear" w:color="auto" w:fill="FFFFFF"/>
            <w:vAlign w:val="center"/>
          </w:tcPr>
          <w:p w14:paraId="6ECAE048" w14:textId="77777777" w:rsidR="001844B6" w:rsidRPr="007E190E" w:rsidRDefault="001844B6" w:rsidP="007E190E">
            <w:pPr>
              <w:pStyle w:val="IATableText"/>
              <w:jc w:val="right"/>
              <w:rPr>
                <w:sz w:val="20"/>
              </w:rPr>
            </w:pPr>
          </w:p>
        </w:tc>
        <w:tc>
          <w:tcPr>
            <w:tcW w:w="2865" w:type="dxa"/>
            <w:tcBorders>
              <w:top w:val="single" w:sz="6" w:space="0" w:color="auto"/>
              <w:bottom w:val="single" w:sz="12" w:space="0" w:color="auto"/>
              <w:right w:val="single" w:sz="12" w:space="0" w:color="auto"/>
            </w:tcBorders>
            <w:shd w:val="clear" w:color="auto" w:fill="auto"/>
            <w:vAlign w:val="center"/>
          </w:tcPr>
          <w:p w14:paraId="780B2CD4" w14:textId="77777777" w:rsidR="001844B6" w:rsidRPr="007E190E" w:rsidRDefault="001844B6" w:rsidP="009F1E3D">
            <w:pPr>
              <w:pStyle w:val="POAACostsHigh"/>
              <w:rPr>
                <w:sz w:val="20"/>
              </w:rPr>
            </w:pPr>
            <w:r w:rsidRPr="007E190E">
              <w:rPr>
                <w:sz w:val="20"/>
              </w:rPr>
              <w:fldChar w:fldCharType="begin">
                <w:ffData>
                  <w:name w:val="Text50"/>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9F1E3D">
              <w:rPr>
                <w:noProof/>
                <w:sz w:val="20"/>
              </w:rPr>
              <w:t>4.0</w:t>
            </w:r>
            <w:r w:rsidRPr="007E190E">
              <w:rPr>
                <w:sz w:val="20"/>
              </w:rPr>
              <w:fldChar w:fldCharType="end"/>
            </w:r>
          </w:p>
        </w:tc>
        <w:tc>
          <w:tcPr>
            <w:tcW w:w="2636" w:type="dxa"/>
            <w:gridSpan w:val="2"/>
            <w:tcBorders>
              <w:top w:val="single" w:sz="6" w:space="0" w:color="auto"/>
              <w:left w:val="single" w:sz="12" w:space="0" w:color="auto"/>
              <w:bottom w:val="single" w:sz="12" w:space="0" w:color="auto"/>
            </w:tcBorders>
            <w:shd w:val="clear" w:color="auto" w:fill="auto"/>
            <w:vAlign w:val="center"/>
          </w:tcPr>
          <w:p w14:paraId="5FC3B8D3" w14:textId="77777777" w:rsidR="001844B6" w:rsidRPr="007E190E" w:rsidRDefault="001844B6" w:rsidP="00AA501F">
            <w:pPr>
              <w:pStyle w:val="POTCCostsHigh"/>
              <w:rPr>
                <w:sz w:val="20"/>
              </w:rPr>
            </w:pPr>
            <w:r w:rsidRPr="007E190E">
              <w:rPr>
                <w:sz w:val="20"/>
              </w:rPr>
              <w:fldChar w:fldCharType="begin">
                <w:ffData>
                  <w:name w:val="Text53"/>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AA501F">
              <w:rPr>
                <w:sz w:val="20"/>
              </w:rPr>
              <w:t>35.0</w:t>
            </w:r>
            <w:r w:rsidRPr="007E190E">
              <w:rPr>
                <w:sz w:val="20"/>
              </w:rPr>
              <w:fldChar w:fldCharType="end"/>
            </w:r>
          </w:p>
        </w:tc>
      </w:tr>
      <w:tr w:rsidR="001844B6" w:rsidRPr="007E190E" w14:paraId="394F2E75" w14:textId="77777777" w:rsidTr="007E190E">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14:paraId="0E2A25F6" w14:textId="77777777" w:rsidR="001844B6" w:rsidRPr="00F63895" w:rsidRDefault="001844B6" w:rsidP="005A3880">
            <w:pPr>
              <w:pStyle w:val="IATableLabel"/>
            </w:pPr>
            <w:r w:rsidRPr="00F63895">
              <w:t>Best Estimate</w:t>
            </w:r>
          </w:p>
          <w:p w14:paraId="01FF1507" w14:textId="77777777" w:rsidR="001844B6" w:rsidRPr="007E190E" w:rsidRDefault="001844B6" w:rsidP="007E190E">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31D66C09" w14:textId="77777777" w:rsidR="001844B6" w:rsidRPr="007E190E" w:rsidRDefault="001844B6" w:rsidP="00AA501F">
            <w:pPr>
              <w:pStyle w:val="POTTCostsBest"/>
              <w:rPr>
                <w:sz w:val="20"/>
              </w:rPr>
            </w:pPr>
            <w:r w:rsidRPr="007E190E">
              <w:rPr>
                <w:sz w:val="20"/>
              </w:rPr>
              <w:fldChar w:fldCharType="begin">
                <w:ffData>
                  <w:name w:val="Text51"/>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00AA501F">
              <w:rPr>
                <w:sz w:val="20"/>
              </w:rPr>
              <w:t>0.4</w:t>
            </w:r>
            <w:r w:rsidRPr="007E190E">
              <w:rPr>
                <w:sz w:val="20"/>
              </w:rPr>
              <w:fldChar w:fldCharType="end"/>
            </w:r>
          </w:p>
        </w:tc>
        <w:tc>
          <w:tcPr>
            <w:tcW w:w="790" w:type="dxa"/>
            <w:vMerge/>
            <w:tcBorders>
              <w:left w:val="single" w:sz="12" w:space="0" w:color="auto"/>
              <w:right w:val="single" w:sz="12" w:space="0" w:color="auto"/>
            </w:tcBorders>
            <w:shd w:val="clear" w:color="auto" w:fill="FFFFFF"/>
            <w:vAlign w:val="center"/>
          </w:tcPr>
          <w:p w14:paraId="09FB5B7C" w14:textId="77777777" w:rsidR="001844B6" w:rsidRPr="007E190E" w:rsidRDefault="001844B6" w:rsidP="007E190E">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0AF14FBC" w14:textId="77777777" w:rsidR="001844B6" w:rsidRPr="007E190E" w:rsidRDefault="001844B6" w:rsidP="009F1E3D">
            <w:pPr>
              <w:pStyle w:val="POAACostsBest"/>
              <w:rPr>
                <w:sz w:val="20"/>
              </w:rPr>
            </w:pPr>
            <w:r w:rsidRPr="007E190E">
              <w:rPr>
                <w:sz w:val="20"/>
              </w:rPr>
              <w:fldChar w:fldCharType="begin">
                <w:ffData>
                  <w:name w:val="Text51"/>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009F1E3D">
              <w:rPr>
                <w:noProof/>
                <w:sz w:val="20"/>
              </w:rPr>
              <w:t>4.0</w:t>
            </w:r>
            <w:r w:rsidRPr="007E190E">
              <w:rPr>
                <w:sz w:val="20"/>
              </w:rPr>
              <w:fldChar w:fldCharType="end"/>
            </w:r>
          </w:p>
        </w:tc>
        <w:tc>
          <w:tcPr>
            <w:tcW w:w="2636" w:type="dxa"/>
            <w:gridSpan w:val="2"/>
            <w:tcBorders>
              <w:top w:val="single" w:sz="12" w:space="0" w:color="auto"/>
              <w:left w:val="single" w:sz="12" w:space="0" w:color="auto"/>
              <w:bottom w:val="single" w:sz="12" w:space="0" w:color="auto"/>
            </w:tcBorders>
            <w:shd w:val="clear" w:color="auto" w:fill="FFFFFF"/>
            <w:vAlign w:val="center"/>
          </w:tcPr>
          <w:p w14:paraId="668C8ECD" w14:textId="77777777" w:rsidR="001844B6" w:rsidRPr="007E190E" w:rsidRDefault="001844B6" w:rsidP="00AA501F">
            <w:pPr>
              <w:pStyle w:val="POTCCostsBest"/>
              <w:rPr>
                <w:sz w:val="20"/>
              </w:rPr>
            </w:pPr>
            <w:r w:rsidRPr="007E190E">
              <w:rPr>
                <w:sz w:val="20"/>
              </w:rPr>
              <w:fldChar w:fldCharType="begin">
                <w:ffData>
                  <w:name w:val="Text54"/>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00AA501F">
              <w:rPr>
                <w:noProof/>
                <w:sz w:val="20"/>
              </w:rPr>
              <w:t>35.0</w:t>
            </w:r>
            <w:r w:rsidRPr="007E190E">
              <w:rPr>
                <w:sz w:val="20"/>
              </w:rPr>
              <w:fldChar w:fldCharType="end"/>
            </w:r>
          </w:p>
        </w:tc>
      </w:tr>
      <w:tr w:rsidR="001844B6" w:rsidRPr="00826F71" w14:paraId="549935CA" w14:textId="77777777" w:rsidTr="007E190E">
        <w:trPr>
          <w:trHeight w:hRule="exact" w:val="1701"/>
        </w:trPr>
        <w:tc>
          <w:tcPr>
            <w:tcW w:w="10235" w:type="dxa"/>
            <w:gridSpan w:val="6"/>
            <w:tcBorders>
              <w:bottom w:val="single" w:sz="6" w:space="0" w:color="auto"/>
            </w:tcBorders>
            <w:shd w:val="clear" w:color="auto" w:fill="auto"/>
          </w:tcPr>
          <w:p w14:paraId="2DB60C22" w14:textId="77777777" w:rsidR="001844B6" w:rsidRPr="007E190E" w:rsidRDefault="001844B6" w:rsidP="005A3880">
            <w:pPr>
              <w:pStyle w:val="IAPOQ1"/>
              <w:rPr>
                <w:szCs w:val="22"/>
              </w:rPr>
            </w:pPr>
            <w:r w:rsidRPr="00544292">
              <w:t xml:space="preserve">Description and scale of </w:t>
            </w:r>
            <w:r w:rsidRPr="00826F71">
              <w:t>key monetised costs</w:t>
            </w:r>
            <w:r w:rsidRPr="00544292">
              <w:t xml:space="preserve"> by ‘main affected groups’ </w:t>
            </w:r>
          </w:p>
          <w:p w14:paraId="3BFC2EB9" w14:textId="77777777" w:rsidR="001844B6" w:rsidRPr="00826F71" w:rsidRDefault="001844B6" w:rsidP="00212673">
            <w:pPr>
              <w:pStyle w:val="IAPOA1"/>
            </w:pPr>
            <w:r w:rsidRPr="00D337D1">
              <w:fldChar w:fldCharType="begin">
                <w:ffData>
                  <w:name w:val="Text62"/>
                  <w:enabled/>
                  <w:calcOnExit w:val="0"/>
                  <w:textInput>
                    <w:default w:val="Maximum of 5 lines"/>
                    <w:maxLength w:val="500"/>
                  </w:textInput>
                </w:ffData>
              </w:fldChar>
            </w:r>
            <w:r w:rsidRPr="00D337D1">
              <w:instrText xml:space="preserve"> FORMTEXT </w:instrText>
            </w:r>
            <w:r w:rsidRPr="00D337D1">
              <w:fldChar w:fldCharType="separate"/>
            </w:r>
            <w:r w:rsidR="00212673" w:rsidRPr="00212673">
              <w:t xml:space="preserve">The familiarisation and implementation costs cover the time taken for a HR manager to learn what the legislation requires, consolidate guidance about the gender pay gap including the general key drivers, understand the impact this publication will have on their business, how to calculate the figure and staff training costs. The main costs employers will face annually is the time spent by HR managers, Chief Executives and legal professionals for the publication and clearance process. </w:t>
            </w:r>
            <w:r w:rsidR="00212673">
              <w:t> </w:t>
            </w:r>
            <w:r w:rsidR="00212673">
              <w:t> </w:t>
            </w:r>
            <w:r w:rsidR="00212673">
              <w:t> </w:t>
            </w:r>
            <w:r w:rsidR="00212673">
              <w:t> </w:t>
            </w:r>
            <w:r w:rsidR="00212673">
              <w:t> </w:t>
            </w:r>
            <w:r w:rsidRPr="00D337D1">
              <w:fldChar w:fldCharType="end"/>
            </w:r>
          </w:p>
        </w:tc>
      </w:tr>
      <w:tr w:rsidR="001844B6" w:rsidRPr="00826F71" w14:paraId="338484BA" w14:textId="77777777" w:rsidTr="007E190E">
        <w:trPr>
          <w:trHeight w:hRule="exact" w:val="1701"/>
        </w:trPr>
        <w:tc>
          <w:tcPr>
            <w:tcW w:w="10235" w:type="dxa"/>
            <w:gridSpan w:val="6"/>
            <w:tcBorders>
              <w:top w:val="single" w:sz="6" w:space="0" w:color="auto"/>
              <w:bottom w:val="single" w:sz="12" w:space="0" w:color="auto"/>
            </w:tcBorders>
            <w:shd w:val="clear" w:color="auto" w:fill="auto"/>
          </w:tcPr>
          <w:p w14:paraId="14B16445" w14:textId="77777777" w:rsidR="001844B6" w:rsidRPr="007E190E" w:rsidRDefault="001844B6" w:rsidP="005A3880">
            <w:pPr>
              <w:pStyle w:val="IAPOQ2"/>
              <w:rPr>
                <w:szCs w:val="22"/>
              </w:rPr>
            </w:pPr>
            <w:r w:rsidRPr="00544292">
              <w:t>Other</w:t>
            </w:r>
            <w:r w:rsidRPr="00826F71">
              <w:t xml:space="preserve"> key non-monetised costs</w:t>
            </w:r>
            <w:r w:rsidRPr="00544292">
              <w:t xml:space="preserve"> by ‘main affected groups’ </w:t>
            </w:r>
          </w:p>
          <w:p w14:paraId="74607564" w14:textId="77777777" w:rsidR="001844B6" w:rsidRPr="007E190E" w:rsidRDefault="001844B6" w:rsidP="009B645D">
            <w:pPr>
              <w:pStyle w:val="IAPOA2"/>
              <w:rPr>
                <w:szCs w:val="22"/>
              </w:rPr>
            </w:pPr>
            <w:r w:rsidRPr="007E190E">
              <w:rPr>
                <w:szCs w:val="22"/>
              </w:rPr>
              <w:fldChar w:fldCharType="begin">
                <w:ffData>
                  <w:name w:val="Text62"/>
                  <w:enabled/>
                  <w:calcOnExit w:val="0"/>
                  <w:textInput>
                    <w:default w:val="Maximum of 5 lines"/>
                    <w:maxLength w:val="500"/>
                  </w:textInput>
                </w:ffData>
              </w:fldChar>
            </w:r>
            <w:r w:rsidRPr="007E190E">
              <w:rPr>
                <w:szCs w:val="22"/>
              </w:rPr>
              <w:instrText xml:space="preserve"> FORMTEXT </w:instrText>
            </w:r>
            <w:r w:rsidRPr="007E190E">
              <w:rPr>
                <w:szCs w:val="22"/>
              </w:rPr>
            </w:r>
            <w:r w:rsidRPr="007E190E">
              <w:rPr>
                <w:szCs w:val="22"/>
              </w:rPr>
              <w:fldChar w:fldCharType="separate"/>
            </w:r>
            <w:r w:rsidR="009B645D" w:rsidRPr="009B645D">
              <w:rPr>
                <w:szCs w:val="22"/>
              </w:rPr>
              <w:t xml:space="preserve">Employers have expressed concerns about the potential exposure to increased legal action such as equal pay and also sex discrimination cases as a result of publishing results of gender pay analysis.  The framework of s.78 leaves open the option for the government to specify penalties for non- compliance. Employers who do not comply with the publication requirements could face civil enforcement procedures or be liable for a criminal offence, punishable by a fine.      </w:t>
            </w:r>
            <w:r w:rsidR="009B645D">
              <w:rPr>
                <w:szCs w:val="22"/>
              </w:rPr>
              <w:t> </w:t>
            </w:r>
            <w:r w:rsidR="009B645D">
              <w:rPr>
                <w:szCs w:val="22"/>
              </w:rPr>
              <w:t> </w:t>
            </w:r>
            <w:r w:rsidR="009B645D">
              <w:rPr>
                <w:szCs w:val="22"/>
              </w:rPr>
              <w:t> </w:t>
            </w:r>
            <w:r w:rsidR="009B645D">
              <w:rPr>
                <w:szCs w:val="22"/>
              </w:rPr>
              <w:t> </w:t>
            </w:r>
            <w:r w:rsidR="009B645D">
              <w:rPr>
                <w:szCs w:val="22"/>
              </w:rPr>
              <w:t> </w:t>
            </w:r>
            <w:r w:rsidRPr="007E190E">
              <w:rPr>
                <w:szCs w:val="22"/>
              </w:rPr>
              <w:fldChar w:fldCharType="end"/>
            </w:r>
          </w:p>
        </w:tc>
      </w:tr>
      <w:tr w:rsidR="001844B6" w:rsidRPr="007E190E" w14:paraId="6830BCAA" w14:textId="77777777" w:rsidTr="007E190E">
        <w:trPr>
          <w:trHeight w:hRule="exact" w:val="567"/>
        </w:trPr>
        <w:tc>
          <w:tcPr>
            <w:tcW w:w="1995" w:type="dxa"/>
            <w:shd w:val="clear" w:color="auto" w:fill="FFFFFF"/>
          </w:tcPr>
          <w:p w14:paraId="7DE48FBC" w14:textId="77777777" w:rsidR="001844B6" w:rsidRPr="007E190E" w:rsidRDefault="001844B6" w:rsidP="005A3880">
            <w:pPr>
              <w:pStyle w:val="IATableLabel"/>
              <w:rPr>
                <w:sz w:val="24"/>
                <w:szCs w:val="24"/>
              </w:rPr>
            </w:pPr>
            <w:r w:rsidRPr="007E190E">
              <w:rPr>
                <w:sz w:val="24"/>
                <w:szCs w:val="24"/>
              </w:rPr>
              <w:t>BENEFITS (£m)</w:t>
            </w:r>
          </w:p>
        </w:tc>
        <w:tc>
          <w:tcPr>
            <w:tcW w:w="2739" w:type="dxa"/>
            <w:gridSpan w:val="2"/>
            <w:tcBorders>
              <w:top w:val="single" w:sz="12" w:space="0" w:color="auto"/>
              <w:bottom w:val="single" w:sz="6" w:space="0" w:color="auto"/>
            </w:tcBorders>
            <w:shd w:val="clear" w:color="auto" w:fill="auto"/>
          </w:tcPr>
          <w:p w14:paraId="446B1A08" w14:textId="77777777" w:rsidR="001844B6" w:rsidRPr="00826F71" w:rsidRDefault="001844B6" w:rsidP="007E190E">
            <w:pPr>
              <w:pStyle w:val="IATableLabel"/>
              <w:tabs>
                <w:tab w:val="right" w:pos="1797"/>
                <w:tab w:val="center" w:pos="2340"/>
              </w:tabs>
              <w:jc w:val="right"/>
            </w:pPr>
            <w:r w:rsidRPr="00826F71">
              <w:t xml:space="preserve">Total Transition </w:t>
            </w:r>
            <w:r>
              <w:br/>
            </w:r>
            <w:r>
              <w:tab/>
            </w:r>
            <w:r w:rsidRPr="007E190E">
              <w:rPr>
                <w:b w:val="0"/>
                <w:sz w:val="18"/>
                <w:szCs w:val="18"/>
              </w:rPr>
              <w:t>(Constant Price)</w:t>
            </w:r>
            <w:r>
              <w:tab/>
            </w:r>
            <w:r w:rsidRPr="007E190E">
              <w:rPr>
                <w:b w:val="0"/>
                <w:sz w:val="18"/>
                <w:szCs w:val="18"/>
              </w:rPr>
              <w:t>Yea</w:t>
            </w:r>
            <w:r w:rsidRPr="007E190E">
              <w:rPr>
                <w:b w:val="0"/>
                <w:bCs/>
                <w:sz w:val="18"/>
                <w:szCs w:val="18"/>
              </w:rPr>
              <w:t>r</w:t>
            </w:r>
            <w:r w:rsidRPr="007E190E">
              <w:rPr>
                <w:b w:val="0"/>
                <w:sz w:val="18"/>
                <w:szCs w:val="18"/>
              </w:rPr>
              <w:t>s</w:t>
            </w:r>
          </w:p>
          <w:p w14:paraId="5BD26CC3" w14:textId="77777777" w:rsidR="001844B6" w:rsidRPr="00826F71" w:rsidRDefault="001844B6" w:rsidP="007E190E">
            <w:pPr>
              <w:pStyle w:val="IATableLabel"/>
              <w:jc w:val="right"/>
            </w:pPr>
            <w:r>
              <w:br/>
            </w:r>
          </w:p>
        </w:tc>
        <w:tc>
          <w:tcPr>
            <w:tcW w:w="2865" w:type="dxa"/>
            <w:tcBorders>
              <w:bottom w:val="single" w:sz="6" w:space="0" w:color="auto"/>
              <w:right w:val="single" w:sz="12" w:space="0" w:color="auto"/>
            </w:tcBorders>
            <w:shd w:val="clear" w:color="auto" w:fill="auto"/>
          </w:tcPr>
          <w:p w14:paraId="32A35619" w14:textId="77777777" w:rsidR="001844B6" w:rsidRPr="007E190E" w:rsidRDefault="001844B6" w:rsidP="007E190E">
            <w:pPr>
              <w:pStyle w:val="IATableLabel"/>
              <w:jc w:val="right"/>
              <w:rPr>
                <w:rFonts w:cs="Arial"/>
                <w:bCs/>
              </w:rPr>
            </w:pPr>
            <w:r w:rsidRPr="00826F71">
              <w:t>Average Annual</w:t>
            </w:r>
            <w:r w:rsidRPr="000C031E">
              <w:t xml:space="preserve"> </w:t>
            </w:r>
            <w:r>
              <w:br/>
            </w:r>
            <w:r w:rsidRPr="007E190E">
              <w:rPr>
                <w:b w:val="0"/>
                <w:sz w:val="18"/>
                <w:szCs w:val="18"/>
              </w:rPr>
              <w:t xml:space="preserve">(excl. Transition) </w:t>
            </w:r>
            <w:r w:rsidRPr="007E190E">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14:paraId="3F2ACE14" w14:textId="77777777" w:rsidR="001844B6" w:rsidRPr="00826F71" w:rsidRDefault="001844B6" w:rsidP="007E190E">
            <w:pPr>
              <w:pStyle w:val="IATableLabel"/>
              <w:jc w:val="right"/>
            </w:pPr>
            <w:r w:rsidRPr="00826F71">
              <w:t xml:space="preserve">Total </w:t>
            </w:r>
            <w:r>
              <w:t>Benefit</w:t>
            </w:r>
            <w:r w:rsidRPr="007E190E">
              <w:rPr>
                <w:b w:val="0"/>
                <w:sz w:val="18"/>
                <w:szCs w:val="18"/>
              </w:rPr>
              <w:t xml:space="preserve"> </w:t>
            </w:r>
            <w:r w:rsidRPr="007E190E">
              <w:rPr>
                <w:b w:val="0"/>
                <w:sz w:val="18"/>
                <w:szCs w:val="18"/>
              </w:rPr>
              <w:br/>
              <w:t>(Present Value)</w:t>
            </w:r>
          </w:p>
        </w:tc>
      </w:tr>
      <w:tr w:rsidR="001844B6" w:rsidRPr="007E190E" w14:paraId="698CEDE9" w14:textId="77777777" w:rsidTr="007E190E">
        <w:trPr>
          <w:trHeight w:hRule="exact" w:val="348"/>
        </w:trPr>
        <w:tc>
          <w:tcPr>
            <w:tcW w:w="1995" w:type="dxa"/>
            <w:tcBorders>
              <w:top w:val="single" w:sz="6" w:space="0" w:color="auto"/>
              <w:bottom w:val="single" w:sz="6" w:space="0" w:color="auto"/>
            </w:tcBorders>
            <w:shd w:val="clear" w:color="auto" w:fill="auto"/>
            <w:vAlign w:val="center"/>
          </w:tcPr>
          <w:p w14:paraId="30C2B913" w14:textId="77777777" w:rsidR="001844B6" w:rsidRPr="00826F71" w:rsidRDefault="001844B6" w:rsidP="005A3880">
            <w:pPr>
              <w:pStyle w:val="IATableLabel"/>
            </w:pPr>
            <w:r w:rsidRPr="00826F71">
              <w:t xml:space="preserve">Low </w:t>
            </w:r>
          </w:p>
        </w:tc>
        <w:tc>
          <w:tcPr>
            <w:tcW w:w="1949" w:type="dxa"/>
            <w:tcBorders>
              <w:top w:val="single" w:sz="6" w:space="0" w:color="auto"/>
              <w:bottom w:val="single" w:sz="6" w:space="0" w:color="auto"/>
            </w:tcBorders>
            <w:shd w:val="clear" w:color="auto" w:fill="auto"/>
            <w:vAlign w:val="center"/>
          </w:tcPr>
          <w:p w14:paraId="3942D649" w14:textId="77777777" w:rsidR="001844B6" w:rsidRPr="007E190E" w:rsidRDefault="001844B6" w:rsidP="005A3880">
            <w:pPr>
              <w:pStyle w:val="POTTBenLow"/>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790" w:type="dxa"/>
            <w:vMerge w:val="restart"/>
            <w:tcBorders>
              <w:top w:val="single" w:sz="6" w:space="0" w:color="auto"/>
            </w:tcBorders>
            <w:shd w:val="clear" w:color="auto" w:fill="auto"/>
            <w:vAlign w:val="center"/>
          </w:tcPr>
          <w:p w14:paraId="542373D4" w14:textId="77777777" w:rsidR="001844B6" w:rsidRPr="007E190E" w:rsidRDefault="001844B6" w:rsidP="007E190E">
            <w:pPr>
              <w:pStyle w:val="IATableText"/>
              <w:jc w:val="center"/>
              <w:rPr>
                <w:sz w:val="20"/>
              </w:rPr>
            </w:pPr>
            <w:r w:rsidRPr="007E190E">
              <w:rPr>
                <w:sz w:val="20"/>
              </w:rPr>
              <w:fldChar w:fldCharType="begin">
                <w:ffData>
                  <w:name w:val="Text48"/>
                  <w:enabled/>
                  <w:calcOnExit w:val="0"/>
                  <w:textInput>
                    <w:maxLength w:val="3"/>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sz w:val="20"/>
              </w:rPr>
              <w:fldChar w:fldCharType="end"/>
            </w:r>
          </w:p>
        </w:tc>
        <w:tc>
          <w:tcPr>
            <w:tcW w:w="2865" w:type="dxa"/>
            <w:tcBorders>
              <w:top w:val="single" w:sz="6" w:space="0" w:color="auto"/>
              <w:bottom w:val="single" w:sz="6" w:space="0" w:color="auto"/>
              <w:right w:val="single" w:sz="12" w:space="0" w:color="auto"/>
            </w:tcBorders>
            <w:shd w:val="clear" w:color="auto" w:fill="auto"/>
            <w:vAlign w:val="center"/>
          </w:tcPr>
          <w:p w14:paraId="6F1F6687" w14:textId="77777777" w:rsidR="001844B6" w:rsidRPr="007E190E" w:rsidRDefault="001844B6" w:rsidP="005A3880">
            <w:pPr>
              <w:pStyle w:val="POAABenLow"/>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2636" w:type="dxa"/>
            <w:gridSpan w:val="2"/>
            <w:tcBorders>
              <w:top w:val="single" w:sz="6" w:space="0" w:color="auto"/>
              <w:left w:val="single" w:sz="12" w:space="0" w:color="auto"/>
              <w:bottom w:val="single" w:sz="6" w:space="0" w:color="auto"/>
            </w:tcBorders>
            <w:shd w:val="clear" w:color="auto" w:fill="auto"/>
            <w:vAlign w:val="center"/>
          </w:tcPr>
          <w:p w14:paraId="22AD3312" w14:textId="77777777" w:rsidR="001844B6" w:rsidRPr="007E190E" w:rsidRDefault="001844B6" w:rsidP="005A3880">
            <w:pPr>
              <w:pStyle w:val="POTBBenLow"/>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r>
      <w:tr w:rsidR="001844B6" w:rsidRPr="007E190E" w14:paraId="13366F7E" w14:textId="77777777" w:rsidTr="007E190E">
        <w:trPr>
          <w:trHeight w:hRule="exact" w:val="348"/>
        </w:trPr>
        <w:tc>
          <w:tcPr>
            <w:tcW w:w="1995" w:type="dxa"/>
            <w:tcBorders>
              <w:top w:val="single" w:sz="6" w:space="0" w:color="auto"/>
              <w:bottom w:val="single" w:sz="12" w:space="0" w:color="auto"/>
            </w:tcBorders>
            <w:shd w:val="clear" w:color="auto" w:fill="auto"/>
            <w:vAlign w:val="center"/>
          </w:tcPr>
          <w:p w14:paraId="5E900292" w14:textId="77777777" w:rsidR="001844B6" w:rsidRPr="00826F71" w:rsidRDefault="001844B6" w:rsidP="005A3880">
            <w:pPr>
              <w:pStyle w:val="IATableLabel"/>
            </w:pPr>
            <w:r w:rsidRPr="00826F71">
              <w:t xml:space="preserve">High </w:t>
            </w:r>
          </w:p>
        </w:tc>
        <w:tc>
          <w:tcPr>
            <w:tcW w:w="1949" w:type="dxa"/>
            <w:tcBorders>
              <w:top w:val="single" w:sz="6" w:space="0" w:color="auto"/>
              <w:bottom w:val="single" w:sz="12" w:space="0" w:color="auto"/>
            </w:tcBorders>
            <w:shd w:val="clear" w:color="auto" w:fill="auto"/>
            <w:vAlign w:val="center"/>
          </w:tcPr>
          <w:p w14:paraId="55BF8FB4" w14:textId="77777777" w:rsidR="001844B6" w:rsidRPr="007E190E" w:rsidRDefault="001844B6" w:rsidP="005A3880">
            <w:pPr>
              <w:pStyle w:val="POTTBenHigh"/>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790" w:type="dxa"/>
            <w:vMerge/>
            <w:shd w:val="clear" w:color="auto" w:fill="FFFFFF"/>
            <w:vAlign w:val="center"/>
          </w:tcPr>
          <w:p w14:paraId="30F8BF1D" w14:textId="77777777" w:rsidR="001844B6" w:rsidRPr="007E190E" w:rsidRDefault="001844B6" w:rsidP="007E190E">
            <w:pPr>
              <w:pStyle w:val="IATableText"/>
              <w:jc w:val="right"/>
              <w:rPr>
                <w:sz w:val="20"/>
              </w:rPr>
            </w:pPr>
          </w:p>
        </w:tc>
        <w:tc>
          <w:tcPr>
            <w:tcW w:w="2865" w:type="dxa"/>
            <w:tcBorders>
              <w:top w:val="single" w:sz="6" w:space="0" w:color="auto"/>
              <w:bottom w:val="single" w:sz="12" w:space="0" w:color="auto"/>
              <w:right w:val="single" w:sz="12" w:space="0" w:color="auto"/>
            </w:tcBorders>
            <w:shd w:val="clear" w:color="auto" w:fill="auto"/>
            <w:vAlign w:val="center"/>
          </w:tcPr>
          <w:p w14:paraId="51C88364" w14:textId="77777777" w:rsidR="001844B6" w:rsidRPr="007E190E" w:rsidRDefault="001844B6" w:rsidP="005A3880">
            <w:pPr>
              <w:pStyle w:val="POAABenHigh"/>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2636" w:type="dxa"/>
            <w:gridSpan w:val="2"/>
            <w:tcBorders>
              <w:top w:val="single" w:sz="6" w:space="0" w:color="auto"/>
              <w:left w:val="single" w:sz="12" w:space="0" w:color="auto"/>
              <w:bottom w:val="single" w:sz="12" w:space="0" w:color="auto"/>
            </w:tcBorders>
            <w:shd w:val="clear" w:color="auto" w:fill="auto"/>
            <w:vAlign w:val="center"/>
          </w:tcPr>
          <w:p w14:paraId="14657497" w14:textId="77777777" w:rsidR="001844B6" w:rsidRPr="007E190E" w:rsidRDefault="001844B6" w:rsidP="005A3880">
            <w:pPr>
              <w:pStyle w:val="POTBBenHigh"/>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r>
      <w:tr w:rsidR="001844B6" w:rsidRPr="007E190E" w14:paraId="6AD09273" w14:textId="77777777" w:rsidTr="007E190E">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14:paraId="2A5FF5D0" w14:textId="77777777" w:rsidR="001844B6" w:rsidRPr="00826F71" w:rsidRDefault="001844B6" w:rsidP="005A3880">
            <w:pPr>
              <w:pStyle w:val="IATableLabel"/>
            </w:pPr>
            <w:r w:rsidRPr="00826F71">
              <w:t xml:space="preserve">Best </w:t>
            </w:r>
            <w:r>
              <w:t>E</w:t>
            </w:r>
            <w:r w:rsidRPr="00826F71">
              <w:t>stimate</w:t>
            </w:r>
          </w:p>
          <w:p w14:paraId="3E65F984" w14:textId="77777777" w:rsidR="001844B6" w:rsidRPr="007E190E" w:rsidRDefault="001844B6" w:rsidP="007E190E">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69220555" w14:textId="77777777" w:rsidR="001844B6" w:rsidRPr="007E190E" w:rsidRDefault="001844B6" w:rsidP="005A3880">
            <w:pPr>
              <w:pStyle w:val="POTTBenBest"/>
              <w:rPr>
                <w:sz w:val="20"/>
              </w:rPr>
            </w:pPr>
            <w:r w:rsidRPr="007E190E">
              <w:rPr>
                <w:sz w:val="20"/>
              </w:rPr>
              <w:fldChar w:fldCharType="begin">
                <w:ffData>
                  <w:name w:val=""/>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noProof/>
                <w:sz w:val="20"/>
              </w:rPr>
              <w:t> </w:t>
            </w:r>
            <w:r w:rsidRPr="007E190E">
              <w:rPr>
                <w:noProof/>
                <w:sz w:val="20"/>
              </w:rPr>
              <w:t> </w:t>
            </w:r>
            <w:r w:rsidRPr="007E190E">
              <w:rPr>
                <w:sz w:val="20"/>
              </w:rPr>
              <w:fldChar w:fldCharType="end"/>
            </w:r>
          </w:p>
        </w:tc>
        <w:tc>
          <w:tcPr>
            <w:tcW w:w="790" w:type="dxa"/>
            <w:vMerge/>
            <w:tcBorders>
              <w:left w:val="single" w:sz="12" w:space="0" w:color="auto"/>
              <w:right w:val="single" w:sz="12" w:space="0" w:color="auto"/>
            </w:tcBorders>
            <w:shd w:val="clear" w:color="auto" w:fill="FFFFFF"/>
            <w:vAlign w:val="center"/>
          </w:tcPr>
          <w:p w14:paraId="5933798D" w14:textId="77777777" w:rsidR="001844B6" w:rsidRPr="007E190E" w:rsidRDefault="001844B6" w:rsidP="007E190E">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26CAF0BD" w14:textId="77777777" w:rsidR="001844B6" w:rsidRPr="007E190E" w:rsidRDefault="001844B6" w:rsidP="005A3880">
            <w:pPr>
              <w:pStyle w:val="POAABenBest"/>
              <w:rPr>
                <w:sz w:val="20"/>
              </w:rPr>
            </w:pPr>
            <w:r w:rsidRPr="007E190E">
              <w:rPr>
                <w:sz w:val="20"/>
              </w:rPr>
              <w:fldChar w:fldCharType="begin">
                <w:ffData>
                  <w:name w:val=""/>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noProof/>
                <w:sz w:val="20"/>
              </w:rPr>
              <w:t> </w:t>
            </w:r>
            <w:r w:rsidRPr="007E190E">
              <w:rPr>
                <w:noProof/>
                <w:sz w:val="20"/>
              </w:rPr>
              <w:t> </w:t>
            </w:r>
            <w:r w:rsidRPr="007E190E">
              <w:rPr>
                <w:sz w:val="20"/>
              </w:rPr>
              <w:fldChar w:fldCharType="end"/>
            </w:r>
          </w:p>
        </w:tc>
        <w:tc>
          <w:tcPr>
            <w:tcW w:w="2636" w:type="dxa"/>
            <w:gridSpan w:val="2"/>
            <w:tcBorders>
              <w:top w:val="single" w:sz="12" w:space="0" w:color="auto"/>
              <w:left w:val="single" w:sz="12" w:space="0" w:color="auto"/>
              <w:bottom w:val="single" w:sz="12" w:space="0" w:color="auto"/>
            </w:tcBorders>
            <w:shd w:val="clear" w:color="auto" w:fill="FFFFFF"/>
            <w:vAlign w:val="center"/>
          </w:tcPr>
          <w:p w14:paraId="52824652" w14:textId="77777777" w:rsidR="001844B6" w:rsidRPr="007E190E" w:rsidRDefault="001844B6" w:rsidP="005A3880">
            <w:pPr>
              <w:pStyle w:val="POTBBenBest"/>
              <w:rPr>
                <w:sz w:val="20"/>
              </w:rPr>
            </w:pPr>
            <w:r w:rsidRPr="007E190E">
              <w:rPr>
                <w:sz w:val="20"/>
              </w:rPr>
              <w:fldChar w:fldCharType="begin">
                <w:ffData>
                  <w:name w:val=""/>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noProof/>
                <w:sz w:val="20"/>
              </w:rPr>
              <w:t> </w:t>
            </w:r>
            <w:r w:rsidRPr="007E190E">
              <w:rPr>
                <w:noProof/>
                <w:sz w:val="20"/>
              </w:rPr>
              <w:t> </w:t>
            </w:r>
            <w:r w:rsidRPr="007E190E">
              <w:rPr>
                <w:sz w:val="20"/>
              </w:rPr>
              <w:fldChar w:fldCharType="end"/>
            </w:r>
          </w:p>
        </w:tc>
      </w:tr>
      <w:tr w:rsidR="001844B6" w:rsidRPr="00826F71" w14:paraId="16032DD9" w14:textId="77777777" w:rsidTr="007E190E">
        <w:trPr>
          <w:trHeight w:hRule="exact" w:val="1701"/>
        </w:trPr>
        <w:tc>
          <w:tcPr>
            <w:tcW w:w="10235" w:type="dxa"/>
            <w:gridSpan w:val="6"/>
            <w:shd w:val="clear" w:color="auto" w:fill="auto"/>
          </w:tcPr>
          <w:p w14:paraId="5E8F3DBC" w14:textId="77777777" w:rsidR="001844B6" w:rsidRPr="007E190E" w:rsidRDefault="001844B6" w:rsidP="005A3880">
            <w:pPr>
              <w:pStyle w:val="IPPOQ3"/>
              <w:rPr>
                <w:szCs w:val="22"/>
              </w:rPr>
            </w:pPr>
            <w:r w:rsidRPr="00544292">
              <w:t xml:space="preserve">Description and scale of </w:t>
            </w:r>
            <w:r w:rsidRPr="00826F71">
              <w:t xml:space="preserve">key monetised </w:t>
            </w:r>
            <w:r>
              <w:t>benefits</w:t>
            </w:r>
            <w:r w:rsidRPr="00544292">
              <w:t xml:space="preserve"> by ‘main affected groups’ </w:t>
            </w:r>
          </w:p>
          <w:p w14:paraId="38404E28" w14:textId="77777777" w:rsidR="001844B6" w:rsidRPr="00826F71" w:rsidRDefault="001844B6" w:rsidP="00D5573D">
            <w:pPr>
              <w:pStyle w:val="IAPOA3"/>
            </w:pPr>
            <w:r w:rsidRPr="00D337D1">
              <w:fldChar w:fldCharType="begin">
                <w:ffData>
                  <w:name w:val=""/>
                  <w:enabled/>
                  <w:calcOnExit w:val="0"/>
                  <w:textInput>
                    <w:default w:val="Maximum of 5 lines"/>
                    <w:maxLength w:val="500"/>
                  </w:textInput>
                </w:ffData>
              </w:fldChar>
            </w:r>
            <w:r w:rsidRPr="00D337D1">
              <w:instrText xml:space="preserve"> FORMTEXT </w:instrText>
            </w:r>
            <w:r w:rsidRPr="00D337D1">
              <w:fldChar w:fldCharType="separate"/>
            </w:r>
            <w:r w:rsidR="00C601E4">
              <w:t xml:space="preserve">It is not possible to monetise the benefits </w:t>
            </w:r>
            <w:r w:rsidR="00D5573D">
              <w:t>due to a</w:t>
            </w:r>
            <w:r w:rsidR="00C601E4">
              <w:t xml:space="preserve"> lack of evidence enabl</w:t>
            </w:r>
            <w:r w:rsidR="00D5573D">
              <w:t>ing</w:t>
            </w:r>
            <w:r w:rsidR="00C601E4">
              <w:t xml:space="preserve"> us to quantify the impact </w:t>
            </w:r>
            <w:r w:rsidR="00D5573D">
              <w:t xml:space="preserve">that </w:t>
            </w:r>
            <w:r w:rsidR="00C601E4">
              <w:t>greater transparency will have on the gender pay gap</w:t>
            </w:r>
            <w:r w:rsidR="009C4753">
              <w:t>. For the same reason, we are also unable to quantify</w:t>
            </w:r>
            <w:r w:rsidR="00C601E4">
              <w:t xml:space="preserve"> the benefits</w:t>
            </w:r>
            <w:r w:rsidR="00D000E2">
              <w:t xml:space="preserve"> that a lower gender pay gap will give </w:t>
            </w:r>
            <w:r w:rsidR="00C601E4">
              <w:t>employers</w:t>
            </w:r>
            <w:r w:rsidR="00D000E2">
              <w:t xml:space="preserve"> such as the effect on business outcomes through increased motivation and productivity of employees</w:t>
            </w:r>
            <w:r w:rsidR="009C4753">
              <w:t xml:space="preserve"> (see non-monetised benefits sections below for more detail). </w:t>
            </w:r>
            <w:r w:rsidR="00D000E2">
              <w:t xml:space="preserve"> </w:t>
            </w:r>
            <w:r w:rsidRPr="00D337D1">
              <w:fldChar w:fldCharType="end"/>
            </w:r>
          </w:p>
        </w:tc>
      </w:tr>
      <w:tr w:rsidR="001844B6" w:rsidRPr="00826F71" w14:paraId="55AE2A09" w14:textId="77777777" w:rsidTr="007E190E">
        <w:trPr>
          <w:trHeight w:hRule="exact" w:val="1701"/>
        </w:trPr>
        <w:tc>
          <w:tcPr>
            <w:tcW w:w="10235" w:type="dxa"/>
            <w:gridSpan w:val="6"/>
            <w:shd w:val="clear" w:color="auto" w:fill="auto"/>
          </w:tcPr>
          <w:p w14:paraId="1302A518" w14:textId="77777777" w:rsidR="001844B6" w:rsidRPr="007E190E" w:rsidRDefault="001844B6" w:rsidP="005A3880">
            <w:pPr>
              <w:pStyle w:val="IAPOQ4"/>
              <w:rPr>
                <w:szCs w:val="22"/>
              </w:rPr>
            </w:pPr>
            <w:r w:rsidRPr="00544292">
              <w:t>Other</w:t>
            </w:r>
            <w:r w:rsidRPr="00826F71">
              <w:t xml:space="preserve"> key non-monetised </w:t>
            </w:r>
            <w:r>
              <w:t>benefits</w:t>
            </w:r>
            <w:r w:rsidRPr="00544292">
              <w:t xml:space="preserve"> by ‘main affected groups’ </w:t>
            </w:r>
          </w:p>
          <w:p w14:paraId="6784333A" w14:textId="77777777" w:rsidR="001844B6" w:rsidRPr="00826F71" w:rsidRDefault="001844B6" w:rsidP="006615C7">
            <w:pPr>
              <w:pStyle w:val="IAPOA4"/>
            </w:pPr>
            <w:r w:rsidRPr="00D337D1">
              <w:fldChar w:fldCharType="begin">
                <w:ffData>
                  <w:name w:val=""/>
                  <w:enabled/>
                  <w:calcOnExit w:val="0"/>
                  <w:textInput>
                    <w:default w:val="Maximum of 5 lines"/>
                    <w:maxLength w:val="500"/>
                  </w:textInput>
                </w:ffData>
              </w:fldChar>
            </w:r>
            <w:r w:rsidRPr="00D337D1">
              <w:instrText xml:space="preserve"> FORMTEXT </w:instrText>
            </w:r>
            <w:r w:rsidRPr="00D337D1">
              <w:fldChar w:fldCharType="separate"/>
            </w:r>
            <w:r w:rsidR="00C96CF4" w:rsidRPr="00C96CF4">
              <w:t>Reducing the gender pay gap c</w:t>
            </w:r>
            <w:r w:rsidR="00923001">
              <w:t>ould</w:t>
            </w:r>
            <w:r w:rsidR="00C96CF4" w:rsidRPr="00C96CF4">
              <w:t xml:space="preserve"> help contribute to a more diverse and equal workforce through incentivising more women to work and progress in their careers. If appropriately managed </w:t>
            </w:r>
            <w:r w:rsidR="00D5573D">
              <w:t xml:space="preserve">by employers </w:t>
            </w:r>
            <w:r w:rsidR="00C96CF4" w:rsidRPr="00C96CF4">
              <w:t>this c</w:t>
            </w:r>
            <w:r w:rsidR="00923001">
              <w:t>oul</w:t>
            </w:r>
            <w:r w:rsidR="006615C7">
              <w:t>d</w:t>
            </w:r>
            <w:r w:rsidR="00C96CF4" w:rsidRPr="00C96CF4">
              <w:t xml:space="preserve"> result in business benefits </w:t>
            </w:r>
            <w:r w:rsidR="00C96CF4">
              <w:t>(such as greater creativity and problem-solving in the workplace)</w:t>
            </w:r>
            <w:r w:rsidR="00D5573D">
              <w:t>.</w:t>
            </w:r>
            <w:r w:rsidR="00C96CF4" w:rsidRPr="00C96CF4">
              <w:t xml:space="preserve"> </w:t>
            </w:r>
            <w:r w:rsidR="00B17203">
              <w:t>This</w:t>
            </w:r>
            <w:r w:rsidR="00C96CF4" w:rsidRPr="00C96CF4">
              <w:t xml:space="preserve"> is</w:t>
            </w:r>
            <w:r w:rsidR="00D5573D">
              <w:t>, however,</w:t>
            </w:r>
            <w:r w:rsidR="00C96CF4" w:rsidRPr="00C96CF4">
              <w:t xml:space="preserve"> likely to be dependent on factors such as the markets employers operate in, and the actions of managers and leaders</w:t>
            </w:r>
            <w:r w:rsidR="00D5573D">
              <w:t>.</w:t>
            </w:r>
            <w:r w:rsidR="00C96CF4" w:rsidRPr="00C96CF4">
              <w:t xml:space="preserve"> </w:t>
            </w:r>
            <w:r w:rsidR="00D5573D">
              <w:t>I</w:t>
            </w:r>
            <w:r w:rsidR="00C96CF4" w:rsidRPr="00C96CF4">
              <w:t>f poorly managed,</w:t>
            </w:r>
            <w:r w:rsidR="00D5573D">
              <w:t xml:space="preserve"> </w:t>
            </w:r>
            <w:r w:rsidR="00C96CF4" w:rsidRPr="00C96CF4">
              <w:t>business cost</w:t>
            </w:r>
            <w:r w:rsidR="00D5573D">
              <w:t>s could increase</w:t>
            </w:r>
            <w:r w:rsidR="00C96CF4" w:rsidRPr="00C96CF4">
              <w:t>.</w:t>
            </w:r>
            <w:r w:rsidRPr="00D337D1">
              <w:fldChar w:fldCharType="end"/>
            </w:r>
          </w:p>
        </w:tc>
      </w:tr>
      <w:tr w:rsidR="001844B6" w:rsidRPr="00826F71" w14:paraId="7C9491BC" w14:textId="77777777" w:rsidTr="007E190E">
        <w:trPr>
          <w:trHeight w:hRule="exact" w:val="346"/>
        </w:trPr>
        <w:tc>
          <w:tcPr>
            <w:tcW w:w="9375" w:type="dxa"/>
            <w:gridSpan w:val="5"/>
            <w:tcBorders>
              <w:top w:val="single" w:sz="6" w:space="0" w:color="auto"/>
              <w:bottom w:val="nil"/>
            </w:tcBorders>
            <w:shd w:val="clear" w:color="auto" w:fill="auto"/>
          </w:tcPr>
          <w:p w14:paraId="158F7FAD" w14:textId="77777777" w:rsidR="001844B6" w:rsidRDefault="001844B6" w:rsidP="007E190E">
            <w:pPr>
              <w:pStyle w:val="IATableLabel"/>
              <w:tabs>
                <w:tab w:val="left" w:pos="7655"/>
              </w:tabs>
            </w:pPr>
            <w:r w:rsidRPr="00F1653E">
              <w:rPr>
                <w:rStyle w:val="IAPOQ5Char"/>
              </w:rPr>
              <w:t>Key assumptions/sensitivities/risks</w:t>
            </w:r>
            <w:r>
              <w:tab/>
              <w:t>Discount rate (%)</w:t>
            </w:r>
          </w:p>
          <w:p w14:paraId="3D21D29C" w14:textId="77777777" w:rsidR="001844B6" w:rsidRPr="00455895" w:rsidRDefault="001844B6" w:rsidP="005A3880">
            <w:pPr>
              <w:pStyle w:val="IATableLabel"/>
            </w:pPr>
          </w:p>
        </w:tc>
        <w:tc>
          <w:tcPr>
            <w:tcW w:w="860" w:type="dxa"/>
            <w:tcBorders>
              <w:top w:val="single" w:sz="6" w:space="0" w:color="auto"/>
              <w:bottom w:val="single" w:sz="4" w:space="0" w:color="auto"/>
            </w:tcBorders>
            <w:shd w:val="clear" w:color="auto" w:fill="auto"/>
          </w:tcPr>
          <w:p w14:paraId="55997E71" w14:textId="77777777" w:rsidR="001844B6" w:rsidRPr="007E6CF8" w:rsidRDefault="007C0713" w:rsidP="006471E2">
            <w:pPr>
              <w:pStyle w:val="IAPODisRate"/>
            </w:pPr>
            <w:r>
              <w:t>3.50</w:t>
            </w:r>
          </w:p>
        </w:tc>
      </w:tr>
      <w:tr w:rsidR="001844B6" w:rsidRPr="007E190E" w14:paraId="4286C9BC" w14:textId="77777777" w:rsidTr="007E190E">
        <w:trPr>
          <w:trHeight w:hRule="exact" w:val="1375"/>
        </w:trPr>
        <w:tc>
          <w:tcPr>
            <w:tcW w:w="10235" w:type="dxa"/>
            <w:gridSpan w:val="6"/>
            <w:tcBorders>
              <w:top w:val="nil"/>
              <w:bottom w:val="single" w:sz="12" w:space="0" w:color="auto"/>
            </w:tcBorders>
            <w:shd w:val="clear" w:color="auto" w:fill="auto"/>
          </w:tcPr>
          <w:p w14:paraId="6AA7CD95" w14:textId="77777777" w:rsidR="001844B6" w:rsidRPr="00544292" w:rsidRDefault="001844B6" w:rsidP="006615C7">
            <w:pPr>
              <w:pStyle w:val="IAPOA5"/>
            </w:pPr>
            <w:r>
              <w:fldChar w:fldCharType="begin">
                <w:ffData>
                  <w:name w:val=""/>
                  <w:enabled/>
                  <w:calcOnExit w:val="0"/>
                  <w:textInput>
                    <w:default w:val="Maximum of 5 lines"/>
                    <w:maxLength w:val="500"/>
                  </w:textInput>
                </w:ffData>
              </w:fldChar>
            </w:r>
            <w:r>
              <w:instrText xml:space="preserve"> FORMTEXT </w:instrText>
            </w:r>
            <w:r>
              <w:fldChar w:fldCharType="separate"/>
            </w:r>
            <w:r w:rsidR="006471E2" w:rsidRPr="006471E2">
              <w:t xml:space="preserve">Assumptions have been made about </w:t>
            </w:r>
            <w:r w:rsidR="00923001">
              <w:t>the t</w:t>
            </w:r>
            <w:r w:rsidR="006471E2" w:rsidRPr="006471E2">
              <w:t xml:space="preserve">ime </w:t>
            </w:r>
            <w:r w:rsidR="00923001">
              <w:t>needed</w:t>
            </w:r>
            <w:r w:rsidR="006471E2" w:rsidRPr="006471E2">
              <w:t xml:space="preserve"> for: employers to familiarise themselves with their legal obligations</w:t>
            </w:r>
            <w:r w:rsidR="006471E2">
              <w:t>;</w:t>
            </w:r>
            <w:r w:rsidR="006471E2" w:rsidRPr="006471E2">
              <w:t xml:space="preserve"> to train staff, </w:t>
            </w:r>
            <w:r w:rsidR="00923001">
              <w:t xml:space="preserve">for </w:t>
            </w:r>
            <w:r w:rsidR="006471E2" w:rsidRPr="006471E2">
              <w:t>organisations to re-calculate figures annually</w:t>
            </w:r>
            <w:r w:rsidR="00923001">
              <w:t>,</w:t>
            </w:r>
            <w:r w:rsidR="006471E2" w:rsidRPr="006471E2">
              <w:t xml:space="preserve"> and </w:t>
            </w:r>
            <w:r w:rsidR="00923001">
              <w:t xml:space="preserve">for the </w:t>
            </w:r>
            <w:r w:rsidR="006471E2" w:rsidRPr="006471E2">
              <w:t>clearance and publication process. Risks: The evidence base we have used to make assumptions derives from employers who voluntarily analysed their gender pay</w:t>
            </w:r>
            <w:r w:rsidR="00923001">
              <w:t>, who</w:t>
            </w:r>
            <w:r w:rsidR="006471E2" w:rsidRPr="006471E2">
              <w:t xml:space="preserve"> may not be a good representation of the full range of employers who fall in scope. </w:t>
            </w:r>
            <w:r w:rsidR="006471E2" w:rsidRPr="006471E2">
              <w:tab/>
            </w:r>
            <w:r>
              <w:fldChar w:fldCharType="end"/>
            </w:r>
          </w:p>
        </w:tc>
      </w:tr>
    </w:tbl>
    <w:p w14:paraId="47F60DC2" w14:textId="77777777" w:rsidR="001844B6" w:rsidRDefault="001844B6" w:rsidP="005A3880">
      <w:pPr>
        <w:pStyle w:val="IASpacer"/>
      </w:pPr>
    </w:p>
    <w:p w14:paraId="457AAADC" w14:textId="77777777" w:rsidR="001844B6" w:rsidRDefault="00F63895" w:rsidP="005A3880">
      <w:pPr>
        <w:pStyle w:val="IAHeadLabel"/>
        <w:spacing w:before="50"/>
      </w:pPr>
      <w:r>
        <w:t xml:space="preserve">BUSINESS </w:t>
      </w:r>
      <w:r w:rsidR="001844B6">
        <w:t xml:space="preserve">ASSESSMENT (Option </w:t>
      </w:r>
      <w:fldSimple w:instr=" SEQ BA ">
        <w:r w:rsidR="00714D27">
          <w:rPr>
            <w:noProof/>
          </w:rPr>
          <w:t>1</w:t>
        </w:r>
      </w:fldSimple>
      <w:r w:rsidR="001844B6">
        <w:t>)</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86"/>
        <w:gridCol w:w="2151"/>
        <w:gridCol w:w="1976"/>
        <w:gridCol w:w="1976"/>
        <w:gridCol w:w="2106"/>
      </w:tblGrid>
      <w:tr w:rsidR="001844B6" w:rsidRPr="000E02BE" w14:paraId="07171E23" w14:textId="77777777">
        <w:trPr>
          <w:trHeight w:hRule="exact" w:val="312"/>
        </w:trPr>
        <w:tc>
          <w:tcPr>
            <w:tcW w:w="6125" w:type="dxa"/>
            <w:gridSpan w:val="3"/>
            <w:tcBorders>
              <w:top w:val="single" w:sz="4" w:space="0" w:color="auto"/>
              <w:bottom w:val="nil"/>
              <w:right w:val="single" w:sz="4" w:space="0" w:color="auto"/>
            </w:tcBorders>
          </w:tcPr>
          <w:p w14:paraId="0DF99C88" w14:textId="77777777" w:rsidR="001844B6" w:rsidRPr="000E02BE" w:rsidRDefault="001844B6" w:rsidP="005A3880">
            <w:pPr>
              <w:pStyle w:val="IATableLabel"/>
            </w:pPr>
            <w:r w:rsidRPr="000E02BE">
              <w:t xml:space="preserve">Direct impact on </w:t>
            </w:r>
            <w:r>
              <w:t>business (Equivalent Annual) £m</w:t>
            </w:r>
            <w:r w:rsidRPr="000E02BE">
              <w:t xml:space="preserve">: </w:t>
            </w:r>
          </w:p>
        </w:tc>
        <w:tc>
          <w:tcPr>
            <w:tcW w:w="1980" w:type="dxa"/>
            <w:tcBorders>
              <w:top w:val="single" w:sz="4" w:space="0" w:color="auto"/>
              <w:left w:val="single" w:sz="4" w:space="0" w:color="auto"/>
              <w:bottom w:val="nil"/>
              <w:right w:val="nil"/>
            </w:tcBorders>
          </w:tcPr>
          <w:p w14:paraId="3BF6C262" w14:textId="77777777" w:rsidR="001844B6" w:rsidRPr="000E02BE" w:rsidRDefault="001844B6" w:rsidP="005A3880">
            <w:pPr>
              <w:pStyle w:val="IATableLabel"/>
            </w:pPr>
            <w:r w:rsidRPr="000E02BE">
              <w:t>In scope of OI</w:t>
            </w:r>
            <w:r w:rsidR="00204AB1">
              <w:t>T</w:t>
            </w:r>
            <w:r w:rsidRPr="000E02BE">
              <w:t>O?</w:t>
            </w:r>
          </w:p>
        </w:tc>
        <w:tc>
          <w:tcPr>
            <w:tcW w:w="2110" w:type="dxa"/>
            <w:tcBorders>
              <w:top w:val="single" w:sz="4" w:space="0" w:color="auto"/>
              <w:left w:val="nil"/>
              <w:bottom w:val="nil"/>
              <w:right w:val="single" w:sz="4" w:space="0" w:color="auto"/>
            </w:tcBorders>
            <w:shd w:val="clear" w:color="auto" w:fill="auto"/>
          </w:tcPr>
          <w:p w14:paraId="048BED31" w14:textId="77777777" w:rsidR="001844B6" w:rsidRPr="000E02BE" w:rsidRDefault="001844B6" w:rsidP="005A3880">
            <w:pPr>
              <w:pStyle w:val="IATableLabel"/>
              <w:ind w:left="0"/>
            </w:pPr>
            <w:r w:rsidRPr="000E02BE">
              <w:t xml:space="preserve">  Measure qualifies as</w:t>
            </w:r>
          </w:p>
        </w:tc>
      </w:tr>
      <w:tr w:rsidR="001844B6" w:rsidRPr="00E75380" w14:paraId="2ACCB684" w14:textId="77777777">
        <w:trPr>
          <w:trHeight w:hRule="exact" w:val="340"/>
        </w:trPr>
        <w:tc>
          <w:tcPr>
            <w:tcW w:w="1990" w:type="dxa"/>
            <w:tcBorders>
              <w:top w:val="nil"/>
              <w:bottom w:val="single" w:sz="4" w:space="0" w:color="auto"/>
              <w:right w:val="single" w:sz="4" w:space="0" w:color="auto"/>
            </w:tcBorders>
            <w:shd w:val="clear" w:color="auto" w:fill="FFFFFF"/>
          </w:tcPr>
          <w:p w14:paraId="1CEBD412" w14:textId="77777777" w:rsidR="001844B6" w:rsidRPr="00F63895" w:rsidRDefault="001844B6" w:rsidP="009F1E3D">
            <w:pPr>
              <w:pStyle w:val="IATableLabel"/>
            </w:pPr>
            <w:r w:rsidRPr="00F63895">
              <w:t xml:space="preserve">Costs: </w:t>
            </w:r>
            <w:r w:rsidRPr="00F63895">
              <w:rPr>
                <w:rStyle w:val="IAPODICostChar"/>
                <w:sz w:val="20"/>
                <w:szCs w:val="20"/>
              </w:rPr>
              <w:fldChar w:fldCharType="begin">
                <w:ffData>
                  <w:name w:val="Text67"/>
                  <w:enabled/>
                  <w:calcOnExit w:val="0"/>
                  <w:textInput>
                    <w:maxLength w:val="9"/>
                  </w:textInput>
                </w:ffData>
              </w:fldChar>
            </w:r>
            <w:r w:rsidRPr="00F63895">
              <w:rPr>
                <w:rStyle w:val="IAPODICostChar"/>
                <w:sz w:val="20"/>
                <w:szCs w:val="20"/>
              </w:rPr>
              <w:instrText xml:space="preserve"> FORMTEXT </w:instrText>
            </w:r>
            <w:r w:rsidRPr="00F63895">
              <w:rPr>
                <w:rStyle w:val="IAPODICostChar"/>
                <w:sz w:val="20"/>
                <w:szCs w:val="20"/>
              </w:rPr>
            </w:r>
            <w:r w:rsidRPr="00F63895">
              <w:rPr>
                <w:rStyle w:val="IAPODICostChar"/>
                <w:sz w:val="20"/>
                <w:szCs w:val="20"/>
              </w:rPr>
              <w:fldChar w:fldCharType="separate"/>
            </w:r>
            <w:r w:rsidR="009F1E3D">
              <w:rPr>
                <w:rStyle w:val="IAPODICostChar"/>
                <w:noProof/>
                <w:sz w:val="20"/>
                <w:szCs w:val="20"/>
              </w:rPr>
              <w:t>3.0</w:t>
            </w:r>
            <w:r w:rsidRPr="00F63895">
              <w:rPr>
                <w:rStyle w:val="IAPODICostChar"/>
                <w:sz w:val="20"/>
                <w:szCs w:val="20"/>
              </w:rPr>
              <w:fldChar w:fldCharType="end"/>
            </w:r>
          </w:p>
        </w:tc>
        <w:tc>
          <w:tcPr>
            <w:tcW w:w="2155" w:type="dxa"/>
            <w:tcBorders>
              <w:top w:val="nil"/>
              <w:bottom w:val="single" w:sz="4" w:space="0" w:color="auto"/>
              <w:right w:val="single" w:sz="4" w:space="0" w:color="auto"/>
            </w:tcBorders>
            <w:shd w:val="clear" w:color="auto" w:fill="FFFFFF"/>
          </w:tcPr>
          <w:p w14:paraId="1E338897" w14:textId="77777777" w:rsidR="001844B6" w:rsidRPr="00F63895" w:rsidRDefault="001844B6" w:rsidP="00212673">
            <w:pPr>
              <w:pStyle w:val="IATableLabel"/>
            </w:pPr>
            <w:r w:rsidRPr="00F63895">
              <w:t xml:space="preserve">Benefits: </w:t>
            </w:r>
            <w:r w:rsidRPr="00F63895">
              <w:rPr>
                <w:rStyle w:val="IAPODIBenChar"/>
                <w:sz w:val="20"/>
                <w:szCs w:val="20"/>
              </w:rPr>
              <w:fldChar w:fldCharType="begin">
                <w:ffData>
                  <w:name w:val="Text68"/>
                  <w:enabled/>
                  <w:calcOnExit w:val="0"/>
                  <w:textInput>
                    <w:maxLength w:val="9"/>
                  </w:textInput>
                </w:ffData>
              </w:fldChar>
            </w:r>
            <w:r w:rsidRPr="00F63895">
              <w:rPr>
                <w:rStyle w:val="IAPODIBenChar"/>
                <w:sz w:val="20"/>
                <w:szCs w:val="20"/>
              </w:rPr>
              <w:instrText xml:space="preserve"> FORMTEXT </w:instrText>
            </w:r>
            <w:r w:rsidRPr="00F63895">
              <w:rPr>
                <w:rStyle w:val="IAPODIBenChar"/>
                <w:sz w:val="20"/>
                <w:szCs w:val="20"/>
              </w:rPr>
            </w:r>
            <w:r w:rsidRPr="00F63895">
              <w:rPr>
                <w:rStyle w:val="IAPODIBenChar"/>
                <w:sz w:val="20"/>
                <w:szCs w:val="20"/>
              </w:rPr>
              <w:fldChar w:fldCharType="separate"/>
            </w:r>
            <w:r w:rsidR="00212673">
              <w:rPr>
                <w:rStyle w:val="IAPODIBenChar"/>
                <w:noProof/>
                <w:sz w:val="20"/>
                <w:szCs w:val="20"/>
              </w:rPr>
              <w:t>0</w:t>
            </w:r>
            <w:r w:rsidRPr="00F63895">
              <w:rPr>
                <w:rStyle w:val="IAPODIBenChar"/>
                <w:sz w:val="20"/>
                <w:szCs w:val="20"/>
              </w:rPr>
              <w:fldChar w:fldCharType="end"/>
            </w:r>
          </w:p>
        </w:tc>
        <w:tc>
          <w:tcPr>
            <w:tcW w:w="1980" w:type="dxa"/>
            <w:tcBorders>
              <w:top w:val="nil"/>
              <w:bottom w:val="single" w:sz="4" w:space="0" w:color="auto"/>
              <w:right w:val="single" w:sz="4" w:space="0" w:color="auto"/>
            </w:tcBorders>
            <w:shd w:val="clear" w:color="auto" w:fill="FFFFFF"/>
          </w:tcPr>
          <w:p w14:paraId="3A0BB85C" w14:textId="77777777" w:rsidR="001844B6" w:rsidRPr="00F63895" w:rsidRDefault="001844B6" w:rsidP="009F1E3D">
            <w:pPr>
              <w:pStyle w:val="IATableLabel"/>
            </w:pPr>
            <w:r w:rsidRPr="00F63895">
              <w:t xml:space="preserve">Net: </w:t>
            </w:r>
            <w:r w:rsidRPr="00F63895">
              <w:rPr>
                <w:rStyle w:val="IAPODINetChar"/>
                <w:sz w:val="20"/>
                <w:szCs w:val="20"/>
              </w:rPr>
              <w:fldChar w:fldCharType="begin">
                <w:ffData>
                  <w:name w:val="Text69"/>
                  <w:enabled/>
                  <w:calcOnExit w:val="0"/>
                  <w:textInput>
                    <w:maxLength w:val="9"/>
                  </w:textInput>
                </w:ffData>
              </w:fldChar>
            </w:r>
            <w:r w:rsidRPr="00F63895">
              <w:rPr>
                <w:rStyle w:val="IAPODINetChar"/>
                <w:sz w:val="20"/>
                <w:szCs w:val="20"/>
              </w:rPr>
              <w:instrText xml:space="preserve"> FORMTEXT </w:instrText>
            </w:r>
            <w:r w:rsidRPr="00F63895">
              <w:rPr>
                <w:rStyle w:val="IAPODINetChar"/>
                <w:sz w:val="20"/>
                <w:szCs w:val="20"/>
              </w:rPr>
            </w:r>
            <w:r w:rsidRPr="00F63895">
              <w:rPr>
                <w:rStyle w:val="IAPODINetChar"/>
                <w:sz w:val="20"/>
                <w:szCs w:val="20"/>
              </w:rPr>
              <w:fldChar w:fldCharType="separate"/>
            </w:r>
            <w:r w:rsidR="009F1E3D">
              <w:rPr>
                <w:rStyle w:val="IAPODINetChar"/>
                <w:noProof/>
                <w:sz w:val="20"/>
                <w:szCs w:val="20"/>
              </w:rPr>
              <w:t>-3.0</w:t>
            </w:r>
            <w:r w:rsidRPr="00F63895">
              <w:rPr>
                <w:rStyle w:val="IAPODINetChar"/>
                <w:sz w:val="20"/>
                <w:szCs w:val="20"/>
              </w:rPr>
              <w:fldChar w:fldCharType="end"/>
            </w:r>
          </w:p>
        </w:tc>
        <w:tc>
          <w:tcPr>
            <w:tcW w:w="1980" w:type="dxa"/>
            <w:tcBorders>
              <w:top w:val="nil"/>
              <w:left w:val="single" w:sz="4" w:space="0" w:color="auto"/>
              <w:bottom w:val="single" w:sz="4" w:space="0" w:color="auto"/>
              <w:right w:val="single" w:sz="4" w:space="0" w:color="auto"/>
            </w:tcBorders>
            <w:shd w:val="clear" w:color="auto" w:fill="FFFFFF"/>
          </w:tcPr>
          <w:p w14:paraId="6EAC8167" w14:textId="77777777" w:rsidR="001844B6" w:rsidRPr="00F63895" w:rsidRDefault="001844B6" w:rsidP="005A3880">
            <w:pPr>
              <w:pStyle w:val="IAPODIOIOO"/>
              <w:rPr>
                <w:sz w:val="20"/>
                <w:szCs w:val="20"/>
              </w:rPr>
            </w:pPr>
            <w:r w:rsidRPr="00F63895">
              <w:rPr>
                <w:sz w:val="20"/>
                <w:szCs w:val="20"/>
              </w:rPr>
              <w:fldChar w:fldCharType="begin">
                <w:ffData>
                  <w:name w:val="Dropdown23"/>
                  <w:enabled/>
                  <w:calcOnExit w:val="0"/>
                  <w:ddList>
                    <w:result w:val="1"/>
                    <w:listEntry w:val="Yes/No"/>
                    <w:listEntry w:val="Yes"/>
                    <w:listEntry w:val="No"/>
                  </w:ddList>
                </w:ffData>
              </w:fldChar>
            </w:r>
            <w:r w:rsidRPr="00F63895">
              <w:rPr>
                <w:sz w:val="20"/>
                <w:szCs w:val="20"/>
              </w:rPr>
              <w:instrText xml:space="preserve"> FORMDROPDOWN </w:instrText>
            </w:r>
            <w:r w:rsidR="00714FF9">
              <w:rPr>
                <w:sz w:val="20"/>
                <w:szCs w:val="20"/>
              </w:rPr>
            </w:r>
            <w:r w:rsidR="00714FF9">
              <w:rPr>
                <w:sz w:val="20"/>
                <w:szCs w:val="20"/>
              </w:rPr>
              <w:fldChar w:fldCharType="separate"/>
            </w:r>
            <w:r w:rsidRPr="00F63895">
              <w:rPr>
                <w:sz w:val="20"/>
                <w:szCs w:val="20"/>
              </w:rPr>
              <w:fldChar w:fldCharType="end"/>
            </w:r>
          </w:p>
        </w:tc>
        <w:tc>
          <w:tcPr>
            <w:tcW w:w="2110" w:type="dxa"/>
            <w:tcBorders>
              <w:top w:val="nil"/>
              <w:left w:val="single" w:sz="4" w:space="0" w:color="auto"/>
              <w:bottom w:val="single" w:sz="4" w:space="0" w:color="auto"/>
              <w:right w:val="single" w:sz="4" w:space="0" w:color="auto"/>
            </w:tcBorders>
            <w:shd w:val="clear" w:color="auto" w:fill="auto"/>
          </w:tcPr>
          <w:p w14:paraId="6AED4068" w14:textId="77777777" w:rsidR="001844B6" w:rsidRPr="00F63895" w:rsidRDefault="001844B6" w:rsidP="005A3880">
            <w:pPr>
              <w:pStyle w:val="IAPODIMQ"/>
            </w:pPr>
            <w:r w:rsidRPr="00F63895">
              <w:fldChar w:fldCharType="begin">
                <w:ffData>
                  <w:name w:val="Dropdown27"/>
                  <w:enabled/>
                  <w:calcOnExit w:val="0"/>
                  <w:ddList>
                    <w:result w:val="1"/>
                    <w:listEntry w:val="IN/OUT/Zero net cost"/>
                    <w:listEntry w:val="IN"/>
                    <w:listEntry w:val="OUT"/>
                    <w:listEntry w:val="Zero net cost"/>
                    <w:listEntry w:val="NA"/>
                  </w:ddList>
                </w:ffData>
              </w:fldChar>
            </w:r>
            <w:r w:rsidRPr="00F63895">
              <w:instrText xml:space="preserve"> FORMDROPDOWN </w:instrText>
            </w:r>
            <w:r w:rsidR="00714FF9">
              <w:fldChar w:fldCharType="separate"/>
            </w:r>
            <w:r w:rsidRPr="00F63895">
              <w:fldChar w:fldCharType="end"/>
            </w:r>
          </w:p>
        </w:tc>
      </w:tr>
    </w:tbl>
    <w:p w14:paraId="0A82AC9D" w14:textId="77777777" w:rsidR="00854B58" w:rsidRDefault="00854B58" w:rsidP="005A3880">
      <w:pPr>
        <w:sectPr w:rsidR="00854B58" w:rsidSect="00F1328C">
          <w:footnotePr>
            <w:numRestart w:val="eachSect"/>
          </w:footnotePr>
          <w:pgSz w:w="11907" w:h="16840" w:code="9"/>
          <w:pgMar w:top="680" w:right="851" w:bottom="680" w:left="851" w:header="284" w:footer="284" w:gutter="0"/>
          <w:cols w:space="708"/>
          <w:docGrid w:linePitch="360"/>
        </w:sectPr>
      </w:pPr>
    </w:p>
    <w:p w14:paraId="5224C186" w14:textId="77777777" w:rsidR="00A05D7C" w:rsidRPr="00F40E87" w:rsidRDefault="00A05D7C" w:rsidP="006A487B">
      <w:pPr>
        <w:pStyle w:val="Heading1"/>
        <w:spacing w:before="0"/>
        <w:rPr>
          <w:rFonts w:ascii="Arial" w:hAnsi="Arial"/>
          <w:sz w:val="20"/>
          <w:szCs w:val="20"/>
        </w:rPr>
      </w:pPr>
      <w:bookmarkStart w:id="35" w:name="EvidenceHead"/>
      <w:r w:rsidRPr="00C632F0">
        <w:rPr>
          <w:rFonts w:ascii="Arial" w:hAnsi="Arial"/>
        </w:rPr>
        <w:lastRenderedPageBreak/>
        <w:t>Summary: Analysis &amp; Evidence</w:t>
      </w:r>
      <w:r w:rsidRPr="00F40E87">
        <w:rPr>
          <w:rFonts w:ascii="Arial" w:hAnsi="Arial"/>
          <w:sz w:val="20"/>
          <w:szCs w:val="20"/>
        </w:rPr>
        <w:tab/>
      </w:r>
      <w:r w:rsidRPr="00C632F0">
        <w:rPr>
          <w:rFonts w:ascii="Arial" w:hAnsi="Arial"/>
          <w:b w:val="0"/>
          <w:bCs w:val="0"/>
        </w:rPr>
        <w:t xml:space="preserve">Policy Option </w:t>
      </w:r>
      <w:r w:rsidRPr="00C632F0">
        <w:rPr>
          <w:rFonts w:ascii="Arial" w:hAnsi="Arial"/>
          <w:b w:val="0"/>
          <w:bCs w:val="0"/>
        </w:rPr>
        <w:fldChar w:fldCharType="begin"/>
      </w:r>
      <w:r w:rsidRPr="00C632F0">
        <w:rPr>
          <w:rFonts w:ascii="Arial" w:hAnsi="Arial"/>
          <w:b w:val="0"/>
          <w:bCs w:val="0"/>
        </w:rPr>
        <w:instrText xml:space="preserve"> SEQ Policy </w:instrText>
      </w:r>
      <w:r w:rsidRPr="00C632F0">
        <w:rPr>
          <w:rFonts w:ascii="Arial" w:hAnsi="Arial"/>
          <w:b w:val="0"/>
          <w:bCs w:val="0"/>
        </w:rPr>
        <w:fldChar w:fldCharType="separate"/>
      </w:r>
      <w:r w:rsidR="00714D27">
        <w:rPr>
          <w:rFonts w:ascii="Arial" w:hAnsi="Arial"/>
          <w:b w:val="0"/>
          <w:bCs w:val="0"/>
          <w:noProof/>
        </w:rPr>
        <w:t>2</w:t>
      </w:r>
      <w:r w:rsidRPr="00C632F0">
        <w:rPr>
          <w:rFonts w:ascii="Arial" w:hAnsi="Arial"/>
          <w:b w:val="0"/>
          <w:bCs w:val="0"/>
        </w:rPr>
        <w:fldChar w:fldCharType="end"/>
      </w:r>
    </w:p>
    <w:p w14:paraId="67211E40" w14:textId="77777777" w:rsidR="00A05D7C" w:rsidRPr="00F40E87" w:rsidRDefault="00F40E87" w:rsidP="006A487B">
      <w:pPr>
        <w:pStyle w:val="IAHeadLabel"/>
        <w:spacing w:before="50"/>
        <w:rPr>
          <w:rFonts w:cs="Arial"/>
          <w:color w:val="auto"/>
        </w:rPr>
      </w:pPr>
      <w:r>
        <w:rPr>
          <w:rFonts w:cs="Arial"/>
          <w:color w:val="auto"/>
        </w:rPr>
        <w:t>Description</w:t>
      </w:r>
      <w:bookmarkStart w:id="36" w:name="Text70"/>
      <w:r w:rsidR="00A05D7C" w:rsidRPr="00487B16">
        <w:rPr>
          <w:rStyle w:val="IAPODescriptionCharChar"/>
          <w:rFonts w:cs="Arial"/>
          <w:color w:val="auto"/>
        </w:rPr>
        <w:fldChar w:fldCharType="begin">
          <w:ffData>
            <w:name w:val="Text70"/>
            <w:enabled/>
            <w:calcOnExit w:val="0"/>
            <w:textInput>
              <w:maxLength w:val="230"/>
            </w:textInput>
          </w:ffData>
        </w:fldChar>
      </w:r>
      <w:r w:rsidR="00A05D7C" w:rsidRPr="00487B16">
        <w:rPr>
          <w:rStyle w:val="IAPODescriptionCharChar"/>
          <w:rFonts w:cs="Arial"/>
          <w:color w:val="auto"/>
        </w:rPr>
        <w:instrText xml:space="preserve"> FORMTEXT </w:instrText>
      </w:r>
      <w:r w:rsidR="00A05D7C" w:rsidRPr="00487B16">
        <w:rPr>
          <w:rStyle w:val="IAPODescriptionCharChar"/>
          <w:rFonts w:cs="Arial"/>
          <w:color w:val="auto"/>
        </w:rPr>
      </w:r>
      <w:r w:rsidR="00A05D7C" w:rsidRPr="00487B16">
        <w:rPr>
          <w:rStyle w:val="IAPODescriptionCharChar"/>
          <w:rFonts w:cs="Arial"/>
          <w:color w:val="auto"/>
        </w:rPr>
        <w:fldChar w:fldCharType="separate"/>
      </w:r>
      <w:r w:rsidR="003151AA" w:rsidRPr="00487B16">
        <w:rPr>
          <w:rStyle w:val="IAPODescriptionCharChar"/>
          <w:rFonts w:cs="Arial"/>
          <w:noProof/>
          <w:color w:val="auto"/>
        </w:rPr>
        <w:t xml:space="preserve">:  Implement Section 78 by publishing a breakdown of data such as by grade structure or working patterns. The higher estimate is the cost to publish the figure breakdown alongside a supportive narrative.     </w:t>
      </w:r>
      <w:r w:rsidR="00A05D7C" w:rsidRPr="00487B16">
        <w:rPr>
          <w:rStyle w:val="IAPODescriptionCharChar"/>
          <w:rFonts w:cs="Arial"/>
          <w:color w:val="auto"/>
        </w:rPr>
        <w:fldChar w:fldCharType="end"/>
      </w:r>
      <w:bookmarkEnd w:id="36"/>
    </w:p>
    <w:p w14:paraId="7C925EA7" w14:textId="77777777" w:rsidR="00A05D7C" w:rsidRPr="00F40E87" w:rsidRDefault="00A05D7C" w:rsidP="006A487B">
      <w:pPr>
        <w:pStyle w:val="IAHeadLabel"/>
        <w:spacing w:before="50"/>
        <w:rPr>
          <w:rFonts w:cs="Arial"/>
          <w:color w:val="auto"/>
        </w:rPr>
      </w:pPr>
      <w:r w:rsidRPr="00F40E87">
        <w:rPr>
          <w:rFonts w:cs="Arial"/>
          <w:color w:val="auto"/>
        </w:rPr>
        <w:t>FULL ECONOMIC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1255"/>
        <w:gridCol w:w="1434"/>
        <w:gridCol w:w="1793"/>
        <w:gridCol w:w="1820"/>
        <w:gridCol w:w="2623"/>
      </w:tblGrid>
      <w:tr w:rsidR="00A05D7C" w:rsidRPr="00F40E87" w14:paraId="45122F0D" w14:textId="77777777" w:rsidTr="006A487B">
        <w:trPr>
          <w:trHeight w:hRule="exact" w:val="312"/>
        </w:trPr>
        <w:tc>
          <w:tcPr>
            <w:tcW w:w="1265" w:type="dxa"/>
            <w:vMerge w:val="restart"/>
            <w:shd w:val="clear" w:color="auto" w:fill="auto"/>
          </w:tcPr>
          <w:p w14:paraId="164631F8" w14:textId="77777777" w:rsidR="00A05D7C" w:rsidRPr="00F40E87" w:rsidRDefault="00A05D7C" w:rsidP="00356F7A">
            <w:pPr>
              <w:pStyle w:val="POPBY"/>
              <w:spacing w:before="0" w:after="0"/>
              <w:ind w:left="0" w:right="0"/>
              <w:rPr>
                <w:rFonts w:eastAsia="Times New Roman" w:cs="Arial"/>
                <w:color w:val="auto"/>
                <w:spacing w:val="0"/>
                <w:lang w:eastAsia="en-GB"/>
              </w:rPr>
            </w:pPr>
            <w:r w:rsidRPr="00F40E87">
              <w:rPr>
                <w:rFonts w:eastAsia="Times New Roman" w:cs="Arial"/>
                <w:color w:val="auto"/>
                <w:spacing w:val="0"/>
                <w:lang w:eastAsia="en-GB"/>
              </w:rPr>
              <w:t xml:space="preserve">Price Base Year  </w:t>
            </w:r>
            <w:r w:rsidRPr="0010457D">
              <w:rPr>
                <w:rFonts w:eastAsia="Times New Roman" w:cs="Arial"/>
                <w:b w:val="0"/>
                <w:color w:val="auto"/>
                <w:spacing w:val="0"/>
                <w:lang w:eastAsia="en-GB"/>
              </w:rPr>
              <w:fldChar w:fldCharType="begin">
                <w:ffData>
                  <w:name w:val="Text55"/>
                  <w:enabled/>
                  <w:calcOnExit w:val="0"/>
                  <w:textInput>
                    <w:maxLength w:val="4"/>
                  </w:textInput>
                </w:ffData>
              </w:fldChar>
            </w:r>
            <w:r w:rsidRPr="0010457D">
              <w:rPr>
                <w:rFonts w:eastAsia="Times New Roman" w:cs="Arial"/>
                <w:b w:val="0"/>
                <w:color w:val="auto"/>
                <w:spacing w:val="0"/>
                <w:lang w:eastAsia="en-GB"/>
              </w:rPr>
              <w:instrText xml:space="preserve"> FORMTEXT </w:instrText>
            </w:r>
            <w:r w:rsidRPr="0010457D">
              <w:rPr>
                <w:rFonts w:eastAsia="Times New Roman" w:cs="Arial"/>
                <w:b w:val="0"/>
                <w:color w:val="auto"/>
                <w:spacing w:val="0"/>
                <w:lang w:eastAsia="en-GB"/>
              </w:rPr>
            </w:r>
            <w:r w:rsidRPr="0010457D">
              <w:rPr>
                <w:rFonts w:eastAsia="Times New Roman" w:cs="Arial"/>
                <w:b w:val="0"/>
                <w:color w:val="auto"/>
                <w:spacing w:val="0"/>
                <w:lang w:eastAsia="en-GB"/>
              </w:rPr>
              <w:fldChar w:fldCharType="separate"/>
            </w:r>
            <w:r w:rsidR="00356F7A" w:rsidRPr="0010457D">
              <w:rPr>
                <w:rFonts w:eastAsia="Times New Roman" w:cs="Arial"/>
                <w:b w:val="0"/>
                <w:noProof/>
                <w:color w:val="auto"/>
                <w:spacing w:val="0"/>
                <w:lang w:eastAsia="en-GB"/>
              </w:rPr>
              <w:t>2014</w:t>
            </w:r>
            <w:r w:rsidRPr="0010457D">
              <w:rPr>
                <w:rFonts w:eastAsia="Times New Roman" w:cs="Arial"/>
                <w:b w:val="0"/>
                <w:color w:val="auto"/>
                <w:spacing w:val="0"/>
                <w:lang w:eastAsia="en-GB"/>
              </w:rPr>
              <w:fldChar w:fldCharType="end"/>
            </w:r>
          </w:p>
        </w:tc>
        <w:tc>
          <w:tcPr>
            <w:tcW w:w="1260" w:type="dxa"/>
            <w:vMerge w:val="restart"/>
            <w:shd w:val="clear" w:color="auto" w:fill="auto"/>
          </w:tcPr>
          <w:p w14:paraId="1DF7AFF7" w14:textId="77777777" w:rsidR="00A05D7C" w:rsidRPr="00F40E87" w:rsidRDefault="00A05D7C" w:rsidP="00356F7A">
            <w:pPr>
              <w:pStyle w:val="POPVBY"/>
              <w:spacing w:before="0" w:after="0"/>
              <w:ind w:left="0" w:right="0"/>
              <w:rPr>
                <w:rFonts w:eastAsia="Times New Roman" w:cs="Arial"/>
                <w:color w:val="auto"/>
                <w:spacing w:val="0"/>
                <w:lang w:eastAsia="en-GB"/>
              </w:rPr>
            </w:pPr>
            <w:r w:rsidRPr="00F40E87">
              <w:rPr>
                <w:rFonts w:eastAsia="Times New Roman" w:cs="Arial"/>
                <w:color w:val="auto"/>
                <w:spacing w:val="0"/>
                <w:lang w:eastAsia="en-GB"/>
              </w:rPr>
              <w:t xml:space="preserve">PV Base Year  </w:t>
            </w:r>
            <w:r w:rsidRPr="0010457D">
              <w:rPr>
                <w:rFonts w:eastAsia="Times New Roman" w:cs="Arial"/>
                <w:b w:val="0"/>
                <w:color w:val="auto"/>
                <w:spacing w:val="0"/>
                <w:lang w:eastAsia="en-GB"/>
              </w:rPr>
              <w:fldChar w:fldCharType="begin">
                <w:ffData>
                  <w:name w:val="Text56"/>
                  <w:enabled/>
                  <w:calcOnExit w:val="0"/>
                  <w:textInput>
                    <w:maxLength w:val="4"/>
                  </w:textInput>
                </w:ffData>
              </w:fldChar>
            </w:r>
            <w:r w:rsidRPr="0010457D">
              <w:rPr>
                <w:rFonts w:eastAsia="Times New Roman" w:cs="Arial"/>
                <w:b w:val="0"/>
                <w:color w:val="auto"/>
                <w:spacing w:val="0"/>
                <w:lang w:eastAsia="en-GB"/>
              </w:rPr>
              <w:instrText xml:space="preserve"> FORMTEXT </w:instrText>
            </w:r>
            <w:r w:rsidRPr="0010457D">
              <w:rPr>
                <w:rFonts w:eastAsia="Times New Roman" w:cs="Arial"/>
                <w:b w:val="0"/>
                <w:color w:val="auto"/>
                <w:spacing w:val="0"/>
                <w:lang w:eastAsia="en-GB"/>
              </w:rPr>
            </w:r>
            <w:r w:rsidRPr="0010457D">
              <w:rPr>
                <w:rFonts w:eastAsia="Times New Roman" w:cs="Arial"/>
                <w:b w:val="0"/>
                <w:color w:val="auto"/>
                <w:spacing w:val="0"/>
                <w:lang w:eastAsia="en-GB"/>
              </w:rPr>
              <w:fldChar w:fldCharType="separate"/>
            </w:r>
            <w:r w:rsidR="00356F7A" w:rsidRPr="0010457D">
              <w:rPr>
                <w:rFonts w:eastAsia="Times New Roman" w:cs="Arial"/>
                <w:b w:val="0"/>
                <w:noProof/>
                <w:color w:val="auto"/>
                <w:spacing w:val="0"/>
                <w:lang w:eastAsia="en-GB"/>
              </w:rPr>
              <w:t>2016</w:t>
            </w:r>
            <w:r w:rsidRPr="0010457D">
              <w:rPr>
                <w:rFonts w:eastAsia="Times New Roman" w:cs="Arial"/>
                <w:b w:val="0"/>
                <w:color w:val="auto"/>
                <w:spacing w:val="0"/>
                <w:lang w:eastAsia="en-GB"/>
              </w:rPr>
              <w:fldChar w:fldCharType="end"/>
            </w:r>
          </w:p>
        </w:tc>
        <w:tc>
          <w:tcPr>
            <w:tcW w:w="1440" w:type="dxa"/>
            <w:vMerge w:val="restart"/>
            <w:tcBorders>
              <w:right w:val="single" w:sz="12" w:space="0" w:color="auto"/>
            </w:tcBorders>
            <w:shd w:val="clear" w:color="auto" w:fill="auto"/>
          </w:tcPr>
          <w:p w14:paraId="42266B66" w14:textId="77777777" w:rsidR="00A05D7C" w:rsidRPr="00F40E87" w:rsidRDefault="00A05D7C" w:rsidP="00356F7A">
            <w:pPr>
              <w:pStyle w:val="POTPY"/>
              <w:spacing w:before="0" w:after="0"/>
              <w:ind w:left="0" w:right="0"/>
              <w:rPr>
                <w:rFonts w:cs="Arial"/>
                <w:color w:val="auto"/>
                <w:spacing w:val="0"/>
              </w:rPr>
            </w:pPr>
            <w:r w:rsidRPr="00F40E87">
              <w:rPr>
                <w:rFonts w:cs="Arial"/>
                <w:color w:val="auto"/>
                <w:spacing w:val="0"/>
              </w:rPr>
              <w:t xml:space="preserve">Time Period Years  </w:t>
            </w:r>
            <w:r w:rsidRPr="0010457D">
              <w:rPr>
                <w:rFonts w:cs="Arial"/>
                <w:b w:val="0"/>
                <w:color w:val="auto"/>
                <w:spacing w:val="0"/>
              </w:rPr>
              <w:fldChar w:fldCharType="begin">
                <w:ffData>
                  <w:name w:val="Text57"/>
                  <w:enabled/>
                  <w:calcOnExit w:val="0"/>
                  <w:textInput>
                    <w:maxLength w:val="4"/>
                  </w:textInput>
                </w:ffData>
              </w:fldChar>
            </w:r>
            <w:r w:rsidRPr="0010457D">
              <w:rPr>
                <w:rFonts w:cs="Arial"/>
                <w:b w:val="0"/>
                <w:color w:val="auto"/>
                <w:spacing w:val="0"/>
              </w:rPr>
              <w:instrText xml:space="preserve"> FORMTEXT </w:instrText>
            </w:r>
            <w:r w:rsidRPr="0010457D">
              <w:rPr>
                <w:rFonts w:cs="Arial"/>
                <w:b w:val="0"/>
                <w:color w:val="auto"/>
                <w:spacing w:val="0"/>
              </w:rPr>
            </w:r>
            <w:r w:rsidRPr="0010457D">
              <w:rPr>
                <w:rFonts w:cs="Arial"/>
                <w:b w:val="0"/>
                <w:color w:val="auto"/>
                <w:spacing w:val="0"/>
              </w:rPr>
              <w:fldChar w:fldCharType="separate"/>
            </w:r>
            <w:r w:rsidR="00356F7A" w:rsidRPr="0010457D">
              <w:rPr>
                <w:rFonts w:cs="Arial"/>
                <w:b w:val="0"/>
                <w:noProof/>
                <w:color w:val="auto"/>
                <w:spacing w:val="0"/>
              </w:rPr>
              <w:t>10</w:t>
            </w:r>
            <w:r w:rsidRPr="0010457D">
              <w:rPr>
                <w:rFonts w:cs="Arial"/>
                <w:b w:val="0"/>
                <w:color w:val="auto"/>
                <w:spacing w:val="0"/>
              </w:rPr>
              <w:fldChar w:fldCharType="end"/>
            </w:r>
          </w:p>
        </w:tc>
        <w:tc>
          <w:tcPr>
            <w:tcW w:w="6260" w:type="dxa"/>
            <w:gridSpan w:val="3"/>
            <w:tcBorders>
              <w:top w:val="single" w:sz="12" w:space="0" w:color="auto"/>
              <w:left w:val="single" w:sz="12" w:space="0" w:color="auto"/>
              <w:bottom w:val="single" w:sz="4" w:space="0" w:color="auto"/>
              <w:right w:val="single" w:sz="12" w:space="0" w:color="auto"/>
            </w:tcBorders>
            <w:shd w:val="clear" w:color="auto" w:fill="FFFFFF"/>
          </w:tcPr>
          <w:p w14:paraId="56F30BA2" w14:textId="77777777" w:rsidR="00A05D7C" w:rsidRPr="00F40E87" w:rsidRDefault="00A05D7C" w:rsidP="006A487B">
            <w:pPr>
              <w:pStyle w:val="IATableLabel"/>
              <w:jc w:val="center"/>
              <w:rPr>
                <w:rFonts w:cs="Arial"/>
                <w:color w:val="auto"/>
              </w:rPr>
            </w:pPr>
            <w:r w:rsidRPr="00F40E87">
              <w:rPr>
                <w:rFonts w:cs="Arial"/>
                <w:color w:val="auto"/>
              </w:rPr>
              <w:t>Net Benefit (Present Value (PV)) (£m)</w:t>
            </w:r>
          </w:p>
        </w:tc>
      </w:tr>
      <w:tr w:rsidR="00A05D7C" w:rsidRPr="00F40E87" w14:paraId="6941DF29" w14:textId="77777777" w:rsidTr="006A487B">
        <w:trPr>
          <w:trHeight w:hRule="exact" w:val="340"/>
        </w:trPr>
        <w:tc>
          <w:tcPr>
            <w:tcW w:w="1265" w:type="dxa"/>
            <w:vMerge/>
            <w:shd w:val="clear" w:color="auto" w:fill="auto"/>
          </w:tcPr>
          <w:p w14:paraId="65A3E075" w14:textId="77777777" w:rsidR="00A05D7C" w:rsidRPr="00F40E87" w:rsidRDefault="00A05D7C" w:rsidP="006A487B">
            <w:pPr>
              <w:pStyle w:val="IATableNotes"/>
              <w:spacing w:before="0" w:after="0"/>
              <w:ind w:left="0" w:right="0"/>
              <w:rPr>
                <w:rFonts w:eastAsia="Times New Roman" w:cs="Arial"/>
                <w:b/>
                <w:sz w:val="20"/>
                <w:lang w:eastAsia="en-GB"/>
              </w:rPr>
            </w:pPr>
          </w:p>
        </w:tc>
        <w:tc>
          <w:tcPr>
            <w:tcW w:w="1260" w:type="dxa"/>
            <w:vMerge/>
            <w:shd w:val="clear" w:color="auto" w:fill="auto"/>
          </w:tcPr>
          <w:p w14:paraId="5AE6E76E" w14:textId="77777777" w:rsidR="00A05D7C" w:rsidRPr="00F40E87" w:rsidRDefault="00A05D7C" w:rsidP="006A487B">
            <w:pPr>
              <w:pStyle w:val="IATableNotes"/>
              <w:spacing w:before="0" w:after="0"/>
              <w:ind w:left="0" w:right="0"/>
              <w:rPr>
                <w:rFonts w:eastAsia="Times New Roman" w:cs="Arial"/>
                <w:b/>
                <w:sz w:val="20"/>
                <w:lang w:eastAsia="en-GB"/>
              </w:rPr>
            </w:pPr>
          </w:p>
        </w:tc>
        <w:tc>
          <w:tcPr>
            <w:tcW w:w="1440" w:type="dxa"/>
            <w:vMerge/>
            <w:tcBorders>
              <w:right w:val="single" w:sz="12" w:space="0" w:color="auto"/>
            </w:tcBorders>
            <w:shd w:val="clear" w:color="auto" w:fill="auto"/>
          </w:tcPr>
          <w:p w14:paraId="67495B9F" w14:textId="77777777" w:rsidR="00A05D7C" w:rsidRPr="00F40E87" w:rsidRDefault="00A05D7C" w:rsidP="006A487B">
            <w:pPr>
              <w:pStyle w:val="IATableNotes"/>
              <w:spacing w:before="0" w:after="0"/>
              <w:ind w:left="0" w:right="0"/>
              <w:rPr>
                <w:rFonts w:eastAsia="Times New Roman" w:cs="Arial"/>
                <w:b/>
                <w:sz w:val="20"/>
                <w:lang w:eastAsia="en-GB"/>
              </w:rPr>
            </w:pPr>
          </w:p>
        </w:tc>
        <w:tc>
          <w:tcPr>
            <w:tcW w:w="1800" w:type="dxa"/>
            <w:tcBorders>
              <w:top w:val="single" w:sz="4" w:space="0" w:color="auto"/>
              <w:left w:val="single" w:sz="12" w:space="0" w:color="auto"/>
              <w:bottom w:val="single" w:sz="12" w:space="0" w:color="auto"/>
              <w:right w:val="single" w:sz="4" w:space="0" w:color="auto"/>
            </w:tcBorders>
            <w:shd w:val="clear" w:color="auto" w:fill="auto"/>
          </w:tcPr>
          <w:p w14:paraId="044CDBDA" w14:textId="77777777" w:rsidR="00A05D7C" w:rsidRPr="00F40E87" w:rsidRDefault="00A05D7C" w:rsidP="00323A23">
            <w:pPr>
              <w:pStyle w:val="IATableLabel"/>
              <w:rPr>
                <w:rFonts w:cs="Arial"/>
                <w:bCs/>
                <w:color w:val="auto"/>
              </w:rPr>
            </w:pPr>
            <w:r w:rsidRPr="00F40E87">
              <w:rPr>
                <w:rFonts w:cs="Arial"/>
                <w:color w:val="auto"/>
              </w:rPr>
              <w:t xml:space="preserve">Low: </w:t>
            </w:r>
            <w:r w:rsidRPr="00F40E87">
              <w:rPr>
                <w:rStyle w:val="PONBLowCharChar"/>
                <w:rFonts w:cs="Arial"/>
                <w:color w:val="auto"/>
                <w:szCs w:val="20"/>
              </w:rPr>
              <w:fldChar w:fldCharType="begin">
                <w:ffData>
                  <w:name w:val="Text58"/>
                  <w:enabled/>
                  <w:calcOnExit w:val="0"/>
                  <w:textInput>
                    <w:default w:val="Optional"/>
                    <w:maxLength w:val="8"/>
                  </w:textInput>
                </w:ffData>
              </w:fldChar>
            </w:r>
            <w:r w:rsidRPr="00F40E87">
              <w:rPr>
                <w:rStyle w:val="PONBLowCharChar"/>
                <w:rFonts w:cs="Arial"/>
                <w:color w:val="auto"/>
                <w:szCs w:val="20"/>
              </w:rPr>
              <w:instrText xml:space="preserve"> FORMTEXT </w:instrText>
            </w:r>
            <w:r w:rsidRPr="00F40E87">
              <w:rPr>
                <w:rStyle w:val="PONBLowCharChar"/>
                <w:rFonts w:cs="Arial"/>
                <w:color w:val="auto"/>
                <w:szCs w:val="20"/>
              </w:rPr>
            </w:r>
            <w:r w:rsidRPr="00F40E87">
              <w:rPr>
                <w:rStyle w:val="PONBLowCharChar"/>
                <w:rFonts w:cs="Arial"/>
                <w:color w:val="auto"/>
                <w:szCs w:val="20"/>
              </w:rPr>
              <w:fldChar w:fldCharType="separate"/>
            </w:r>
            <w:r w:rsidR="00356F7A" w:rsidRPr="00F40E87">
              <w:rPr>
                <w:rStyle w:val="PONBLowCharChar"/>
                <w:rFonts w:cs="Arial"/>
                <w:noProof/>
                <w:color w:val="auto"/>
                <w:szCs w:val="20"/>
              </w:rPr>
              <w:t>-</w:t>
            </w:r>
            <w:r w:rsidR="00323A23" w:rsidRPr="00F40E87">
              <w:rPr>
                <w:rStyle w:val="PONBLowCharChar"/>
                <w:rFonts w:cs="Arial"/>
                <w:noProof/>
                <w:color w:val="auto"/>
                <w:szCs w:val="20"/>
              </w:rPr>
              <w:t>67.47</w:t>
            </w:r>
            <w:r w:rsidRPr="00F40E87">
              <w:rPr>
                <w:rStyle w:val="PONBLowCharChar"/>
                <w:rFonts w:cs="Arial"/>
                <w:color w:val="auto"/>
                <w:szCs w:val="20"/>
              </w:rPr>
              <w:fldChar w:fldCharType="end"/>
            </w:r>
          </w:p>
        </w:tc>
        <w:tc>
          <w:tcPr>
            <w:tcW w:w="1827" w:type="dxa"/>
            <w:tcBorders>
              <w:top w:val="single" w:sz="4" w:space="0" w:color="auto"/>
              <w:left w:val="single" w:sz="4" w:space="0" w:color="auto"/>
              <w:bottom w:val="single" w:sz="12" w:space="0" w:color="auto"/>
              <w:right w:val="single" w:sz="12" w:space="0" w:color="auto"/>
            </w:tcBorders>
            <w:shd w:val="clear" w:color="auto" w:fill="auto"/>
          </w:tcPr>
          <w:p w14:paraId="139ADBB1" w14:textId="77777777" w:rsidR="00A05D7C" w:rsidRPr="00F40E87" w:rsidRDefault="00A05D7C" w:rsidP="00323A23">
            <w:pPr>
              <w:pStyle w:val="IATableLabel"/>
              <w:rPr>
                <w:rFonts w:cs="Arial"/>
                <w:bCs/>
                <w:color w:val="auto"/>
              </w:rPr>
            </w:pPr>
            <w:r w:rsidRPr="00F40E87">
              <w:rPr>
                <w:rFonts w:cs="Arial"/>
                <w:color w:val="auto"/>
              </w:rPr>
              <w:t xml:space="preserve">High: </w:t>
            </w:r>
            <w:r w:rsidRPr="00F40E87">
              <w:rPr>
                <w:rStyle w:val="PONBHighChar"/>
                <w:rFonts w:cs="Arial"/>
                <w:color w:val="auto"/>
                <w:szCs w:val="20"/>
              </w:rPr>
              <w:fldChar w:fldCharType="begin">
                <w:ffData>
                  <w:name w:val="Text59"/>
                  <w:enabled/>
                  <w:calcOnExit w:val="0"/>
                  <w:textInput>
                    <w:default w:val="Optional"/>
                    <w:maxLength w:val="8"/>
                  </w:textInput>
                </w:ffData>
              </w:fldChar>
            </w:r>
            <w:r w:rsidRPr="00F40E87">
              <w:rPr>
                <w:rStyle w:val="PONBHighChar"/>
                <w:rFonts w:cs="Arial"/>
                <w:color w:val="auto"/>
                <w:szCs w:val="20"/>
              </w:rPr>
              <w:instrText xml:space="preserve"> FORMTEXT </w:instrText>
            </w:r>
            <w:r w:rsidRPr="00F40E87">
              <w:rPr>
                <w:rStyle w:val="PONBHighChar"/>
                <w:rFonts w:cs="Arial"/>
                <w:color w:val="auto"/>
                <w:szCs w:val="20"/>
              </w:rPr>
            </w:r>
            <w:r w:rsidRPr="00F40E87">
              <w:rPr>
                <w:rStyle w:val="PONBHighChar"/>
                <w:rFonts w:cs="Arial"/>
                <w:color w:val="auto"/>
                <w:szCs w:val="20"/>
              </w:rPr>
              <w:fldChar w:fldCharType="separate"/>
            </w:r>
            <w:r w:rsidR="00323A23" w:rsidRPr="00F40E87">
              <w:rPr>
                <w:rStyle w:val="PONBHighChar"/>
                <w:rFonts w:cs="Arial"/>
                <w:noProof/>
                <w:color w:val="auto"/>
                <w:szCs w:val="20"/>
              </w:rPr>
              <w:t>-35.39</w:t>
            </w:r>
            <w:r w:rsidRPr="00F40E87">
              <w:rPr>
                <w:rStyle w:val="PONBHighChar"/>
                <w:rFonts w:cs="Arial"/>
                <w:color w:val="auto"/>
                <w:szCs w:val="20"/>
              </w:rPr>
              <w:fldChar w:fldCharType="end"/>
            </w:r>
          </w:p>
        </w:tc>
        <w:tc>
          <w:tcPr>
            <w:tcW w:w="2633" w:type="dxa"/>
            <w:tcBorders>
              <w:top w:val="single" w:sz="12" w:space="0" w:color="auto"/>
              <w:left w:val="single" w:sz="12" w:space="0" w:color="auto"/>
              <w:bottom w:val="single" w:sz="12" w:space="0" w:color="auto"/>
              <w:right w:val="single" w:sz="12" w:space="0" w:color="auto"/>
            </w:tcBorders>
            <w:shd w:val="clear" w:color="auto" w:fill="FFFFFF"/>
          </w:tcPr>
          <w:p w14:paraId="36EAD032" w14:textId="77777777" w:rsidR="00A05D7C" w:rsidRPr="00F40E87" w:rsidRDefault="00A05D7C" w:rsidP="00323A23">
            <w:pPr>
              <w:pStyle w:val="IATableLabel"/>
              <w:rPr>
                <w:rFonts w:cs="Arial"/>
                <w:color w:val="auto"/>
              </w:rPr>
            </w:pPr>
            <w:r w:rsidRPr="00F40E87">
              <w:rPr>
                <w:rFonts w:cs="Arial"/>
                <w:color w:val="auto"/>
              </w:rPr>
              <w:t xml:space="preserve">Best Estimate: </w:t>
            </w:r>
            <w:r w:rsidRPr="00F40E87">
              <w:rPr>
                <w:rStyle w:val="PONBBestEstChar"/>
                <w:rFonts w:cs="Arial"/>
                <w:color w:val="auto"/>
                <w:szCs w:val="20"/>
              </w:rPr>
              <w:fldChar w:fldCharType="begin">
                <w:ffData>
                  <w:name w:val="Text60"/>
                  <w:enabled/>
                  <w:calcOnExit w:val="0"/>
                  <w:textInput>
                    <w:maxLength w:val="8"/>
                  </w:textInput>
                </w:ffData>
              </w:fldChar>
            </w:r>
            <w:r w:rsidRPr="00F40E87">
              <w:rPr>
                <w:rStyle w:val="PONBBestEstChar"/>
                <w:rFonts w:cs="Arial"/>
                <w:color w:val="auto"/>
                <w:szCs w:val="20"/>
              </w:rPr>
              <w:instrText xml:space="preserve"> FORMTEXT </w:instrText>
            </w:r>
            <w:r w:rsidRPr="00F40E87">
              <w:rPr>
                <w:rStyle w:val="PONBBestEstChar"/>
                <w:rFonts w:cs="Arial"/>
                <w:color w:val="auto"/>
                <w:szCs w:val="20"/>
              </w:rPr>
            </w:r>
            <w:r w:rsidRPr="00F40E87">
              <w:rPr>
                <w:rStyle w:val="PONBBestEstChar"/>
                <w:rFonts w:cs="Arial"/>
                <w:color w:val="auto"/>
                <w:szCs w:val="20"/>
              </w:rPr>
              <w:fldChar w:fldCharType="separate"/>
            </w:r>
            <w:r w:rsidR="00323A23" w:rsidRPr="00F40E87">
              <w:rPr>
                <w:rStyle w:val="PONBBestEstChar"/>
                <w:rFonts w:cs="Arial"/>
                <w:noProof/>
                <w:color w:val="auto"/>
                <w:szCs w:val="20"/>
              </w:rPr>
              <w:t>-67.47</w:t>
            </w:r>
            <w:r w:rsidRPr="00F40E87">
              <w:rPr>
                <w:rStyle w:val="PONBBestEstChar"/>
                <w:rFonts w:cs="Arial"/>
                <w:color w:val="auto"/>
                <w:szCs w:val="20"/>
              </w:rPr>
              <w:fldChar w:fldCharType="end"/>
            </w:r>
          </w:p>
        </w:tc>
      </w:tr>
    </w:tbl>
    <w:p w14:paraId="1F1B0F4C" w14:textId="77777777" w:rsidR="00A05D7C" w:rsidRPr="00F40E87" w:rsidRDefault="00A05D7C" w:rsidP="006A487B">
      <w:pPr>
        <w:pStyle w:val="IASpacer"/>
        <w:rPr>
          <w:rFonts w:cs="Arial"/>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984"/>
        <w:gridCol w:w="1938"/>
        <w:gridCol w:w="785"/>
        <w:gridCol w:w="2848"/>
        <w:gridCol w:w="1765"/>
        <w:gridCol w:w="855"/>
      </w:tblGrid>
      <w:tr w:rsidR="00A05D7C" w:rsidRPr="00F40E87" w14:paraId="69CF6FF7" w14:textId="77777777" w:rsidTr="006A487B">
        <w:trPr>
          <w:trHeight w:hRule="exact" w:val="567"/>
        </w:trPr>
        <w:tc>
          <w:tcPr>
            <w:tcW w:w="1995" w:type="dxa"/>
            <w:shd w:val="clear" w:color="auto" w:fill="FFFFFF"/>
          </w:tcPr>
          <w:p w14:paraId="6C26A38F" w14:textId="77777777" w:rsidR="00A05D7C" w:rsidRPr="00F40E87" w:rsidRDefault="00A05D7C" w:rsidP="006A487B">
            <w:pPr>
              <w:pStyle w:val="IATableLabel"/>
              <w:rPr>
                <w:rFonts w:cs="Arial"/>
                <w:color w:val="auto"/>
              </w:rPr>
            </w:pPr>
            <w:r w:rsidRPr="00F40E87">
              <w:rPr>
                <w:rFonts w:cs="Arial"/>
                <w:color w:val="auto"/>
              </w:rPr>
              <w:t>COSTS (£m)</w:t>
            </w:r>
          </w:p>
        </w:tc>
        <w:tc>
          <w:tcPr>
            <w:tcW w:w="2739" w:type="dxa"/>
            <w:gridSpan w:val="2"/>
            <w:tcBorders>
              <w:top w:val="single" w:sz="12" w:space="0" w:color="auto"/>
              <w:bottom w:val="single" w:sz="6" w:space="0" w:color="auto"/>
            </w:tcBorders>
            <w:shd w:val="clear" w:color="auto" w:fill="auto"/>
          </w:tcPr>
          <w:p w14:paraId="215D93B2" w14:textId="77777777" w:rsidR="00A05D7C" w:rsidRPr="00F40E87" w:rsidRDefault="00A05D7C" w:rsidP="006A487B">
            <w:pPr>
              <w:pStyle w:val="IATableLabel"/>
              <w:tabs>
                <w:tab w:val="right" w:pos="1800"/>
                <w:tab w:val="center" w:pos="2340"/>
              </w:tabs>
              <w:jc w:val="right"/>
              <w:rPr>
                <w:rFonts w:cs="Arial"/>
                <w:color w:val="auto"/>
              </w:rPr>
            </w:pPr>
            <w:r w:rsidRPr="00F40E87">
              <w:rPr>
                <w:rFonts w:cs="Arial"/>
                <w:color w:val="auto"/>
              </w:rPr>
              <w:t xml:space="preserve">Total Transition </w:t>
            </w:r>
            <w:r w:rsidRPr="00F40E87">
              <w:rPr>
                <w:rFonts w:cs="Arial"/>
                <w:color w:val="auto"/>
              </w:rPr>
              <w:br/>
            </w:r>
            <w:r w:rsidRPr="00F40E87">
              <w:rPr>
                <w:rFonts w:cs="Arial"/>
                <w:color w:val="auto"/>
              </w:rPr>
              <w:tab/>
            </w:r>
            <w:r w:rsidRPr="00F40E87">
              <w:rPr>
                <w:rFonts w:cs="Arial"/>
                <w:b w:val="0"/>
                <w:color w:val="auto"/>
              </w:rPr>
              <w:t>(Constant Price)</w:t>
            </w:r>
            <w:r w:rsidRPr="00F40E87">
              <w:rPr>
                <w:rFonts w:cs="Arial"/>
                <w:color w:val="auto"/>
              </w:rPr>
              <w:tab/>
            </w:r>
            <w:r w:rsidRPr="00F40E87">
              <w:rPr>
                <w:rFonts w:cs="Arial"/>
                <w:b w:val="0"/>
                <w:color w:val="auto"/>
              </w:rPr>
              <w:t>Yea</w:t>
            </w:r>
            <w:r w:rsidRPr="00F40E87">
              <w:rPr>
                <w:rFonts w:cs="Arial"/>
                <w:b w:val="0"/>
                <w:bCs/>
                <w:color w:val="auto"/>
              </w:rPr>
              <w:t>r</w:t>
            </w:r>
            <w:r w:rsidRPr="00F40E87">
              <w:rPr>
                <w:rFonts w:cs="Arial"/>
                <w:b w:val="0"/>
                <w:color w:val="auto"/>
              </w:rPr>
              <w:t>s</w:t>
            </w:r>
          </w:p>
          <w:p w14:paraId="1DF7D920" w14:textId="77777777" w:rsidR="00A05D7C" w:rsidRPr="00F40E87" w:rsidRDefault="00A05D7C" w:rsidP="006A487B">
            <w:pPr>
              <w:pStyle w:val="IATableLabel"/>
              <w:jc w:val="right"/>
              <w:rPr>
                <w:rFonts w:cs="Arial"/>
                <w:color w:val="auto"/>
              </w:rPr>
            </w:pPr>
            <w:r w:rsidRPr="00F40E87">
              <w:rPr>
                <w:rFonts w:cs="Arial"/>
                <w:color w:val="auto"/>
              </w:rPr>
              <w:br/>
            </w:r>
          </w:p>
        </w:tc>
        <w:tc>
          <w:tcPr>
            <w:tcW w:w="2865" w:type="dxa"/>
            <w:tcBorders>
              <w:bottom w:val="single" w:sz="6" w:space="0" w:color="auto"/>
              <w:right w:val="single" w:sz="12" w:space="0" w:color="auto"/>
            </w:tcBorders>
            <w:shd w:val="clear" w:color="auto" w:fill="auto"/>
          </w:tcPr>
          <w:p w14:paraId="485162B6" w14:textId="77777777" w:rsidR="00A05D7C" w:rsidRPr="00F40E87" w:rsidRDefault="00A05D7C" w:rsidP="006A487B">
            <w:pPr>
              <w:pStyle w:val="IATableLabel"/>
              <w:jc w:val="right"/>
              <w:rPr>
                <w:rFonts w:cs="Arial"/>
                <w:bCs/>
                <w:color w:val="auto"/>
              </w:rPr>
            </w:pPr>
            <w:r w:rsidRPr="00F40E87">
              <w:rPr>
                <w:rFonts w:cs="Arial"/>
                <w:color w:val="auto"/>
              </w:rPr>
              <w:t xml:space="preserve">Average Annual </w:t>
            </w:r>
            <w:r w:rsidRPr="00F40E87">
              <w:rPr>
                <w:rFonts w:cs="Arial"/>
                <w:color w:val="auto"/>
              </w:rPr>
              <w:br/>
            </w:r>
            <w:r w:rsidRPr="00F40E87">
              <w:rPr>
                <w:rFonts w:cs="Arial"/>
                <w:b w:val="0"/>
                <w:color w:val="auto"/>
              </w:rPr>
              <w:t xml:space="preserve">(excl. Transition) </w:t>
            </w:r>
            <w:r w:rsidRPr="00F40E87">
              <w:rPr>
                <w:rFonts w:cs="Arial"/>
                <w:b w:val="0"/>
                <w:bCs/>
                <w:color w:val="auto"/>
              </w:rPr>
              <w:t>(Constant Price)</w:t>
            </w:r>
          </w:p>
        </w:tc>
        <w:tc>
          <w:tcPr>
            <w:tcW w:w="2636" w:type="dxa"/>
            <w:gridSpan w:val="2"/>
            <w:tcBorders>
              <w:top w:val="single" w:sz="12" w:space="0" w:color="auto"/>
              <w:left w:val="single" w:sz="12" w:space="0" w:color="auto"/>
              <w:bottom w:val="single" w:sz="6" w:space="0" w:color="auto"/>
            </w:tcBorders>
            <w:shd w:val="clear" w:color="auto" w:fill="auto"/>
          </w:tcPr>
          <w:p w14:paraId="7544C1E5" w14:textId="77777777" w:rsidR="00A05D7C" w:rsidRPr="00F40E87" w:rsidRDefault="00A05D7C" w:rsidP="006A487B">
            <w:pPr>
              <w:pStyle w:val="IATableLabel"/>
              <w:jc w:val="right"/>
              <w:rPr>
                <w:rFonts w:cs="Arial"/>
                <w:color w:val="auto"/>
              </w:rPr>
            </w:pPr>
            <w:r w:rsidRPr="00F40E87">
              <w:rPr>
                <w:rFonts w:cs="Arial"/>
                <w:color w:val="auto"/>
              </w:rPr>
              <w:t>Total Cost</w:t>
            </w:r>
            <w:r w:rsidRPr="00F40E87">
              <w:rPr>
                <w:rFonts w:cs="Arial"/>
                <w:b w:val="0"/>
                <w:color w:val="auto"/>
              </w:rPr>
              <w:t xml:space="preserve"> </w:t>
            </w:r>
            <w:r w:rsidRPr="00F40E87">
              <w:rPr>
                <w:rFonts w:cs="Arial"/>
                <w:b w:val="0"/>
                <w:color w:val="auto"/>
              </w:rPr>
              <w:br/>
              <w:t>(Present Value)</w:t>
            </w:r>
          </w:p>
        </w:tc>
      </w:tr>
      <w:tr w:rsidR="00A05D7C" w:rsidRPr="00F40E87" w14:paraId="683CED30" w14:textId="77777777" w:rsidTr="006A487B">
        <w:trPr>
          <w:trHeight w:hRule="exact" w:val="348"/>
        </w:trPr>
        <w:tc>
          <w:tcPr>
            <w:tcW w:w="1995" w:type="dxa"/>
            <w:tcBorders>
              <w:top w:val="single" w:sz="6" w:space="0" w:color="auto"/>
              <w:bottom w:val="single" w:sz="6" w:space="0" w:color="auto"/>
            </w:tcBorders>
            <w:shd w:val="clear" w:color="auto" w:fill="auto"/>
            <w:vAlign w:val="center"/>
          </w:tcPr>
          <w:p w14:paraId="560747A5" w14:textId="77777777" w:rsidR="00A05D7C" w:rsidRPr="00F40E87" w:rsidRDefault="00A05D7C" w:rsidP="006A487B">
            <w:pPr>
              <w:pStyle w:val="IATableLabel"/>
              <w:rPr>
                <w:rFonts w:cs="Arial"/>
                <w:color w:val="auto"/>
              </w:rPr>
            </w:pPr>
            <w:r w:rsidRPr="00F40E87">
              <w:rPr>
                <w:rFonts w:cs="Arial"/>
                <w:color w:val="auto"/>
              </w:rPr>
              <w:t xml:space="preserve">Low </w:t>
            </w:r>
          </w:p>
        </w:tc>
        <w:tc>
          <w:tcPr>
            <w:tcW w:w="1949" w:type="dxa"/>
            <w:tcBorders>
              <w:top w:val="single" w:sz="6" w:space="0" w:color="auto"/>
              <w:bottom w:val="single" w:sz="6" w:space="0" w:color="auto"/>
            </w:tcBorders>
            <w:shd w:val="clear" w:color="auto" w:fill="auto"/>
            <w:vAlign w:val="center"/>
          </w:tcPr>
          <w:p w14:paraId="70547AE0" w14:textId="77777777" w:rsidR="00A05D7C" w:rsidRPr="00F40E87" w:rsidRDefault="00A05D7C" w:rsidP="00323A23">
            <w:pPr>
              <w:pStyle w:val="POTTCostsLow"/>
              <w:ind w:left="0" w:right="57"/>
              <w:rPr>
                <w:rFonts w:eastAsia="Times New Roman" w:cs="Arial"/>
                <w:sz w:val="20"/>
              </w:rPr>
            </w:pPr>
            <w:r w:rsidRPr="00F40E87">
              <w:rPr>
                <w:rFonts w:eastAsia="Times New Roman" w:cs="Arial"/>
                <w:sz w:val="20"/>
              </w:rPr>
              <w:fldChar w:fldCharType="begin">
                <w:ffData>
                  <w:name w:val="Text45"/>
                  <w:enabled/>
                  <w:calcOnExit w:val="0"/>
                  <w:textInput>
                    <w:default w:val="Optional"/>
                    <w:maxLength w:val="14"/>
                  </w:textInput>
                </w:ffData>
              </w:fldChar>
            </w:r>
            <w:r w:rsidRPr="00F40E87">
              <w:rPr>
                <w:rFonts w:eastAsia="Times New Roman" w:cs="Arial"/>
                <w:sz w:val="20"/>
              </w:rPr>
              <w:instrText xml:space="preserve"> FORMTEXT </w:instrText>
            </w:r>
            <w:r w:rsidRPr="00F40E87">
              <w:rPr>
                <w:rFonts w:eastAsia="Times New Roman" w:cs="Arial"/>
                <w:sz w:val="20"/>
              </w:rPr>
            </w:r>
            <w:r w:rsidRPr="00F40E87">
              <w:rPr>
                <w:rFonts w:eastAsia="Times New Roman" w:cs="Arial"/>
                <w:sz w:val="20"/>
              </w:rPr>
              <w:fldChar w:fldCharType="separate"/>
            </w:r>
            <w:r w:rsidR="00356F7A" w:rsidRPr="00F40E87">
              <w:rPr>
                <w:rFonts w:eastAsia="Times New Roman" w:cs="Arial"/>
                <w:noProof/>
                <w:sz w:val="20"/>
              </w:rPr>
              <w:t>0.</w:t>
            </w:r>
            <w:r w:rsidR="00323A23" w:rsidRPr="00F40E87">
              <w:rPr>
                <w:rFonts w:eastAsia="Times New Roman" w:cs="Arial"/>
                <w:noProof/>
                <w:sz w:val="20"/>
              </w:rPr>
              <w:t>5</w:t>
            </w:r>
            <w:r w:rsidRPr="00F40E87">
              <w:rPr>
                <w:rFonts w:eastAsia="Times New Roman" w:cs="Arial"/>
                <w:sz w:val="20"/>
              </w:rPr>
              <w:fldChar w:fldCharType="end"/>
            </w:r>
          </w:p>
        </w:tc>
        <w:tc>
          <w:tcPr>
            <w:tcW w:w="790" w:type="dxa"/>
            <w:vMerge w:val="restart"/>
            <w:tcBorders>
              <w:top w:val="single" w:sz="6" w:space="0" w:color="auto"/>
            </w:tcBorders>
            <w:shd w:val="clear" w:color="auto" w:fill="auto"/>
            <w:vAlign w:val="center"/>
          </w:tcPr>
          <w:p w14:paraId="73FADFD4" w14:textId="77777777" w:rsidR="00A05D7C" w:rsidRPr="00F40E87" w:rsidRDefault="00A05D7C">
            <w:pPr>
              <w:pStyle w:val="POTTCostsYear"/>
              <w:ind w:left="0"/>
              <w:jc w:val="left"/>
              <w:rPr>
                <w:rFonts w:cs="Arial"/>
                <w:sz w:val="20"/>
                <w:szCs w:val="20"/>
              </w:rPr>
            </w:pPr>
            <w:r w:rsidRPr="00F40E87">
              <w:rPr>
                <w:rFonts w:cs="Arial"/>
                <w:sz w:val="20"/>
                <w:szCs w:val="20"/>
              </w:rPr>
              <w:fldChar w:fldCharType="begin">
                <w:ffData>
                  <w:name w:val="Text48"/>
                  <w:enabled/>
                  <w:calcOnExit w:val="0"/>
                  <w:textInput>
                    <w:maxLength w:val="3"/>
                  </w:textInput>
                </w:ffData>
              </w:fldChar>
            </w:r>
            <w:r w:rsidRPr="00F40E87">
              <w:rPr>
                <w:rFonts w:cs="Arial"/>
                <w:sz w:val="20"/>
                <w:szCs w:val="20"/>
              </w:rPr>
              <w:instrText xml:space="preserve"> FORMTEXT </w:instrText>
            </w:r>
            <w:r w:rsidRPr="00F40E87">
              <w:rPr>
                <w:rFonts w:cs="Arial"/>
                <w:sz w:val="20"/>
                <w:szCs w:val="20"/>
              </w:rPr>
            </w:r>
            <w:r w:rsidRPr="00F40E87">
              <w:rPr>
                <w:rFonts w:cs="Arial"/>
                <w:sz w:val="20"/>
                <w:szCs w:val="20"/>
              </w:rPr>
              <w:fldChar w:fldCharType="separate"/>
            </w:r>
            <w:r w:rsidRPr="00F40E87">
              <w:rPr>
                <w:rFonts w:cs="Arial"/>
                <w:noProof/>
                <w:sz w:val="20"/>
                <w:szCs w:val="20"/>
              </w:rPr>
              <w:t> </w:t>
            </w:r>
            <w:r w:rsidRPr="00F40E87">
              <w:rPr>
                <w:rFonts w:cs="Arial"/>
                <w:noProof/>
                <w:sz w:val="20"/>
                <w:szCs w:val="20"/>
              </w:rPr>
              <w:t> </w:t>
            </w:r>
            <w:r w:rsidRPr="00F40E87">
              <w:rPr>
                <w:rFonts w:cs="Arial"/>
                <w:noProof/>
                <w:sz w:val="20"/>
                <w:szCs w:val="20"/>
              </w:rPr>
              <w:t> </w:t>
            </w:r>
            <w:r w:rsidRPr="00F40E87">
              <w:rPr>
                <w:rFonts w:cs="Arial"/>
                <w:sz w:val="20"/>
                <w:szCs w:val="20"/>
              </w:rPr>
              <w:fldChar w:fldCharType="end"/>
            </w:r>
          </w:p>
        </w:tc>
        <w:tc>
          <w:tcPr>
            <w:tcW w:w="2865" w:type="dxa"/>
            <w:tcBorders>
              <w:top w:val="single" w:sz="6" w:space="0" w:color="auto"/>
              <w:bottom w:val="single" w:sz="6" w:space="0" w:color="auto"/>
              <w:right w:val="single" w:sz="12" w:space="0" w:color="auto"/>
            </w:tcBorders>
            <w:shd w:val="clear" w:color="auto" w:fill="auto"/>
            <w:vAlign w:val="center"/>
          </w:tcPr>
          <w:p w14:paraId="7A69BCFA" w14:textId="77777777" w:rsidR="00A05D7C" w:rsidRPr="00F40E87" w:rsidRDefault="00B76673" w:rsidP="00323A23">
            <w:pPr>
              <w:pStyle w:val="POAACostsLow"/>
              <w:spacing w:before="0" w:after="0"/>
              <w:ind w:left="0" w:right="0"/>
              <w:jc w:val="left"/>
              <w:rPr>
                <w:rFonts w:eastAsia="Times New Roman" w:cs="Arial"/>
                <w:spacing w:val="0"/>
                <w:sz w:val="20"/>
                <w:lang w:eastAsia="en-US"/>
              </w:rPr>
            </w:pPr>
            <w:r>
              <w:rPr>
                <w:rFonts w:eastAsia="Times New Roman" w:cs="Arial"/>
                <w:spacing w:val="0"/>
                <w:sz w:val="20"/>
                <w:lang w:eastAsia="en-US"/>
              </w:rPr>
              <w:t xml:space="preserve">                                             </w:t>
            </w:r>
            <w:r w:rsidR="00A05D7C" w:rsidRPr="00F40E87">
              <w:rPr>
                <w:rFonts w:eastAsia="Times New Roman" w:cs="Arial"/>
                <w:spacing w:val="0"/>
                <w:sz w:val="20"/>
                <w:lang w:eastAsia="en-US"/>
              </w:rPr>
              <w:fldChar w:fldCharType="begin">
                <w:ffData>
                  <w:name w:val="Text49"/>
                  <w:enabled/>
                  <w:calcOnExit w:val="0"/>
                  <w:textInput>
                    <w:default w:val="Optional"/>
                    <w:maxLength w:val="14"/>
                  </w:textInput>
                </w:ffData>
              </w:fldChar>
            </w:r>
            <w:r w:rsidR="00A05D7C" w:rsidRPr="00F40E87">
              <w:rPr>
                <w:rFonts w:eastAsia="Times New Roman" w:cs="Arial"/>
                <w:spacing w:val="0"/>
                <w:sz w:val="20"/>
                <w:lang w:eastAsia="en-US"/>
              </w:rPr>
              <w:instrText xml:space="preserve"> FORMTEXT </w:instrText>
            </w:r>
            <w:r w:rsidR="00A05D7C" w:rsidRPr="00F40E87">
              <w:rPr>
                <w:rFonts w:eastAsia="Times New Roman" w:cs="Arial"/>
                <w:spacing w:val="0"/>
                <w:sz w:val="20"/>
                <w:lang w:eastAsia="en-US"/>
              </w:rPr>
            </w:r>
            <w:r w:rsidR="00A05D7C" w:rsidRPr="00F40E87">
              <w:rPr>
                <w:rFonts w:eastAsia="Times New Roman" w:cs="Arial"/>
                <w:spacing w:val="0"/>
                <w:sz w:val="20"/>
                <w:lang w:eastAsia="en-US"/>
              </w:rPr>
              <w:fldChar w:fldCharType="separate"/>
            </w:r>
            <w:r w:rsidR="009F1E3D" w:rsidRPr="00F40E87">
              <w:rPr>
                <w:rFonts w:eastAsia="Times New Roman" w:cs="Arial"/>
                <w:spacing w:val="0"/>
                <w:sz w:val="20"/>
                <w:lang w:eastAsia="en-US"/>
              </w:rPr>
              <w:t>4.</w:t>
            </w:r>
            <w:r w:rsidR="00323A23" w:rsidRPr="00F40E87">
              <w:rPr>
                <w:rFonts w:eastAsia="Times New Roman" w:cs="Arial"/>
                <w:spacing w:val="0"/>
                <w:sz w:val="20"/>
                <w:lang w:eastAsia="en-US"/>
              </w:rPr>
              <w:t>1</w:t>
            </w:r>
            <w:r w:rsidR="00A05D7C" w:rsidRPr="00F40E87">
              <w:rPr>
                <w:rFonts w:eastAsia="Times New Roman" w:cs="Arial"/>
                <w:spacing w:val="0"/>
                <w:sz w:val="20"/>
                <w:lang w:eastAsia="en-US"/>
              </w:rPr>
              <w:fldChar w:fldCharType="end"/>
            </w:r>
          </w:p>
        </w:tc>
        <w:tc>
          <w:tcPr>
            <w:tcW w:w="2636" w:type="dxa"/>
            <w:gridSpan w:val="2"/>
            <w:tcBorders>
              <w:top w:val="single" w:sz="6" w:space="0" w:color="auto"/>
              <w:left w:val="single" w:sz="12" w:space="0" w:color="auto"/>
              <w:bottom w:val="single" w:sz="6" w:space="0" w:color="auto"/>
            </w:tcBorders>
            <w:shd w:val="clear" w:color="auto" w:fill="auto"/>
            <w:vAlign w:val="center"/>
          </w:tcPr>
          <w:p w14:paraId="4583B17D" w14:textId="77777777" w:rsidR="00A05D7C" w:rsidRPr="00F40E87" w:rsidRDefault="00B76673" w:rsidP="00323A23">
            <w:pPr>
              <w:pStyle w:val="POTCCostsLow"/>
              <w:spacing w:before="0" w:after="0"/>
              <w:ind w:left="0" w:right="57"/>
              <w:jc w:val="left"/>
              <w:rPr>
                <w:rFonts w:cs="Arial"/>
                <w:spacing w:val="-6"/>
                <w:sz w:val="20"/>
              </w:rPr>
            </w:pPr>
            <w:r>
              <w:rPr>
                <w:rFonts w:cs="Arial"/>
                <w:spacing w:val="-6"/>
                <w:sz w:val="20"/>
              </w:rPr>
              <w:t xml:space="preserve">                                           </w:t>
            </w:r>
            <w:r w:rsidR="00A05D7C" w:rsidRPr="00F40E87">
              <w:rPr>
                <w:rFonts w:cs="Arial"/>
                <w:spacing w:val="-6"/>
                <w:sz w:val="20"/>
              </w:rPr>
              <w:fldChar w:fldCharType="begin">
                <w:ffData>
                  <w:name w:val="Text52"/>
                  <w:enabled/>
                  <w:calcOnExit w:val="0"/>
                  <w:textInput>
                    <w:default w:val="Optional"/>
                    <w:maxLength w:val="14"/>
                  </w:textInput>
                </w:ffData>
              </w:fldChar>
            </w:r>
            <w:r w:rsidR="00A05D7C" w:rsidRPr="00F40E87">
              <w:rPr>
                <w:rFonts w:cs="Arial"/>
                <w:spacing w:val="-6"/>
                <w:sz w:val="20"/>
              </w:rPr>
              <w:instrText xml:space="preserve"> FORMTEXT </w:instrText>
            </w:r>
            <w:r w:rsidR="00A05D7C" w:rsidRPr="00F40E87">
              <w:rPr>
                <w:rFonts w:cs="Arial"/>
                <w:spacing w:val="-6"/>
                <w:sz w:val="20"/>
              </w:rPr>
            </w:r>
            <w:r w:rsidR="00A05D7C" w:rsidRPr="00F40E87">
              <w:rPr>
                <w:rFonts w:cs="Arial"/>
                <w:spacing w:val="-6"/>
                <w:sz w:val="20"/>
              </w:rPr>
              <w:fldChar w:fldCharType="separate"/>
            </w:r>
            <w:r w:rsidR="009F1E3D" w:rsidRPr="00F40E87">
              <w:rPr>
                <w:rFonts w:cs="Arial"/>
                <w:spacing w:val="-6"/>
                <w:sz w:val="20"/>
              </w:rPr>
              <w:t>3</w:t>
            </w:r>
            <w:r w:rsidR="00323A23" w:rsidRPr="00F40E87">
              <w:rPr>
                <w:rFonts w:cs="Arial"/>
                <w:spacing w:val="-6"/>
                <w:sz w:val="20"/>
              </w:rPr>
              <w:t>5.4</w:t>
            </w:r>
            <w:r w:rsidR="00A05D7C" w:rsidRPr="00F40E87">
              <w:rPr>
                <w:rFonts w:cs="Arial"/>
                <w:spacing w:val="-6"/>
                <w:sz w:val="20"/>
              </w:rPr>
              <w:fldChar w:fldCharType="end"/>
            </w:r>
          </w:p>
        </w:tc>
      </w:tr>
      <w:tr w:rsidR="00A05D7C" w:rsidRPr="00F40E87" w14:paraId="0EAEB70D" w14:textId="77777777" w:rsidTr="006A487B">
        <w:trPr>
          <w:trHeight w:hRule="exact" w:val="348"/>
        </w:trPr>
        <w:tc>
          <w:tcPr>
            <w:tcW w:w="1995" w:type="dxa"/>
            <w:tcBorders>
              <w:top w:val="single" w:sz="6" w:space="0" w:color="auto"/>
              <w:bottom w:val="single" w:sz="12" w:space="0" w:color="auto"/>
            </w:tcBorders>
            <w:shd w:val="clear" w:color="auto" w:fill="auto"/>
            <w:vAlign w:val="center"/>
          </w:tcPr>
          <w:p w14:paraId="0464300B" w14:textId="77777777" w:rsidR="00A05D7C" w:rsidRPr="00F40E87" w:rsidRDefault="00A05D7C" w:rsidP="006A487B">
            <w:pPr>
              <w:pStyle w:val="IATableLabel"/>
              <w:rPr>
                <w:rFonts w:cs="Arial"/>
                <w:color w:val="auto"/>
              </w:rPr>
            </w:pPr>
            <w:r w:rsidRPr="00F40E87">
              <w:rPr>
                <w:rFonts w:cs="Arial"/>
                <w:color w:val="auto"/>
              </w:rPr>
              <w:t xml:space="preserve">High </w:t>
            </w:r>
          </w:p>
        </w:tc>
        <w:tc>
          <w:tcPr>
            <w:tcW w:w="1949" w:type="dxa"/>
            <w:tcBorders>
              <w:top w:val="single" w:sz="6" w:space="0" w:color="auto"/>
              <w:bottom w:val="single" w:sz="12" w:space="0" w:color="auto"/>
            </w:tcBorders>
            <w:shd w:val="clear" w:color="auto" w:fill="auto"/>
            <w:vAlign w:val="center"/>
          </w:tcPr>
          <w:p w14:paraId="1293D52A" w14:textId="77777777" w:rsidR="00A05D7C" w:rsidRPr="00F40E87" w:rsidRDefault="00B76673" w:rsidP="009F1E3D">
            <w:pPr>
              <w:pStyle w:val="POTTCostsHigh"/>
              <w:spacing w:before="0" w:after="120"/>
              <w:ind w:left="0" w:right="0"/>
              <w:jc w:val="left"/>
              <w:rPr>
                <w:rFonts w:eastAsia="Times New Roman" w:cs="Arial"/>
                <w:spacing w:val="0"/>
                <w:sz w:val="20"/>
                <w:lang w:eastAsia="en-GB"/>
              </w:rPr>
            </w:pPr>
            <w:r>
              <w:rPr>
                <w:rFonts w:eastAsia="Times New Roman" w:cs="Arial"/>
                <w:spacing w:val="0"/>
                <w:sz w:val="20"/>
                <w:lang w:eastAsia="en-GB"/>
              </w:rPr>
              <w:t xml:space="preserve">                           </w:t>
            </w:r>
            <w:r w:rsidR="00A05D7C" w:rsidRPr="00F40E87">
              <w:rPr>
                <w:rFonts w:eastAsia="Times New Roman" w:cs="Arial"/>
                <w:spacing w:val="0"/>
                <w:sz w:val="20"/>
                <w:lang w:eastAsia="en-GB"/>
              </w:rPr>
              <w:fldChar w:fldCharType="begin">
                <w:ffData>
                  <w:name w:val="Text46"/>
                  <w:enabled/>
                  <w:calcOnExit w:val="0"/>
                  <w:textInput>
                    <w:default w:val="Optional"/>
                    <w:maxLength w:val="14"/>
                  </w:textInput>
                </w:ffData>
              </w:fldChar>
            </w:r>
            <w:r w:rsidR="00A05D7C" w:rsidRPr="00F40E87">
              <w:rPr>
                <w:rFonts w:eastAsia="Times New Roman" w:cs="Arial"/>
                <w:spacing w:val="0"/>
                <w:sz w:val="20"/>
                <w:lang w:eastAsia="en-GB"/>
              </w:rPr>
              <w:instrText xml:space="preserve"> FORMTEXT </w:instrText>
            </w:r>
            <w:r w:rsidR="00A05D7C" w:rsidRPr="00F40E87">
              <w:rPr>
                <w:rFonts w:eastAsia="Times New Roman" w:cs="Arial"/>
                <w:spacing w:val="0"/>
                <w:sz w:val="20"/>
                <w:lang w:eastAsia="en-GB"/>
              </w:rPr>
            </w:r>
            <w:r w:rsidR="00A05D7C" w:rsidRPr="00F40E87">
              <w:rPr>
                <w:rFonts w:eastAsia="Times New Roman" w:cs="Arial"/>
                <w:spacing w:val="0"/>
                <w:sz w:val="20"/>
                <w:lang w:eastAsia="en-GB"/>
              </w:rPr>
              <w:fldChar w:fldCharType="separate"/>
            </w:r>
            <w:r w:rsidR="004B384B" w:rsidRPr="00F40E87">
              <w:rPr>
                <w:rFonts w:eastAsia="Times New Roman" w:cs="Arial"/>
                <w:spacing w:val="0"/>
                <w:sz w:val="20"/>
                <w:lang w:eastAsia="en-GB"/>
              </w:rPr>
              <w:t>1</w:t>
            </w:r>
            <w:r w:rsidR="009F1E3D" w:rsidRPr="00F40E87">
              <w:rPr>
                <w:rFonts w:eastAsia="Times New Roman" w:cs="Arial"/>
                <w:spacing w:val="0"/>
                <w:sz w:val="20"/>
                <w:lang w:eastAsia="en-GB"/>
              </w:rPr>
              <w:t>2.2</w:t>
            </w:r>
            <w:r w:rsidR="00A05D7C" w:rsidRPr="00F40E87">
              <w:rPr>
                <w:rFonts w:eastAsia="Times New Roman" w:cs="Arial"/>
                <w:spacing w:val="0"/>
                <w:sz w:val="20"/>
                <w:lang w:eastAsia="en-GB"/>
              </w:rPr>
              <w:fldChar w:fldCharType="end"/>
            </w:r>
          </w:p>
        </w:tc>
        <w:tc>
          <w:tcPr>
            <w:tcW w:w="790" w:type="dxa"/>
            <w:vMerge/>
            <w:shd w:val="clear" w:color="auto" w:fill="FFFFFF"/>
            <w:vAlign w:val="center"/>
          </w:tcPr>
          <w:p w14:paraId="4C656474" w14:textId="77777777" w:rsidR="00A05D7C" w:rsidRPr="00F40E87" w:rsidRDefault="00A05D7C" w:rsidP="006A487B">
            <w:pPr>
              <w:pStyle w:val="IATableText"/>
              <w:jc w:val="right"/>
              <w:rPr>
                <w:rFonts w:cs="Arial"/>
                <w:sz w:val="20"/>
              </w:rPr>
            </w:pPr>
          </w:p>
        </w:tc>
        <w:tc>
          <w:tcPr>
            <w:tcW w:w="2865" w:type="dxa"/>
            <w:tcBorders>
              <w:top w:val="single" w:sz="6" w:space="0" w:color="auto"/>
              <w:bottom w:val="single" w:sz="12" w:space="0" w:color="auto"/>
              <w:right w:val="single" w:sz="12" w:space="0" w:color="auto"/>
            </w:tcBorders>
            <w:shd w:val="clear" w:color="auto" w:fill="auto"/>
            <w:vAlign w:val="center"/>
          </w:tcPr>
          <w:p w14:paraId="68CB98D2" w14:textId="77777777" w:rsidR="00A05D7C" w:rsidRPr="00F40E87" w:rsidRDefault="00B76673" w:rsidP="005A26C8">
            <w:pPr>
              <w:pStyle w:val="POAACostsHigh"/>
              <w:ind w:right="57"/>
              <w:jc w:val="left"/>
              <w:rPr>
                <w:rFonts w:cs="Arial"/>
                <w:sz w:val="20"/>
              </w:rPr>
            </w:pPr>
            <w:r>
              <w:rPr>
                <w:rFonts w:cs="Arial"/>
                <w:sz w:val="20"/>
              </w:rPr>
              <w:t xml:space="preserve">                                             </w:t>
            </w:r>
            <w:r w:rsidR="005A26C8">
              <w:rPr>
                <w:rFonts w:cs="Arial"/>
                <w:sz w:val="20"/>
              </w:rPr>
              <w:t xml:space="preserve"> </w:t>
            </w:r>
            <w:r>
              <w:rPr>
                <w:rFonts w:cs="Arial"/>
                <w:sz w:val="20"/>
              </w:rPr>
              <w:t xml:space="preserve"> </w:t>
            </w:r>
            <w:r w:rsidR="00A05D7C" w:rsidRPr="00F40E87">
              <w:rPr>
                <w:rFonts w:cs="Arial"/>
                <w:sz w:val="20"/>
              </w:rPr>
              <w:fldChar w:fldCharType="begin">
                <w:ffData>
                  <w:name w:val="Text50"/>
                  <w:enabled/>
                  <w:calcOnExit w:val="0"/>
                  <w:textInput>
                    <w:default w:val="Optional"/>
                    <w:maxLength w:val="14"/>
                  </w:textInput>
                </w:ffData>
              </w:fldChar>
            </w:r>
            <w:r w:rsidR="00A05D7C" w:rsidRPr="00F40E87">
              <w:rPr>
                <w:rFonts w:cs="Arial"/>
                <w:sz w:val="20"/>
              </w:rPr>
              <w:instrText xml:space="preserve"> FORMTEXT </w:instrText>
            </w:r>
            <w:r w:rsidR="00A05D7C" w:rsidRPr="00F40E87">
              <w:rPr>
                <w:rFonts w:cs="Arial"/>
                <w:sz w:val="20"/>
              </w:rPr>
            </w:r>
            <w:r w:rsidR="00A05D7C" w:rsidRPr="00F40E87">
              <w:rPr>
                <w:rFonts w:cs="Arial"/>
                <w:sz w:val="20"/>
              </w:rPr>
              <w:fldChar w:fldCharType="separate"/>
            </w:r>
            <w:r w:rsidR="009F1E3D" w:rsidRPr="00F40E87">
              <w:rPr>
                <w:rFonts w:cs="Arial"/>
                <w:noProof/>
                <w:sz w:val="20"/>
              </w:rPr>
              <w:t>6.</w:t>
            </w:r>
            <w:r w:rsidR="00323A23" w:rsidRPr="00F40E87">
              <w:rPr>
                <w:rFonts w:cs="Arial"/>
                <w:noProof/>
                <w:sz w:val="20"/>
              </w:rPr>
              <w:t>4</w:t>
            </w:r>
            <w:r w:rsidR="00A05D7C" w:rsidRPr="00F40E87">
              <w:rPr>
                <w:rFonts w:cs="Arial"/>
                <w:sz w:val="20"/>
              </w:rPr>
              <w:fldChar w:fldCharType="end"/>
            </w:r>
          </w:p>
        </w:tc>
        <w:tc>
          <w:tcPr>
            <w:tcW w:w="2636" w:type="dxa"/>
            <w:gridSpan w:val="2"/>
            <w:tcBorders>
              <w:top w:val="single" w:sz="6" w:space="0" w:color="auto"/>
              <w:left w:val="single" w:sz="12" w:space="0" w:color="auto"/>
              <w:bottom w:val="single" w:sz="12" w:space="0" w:color="auto"/>
            </w:tcBorders>
            <w:shd w:val="clear" w:color="auto" w:fill="auto"/>
            <w:vAlign w:val="center"/>
          </w:tcPr>
          <w:p w14:paraId="65B29298" w14:textId="77777777" w:rsidR="00A05D7C" w:rsidRPr="00F40E87" w:rsidRDefault="00B76673" w:rsidP="00323A23">
            <w:pPr>
              <w:pStyle w:val="POTCCostsHigh"/>
              <w:spacing w:before="0"/>
              <w:ind w:left="0" w:right="0"/>
              <w:jc w:val="left"/>
              <w:rPr>
                <w:rFonts w:cs="Arial"/>
                <w:sz w:val="20"/>
              </w:rPr>
            </w:pPr>
            <w:r>
              <w:rPr>
                <w:rFonts w:cs="Arial"/>
                <w:sz w:val="20"/>
              </w:rPr>
              <w:t xml:space="preserve">                                          </w:t>
            </w:r>
            <w:r w:rsidR="00A05D7C" w:rsidRPr="00F40E87">
              <w:rPr>
                <w:rFonts w:cs="Arial"/>
                <w:sz w:val="20"/>
              </w:rPr>
              <w:fldChar w:fldCharType="begin">
                <w:ffData>
                  <w:name w:val="Text53"/>
                  <w:enabled/>
                  <w:calcOnExit w:val="0"/>
                  <w:textInput>
                    <w:default w:val="Optional"/>
                    <w:maxLength w:val="14"/>
                  </w:textInput>
                </w:ffData>
              </w:fldChar>
            </w:r>
            <w:r w:rsidR="00A05D7C" w:rsidRPr="00F40E87">
              <w:rPr>
                <w:rFonts w:cs="Arial"/>
                <w:sz w:val="20"/>
              </w:rPr>
              <w:instrText xml:space="preserve"> FORMTEXT </w:instrText>
            </w:r>
            <w:r w:rsidR="00A05D7C" w:rsidRPr="00F40E87">
              <w:rPr>
                <w:rFonts w:cs="Arial"/>
                <w:sz w:val="20"/>
              </w:rPr>
            </w:r>
            <w:r w:rsidR="00A05D7C" w:rsidRPr="00F40E87">
              <w:rPr>
                <w:rFonts w:cs="Arial"/>
                <w:sz w:val="20"/>
              </w:rPr>
              <w:fldChar w:fldCharType="separate"/>
            </w:r>
            <w:r w:rsidR="009F1E3D" w:rsidRPr="00F40E87">
              <w:rPr>
                <w:rFonts w:cs="Arial"/>
                <w:noProof/>
                <w:sz w:val="20"/>
              </w:rPr>
              <w:t>6</w:t>
            </w:r>
            <w:r w:rsidR="00323A23" w:rsidRPr="00F40E87">
              <w:rPr>
                <w:rFonts w:cs="Arial"/>
                <w:noProof/>
                <w:sz w:val="20"/>
              </w:rPr>
              <w:t>7.5</w:t>
            </w:r>
            <w:r w:rsidR="00A05D7C" w:rsidRPr="00F40E87">
              <w:rPr>
                <w:rFonts w:cs="Arial"/>
                <w:sz w:val="20"/>
              </w:rPr>
              <w:fldChar w:fldCharType="end"/>
            </w:r>
          </w:p>
        </w:tc>
      </w:tr>
      <w:tr w:rsidR="00A05D7C" w:rsidRPr="00F40E87" w14:paraId="4D59EA55" w14:textId="77777777" w:rsidTr="006A487B">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14:paraId="5FB11B6D" w14:textId="77777777" w:rsidR="00A05D7C" w:rsidRPr="00F40E87" w:rsidRDefault="00A05D7C" w:rsidP="006A487B">
            <w:pPr>
              <w:pStyle w:val="IATableLabel"/>
              <w:rPr>
                <w:rFonts w:cs="Arial"/>
                <w:color w:val="auto"/>
              </w:rPr>
            </w:pPr>
            <w:r w:rsidRPr="00F40E87">
              <w:rPr>
                <w:rFonts w:cs="Arial"/>
                <w:color w:val="auto"/>
              </w:rPr>
              <w:t>Best Estimate</w:t>
            </w:r>
          </w:p>
          <w:p w14:paraId="28761D29" w14:textId="77777777" w:rsidR="00A05D7C" w:rsidRPr="00F40E87" w:rsidRDefault="00A05D7C" w:rsidP="006A487B">
            <w:pPr>
              <w:pStyle w:val="IATableNotes"/>
              <w:spacing w:beforeLines="40" w:before="96" w:after="0"/>
              <w:ind w:left="0" w:right="-22"/>
              <w:jc w:val="center"/>
              <w:rPr>
                <w:rFonts w:eastAsia="Times New Roman" w:cs="Arial"/>
                <w:b/>
                <w:sz w:val="20"/>
                <w:lang w:eastAsia="en-US"/>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56496B56" w14:textId="77777777" w:rsidR="00A05D7C" w:rsidRPr="00F40E87" w:rsidRDefault="00B76673" w:rsidP="009F1E3D">
            <w:pPr>
              <w:pStyle w:val="POTTCostsBest"/>
              <w:spacing w:before="0" w:after="0"/>
              <w:ind w:left="0" w:right="0"/>
              <w:jc w:val="center"/>
              <w:rPr>
                <w:rFonts w:eastAsia="Times New Roman" w:cs="Arial"/>
                <w:spacing w:val="0"/>
                <w:sz w:val="20"/>
                <w:lang w:eastAsia="en-US"/>
              </w:rPr>
            </w:pPr>
            <w:r>
              <w:rPr>
                <w:rFonts w:eastAsia="Times New Roman" w:cs="Arial"/>
                <w:spacing w:val="0"/>
                <w:sz w:val="20"/>
                <w:lang w:eastAsia="en-US"/>
              </w:rPr>
              <w:t xml:space="preserve">                           </w:t>
            </w:r>
            <w:r w:rsidR="00A05D7C" w:rsidRPr="00F40E87">
              <w:rPr>
                <w:rFonts w:eastAsia="Times New Roman" w:cs="Arial"/>
                <w:spacing w:val="0"/>
                <w:sz w:val="20"/>
                <w:lang w:eastAsia="en-US"/>
              </w:rPr>
              <w:fldChar w:fldCharType="begin">
                <w:ffData>
                  <w:name w:val="Text51"/>
                  <w:enabled/>
                  <w:calcOnExit w:val="0"/>
                  <w:textInput>
                    <w:maxLength w:val="14"/>
                  </w:textInput>
                </w:ffData>
              </w:fldChar>
            </w:r>
            <w:r w:rsidR="00A05D7C" w:rsidRPr="00F40E87">
              <w:rPr>
                <w:rFonts w:eastAsia="Times New Roman" w:cs="Arial"/>
                <w:spacing w:val="0"/>
                <w:sz w:val="20"/>
                <w:lang w:eastAsia="en-US"/>
              </w:rPr>
              <w:instrText xml:space="preserve"> FORMTEXT </w:instrText>
            </w:r>
            <w:r w:rsidR="00A05D7C" w:rsidRPr="00F40E87">
              <w:rPr>
                <w:rFonts w:eastAsia="Times New Roman" w:cs="Arial"/>
                <w:spacing w:val="0"/>
                <w:sz w:val="20"/>
                <w:lang w:eastAsia="en-US"/>
              </w:rPr>
            </w:r>
            <w:r w:rsidR="00A05D7C" w:rsidRPr="00F40E87">
              <w:rPr>
                <w:rFonts w:eastAsia="Times New Roman" w:cs="Arial"/>
                <w:spacing w:val="0"/>
                <w:sz w:val="20"/>
                <w:lang w:eastAsia="en-US"/>
              </w:rPr>
              <w:fldChar w:fldCharType="separate"/>
            </w:r>
            <w:r w:rsidR="009F1E3D" w:rsidRPr="00F40E87">
              <w:rPr>
                <w:rFonts w:eastAsia="Times New Roman" w:cs="Arial"/>
                <w:noProof/>
                <w:spacing w:val="0"/>
                <w:sz w:val="20"/>
                <w:lang w:eastAsia="en-US"/>
              </w:rPr>
              <w:t>12.2</w:t>
            </w:r>
            <w:r w:rsidR="00A05D7C" w:rsidRPr="00F40E87">
              <w:rPr>
                <w:rFonts w:eastAsia="Times New Roman" w:cs="Arial"/>
                <w:spacing w:val="0"/>
                <w:sz w:val="20"/>
                <w:lang w:eastAsia="en-US"/>
              </w:rPr>
              <w:fldChar w:fldCharType="end"/>
            </w:r>
          </w:p>
        </w:tc>
        <w:tc>
          <w:tcPr>
            <w:tcW w:w="790" w:type="dxa"/>
            <w:vMerge/>
            <w:tcBorders>
              <w:left w:val="single" w:sz="12" w:space="0" w:color="auto"/>
              <w:right w:val="single" w:sz="12" w:space="0" w:color="auto"/>
            </w:tcBorders>
            <w:shd w:val="clear" w:color="auto" w:fill="FFFFFF"/>
            <w:vAlign w:val="center"/>
          </w:tcPr>
          <w:p w14:paraId="59A799FB" w14:textId="77777777" w:rsidR="00A05D7C" w:rsidRPr="00F40E87" w:rsidRDefault="00A05D7C" w:rsidP="006A487B">
            <w:pPr>
              <w:pStyle w:val="IATableText"/>
              <w:jc w:val="right"/>
              <w:rPr>
                <w:rFonts w:cs="Arial"/>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0DCB26ED" w14:textId="77777777" w:rsidR="00A05D7C" w:rsidRPr="00F40E87" w:rsidRDefault="00B76673" w:rsidP="00323A23">
            <w:pPr>
              <w:pStyle w:val="POAACostsBest"/>
              <w:spacing w:before="0" w:after="120"/>
              <w:ind w:left="0" w:right="0"/>
              <w:jc w:val="left"/>
              <w:rPr>
                <w:rFonts w:eastAsia="Times New Roman" w:cs="Arial"/>
                <w:spacing w:val="0"/>
                <w:sz w:val="20"/>
                <w:lang w:eastAsia="en-GB"/>
              </w:rPr>
            </w:pPr>
            <w:r>
              <w:rPr>
                <w:rFonts w:eastAsia="Times New Roman" w:cs="Arial"/>
                <w:spacing w:val="0"/>
                <w:sz w:val="20"/>
                <w:lang w:eastAsia="en-GB"/>
              </w:rPr>
              <w:t xml:space="preserve">                                             </w:t>
            </w:r>
            <w:r w:rsidR="00A05D7C" w:rsidRPr="00F40E87">
              <w:rPr>
                <w:rFonts w:eastAsia="Times New Roman" w:cs="Arial"/>
                <w:spacing w:val="0"/>
                <w:sz w:val="20"/>
                <w:lang w:eastAsia="en-GB"/>
              </w:rPr>
              <w:fldChar w:fldCharType="begin">
                <w:ffData>
                  <w:name w:val="Text51"/>
                  <w:enabled/>
                  <w:calcOnExit w:val="0"/>
                  <w:textInput>
                    <w:maxLength w:val="14"/>
                  </w:textInput>
                </w:ffData>
              </w:fldChar>
            </w:r>
            <w:r w:rsidR="00A05D7C" w:rsidRPr="00F40E87">
              <w:rPr>
                <w:rFonts w:eastAsia="Times New Roman" w:cs="Arial"/>
                <w:spacing w:val="0"/>
                <w:sz w:val="20"/>
                <w:lang w:eastAsia="en-GB"/>
              </w:rPr>
              <w:instrText xml:space="preserve"> FORMTEXT </w:instrText>
            </w:r>
            <w:r w:rsidR="00A05D7C" w:rsidRPr="00F40E87">
              <w:rPr>
                <w:rFonts w:eastAsia="Times New Roman" w:cs="Arial"/>
                <w:spacing w:val="0"/>
                <w:sz w:val="20"/>
                <w:lang w:eastAsia="en-GB"/>
              </w:rPr>
            </w:r>
            <w:r w:rsidR="00A05D7C" w:rsidRPr="00F40E87">
              <w:rPr>
                <w:rFonts w:eastAsia="Times New Roman" w:cs="Arial"/>
                <w:spacing w:val="0"/>
                <w:sz w:val="20"/>
                <w:lang w:eastAsia="en-GB"/>
              </w:rPr>
              <w:fldChar w:fldCharType="separate"/>
            </w:r>
            <w:r w:rsidR="009F1E3D" w:rsidRPr="00F40E87">
              <w:rPr>
                <w:rFonts w:eastAsia="Times New Roman" w:cs="Arial"/>
                <w:noProof/>
                <w:spacing w:val="0"/>
                <w:sz w:val="20"/>
                <w:lang w:eastAsia="en-GB"/>
              </w:rPr>
              <w:t>6.</w:t>
            </w:r>
            <w:r w:rsidR="00323A23" w:rsidRPr="00F40E87">
              <w:rPr>
                <w:rFonts w:eastAsia="Times New Roman" w:cs="Arial"/>
                <w:noProof/>
                <w:spacing w:val="0"/>
                <w:sz w:val="20"/>
                <w:lang w:eastAsia="en-GB"/>
              </w:rPr>
              <w:t>4</w:t>
            </w:r>
            <w:r w:rsidR="00A05D7C" w:rsidRPr="00F40E87">
              <w:rPr>
                <w:rFonts w:eastAsia="Times New Roman" w:cs="Arial"/>
                <w:spacing w:val="0"/>
                <w:sz w:val="20"/>
                <w:lang w:eastAsia="en-GB"/>
              </w:rPr>
              <w:fldChar w:fldCharType="end"/>
            </w:r>
          </w:p>
        </w:tc>
        <w:tc>
          <w:tcPr>
            <w:tcW w:w="2636" w:type="dxa"/>
            <w:gridSpan w:val="2"/>
            <w:tcBorders>
              <w:top w:val="single" w:sz="12" w:space="0" w:color="auto"/>
              <w:left w:val="single" w:sz="12" w:space="0" w:color="auto"/>
              <w:bottom w:val="single" w:sz="12" w:space="0" w:color="auto"/>
            </w:tcBorders>
            <w:shd w:val="clear" w:color="auto" w:fill="FFFFFF"/>
            <w:vAlign w:val="center"/>
          </w:tcPr>
          <w:p w14:paraId="45A1056C" w14:textId="77777777" w:rsidR="00A05D7C" w:rsidRPr="00F40E87" w:rsidRDefault="00B76673" w:rsidP="005A26C8">
            <w:pPr>
              <w:pStyle w:val="POTCCostsBest"/>
              <w:spacing w:before="0" w:after="0"/>
              <w:ind w:right="0"/>
              <w:jc w:val="left"/>
              <w:rPr>
                <w:rFonts w:cs="Arial"/>
                <w:sz w:val="20"/>
              </w:rPr>
            </w:pPr>
            <w:r>
              <w:rPr>
                <w:rFonts w:cs="Arial"/>
                <w:sz w:val="20"/>
              </w:rPr>
              <w:t xml:space="preserve">                                   </w:t>
            </w:r>
            <w:r w:rsidR="005A26C8">
              <w:rPr>
                <w:rFonts w:cs="Arial"/>
                <w:sz w:val="20"/>
              </w:rPr>
              <w:t xml:space="preserve"> </w:t>
            </w:r>
            <w:r>
              <w:rPr>
                <w:rFonts w:cs="Arial"/>
                <w:sz w:val="20"/>
              </w:rPr>
              <w:t xml:space="preserve">    </w:t>
            </w:r>
            <w:r w:rsidR="00A05D7C" w:rsidRPr="00F40E87">
              <w:rPr>
                <w:rFonts w:cs="Arial"/>
                <w:sz w:val="20"/>
              </w:rPr>
              <w:fldChar w:fldCharType="begin">
                <w:ffData>
                  <w:name w:val="Text54"/>
                  <w:enabled/>
                  <w:calcOnExit w:val="0"/>
                  <w:textInput>
                    <w:maxLength w:val="14"/>
                  </w:textInput>
                </w:ffData>
              </w:fldChar>
            </w:r>
            <w:r w:rsidR="00A05D7C" w:rsidRPr="00F40E87">
              <w:rPr>
                <w:rFonts w:cs="Arial"/>
                <w:sz w:val="20"/>
              </w:rPr>
              <w:instrText xml:space="preserve"> FORMTEXT </w:instrText>
            </w:r>
            <w:r w:rsidR="00A05D7C" w:rsidRPr="00F40E87">
              <w:rPr>
                <w:rFonts w:cs="Arial"/>
                <w:sz w:val="20"/>
              </w:rPr>
            </w:r>
            <w:r w:rsidR="00A05D7C" w:rsidRPr="00F40E87">
              <w:rPr>
                <w:rFonts w:cs="Arial"/>
                <w:sz w:val="20"/>
              </w:rPr>
              <w:fldChar w:fldCharType="separate"/>
            </w:r>
            <w:r w:rsidR="00323A23" w:rsidRPr="00F40E87">
              <w:rPr>
                <w:rFonts w:cs="Arial"/>
                <w:noProof/>
                <w:sz w:val="20"/>
              </w:rPr>
              <w:t>67.5</w:t>
            </w:r>
            <w:r w:rsidR="00A05D7C" w:rsidRPr="00F40E87">
              <w:rPr>
                <w:rFonts w:cs="Arial"/>
                <w:sz w:val="20"/>
              </w:rPr>
              <w:fldChar w:fldCharType="end"/>
            </w:r>
          </w:p>
        </w:tc>
      </w:tr>
      <w:tr w:rsidR="00A05D7C" w:rsidRPr="00F40E87" w14:paraId="78A651F8" w14:textId="77777777" w:rsidTr="006A487B">
        <w:trPr>
          <w:trHeight w:hRule="exact" w:val="1701"/>
        </w:trPr>
        <w:tc>
          <w:tcPr>
            <w:tcW w:w="10235" w:type="dxa"/>
            <w:gridSpan w:val="6"/>
            <w:tcBorders>
              <w:bottom w:val="single" w:sz="6" w:space="0" w:color="auto"/>
            </w:tcBorders>
            <w:shd w:val="clear" w:color="auto" w:fill="auto"/>
          </w:tcPr>
          <w:p w14:paraId="0D7FA084" w14:textId="77777777" w:rsidR="00A05D7C" w:rsidRPr="00F40E87" w:rsidRDefault="00A05D7C" w:rsidP="00CF5592">
            <w:pPr>
              <w:pStyle w:val="IAPOQ1"/>
              <w:spacing w:before="0" w:after="120"/>
              <w:ind w:left="0" w:right="0"/>
              <w:rPr>
                <w:rFonts w:eastAsia="Times New Roman" w:cs="Arial"/>
                <w:color w:val="auto"/>
                <w:spacing w:val="0"/>
                <w:lang w:eastAsia="en-GB"/>
              </w:rPr>
            </w:pPr>
            <w:r w:rsidRPr="00F40E87">
              <w:rPr>
                <w:rFonts w:eastAsia="Times New Roman" w:cs="Arial"/>
                <w:color w:val="auto"/>
                <w:spacing w:val="0"/>
                <w:lang w:eastAsia="en-GB"/>
              </w:rPr>
              <w:t xml:space="preserve">Description and scale of key monetised costs by ‘main affected groups’ </w:t>
            </w:r>
          </w:p>
          <w:p w14:paraId="743D8F10" w14:textId="77777777" w:rsidR="00A05D7C" w:rsidRPr="00F40E87" w:rsidRDefault="00A05D7C" w:rsidP="00CF5592">
            <w:pPr>
              <w:pStyle w:val="IAPOA1"/>
              <w:ind w:left="0" w:right="0"/>
              <w:rPr>
                <w:rFonts w:eastAsia="Times New Roman" w:cs="Arial"/>
                <w:spacing w:val="0"/>
                <w:sz w:val="20"/>
                <w:lang w:eastAsia="en-US"/>
              </w:rPr>
            </w:pPr>
            <w:r w:rsidRPr="00F40E87">
              <w:rPr>
                <w:rFonts w:eastAsia="Times New Roman" w:cs="Arial"/>
                <w:spacing w:val="0"/>
                <w:sz w:val="20"/>
                <w:lang w:eastAsia="en-US"/>
              </w:rPr>
              <w:fldChar w:fldCharType="begin">
                <w:ffData>
                  <w:name w:val="Text62"/>
                  <w:enabled/>
                  <w:calcOnExit w:val="0"/>
                  <w:textInput>
                    <w:default w:val="Maximum of 5 lines"/>
                    <w:maxLength w:val="500"/>
                  </w:textInput>
                </w:ffData>
              </w:fldChar>
            </w:r>
            <w:r w:rsidRPr="00F40E87">
              <w:rPr>
                <w:rFonts w:eastAsia="Times New Roman" w:cs="Arial"/>
                <w:spacing w:val="0"/>
                <w:sz w:val="20"/>
                <w:lang w:eastAsia="en-US"/>
              </w:rPr>
              <w:instrText xml:space="preserve"> FORMTEXT </w:instrText>
            </w:r>
            <w:r w:rsidRPr="00F40E87">
              <w:rPr>
                <w:rFonts w:eastAsia="Times New Roman" w:cs="Arial"/>
                <w:spacing w:val="0"/>
                <w:sz w:val="20"/>
                <w:lang w:eastAsia="en-US"/>
              </w:rPr>
            </w:r>
            <w:r w:rsidRPr="00F40E87">
              <w:rPr>
                <w:rFonts w:eastAsia="Times New Roman" w:cs="Arial"/>
                <w:spacing w:val="0"/>
                <w:sz w:val="20"/>
                <w:lang w:eastAsia="en-US"/>
              </w:rPr>
              <w:fldChar w:fldCharType="separate"/>
            </w:r>
            <w:r w:rsidR="00264DA0" w:rsidRPr="00F40E87">
              <w:rPr>
                <w:rFonts w:eastAsia="Times New Roman" w:cs="Arial"/>
                <w:spacing w:val="0"/>
                <w:sz w:val="20"/>
                <w:lang w:eastAsia="en-US"/>
              </w:rPr>
              <w:t xml:space="preserve">These are the same as set out for policy </w:t>
            </w:r>
            <w:r w:rsidR="00E654B7">
              <w:rPr>
                <w:rFonts w:eastAsia="Times New Roman" w:cs="Arial"/>
                <w:spacing w:val="0"/>
                <w:sz w:val="20"/>
                <w:lang w:eastAsia="en-US"/>
              </w:rPr>
              <w:t>o</w:t>
            </w:r>
            <w:r w:rsidR="00264DA0" w:rsidRPr="00F40E87">
              <w:rPr>
                <w:rFonts w:eastAsia="Times New Roman" w:cs="Arial"/>
                <w:spacing w:val="0"/>
                <w:sz w:val="20"/>
                <w:lang w:eastAsia="en-US"/>
              </w:rPr>
              <w:t>ption 1</w:t>
            </w:r>
            <w:r w:rsidR="00D5573D" w:rsidRPr="00F40E87">
              <w:rPr>
                <w:rFonts w:eastAsia="Times New Roman" w:cs="Arial"/>
                <w:spacing w:val="0"/>
                <w:sz w:val="20"/>
                <w:lang w:eastAsia="en-US"/>
              </w:rPr>
              <w:t xml:space="preserve">, although on </w:t>
            </w:r>
            <w:r w:rsidR="00264DA0" w:rsidRPr="00F40E87">
              <w:rPr>
                <w:rFonts w:eastAsia="Times New Roman" w:cs="Arial"/>
                <w:spacing w:val="0"/>
                <w:sz w:val="20"/>
                <w:lang w:eastAsia="en-US"/>
              </w:rPr>
              <w:t xml:space="preserve">a larger scale due to the granularity of data required. In addition, we have considered </w:t>
            </w:r>
            <w:r w:rsidR="00F0343B" w:rsidRPr="00F40E87">
              <w:rPr>
                <w:rFonts w:eastAsia="Times New Roman" w:cs="Arial"/>
                <w:spacing w:val="0"/>
                <w:sz w:val="20"/>
                <w:lang w:eastAsia="en-US"/>
              </w:rPr>
              <w:t xml:space="preserve">implementation </w:t>
            </w:r>
            <w:r w:rsidR="00264DA0" w:rsidRPr="00F40E87">
              <w:rPr>
                <w:rFonts w:eastAsia="Times New Roman" w:cs="Arial"/>
                <w:spacing w:val="0"/>
                <w:sz w:val="20"/>
                <w:lang w:eastAsia="en-US"/>
              </w:rPr>
              <w:t>costs of working with an external consultant if the option was to breakdown by grading structure.</w:t>
            </w:r>
            <w:r w:rsidR="00264DA0" w:rsidRPr="00F40E87">
              <w:rPr>
                <w:rFonts w:eastAsia="Times New Roman" w:cs="Arial"/>
                <w:spacing w:val="0"/>
                <w:sz w:val="20"/>
                <w:lang w:eastAsia="en-US"/>
              </w:rPr>
              <w:t> </w:t>
            </w:r>
            <w:r w:rsidR="00264DA0" w:rsidRPr="00F40E87">
              <w:rPr>
                <w:rFonts w:eastAsia="Times New Roman" w:cs="Arial"/>
                <w:spacing w:val="0"/>
                <w:sz w:val="20"/>
                <w:lang w:eastAsia="en-US"/>
              </w:rPr>
              <w:t> </w:t>
            </w:r>
            <w:r w:rsidR="00264DA0" w:rsidRPr="00F40E87">
              <w:rPr>
                <w:rFonts w:eastAsia="Times New Roman" w:cs="Arial"/>
                <w:spacing w:val="0"/>
                <w:sz w:val="20"/>
                <w:lang w:eastAsia="en-US"/>
              </w:rPr>
              <w:t> </w:t>
            </w:r>
            <w:r w:rsidR="00264DA0" w:rsidRPr="00F40E87">
              <w:rPr>
                <w:rFonts w:eastAsia="Times New Roman" w:cs="Arial"/>
                <w:spacing w:val="0"/>
                <w:sz w:val="20"/>
                <w:lang w:eastAsia="en-US"/>
              </w:rPr>
              <w:t> </w:t>
            </w:r>
            <w:r w:rsidR="00264DA0" w:rsidRPr="00F40E87">
              <w:rPr>
                <w:rFonts w:eastAsia="Times New Roman" w:cs="Arial"/>
                <w:spacing w:val="0"/>
                <w:sz w:val="20"/>
                <w:lang w:eastAsia="en-US"/>
              </w:rPr>
              <w:t> </w:t>
            </w:r>
            <w:r w:rsidRPr="00F40E87">
              <w:rPr>
                <w:rFonts w:eastAsia="Times New Roman" w:cs="Arial"/>
                <w:spacing w:val="0"/>
                <w:sz w:val="20"/>
                <w:lang w:eastAsia="en-US"/>
              </w:rPr>
              <w:fldChar w:fldCharType="end"/>
            </w:r>
          </w:p>
        </w:tc>
      </w:tr>
      <w:tr w:rsidR="00A05D7C" w:rsidRPr="00F40E87" w14:paraId="31D3E426" w14:textId="77777777" w:rsidTr="006A487B">
        <w:trPr>
          <w:trHeight w:hRule="exact" w:val="1701"/>
        </w:trPr>
        <w:tc>
          <w:tcPr>
            <w:tcW w:w="10235" w:type="dxa"/>
            <w:gridSpan w:val="6"/>
            <w:tcBorders>
              <w:top w:val="single" w:sz="6" w:space="0" w:color="auto"/>
              <w:bottom w:val="single" w:sz="12" w:space="0" w:color="auto"/>
            </w:tcBorders>
            <w:shd w:val="clear" w:color="auto" w:fill="auto"/>
          </w:tcPr>
          <w:p w14:paraId="1FA38C5C" w14:textId="77777777" w:rsidR="00C12FB1" w:rsidRDefault="00C12FB1" w:rsidP="00CF5592">
            <w:pPr>
              <w:pStyle w:val="IAPOQ2"/>
              <w:spacing w:before="0" w:after="0" w:line="40" w:lineRule="exact"/>
              <w:ind w:left="0" w:right="0"/>
              <w:rPr>
                <w:rFonts w:cs="Arial"/>
                <w:color w:val="auto"/>
                <w:spacing w:val="0"/>
              </w:rPr>
            </w:pPr>
          </w:p>
          <w:p w14:paraId="604C633C" w14:textId="77777777" w:rsidR="00C12FB1" w:rsidRDefault="00C12FB1" w:rsidP="00CF5592">
            <w:pPr>
              <w:pStyle w:val="IAPOQ2"/>
              <w:spacing w:before="0" w:after="0" w:line="40" w:lineRule="exact"/>
              <w:ind w:left="0" w:right="0"/>
              <w:rPr>
                <w:rFonts w:cs="Arial"/>
                <w:color w:val="auto"/>
                <w:spacing w:val="0"/>
              </w:rPr>
            </w:pPr>
          </w:p>
          <w:p w14:paraId="6D87EF61" w14:textId="77777777" w:rsidR="00C12FB1" w:rsidRPr="00C12FB1" w:rsidRDefault="00C12FB1" w:rsidP="00CF5592">
            <w:pPr>
              <w:pStyle w:val="IAPOQ4"/>
              <w:ind w:left="0"/>
              <w:rPr>
                <w:szCs w:val="22"/>
              </w:rPr>
            </w:pPr>
            <w:r w:rsidRPr="00544292">
              <w:t>Other</w:t>
            </w:r>
            <w:r w:rsidRPr="00826F71">
              <w:t xml:space="preserve"> key non-monetised </w:t>
            </w:r>
            <w:r>
              <w:t>benefits</w:t>
            </w:r>
            <w:r w:rsidRPr="00544292">
              <w:t xml:space="preserve"> by ‘main affected groups’ </w:t>
            </w:r>
          </w:p>
          <w:p w14:paraId="12F73C60" w14:textId="77777777" w:rsidR="00A05D7C" w:rsidRPr="00F40E87" w:rsidRDefault="00A05D7C" w:rsidP="00CF5592">
            <w:pPr>
              <w:pStyle w:val="IAPOA2"/>
              <w:spacing w:before="50" w:after="50"/>
              <w:ind w:left="0"/>
              <w:rPr>
                <w:rFonts w:cs="Arial"/>
                <w:sz w:val="20"/>
              </w:rPr>
            </w:pPr>
            <w:r w:rsidRPr="00F40E87">
              <w:rPr>
                <w:rFonts w:cs="Arial"/>
                <w:sz w:val="20"/>
              </w:rPr>
              <w:fldChar w:fldCharType="begin">
                <w:ffData>
                  <w:name w:val="Text62"/>
                  <w:enabled/>
                  <w:calcOnExit w:val="0"/>
                  <w:textInput>
                    <w:default w:val="Maximum of 5 lines"/>
                    <w:maxLength w:val="500"/>
                  </w:textInput>
                </w:ffData>
              </w:fldChar>
            </w:r>
            <w:r w:rsidRPr="00F40E87">
              <w:rPr>
                <w:rFonts w:cs="Arial"/>
                <w:sz w:val="20"/>
              </w:rPr>
              <w:instrText xml:space="preserve"> FORMTEXT </w:instrText>
            </w:r>
            <w:r w:rsidRPr="00F40E87">
              <w:rPr>
                <w:rFonts w:cs="Arial"/>
                <w:sz w:val="20"/>
              </w:rPr>
            </w:r>
            <w:r w:rsidRPr="00F40E87">
              <w:rPr>
                <w:rFonts w:cs="Arial"/>
                <w:sz w:val="20"/>
              </w:rPr>
              <w:fldChar w:fldCharType="separate"/>
            </w:r>
            <w:r w:rsidR="00F20BE3" w:rsidRPr="00F40E87">
              <w:rPr>
                <w:rFonts w:cs="Arial"/>
                <w:sz w:val="20"/>
              </w:rPr>
              <w:t>These are the same as set out for policy option 1.</w:t>
            </w:r>
            <w:r w:rsidR="00F0343B" w:rsidRPr="00F40E87">
              <w:rPr>
                <w:rFonts w:cs="Arial"/>
                <w:sz w:val="20"/>
              </w:rPr>
              <w:t> </w:t>
            </w:r>
            <w:r w:rsidR="00F0343B" w:rsidRPr="00F40E87">
              <w:rPr>
                <w:rFonts w:cs="Arial"/>
                <w:sz w:val="20"/>
              </w:rPr>
              <w:t> </w:t>
            </w:r>
            <w:r w:rsidR="00F0343B" w:rsidRPr="00F40E87">
              <w:rPr>
                <w:rFonts w:cs="Arial"/>
                <w:sz w:val="20"/>
              </w:rPr>
              <w:t> </w:t>
            </w:r>
            <w:r w:rsidR="00F0343B" w:rsidRPr="00F40E87">
              <w:rPr>
                <w:rFonts w:cs="Arial"/>
                <w:sz w:val="20"/>
              </w:rPr>
              <w:t> </w:t>
            </w:r>
            <w:r w:rsidR="00F0343B" w:rsidRPr="00F40E87">
              <w:rPr>
                <w:rFonts w:cs="Arial"/>
                <w:sz w:val="20"/>
              </w:rPr>
              <w:t> </w:t>
            </w:r>
            <w:r w:rsidRPr="00F40E87">
              <w:rPr>
                <w:rFonts w:cs="Arial"/>
                <w:sz w:val="20"/>
              </w:rPr>
              <w:fldChar w:fldCharType="end"/>
            </w:r>
          </w:p>
        </w:tc>
      </w:tr>
      <w:tr w:rsidR="00A05D7C" w:rsidRPr="00F40E87" w14:paraId="0C24269E" w14:textId="77777777" w:rsidTr="006A487B">
        <w:trPr>
          <w:trHeight w:hRule="exact" w:val="567"/>
        </w:trPr>
        <w:tc>
          <w:tcPr>
            <w:tcW w:w="1995" w:type="dxa"/>
            <w:shd w:val="clear" w:color="auto" w:fill="FFFFFF"/>
          </w:tcPr>
          <w:p w14:paraId="28E46544" w14:textId="77777777" w:rsidR="00A05D7C" w:rsidRPr="00F40E87" w:rsidRDefault="00A05D7C" w:rsidP="00CF5592">
            <w:pPr>
              <w:pStyle w:val="IATableLabel"/>
              <w:rPr>
                <w:rFonts w:cs="Arial"/>
                <w:color w:val="auto"/>
              </w:rPr>
            </w:pPr>
            <w:r w:rsidRPr="00F40E87">
              <w:rPr>
                <w:rFonts w:cs="Arial"/>
                <w:color w:val="auto"/>
              </w:rPr>
              <w:t>BENEFITS (£m)</w:t>
            </w:r>
          </w:p>
        </w:tc>
        <w:tc>
          <w:tcPr>
            <w:tcW w:w="2739" w:type="dxa"/>
            <w:gridSpan w:val="2"/>
            <w:tcBorders>
              <w:top w:val="single" w:sz="12" w:space="0" w:color="auto"/>
              <w:bottom w:val="single" w:sz="6" w:space="0" w:color="auto"/>
            </w:tcBorders>
            <w:shd w:val="clear" w:color="auto" w:fill="auto"/>
          </w:tcPr>
          <w:p w14:paraId="5D0DA4EA" w14:textId="77777777" w:rsidR="00A05D7C" w:rsidRPr="00F40E87" w:rsidRDefault="00A05D7C" w:rsidP="00CF5592">
            <w:pPr>
              <w:pStyle w:val="IATableLabel"/>
              <w:tabs>
                <w:tab w:val="right" w:pos="1797"/>
                <w:tab w:val="center" w:pos="2340"/>
              </w:tabs>
              <w:rPr>
                <w:rFonts w:cs="Arial"/>
                <w:color w:val="auto"/>
              </w:rPr>
            </w:pPr>
            <w:r w:rsidRPr="00F40E87">
              <w:rPr>
                <w:rFonts w:cs="Arial"/>
                <w:color w:val="auto"/>
              </w:rPr>
              <w:t xml:space="preserve">Total Transition </w:t>
            </w:r>
            <w:r w:rsidRPr="00F40E87">
              <w:rPr>
                <w:rFonts w:cs="Arial"/>
                <w:color w:val="auto"/>
              </w:rPr>
              <w:br/>
            </w:r>
            <w:r w:rsidRPr="00F40E87">
              <w:rPr>
                <w:rFonts w:cs="Arial"/>
                <w:color w:val="auto"/>
              </w:rPr>
              <w:tab/>
            </w:r>
            <w:r w:rsidRPr="00F40E87">
              <w:rPr>
                <w:rFonts w:cs="Arial"/>
                <w:b w:val="0"/>
                <w:color w:val="auto"/>
              </w:rPr>
              <w:t>(Constant Price)</w:t>
            </w:r>
            <w:r w:rsidRPr="00F40E87">
              <w:rPr>
                <w:rFonts w:cs="Arial"/>
                <w:color w:val="auto"/>
              </w:rPr>
              <w:tab/>
            </w:r>
            <w:r w:rsidRPr="00F40E87">
              <w:rPr>
                <w:rFonts w:cs="Arial"/>
                <w:b w:val="0"/>
                <w:color w:val="auto"/>
              </w:rPr>
              <w:t>Yea</w:t>
            </w:r>
            <w:r w:rsidRPr="00F40E87">
              <w:rPr>
                <w:rFonts w:cs="Arial"/>
                <w:b w:val="0"/>
                <w:bCs/>
                <w:color w:val="auto"/>
              </w:rPr>
              <w:t>r</w:t>
            </w:r>
            <w:r w:rsidRPr="00F40E87">
              <w:rPr>
                <w:rFonts w:cs="Arial"/>
                <w:b w:val="0"/>
                <w:color w:val="auto"/>
              </w:rPr>
              <w:t>s</w:t>
            </w:r>
          </w:p>
          <w:p w14:paraId="6F7C7C39" w14:textId="77777777" w:rsidR="00A05D7C" w:rsidRPr="00F40E87" w:rsidRDefault="00A05D7C" w:rsidP="00CF5592">
            <w:pPr>
              <w:pStyle w:val="IATableLabel"/>
              <w:rPr>
                <w:rFonts w:cs="Arial"/>
                <w:color w:val="auto"/>
              </w:rPr>
            </w:pPr>
            <w:r w:rsidRPr="00F40E87">
              <w:rPr>
                <w:rFonts w:cs="Arial"/>
                <w:color w:val="auto"/>
              </w:rPr>
              <w:br/>
            </w:r>
          </w:p>
        </w:tc>
        <w:tc>
          <w:tcPr>
            <w:tcW w:w="2865" w:type="dxa"/>
            <w:tcBorders>
              <w:bottom w:val="single" w:sz="6" w:space="0" w:color="auto"/>
              <w:right w:val="single" w:sz="12" w:space="0" w:color="auto"/>
            </w:tcBorders>
            <w:shd w:val="clear" w:color="auto" w:fill="auto"/>
          </w:tcPr>
          <w:p w14:paraId="15B68108" w14:textId="77777777" w:rsidR="00A05D7C" w:rsidRPr="00F40E87" w:rsidRDefault="00A05D7C" w:rsidP="00CF5592">
            <w:pPr>
              <w:pStyle w:val="IATableLabel"/>
              <w:rPr>
                <w:rFonts w:cs="Arial"/>
                <w:bCs/>
                <w:color w:val="auto"/>
              </w:rPr>
            </w:pPr>
            <w:r w:rsidRPr="00F40E87">
              <w:rPr>
                <w:rFonts w:cs="Arial"/>
                <w:color w:val="auto"/>
              </w:rPr>
              <w:t xml:space="preserve">Average Annual </w:t>
            </w:r>
            <w:r w:rsidRPr="00F40E87">
              <w:rPr>
                <w:rFonts w:cs="Arial"/>
                <w:color w:val="auto"/>
              </w:rPr>
              <w:br/>
            </w:r>
            <w:r w:rsidRPr="00F40E87">
              <w:rPr>
                <w:rFonts w:cs="Arial"/>
                <w:b w:val="0"/>
                <w:color w:val="auto"/>
              </w:rPr>
              <w:t xml:space="preserve">(excl. Transition) </w:t>
            </w:r>
            <w:r w:rsidRPr="00F40E87">
              <w:rPr>
                <w:rFonts w:cs="Arial"/>
                <w:b w:val="0"/>
                <w:bCs/>
                <w:color w:val="auto"/>
              </w:rPr>
              <w:t>(Constant Price)</w:t>
            </w:r>
          </w:p>
        </w:tc>
        <w:tc>
          <w:tcPr>
            <w:tcW w:w="2636" w:type="dxa"/>
            <w:gridSpan w:val="2"/>
            <w:tcBorders>
              <w:top w:val="single" w:sz="12" w:space="0" w:color="auto"/>
              <w:left w:val="single" w:sz="12" w:space="0" w:color="auto"/>
              <w:bottom w:val="single" w:sz="6" w:space="0" w:color="auto"/>
            </w:tcBorders>
            <w:shd w:val="clear" w:color="auto" w:fill="auto"/>
          </w:tcPr>
          <w:p w14:paraId="1580E028" w14:textId="77777777" w:rsidR="00A05D7C" w:rsidRPr="00F40E87" w:rsidRDefault="00A05D7C" w:rsidP="00CF5592">
            <w:pPr>
              <w:pStyle w:val="IATableLabel"/>
              <w:rPr>
                <w:rFonts w:cs="Arial"/>
                <w:color w:val="auto"/>
              </w:rPr>
            </w:pPr>
            <w:r w:rsidRPr="00F40E87">
              <w:rPr>
                <w:rFonts w:cs="Arial"/>
                <w:color w:val="auto"/>
              </w:rPr>
              <w:t>Total Benefit</w:t>
            </w:r>
            <w:r w:rsidRPr="00F40E87">
              <w:rPr>
                <w:rFonts w:cs="Arial"/>
                <w:b w:val="0"/>
                <w:color w:val="auto"/>
              </w:rPr>
              <w:t xml:space="preserve"> </w:t>
            </w:r>
            <w:r w:rsidRPr="00F40E87">
              <w:rPr>
                <w:rFonts w:cs="Arial"/>
                <w:b w:val="0"/>
                <w:color w:val="auto"/>
              </w:rPr>
              <w:br/>
              <w:t>(Present Value)</w:t>
            </w:r>
          </w:p>
        </w:tc>
      </w:tr>
      <w:tr w:rsidR="00A05D7C" w:rsidRPr="00F40E87" w14:paraId="42953ECF" w14:textId="77777777" w:rsidTr="006A487B">
        <w:trPr>
          <w:trHeight w:hRule="exact" w:val="348"/>
        </w:trPr>
        <w:tc>
          <w:tcPr>
            <w:tcW w:w="1995" w:type="dxa"/>
            <w:tcBorders>
              <w:top w:val="single" w:sz="6" w:space="0" w:color="auto"/>
              <w:bottom w:val="single" w:sz="6" w:space="0" w:color="auto"/>
            </w:tcBorders>
            <w:shd w:val="clear" w:color="auto" w:fill="auto"/>
            <w:vAlign w:val="center"/>
          </w:tcPr>
          <w:p w14:paraId="61EA24D5" w14:textId="77777777" w:rsidR="00A05D7C" w:rsidRPr="00F40E87" w:rsidRDefault="00A05D7C" w:rsidP="00CF5592">
            <w:pPr>
              <w:pStyle w:val="IATableLabel"/>
              <w:rPr>
                <w:rFonts w:cs="Arial"/>
                <w:color w:val="auto"/>
              </w:rPr>
            </w:pPr>
            <w:r w:rsidRPr="00F40E87">
              <w:rPr>
                <w:rFonts w:cs="Arial"/>
                <w:color w:val="auto"/>
              </w:rPr>
              <w:t xml:space="preserve">Low </w:t>
            </w:r>
          </w:p>
        </w:tc>
        <w:tc>
          <w:tcPr>
            <w:tcW w:w="1949" w:type="dxa"/>
            <w:tcBorders>
              <w:top w:val="single" w:sz="6" w:space="0" w:color="auto"/>
              <w:bottom w:val="single" w:sz="6" w:space="0" w:color="auto"/>
            </w:tcBorders>
            <w:shd w:val="clear" w:color="auto" w:fill="auto"/>
            <w:vAlign w:val="center"/>
          </w:tcPr>
          <w:p w14:paraId="6E93EA60" w14:textId="77777777" w:rsidR="00A05D7C" w:rsidRPr="00F40E87" w:rsidRDefault="00A05D7C" w:rsidP="00CF5592">
            <w:pPr>
              <w:pStyle w:val="POTTBenLow"/>
              <w:jc w:val="left"/>
              <w:rPr>
                <w:rFonts w:cs="Arial"/>
                <w:sz w:val="20"/>
              </w:rPr>
            </w:pPr>
            <w:r w:rsidRPr="00F40E87">
              <w:rPr>
                <w:rFonts w:cs="Arial"/>
                <w:sz w:val="20"/>
              </w:rPr>
              <w:fldChar w:fldCharType="begin">
                <w:ffData>
                  <w:name w:val=""/>
                  <w:enabled/>
                  <w:calcOnExit w:val="0"/>
                  <w:textInput>
                    <w:default w:val="Optional"/>
                    <w:maxLength w:val="14"/>
                  </w:textInput>
                </w:ffData>
              </w:fldChar>
            </w:r>
            <w:r w:rsidRPr="00F40E87">
              <w:rPr>
                <w:rFonts w:cs="Arial"/>
                <w:sz w:val="20"/>
              </w:rPr>
              <w:instrText xml:space="preserve"> FORMTEXT </w:instrText>
            </w:r>
            <w:r w:rsidRPr="00F40E87">
              <w:rPr>
                <w:rFonts w:cs="Arial"/>
                <w:sz w:val="20"/>
              </w:rPr>
            </w:r>
            <w:r w:rsidRPr="00F40E87">
              <w:rPr>
                <w:rFonts w:cs="Arial"/>
                <w:sz w:val="20"/>
              </w:rPr>
              <w:fldChar w:fldCharType="separate"/>
            </w:r>
            <w:r w:rsidRPr="00F40E87">
              <w:rPr>
                <w:rFonts w:cs="Arial"/>
                <w:noProof/>
                <w:sz w:val="20"/>
              </w:rPr>
              <w:t>Optional</w:t>
            </w:r>
            <w:r w:rsidRPr="00F40E87">
              <w:rPr>
                <w:rFonts w:cs="Arial"/>
                <w:sz w:val="20"/>
              </w:rPr>
              <w:fldChar w:fldCharType="end"/>
            </w:r>
          </w:p>
        </w:tc>
        <w:tc>
          <w:tcPr>
            <w:tcW w:w="790" w:type="dxa"/>
            <w:vMerge w:val="restart"/>
            <w:tcBorders>
              <w:top w:val="single" w:sz="6" w:space="0" w:color="auto"/>
            </w:tcBorders>
            <w:shd w:val="clear" w:color="auto" w:fill="auto"/>
            <w:vAlign w:val="center"/>
          </w:tcPr>
          <w:p w14:paraId="3B934D67" w14:textId="77777777" w:rsidR="00A05D7C" w:rsidRPr="00F40E87" w:rsidRDefault="00A05D7C" w:rsidP="00CF5592">
            <w:pPr>
              <w:pStyle w:val="IATableText"/>
              <w:rPr>
                <w:rFonts w:cs="Arial"/>
                <w:sz w:val="20"/>
              </w:rPr>
            </w:pPr>
            <w:r w:rsidRPr="00F40E87">
              <w:rPr>
                <w:rFonts w:cs="Arial"/>
                <w:sz w:val="20"/>
              </w:rPr>
              <w:fldChar w:fldCharType="begin">
                <w:ffData>
                  <w:name w:val="Text48"/>
                  <w:enabled/>
                  <w:calcOnExit w:val="0"/>
                  <w:textInput>
                    <w:maxLength w:val="3"/>
                  </w:textInput>
                </w:ffData>
              </w:fldChar>
            </w:r>
            <w:r w:rsidRPr="00F40E87">
              <w:rPr>
                <w:rFonts w:cs="Arial"/>
                <w:sz w:val="20"/>
              </w:rPr>
              <w:instrText xml:space="preserve"> FORMTEXT </w:instrText>
            </w:r>
            <w:r w:rsidRPr="00F40E87">
              <w:rPr>
                <w:rFonts w:cs="Arial"/>
                <w:sz w:val="20"/>
              </w:rPr>
            </w:r>
            <w:r w:rsidRPr="00F40E87">
              <w:rPr>
                <w:rFonts w:cs="Arial"/>
                <w:sz w:val="20"/>
              </w:rPr>
              <w:fldChar w:fldCharType="separate"/>
            </w:r>
            <w:r w:rsidRPr="00F40E87">
              <w:rPr>
                <w:rFonts w:cs="Arial"/>
                <w:noProof/>
                <w:sz w:val="20"/>
              </w:rPr>
              <w:t> </w:t>
            </w:r>
            <w:r w:rsidRPr="00F40E87">
              <w:rPr>
                <w:rFonts w:cs="Arial"/>
                <w:noProof/>
                <w:sz w:val="20"/>
              </w:rPr>
              <w:t> </w:t>
            </w:r>
            <w:r w:rsidRPr="00F40E87">
              <w:rPr>
                <w:rFonts w:cs="Arial"/>
                <w:noProof/>
                <w:sz w:val="20"/>
              </w:rPr>
              <w:t> </w:t>
            </w:r>
            <w:r w:rsidRPr="00F40E87">
              <w:rPr>
                <w:rFonts w:cs="Arial"/>
                <w:sz w:val="20"/>
              </w:rPr>
              <w:fldChar w:fldCharType="end"/>
            </w:r>
          </w:p>
        </w:tc>
        <w:tc>
          <w:tcPr>
            <w:tcW w:w="2865" w:type="dxa"/>
            <w:tcBorders>
              <w:top w:val="single" w:sz="6" w:space="0" w:color="auto"/>
              <w:bottom w:val="single" w:sz="6" w:space="0" w:color="auto"/>
              <w:right w:val="single" w:sz="12" w:space="0" w:color="auto"/>
            </w:tcBorders>
            <w:shd w:val="clear" w:color="auto" w:fill="auto"/>
            <w:vAlign w:val="center"/>
          </w:tcPr>
          <w:p w14:paraId="1D0D2AE2" w14:textId="77777777" w:rsidR="00A05D7C" w:rsidRPr="00F40E87" w:rsidRDefault="00A05D7C" w:rsidP="008A5C63">
            <w:pPr>
              <w:pStyle w:val="POAABenLow"/>
              <w:ind w:left="0"/>
              <w:jc w:val="left"/>
              <w:rPr>
                <w:rFonts w:cs="Arial"/>
                <w:sz w:val="20"/>
              </w:rPr>
            </w:pPr>
            <w:r w:rsidRPr="00F40E87">
              <w:rPr>
                <w:rFonts w:cs="Arial"/>
                <w:sz w:val="20"/>
              </w:rPr>
              <w:fldChar w:fldCharType="begin">
                <w:ffData>
                  <w:name w:val=""/>
                  <w:enabled/>
                  <w:calcOnExit w:val="0"/>
                  <w:textInput>
                    <w:default w:val="Optional"/>
                    <w:maxLength w:val="14"/>
                  </w:textInput>
                </w:ffData>
              </w:fldChar>
            </w:r>
            <w:r w:rsidRPr="00F40E87">
              <w:rPr>
                <w:rFonts w:cs="Arial"/>
                <w:sz w:val="20"/>
              </w:rPr>
              <w:instrText xml:space="preserve"> FORMTEXT </w:instrText>
            </w:r>
            <w:r w:rsidRPr="00F40E87">
              <w:rPr>
                <w:rFonts w:cs="Arial"/>
                <w:sz w:val="20"/>
              </w:rPr>
            </w:r>
            <w:r w:rsidRPr="00F40E87">
              <w:rPr>
                <w:rFonts w:cs="Arial"/>
                <w:sz w:val="20"/>
              </w:rPr>
              <w:fldChar w:fldCharType="separate"/>
            </w:r>
            <w:r w:rsidRPr="00F40E87">
              <w:rPr>
                <w:rFonts w:cs="Arial"/>
                <w:noProof/>
                <w:sz w:val="20"/>
              </w:rPr>
              <w:t>Optional</w:t>
            </w:r>
            <w:r w:rsidRPr="00F40E87">
              <w:rPr>
                <w:rFonts w:cs="Arial"/>
                <w:sz w:val="20"/>
              </w:rPr>
              <w:fldChar w:fldCharType="end"/>
            </w:r>
          </w:p>
        </w:tc>
        <w:tc>
          <w:tcPr>
            <w:tcW w:w="2636" w:type="dxa"/>
            <w:gridSpan w:val="2"/>
            <w:tcBorders>
              <w:top w:val="single" w:sz="6" w:space="0" w:color="auto"/>
              <w:left w:val="single" w:sz="12" w:space="0" w:color="auto"/>
              <w:bottom w:val="single" w:sz="6" w:space="0" w:color="auto"/>
            </w:tcBorders>
            <w:shd w:val="clear" w:color="auto" w:fill="auto"/>
            <w:vAlign w:val="center"/>
          </w:tcPr>
          <w:p w14:paraId="1D32D800" w14:textId="77777777" w:rsidR="00A05D7C" w:rsidRPr="00F40E87" w:rsidRDefault="00A05D7C" w:rsidP="00CF5592">
            <w:pPr>
              <w:pStyle w:val="POTBBenLow"/>
              <w:spacing w:before="0" w:after="0"/>
              <w:ind w:left="0" w:right="0"/>
              <w:jc w:val="left"/>
              <w:rPr>
                <w:rFonts w:eastAsia="Times New Roman" w:cs="Arial"/>
                <w:spacing w:val="0"/>
                <w:sz w:val="20"/>
                <w:lang w:eastAsia="en-US"/>
              </w:rPr>
            </w:pPr>
            <w:r w:rsidRPr="00F40E87">
              <w:rPr>
                <w:rFonts w:eastAsia="Times New Roman" w:cs="Arial"/>
                <w:spacing w:val="0"/>
                <w:sz w:val="20"/>
                <w:lang w:eastAsia="en-US"/>
              </w:rPr>
              <w:fldChar w:fldCharType="begin">
                <w:ffData>
                  <w:name w:val=""/>
                  <w:enabled/>
                  <w:calcOnExit w:val="0"/>
                  <w:textInput>
                    <w:default w:val="Optional"/>
                    <w:maxLength w:val="14"/>
                  </w:textInput>
                </w:ffData>
              </w:fldChar>
            </w:r>
            <w:r w:rsidRPr="00F40E87">
              <w:rPr>
                <w:rFonts w:eastAsia="Times New Roman" w:cs="Arial"/>
                <w:spacing w:val="0"/>
                <w:sz w:val="20"/>
                <w:lang w:eastAsia="en-US"/>
              </w:rPr>
              <w:instrText xml:space="preserve"> FORMTEXT </w:instrText>
            </w:r>
            <w:r w:rsidRPr="00F40E87">
              <w:rPr>
                <w:rFonts w:eastAsia="Times New Roman" w:cs="Arial"/>
                <w:spacing w:val="0"/>
                <w:sz w:val="20"/>
                <w:lang w:eastAsia="en-US"/>
              </w:rPr>
            </w:r>
            <w:r w:rsidRPr="00F40E87">
              <w:rPr>
                <w:rFonts w:eastAsia="Times New Roman" w:cs="Arial"/>
                <w:spacing w:val="0"/>
                <w:sz w:val="20"/>
                <w:lang w:eastAsia="en-US"/>
              </w:rPr>
              <w:fldChar w:fldCharType="separate"/>
            </w:r>
            <w:r w:rsidRPr="00F40E87">
              <w:rPr>
                <w:rFonts w:eastAsia="Times New Roman" w:cs="Arial"/>
                <w:noProof/>
                <w:spacing w:val="0"/>
                <w:sz w:val="20"/>
                <w:lang w:eastAsia="en-US"/>
              </w:rPr>
              <w:t>Optional</w:t>
            </w:r>
            <w:r w:rsidRPr="00F40E87">
              <w:rPr>
                <w:rFonts w:eastAsia="Times New Roman" w:cs="Arial"/>
                <w:spacing w:val="0"/>
                <w:sz w:val="20"/>
                <w:lang w:eastAsia="en-US"/>
              </w:rPr>
              <w:fldChar w:fldCharType="end"/>
            </w:r>
          </w:p>
        </w:tc>
      </w:tr>
      <w:tr w:rsidR="00A05D7C" w:rsidRPr="00F40E87" w14:paraId="3C4F5F36" w14:textId="77777777" w:rsidTr="006A487B">
        <w:trPr>
          <w:trHeight w:hRule="exact" w:val="348"/>
        </w:trPr>
        <w:tc>
          <w:tcPr>
            <w:tcW w:w="1995" w:type="dxa"/>
            <w:tcBorders>
              <w:top w:val="single" w:sz="6" w:space="0" w:color="auto"/>
              <w:bottom w:val="single" w:sz="12" w:space="0" w:color="auto"/>
            </w:tcBorders>
            <w:shd w:val="clear" w:color="auto" w:fill="auto"/>
            <w:vAlign w:val="center"/>
          </w:tcPr>
          <w:p w14:paraId="729757A0" w14:textId="77777777" w:rsidR="00A05D7C" w:rsidRPr="00F40E87" w:rsidRDefault="00A05D7C" w:rsidP="00CF5592">
            <w:pPr>
              <w:pStyle w:val="IATableLabel"/>
              <w:rPr>
                <w:rFonts w:cs="Arial"/>
                <w:color w:val="auto"/>
              </w:rPr>
            </w:pPr>
            <w:r w:rsidRPr="00F40E87">
              <w:rPr>
                <w:rFonts w:cs="Arial"/>
                <w:color w:val="auto"/>
              </w:rPr>
              <w:t xml:space="preserve">High </w:t>
            </w:r>
          </w:p>
        </w:tc>
        <w:tc>
          <w:tcPr>
            <w:tcW w:w="1949" w:type="dxa"/>
            <w:tcBorders>
              <w:top w:val="single" w:sz="6" w:space="0" w:color="auto"/>
              <w:bottom w:val="single" w:sz="12" w:space="0" w:color="auto"/>
            </w:tcBorders>
            <w:shd w:val="clear" w:color="auto" w:fill="auto"/>
            <w:vAlign w:val="center"/>
          </w:tcPr>
          <w:p w14:paraId="33097975" w14:textId="77777777" w:rsidR="00A05D7C" w:rsidRPr="00F40E87" w:rsidRDefault="00A05D7C" w:rsidP="00CF5592">
            <w:pPr>
              <w:pStyle w:val="POTTBenHigh"/>
              <w:jc w:val="left"/>
              <w:rPr>
                <w:rFonts w:cs="Arial"/>
                <w:sz w:val="20"/>
              </w:rPr>
            </w:pPr>
            <w:r w:rsidRPr="00F40E87">
              <w:rPr>
                <w:rFonts w:cs="Arial"/>
                <w:sz w:val="20"/>
              </w:rPr>
              <w:fldChar w:fldCharType="begin">
                <w:ffData>
                  <w:name w:val=""/>
                  <w:enabled/>
                  <w:calcOnExit w:val="0"/>
                  <w:textInput>
                    <w:default w:val="Optional"/>
                    <w:maxLength w:val="14"/>
                  </w:textInput>
                </w:ffData>
              </w:fldChar>
            </w:r>
            <w:r w:rsidRPr="00F40E87">
              <w:rPr>
                <w:rFonts w:cs="Arial"/>
                <w:sz w:val="20"/>
              </w:rPr>
              <w:instrText xml:space="preserve"> FORMTEXT </w:instrText>
            </w:r>
            <w:r w:rsidRPr="00F40E87">
              <w:rPr>
                <w:rFonts w:cs="Arial"/>
                <w:sz w:val="20"/>
              </w:rPr>
            </w:r>
            <w:r w:rsidRPr="00F40E87">
              <w:rPr>
                <w:rFonts w:cs="Arial"/>
                <w:sz w:val="20"/>
              </w:rPr>
              <w:fldChar w:fldCharType="separate"/>
            </w:r>
            <w:r w:rsidRPr="00F40E87">
              <w:rPr>
                <w:rFonts w:cs="Arial"/>
                <w:noProof/>
                <w:sz w:val="20"/>
              </w:rPr>
              <w:t>Optional</w:t>
            </w:r>
            <w:r w:rsidRPr="00F40E87">
              <w:rPr>
                <w:rFonts w:cs="Arial"/>
                <w:sz w:val="20"/>
              </w:rPr>
              <w:fldChar w:fldCharType="end"/>
            </w:r>
          </w:p>
        </w:tc>
        <w:tc>
          <w:tcPr>
            <w:tcW w:w="790" w:type="dxa"/>
            <w:vMerge/>
            <w:shd w:val="clear" w:color="auto" w:fill="FFFFFF"/>
            <w:vAlign w:val="center"/>
          </w:tcPr>
          <w:p w14:paraId="0D853960" w14:textId="77777777" w:rsidR="00A05D7C" w:rsidRPr="00F40E87" w:rsidRDefault="00A05D7C" w:rsidP="00CF5592">
            <w:pPr>
              <w:pStyle w:val="IATableText"/>
              <w:rPr>
                <w:rFonts w:cs="Arial"/>
                <w:sz w:val="20"/>
              </w:rPr>
            </w:pPr>
          </w:p>
        </w:tc>
        <w:tc>
          <w:tcPr>
            <w:tcW w:w="2865" w:type="dxa"/>
            <w:tcBorders>
              <w:top w:val="single" w:sz="6" w:space="0" w:color="auto"/>
              <w:bottom w:val="single" w:sz="12" w:space="0" w:color="auto"/>
              <w:right w:val="single" w:sz="12" w:space="0" w:color="auto"/>
            </w:tcBorders>
            <w:shd w:val="clear" w:color="auto" w:fill="auto"/>
            <w:vAlign w:val="center"/>
          </w:tcPr>
          <w:p w14:paraId="4AF6D05F" w14:textId="77777777" w:rsidR="00A05D7C" w:rsidRPr="00F40E87" w:rsidRDefault="00A05D7C" w:rsidP="00CF5592">
            <w:pPr>
              <w:pStyle w:val="POAABenHigh"/>
              <w:spacing w:before="0" w:after="0"/>
              <w:ind w:left="0" w:right="0"/>
              <w:jc w:val="left"/>
              <w:rPr>
                <w:rFonts w:eastAsia="Times New Roman" w:cs="Arial"/>
                <w:spacing w:val="0"/>
                <w:sz w:val="20"/>
                <w:lang w:eastAsia="en-US"/>
              </w:rPr>
            </w:pPr>
            <w:r w:rsidRPr="00F40E87">
              <w:rPr>
                <w:rFonts w:eastAsia="Times New Roman" w:cs="Arial"/>
                <w:spacing w:val="0"/>
                <w:sz w:val="20"/>
                <w:lang w:eastAsia="en-US"/>
              </w:rPr>
              <w:fldChar w:fldCharType="begin">
                <w:ffData>
                  <w:name w:val=""/>
                  <w:enabled/>
                  <w:calcOnExit w:val="0"/>
                  <w:textInput>
                    <w:default w:val="Optional"/>
                    <w:maxLength w:val="14"/>
                  </w:textInput>
                </w:ffData>
              </w:fldChar>
            </w:r>
            <w:r w:rsidRPr="00F40E87">
              <w:rPr>
                <w:rFonts w:eastAsia="Times New Roman" w:cs="Arial"/>
                <w:spacing w:val="0"/>
                <w:sz w:val="20"/>
                <w:lang w:eastAsia="en-US"/>
              </w:rPr>
              <w:instrText xml:space="preserve"> FORMTEXT </w:instrText>
            </w:r>
            <w:r w:rsidRPr="00F40E87">
              <w:rPr>
                <w:rFonts w:eastAsia="Times New Roman" w:cs="Arial"/>
                <w:spacing w:val="0"/>
                <w:sz w:val="20"/>
                <w:lang w:eastAsia="en-US"/>
              </w:rPr>
            </w:r>
            <w:r w:rsidRPr="00F40E87">
              <w:rPr>
                <w:rFonts w:eastAsia="Times New Roman" w:cs="Arial"/>
                <w:spacing w:val="0"/>
                <w:sz w:val="20"/>
                <w:lang w:eastAsia="en-US"/>
              </w:rPr>
              <w:fldChar w:fldCharType="separate"/>
            </w:r>
            <w:r w:rsidRPr="00F40E87">
              <w:rPr>
                <w:rFonts w:eastAsia="Times New Roman" w:cs="Arial"/>
                <w:noProof/>
                <w:spacing w:val="0"/>
                <w:sz w:val="20"/>
                <w:lang w:eastAsia="en-US"/>
              </w:rPr>
              <w:t>Optional</w:t>
            </w:r>
            <w:r w:rsidRPr="00F40E87">
              <w:rPr>
                <w:rFonts w:eastAsia="Times New Roman" w:cs="Arial"/>
                <w:spacing w:val="0"/>
                <w:sz w:val="20"/>
                <w:lang w:eastAsia="en-US"/>
              </w:rPr>
              <w:fldChar w:fldCharType="end"/>
            </w:r>
          </w:p>
        </w:tc>
        <w:tc>
          <w:tcPr>
            <w:tcW w:w="2636" w:type="dxa"/>
            <w:gridSpan w:val="2"/>
            <w:tcBorders>
              <w:top w:val="single" w:sz="6" w:space="0" w:color="auto"/>
              <w:left w:val="single" w:sz="12" w:space="0" w:color="auto"/>
              <w:bottom w:val="single" w:sz="12" w:space="0" w:color="auto"/>
            </w:tcBorders>
            <w:shd w:val="clear" w:color="auto" w:fill="auto"/>
            <w:vAlign w:val="center"/>
          </w:tcPr>
          <w:p w14:paraId="79A4A4B3" w14:textId="77777777" w:rsidR="00A05D7C" w:rsidRPr="00F40E87" w:rsidRDefault="00A05D7C" w:rsidP="008A5C63">
            <w:pPr>
              <w:pStyle w:val="POTBBenHigh"/>
              <w:ind w:left="0"/>
              <w:jc w:val="left"/>
              <w:rPr>
                <w:rFonts w:cs="Arial"/>
                <w:sz w:val="20"/>
              </w:rPr>
            </w:pPr>
            <w:r w:rsidRPr="00F40E87">
              <w:rPr>
                <w:rFonts w:cs="Arial"/>
                <w:sz w:val="20"/>
              </w:rPr>
              <w:fldChar w:fldCharType="begin">
                <w:ffData>
                  <w:name w:val=""/>
                  <w:enabled/>
                  <w:calcOnExit w:val="0"/>
                  <w:textInput>
                    <w:default w:val="Optional"/>
                    <w:maxLength w:val="14"/>
                  </w:textInput>
                </w:ffData>
              </w:fldChar>
            </w:r>
            <w:r w:rsidRPr="00F40E87">
              <w:rPr>
                <w:rFonts w:cs="Arial"/>
                <w:sz w:val="20"/>
              </w:rPr>
              <w:instrText xml:space="preserve"> FORMTEXT </w:instrText>
            </w:r>
            <w:r w:rsidRPr="00F40E87">
              <w:rPr>
                <w:rFonts w:cs="Arial"/>
                <w:sz w:val="20"/>
              </w:rPr>
            </w:r>
            <w:r w:rsidRPr="00F40E87">
              <w:rPr>
                <w:rFonts w:cs="Arial"/>
                <w:sz w:val="20"/>
              </w:rPr>
              <w:fldChar w:fldCharType="separate"/>
            </w:r>
            <w:r w:rsidRPr="00F40E87">
              <w:rPr>
                <w:rFonts w:cs="Arial"/>
                <w:noProof/>
                <w:sz w:val="20"/>
              </w:rPr>
              <w:t>Optional</w:t>
            </w:r>
            <w:r w:rsidRPr="00F40E87">
              <w:rPr>
                <w:rFonts w:cs="Arial"/>
                <w:sz w:val="20"/>
              </w:rPr>
              <w:fldChar w:fldCharType="end"/>
            </w:r>
          </w:p>
        </w:tc>
      </w:tr>
      <w:tr w:rsidR="00A05D7C" w:rsidRPr="00F40E87" w14:paraId="7E419378" w14:textId="77777777" w:rsidTr="006A487B">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14:paraId="4C0481F1" w14:textId="77777777" w:rsidR="00A05D7C" w:rsidRPr="00F40E87" w:rsidRDefault="00A05D7C" w:rsidP="00CF5592">
            <w:pPr>
              <w:pStyle w:val="IATableLabel"/>
              <w:rPr>
                <w:rFonts w:cs="Arial"/>
                <w:color w:val="auto"/>
              </w:rPr>
            </w:pPr>
            <w:r w:rsidRPr="00F40E87">
              <w:rPr>
                <w:rFonts w:cs="Arial"/>
                <w:color w:val="auto"/>
              </w:rPr>
              <w:t>Best Estimate</w:t>
            </w:r>
          </w:p>
          <w:p w14:paraId="63F9E6E5" w14:textId="77777777" w:rsidR="00A05D7C" w:rsidRPr="00F40E87" w:rsidRDefault="00A05D7C" w:rsidP="00CF5592">
            <w:pPr>
              <w:pStyle w:val="IATableNotes"/>
              <w:spacing w:beforeLines="40" w:before="96" w:after="0"/>
              <w:ind w:left="0" w:right="-22"/>
              <w:rPr>
                <w:rFonts w:eastAsia="Times New Roman" w:cs="Arial"/>
                <w:b/>
                <w:sz w:val="20"/>
                <w:lang w:eastAsia="en-US"/>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051BD20F" w14:textId="77777777" w:rsidR="00A05D7C" w:rsidRPr="00F40E87" w:rsidRDefault="00A05D7C" w:rsidP="00CF5592">
            <w:pPr>
              <w:pStyle w:val="POTTBenBest"/>
              <w:spacing w:before="0" w:after="0"/>
              <w:ind w:left="0" w:right="0"/>
              <w:jc w:val="left"/>
              <w:rPr>
                <w:rFonts w:eastAsia="Times New Roman" w:cs="Arial"/>
                <w:spacing w:val="0"/>
                <w:sz w:val="20"/>
                <w:lang w:eastAsia="en-US"/>
              </w:rPr>
            </w:pPr>
            <w:r w:rsidRPr="00F40E87">
              <w:rPr>
                <w:rFonts w:eastAsia="Times New Roman" w:cs="Arial"/>
                <w:spacing w:val="0"/>
                <w:sz w:val="20"/>
                <w:lang w:eastAsia="en-US"/>
              </w:rPr>
              <w:fldChar w:fldCharType="begin">
                <w:ffData>
                  <w:name w:val=""/>
                  <w:enabled/>
                  <w:calcOnExit w:val="0"/>
                  <w:textInput>
                    <w:maxLength w:val="14"/>
                  </w:textInput>
                </w:ffData>
              </w:fldChar>
            </w:r>
            <w:r w:rsidRPr="00F40E87">
              <w:rPr>
                <w:rFonts w:eastAsia="Times New Roman" w:cs="Arial"/>
                <w:spacing w:val="0"/>
                <w:sz w:val="20"/>
                <w:lang w:eastAsia="en-US"/>
              </w:rPr>
              <w:instrText xml:space="preserve"> FORMTEXT </w:instrText>
            </w:r>
            <w:r w:rsidRPr="00F40E87">
              <w:rPr>
                <w:rFonts w:eastAsia="Times New Roman" w:cs="Arial"/>
                <w:spacing w:val="0"/>
                <w:sz w:val="20"/>
                <w:lang w:eastAsia="en-US"/>
              </w:rPr>
            </w:r>
            <w:r w:rsidRPr="00F40E87">
              <w:rPr>
                <w:rFonts w:eastAsia="Times New Roman" w:cs="Arial"/>
                <w:spacing w:val="0"/>
                <w:sz w:val="20"/>
                <w:lang w:eastAsia="en-US"/>
              </w:rPr>
              <w:fldChar w:fldCharType="separate"/>
            </w:r>
            <w:r w:rsidRPr="00F40E87">
              <w:rPr>
                <w:rFonts w:eastAsia="Times New Roman" w:cs="Arial"/>
                <w:noProof/>
                <w:spacing w:val="0"/>
                <w:sz w:val="20"/>
                <w:lang w:eastAsia="en-US"/>
              </w:rPr>
              <w:t> </w:t>
            </w:r>
            <w:r w:rsidRPr="00F40E87">
              <w:rPr>
                <w:rFonts w:eastAsia="Times New Roman" w:cs="Arial"/>
                <w:noProof/>
                <w:spacing w:val="0"/>
                <w:sz w:val="20"/>
                <w:lang w:eastAsia="en-US"/>
              </w:rPr>
              <w:t> </w:t>
            </w:r>
            <w:r w:rsidRPr="00F40E87">
              <w:rPr>
                <w:rFonts w:eastAsia="Times New Roman" w:cs="Arial"/>
                <w:noProof/>
                <w:spacing w:val="0"/>
                <w:sz w:val="20"/>
                <w:lang w:eastAsia="en-US"/>
              </w:rPr>
              <w:t> </w:t>
            </w:r>
            <w:r w:rsidRPr="00F40E87">
              <w:rPr>
                <w:rFonts w:eastAsia="Times New Roman" w:cs="Arial"/>
                <w:noProof/>
                <w:spacing w:val="0"/>
                <w:sz w:val="20"/>
                <w:lang w:eastAsia="en-US"/>
              </w:rPr>
              <w:t> </w:t>
            </w:r>
            <w:r w:rsidRPr="00F40E87">
              <w:rPr>
                <w:rFonts w:eastAsia="Times New Roman" w:cs="Arial"/>
                <w:noProof/>
                <w:spacing w:val="0"/>
                <w:sz w:val="20"/>
                <w:lang w:eastAsia="en-US"/>
              </w:rPr>
              <w:t> </w:t>
            </w:r>
            <w:r w:rsidRPr="00F40E87">
              <w:rPr>
                <w:rFonts w:eastAsia="Times New Roman" w:cs="Arial"/>
                <w:spacing w:val="0"/>
                <w:sz w:val="20"/>
                <w:lang w:eastAsia="en-US"/>
              </w:rPr>
              <w:fldChar w:fldCharType="end"/>
            </w:r>
          </w:p>
        </w:tc>
        <w:tc>
          <w:tcPr>
            <w:tcW w:w="790" w:type="dxa"/>
            <w:vMerge/>
            <w:tcBorders>
              <w:left w:val="single" w:sz="12" w:space="0" w:color="auto"/>
              <w:right w:val="single" w:sz="12" w:space="0" w:color="auto"/>
            </w:tcBorders>
            <w:shd w:val="clear" w:color="auto" w:fill="FFFFFF"/>
            <w:vAlign w:val="center"/>
          </w:tcPr>
          <w:p w14:paraId="17564E63" w14:textId="77777777" w:rsidR="00A05D7C" w:rsidRPr="00F40E87" w:rsidRDefault="00A05D7C" w:rsidP="00CF5592">
            <w:pPr>
              <w:pStyle w:val="IATableText"/>
              <w:rPr>
                <w:rFonts w:cs="Arial"/>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6509E3A2" w14:textId="77777777" w:rsidR="00A05D7C" w:rsidRPr="00F40E87" w:rsidRDefault="00A05D7C" w:rsidP="00CF5592">
            <w:pPr>
              <w:pStyle w:val="POAABenBest"/>
              <w:jc w:val="left"/>
              <w:rPr>
                <w:rFonts w:cs="Arial"/>
                <w:sz w:val="20"/>
              </w:rPr>
            </w:pPr>
            <w:r w:rsidRPr="00F40E87">
              <w:rPr>
                <w:rFonts w:cs="Arial"/>
                <w:sz w:val="20"/>
              </w:rPr>
              <w:fldChar w:fldCharType="begin">
                <w:ffData>
                  <w:name w:val=""/>
                  <w:enabled/>
                  <w:calcOnExit w:val="0"/>
                  <w:textInput>
                    <w:maxLength w:val="14"/>
                  </w:textInput>
                </w:ffData>
              </w:fldChar>
            </w:r>
            <w:r w:rsidRPr="00F40E87">
              <w:rPr>
                <w:rFonts w:cs="Arial"/>
                <w:sz w:val="20"/>
              </w:rPr>
              <w:instrText xml:space="preserve"> FORMTEXT </w:instrText>
            </w:r>
            <w:r w:rsidRPr="00F40E87">
              <w:rPr>
                <w:rFonts w:cs="Arial"/>
                <w:sz w:val="20"/>
              </w:rPr>
            </w:r>
            <w:r w:rsidRPr="00F40E87">
              <w:rPr>
                <w:rFonts w:cs="Arial"/>
                <w:sz w:val="20"/>
              </w:rPr>
              <w:fldChar w:fldCharType="separate"/>
            </w:r>
            <w:r w:rsidRPr="00F40E87">
              <w:rPr>
                <w:rFonts w:cs="Arial"/>
                <w:noProof/>
                <w:sz w:val="20"/>
              </w:rPr>
              <w:t> </w:t>
            </w:r>
            <w:r w:rsidRPr="00F40E87">
              <w:rPr>
                <w:rFonts w:cs="Arial"/>
                <w:noProof/>
                <w:sz w:val="20"/>
              </w:rPr>
              <w:t> </w:t>
            </w:r>
            <w:r w:rsidRPr="00F40E87">
              <w:rPr>
                <w:rFonts w:cs="Arial"/>
                <w:noProof/>
                <w:sz w:val="20"/>
              </w:rPr>
              <w:t> </w:t>
            </w:r>
            <w:r w:rsidRPr="00F40E87">
              <w:rPr>
                <w:rFonts w:cs="Arial"/>
                <w:noProof/>
                <w:sz w:val="20"/>
              </w:rPr>
              <w:t> </w:t>
            </w:r>
            <w:r w:rsidRPr="00F40E87">
              <w:rPr>
                <w:rFonts w:cs="Arial"/>
                <w:noProof/>
                <w:sz w:val="20"/>
              </w:rPr>
              <w:t> </w:t>
            </w:r>
            <w:r w:rsidRPr="00F40E87">
              <w:rPr>
                <w:rFonts w:cs="Arial"/>
                <w:sz w:val="20"/>
              </w:rPr>
              <w:fldChar w:fldCharType="end"/>
            </w:r>
          </w:p>
        </w:tc>
        <w:tc>
          <w:tcPr>
            <w:tcW w:w="2636" w:type="dxa"/>
            <w:gridSpan w:val="2"/>
            <w:tcBorders>
              <w:top w:val="single" w:sz="12" w:space="0" w:color="auto"/>
              <w:left w:val="single" w:sz="12" w:space="0" w:color="auto"/>
              <w:bottom w:val="single" w:sz="12" w:space="0" w:color="auto"/>
            </w:tcBorders>
            <w:shd w:val="clear" w:color="auto" w:fill="FFFFFF"/>
            <w:vAlign w:val="center"/>
          </w:tcPr>
          <w:p w14:paraId="476EBC7B" w14:textId="77777777" w:rsidR="00A05D7C" w:rsidRPr="00F40E87" w:rsidRDefault="00A05D7C" w:rsidP="00CF5592">
            <w:pPr>
              <w:pStyle w:val="POTBBenBest"/>
              <w:jc w:val="left"/>
              <w:rPr>
                <w:rFonts w:cs="Arial"/>
                <w:sz w:val="20"/>
              </w:rPr>
            </w:pPr>
            <w:r w:rsidRPr="00F40E87">
              <w:rPr>
                <w:rFonts w:cs="Arial"/>
                <w:sz w:val="20"/>
              </w:rPr>
              <w:fldChar w:fldCharType="begin">
                <w:ffData>
                  <w:name w:val=""/>
                  <w:enabled/>
                  <w:calcOnExit w:val="0"/>
                  <w:textInput>
                    <w:maxLength w:val="14"/>
                  </w:textInput>
                </w:ffData>
              </w:fldChar>
            </w:r>
            <w:r w:rsidRPr="00F40E87">
              <w:rPr>
                <w:rFonts w:cs="Arial"/>
                <w:sz w:val="20"/>
              </w:rPr>
              <w:instrText xml:space="preserve"> FORMTEXT </w:instrText>
            </w:r>
            <w:r w:rsidRPr="00F40E87">
              <w:rPr>
                <w:rFonts w:cs="Arial"/>
                <w:sz w:val="20"/>
              </w:rPr>
            </w:r>
            <w:r w:rsidRPr="00F40E87">
              <w:rPr>
                <w:rFonts w:cs="Arial"/>
                <w:sz w:val="20"/>
              </w:rPr>
              <w:fldChar w:fldCharType="separate"/>
            </w:r>
            <w:r w:rsidRPr="00F40E87">
              <w:rPr>
                <w:rFonts w:cs="Arial"/>
                <w:noProof/>
                <w:sz w:val="20"/>
              </w:rPr>
              <w:t> </w:t>
            </w:r>
            <w:r w:rsidRPr="00F40E87">
              <w:rPr>
                <w:rFonts w:cs="Arial"/>
                <w:noProof/>
                <w:sz w:val="20"/>
              </w:rPr>
              <w:t> </w:t>
            </w:r>
            <w:r w:rsidRPr="00F40E87">
              <w:rPr>
                <w:rFonts w:cs="Arial"/>
                <w:noProof/>
                <w:sz w:val="20"/>
              </w:rPr>
              <w:t> </w:t>
            </w:r>
            <w:r w:rsidRPr="00F40E87">
              <w:rPr>
                <w:rFonts w:cs="Arial"/>
                <w:noProof/>
                <w:sz w:val="20"/>
              </w:rPr>
              <w:t> </w:t>
            </w:r>
            <w:r w:rsidRPr="00F40E87">
              <w:rPr>
                <w:rFonts w:cs="Arial"/>
                <w:noProof/>
                <w:sz w:val="20"/>
              </w:rPr>
              <w:t> </w:t>
            </w:r>
            <w:r w:rsidRPr="00F40E87">
              <w:rPr>
                <w:rFonts w:cs="Arial"/>
                <w:sz w:val="20"/>
              </w:rPr>
              <w:fldChar w:fldCharType="end"/>
            </w:r>
          </w:p>
        </w:tc>
      </w:tr>
      <w:tr w:rsidR="00A05D7C" w:rsidRPr="00F40E87" w14:paraId="0DC36F62" w14:textId="77777777" w:rsidTr="006A487B">
        <w:trPr>
          <w:trHeight w:hRule="exact" w:val="1701"/>
        </w:trPr>
        <w:tc>
          <w:tcPr>
            <w:tcW w:w="10235" w:type="dxa"/>
            <w:gridSpan w:val="6"/>
            <w:shd w:val="clear" w:color="auto" w:fill="auto"/>
          </w:tcPr>
          <w:p w14:paraId="34C36C2A" w14:textId="77777777" w:rsidR="00A05D7C" w:rsidRPr="00F40E87" w:rsidRDefault="00A05D7C" w:rsidP="00CF5592">
            <w:pPr>
              <w:pStyle w:val="IPPOQ3"/>
              <w:rPr>
                <w:rFonts w:cs="Arial"/>
                <w:color w:val="auto"/>
              </w:rPr>
            </w:pPr>
            <w:r w:rsidRPr="00F40E87">
              <w:rPr>
                <w:rFonts w:cs="Arial"/>
                <w:color w:val="auto"/>
              </w:rPr>
              <w:t xml:space="preserve">Description and scale of key monetised benefits by ‘main affected groups’ </w:t>
            </w:r>
          </w:p>
          <w:p w14:paraId="48194D9E" w14:textId="77777777" w:rsidR="00A05D7C" w:rsidRPr="00F40E87" w:rsidRDefault="00A05D7C" w:rsidP="00CF5592">
            <w:pPr>
              <w:pStyle w:val="IAPOA3"/>
              <w:spacing w:before="50" w:after="50"/>
              <w:rPr>
                <w:rFonts w:cs="Arial"/>
                <w:sz w:val="20"/>
              </w:rPr>
            </w:pPr>
            <w:r w:rsidRPr="00F40E87">
              <w:rPr>
                <w:rFonts w:cs="Arial"/>
                <w:sz w:val="20"/>
              </w:rPr>
              <w:fldChar w:fldCharType="begin">
                <w:ffData>
                  <w:name w:val=""/>
                  <w:enabled/>
                  <w:calcOnExit w:val="0"/>
                  <w:textInput>
                    <w:default w:val="Maximum of 5 lines"/>
                    <w:maxLength w:val="500"/>
                  </w:textInput>
                </w:ffData>
              </w:fldChar>
            </w:r>
            <w:r w:rsidRPr="00F40E87">
              <w:rPr>
                <w:rFonts w:cs="Arial"/>
                <w:sz w:val="20"/>
              </w:rPr>
              <w:instrText xml:space="preserve"> FORMTEXT </w:instrText>
            </w:r>
            <w:r w:rsidRPr="00F40E87">
              <w:rPr>
                <w:rFonts w:cs="Arial"/>
                <w:sz w:val="20"/>
              </w:rPr>
            </w:r>
            <w:r w:rsidRPr="00F40E87">
              <w:rPr>
                <w:rFonts w:cs="Arial"/>
                <w:sz w:val="20"/>
              </w:rPr>
              <w:fldChar w:fldCharType="separate"/>
            </w:r>
            <w:r w:rsidR="00C241C1" w:rsidRPr="00F40E87">
              <w:rPr>
                <w:rFonts w:cs="Arial"/>
                <w:sz w:val="20"/>
              </w:rPr>
              <w:t>These are the same as set out for policy option 1.</w:t>
            </w:r>
            <w:r w:rsidRPr="00F40E87">
              <w:rPr>
                <w:rFonts w:cs="Arial"/>
                <w:sz w:val="20"/>
              </w:rPr>
              <w:fldChar w:fldCharType="end"/>
            </w:r>
          </w:p>
        </w:tc>
      </w:tr>
      <w:tr w:rsidR="00BD6CF6" w:rsidRPr="00F40E87" w14:paraId="7F62E72A" w14:textId="77777777" w:rsidTr="006A487B">
        <w:trPr>
          <w:trHeight w:hRule="exact" w:val="1701"/>
        </w:trPr>
        <w:tc>
          <w:tcPr>
            <w:tcW w:w="10235" w:type="dxa"/>
            <w:gridSpan w:val="6"/>
            <w:shd w:val="clear" w:color="auto" w:fill="auto"/>
          </w:tcPr>
          <w:p w14:paraId="1D94B2EF" w14:textId="77777777" w:rsidR="00A05D7C" w:rsidRPr="00F40E87" w:rsidRDefault="00A05D7C" w:rsidP="00CF5592">
            <w:pPr>
              <w:pStyle w:val="IAPOQ4"/>
              <w:rPr>
                <w:rFonts w:cs="Arial"/>
                <w:color w:val="auto"/>
              </w:rPr>
            </w:pPr>
            <w:r w:rsidRPr="00F40E87">
              <w:rPr>
                <w:rFonts w:cs="Arial"/>
                <w:color w:val="auto"/>
              </w:rPr>
              <w:t xml:space="preserve">Other key non-monetised benefits by ‘main affected groups’ </w:t>
            </w:r>
          </w:p>
          <w:p w14:paraId="6CA1345E" w14:textId="77777777" w:rsidR="00A05D7C" w:rsidRPr="00F40E87" w:rsidRDefault="00CF5592" w:rsidP="00F237C9">
            <w:pPr>
              <w:pStyle w:val="IAPOA4"/>
              <w:spacing w:before="50" w:after="50"/>
              <w:ind w:left="0"/>
              <w:rPr>
                <w:rFonts w:cs="Arial"/>
                <w:sz w:val="20"/>
              </w:rPr>
            </w:pPr>
            <w:r>
              <w:rPr>
                <w:rFonts w:cs="Arial"/>
                <w:sz w:val="20"/>
              </w:rPr>
              <w:t>These are the same as set out for policy option 1</w:t>
            </w:r>
            <w:r w:rsidR="00BD6CF6">
              <w:rPr>
                <w:rFonts w:cs="Arial"/>
                <w:sz w:val="20"/>
              </w:rPr>
              <w:t>.</w:t>
            </w:r>
          </w:p>
        </w:tc>
      </w:tr>
      <w:tr w:rsidR="00993919" w:rsidRPr="00F40E87" w14:paraId="2BD843CE" w14:textId="77777777" w:rsidTr="00993919">
        <w:trPr>
          <w:trHeight w:hRule="exact" w:val="473"/>
        </w:trPr>
        <w:tc>
          <w:tcPr>
            <w:tcW w:w="9375" w:type="dxa"/>
            <w:gridSpan w:val="5"/>
            <w:tcBorders>
              <w:top w:val="single" w:sz="6" w:space="0" w:color="auto"/>
              <w:bottom w:val="nil"/>
            </w:tcBorders>
            <w:shd w:val="clear" w:color="auto" w:fill="auto"/>
          </w:tcPr>
          <w:p w14:paraId="104B418E" w14:textId="77777777" w:rsidR="00A05D7C" w:rsidRPr="00F40E87" w:rsidRDefault="00A05D7C" w:rsidP="006A487B">
            <w:pPr>
              <w:pStyle w:val="IATableLabel"/>
              <w:tabs>
                <w:tab w:val="left" w:pos="7655"/>
              </w:tabs>
              <w:rPr>
                <w:rFonts w:cs="Arial"/>
                <w:color w:val="auto"/>
              </w:rPr>
            </w:pPr>
            <w:r w:rsidRPr="00E542F4">
              <w:rPr>
                <w:rStyle w:val="IAPOQ5Char"/>
                <w:rFonts w:cs="Arial"/>
                <w:b/>
                <w:color w:val="auto"/>
              </w:rPr>
              <w:t>Key assumptions/sensitivities/risks</w:t>
            </w:r>
            <w:r w:rsidR="00993919">
              <w:rPr>
                <w:rFonts w:cs="Arial"/>
                <w:color w:val="auto"/>
              </w:rPr>
              <w:t xml:space="preserve">                                                                                     Discount rate </w:t>
            </w:r>
            <w:r w:rsidRPr="00F40E87">
              <w:rPr>
                <w:rFonts w:cs="Arial"/>
                <w:color w:val="auto"/>
              </w:rPr>
              <w:t>(%)</w:t>
            </w:r>
          </w:p>
          <w:p w14:paraId="321E8B7A" w14:textId="77777777" w:rsidR="00A05D7C" w:rsidRPr="00F40E87" w:rsidRDefault="00A05D7C" w:rsidP="006A487B">
            <w:pPr>
              <w:pStyle w:val="IATableLabel"/>
              <w:rPr>
                <w:rFonts w:cs="Arial"/>
                <w:color w:val="auto"/>
              </w:rPr>
            </w:pPr>
          </w:p>
        </w:tc>
        <w:tc>
          <w:tcPr>
            <w:tcW w:w="860" w:type="dxa"/>
            <w:tcBorders>
              <w:top w:val="single" w:sz="6" w:space="0" w:color="auto"/>
              <w:bottom w:val="single" w:sz="4" w:space="0" w:color="auto"/>
            </w:tcBorders>
            <w:shd w:val="clear" w:color="auto" w:fill="auto"/>
          </w:tcPr>
          <w:p w14:paraId="58D98536" w14:textId="77777777" w:rsidR="00A05D7C" w:rsidRPr="00F40E87" w:rsidRDefault="00A05D7C" w:rsidP="00F20BE3">
            <w:pPr>
              <w:pStyle w:val="IAPODisRate"/>
              <w:ind w:left="113"/>
              <w:jc w:val="left"/>
              <w:rPr>
                <w:rFonts w:cs="Arial"/>
                <w:color w:val="auto"/>
              </w:rPr>
            </w:pPr>
            <w:r w:rsidRPr="00F40E87">
              <w:rPr>
                <w:rFonts w:cs="Arial"/>
                <w:color w:val="auto"/>
              </w:rPr>
              <w:fldChar w:fldCharType="begin">
                <w:ffData>
                  <w:name w:val=""/>
                  <w:enabled/>
                  <w:calcOnExit w:val="0"/>
                  <w:textInput>
                    <w:maxLength w:val="5"/>
                  </w:textInput>
                </w:ffData>
              </w:fldChar>
            </w:r>
            <w:r w:rsidRPr="00F40E87">
              <w:rPr>
                <w:rFonts w:cs="Arial"/>
                <w:color w:val="auto"/>
              </w:rPr>
              <w:instrText xml:space="preserve"> FORMTEXT </w:instrText>
            </w:r>
            <w:r w:rsidRPr="00F40E87">
              <w:rPr>
                <w:rFonts w:cs="Arial"/>
                <w:color w:val="auto"/>
              </w:rPr>
            </w:r>
            <w:r w:rsidRPr="00F40E87">
              <w:rPr>
                <w:rFonts w:cs="Arial"/>
                <w:color w:val="auto"/>
              </w:rPr>
              <w:fldChar w:fldCharType="separate"/>
            </w:r>
            <w:r w:rsidR="00F20BE3" w:rsidRPr="00F40E87">
              <w:rPr>
                <w:rFonts w:cs="Arial"/>
                <w:noProof/>
                <w:color w:val="auto"/>
              </w:rPr>
              <w:t>3.50</w:t>
            </w:r>
            <w:r w:rsidRPr="00F40E87">
              <w:rPr>
                <w:rFonts w:cs="Arial"/>
                <w:color w:val="auto"/>
              </w:rPr>
              <w:fldChar w:fldCharType="end"/>
            </w:r>
          </w:p>
        </w:tc>
      </w:tr>
      <w:tr w:rsidR="00993919" w:rsidRPr="00F40E87" w14:paraId="0AEF8DC6" w14:textId="77777777" w:rsidTr="006A487B">
        <w:trPr>
          <w:trHeight w:hRule="exact" w:val="1375"/>
        </w:trPr>
        <w:tc>
          <w:tcPr>
            <w:tcW w:w="10235" w:type="dxa"/>
            <w:gridSpan w:val="6"/>
            <w:tcBorders>
              <w:top w:val="nil"/>
              <w:bottom w:val="single" w:sz="12" w:space="0" w:color="auto"/>
            </w:tcBorders>
            <w:shd w:val="clear" w:color="auto" w:fill="auto"/>
          </w:tcPr>
          <w:p w14:paraId="22AE11DA" w14:textId="77777777" w:rsidR="00A05D7C" w:rsidRPr="00F40E87" w:rsidRDefault="00993919" w:rsidP="00993919">
            <w:pPr>
              <w:pStyle w:val="IAPOA5"/>
              <w:spacing w:before="50" w:after="50"/>
              <w:ind w:left="0"/>
              <w:rPr>
                <w:rFonts w:cs="Arial"/>
                <w:sz w:val="20"/>
              </w:rPr>
            </w:pPr>
            <w:r>
              <w:rPr>
                <w:rFonts w:cs="Arial"/>
                <w:sz w:val="20"/>
              </w:rPr>
              <w:t xml:space="preserve">   </w:t>
            </w:r>
            <w:r w:rsidR="00A05D7C" w:rsidRPr="00F40E87">
              <w:rPr>
                <w:rFonts w:cs="Arial"/>
                <w:sz w:val="20"/>
              </w:rPr>
              <w:fldChar w:fldCharType="begin">
                <w:ffData>
                  <w:name w:val=""/>
                  <w:enabled/>
                  <w:calcOnExit w:val="0"/>
                  <w:textInput>
                    <w:default w:val="Maximum of 5 lines"/>
                    <w:maxLength w:val="500"/>
                  </w:textInput>
                </w:ffData>
              </w:fldChar>
            </w:r>
            <w:r w:rsidR="00A05D7C" w:rsidRPr="00F40E87">
              <w:rPr>
                <w:rFonts w:cs="Arial"/>
                <w:sz w:val="20"/>
              </w:rPr>
              <w:instrText xml:space="preserve"> FORMTEXT </w:instrText>
            </w:r>
            <w:r w:rsidR="00A05D7C" w:rsidRPr="00F40E87">
              <w:rPr>
                <w:rFonts w:cs="Arial"/>
                <w:sz w:val="20"/>
              </w:rPr>
            </w:r>
            <w:r w:rsidR="00A05D7C" w:rsidRPr="00F40E87">
              <w:rPr>
                <w:rFonts w:cs="Arial"/>
                <w:sz w:val="20"/>
              </w:rPr>
              <w:fldChar w:fldCharType="separate"/>
            </w:r>
            <w:r w:rsidR="00F20BE3" w:rsidRPr="00F40E87">
              <w:rPr>
                <w:rFonts w:cs="Arial"/>
                <w:sz w:val="20"/>
              </w:rPr>
              <w:t>These are the same as set out for policy option 1.</w:t>
            </w:r>
            <w:r w:rsidR="00A05D7C" w:rsidRPr="00F40E87">
              <w:rPr>
                <w:rFonts w:cs="Arial"/>
                <w:sz w:val="20"/>
              </w:rPr>
              <w:fldChar w:fldCharType="end"/>
            </w:r>
          </w:p>
        </w:tc>
      </w:tr>
    </w:tbl>
    <w:p w14:paraId="231E938A" w14:textId="77777777" w:rsidR="00A05D7C" w:rsidRPr="00F40E87" w:rsidRDefault="00A05D7C" w:rsidP="006A487B">
      <w:pPr>
        <w:pStyle w:val="IASpacer"/>
        <w:rPr>
          <w:rFonts w:cs="Arial"/>
          <w:sz w:val="20"/>
          <w:szCs w:val="20"/>
        </w:rPr>
      </w:pPr>
    </w:p>
    <w:p w14:paraId="670EC7DB" w14:textId="77777777" w:rsidR="00A05D7C" w:rsidRPr="00F40E87" w:rsidRDefault="00A05D7C" w:rsidP="006A487B">
      <w:pPr>
        <w:pStyle w:val="IAHeadLabel"/>
        <w:spacing w:before="50"/>
        <w:rPr>
          <w:rFonts w:cs="Arial"/>
          <w:color w:val="auto"/>
        </w:rPr>
      </w:pPr>
      <w:r w:rsidRPr="00F40E87">
        <w:rPr>
          <w:rFonts w:cs="Arial"/>
          <w:color w:val="auto"/>
        </w:rPr>
        <w:t xml:space="preserve">BUSINESS ASSESSMENT (Option </w:t>
      </w:r>
      <w:r w:rsidR="00F8648B" w:rsidRPr="00F40E87">
        <w:rPr>
          <w:rFonts w:cs="Arial"/>
          <w:color w:val="auto"/>
        </w:rPr>
        <w:fldChar w:fldCharType="begin"/>
      </w:r>
      <w:r w:rsidR="00F8648B" w:rsidRPr="00F40E87">
        <w:rPr>
          <w:rFonts w:cs="Arial"/>
          <w:color w:val="auto"/>
        </w:rPr>
        <w:instrText xml:space="preserve"> SEQ BA </w:instrText>
      </w:r>
      <w:r w:rsidR="00F8648B" w:rsidRPr="00F40E87">
        <w:rPr>
          <w:rFonts w:cs="Arial"/>
          <w:color w:val="auto"/>
        </w:rPr>
        <w:fldChar w:fldCharType="separate"/>
      </w:r>
      <w:r w:rsidR="00714D27">
        <w:rPr>
          <w:rFonts w:cs="Arial"/>
          <w:noProof/>
          <w:color w:val="auto"/>
        </w:rPr>
        <w:t>2</w:t>
      </w:r>
      <w:r w:rsidR="00F8648B" w:rsidRPr="00F40E87">
        <w:rPr>
          <w:rFonts w:cs="Arial"/>
          <w:noProof/>
          <w:color w:val="auto"/>
        </w:rPr>
        <w:fldChar w:fldCharType="end"/>
      </w:r>
      <w:r w:rsidRPr="00F40E87">
        <w:rPr>
          <w:rFonts w:cs="Arial"/>
          <w:color w:val="auto"/>
        </w:rPr>
        <w:t>)</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86"/>
        <w:gridCol w:w="2151"/>
        <w:gridCol w:w="1976"/>
        <w:gridCol w:w="1976"/>
        <w:gridCol w:w="2106"/>
      </w:tblGrid>
      <w:tr w:rsidR="00A05D7C" w:rsidRPr="00F40E87" w14:paraId="7554705D" w14:textId="77777777">
        <w:trPr>
          <w:trHeight w:hRule="exact" w:val="312"/>
        </w:trPr>
        <w:tc>
          <w:tcPr>
            <w:tcW w:w="6125" w:type="dxa"/>
            <w:gridSpan w:val="3"/>
            <w:tcBorders>
              <w:top w:val="single" w:sz="4" w:space="0" w:color="auto"/>
              <w:bottom w:val="nil"/>
              <w:right w:val="single" w:sz="4" w:space="0" w:color="auto"/>
            </w:tcBorders>
          </w:tcPr>
          <w:p w14:paraId="3D161BA3" w14:textId="77777777" w:rsidR="00A05D7C" w:rsidRPr="00F40E87" w:rsidRDefault="00A05D7C" w:rsidP="006A487B">
            <w:pPr>
              <w:pStyle w:val="IATableLabel"/>
              <w:rPr>
                <w:rFonts w:cs="Arial"/>
                <w:color w:val="auto"/>
              </w:rPr>
            </w:pPr>
            <w:r w:rsidRPr="00F40E87">
              <w:rPr>
                <w:rFonts w:cs="Arial"/>
                <w:color w:val="auto"/>
              </w:rPr>
              <w:t xml:space="preserve">Direct impact on business (Equivalent Annual) £m: </w:t>
            </w:r>
          </w:p>
        </w:tc>
        <w:tc>
          <w:tcPr>
            <w:tcW w:w="1980" w:type="dxa"/>
            <w:tcBorders>
              <w:top w:val="single" w:sz="4" w:space="0" w:color="auto"/>
              <w:left w:val="single" w:sz="4" w:space="0" w:color="auto"/>
              <w:bottom w:val="nil"/>
              <w:right w:val="nil"/>
            </w:tcBorders>
          </w:tcPr>
          <w:p w14:paraId="142F1874" w14:textId="77777777" w:rsidR="00A05D7C" w:rsidRPr="00F40E87" w:rsidRDefault="00A05D7C" w:rsidP="006A487B">
            <w:pPr>
              <w:pStyle w:val="IATableLabel"/>
              <w:rPr>
                <w:rFonts w:cs="Arial"/>
                <w:color w:val="auto"/>
              </w:rPr>
            </w:pPr>
            <w:r w:rsidRPr="00F40E87">
              <w:rPr>
                <w:rFonts w:cs="Arial"/>
                <w:color w:val="auto"/>
              </w:rPr>
              <w:t>In scope of OIOO?</w:t>
            </w:r>
          </w:p>
        </w:tc>
        <w:tc>
          <w:tcPr>
            <w:tcW w:w="2110" w:type="dxa"/>
            <w:tcBorders>
              <w:top w:val="single" w:sz="4" w:space="0" w:color="auto"/>
              <w:left w:val="nil"/>
              <w:bottom w:val="nil"/>
              <w:right w:val="single" w:sz="4" w:space="0" w:color="auto"/>
            </w:tcBorders>
            <w:shd w:val="clear" w:color="auto" w:fill="auto"/>
          </w:tcPr>
          <w:p w14:paraId="6DC9E49E" w14:textId="77777777" w:rsidR="00A05D7C" w:rsidRPr="00F40E87" w:rsidRDefault="00A05D7C" w:rsidP="006A487B">
            <w:pPr>
              <w:pStyle w:val="IATableLabel"/>
              <w:ind w:left="0"/>
              <w:rPr>
                <w:rFonts w:cs="Arial"/>
                <w:color w:val="auto"/>
              </w:rPr>
            </w:pPr>
            <w:r w:rsidRPr="00F40E87">
              <w:rPr>
                <w:rFonts w:cs="Arial"/>
                <w:color w:val="auto"/>
              </w:rPr>
              <w:t xml:space="preserve">  Measure qualifies as</w:t>
            </w:r>
          </w:p>
        </w:tc>
      </w:tr>
      <w:tr w:rsidR="00A05D7C" w:rsidRPr="00F40E87" w14:paraId="11C5470A" w14:textId="77777777">
        <w:trPr>
          <w:trHeight w:hRule="exact" w:val="340"/>
        </w:trPr>
        <w:tc>
          <w:tcPr>
            <w:tcW w:w="1990" w:type="dxa"/>
            <w:tcBorders>
              <w:top w:val="nil"/>
              <w:bottom w:val="single" w:sz="4" w:space="0" w:color="auto"/>
              <w:right w:val="single" w:sz="4" w:space="0" w:color="auto"/>
            </w:tcBorders>
            <w:shd w:val="clear" w:color="auto" w:fill="FFFFFF"/>
          </w:tcPr>
          <w:p w14:paraId="4367A070" w14:textId="77777777" w:rsidR="00A05D7C" w:rsidRPr="00F40E87" w:rsidRDefault="00A05D7C" w:rsidP="001266AC">
            <w:pPr>
              <w:pStyle w:val="IATableLabel"/>
              <w:rPr>
                <w:rFonts w:cs="Arial"/>
                <w:color w:val="auto"/>
              </w:rPr>
            </w:pPr>
            <w:r w:rsidRPr="00F40E87">
              <w:rPr>
                <w:rFonts w:cs="Arial"/>
                <w:color w:val="auto"/>
              </w:rPr>
              <w:t xml:space="preserve">Costs: </w:t>
            </w:r>
            <w:bookmarkStart w:id="37" w:name="Text67"/>
            <w:r w:rsidRPr="00F40E87">
              <w:rPr>
                <w:rStyle w:val="IAPODICostChar"/>
                <w:rFonts w:cs="Arial"/>
                <w:color w:val="auto"/>
                <w:sz w:val="20"/>
                <w:szCs w:val="20"/>
              </w:rPr>
              <w:fldChar w:fldCharType="begin">
                <w:ffData>
                  <w:name w:val="Text67"/>
                  <w:enabled/>
                  <w:calcOnExit w:val="0"/>
                  <w:textInput>
                    <w:maxLength w:val="9"/>
                  </w:textInput>
                </w:ffData>
              </w:fldChar>
            </w:r>
            <w:r w:rsidRPr="00F40E87">
              <w:rPr>
                <w:rStyle w:val="IAPODICostChar"/>
                <w:rFonts w:cs="Arial"/>
                <w:color w:val="auto"/>
                <w:sz w:val="20"/>
                <w:szCs w:val="20"/>
              </w:rPr>
              <w:instrText xml:space="preserve"> FORMTEXT </w:instrText>
            </w:r>
            <w:r w:rsidRPr="00F40E87">
              <w:rPr>
                <w:rStyle w:val="IAPODICostChar"/>
                <w:rFonts w:cs="Arial"/>
                <w:color w:val="auto"/>
                <w:sz w:val="20"/>
                <w:szCs w:val="20"/>
              </w:rPr>
            </w:r>
            <w:r w:rsidRPr="00F40E87">
              <w:rPr>
                <w:rStyle w:val="IAPODICostChar"/>
                <w:rFonts w:cs="Arial"/>
                <w:color w:val="auto"/>
                <w:sz w:val="20"/>
                <w:szCs w:val="20"/>
              </w:rPr>
              <w:fldChar w:fldCharType="separate"/>
            </w:r>
            <w:r w:rsidR="009F1E3D" w:rsidRPr="00F40E87">
              <w:rPr>
                <w:rStyle w:val="IAPODICostChar"/>
                <w:rFonts w:cs="Arial"/>
                <w:noProof/>
                <w:color w:val="auto"/>
                <w:sz w:val="20"/>
                <w:szCs w:val="20"/>
              </w:rPr>
              <w:t>5.</w:t>
            </w:r>
            <w:r w:rsidR="001266AC" w:rsidRPr="00F40E87">
              <w:rPr>
                <w:rStyle w:val="IAPODICostChar"/>
                <w:rFonts w:cs="Arial"/>
                <w:noProof/>
                <w:color w:val="auto"/>
                <w:sz w:val="20"/>
                <w:szCs w:val="20"/>
              </w:rPr>
              <w:t>8</w:t>
            </w:r>
            <w:r w:rsidRPr="00F40E87">
              <w:rPr>
                <w:rStyle w:val="IAPODICostChar"/>
                <w:rFonts w:cs="Arial"/>
                <w:color w:val="auto"/>
                <w:sz w:val="20"/>
                <w:szCs w:val="20"/>
              </w:rPr>
              <w:fldChar w:fldCharType="end"/>
            </w:r>
            <w:bookmarkEnd w:id="37"/>
          </w:p>
        </w:tc>
        <w:tc>
          <w:tcPr>
            <w:tcW w:w="2155" w:type="dxa"/>
            <w:tcBorders>
              <w:top w:val="nil"/>
              <w:bottom w:val="single" w:sz="4" w:space="0" w:color="auto"/>
              <w:right w:val="single" w:sz="4" w:space="0" w:color="auto"/>
            </w:tcBorders>
            <w:shd w:val="clear" w:color="auto" w:fill="FFFFFF"/>
          </w:tcPr>
          <w:p w14:paraId="7982BDE1" w14:textId="77777777" w:rsidR="00A05D7C" w:rsidRPr="00F40E87" w:rsidRDefault="00A05D7C" w:rsidP="006A487B">
            <w:pPr>
              <w:pStyle w:val="IATableLabel"/>
              <w:rPr>
                <w:rFonts w:cs="Arial"/>
                <w:color w:val="auto"/>
              </w:rPr>
            </w:pPr>
            <w:r w:rsidRPr="00F40E87">
              <w:rPr>
                <w:rFonts w:cs="Arial"/>
                <w:color w:val="auto"/>
              </w:rPr>
              <w:t xml:space="preserve">Benefits: </w:t>
            </w:r>
            <w:bookmarkStart w:id="38" w:name="Text68"/>
            <w:r w:rsidRPr="00F40E87">
              <w:rPr>
                <w:rStyle w:val="IAPODIBenChar"/>
                <w:rFonts w:cs="Arial"/>
                <w:color w:val="auto"/>
                <w:sz w:val="20"/>
                <w:szCs w:val="20"/>
              </w:rPr>
              <w:fldChar w:fldCharType="begin">
                <w:ffData>
                  <w:name w:val="Text68"/>
                  <w:enabled/>
                  <w:calcOnExit w:val="0"/>
                  <w:textInput>
                    <w:maxLength w:val="9"/>
                  </w:textInput>
                </w:ffData>
              </w:fldChar>
            </w:r>
            <w:r w:rsidRPr="00F40E87">
              <w:rPr>
                <w:rStyle w:val="IAPODIBenChar"/>
                <w:rFonts w:cs="Arial"/>
                <w:color w:val="auto"/>
                <w:sz w:val="20"/>
                <w:szCs w:val="20"/>
              </w:rPr>
              <w:instrText xml:space="preserve"> FORMTEXT </w:instrText>
            </w:r>
            <w:r w:rsidRPr="00F40E87">
              <w:rPr>
                <w:rStyle w:val="IAPODIBenChar"/>
                <w:rFonts w:cs="Arial"/>
                <w:color w:val="auto"/>
                <w:sz w:val="20"/>
                <w:szCs w:val="20"/>
              </w:rPr>
            </w:r>
            <w:r w:rsidRPr="00F40E87">
              <w:rPr>
                <w:rStyle w:val="IAPODIBenChar"/>
                <w:rFonts w:cs="Arial"/>
                <w:color w:val="auto"/>
                <w:sz w:val="20"/>
                <w:szCs w:val="20"/>
              </w:rPr>
              <w:fldChar w:fldCharType="separate"/>
            </w:r>
            <w:r w:rsidRPr="00F40E87">
              <w:rPr>
                <w:rStyle w:val="IAPODIBenChar"/>
                <w:rFonts w:cs="Arial"/>
                <w:noProof/>
                <w:color w:val="auto"/>
                <w:sz w:val="20"/>
                <w:szCs w:val="20"/>
              </w:rPr>
              <w:t> </w:t>
            </w:r>
            <w:r w:rsidRPr="00F40E87">
              <w:rPr>
                <w:rStyle w:val="IAPODIBenChar"/>
                <w:rFonts w:cs="Arial"/>
                <w:noProof/>
                <w:color w:val="auto"/>
                <w:sz w:val="20"/>
                <w:szCs w:val="20"/>
              </w:rPr>
              <w:t> </w:t>
            </w:r>
            <w:r w:rsidRPr="00F40E87">
              <w:rPr>
                <w:rStyle w:val="IAPODIBenChar"/>
                <w:rFonts w:cs="Arial"/>
                <w:noProof/>
                <w:color w:val="auto"/>
                <w:sz w:val="20"/>
                <w:szCs w:val="20"/>
              </w:rPr>
              <w:t> </w:t>
            </w:r>
            <w:r w:rsidRPr="00F40E87">
              <w:rPr>
                <w:rStyle w:val="IAPODIBenChar"/>
                <w:rFonts w:cs="Arial"/>
                <w:noProof/>
                <w:color w:val="auto"/>
                <w:sz w:val="20"/>
                <w:szCs w:val="20"/>
              </w:rPr>
              <w:t> </w:t>
            </w:r>
            <w:r w:rsidRPr="00F40E87">
              <w:rPr>
                <w:rStyle w:val="IAPODIBenChar"/>
                <w:rFonts w:cs="Arial"/>
                <w:noProof/>
                <w:color w:val="auto"/>
                <w:sz w:val="20"/>
                <w:szCs w:val="20"/>
              </w:rPr>
              <w:t> </w:t>
            </w:r>
            <w:r w:rsidRPr="00F40E87">
              <w:rPr>
                <w:rStyle w:val="IAPODIBenChar"/>
                <w:rFonts w:cs="Arial"/>
                <w:color w:val="auto"/>
                <w:sz w:val="20"/>
                <w:szCs w:val="20"/>
              </w:rPr>
              <w:fldChar w:fldCharType="end"/>
            </w:r>
            <w:bookmarkEnd w:id="38"/>
          </w:p>
        </w:tc>
        <w:tc>
          <w:tcPr>
            <w:tcW w:w="1980" w:type="dxa"/>
            <w:tcBorders>
              <w:top w:val="nil"/>
              <w:bottom w:val="single" w:sz="4" w:space="0" w:color="auto"/>
              <w:right w:val="single" w:sz="4" w:space="0" w:color="auto"/>
            </w:tcBorders>
            <w:shd w:val="clear" w:color="auto" w:fill="FFFFFF"/>
          </w:tcPr>
          <w:p w14:paraId="27BB4EBC" w14:textId="77777777" w:rsidR="00A05D7C" w:rsidRPr="00F40E87" w:rsidRDefault="00A05D7C" w:rsidP="001266AC">
            <w:pPr>
              <w:pStyle w:val="IATableLabel"/>
              <w:rPr>
                <w:rFonts w:cs="Arial"/>
                <w:color w:val="auto"/>
              </w:rPr>
            </w:pPr>
            <w:r w:rsidRPr="00F40E87">
              <w:rPr>
                <w:rFonts w:cs="Arial"/>
                <w:color w:val="auto"/>
              </w:rPr>
              <w:t xml:space="preserve">Net: </w:t>
            </w:r>
            <w:bookmarkStart w:id="39" w:name="Text69"/>
            <w:r w:rsidRPr="00F40E87">
              <w:rPr>
                <w:rStyle w:val="IAPODINetChar"/>
                <w:rFonts w:cs="Arial"/>
                <w:color w:val="auto"/>
                <w:sz w:val="20"/>
                <w:szCs w:val="20"/>
              </w:rPr>
              <w:fldChar w:fldCharType="begin">
                <w:ffData>
                  <w:name w:val="Text69"/>
                  <w:enabled/>
                  <w:calcOnExit w:val="0"/>
                  <w:textInput>
                    <w:maxLength w:val="9"/>
                  </w:textInput>
                </w:ffData>
              </w:fldChar>
            </w:r>
            <w:r w:rsidRPr="00F40E87">
              <w:rPr>
                <w:rStyle w:val="IAPODINetChar"/>
                <w:rFonts w:cs="Arial"/>
                <w:color w:val="auto"/>
                <w:sz w:val="20"/>
                <w:szCs w:val="20"/>
              </w:rPr>
              <w:instrText xml:space="preserve"> FORMTEXT </w:instrText>
            </w:r>
            <w:r w:rsidRPr="00F40E87">
              <w:rPr>
                <w:rStyle w:val="IAPODINetChar"/>
                <w:rFonts w:cs="Arial"/>
                <w:color w:val="auto"/>
                <w:sz w:val="20"/>
                <w:szCs w:val="20"/>
              </w:rPr>
            </w:r>
            <w:r w:rsidRPr="00F40E87">
              <w:rPr>
                <w:rStyle w:val="IAPODINetChar"/>
                <w:rFonts w:cs="Arial"/>
                <w:color w:val="auto"/>
                <w:sz w:val="20"/>
                <w:szCs w:val="20"/>
              </w:rPr>
              <w:fldChar w:fldCharType="separate"/>
            </w:r>
            <w:r w:rsidR="00F20BE3" w:rsidRPr="00F40E87">
              <w:rPr>
                <w:rStyle w:val="IAPODINetChar"/>
                <w:rFonts w:cs="Arial"/>
                <w:noProof/>
                <w:color w:val="auto"/>
                <w:sz w:val="20"/>
                <w:szCs w:val="20"/>
              </w:rPr>
              <w:t>-</w:t>
            </w:r>
            <w:r w:rsidR="009F1E3D" w:rsidRPr="00F40E87">
              <w:rPr>
                <w:rStyle w:val="IAPODINetChar"/>
                <w:rFonts w:cs="Arial"/>
                <w:noProof/>
                <w:color w:val="auto"/>
                <w:sz w:val="20"/>
                <w:szCs w:val="20"/>
              </w:rPr>
              <w:t>5.</w:t>
            </w:r>
            <w:r w:rsidR="001266AC" w:rsidRPr="00F40E87">
              <w:rPr>
                <w:rStyle w:val="IAPODINetChar"/>
                <w:rFonts w:cs="Arial"/>
                <w:noProof/>
                <w:color w:val="auto"/>
                <w:sz w:val="20"/>
                <w:szCs w:val="20"/>
              </w:rPr>
              <w:t>8</w:t>
            </w:r>
            <w:r w:rsidRPr="00F40E87">
              <w:rPr>
                <w:rStyle w:val="IAPODINetChar"/>
                <w:rFonts w:cs="Arial"/>
                <w:color w:val="auto"/>
                <w:sz w:val="20"/>
                <w:szCs w:val="20"/>
              </w:rPr>
              <w:fldChar w:fldCharType="end"/>
            </w:r>
            <w:bookmarkEnd w:id="39"/>
          </w:p>
        </w:tc>
        <w:bookmarkStart w:id="40" w:name="Dropdown23"/>
        <w:tc>
          <w:tcPr>
            <w:tcW w:w="1980" w:type="dxa"/>
            <w:tcBorders>
              <w:top w:val="nil"/>
              <w:left w:val="single" w:sz="4" w:space="0" w:color="auto"/>
              <w:bottom w:val="single" w:sz="4" w:space="0" w:color="auto"/>
              <w:right w:val="single" w:sz="4" w:space="0" w:color="auto"/>
            </w:tcBorders>
            <w:shd w:val="clear" w:color="auto" w:fill="FFFFFF"/>
          </w:tcPr>
          <w:p w14:paraId="57C84EA6" w14:textId="77777777" w:rsidR="00A05D7C" w:rsidRPr="00F40E87" w:rsidRDefault="00A05D7C" w:rsidP="006A487B">
            <w:pPr>
              <w:pStyle w:val="IAPODIOIOO"/>
              <w:jc w:val="right"/>
              <w:rPr>
                <w:rFonts w:cs="Arial"/>
                <w:color w:val="auto"/>
                <w:sz w:val="20"/>
                <w:szCs w:val="20"/>
              </w:rPr>
            </w:pPr>
            <w:r w:rsidRPr="00F40E87">
              <w:rPr>
                <w:rFonts w:cs="Arial"/>
                <w:color w:val="auto"/>
                <w:sz w:val="20"/>
                <w:szCs w:val="20"/>
              </w:rPr>
              <w:fldChar w:fldCharType="begin">
                <w:ffData>
                  <w:name w:val="Dropdown23"/>
                  <w:enabled/>
                  <w:calcOnExit w:val="0"/>
                  <w:ddList>
                    <w:result w:val="1"/>
                    <w:listEntry w:val="Yes/No"/>
                    <w:listEntry w:val="Yes"/>
                    <w:listEntry w:val="No"/>
                  </w:ddList>
                </w:ffData>
              </w:fldChar>
            </w:r>
            <w:r w:rsidRPr="00F40E87">
              <w:rPr>
                <w:rFonts w:cs="Arial"/>
                <w:color w:val="auto"/>
                <w:sz w:val="20"/>
                <w:szCs w:val="20"/>
              </w:rPr>
              <w:instrText xml:space="preserve"> FORMDROPDOWN </w:instrText>
            </w:r>
            <w:r w:rsidR="00714FF9">
              <w:rPr>
                <w:rFonts w:cs="Arial"/>
                <w:color w:val="auto"/>
                <w:sz w:val="20"/>
                <w:szCs w:val="20"/>
              </w:rPr>
            </w:r>
            <w:r w:rsidR="00714FF9">
              <w:rPr>
                <w:rFonts w:cs="Arial"/>
                <w:color w:val="auto"/>
                <w:sz w:val="20"/>
                <w:szCs w:val="20"/>
              </w:rPr>
              <w:fldChar w:fldCharType="separate"/>
            </w:r>
            <w:r w:rsidRPr="00F40E87">
              <w:rPr>
                <w:rFonts w:cs="Arial"/>
                <w:color w:val="auto"/>
                <w:sz w:val="20"/>
                <w:szCs w:val="20"/>
              </w:rPr>
              <w:fldChar w:fldCharType="end"/>
            </w:r>
            <w:bookmarkEnd w:id="40"/>
          </w:p>
        </w:tc>
        <w:bookmarkStart w:id="41" w:name="Dropdown27"/>
        <w:tc>
          <w:tcPr>
            <w:tcW w:w="2110" w:type="dxa"/>
            <w:tcBorders>
              <w:top w:val="nil"/>
              <w:left w:val="single" w:sz="4" w:space="0" w:color="auto"/>
              <w:bottom w:val="single" w:sz="4" w:space="0" w:color="auto"/>
              <w:right w:val="single" w:sz="4" w:space="0" w:color="auto"/>
            </w:tcBorders>
            <w:shd w:val="clear" w:color="auto" w:fill="auto"/>
          </w:tcPr>
          <w:p w14:paraId="3A7E13AA" w14:textId="77777777" w:rsidR="00A05D7C" w:rsidRPr="00F40E87" w:rsidRDefault="00A05D7C" w:rsidP="006A487B">
            <w:pPr>
              <w:pStyle w:val="IAPODIMQ"/>
              <w:jc w:val="right"/>
              <w:rPr>
                <w:rFonts w:cs="Arial"/>
                <w:color w:val="auto"/>
              </w:rPr>
            </w:pPr>
            <w:r w:rsidRPr="00F40E87">
              <w:rPr>
                <w:rFonts w:cs="Arial"/>
                <w:color w:val="auto"/>
              </w:rPr>
              <w:fldChar w:fldCharType="begin">
                <w:ffData>
                  <w:name w:val="Dropdown27"/>
                  <w:enabled/>
                  <w:calcOnExit w:val="0"/>
                  <w:ddList>
                    <w:result w:val="1"/>
                    <w:listEntry w:val="IN/OUT/Zero net cost"/>
                    <w:listEntry w:val="IN"/>
                    <w:listEntry w:val="OUT"/>
                    <w:listEntry w:val="Zero net cost"/>
                    <w:listEntry w:val="NA"/>
                  </w:ddList>
                </w:ffData>
              </w:fldChar>
            </w:r>
            <w:r w:rsidRPr="00F40E87">
              <w:rPr>
                <w:rFonts w:cs="Arial"/>
                <w:color w:val="auto"/>
              </w:rPr>
              <w:instrText xml:space="preserve"> FORMDROPDOWN </w:instrText>
            </w:r>
            <w:r w:rsidR="00714FF9">
              <w:rPr>
                <w:rFonts w:cs="Arial"/>
                <w:color w:val="auto"/>
              </w:rPr>
            </w:r>
            <w:r w:rsidR="00714FF9">
              <w:rPr>
                <w:rFonts w:cs="Arial"/>
                <w:color w:val="auto"/>
              </w:rPr>
              <w:fldChar w:fldCharType="separate"/>
            </w:r>
            <w:r w:rsidRPr="00F40E87">
              <w:rPr>
                <w:rFonts w:cs="Arial"/>
                <w:color w:val="auto"/>
              </w:rPr>
              <w:fldChar w:fldCharType="end"/>
            </w:r>
            <w:bookmarkEnd w:id="41"/>
          </w:p>
        </w:tc>
      </w:tr>
    </w:tbl>
    <w:p w14:paraId="5842FBC9" w14:textId="77777777" w:rsidR="00A05D7C" w:rsidRPr="00F40E87" w:rsidRDefault="00A05D7C" w:rsidP="006A487B">
      <w:pPr>
        <w:rPr>
          <w:rFonts w:cs="Arial"/>
          <w:sz w:val="20"/>
          <w:szCs w:val="20"/>
        </w:rPr>
        <w:sectPr w:rsidR="00A05D7C" w:rsidRPr="00F40E87" w:rsidSect="006A487B">
          <w:footnotePr>
            <w:numRestart w:val="eachSect"/>
          </w:footnotePr>
          <w:pgSz w:w="11907" w:h="16840" w:code="9"/>
          <w:pgMar w:top="680" w:right="851" w:bottom="680" w:left="851" w:header="284" w:footer="284" w:gutter="0"/>
          <w:cols w:space="708"/>
          <w:docGrid w:linePitch="360"/>
        </w:sectPr>
      </w:pPr>
    </w:p>
    <w:bookmarkEnd w:id="35"/>
    <w:p w14:paraId="1CC22DDB" w14:textId="77777777" w:rsidR="00771726" w:rsidRDefault="00771726" w:rsidP="001B08DA">
      <w:pPr>
        <w:spacing w:after="120"/>
        <w:jc w:val="both"/>
      </w:pPr>
      <w:r>
        <w:rPr>
          <w:b/>
          <w:sz w:val="22"/>
          <w:u w:val="single"/>
        </w:rPr>
        <w:lastRenderedPageBreak/>
        <w:t>Context</w:t>
      </w:r>
    </w:p>
    <w:p w14:paraId="6065EA3F" w14:textId="77777777" w:rsidR="00771726" w:rsidRDefault="007A1020" w:rsidP="001B08DA">
      <w:pPr>
        <w:spacing w:after="120"/>
        <w:jc w:val="both"/>
      </w:pPr>
      <w:r>
        <w:rPr>
          <w:sz w:val="22"/>
        </w:rPr>
        <w:t>The Prime Minister has set out his ambition to close the gender pay gap “in a generation”</w:t>
      </w:r>
      <w:r>
        <w:rPr>
          <w:rStyle w:val="FootnoteReference"/>
        </w:rPr>
        <w:footnoteReference w:id="1"/>
      </w:r>
      <w:r w:rsidR="00AF2D3E">
        <w:rPr>
          <w:sz w:val="22"/>
        </w:rPr>
        <w:t xml:space="preserve">. To meet his commitment, the Government will take a range of measures to tackle the drivers of the pay gap. As part of these efforts, the Government will use the power in the </w:t>
      </w:r>
      <w:r w:rsidR="00771726">
        <w:rPr>
          <w:sz w:val="22"/>
        </w:rPr>
        <w:t xml:space="preserve"> Equality Act 2010 </w:t>
      </w:r>
      <w:r w:rsidR="004C55C6">
        <w:rPr>
          <w:sz w:val="22"/>
        </w:rPr>
        <w:t>(</w:t>
      </w:r>
      <w:r w:rsidR="00771726">
        <w:rPr>
          <w:sz w:val="22"/>
        </w:rPr>
        <w:t>section 78</w:t>
      </w:r>
      <w:r w:rsidR="004C55C6">
        <w:rPr>
          <w:sz w:val="22"/>
        </w:rPr>
        <w:t>)</w:t>
      </w:r>
      <w:r w:rsidR="00771726">
        <w:rPr>
          <w:sz w:val="22"/>
        </w:rPr>
        <w:t xml:space="preserve"> to make regulations requiring large employers to publish </w:t>
      </w:r>
      <w:r w:rsidR="004C55C6">
        <w:rPr>
          <w:sz w:val="22"/>
        </w:rPr>
        <w:t>gender pay. R</w:t>
      </w:r>
      <w:r w:rsidR="00771726">
        <w:rPr>
          <w:sz w:val="22"/>
        </w:rPr>
        <w:t xml:space="preserve">ecent research by IFF (No.2 in table 1) found that </w:t>
      </w:r>
      <w:r w:rsidR="004C55C6">
        <w:rPr>
          <w:sz w:val="22"/>
        </w:rPr>
        <w:t xml:space="preserve">just </w:t>
      </w:r>
      <w:r w:rsidR="00771726">
        <w:rPr>
          <w:sz w:val="22"/>
        </w:rPr>
        <w:t>two-fifths (41%) of  employers with 250 or more employees currently analyse pay data to explore the gender pay gap</w:t>
      </w:r>
      <w:r w:rsidR="004C55C6">
        <w:rPr>
          <w:sz w:val="22"/>
        </w:rPr>
        <w:t>. By making these regulations, all employers of this size will undertake gender pay analysis and report on the difference in pay between their male and female employees.</w:t>
      </w:r>
    </w:p>
    <w:p w14:paraId="40D85BDD" w14:textId="77777777" w:rsidR="00771726" w:rsidRPr="001B08DA" w:rsidRDefault="00771726" w:rsidP="001B08DA">
      <w:pPr>
        <w:pStyle w:val="Heading4"/>
        <w:jc w:val="both"/>
        <w:rPr>
          <w:b w:val="0"/>
          <w:u w:val="single"/>
        </w:rPr>
      </w:pPr>
      <w:r w:rsidRPr="001B08DA">
        <w:rPr>
          <w:b w:val="0"/>
          <w:u w:val="single"/>
        </w:rPr>
        <w:t>Evidence Base</w:t>
      </w:r>
    </w:p>
    <w:p w14:paraId="4748F31E" w14:textId="77777777" w:rsidR="00771726" w:rsidRDefault="00771726" w:rsidP="001B08DA">
      <w:pPr>
        <w:spacing w:after="120"/>
        <w:jc w:val="both"/>
      </w:pPr>
      <w:r>
        <w:rPr>
          <w:sz w:val="16"/>
        </w:rPr>
        <w:t>Table 1: Evidence base used in this IA</w:t>
      </w:r>
    </w:p>
    <w:tbl>
      <w:tblPr>
        <w:tblW w:w="1026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8"/>
        <w:gridCol w:w="9651"/>
      </w:tblGrid>
      <w:tr w:rsidR="00771726" w14:paraId="36F3B916" w14:textId="77777777" w:rsidTr="00B469D8">
        <w:tc>
          <w:tcPr>
            <w:tcW w:w="618" w:type="dxa"/>
          </w:tcPr>
          <w:p w14:paraId="54A3AAD3" w14:textId="77777777" w:rsidR="00771726" w:rsidRDefault="00771726" w:rsidP="001B08DA">
            <w:pPr>
              <w:jc w:val="both"/>
            </w:pPr>
            <w:r>
              <w:rPr>
                <w:b/>
                <w:sz w:val="22"/>
              </w:rPr>
              <w:t>No.</w:t>
            </w:r>
          </w:p>
        </w:tc>
        <w:tc>
          <w:tcPr>
            <w:tcW w:w="9651" w:type="dxa"/>
          </w:tcPr>
          <w:p w14:paraId="25DD5432" w14:textId="77777777" w:rsidR="00771726" w:rsidRDefault="00771726" w:rsidP="001B08DA">
            <w:pPr>
              <w:jc w:val="both"/>
            </w:pPr>
            <w:r>
              <w:rPr>
                <w:b/>
                <w:sz w:val="22"/>
              </w:rPr>
              <w:t>Legislation or publication</w:t>
            </w:r>
          </w:p>
        </w:tc>
      </w:tr>
      <w:tr w:rsidR="00771726" w14:paraId="4CBA5121" w14:textId="77777777" w:rsidTr="00B469D8">
        <w:tc>
          <w:tcPr>
            <w:tcW w:w="618" w:type="dxa"/>
          </w:tcPr>
          <w:p w14:paraId="3F10604D" w14:textId="77777777" w:rsidR="00771726" w:rsidRDefault="00771726" w:rsidP="001B08DA">
            <w:pPr>
              <w:jc w:val="both"/>
            </w:pPr>
            <w:r>
              <w:rPr>
                <w:sz w:val="22"/>
              </w:rPr>
              <w:t>1</w:t>
            </w:r>
          </w:p>
        </w:tc>
        <w:tc>
          <w:tcPr>
            <w:tcW w:w="9651" w:type="dxa"/>
          </w:tcPr>
          <w:p w14:paraId="724B459B" w14:textId="77777777" w:rsidR="00771726" w:rsidRDefault="00771726" w:rsidP="001B08DA">
            <w:pPr>
              <w:jc w:val="both"/>
            </w:pPr>
            <w:r>
              <w:rPr>
                <w:sz w:val="22"/>
              </w:rPr>
              <w:t>Equality Act Impact Assessment  - April 2009</w:t>
            </w:r>
          </w:p>
        </w:tc>
      </w:tr>
      <w:tr w:rsidR="00771726" w14:paraId="464EA970" w14:textId="77777777" w:rsidTr="00B469D8">
        <w:tc>
          <w:tcPr>
            <w:tcW w:w="618" w:type="dxa"/>
          </w:tcPr>
          <w:p w14:paraId="22C748B7" w14:textId="77777777" w:rsidR="00771726" w:rsidRDefault="00771726" w:rsidP="001B08DA">
            <w:pPr>
              <w:jc w:val="both"/>
            </w:pPr>
            <w:r>
              <w:rPr>
                <w:sz w:val="22"/>
              </w:rPr>
              <w:t>2</w:t>
            </w:r>
          </w:p>
        </w:tc>
        <w:tc>
          <w:tcPr>
            <w:tcW w:w="9651" w:type="dxa"/>
          </w:tcPr>
          <w:p w14:paraId="523D5345" w14:textId="77777777" w:rsidR="00771726" w:rsidRDefault="0086062D" w:rsidP="001B08DA">
            <w:pPr>
              <w:jc w:val="both"/>
              <w:rPr>
                <w:sz w:val="22"/>
              </w:rPr>
            </w:pPr>
            <w:bookmarkStart w:id="42" w:name="h.ocpmnfmk5dkk" w:colFirst="0" w:colLast="0"/>
            <w:bookmarkEnd w:id="42"/>
            <w:r>
              <w:rPr>
                <w:sz w:val="22"/>
              </w:rPr>
              <w:t xml:space="preserve">Company Reporting: Gender Pay Data - </w:t>
            </w:r>
            <w:r w:rsidR="00771726">
              <w:rPr>
                <w:sz w:val="22"/>
              </w:rPr>
              <w:t>IFF Research (2014)</w:t>
            </w:r>
          </w:p>
          <w:p w14:paraId="15B06027" w14:textId="77777777" w:rsidR="0086062D" w:rsidRPr="0086062D" w:rsidRDefault="00714FF9" w:rsidP="001B08DA">
            <w:pPr>
              <w:jc w:val="both"/>
              <w:rPr>
                <w:sz w:val="22"/>
                <w:szCs w:val="22"/>
              </w:rPr>
            </w:pPr>
            <w:hyperlink r:id="rId10" w:tgtFrame="_blank" w:history="1">
              <w:r w:rsidR="0086062D" w:rsidRPr="0086062D">
                <w:rPr>
                  <w:rStyle w:val="Hyperlink"/>
                  <w:rFonts w:cs="Arial"/>
                  <w:color w:val="1155CC"/>
                  <w:sz w:val="22"/>
                  <w:szCs w:val="22"/>
                  <w:shd w:val="clear" w:color="auto" w:fill="FFFFFF"/>
                </w:rPr>
                <w:t>https://www.gov.uk/government/publications/company-reporting-gender-pay-data</w:t>
              </w:r>
            </w:hyperlink>
          </w:p>
          <w:p w14:paraId="2A6562BB" w14:textId="77777777" w:rsidR="00771726" w:rsidRPr="0086062D" w:rsidRDefault="00771726" w:rsidP="001B08DA">
            <w:pPr>
              <w:jc w:val="both"/>
              <w:rPr>
                <w:sz w:val="22"/>
                <w:szCs w:val="22"/>
              </w:rPr>
            </w:pPr>
            <w:bookmarkStart w:id="43" w:name="h.2p2csry" w:colFirst="0" w:colLast="0"/>
            <w:bookmarkEnd w:id="43"/>
          </w:p>
          <w:p w14:paraId="0E895A02" w14:textId="77777777" w:rsidR="00771726" w:rsidRDefault="00771726" w:rsidP="001B08DA">
            <w:pPr>
              <w:tabs>
                <w:tab w:val="left" w:pos="709"/>
                <w:tab w:val="left" w:pos="879"/>
              </w:tabs>
              <w:spacing w:after="240"/>
              <w:jc w:val="both"/>
            </w:pPr>
            <w:r>
              <w:rPr>
                <w:color w:val="131313"/>
                <w:sz w:val="22"/>
              </w:rPr>
              <w:t xml:space="preserve">This survey of employers investigated the extent to which employers across Great Britain with 150 or more staff collect, report and publish data on pay by gender and to assess the awareness and impact of </w:t>
            </w:r>
            <w:r>
              <w:rPr>
                <w:i/>
                <w:color w:val="131313"/>
                <w:sz w:val="22"/>
              </w:rPr>
              <w:t xml:space="preserve">Think, Act, Report </w:t>
            </w:r>
            <w:r>
              <w:rPr>
                <w:color w:val="131313"/>
                <w:sz w:val="22"/>
              </w:rPr>
              <w:t>three years on from its publication. The research comprised 855 telephone survey conducted in September 2014 with private and voluntary sector employers. This research will be published alongside the consultation.</w:t>
            </w:r>
          </w:p>
        </w:tc>
      </w:tr>
      <w:tr w:rsidR="00771726" w14:paraId="7FEAAEE3" w14:textId="77777777" w:rsidTr="00B469D8">
        <w:tc>
          <w:tcPr>
            <w:tcW w:w="618" w:type="dxa"/>
          </w:tcPr>
          <w:p w14:paraId="52C6F5B1" w14:textId="77777777" w:rsidR="00771726" w:rsidRDefault="00771726" w:rsidP="001B08DA">
            <w:pPr>
              <w:jc w:val="both"/>
            </w:pPr>
            <w:r>
              <w:rPr>
                <w:sz w:val="22"/>
              </w:rPr>
              <w:t>3</w:t>
            </w:r>
          </w:p>
        </w:tc>
        <w:tc>
          <w:tcPr>
            <w:tcW w:w="9651" w:type="dxa"/>
          </w:tcPr>
          <w:p w14:paraId="35CC767F" w14:textId="77777777" w:rsidR="00771726" w:rsidRDefault="00771726" w:rsidP="001B08DA">
            <w:pPr>
              <w:jc w:val="both"/>
            </w:pPr>
            <w:r>
              <w:rPr>
                <w:sz w:val="22"/>
              </w:rPr>
              <w:t xml:space="preserve">Enhancing </w:t>
            </w:r>
            <w:r>
              <w:rPr>
                <w:i/>
                <w:sz w:val="22"/>
              </w:rPr>
              <w:t>Think Act Report</w:t>
            </w:r>
            <w:r>
              <w:rPr>
                <w:sz w:val="22"/>
              </w:rPr>
              <w:t xml:space="preserve"> – GEO officials hosted a series of ‘Chatham House’ rule roundtable discussions on gender pay analysis to encourage more </w:t>
            </w:r>
            <w:r>
              <w:rPr>
                <w:i/>
                <w:sz w:val="22"/>
              </w:rPr>
              <w:t>Think, Act, Report</w:t>
            </w:r>
            <w:r>
              <w:rPr>
                <w:sz w:val="22"/>
              </w:rPr>
              <w:t xml:space="preserve"> companies to collect, analyse, and report significant gender pay information.</w:t>
            </w:r>
          </w:p>
        </w:tc>
      </w:tr>
      <w:tr w:rsidR="00771726" w14:paraId="25F046F7" w14:textId="77777777" w:rsidTr="00B469D8">
        <w:tc>
          <w:tcPr>
            <w:tcW w:w="618" w:type="dxa"/>
          </w:tcPr>
          <w:p w14:paraId="694448FA" w14:textId="77777777" w:rsidR="00771726" w:rsidRPr="007754F9" w:rsidRDefault="00771726" w:rsidP="001B08DA">
            <w:pPr>
              <w:jc w:val="both"/>
              <w:rPr>
                <w:sz w:val="22"/>
                <w:szCs w:val="22"/>
              </w:rPr>
            </w:pPr>
            <w:r w:rsidRPr="007754F9">
              <w:rPr>
                <w:sz w:val="22"/>
                <w:szCs w:val="22"/>
              </w:rPr>
              <w:t>4</w:t>
            </w:r>
          </w:p>
        </w:tc>
        <w:tc>
          <w:tcPr>
            <w:tcW w:w="9651" w:type="dxa"/>
          </w:tcPr>
          <w:p w14:paraId="7BB08B3D" w14:textId="77777777" w:rsidR="00771726" w:rsidRPr="007754F9" w:rsidRDefault="00771726" w:rsidP="001B08DA">
            <w:pPr>
              <w:jc w:val="both"/>
              <w:rPr>
                <w:sz w:val="22"/>
                <w:szCs w:val="22"/>
              </w:rPr>
            </w:pPr>
            <w:r w:rsidRPr="007754F9">
              <w:rPr>
                <w:sz w:val="22"/>
                <w:szCs w:val="22"/>
              </w:rPr>
              <w:t>Equality and Human Rights Commission Proposals for Measuring and Publishing information on the gender pay gap.</w:t>
            </w:r>
          </w:p>
          <w:p w14:paraId="3EDA9CFE" w14:textId="77777777" w:rsidR="00771726" w:rsidRPr="007754F9" w:rsidRDefault="00771726" w:rsidP="001B08DA">
            <w:pPr>
              <w:jc w:val="both"/>
              <w:rPr>
                <w:sz w:val="22"/>
                <w:szCs w:val="22"/>
              </w:rPr>
            </w:pPr>
          </w:p>
          <w:p w14:paraId="63C5A399" w14:textId="77777777" w:rsidR="00771726" w:rsidRPr="007754F9" w:rsidRDefault="00771726" w:rsidP="001B08DA">
            <w:pPr>
              <w:spacing w:after="200"/>
              <w:jc w:val="both"/>
              <w:rPr>
                <w:sz w:val="22"/>
                <w:szCs w:val="22"/>
              </w:rPr>
            </w:pPr>
            <w:r w:rsidRPr="007754F9">
              <w:rPr>
                <w:sz w:val="22"/>
                <w:szCs w:val="22"/>
              </w:rPr>
              <w:t xml:space="preserve">In 2009, the then Government invited the EHRC to consult on </w:t>
            </w:r>
            <w:r w:rsidRPr="007754F9">
              <w:rPr>
                <w:sz w:val="22"/>
                <w:szCs w:val="22"/>
                <w:highlight w:val="white"/>
              </w:rPr>
              <w:t>proposals for measuring and publishing information on the gender pay gap, research into what employers in the private and voluntary sectors were doing to measure and report on gender pay gaps and to explore the reasons for measuring and reporting (or for not doing so) among these employers.</w:t>
            </w:r>
          </w:p>
          <w:p w14:paraId="302210EE" w14:textId="77777777" w:rsidR="00771726" w:rsidRPr="007754F9" w:rsidRDefault="00714FF9" w:rsidP="001B08DA">
            <w:pPr>
              <w:spacing w:after="200"/>
              <w:jc w:val="both"/>
              <w:rPr>
                <w:sz w:val="22"/>
                <w:szCs w:val="22"/>
              </w:rPr>
            </w:pPr>
            <w:hyperlink r:id="rId11" w:history="1">
              <w:r w:rsidR="00771726" w:rsidRPr="007754F9">
                <w:rPr>
                  <w:rStyle w:val="Hyperlink"/>
                  <w:rFonts w:eastAsia="SimSun"/>
                  <w:sz w:val="22"/>
                  <w:szCs w:val="22"/>
                </w:rPr>
                <w:t>http://www.equalityhumanrights.com/sites/default/files/documents/research/gender_pay_gap_proposals_final.pdf</w:t>
              </w:r>
            </w:hyperlink>
            <w:r w:rsidR="00771726" w:rsidRPr="007754F9">
              <w:rPr>
                <w:sz w:val="22"/>
                <w:szCs w:val="22"/>
              </w:rPr>
              <w:t xml:space="preserve"> </w:t>
            </w:r>
            <w:r w:rsidR="00771726">
              <w:rPr>
                <w:sz w:val="22"/>
                <w:szCs w:val="22"/>
              </w:rPr>
              <w:t xml:space="preserve"> </w:t>
            </w:r>
          </w:p>
        </w:tc>
      </w:tr>
      <w:tr w:rsidR="00771726" w14:paraId="17BE5CE2" w14:textId="77777777" w:rsidTr="00B469D8">
        <w:tc>
          <w:tcPr>
            <w:tcW w:w="618" w:type="dxa"/>
          </w:tcPr>
          <w:p w14:paraId="0DDF36AB" w14:textId="77777777" w:rsidR="00771726" w:rsidRDefault="00771726" w:rsidP="001B08DA">
            <w:pPr>
              <w:jc w:val="both"/>
            </w:pPr>
            <w:r>
              <w:rPr>
                <w:sz w:val="22"/>
              </w:rPr>
              <w:t>5</w:t>
            </w:r>
          </w:p>
        </w:tc>
        <w:tc>
          <w:tcPr>
            <w:tcW w:w="9651" w:type="dxa"/>
          </w:tcPr>
          <w:p w14:paraId="4740F5CB" w14:textId="77777777" w:rsidR="00771726" w:rsidRDefault="00771726" w:rsidP="001B08DA">
            <w:pPr>
              <w:jc w:val="both"/>
            </w:pPr>
            <w:r>
              <w:rPr>
                <w:sz w:val="22"/>
              </w:rPr>
              <w:t xml:space="preserve">Telephone interviews conducted with those who had previously taken part in IFF research on reporting gender pay gap data. Forty four companies were contacted and </w:t>
            </w:r>
            <w:r>
              <w:rPr>
                <w:b/>
                <w:sz w:val="22"/>
              </w:rPr>
              <w:t xml:space="preserve">11 interviews </w:t>
            </w:r>
            <w:r>
              <w:rPr>
                <w:sz w:val="22"/>
              </w:rPr>
              <w:t xml:space="preserve">were conducted. </w:t>
            </w:r>
          </w:p>
          <w:p w14:paraId="22224504" w14:textId="77777777" w:rsidR="00771726" w:rsidRDefault="00771726" w:rsidP="001B08DA">
            <w:pPr>
              <w:jc w:val="both"/>
            </w:pPr>
          </w:p>
        </w:tc>
      </w:tr>
      <w:tr w:rsidR="00771726" w14:paraId="6B449E7C" w14:textId="77777777" w:rsidTr="00B469D8">
        <w:tc>
          <w:tcPr>
            <w:tcW w:w="618" w:type="dxa"/>
          </w:tcPr>
          <w:p w14:paraId="7CFE06F1" w14:textId="77777777" w:rsidR="00771726" w:rsidRDefault="00771726" w:rsidP="001B08DA">
            <w:pPr>
              <w:jc w:val="both"/>
            </w:pPr>
            <w:r>
              <w:rPr>
                <w:sz w:val="22"/>
              </w:rPr>
              <w:t>6</w:t>
            </w:r>
          </w:p>
        </w:tc>
        <w:tc>
          <w:tcPr>
            <w:tcW w:w="9651" w:type="dxa"/>
          </w:tcPr>
          <w:p w14:paraId="385D3846" w14:textId="77777777" w:rsidR="00771726" w:rsidRDefault="00771726" w:rsidP="001B08DA">
            <w:pPr>
              <w:jc w:val="both"/>
            </w:pPr>
            <w:r>
              <w:rPr>
                <w:sz w:val="22"/>
              </w:rPr>
              <w:t xml:space="preserve">Telephone interviews with 3 companies from </w:t>
            </w:r>
            <w:r>
              <w:rPr>
                <w:i/>
                <w:sz w:val="22"/>
              </w:rPr>
              <w:t>Think, Act, Report</w:t>
            </w:r>
            <w:r>
              <w:rPr>
                <w:sz w:val="22"/>
              </w:rPr>
              <w:t xml:space="preserve"> who have published gender pay gap data.</w:t>
            </w:r>
          </w:p>
        </w:tc>
      </w:tr>
      <w:tr w:rsidR="00771726" w14:paraId="68DC8A27" w14:textId="77777777" w:rsidTr="00B469D8">
        <w:tc>
          <w:tcPr>
            <w:tcW w:w="618" w:type="dxa"/>
          </w:tcPr>
          <w:p w14:paraId="4280D8B5" w14:textId="77777777" w:rsidR="00771726" w:rsidRDefault="00771726" w:rsidP="001B08DA">
            <w:pPr>
              <w:jc w:val="both"/>
            </w:pPr>
            <w:r>
              <w:rPr>
                <w:sz w:val="22"/>
              </w:rPr>
              <w:t>7</w:t>
            </w:r>
          </w:p>
        </w:tc>
        <w:tc>
          <w:tcPr>
            <w:tcW w:w="9651" w:type="dxa"/>
          </w:tcPr>
          <w:p w14:paraId="640673B0" w14:textId="77777777" w:rsidR="00771726" w:rsidRDefault="00771726" w:rsidP="001B08DA">
            <w:pPr>
              <w:jc w:val="both"/>
            </w:pPr>
            <w:r>
              <w:rPr>
                <w:sz w:val="22"/>
              </w:rPr>
              <w:t>Face to face conversation with a large employer.</w:t>
            </w:r>
          </w:p>
          <w:p w14:paraId="66912244" w14:textId="77777777" w:rsidR="00771726" w:rsidRDefault="00771726" w:rsidP="001B08DA">
            <w:pPr>
              <w:jc w:val="both"/>
            </w:pPr>
          </w:p>
        </w:tc>
      </w:tr>
      <w:tr w:rsidR="00771726" w14:paraId="6B3E102D" w14:textId="77777777" w:rsidTr="00B469D8">
        <w:tc>
          <w:tcPr>
            <w:tcW w:w="618" w:type="dxa"/>
          </w:tcPr>
          <w:p w14:paraId="6FACF93E" w14:textId="77777777" w:rsidR="00771726" w:rsidRDefault="00771726" w:rsidP="001B08DA">
            <w:pPr>
              <w:jc w:val="both"/>
              <w:rPr>
                <w:sz w:val="22"/>
              </w:rPr>
            </w:pPr>
            <w:r>
              <w:rPr>
                <w:sz w:val="22"/>
              </w:rPr>
              <w:t>8</w:t>
            </w:r>
          </w:p>
        </w:tc>
        <w:tc>
          <w:tcPr>
            <w:tcW w:w="9651" w:type="dxa"/>
          </w:tcPr>
          <w:p w14:paraId="59E2C21F" w14:textId="77777777" w:rsidR="00771726" w:rsidRDefault="00771726" w:rsidP="001B08DA">
            <w:pPr>
              <w:jc w:val="both"/>
              <w:rPr>
                <w:sz w:val="22"/>
              </w:rPr>
            </w:pPr>
            <w:r>
              <w:rPr>
                <w:sz w:val="22"/>
              </w:rPr>
              <w:t>Age supplement to EHRC Code of Practice on discrimination in the provision of goods and services Impact Assessment 2014</w:t>
            </w:r>
          </w:p>
        </w:tc>
      </w:tr>
    </w:tbl>
    <w:p w14:paraId="46FF8449" w14:textId="77777777" w:rsidR="00771726" w:rsidRDefault="00771726" w:rsidP="001B08DA">
      <w:pPr>
        <w:spacing w:after="120"/>
        <w:jc w:val="both"/>
        <w:rPr>
          <w:sz w:val="22"/>
          <w:u w:val="single"/>
        </w:rPr>
      </w:pPr>
    </w:p>
    <w:p w14:paraId="5382BAC3" w14:textId="77777777" w:rsidR="00771726" w:rsidRDefault="00771726" w:rsidP="001B08DA">
      <w:pPr>
        <w:spacing w:after="120"/>
        <w:jc w:val="both"/>
        <w:rPr>
          <w:sz w:val="22"/>
          <w:u w:val="single"/>
        </w:rPr>
      </w:pPr>
    </w:p>
    <w:p w14:paraId="5943A74D" w14:textId="77777777" w:rsidR="00321F4E" w:rsidRDefault="00321F4E" w:rsidP="001B08DA">
      <w:pPr>
        <w:spacing w:after="120"/>
        <w:jc w:val="both"/>
        <w:rPr>
          <w:b/>
          <w:sz w:val="22"/>
          <w:u w:val="single"/>
        </w:rPr>
      </w:pPr>
    </w:p>
    <w:p w14:paraId="1376145C" w14:textId="77777777" w:rsidR="00321F4E" w:rsidRDefault="00321F4E" w:rsidP="001B08DA">
      <w:pPr>
        <w:spacing w:after="120"/>
        <w:jc w:val="both"/>
        <w:rPr>
          <w:b/>
          <w:sz w:val="22"/>
          <w:u w:val="single"/>
        </w:rPr>
      </w:pPr>
    </w:p>
    <w:p w14:paraId="33F7C9AA" w14:textId="77777777" w:rsidR="00771726" w:rsidRPr="00584666" w:rsidRDefault="00771726" w:rsidP="001B08DA">
      <w:pPr>
        <w:spacing w:after="120"/>
        <w:jc w:val="both"/>
        <w:rPr>
          <w:b/>
        </w:rPr>
      </w:pPr>
      <w:r w:rsidRPr="00584666">
        <w:rPr>
          <w:b/>
          <w:sz w:val="22"/>
          <w:u w:val="single"/>
        </w:rPr>
        <w:t xml:space="preserve">PROBLEM UNDER CONSIDERATION </w:t>
      </w:r>
    </w:p>
    <w:p w14:paraId="44005A18" w14:textId="77777777" w:rsidR="00574EB9" w:rsidRDefault="00574EB9" w:rsidP="001B08DA">
      <w:pPr>
        <w:spacing w:after="120"/>
        <w:jc w:val="both"/>
        <w:rPr>
          <w:b/>
          <w:sz w:val="22"/>
          <w:u w:val="single"/>
        </w:rPr>
      </w:pPr>
    </w:p>
    <w:p w14:paraId="5C8D34AA" w14:textId="77777777" w:rsidR="00771726" w:rsidRDefault="00771726" w:rsidP="001B08DA">
      <w:pPr>
        <w:spacing w:after="120"/>
        <w:jc w:val="both"/>
        <w:rPr>
          <w:b/>
          <w:sz w:val="22"/>
          <w:u w:val="single"/>
        </w:rPr>
      </w:pPr>
      <w:r>
        <w:rPr>
          <w:b/>
          <w:sz w:val="22"/>
          <w:u w:val="single"/>
        </w:rPr>
        <w:t>The Gender Pay Gap</w:t>
      </w:r>
    </w:p>
    <w:p w14:paraId="302A57D1" w14:textId="77777777" w:rsidR="00574EB9" w:rsidRDefault="00574EB9" w:rsidP="001B08DA">
      <w:pPr>
        <w:spacing w:after="120"/>
        <w:jc w:val="both"/>
        <w:rPr>
          <w:sz w:val="22"/>
          <w:u w:val="single"/>
        </w:rPr>
      </w:pPr>
    </w:p>
    <w:p w14:paraId="6377C2A4" w14:textId="77777777" w:rsidR="00771726" w:rsidRPr="00EA6F47" w:rsidRDefault="00771726" w:rsidP="001B08DA">
      <w:pPr>
        <w:spacing w:after="120"/>
        <w:jc w:val="both"/>
        <w:rPr>
          <w:sz w:val="22"/>
          <w:u w:val="single"/>
        </w:rPr>
      </w:pPr>
      <w:r w:rsidRPr="00EA6F47">
        <w:rPr>
          <w:sz w:val="22"/>
          <w:u w:val="single"/>
        </w:rPr>
        <w:t xml:space="preserve">Gender Pay Gap </w:t>
      </w:r>
      <w:r>
        <w:rPr>
          <w:sz w:val="22"/>
          <w:u w:val="single"/>
        </w:rPr>
        <w:t>over time, for full/</w:t>
      </w:r>
      <w:r w:rsidRPr="00EA6F47">
        <w:rPr>
          <w:sz w:val="22"/>
          <w:u w:val="single"/>
        </w:rPr>
        <w:t>part-time employees and different age groups</w:t>
      </w:r>
    </w:p>
    <w:p w14:paraId="047305FE" w14:textId="77777777" w:rsidR="00771726" w:rsidRPr="00EA6F47" w:rsidRDefault="00771726" w:rsidP="001B08DA">
      <w:pPr>
        <w:spacing w:after="120"/>
        <w:jc w:val="both"/>
        <w:rPr>
          <w:sz w:val="22"/>
        </w:rPr>
      </w:pPr>
      <w:r w:rsidRPr="00EA6F47">
        <w:rPr>
          <w:sz w:val="22"/>
        </w:rPr>
        <w:t>(Data used in the first part of this section is from the Annual Survey of Hours and Earnings)</w:t>
      </w:r>
    </w:p>
    <w:p w14:paraId="4BB990C7" w14:textId="77777777" w:rsidR="00771726" w:rsidRDefault="00771726" w:rsidP="001B08DA">
      <w:pPr>
        <w:spacing w:after="120"/>
        <w:jc w:val="both"/>
      </w:pPr>
      <w:r>
        <w:rPr>
          <w:sz w:val="22"/>
        </w:rPr>
        <w:t xml:space="preserve">The gender pay gap is the difference in earnings received by men and women. It does not include self-employed people. </w:t>
      </w:r>
      <w:r>
        <w:rPr>
          <w:sz w:val="22"/>
          <w:highlight w:val="white"/>
        </w:rPr>
        <w:t xml:space="preserve">The ONS </w:t>
      </w:r>
      <w:r>
        <w:rPr>
          <w:sz w:val="22"/>
        </w:rPr>
        <w:t>currently calculate the gap using the difference between the median gross hourly earnings excluding overtime of men and women as a percentage of men's earnings. In 2014, the gender pay gap was</w:t>
      </w:r>
      <w:r>
        <w:rPr>
          <w:sz w:val="22"/>
          <w:highlight w:val="white"/>
        </w:rPr>
        <w:t xml:space="preserve"> 19.1% </w:t>
      </w:r>
      <w:r>
        <w:rPr>
          <w:sz w:val="22"/>
        </w:rPr>
        <w:t>for all employees working full or part time in any occupation. This means that women are paid on average 19.1% less than men.</w:t>
      </w:r>
    </w:p>
    <w:p w14:paraId="28F40247" w14:textId="77777777" w:rsidR="00771726" w:rsidRDefault="00771726" w:rsidP="001B08DA">
      <w:pPr>
        <w:jc w:val="both"/>
      </w:pPr>
      <w:r>
        <w:rPr>
          <w:sz w:val="22"/>
        </w:rPr>
        <w:t>While there is no single measure that adequately deals with the complex issue of the differences between men and women’s pay, the ONS prefer to use median hourly earnings (excluding overtime) for full-time employees.  Including overtime can skew the results because men work relatively more overtime than women, and using hourly earnings better accounts for the effects of different part time / full time working patterns for men and women. Out of the population who work full-time, 60.5% are men and only 39.5% of women. If weekly, monthly or annual earnings were used, this would result in a much larger pay gap, almost entirely due to different working patterns. The median level of earnings is the preferred measure for comparing average earnings as it is less affected by a small proportion of high income earners.</w:t>
      </w:r>
    </w:p>
    <w:p w14:paraId="34082B6B" w14:textId="77777777" w:rsidR="00771726" w:rsidRDefault="00771726" w:rsidP="001B08DA">
      <w:pPr>
        <w:jc w:val="both"/>
      </w:pPr>
    </w:p>
    <w:p w14:paraId="3876889B" w14:textId="77777777" w:rsidR="00771726" w:rsidRDefault="00771726" w:rsidP="001B08DA">
      <w:pPr>
        <w:spacing w:after="120"/>
        <w:jc w:val="both"/>
      </w:pPr>
      <w:r>
        <w:rPr>
          <w:sz w:val="16"/>
        </w:rPr>
        <w:t>Figure 1: Time series of the gender pay gap for all, full-time and part-time employees</w:t>
      </w:r>
    </w:p>
    <w:p w14:paraId="366368E4" w14:textId="77777777" w:rsidR="00771726" w:rsidRDefault="00771726" w:rsidP="001B08DA">
      <w:pPr>
        <w:spacing w:after="120"/>
        <w:jc w:val="both"/>
      </w:pPr>
      <w:r w:rsidRPr="00217BC7">
        <w:rPr>
          <w:noProof/>
          <w:lang w:eastAsia="en-GB"/>
        </w:rPr>
        <w:drawing>
          <wp:inline distT="0" distB="0" distL="0" distR="0" wp14:anchorId="1576928E" wp14:editId="00E11D6B">
            <wp:extent cx="3418840" cy="1844040"/>
            <wp:effectExtent l="0" t="0" r="0" b="381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8840" cy="1844040"/>
                    </a:xfrm>
                    <a:prstGeom prst="rect">
                      <a:avLst/>
                    </a:prstGeom>
                    <a:noFill/>
                    <a:ln>
                      <a:noFill/>
                    </a:ln>
                  </pic:spPr>
                </pic:pic>
              </a:graphicData>
            </a:graphic>
          </wp:inline>
        </w:drawing>
      </w:r>
    </w:p>
    <w:p w14:paraId="1EBBD0B7" w14:textId="77777777" w:rsidR="00771726" w:rsidRDefault="00771726" w:rsidP="001B08DA">
      <w:pPr>
        <w:jc w:val="both"/>
      </w:pPr>
    </w:p>
    <w:p w14:paraId="2642C6D0" w14:textId="77777777" w:rsidR="00771726" w:rsidRDefault="00771726" w:rsidP="001B08DA">
      <w:pPr>
        <w:jc w:val="both"/>
      </w:pPr>
    </w:p>
    <w:p w14:paraId="6AD1D43B" w14:textId="77777777" w:rsidR="00771726" w:rsidRDefault="00771726" w:rsidP="001B08DA">
      <w:pPr>
        <w:jc w:val="both"/>
      </w:pPr>
      <w:r w:rsidRPr="005E5C60">
        <w:rPr>
          <w:sz w:val="22"/>
          <w:highlight w:val="white"/>
        </w:rPr>
        <w:t xml:space="preserve">The gender pay gap </w:t>
      </w:r>
      <w:r w:rsidRPr="005E5C60">
        <w:rPr>
          <w:sz w:val="22"/>
        </w:rPr>
        <w:t>has fallen from 27.5% in 1997 to 19.1% in 2014</w:t>
      </w:r>
      <w:r w:rsidR="005E5C60" w:rsidRPr="005E5C60">
        <w:rPr>
          <w:sz w:val="22"/>
        </w:rPr>
        <w:t xml:space="preserve"> d</w:t>
      </w:r>
      <w:r w:rsidR="005D1D7D" w:rsidRPr="005E5C60">
        <w:rPr>
          <w:sz w:val="22"/>
        </w:rPr>
        <w:t>ue to a number of structural changes</w:t>
      </w:r>
      <w:r w:rsidRPr="005E5C60">
        <w:rPr>
          <w:sz w:val="22"/>
        </w:rPr>
        <w:t xml:space="preserve">. The part time gender pay gap is negative as there has been a large rise in average part time earnings for women between the 20-29 and 30-39 age groups which indicates higher skilled and </w:t>
      </w:r>
      <w:r>
        <w:rPr>
          <w:sz w:val="22"/>
        </w:rPr>
        <w:t xml:space="preserve">better paid women are taking part time work to fit around childcare responsibilities. This has led to a negative pay gap currently at -8.2% for part time workers in this age group. </w:t>
      </w:r>
    </w:p>
    <w:p w14:paraId="0EC7BDE5" w14:textId="77777777" w:rsidR="00771726" w:rsidRDefault="00771726" w:rsidP="001B08DA">
      <w:pPr>
        <w:jc w:val="both"/>
      </w:pPr>
    </w:p>
    <w:p w14:paraId="1FCCA162" w14:textId="77777777" w:rsidR="00771726" w:rsidRDefault="00771726" w:rsidP="001B08DA">
      <w:pPr>
        <w:jc w:val="both"/>
      </w:pPr>
      <w:r>
        <w:rPr>
          <w:sz w:val="22"/>
        </w:rPr>
        <w:t xml:space="preserve">The gender pay gap has narrowed for </w:t>
      </w:r>
      <w:r>
        <w:rPr>
          <w:sz w:val="22"/>
          <w:u w:val="single"/>
        </w:rPr>
        <w:t>full-time employees</w:t>
      </w:r>
      <w:r>
        <w:rPr>
          <w:sz w:val="22"/>
        </w:rPr>
        <w:t xml:space="preserve">, to 9.4% compared with 10.0% in 2013.  Despite a relatively large increase between 2012 and 2013, there is an overall downward trend, from 17.4% in 1997. For </w:t>
      </w:r>
      <w:r>
        <w:rPr>
          <w:sz w:val="22"/>
          <w:u w:val="single"/>
        </w:rPr>
        <w:t>part-time employees</w:t>
      </w:r>
      <w:r>
        <w:rPr>
          <w:sz w:val="22"/>
        </w:rPr>
        <w:t>, the higher rate of pay for women than men results in a ‘negative’ gender pay gap</w:t>
      </w:r>
      <w:r w:rsidR="00335EEF">
        <w:rPr>
          <w:sz w:val="22"/>
        </w:rPr>
        <w:t>, although this figure can be misleading as women re</w:t>
      </w:r>
      <w:r w:rsidR="00A45CB0">
        <w:rPr>
          <w:sz w:val="22"/>
        </w:rPr>
        <w:t>present 75</w:t>
      </w:r>
      <w:r w:rsidR="00335EEF">
        <w:rPr>
          <w:sz w:val="22"/>
        </w:rPr>
        <w:t xml:space="preserve"> % of all part-time workers and part-time work attracts significantly lower pay than full-time work</w:t>
      </w:r>
      <w:r>
        <w:rPr>
          <w:sz w:val="22"/>
        </w:rPr>
        <w:t xml:space="preserve">.  </w:t>
      </w:r>
    </w:p>
    <w:p w14:paraId="0857E002" w14:textId="77777777" w:rsidR="00B15F27" w:rsidRDefault="00771726" w:rsidP="001B08DA">
      <w:pPr>
        <w:jc w:val="both"/>
        <w:rPr>
          <w:sz w:val="22"/>
        </w:rPr>
      </w:pPr>
      <w:r>
        <w:rPr>
          <w:sz w:val="22"/>
        </w:rPr>
        <w:t xml:space="preserve">The gender pay gap is relatively small up to, and including, the 30-39 age group (with the exception of the 16-17 age group).  In fact, the gap is negative for the 22-29 and 30-39 age groups, meaning that women earn on average more than men. </w:t>
      </w:r>
      <w:r w:rsidR="00335EEF">
        <w:rPr>
          <w:sz w:val="22"/>
        </w:rPr>
        <w:t xml:space="preserve">There is some evidence of a cohort effect where the pay gap has fallen first for younger age groups, before falling for older age groups. For example, the pay gap for somebody in the 30 to 39 age group in 1997 was 25.1%. Ten years later, these people would be in the 40 to 49 year old age group, which had a pay gap of 30.3% in 2007, much lower than it had been for that age group in 1997 (37.2%). </w:t>
      </w:r>
    </w:p>
    <w:p w14:paraId="2E395111" w14:textId="77777777" w:rsidR="00B15F27" w:rsidRDefault="00B15F27" w:rsidP="001B08DA">
      <w:pPr>
        <w:jc w:val="both"/>
        <w:rPr>
          <w:sz w:val="22"/>
        </w:rPr>
      </w:pPr>
    </w:p>
    <w:p w14:paraId="67E7D6AF" w14:textId="77777777" w:rsidR="00771726" w:rsidRDefault="00335EEF" w:rsidP="001B08DA">
      <w:pPr>
        <w:jc w:val="both"/>
        <w:rPr>
          <w:sz w:val="22"/>
        </w:rPr>
      </w:pPr>
      <w:r>
        <w:rPr>
          <w:sz w:val="22"/>
        </w:rPr>
        <w:t xml:space="preserve">However, this cohort effect is unlikely in itself to close the pay gap within a generation. </w:t>
      </w:r>
      <w:r w:rsidR="00771726">
        <w:rPr>
          <w:sz w:val="22"/>
        </w:rPr>
        <w:t xml:space="preserve"> </w:t>
      </w:r>
      <w:r w:rsidR="00B15F27">
        <w:rPr>
          <w:sz w:val="22"/>
        </w:rPr>
        <w:t>T</w:t>
      </w:r>
      <w:r w:rsidR="00771726">
        <w:rPr>
          <w:sz w:val="22"/>
        </w:rPr>
        <w:t>he gender pay gap peaks for those aged 40-49 years old.</w:t>
      </w:r>
      <w:r w:rsidR="00771726">
        <w:rPr>
          <w:sz w:val="22"/>
          <w:vertAlign w:val="superscript"/>
        </w:rPr>
        <w:footnoteReference w:id="2"/>
      </w:r>
      <w:r w:rsidR="00771726">
        <w:rPr>
          <w:sz w:val="22"/>
        </w:rPr>
        <w:t xml:space="preserve">  This is likely to be connected with the fact that many women have children and take time out of the labour market (motherhood gap). The IFF research found that only </w:t>
      </w:r>
      <w:r w:rsidR="00771726">
        <w:rPr>
          <w:sz w:val="22"/>
        </w:rPr>
        <w:lastRenderedPageBreak/>
        <w:t xml:space="preserve">around a third of employers collected information on the proportion of mothers who return following maternity leave (35%); this was most common in larger companies (50% of employers with 1,000 or more staff). </w:t>
      </w:r>
    </w:p>
    <w:p w14:paraId="4423EBCA" w14:textId="77777777" w:rsidR="00771726" w:rsidRDefault="00771726" w:rsidP="001B08DA">
      <w:pPr>
        <w:jc w:val="both"/>
        <w:rPr>
          <w:sz w:val="22"/>
        </w:rPr>
      </w:pPr>
    </w:p>
    <w:p w14:paraId="311973A8" w14:textId="77777777" w:rsidR="00771726" w:rsidRDefault="0076676A" w:rsidP="001B08DA">
      <w:pPr>
        <w:jc w:val="both"/>
        <w:rPr>
          <w:sz w:val="22"/>
          <w:u w:val="single"/>
        </w:rPr>
      </w:pPr>
      <w:r w:rsidRPr="00403F74">
        <w:rPr>
          <w:sz w:val="22"/>
          <w:u w:val="single"/>
        </w:rPr>
        <w:t>Causes of</w:t>
      </w:r>
      <w:r w:rsidR="00771726" w:rsidRPr="00403F74">
        <w:rPr>
          <w:sz w:val="22"/>
          <w:u w:val="single"/>
        </w:rPr>
        <w:t xml:space="preserve"> </w:t>
      </w:r>
      <w:r w:rsidRPr="00403F74">
        <w:rPr>
          <w:sz w:val="22"/>
          <w:u w:val="single"/>
        </w:rPr>
        <w:t xml:space="preserve">the </w:t>
      </w:r>
      <w:r w:rsidR="00771726" w:rsidRPr="00403F74">
        <w:rPr>
          <w:sz w:val="22"/>
          <w:u w:val="single"/>
        </w:rPr>
        <w:t>gender pay gap</w:t>
      </w:r>
    </w:p>
    <w:p w14:paraId="3876D49D" w14:textId="77777777" w:rsidR="00771726" w:rsidRDefault="00771726" w:rsidP="001B08DA">
      <w:pPr>
        <w:jc w:val="both"/>
        <w:rPr>
          <w:sz w:val="22"/>
          <w:u w:val="single"/>
        </w:rPr>
      </w:pPr>
    </w:p>
    <w:p w14:paraId="41C76A0B" w14:textId="77777777" w:rsidR="0076676A" w:rsidRPr="0076676A" w:rsidRDefault="0076676A" w:rsidP="0076676A">
      <w:pPr>
        <w:spacing w:after="120"/>
        <w:jc w:val="both"/>
      </w:pPr>
      <w:r>
        <w:rPr>
          <w:sz w:val="22"/>
        </w:rPr>
        <w:t xml:space="preserve">The gender pay gap </w:t>
      </w:r>
      <w:r>
        <w:rPr>
          <w:b/>
          <w:sz w:val="22"/>
          <w:u w:val="single"/>
        </w:rPr>
        <w:t>is not</w:t>
      </w:r>
      <w:r>
        <w:rPr>
          <w:sz w:val="22"/>
        </w:rPr>
        <w:t xml:space="preserve"> primarily about men and women being paid differently for the same job. That is unlawful and has been prohibited by equal pay legislation for many years. The Equality Act 2010 protects the right to equal pay, meaning there should be no difference in the contractual terms of a woman and a man doing equal work, who both work for the same employer. Equal work is work that is the same or broadly similar, work rated as equivalent under a job evaluation study, work found to be of equal value in terms of effort, skill or decision making. Pay</w:t>
      </w:r>
      <w:r>
        <w:rPr>
          <w:b/>
          <w:sz w:val="22"/>
        </w:rPr>
        <w:t xml:space="preserve"> </w:t>
      </w:r>
      <w:r>
        <w:rPr>
          <w:sz w:val="22"/>
        </w:rPr>
        <w:t xml:space="preserve">includes basic pay as well as overtime pay, non-discretionary bonuses, holiday pay, occupational pensions and benefits such as a company car, health insurance, free meals etc. However, despite the legal framework for equal pay being in force since 1975 there is still a significant gender pay gap. </w:t>
      </w:r>
    </w:p>
    <w:p w14:paraId="1A3C0E20" w14:textId="77777777" w:rsidR="00771726" w:rsidRPr="00574EB9" w:rsidRDefault="00771726" w:rsidP="001B08DA">
      <w:pPr>
        <w:tabs>
          <w:tab w:val="left" w:pos="709"/>
          <w:tab w:val="left" w:pos="879"/>
        </w:tabs>
        <w:spacing w:after="240"/>
        <w:jc w:val="both"/>
        <w:rPr>
          <w:color w:val="131313"/>
          <w:sz w:val="22"/>
          <w:szCs w:val="22"/>
        </w:rPr>
      </w:pPr>
      <w:r w:rsidRPr="00637683">
        <w:rPr>
          <w:sz w:val="22"/>
        </w:rPr>
        <w:t>The</w:t>
      </w:r>
      <w:r w:rsidR="00B313C3">
        <w:rPr>
          <w:sz w:val="22"/>
        </w:rPr>
        <w:t>refore, the</w:t>
      </w:r>
      <w:r w:rsidRPr="00637683">
        <w:rPr>
          <w:sz w:val="22"/>
        </w:rPr>
        <w:t xml:space="preserve"> gender pay gap may </w:t>
      </w:r>
      <w:r w:rsidR="00B313C3">
        <w:rPr>
          <w:sz w:val="22"/>
        </w:rPr>
        <w:t>not</w:t>
      </w:r>
      <w:r w:rsidR="0076676A">
        <w:rPr>
          <w:sz w:val="22"/>
        </w:rPr>
        <w:t xml:space="preserve"> </w:t>
      </w:r>
      <w:r w:rsidRPr="00637683">
        <w:rPr>
          <w:sz w:val="22"/>
        </w:rPr>
        <w:t xml:space="preserve">necessarily be driven by discrimination but </w:t>
      </w:r>
      <w:r w:rsidR="00C66634">
        <w:rPr>
          <w:sz w:val="22"/>
        </w:rPr>
        <w:t xml:space="preserve">be </w:t>
      </w:r>
      <w:r w:rsidRPr="00637683">
        <w:rPr>
          <w:sz w:val="22"/>
        </w:rPr>
        <w:t>due to other factors</w:t>
      </w:r>
      <w:r w:rsidR="00B15F27">
        <w:rPr>
          <w:sz w:val="22"/>
        </w:rPr>
        <w:t>, some of which reflect cultural norms or established practices that impose a disadvantage on women without being explicitly discriminatory.</w:t>
      </w:r>
      <w:r w:rsidR="0018610A">
        <w:rPr>
          <w:sz w:val="22"/>
        </w:rPr>
        <w:t xml:space="preserve"> </w:t>
      </w:r>
      <w:r w:rsidRPr="003415EE">
        <w:rPr>
          <w:sz w:val="22"/>
        </w:rPr>
        <w:t>For instance</w:t>
      </w:r>
      <w:r w:rsidRPr="00637683">
        <w:rPr>
          <w:sz w:val="22"/>
        </w:rPr>
        <w:t xml:space="preserve">, females may choose to work in part-time roles due to childcare responsibilities and there may be part-time positions more readily available for lower paid and less skilled positions than for higher paid </w:t>
      </w:r>
      <w:r w:rsidRPr="001C5A37">
        <w:rPr>
          <w:sz w:val="22"/>
        </w:rPr>
        <w:t xml:space="preserve">positions. </w:t>
      </w:r>
      <w:r w:rsidR="007D3AAE" w:rsidRPr="001C5A37">
        <w:rPr>
          <w:sz w:val="22"/>
        </w:rPr>
        <w:t xml:space="preserve">Occupational segregation is also a factor to consider. For example, </w:t>
      </w:r>
      <w:r w:rsidR="007D3AAE" w:rsidRPr="001C5A37">
        <w:rPr>
          <w:color w:val="131313"/>
          <w:sz w:val="22"/>
        </w:rPr>
        <w:t>w</w:t>
      </w:r>
      <w:r w:rsidRPr="001C5A37">
        <w:rPr>
          <w:color w:val="131313"/>
          <w:sz w:val="22"/>
        </w:rPr>
        <w:t>omen</w:t>
      </w:r>
      <w:r w:rsidRPr="00637683">
        <w:rPr>
          <w:color w:val="131313"/>
          <w:sz w:val="22"/>
        </w:rPr>
        <w:t xml:space="preserve"> are disproportionately employed in poorly-paid professions (cleaning, catering, childcare), and under-represented in well-paid ones. Women </w:t>
      </w:r>
      <w:r w:rsidR="007D3AAE">
        <w:rPr>
          <w:color w:val="131313"/>
          <w:sz w:val="22"/>
        </w:rPr>
        <w:t xml:space="preserve">also </w:t>
      </w:r>
      <w:r w:rsidRPr="00637683">
        <w:rPr>
          <w:color w:val="131313"/>
          <w:sz w:val="22"/>
        </w:rPr>
        <w:t>make up 94% of secretaries and 95% of child care assistants, but only 6% of engineers and 14% of architects, town planners and surveyors.</w:t>
      </w:r>
      <w:r>
        <w:rPr>
          <w:color w:val="131313"/>
          <w:sz w:val="22"/>
        </w:rPr>
        <w:t xml:space="preserve"> </w:t>
      </w:r>
    </w:p>
    <w:p w14:paraId="0CF6AB35" w14:textId="77777777" w:rsidR="00860055" w:rsidRPr="00574EB9" w:rsidRDefault="00860055" w:rsidP="00860055">
      <w:pPr>
        <w:jc w:val="both"/>
        <w:rPr>
          <w:sz w:val="22"/>
          <w:szCs w:val="22"/>
        </w:rPr>
      </w:pPr>
      <w:r w:rsidRPr="00574EB9">
        <w:rPr>
          <w:sz w:val="22"/>
          <w:szCs w:val="22"/>
        </w:rPr>
        <w:t>Some of the drivers and how much they contribute to the gender pay gap can be broken down as follows</w:t>
      </w:r>
      <w:r w:rsidRPr="00574EB9">
        <w:rPr>
          <w:rStyle w:val="FootnoteReference"/>
          <w:szCs w:val="22"/>
        </w:rPr>
        <w:footnoteReference w:id="3"/>
      </w:r>
      <w:r w:rsidRPr="00574EB9">
        <w:rPr>
          <w:sz w:val="22"/>
          <w:szCs w:val="22"/>
        </w:rPr>
        <w:t>:</w:t>
      </w:r>
    </w:p>
    <w:p w14:paraId="6E12D1F7" w14:textId="77777777" w:rsidR="00860055" w:rsidRPr="00574EB9" w:rsidRDefault="00860055" w:rsidP="00860055">
      <w:pPr>
        <w:jc w:val="both"/>
        <w:rPr>
          <w:sz w:val="22"/>
          <w:szCs w:val="22"/>
        </w:rPr>
      </w:pPr>
    </w:p>
    <w:p w14:paraId="630DD608" w14:textId="77777777" w:rsidR="00860055" w:rsidRPr="00574EB9" w:rsidRDefault="00860055" w:rsidP="00860055">
      <w:pPr>
        <w:pStyle w:val="ListParagraph"/>
        <w:numPr>
          <w:ilvl w:val="0"/>
          <w:numId w:val="28"/>
        </w:numPr>
        <w:shd w:val="clear" w:color="auto" w:fill="FFFFFF"/>
        <w:jc w:val="both"/>
        <w:rPr>
          <w:rFonts w:cs="Arial"/>
          <w:color w:val="222222"/>
          <w:sz w:val="22"/>
          <w:szCs w:val="22"/>
          <w:lang w:eastAsia="en-GB"/>
        </w:rPr>
      </w:pPr>
      <w:r w:rsidRPr="00574EB9">
        <w:rPr>
          <w:sz w:val="22"/>
          <w:szCs w:val="22"/>
        </w:rPr>
        <w:t xml:space="preserve">10 per cent of the overall pay gap can be attributed to occupational sex segregation. Having 10 percentage point greater share of men in an occupation is associated with 2 per cent higher average hourly wages. </w:t>
      </w:r>
    </w:p>
    <w:p w14:paraId="24D8E0ED" w14:textId="77777777" w:rsidR="00860055" w:rsidRPr="00574EB9" w:rsidRDefault="00860055" w:rsidP="00860055">
      <w:pPr>
        <w:pStyle w:val="ListParagraph"/>
        <w:numPr>
          <w:ilvl w:val="0"/>
          <w:numId w:val="28"/>
        </w:numPr>
        <w:shd w:val="clear" w:color="auto" w:fill="FFFFFF"/>
        <w:jc w:val="both"/>
        <w:rPr>
          <w:rFonts w:cs="Arial"/>
          <w:color w:val="222222"/>
          <w:sz w:val="22"/>
          <w:szCs w:val="22"/>
          <w:lang w:eastAsia="en-GB"/>
        </w:rPr>
      </w:pPr>
      <w:r w:rsidRPr="00574EB9">
        <w:rPr>
          <w:sz w:val="22"/>
          <w:szCs w:val="22"/>
        </w:rPr>
        <w:t xml:space="preserve">12 per cent of the gap is due to the industries in which men and women work. </w:t>
      </w:r>
    </w:p>
    <w:p w14:paraId="2F39ACC8" w14:textId="77777777" w:rsidR="00860055" w:rsidRPr="00574EB9" w:rsidRDefault="00860055" w:rsidP="00860055">
      <w:pPr>
        <w:pStyle w:val="ListParagraph"/>
        <w:numPr>
          <w:ilvl w:val="0"/>
          <w:numId w:val="28"/>
        </w:numPr>
        <w:shd w:val="clear" w:color="auto" w:fill="FFFFFF"/>
        <w:jc w:val="both"/>
        <w:rPr>
          <w:rFonts w:cs="Arial"/>
          <w:color w:val="222222"/>
          <w:sz w:val="22"/>
          <w:szCs w:val="22"/>
          <w:lang w:eastAsia="en-GB"/>
        </w:rPr>
      </w:pPr>
      <w:r w:rsidRPr="00574EB9">
        <w:rPr>
          <w:sz w:val="22"/>
          <w:szCs w:val="22"/>
        </w:rPr>
        <w:t xml:space="preserve">21 per cent of the gap is due to differences in years of experience of full-time work. </w:t>
      </w:r>
    </w:p>
    <w:p w14:paraId="52A62F79" w14:textId="77777777" w:rsidR="00860055" w:rsidRPr="00574EB9" w:rsidRDefault="00860055" w:rsidP="00860055">
      <w:pPr>
        <w:pStyle w:val="ListParagraph"/>
        <w:numPr>
          <w:ilvl w:val="0"/>
          <w:numId w:val="28"/>
        </w:numPr>
        <w:shd w:val="clear" w:color="auto" w:fill="FFFFFF"/>
        <w:jc w:val="both"/>
        <w:rPr>
          <w:rFonts w:cs="Arial"/>
          <w:color w:val="222222"/>
          <w:sz w:val="22"/>
          <w:szCs w:val="22"/>
          <w:lang w:eastAsia="en-GB"/>
        </w:rPr>
      </w:pPr>
      <w:r w:rsidRPr="00574EB9">
        <w:rPr>
          <w:sz w:val="22"/>
          <w:szCs w:val="22"/>
        </w:rPr>
        <w:t>16 per cent of the gap is due to the negative effect on wages of having previously worked part time or of having taken time out of the labour market to look after family.</w:t>
      </w:r>
    </w:p>
    <w:p w14:paraId="4C782559" w14:textId="77777777" w:rsidR="00860055" w:rsidRPr="00574EB9" w:rsidRDefault="00860055" w:rsidP="00860055">
      <w:pPr>
        <w:pStyle w:val="ListParagraph"/>
        <w:numPr>
          <w:ilvl w:val="0"/>
          <w:numId w:val="28"/>
        </w:numPr>
        <w:shd w:val="clear" w:color="auto" w:fill="FFFFFF"/>
        <w:jc w:val="both"/>
        <w:rPr>
          <w:rFonts w:cs="Arial"/>
          <w:color w:val="222222"/>
          <w:sz w:val="22"/>
          <w:szCs w:val="22"/>
          <w:lang w:eastAsia="en-GB"/>
        </w:rPr>
      </w:pPr>
      <w:r w:rsidRPr="00574EB9">
        <w:rPr>
          <w:sz w:val="22"/>
          <w:szCs w:val="22"/>
        </w:rPr>
        <w:t>Only 5 per cent of the pay gap is due to formal education levels.</w:t>
      </w:r>
    </w:p>
    <w:p w14:paraId="383DB2DB" w14:textId="77777777" w:rsidR="00860055" w:rsidRPr="00574EB9" w:rsidRDefault="00860055" w:rsidP="00860055">
      <w:pPr>
        <w:pStyle w:val="ListParagraph"/>
        <w:numPr>
          <w:ilvl w:val="0"/>
          <w:numId w:val="28"/>
        </w:numPr>
        <w:shd w:val="clear" w:color="auto" w:fill="FFFFFF"/>
        <w:jc w:val="both"/>
        <w:rPr>
          <w:rFonts w:cs="Arial"/>
          <w:color w:val="222222"/>
          <w:sz w:val="22"/>
          <w:szCs w:val="22"/>
          <w:lang w:eastAsia="en-GB"/>
        </w:rPr>
      </w:pPr>
      <w:r w:rsidRPr="00574EB9">
        <w:rPr>
          <w:sz w:val="22"/>
          <w:szCs w:val="22"/>
        </w:rPr>
        <w:t xml:space="preserve">36 per cent of the pay gap could not be explained by any of the characteristics that were controlled for in the study that these findings are from. </w:t>
      </w:r>
    </w:p>
    <w:p w14:paraId="32034823" w14:textId="77777777" w:rsidR="00FE3E7A" w:rsidRDefault="00FE3E7A" w:rsidP="001B08DA">
      <w:pPr>
        <w:jc w:val="both"/>
        <w:rPr>
          <w:b/>
          <w:color w:val="222222"/>
          <w:sz w:val="22"/>
          <w:u w:val="single"/>
        </w:rPr>
      </w:pPr>
    </w:p>
    <w:p w14:paraId="42F3329E" w14:textId="77777777" w:rsidR="00FE3E7A" w:rsidRDefault="00FE3E7A" w:rsidP="001B08DA">
      <w:pPr>
        <w:jc w:val="both"/>
        <w:rPr>
          <w:b/>
          <w:color w:val="222222"/>
          <w:sz w:val="22"/>
          <w:u w:val="single"/>
        </w:rPr>
      </w:pPr>
    </w:p>
    <w:p w14:paraId="06E9B151" w14:textId="77777777" w:rsidR="003415EE" w:rsidRDefault="003415EE" w:rsidP="001B08DA">
      <w:pPr>
        <w:jc w:val="both"/>
        <w:rPr>
          <w:b/>
          <w:color w:val="222222"/>
          <w:sz w:val="22"/>
          <w:u w:val="single"/>
        </w:rPr>
      </w:pPr>
    </w:p>
    <w:p w14:paraId="4E4422B4" w14:textId="77777777" w:rsidR="003415EE" w:rsidRDefault="003415EE" w:rsidP="001B08DA">
      <w:pPr>
        <w:jc w:val="both"/>
        <w:rPr>
          <w:b/>
          <w:color w:val="222222"/>
          <w:sz w:val="22"/>
          <w:u w:val="single"/>
        </w:rPr>
      </w:pPr>
    </w:p>
    <w:p w14:paraId="26F428A9" w14:textId="77777777" w:rsidR="00AD2863" w:rsidRDefault="00AD2863" w:rsidP="001B08DA">
      <w:pPr>
        <w:jc w:val="both"/>
        <w:rPr>
          <w:b/>
          <w:color w:val="222222"/>
          <w:sz w:val="22"/>
          <w:u w:val="single"/>
        </w:rPr>
      </w:pPr>
    </w:p>
    <w:p w14:paraId="7FC8A9FE" w14:textId="77777777" w:rsidR="00AD2863" w:rsidRDefault="00AD2863" w:rsidP="001B08DA">
      <w:pPr>
        <w:jc w:val="both"/>
        <w:rPr>
          <w:b/>
          <w:color w:val="222222"/>
          <w:sz w:val="22"/>
          <w:u w:val="single"/>
        </w:rPr>
      </w:pPr>
    </w:p>
    <w:p w14:paraId="502E63DE" w14:textId="77777777" w:rsidR="00773261" w:rsidRDefault="00773261" w:rsidP="001B08DA">
      <w:pPr>
        <w:jc w:val="both"/>
        <w:rPr>
          <w:b/>
          <w:color w:val="222222"/>
          <w:sz w:val="22"/>
          <w:u w:val="single"/>
        </w:rPr>
      </w:pPr>
    </w:p>
    <w:p w14:paraId="1EBA1963" w14:textId="77777777" w:rsidR="00773261" w:rsidRDefault="00773261" w:rsidP="001B08DA">
      <w:pPr>
        <w:jc w:val="both"/>
        <w:rPr>
          <w:b/>
          <w:color w:val="222222"/>
          <w:sz w:val="22"/>
          <w:u w:val="single"/>
        </w:rPr>
      </w:pPr>
    </w:p>
    <w:p w14:paraId="646CA75B" w14:textId="77777777" w:rsidR="00773261" w:rsidRDefault="00773261" w:rsidP="001B08DA">
      <w:pPr>
        <w:jc w:val="both"/>
        <w:rPr>
          <w:b/>
          <w:color w:val="222222"/>
          <w:sz w:val="22"/>
          <w:u w:val="single"/>
        </w:rPr>
      </w:pPr>
    </w:p>
    <w:p w14:paraId="375D3755" w14:textId="77777777" w:rsidR="00773261" w:rsidRDefault="00773261" w:rsidP="001B08DA">
      <w:pPr>
        <w:jc w:val="both"/>
        <w:rPr>
          <w:b/>
          <w:color w:val="222222"/>
          <w:sz w:val="22"/>
          <w:u w:val="single"/>
        </w:rPr>
      </w:pPr>
    </w:p>
    <w:p w14:paraId="0E209997" w14:textId="77777777" w:rsidR="00773261" w:rsidRDefault="00773261" w:rsidP="001B08DA">
      <w:pPr>
        <w:jc w:val="both"/>
        <w:rPr>
          <w:b/>
          <w:color w:val="222222"/>
          <w:sz w:val="22"/>
          <w:u w:val="single"/>
        </w:rPr>
      </w:pPr>
    </w:p>
    <w:p w14:paraId="13B0E3F0" w14:textId="77777777" w:rsidR="00773261" w:rsidRDefault="00773261" w:rsidP="001B08DA">
      <w:pPr>
        <w:jc w:val="both"/>
        <w:rPr>
          <w:b/>
          <w:color w:val="222222"/>
          <w:sz w:val="22"/>
          <w:u w:val="single"/>
        </w:rPr>
      </w:pPr>
    </w:p>
    <w:p w14:paraId="04253CDE" w14:textId="77777777" w:rsidR="00771726" w:rsidRDefault="00771726" w:rsidP="001B08DA">
      <w:pPr>
        <w:jc w:val="both"/>
      </w:pPr>
      <w:r>
        <w:rPr>
          <w:b/>
          <w:color w:val="222222"/>
          <w:sz w:val="22"/>
          <w:u w:val="single"/>
        </w:rPr>
        <w:t>Section 78 Equality Act 2010</w:t>
      </w:r>
    </w:p>
    <w:p w14:paraId="239CB97D" w14:textId="77777777" w:rsidR="00771726" w:rsidRDefault="00771726" w:rsidP="001B08DA">
      <w:pPr>
        <w:jc w:val="both"/>
      </w:pPr>
    </w:p>
    <w:p w14:paraId="4E84A3A9" w14:textId="77777777" w:rsidR="00771726" w:rsidRDefault="00771726" w:rsidP="001B08DA">
      <w:pPr>
        <w:jc w:val="both"/>
      </w:pPr>
      <w:r>
        <w:rPr>
          <w:sz w:val="22"/>
        </w:rPr>
        <w:t xml:space="preserve">In order to accelerate progress being made to improve the gender pay gap, the Government has committed to requiring greater transparency in this area. </w:t>
      </w:r>
      <w:r w:rsidR="00B15F27">
        <w:rPr>
          <w:sz w:val="22"/>
        </w:rPr>
        <w:t xml:space="preserve">The principle of greater transparency on gender pay has cross party support, having been the subject of numerous recent Parliamentary debates and featuring as a commitment in the manifestos of [the Government and] all the main parties. </w:t>
      </w:r>
      <w:r>
        <w:rPr>
          <w:sz w:val="22"/>
        </w:rPr>
        <w:t xml:space="preserve">We will therefore be consulting on the best way of achieving this through regulations under Section 78 of the Equality Act 2010.  </w:t>
      </w:r>
    </w:p>
    <w:p w14:paraId="51876D86" w14:textId="77777777" w:rsidR="00771726" w:rsidRDefault="00771726" w:rsidP="001B08DA">
      <w:pPr>
        <w:jc w:val="both"/>
      </w:pPr>
    </w:p>
    <w:p w14:paraId="5381936E" w14:textId="77777777" w:rsidR="00771726" w:rsidRDefault="00771726" w:rsidP="001B08DA">
      <w:pPr>
        <w:jc w:val="both"/>
      </w:pPr>
      <w:r>
        <w:rPr>
          <w:sz w:val="22"/>
        </w:rPr>
        <w:lastRenderedPageBreak/>
        <w:t>Section 78 contains a power to make regulations requiring private and voluntary sector employers in Great Britain, with at least 250 employees, to publish information showing whether there are differences in pay between their male and female employees.</w:t>
      </w:r>
    </w:p>
    <w:p w14:paraId="2D01D66D" w14:textId="77777777" w:rsidR="00771726" w:rsidRDefault="00771726" w:rsidP="001B08DA">
      <w:pPr>
        <w:jc w:val="both"/>
      </w:pPr>
      <w:r>
        <w:rPr>
          <w:color w:val="222222"/>
          <w:sz w:val="19"/>
        </w:rPr>
        <w:t> </w:t>
      </w:r>
    </w:p>
    <w:p w14:paraId="3A8BE9EA" w14:textId="77777777" w:rsidR="00771726" w:rsidRDefault="00771726" w:rsidP="001B08DA">
      <w:pPr>
        <w:spacing w:after="120"/>
        <w:jc w:val="both"/>
      </w:pPr>
      <w:r>
        <w:rPr>
          <w:sz w:val="22"/>
        </w:rPr>
        <w:t xml:space="preserve">This could mean publication of a single figure for full-time, part-time and overall gender pay gap; or the difference between men and women’s starting salaries. There are varying levels of granularity and break down in figures that could be considered. </w:t>
      </w:r>
    </w:p>
    <w:p w14:paraId="24999971" w14:textId="77777777" w:rsidR="00771726" w:rsidRDefault="00771726" w:rsidP="001B08DA">
      <w:pPr>
        <w:ind w:left="720"/>
        <w:jc w:val="both"/>
      </w:pPr>
    </w:p>
    <w:p w14:paraId="33A038F4" w14:textId="77777777" w:rsidR="00771726" w:rsidRDefault="00771726" w:rsidP="001B08DA">
      <w:pPr>
        <w:jc w:val="both"/>
      </w:pPr>
      <w:r>
        <w:rPr>
          <w:sz w:val="22"/>
          <w:highlight w:val="white"/>
        </w:rPr>
        <w:t xml:space="preserve">The regulations may also specify, among other things, the form and timing of the publication, which will be no more frequently than annually. The regulations may also specify penalties for non-compliance. Employers who do not comply with the publication requirements could face civil enforcement procedures or be liable for a criminal offence, punishable by a fine. </w:t>
      </w:r>
    </w:p>
    <w:p w14:paraId="24B5A542" w14:textId="77777777" w:rsidR="00771726" w:rsidRDefault="00771726" w:rsidP="001B08DA">
      <w:pPr>
        <w:spacing w:after="120"/>
        <w:jc w:val="both"/>
      </w:pPr>
    </w:p>
    <w:p w14:paraId="6791ACCA" w14:textId="77777777" w:rsidR="00771726" w:rsidRPr="00584666" w:rsidRDefault="00771726" w:rsidP="001B08DA">
      <w:pPr>
        <w:spacing w:after="120"/>
        <w:jc w:val="both"/>
        <w:rPr>
          <w:b/>
        </w:rPr>
      </w:pPr>
      <w:r w:rsidRPr="00584666">
        <w:rPr>
          <w:b/>
          <w:color w:val="222222"/>
          <w:sz w:val="22"/>
          <w:u w:val="single"/>
        </w:rPr>
        <w:t>Consultation and improving the evidence base</w:t>
      </w:r>
    </w:p>
    <w:p w14:paraId="5A9EBD17" w14:textId="77777777" w:rsidR="00A30C6E" w:rsidRDefault="00771726" w:rsidP="00A30C6E">
      <w:r>
        <w:rPr>
          <w:sz w:val="22"/>
        </w:rPr>
        <w:t xml:space="preserve">Implementation of section 78 clearly represents a significant shift away from voluntary reporting.  As it will apply to employers (both private and voluntary organisations) with at least 250 employees, around 7,855 employers </w:t>
      </w:r>
      <w:r w:rsidRPr="00A30C6E">
        <w:rPr>
          <w:sz w:val="22"/>
          <w:szCs w:val="22"/>
        </w:rPr>
        <w:t xml:space="preserve">employing around 11m people would fall within the scope of this secondary legislation. 6,745 </w:t>
      </w:r>
      <w:r w:rsidRPr="00AE2237">
        <w:rPr>
          <w:sz w:val="22"/>
          <w:szCs w:val="22"/>
        </w:rPr>
        <w:t>private sector employers and 1,110 voluntary organisations that fall in scope).</w:t>
      </w:r>
      <w:r w:rsidRPr="00AE2237">
        <w:rPr>
          <w:rStyle w:val="FootnoteReference"/>
          <w:szCs w:val="22"/>
        </w:rPr>
        <w:footnoteReference w:id="4"/>
      </w:r>
      <w:r w:rsidR="00451B5F" w:rsidRPr="00AE2237">
        <w:rPr>
          <w:sz w:val="22"/>
          <w:szCs w:val="22"/>
        </w:rPr>
        <w:t xml:space="preserve"> </w:t>
      </w:r>
      <w:r w:rsidR="00A30C6E" w:rsidRPr="00AE2237">
        <w:rPr>
          <w:rFonts w:cs="Arial"/>
          <w:color w:val="222222"/>
          <w:sz w:val="22"/>
          <w:szCs w:val="22"/>
          <w:shd w:val="clear" w:color="auto" w:fill="FFFFFF"/>
        </w:rPr>
        <w:t>Section 78 will only apply to Great Britain. The figures for costs in this IA are based on the number of businesses and voluntary organisations in the UK. Costs will therefore be slight overestimates due to the inclusion in costings of organisations in Northern Ireland which will not be affected by the legislation.</w:t>
      </w:r>
      <w:r w:rsidR="00A30C6E" w:rsidRPr="00AE2237">
        <w:rPr>
          <w:rStyle w:val="FootnoteReference"/>
          <w:rFonts w:cs="Arial"/>
          <w:color w:val="222222"/>
          <w:shd w:val="clear" w:color="auto" w:fill="FFFFFF"/>
        </w:rPr>
        <w:footnoteReference w:id="5"/>
      </w:r>
    </w:p>
    <w:p w14:paraId="16C8F0ED" w14:textId="77777777" w:rsidR="0059061B" w:rsidRDefault="0059061B" w:rsidP="001B08DA">
      <w:pPr>
        <w:spacing w:after="120"/>
        <w:jc w:val="both"/>
        <w:rPr>
          <w:sz w:val="22"/>
        </w:rPr>
      </w:pPr>
    </w:p>
    <w:p w14:paraId="35CF7835" w14:textId="77777777" w:rsidR="00771726" w:rsidRDefault="00771726" w:rsidP="001B08DA">
      <w:pPr>
        <w:spacing w:after="120"/>
        <w:jc w:val="both"/>
      </w:pPr>
      <w:r>
        <w:rPr>
          <w:sz w:val="22"/>
        </w:rPr>
        <w:t>This Impact Assessment therefore accompanies a public consultation which will seek to ensure the proposed regulations meet their objectives. The consultation will allow the Government to explore exactly what information should be published within the scope of section 78 and how often this should be published. In addition, the consultation will identify what enforcement mechanism (if any) should be set out in the Regulations.</w:t>
      </w:r>
    </w:p>
    <w:p w14:paraId="7343675C" w14:textId="77777777" w:rsidR="00771726" w:rsidRDefault="00771726" w:rsidP="001B08DA">
      <w:pPr>
        <w:jc w:val="both"/>
      </w:pPr>
      <w:r>
        <w:rPr>
          <w:sz w:val="22"/>
        </w:rPr>
        <w:t xml:space="preserve">The consultation will be seeking views on the different kinds of gender pay information that we could require employers to analyse and publish. For example, this could be a single figure or broken down further, for instance by grade. </w:t>
      </w:r>
      <w:r w:rsidR="00B15F27">
        <w:rPr>
          <w:sz w:val="22"/>
        </w:rPr>
        <w:t>The consultation will also seek views on what further measures the Government should take to close the gap.</w:t>
      </w:r>
    </w:p>
    <w:p w14:paraId="7BE13A04" w14:textId="77777777" w:rsidR="00771726" w:rsidRDefault="00771726" w:rsidP="001B08DA">
      <w:pPr>
        <w:jc w:val="both"/>
      </w:pPr>
    </w:p>
    <w:p w14:paraId="0A7BA690" w14:textId="77777777" w:rsidR="00771726" w:rsidRDefault="00771726" w:rsidP="001B08DA">
      <w:pPr>
        <w:jc w:val="both"/>
      </w:pPr>
      <w:r>
        <w:rPr>
          <w:sz w:val="22"/>
        </w:rPr>
        <w:t>Analysis of the consultation responses will also assist in creating a firmer evidence base for further cost benefit analysis. Currently, there is a very limited evidence base for monetising costs and benefits. In order to gain a better understandin</w:t>
      </w:r>
      <w:r w:rsidR="004F1009">
        <w:rPr>
          <w:sz w:val="22"/>
        </w:rPr>
        <w:t>g of the costs employers</w:t>
      </w:r>
      <w:r>
        <w:rPr>
          <w:sz w:val="22"/>
        </w:rPr>
        <w:t xml:space="preserve"> will face, we contacted five employers who signed up to the </w:t>
      </w:r>
      <w:r>
        <w:rPr>
          <w:i/>
          <w:sz w:val="22"/>
        </w:rPr>
        <w:t>Think, Act, Report</w:t>
      </w:r>
      <w:r w:rsidR="004F1009">
        <w:rPr>
          <w:sz w:val="22"/>
        </w:rPr>
        <w:t xml:space="preserve"> initiative and also</w:t>
      </w:r>
      <w:r>
        <w:rPr>
          <w:sz w:val="22"/>
        </w:rPr>
        <w:t xml:space="preserve"> ten employers previously sampled in the 2014 IFF s</w:t>
      </w:r>
      <w:r w:rsidR="004F1009">
        <w:rPr>
          <w:sz w:val="22"/>
        </w:rPr>
        <w:t>urvey to ask questions that have</w:t>
      </w:r>
      <w:r>
        <w:rPr>
          <w:sz w:val="22"/>
        </w:rPr>
        <w:t xml:space="preserve"> assist</w:t>
      </w:r>
      <w:r w:rsidR="004F1009">
        <w:rPr>
          <w:sz w:val="22"/>
        </w:rPr>
        <w:t>ed</w:t>
      </w:r>
      <w:r>
        <w:rPr>
          <w:sz w:val="22"/>
        </w:rPr>
        <w:t xml:space="preserve"> in monetising these costs.</w:t>
      </w:r>
    </w:p>
    <w:p w14:paraId="44B1A692" w14:textId="77777777" w:rsidR="00771726" w:rsidRDefault="00771726" w:rsidP="001B08DA">
      <w:pPr>
        <w:jc w:val="both"/>
      </w:pPr>
    </w:p>
    <w:p w14:paraId="6E501B15" w14:textId="77777777" w:rsidR="00771726" w:rsidRDefault="00771726" w:rsidP="001B08DA">
      <w:pPr>
        <w:jc w:val="both"/>
      </w:pPr>
      <w:r>
        <w:rPr>
          <w:sz w:val="22"/>
        </w:rPr>
        <w:t xml:space="preserve">Assumptions based on that evidence have been used to calculate costs in the Impact Assessment. However, there are some limitations to </w:t>
      </w:r>
      <w:r w:rsidR="00630B55">
        <w:rPr>
          <w:sz w:val="22"/>
        </w:rPr>
        <w:t>this approach as the evidence may</w:t>
      </w:r>
      <w:r>
        <w:rPr>
          <w:sz w:val="22"/>
        </w:rPr>
        <w:t xml:space="preserve"> not </w:t>
      </w:r>
      <w:r w:rsidR="00630B55">
        <w:rPr>
          <w:sz w:val="22"/>
        </w:rPr>
        <w:t xml:space="preserve">be </w:t>
      </w:r>
      <w:r>
        <w:rPr>
          <w:sz w:val="22"/>
        </w:rPr>
        <w:t>a good representation of the 7,855 employers that fall in scope. During the consultation period we will ask employers to predict how much it will cost them to analyse and publish their gender pay gap. It is expected that this will enable us to provide a more robust cost benefit analysis for future Impact Assessments.</w:t>
      </w:r>
    </w:p>
    <w:p w14:paraId="122BF1FD" w14:textId="77777777" w:rsidR="00771726" w:rsidRDefault="00771726" w:rsidP="001B08DA">
      <w:pPr>
        <w:jc w:val="both"/>
      </w:pPr>
    </w:p>
    <w:p w14:paraId="3AEF260A" w14:textId="77777777" w:rsidR="00771726" w:rsidRDefault="00771726" w:rsidP="001B08DA">
      <w:pPr>
        <w:jc w:val="both"/>
      </w:pPr>
      <w:r>
        <w:rPr>
          <w:sz w:val="22"/>
        </w:rPr>
        <w:t>Some employers say they lack comparable pay grades as a result of expanding through ac</w:t>
      </w:r>
      <w:r w:rsidR="004B2455">
        <w:rPr>
          <w:sz w:val="22"/>
        </w:rPr>
        <w:t>quisitions. As a result they tell us</w:t>
      </w:r>
      <w:r>
        <w:rPr>
          <w:sz w:val="22"/>
        </w:rPr>
        <w:t xml:space="preserve"> that job titles are also not standard - that different roles can hold the same title and roles often change significantly while the title stays the same.</w:t>
      </w:r>
    </w:p>
    <w:p w14:paraId="03933124" w14:textId="77777777" w:rsidR="00771726" w:rsidRDefault="00771726" w:rsidP="001B08DA">
      <w:pPr>
        <w:jc w:val="both"/>
      </w:pPr>
    </w:p>
    <w:p w14:paraId="40D0EDF2" w14:textId="77777777" w:rsidR="00771726" w:rsidRDefault="00771726" w:rsidP="001B08DA">
      <w:pPr>
        <w:jc w:val="both"/>
      </w:pPr>
      <w:r>
        <w:rPr>
          <w:sz w:val="22"/>
        </w:rPr>
        <w:t xml:space="preserve">As part of their 2009 consultation, the EHRC worked with the IES who conducted a telephone survey with 33 employers with at least 250 employees. </w:t>
      </w:r>
    </w:p>
    <w:p w14:paraId="2A453BC6" w14:textId="77777777" w:rsidR="00771726" w:rsidRDefault="00771726" w:rsidP="001B08DA">
      <w:pPr>
        <w:jc w:val="both"/>
      </w:pPr>
    </w:p>
    <w:p w14:paraId="3D12F31F" w14:textId="77777777" w:rsidR="00771726" w:rsidRDefault="00771726" w:rsidP="001B08DA">
      <w:pPr>
        <w:jc w:val="both"/>
      </w:pPr>
      <w:r>
        <w:rPr>
          <w:sz w:val="22"/>
        </w:rPr>
        <w:t>55% of IES respondents saw the single figure as the easiest to measure and 67% stated it would also be the cheapest. The EHRC concluded that the single figure;</w:t>
      </w:r>
    </w:p>
    <w:p w14:paraId="1B05BE16" w14:textId="77777777" w:rsidR="00771726" w:rsidRDefault="00771726" w:rsidP="001B08DA">
      <w:pPr>
        <w:jc w:val="both"/>
      </w:pPr>
    </w:p>
    <w:p w14:paraId="465A12F4" w14:textId="77777777" w:rsidR="00771726" w:rsidRDefault="00771726" w:rsidP="001B08DA">
      <w:pPr>
        <w:ind w:left="720"/>
        <w:jc w:val="both"/>
      </w:pPr>
      <w:r>
        <w:t>“…</w:t>
      </w:r>
      <w:r>
        <w:rPr>
          <w:i/>
          <w:sz w:val="22"/>
        </w:rPr>
        <w:t>is seen as a simple, cheap and easy measure, but not very useful or revealing….The use of a single figure could present a misleading picture, for example after mergers, acquisitions or re-structurings….would provide a starting point for national comparability of common information”.</w:t>
      </w:r>
    </w:p>
    <w:p w14:paraId="089606FE" w14:textId="77777777" w:rsidR="00771726" w:rsidRDefault="00771726" w:rsidP="001B08DA">
      <w:pPr>
        <w:ind w:left="720"/>
        <w:jc w:val="both"/>
      </w:pPr>
    </w:p>
    <w:p w14:paraId="7E96E469" w14:textId="77777777" w:rsidR="00771726" w:rsidRDefault="00771726" w:rsidP="001B08DA">
      <w:pPr>
        <w:spacing w:after="120"/>
        <w:jc w:val="both"/>
      </w:pPr>
      <w:r>
        <w:rPr>
          <w:sz w:val="22"/>
        </w:rPr>
        <w:t>24% of IES respondents had used a breakdown of the full time/part time measure to analyse their gender pay gap. 9% chose it as their preferred measure in terms of ease of application and 12% thought it would be cheapest to implement. The EHRC concluded that:</w:t>
      </w:r>
    </w:p>
    <w:p w14:paraId="7DC57B70" w14:textId="77777777" w:rsidR="00771726" w:rsidRDefault="00771726" w:rsidP="001B08DA">
      <w:pPr>
        <w:spacing w:after="120"/>
        <w:ind w:left="720"/>
        <w:jc w:val="both"/>
      </w:pPr>
      <w:r>
        <w:rPr>
          <w:i/>
          <w:sz w:val="22"/>
        </w:rPr>
        <w:t xml:space="preserve">“It is most useful to organisations with large part time workforces but irrelevant to those with few or no part time employees”.  </w:t>
      </w:r>
    </w:p>
    <w:p w14:paraId="1C1D7C17" w14:textId="77777777" w:rsidR="00771726" w:rsidRDefault="00771726" w:rsidP="001B08DA">
      <w:pPr>
        <w:spacing w:after="120"/>
        <w:jc w:val="both"/>
      </w:pPr>
      <w:r>
        <w:rPr>
          <w:sz w:val="22"/>
        </w:rPr>
        <w:t>The majority of IES respondents and those responding to the EHRC consultation considered it “useful and important” to break down the pay gap at each grade level. 30% of IES respondents had used this approach and perceived it to be informative and meaningful, as it reveals where pay gaps lie and enables greater like for like comparisons. IES respondents did raise concerns about the limited comparability with other employers and that it assumed robust human resources systems and grading structures were already in place. The EHRC concluded that:</w:t>
      </w:r>
    </w:p>
    <w:p w14:paraId="322E3055" w14:textId="77777777" w:rsidR="00771726" w:rsidRDefault="00771726" w:rsidP="001B08DA">
      <w:pPr>
        <w:spacing w:after="120"/>
        <w:jc w:val="both"/>
      </w:pPr>
      <w:r>
        <w:rPr>
          <w:i/>
          <w:sz w:val="22"/>
        </w:rPr>
        <w:tab/>
        <w:t>“It was rated (in terms of expressed preference) as a relatively easy measure to implement (particularly by large employers). It was not perceived to be a particularly cheap measure to implement”.</w:t>
      </w:r>
    </w:p>
    <w:p w14:paraId="31010CA3" w14:textId="77777777" w:rsidR="00771726" w:rsidRDefault="00771726" w:rsidP="001B08DA">
      <w:pPr>
        <w:spacing w:after="120"/>
        <w:jc w:val="both"/>
      </w:pPr>
      <w:r>
        <w:rPr>
          <w:sz w:val="22"/>
        </w:rPr>
        <w:t>It is intended that the consultation will provide a firmer evidence base of the effectiveness and impact on employers of these different options. That will inform a decision as to what information large employers should be required to publish under section 78 regulations.</w:t>
      </w:r>
    </w:p>
    <w:p w14:paraId="104EA84D" w14:textId="77777777" w:rsidR="00771726" w:rsidRPr="003C2DBD" w:rsidRDefault="00771726" w:rsidP="001B08DA">
      <w:pPr>
        <w:jc w:val="both"/>
        <w:rPr>
          <w:b/>
        </w:rPr>
      </w:pPr>
    </w:p>
    <w:p w14:paraId="349B58B5" w14:textId="77777777" w:rsidR="00771726" w:rsidRPr="003C2DBD" w:rsidRDefault="00771726" w:rsidP="001B08DA">
      <w:pPr>
        <w:jc w:val="both"/>
        <w:rPr>
          <w:b/>
        </w:rPr>
      </w:pPr>
      <w:r w:rsidRPr="003C2DBD">
        <w:rPr>
          <w:b/>
          <w:u w:val="single"/>
        </w:rPr>
        <w:t>RATIONALE FOR INTERVENTION</w:t>
      </w:r>
    </w:p>
    <w:p w14:paraId="46A6DD36" w14:textId="77777777" w:rsidR="00771726" w:rsidRDefault="00771726" w:rsidP="001B08DA">
      <w:pPr>
        <w:spacing w:after="120"/>
        <w:jc w:val="both"/>
      </w:pPr>
    </w:p>
    <w:p w14:paraId="0A814912" w14:textId="77777777" w:rsidR="00A45CB0" w:rsidRPr="00C7009E" w:rsidRDefault="00A45CB0" w:rsidP="001B08DA">
      <w:pPr>
        <w:spacing w:after="120"/>
        <w:jc w:val="both"/>
        <w:rPr>
          <w:sz w:val="22"/>
          <w:szCs w:val="22"/>
        </w:rPr>
      </w:pPr>
      <w:r w:rsidRPr="00C7009E">
        <w:rPr>
          <w:sz w:val="22"/>
          <w:szCs w:val="22"/>
        </w:rPr>
        <w:t>The time series graph in the previous section shows that although there has been some progress in reducing the overall gender pay gap in the longer term, the rate of progress has slowed down over the past few years.</w:t>
      </w:r>
    </w:p>
    <w:p w14:paraId="1CDCF2F6" w14:textId="77777777" w:rsidR="00A45CB0" w:rsidRPr="00C7009E" w:rsidRDefault="005B442B" w:rsidP="001B08DA">
      <w:pPr>
        <w:spacing w:after="120"/>
        <w:jc w:val="both"/>
        <w:rPr>
          <w:sz w:val="22"/>
          <w:szCs w:val="22"/>
        </w:rPr>
      </w:pPr>
      <w:r w:rsidRPr="00C7009E">
        <w:rPr>
          <w:sz w:val="22"/>
          <w:szCs w:val="22"/>
        </w:rPr>
        <w:t xml:space="preserve">We realise </w:t>
      </w:r>
      <w:r w:rsidR="00575F0E" w:rsidRPr="00C7009E">
        <w:rPr>
          <w:sz w:val="22"/>
          <w:szCs w:val="22"/>
        </w:rPr>
        <w:t xml:space="preserve">that </w:t>
      </w:r>
      <w:r w:rsidRPr="00C7009E">
        <w:rPr>
          <w:sz w:val="22"/>
          <w:szCs w:val="22"/>
        </w:rPr>
        <w:t xml:space="preserve">as awareness of the business case for improving women’s employment opportunities has increased, this is creating some positive change to HR policies. This will have contributed to the decreasing trend. </w:t>
      </w:r>
      <w:r w:rsidR="00A45CB0" w:rsidRPr="00C7009E">
        <w:rPr>
          <w:sz w:val="22"/>
          <w:szCs w:val="22"/>
        </w:rPr>
        <w:t>Given the trends to date, we predict that at the slow rate of continuing decrease, women of the next generation will see only limited improvements to the workplace that will help them realise their earning potential.</w:t>
      </w:r>
    </w:p>
    <w:p w14:paraId="63617C6A" w14:textId="77777777" w:rsidR="00575F0E" w:rsidRPr="00C7009E" w:rsidRDefault="00C7009E" w:rsidP="00575F0E">
      <w:pPr>
        <w:spacing w:after="120"/>
        <w:jc w:val="both"/>
        <w:rPr>
          <w:sz w:val="22"/>
          <w:szCs w:val="22"/>
        </w:rPr>
      </w:pPr>
      <w:r>
        <w:rPr>
          <w:sz w:val="22"/>
          <w:szCs w:val="22"/>
        </w:rPr>
        <w:t xml:space="preserve">The evidence above shows that there are different reasons for the gender pay gap. </w:t>
      </w:r>
      <w:r w:rsidR="00A52B0F" w:rsidRPr="00C7009E">
        <w:rPr>
          <w:sz w:val="22"/>
          <w:szCs w:val="22"/>
        </w:rPr>
        <w:t xml:space="preserve">Employers make choices given the information available and the prevailing labour market conditions such as occupational </w:t>
      </w:r>
      <w:r w:rsidR="003C3FB9" w:rsidRPr="00C7009E">
        <w:rPr>
          <w:sz w:val="22"/>
          <w:szCs w:val="22"/>
        </w:rPr>
        <w:t xml:space="preserve">and </w:t>
      </w:r>
      <w:r w:rsidR="00A52B0F" w:rsidRPr="00C7009E">
        <w:rPr>
          <w:sz w:val="22"/>
          <w:szCs w:val="22"/>
        </w:rPr>
        <w:t xml:space="preserve">working </w:t>
      </w:r>
      <w:r w:rsidR="003C3FB9" w:rsidRPr="00C7009E">
        <w:rPr>
          <w:sz w:val="22"/>
          <w:szCs w:val="22"/>
        </w:rPr>
        <w:t xml:space="preserve">pattern </w:t>
      </w:r>
      <w:r w:rsidR="00A52B0F" w:rsidRPr="00C7009E">
        <w:rPr>
          <w:sz w:val="22"/>
          <w:szCs w:val="22"/>
        </w:rPr>
        <w:t>preferences</w:t>
      </w:r>
      <w:r w:rsidR="003C3FB9" w:rsidRPr="00C7009E">
        <w:rPr>
          <w:sz w:val="22"/>
          <w:szCs w:val="22"/>
        </w:rPr>
        <w:t>, which as discussed above, are drivers of the gender pay gap</w:t>
      </w:r>
      <w:r w:rsidR="00A52B0F" w:rsidRPr="00C7009E">
        <w:rPr>
          <w:sz w:val="22"/>
          <w:szCs w:val="22"/>
        </w:rPr>
        <w:t xml:space="preserve">. It is also highly likely that some of the gender pay gap may be due to employers not </w:t>
      </w:r>
      <w:r w:rsidR="003C3FB9" w:rsidRPr="00C7009E">
        <w:rPr>
          <w:sz w:val="22"/>
          <w:szCs w:val="22"/>
        </w:rPr>
        <w:t xml:space="preserve">observing </w:t>
      </w:r>
      <w:r w:rsidR="00A52B0F" w:rsidRPr="00C7009E">
        <w:rPr>
          <w:sz w:val="22"/>
          <w:szCs w:val="22"/>
        </w:rPr>
        <w:t xml:space="preserve">the potential gains </w:t>
      </w:r>
      <w:r w:rsidR="003C3FB9" w:rsidRPr="00C7009E">
        <w:rPr>
          <w:sz w:val="22"/>
          <w:szCs w:val="22"/>
        </w:rPr>
        <w:t>of making the best use of their female employees.</w:t>
      </w:r>
    </w:p>
    <w:p w14:paraId="2DEEDF6D" w14:textId="77777777" w:rsidR="003C3FB9" w:rsidRPr="00C7009E" w:rsidRDefault="00A45CB0" w:rsidP="001B08DA">
      <w:pPr>
        <w:spacing w:after="120"/>
        <w:jc w:val="both"/>
        <w:rPr>
          <w:sz w:val="22"/>
          <w:szCs w:val="22"/>
        </w:rPr>
      </w:pPr>
      <w:r w:rsidRPr="00BB17EA">
        <w:rPr>
          <w:sz w:val="22"/>
          <w:szCs w:val="22"/>
        </w:rPr>
        <w:t>There</w:t>
      </w:r>
      <w:r w:rsidR="00BB17EA">
        <w:rPr>
          <w:sz w:val="22"/>
          <w:szCs w:val="22"/>
        </w:rPr>
        <w:t>fore we</w:t>
      </w:r>
      <w:r w:rsidRPr="00BB17EA">
        <w:rPr>
          <w:sz w:val="22"/>
          <w:szCs w:val="22"/>
        </w:rPr>
        <w:t xml:space="preserve"> still </w:t>
      </w:r>
      <w:r w:rsidR="00BB17EA">
        <w:rPr>
          <w:sz w:val="22"/>
          <w:szCs w:val="22"/>
        </w:rPr>
        <w:t xml:space="preserve">see </w:t>
      </w:r>
      <w:r w:rsidRPr="00BB17EA">
        <w:rPr>
          <w:sz w:val="22"/>
          <w:szCs w:val="22"/>
        </w:rPr>
        <w:t>a much greater proportion of men i</w:t>
      </w:r>
      <w:r w:rsidR="00173419" w:rsidRPr="00BB17EA">
        <w:rPr>
          <w:sz w:val="22"/>
          <w:szCs w:val="22"/>
        </w:rPr>
        <w:t>n senior positions than women (women make up 34</w:t>
      </w:r>
      <w:r w:rsidRPr="00BB17EA">
        <w:rPr>
          <w:sz w:val="22"/>
          <w:szCs w:val="22"/>
        </w:rPr>
        <w:t>%</w:t>
      </w:r>
      <w:r w:rsidR="00173419" w:rsidRPr="00BB17EA">
        <w:rPr>
          <w:sz w:val="22"/>
          <w:szCs w:val="22"/>
        </w:rPr>
        <w:t xml:space="preserve"> of managers, directors and senior officials and only 18% of FTSE 250 board members</w:t>
      </w:r>
      <w:r w:rsidR="003C3FB9" w:rsidRPr="00BB17EA">
        <w:rPr>
          <w:sz w:val="22"/>
          <w:szCs w:val="22"/>
        </w:rPr>
        <w:t>).</w:t>
      </w:r>
      <w:r w:rsidRPr="00BB17EA">
        <w:rPr>
          <w:sz w:val="22"/>
          <w:szCs w:val="22"/>
        </w:rPr>
        <w:t xml:space="preserve"> </w:t>
      </w:r>
      <w:r w:rsidR="003C3FB9" w:rsidRPr="00BB17EA">
        <w:rPr>
          <w:sz w:val="22"/>
          <w:szCs w:val="22"/>
        </w:rPr>
        <w:t>P</w:t>
      </w:r>
      <w:r w:rsidRPr="00BB17EA">
        <w:rPr>
          <w:sz w:val="22"/>
          <w:szCs w:val="22"/>
        </w:rPr>
        <w:t xml:space="preserve">art-time work </w:t>
      </w:r>
      <w:r w:rsidR="003C3FB9" w:rsidRPr="00BB17EA">
        <w:rPr>
          <w:sz w:val="22"/>
          <w:szCs w:val="22"/>
        </w:rPr>
        <w:t xml:space="preserve">also </w:t>
      </w:r>
      <w:r w:rsidRPr="00BB17EA">
        <w:rPr>
          <w:sz w:val="22"/>
          <w:szCs w:val="22"/>
        </w:rPr>
        <w:t>remains concentrated in lower paid roles, indicating that employers may not be optimising the skills of their workforces, thereby,</w:t>
      </w:r>
      <w:r w:rsidR="0073435F" w:rsidRPr="00C7009E">
        <w:rPr>
          <w:sz w:val="22"/>
          <w:szCs w:val="22"/>
        </w:rPr>
        <w:t xml:space="preserve"> limiting women’s earning potential. The Government wants employers to understand the relative position of men and women in their organisation and to take action where discrepancies are identified; this includes</w:t>
      </w:r>
      <w:r w:rsidR="00310BAB">
        <w:rPr>
          <w:sz w:val="22"/>
          <w:szCs w:val="22"/>
        </w:rPr>
        <w:t>,</w:t>
      </w:r>
      <w:r w:rsidR="0073435F" w:rsidRPr="00310BAB">
        <w:rPr>
          <w:sz w:val="22"/>
          <w:szCs w:val="22"/>
        </w:rPr>
        <w:t xml:space="preserve"> but will not be limited to</w:t>
      </w:r>
      <w:r w:rsidR="00310BAB">
        <w:rPr>
          <w:sz w:val="22"/>
          <w:szCs w:val="22"/>
        </w:rPr>
        <w:t>,</w:t>
      </w:r>
      <w:r w:rsidR="0073435F" w:rsidRPr="00310BAB">
        <w:rPr>
          <w:sz w:val="22"/>
          <w:szCs w:val="22"/>
        </w:rPr>
        <w:t xml:space="preserve"> discrepancies that relate to unlawful pay discrimination. </w:t>
      </w:r>
      <w:r w:rsidR="00A52B0F" w:rsidRPr="00C7009E">
        <w:rPr>
          <w:sz w:val="22"/>
          <w:szCs w:val="22"/>
        </w:rPr>
        <w:t>Encouraging employers to collect evidence on their gender pay gaps and understand both</w:t>
      </w:r>
      <w:r w:rsidR="00310BAB">
        <w:rPr>
          <w:sz w:val="22"/>
          <w:szCs w:val="22"/>
        </w:rPr>
        <w:t>,</w:t>
      </w:r>
      <w:r w:rsidR="00A52B0F" w:rsidRPr="00C7009E">
        <w:rPr>
          <w:sz w:val="22"/>
          <w:szCs w:val="22"/>
        </w:rPr>
        <w:t xml:space="preserve"> the underlying reasons and potential gain from addressing those reasons</w:t>
      </w:r>
      <w:r w:rsidR="00310BAB">
        <w:rPr>
          <w:sz w:val="22"/>
          <w:szCs w:val="22"/>
        </w:rPr>
        <w:t>,</w:t>
      </w:r>
      <w:r w:rsidR="00A52B0F" w:rsidRPr="00C7009E">
        <w:rPr>
          <w:sz w:val="22"/>
          <w:szCs w:val="22"/>
        </w:rPr>
        <w:t xml:space="preserve"> could lead to the employers implementing new HR policies</w:t>
      </w:r>
      <w:r w:rsidR="003C3FB9" w:rsidRPr="00C7009E">
        <w:rPr>
          <w:sz w:val="22"/>
          <w:szCs w:val="22"/>
        </w:rPr>
        <w:t xml:space="preserve"> aimed at</w:t>
      </w:r>
      <w:r w:rsidR="00A52B0F" w:rsidRPr="00C7009E">
        <w:rPr>
          <w:sz w:val="22"/>
          <w:szCs w:val="22"/>
        </w:rPr>
        <w:t xml:space="preserve"> improving development and promotion prospects for women and offering more flexible working options. </w:t>
      </w:r>
    </w:p>
    <w:p w14:paraId="3FFE282C" w14:textId="77777777" w:rsidR="00A52B0F" w:rsidRDefault="0073435F" w:rsidP="001B08DA">
      <w:pPr>
        <w:jc w:val="both"/>
        <w:rPr>
          <w:sz w:val="22"/>
        </w:rPr>
      </w:pPr>
      <w:r w:rsidRPr="00BB17EA">
        <w:rPr>
          <w:sz w:val="22"/>
          <w:szCs w:val="22"/>
        </w:rPr>
        <w:t>The requirement to report pay data wil</w:t>
      </w:r>
      <w:r w:rsidR="004A5CEA" w:rsidRPr="00BB17EA">
        <w:rPr>
          <w:sz w:val="22"/>
          <w:szCs w:val="22"/>
        </w:rPr>
        <w:t>l</w:t>
      </w:r>
      <w:r w:rsidRPr="00BB17EA">
        <w:rPr>
          <w:sz w:val="22"/>
          <w:szCs w:val="22"/>
        </w:rPr>
        <w:t xml:space="preserve"> ensure all employers are undertaking gender pay analysis and the additional transparency will benefit current and prospective employees as well as other stakeholders s</w:t>
      </w:r>
      <w:r w:rsidR="00A52B0F" w:rsidRPr="00C7009E">
        <w:rPr>
          <w:sz w:val="22"/>
          <w:szCs w:val="22"/>
        </w:rPr>
        <w:t xml:space="preserve">uch as shareholders and clients. </w:t>
      </w:r>
      <w:r w:rsidR="003627EC" w:rsidRPr="00C7009E">
        <w:rPr>
          <w:sz w:val="22"/>
          <w:szCs w:val="22"/>
        </w:rPr>
        <w:t>As with any government supported information intervention we do not argue that all employers will realise benefits</w:t>
      </w:r>
      <w:r w:rsidR="00BB17EA">
        <w:rPr>
          <w:sz w:val="22"/>
          <w:szCs w:val="22"/>
        </w:rPr>
        <w:t>.</w:t>
      </w:r>
    </w:p>
    <w:p w14:paraId="1457F614" w14:textId="77777777" w:rsidR="00575F0E" w:rsidRDefault="00575F0E" w:rsidP="00575F0E">
      <w:pPr>
        <w:spacing w:after="120"/>
        <w:jc w:val="both"/>
        <w:rPr>
          <w:sz w:val="22"/>
          <w:szCs w:val="22"/>
        </w:rPr>
      </w:pPr>
      <w:r>
        <w:rPr>
          <w:sz w:val="22"/>
          <w:szCs w:val="22"/>
        </w:rPr>
        <w:t xml:space="preserve">The evidence set out above does show variation in the gender pay gaps of different age groups. However, we are not complacent, as the progress that has been made to date in some age groups could be lost </w:t>
      </w:r>
      <w:r>
        <w:rPr>
          <w:sz w:val="22"/>
          <w:szCs w:val="22"/>
        </w:rPr>
        <w:lastRenderedPageBreak/>
        <w:t>without continued focus. Analysis of their pay gaps will help firms understand the causes as much for older age groups as those in younger age groups.</w:t>
      </w:r>
    </w:p>
    <w:p w14:paraId="0D882BCB" w14:textId="77777777" w:rsidR="0073435F" w:rsidRDefault="0073435F" w:rsidP="001B08DA">
      <w:pPr>
        <w:jc w:val="both"/>
        <w:rPr>
          <w:sz w:val="22"/>
        </w:rPr>
      </w:pPr>
    </w:p>
    <w:p w14:paraId="3C04CC02" w14:textId="77777777" w:rsidR="0073435F" w:rsidRPr="00F74A5C" w:rsidRDefault="0073435F" w:rsidP="001B08DA">
      <w:pPr>
        <w:jc w:val="both"/>
        <w:rPr>
          <w:sz w:val="22"/>
        </w:rPr>
      </w:pPr>
      <w:r>
        <w:rPr>
          <w:sz w:val="22"/>
        </w:rPr>
        <w:t>In addition, by making regulations under section 78, the Government will also send a strong signal to employers about the importance of fair pay.</w:t>
      </w:r>
    </w:p>
    <w:p w14:paraId="1F134A96" w14:textId="77777777" w:rsidR="00771726" w:rsidRPr="00F74A5C" w:rsidRDefault="00771726" w:rsidP="001B08DA">
      <w:pPr>
        <w:jc w:val="both"/>
        <w:rPr>
          <w:sz w:val="22"/>
        </w:rPr>
      </w:pPr>
    </w:p>
    <w:p w14:paraId="42211883" w14:textId="77777777" w:rsidR="00771726" w:rsidRPr="00F74A5C" w:rsidRDefault="00771726" w:rsidP="001B08DA">
      <w:pPr>
        <w:jc w:val="both"/>
      </w:pPr>
      <w:r w:rsidRPr="00F74A5C">
        <w:rPr>
          <w:sz w:val="22"/>
          <w:u w:val="single"/>
        </w:rPr>
        <w:t xml:space="preserve">Benefits of transparency </w:t>
      </w:r>
    </w:p>
    <w:p w14:paraId="0AB62007" w14:textId="77777777" w:rsidR="00771726" w:rsidRPr="00F74A5C" w:rsidRDefault="00771726" w:rsidP="001B08DA">
      <w:pPr>
        <w:jc w:val="both"/>
      </w:pPr>
    </w:p>
    <w:p w14:paraId="07F75622" w14:textId="77777777" w:rsidR="00771726" w:rsidRPr="00F74A5C" w:rsidRDefault="00771726" w:rsidP="001B08DA">
      <w:pPr>
        <w:jc w:val="both"/>
        <w:rPr>
          <w:sz w:val="22"/>
          <w:szCs w:val="22"/>
        </w:rPr>
      </w:pPr>
      <w:r w:rsidRPr="00F74A5C">
        <w:rPr>
          <w:sz w:val="22"/>
        </w:rPr>
        <w:t xml:space="preserve">The evidence base for the benefits of transparency is mainly </w:t>
      </w:r>
      <w:r w:rsidR="00235802" w:rsidRPr="00F74A5C">
        <w:rPr>
          <w:sz w:val="22"/>
        </w:rPr>
        <w:t xml:space="preserve">derived </w:t>
      </w:r>
      <w:r w:rsidRPr="00F74A5C">
        <w:rPr>
          <w:sz w:val="22"/>
        </w:rPr>
        <w:t xml:space="preserve">from the IFF research, GEO’s roundtable discussions and the EHRC </w:t>
      </w:r>
      <w:r w:rsidRPr="00F74A5C">
        <w:rPr>
          <w:sz w:val="22"/>
          <w:szCs w:val="22"/>
        </w:rPr>
        <w:t xml:space="preserve">Proposals for Measuring and Publishing information on the gender pay gap (No. 2, 3 &amp; 4 in Table 1). </w:t>
      </w:r>
      <w:r w:rsidRPr="00F74A5C">
        <w:rPr>
          <w:sz w:val="22"/>
        </w:rPr>
        <w:t xml:space="preserve">There is currently limited evidence </w:t>
      </w:r>
      <w:r w:rsidR="0073435F">
        <w:rPr>
          <w:sz w:val="22"/>
        </w:rPr>
        <w:t xml:space="preserve">that </w:t>
      </w:r>
      <w:r w:rsidR="00235802" w:rsidRPr="00F74A5C">
        <w:rPr>
          <w:sz w:val="22"/>
        </w:rPr>
        <w:t xml:space="preserve">systemically assess the benefits </w:t>
      </w:r>
      <w:r w:rsidR="0073435F">
        <w:rPr>
          <w:sz w:val="22"/>
        </w:rPr>
        <w:t xml:space="preserve">of, </w:t>
      </w:r>
      <w:r w:rsidR="00235802" w:rsidRPr="00F74A5C">
        <w:rPr>
          <w:sz w:val="22"/>
        </w:rPr>
        <w:t>or provid</w:t>
      </w:r>
      <w:r w:rsidR="0073435F">
        <w:rPr>
          <w:sz w:val="22"/>
        </w:rPr>
        <w:t>e</w:t>
      </w:r>
      <w:r w:rsidRPr="00F74A5C">
        <w:rPr>
          <w:sz w:val="22"/>
        </w:rPr>
        <w:t xml:space="preserve"> quantitative estimates as to </w:t>
      </w:r>
      <w:r w:rsidR="00235802" w:rsidRPr="00F74A5C">
        <w:rPr>
          <w:sz w:val="22"/>
        </w:rPr>
        <w:t xml:space="preserve">the impact of </w:t>
      </w:r>
      <w:r w:rsidRPr="00F74A5C">
        <w:rPr>
          <w:sz w:val="22"/>
        </w:rPr>
        <w:t xml:space="preserve">transparency </w:t>
      </w:r>
      <w:r w:rsidR="00235802" w:rsidRPr="00F74A5C">
        <w:rPr>
          <w:sz w:val="22"/>
        </w:rPr>
        <w:t xml:space="preserve">on </w:t>
      </w:r>
      <w:r w:rsidRPr="00F74A5C">
        <w:rPr>
          <w:sz w:val="22"/>
        </w:rPr>
        <w:t>the gender pay gap</w:t>
      </w:r>
      <w:r w:rsidRPr="00F74A5C">
        <w:rPr>
          <w:sz w:val="22"/>
          <w:szCs w:val="22"/>
        </w:rPr>
        <w:t xml:space="preserve">. </w:t>
      </w:r>
    </w:p>
    <w:p w14:paraId="36B0028F" w14:textId="77777777" w:rsidR="00771726" w:rsidRDefault="00771726" w:rsidP="001B08DA">
      <w:pPr>
        <w:jc w:val="both"/>
        <w:rPr>
          <w:sz w:val="22"/>
          <w:szCs w:val="22"/>
        </w:rPr>
      </w:pPr>
    </w:p>
    <w:p w14:paraId="195F083C" w14:textId="77777777" w:rsidR="000F6079" w:rsidRDefault="000F6079" w:rsidP="001B08DA">
      <w:pPr>
        <w:jc w:val="both"/>
        <w:rPr>
          <w:sz w:val="22"/>
          <w:szCs w:val="22"/>
        </w:rPr>
      </w:pPr>
      <w:r>
        <w:rPr>
          <w:sz w:val="22"/>
          <w:szCs w:val="22"/>
        </w:rPr>
        <w:t>Transparency has been used to positive effect across other areas. For example, listed companies are required to report on board room diversity in their annual reports. Cranfield University also publishes an annual report that tracks progress further to the Lord Davies Review recommending a target of 25% of women directors serving on FTSE 100 boards by 2015. Through consistent attention to the data on progress by FTSE 100 companies, the target of 25% has been met. This provides evidence linking transparency with results and the achievement of a government ambition.</w:t>
      </w:r>
      <w:r w:rsidR="006E6112">
        <w:rPr>
          <w:sz w:val="22"/>
          <w:szCs w:val="22"/>
        </w:rPr>
        <w:t xml:space="preserve"> </w:t>
      </w:r>
    </w:p>
    <w:p w14:paraId="6DCBA8EE" w14:textId="77777777" w:rsidR="000F6079" w:rsidRPr="00F74A5C" w:rsidRDefault="000F6079" w:rsidP="001B08DA">
      <w:pPr>
        <w:jc w:val="both"/>
        <w:rPr>
          <w:sz w:val="22"/>
          <w:szCs w:val="22"/>
        </w:rPr>
      </w:pPr>
    </w:p>
    <w:p w14:paraId="391CA913" w14:textId="77777777" w:rsidR="00771726" w:rsidRPr="00F74A5C" w:rsidRDefault="00771726" w:rsidP="001B08DA">
      <w:pPr>
        <w:ind w:right="120"/>
        <w:jc w:val="both"/>
        <w:rPr>
          <w:sz w:val="22"/>
        </w:rPr>
      </w:pPr>
    </w:p>
    <w:p w14:paraId="1B8F0610" w14:textId="77777777" w:rsidR="00771726" w:rsidRPr="00F74A5C" w:rsidRDefault="00771726" w:rsidP="001B08DA">
      <w:pPr>
        <w:jc w:val="both"/>
        <w:rPr>
          <w:sz w:val="22"/>
        </w:rPr>
      </w:pPr>
      <w:r w:rsidRPr="00F74A5C">
        <w:rPr>
          <w:sz w:val="22"/>
        </w:rPr>
        <w:t>The Equali</w:t>
      </w:r>
      <w:r w:rsidR="00FA5376">
        <w:rPr>
          <w:sz w:val="22"/>
        </w:rPr>
        <w:t>ty and Human Rights Commission conclude</w:t>
      </w:r>
      <w:r w:rsidR="008A4588">
        <w:rPr>
          <w:sz w:val="22"/>
        </w:rPr>
        <w:t>d</w:t>
      </w:r>
      <w:r w:rsidRPr="00F74A5C">
        <w:rPr>
          <w:sz w:val="22"/>
        </w:rPr>
        <w:t xml:space="preserve"> f</w:t>
      </w:r>
      <w:r w:rsidR="00FA5376">
        <w:rPr>
          <w:sz w:val="22"/>
        </w:rPr>
        <w:t xml:space="preserve">urther to its 2009 consultation </w:t>
      </w:r>
      <w:r w:rsidRPr="00F74A5C">
        <w:rPr>
          <w:sz w:val="22"/>
        </w:rPr>
        <w:t>that transparency alone c</w:t>
      </w:r>
      <w:r w:rsidR="008A4588">
        <w:rPr>
          <w:sz w:val="22"/>
        </w:rPr>
        <w:t xml:space="preserve">ould </w:t>
      </w:r>
      <w:r w:rsidRPr="00F74A5C">
        <w:rPr>
          <w:sz w:val="22"/>
        </w:rPr>
        <w:t>not change workplace cultures</w:t>
      </w:r>
      <w:r w:rsidR="008A4588">
        <w:rPr>
          <w:sz w:val="22"/>
        </w:rPr>
        <w:t>,</w:t>
      </w:r>
      <w:r w:rsidRPr="00F74A5C">
        <w:rPr>
          <w:sz w:val="22"/>
        </w:rPr>
        <w:t xml:space="preserve"> but </w:t>
      </w:r>
      <w:r w:rsidR="008A4588">
        <w:rPr>
          <w:sz w:val="22"/>
        </w:rPr>
        <w:t xml:space="preserve">that </w:t>
      </w:r>
      <w:r w:rsidRPr="00F74A5C">
        <w:rPr>
          <w:sz w:val="22"/>
        </w:rPr>
        <w:t>it c</w:t>
      </w:r>
      <w:r w:rsidR="008A4588">
        <w:rPr>
          <w:sz w:val="22"/>
        </w:rPr>
        <w:t>ould</w:t>
      </w:r>
      <w:r w:rsidRPr="00F74A5C">
        <w:rPr>
          <w:sz w:val="22"/>
        </w:rPr>
        <w:t xml:space="preserve"> encourage dialogue and spur the action necessary to reduce the gender pay gap. </w:t>
      </w:r>
    </w:p>
    <w:p w14:paraId="58E84437" w14:textId="77777777" w:rsidR="006E6112" w:rsidRDefault="006E6112" w:rsidP="001B08DA">
      <w:pPr>
        <w:jc w:val="both"/>
        <w:rPr>
          <w:sz w:val="22"/>
        </w:rPr>
      </w:pPr>
    </w:p>
    <w:p w14:paraId="618DD8DB" w14:textId="77777777" w:rsidR="00771726" w:rsidRPr="00F74A5C" w:rsidRDefault="00771726" w:rsidP="001B08DA">
      <w:pPr>
        <w:jc w:val="both"/>
      </w:pPr>
      <w:r w:rsidRPr="00F74A5C">
        <w:rPr>
          <w:sz w:val="22"/>
        </w:rPr>
        <w:t xml:space="preserve">The EHRC report also discusses some </w:t>
      </w:r>
      <w:r w:rsidR="00235802" w:rsidRPr="00F74A5C">
        <w:rPr>
          <w:sz w:val="22"/>
        </w:rPr>
        <w:t xml:space="preserve">of the </w:t>
      </w:r>
      <w:r w:rsidRPr="00F74A5C">
        <w:rPr>
          <w:sz w:val="22"/>
        </w:rPr>
        <w:t xml:space="preserve">benefits </w:t>
      </w:r>
      <w:r w:rsidR="00235802" w:rsidRPr="00F74A5C">
        <w:rPr>
          <w:sz w:val="22"/>
        </w:rPr>
        <w:t xml:space="preserve">to employers </w:t>
      </w:r>
      <w:r w:rsidRPr="00F74A5C">
        <w:rPr>
          <w:sz w:val="22"/>
        </w:rPr>
        <w:t>that increased transparency may provide. For instance, it could lead to employers making more robust and consistent decisions about who gets paid what and why</w:t>
      </w:r>
      <w:r w:rsidR="00235802" w:rsidRPr="00F74A5C">
        <w:rPr>
          <w:sz w:val="22"/>
        </w:rPr>
        <w:t>. It may also create more meaningful and clearer links between</w:t>
      </w:r>
      <w:r w:rsidRPr="00F74A5C">
        <w:rPr>
          <w:sz w:val="22"/>
        </w:rPr>
        <w:t xml:space="preserve"> performance and </w:t>
      </w:r>
      <w:r w:rsidR="00235802" w:rsidRPr="00F74A5C">
        <w:rPr>
          <w:sz w:val="22"/>
        </w:rPr>
        <w:t>remuneration</w:t>
      </w:r>
      <w:r w:rsidRPr="00F74A5C">
        <w:rPr>
          <w:sz w:val="22"/>
        </w:rPr>
        <w:t xml:space="preserve">, sending a message that managers are striving to reward people in accordance with their contribution to the organisation’s business objectives. </w:t>
      </w:r>
    </w:p>
    <w:p w14:paraId="19C53276" w14:textId="77777777" w:rsidR="006E6112" w:rsidRDefault="006E6112" w:rsidP="006E6112">
      <w:pPr>
        <w:ind w:right="120"/>
        <w:jc w:val="both"/>
        <w:rPr>
          <w:sz w:val="22"/>
        </w:rPr>
      </w:pPr>
    </w:p>
    <w:p w14:paraId="3D2D97BC" w14:textId="77777777" w:rsidR="006E6112" w:rsidRDefault="006E6112" w:rsidP="006E6112">
      <w:pPr>
        <w:ind w:right="120"/>
        <w:jc w:val="both"/>
        <w:rPr>
          <w:sz w:val="22"/>
        </w:rPr>
      </w:pPr>
      <w:r>
        <w:rPr>
          <w:sz w:val="22"/>
        </w:rPr>
        <w:t>Increasing transparency around gender pay differences in the private and voluntary sectors will enable the impact of workplace policies and practices to be monitored and discussed. Transparency may encourage e</w:t>
      </w:r>
      <w:r w:rsidRPr="00E7529B">
        <w:rPr>
          <w:sz w:val="22"/>
        </w:rPr>
        <w:t>mployers to analyse the drivers behind their gender pay gap and explore the extent to which their own policies and practices may have contributed to that gap, as opposed to other factors outside of their control.</w:t>
      </w:r>
      <w:r w:rsidRPr="00E7529B">
        <w:rPr>
          <w:rStyle w:val="FootnoteReference"/>
        </w:rPr>
        <w:footnoteReference w:id="6"/>
      </w:r>
      <w:r w:rsidRPr="00E7529B">
        <w:rPr>
          <w:sz w:val="22"/>
        </w:rPr>
        <w:t xml:space="preserve"> </w:t>
      </w:r>
      <w:r w:rsidR="00706EE1" w:rsidRPr="005471F1">
        <w:rPr>
          <w:sz w:val="22"/>
        </w:rPr>
        <w:t>Publication of information may generate greater board level interest, driving forward a greater focus on analysis.</w:t>
      </w:r>
      <w:r w:rsidR="00706EE1" w:rsidRPr="00B53561">
        <w:rPr>
          <w:color w:val="00B050"/>
          <w:sz w:val="22"/>
        </w:rPr>
        <w:t xml:space="preserve"> </w:t>
      </w:r>
      <w:r w:rsidRPr="00E7529B">
        <w:rPr>
          <w:sz w:val="22"/>
        </w:rPr>
        <w:t>This transparency could lead to employers reviewing their internal policies if needed, for example, company culture, flexible/part-time working patterns; support for maternity returners; unconscious bias in recruitment/promotion; inconsistency in awarding bonuses and how accessible senior roles are for women</w:t>
      </w:r>
      <w:r w:rsidRPr="001E6544">
        <w:rPr>
          <w:sz w:val="22"/>
        </w:rPr>
        <w:t xml:space="preserve">. </w:t>
      </w:r>
      <w:r>
        <w:rPr>
          <w:sz w:val="22"/>
        </w:rPr>
        <w:t xml:space="preserve">All of this can contribute to reducing the gender pay gap over time, not just within individual organisations but across the whole economy. </w:t>
      </w:r>
      <w:r w:rsidRPr="001E6544">
        <w:rPr>
          <w:sz w:val="22"/>
        </w:rPr>
        <w:t>While proper benchmarking requires enough detail to facilitate like for like comparisons, the information that employers publish may be able to support some basic benchmarking across employers within a sector and across sectors.</w:t>
      </w:r>
    </w:p>
    <w:p w14:paraId="1922C9FC" w14:textId="77777777" w:rsidR="006E6112" w:rsidRDefault="006E6112" w:rsidP="006E6112">
      <w:pPr>
        <w:ind w:right="120"/>
        <w:jc w:val="both"/>
        <w:rPr>
          <w:sz w:val="22"/>
        </w:rPr>
      </w:pPr>
    </w:p>
    <w:p w14:paraId="66AB9559" w14:textId="77777777" w:rsidR="006E6112" w:rsidRDefault="006E6112" w:rsidP="006E6112">
      <w:pPr>
        <w:ind w:right="120"/>
        <w:jc w:val="both"/>
        <w:rPr>
          <w:sz w:val="22"/>
        </w:rPr>
      </w:pPr>
      <w:r>
        <w:rPr>
          <w:sz w:val="22"/>
        </w:rPr>
        <w:t>Having published information about their gender pay differences, many employers will be encouraged to establish an effective talent pipeline that helps women to fulfil their earning potential. Publication of a gender pay gap can ultimately increase employee confidence in the remuneration process and enhance an employer’s corporate reputation.</w:t>
      </w:r>
    </w:p>
    <w:p w14:paraId="5F8D5823" w14:textId="77777777" w:rsidR="006E6112" w:rsidRDefault="006E6112" w:rsidP="006E6112">
      <w:pPr>
        <w:ind w:right="120"/>
        <w:jc w:val="both"/>
        <w:rPr>
          <w:sz w:val="22"/>
        </w:rPr>
      </w:pPr>
    </w:p>
    <w:p w14:paraId="4C7B2AA1" w14:textId="77777777" w:rsidR="006E6112" w:rsidRDefault="006E6112" w:rsidP="006E6112">
      <w:pPr>
        <w:ind w:right="120"/>
        <w:jc w:val="both"/>
        <w:rPr>
          <w:sz w:val="22"/>
        </w:rPr>
      </w:pPr>
      <w:r>
        <w:rPr>
          <w:sz w:val="22"/>
        </w:rPr>
        <w:t>By identifying those employers that are consistently and successfully ensuring that their women employees are achieving their full potential, we can recognise, collate and disseminate good practice.</w:t>
      </w:r>
    </w:p>
    <w:p w14:paraId="2C1F3C41" w14:textId="77777777" w:rsidR="00771726" w:rsidRPr="00F74A5C" w:rsidRDefault="00771726" w:rsidP="001B08DA">
      <w:pPr>
        <w:jc w:val="both"/>
      </w:pPr>
    </w:p>
    <w:p w14:paraId="45575451" w14:textId="77777777" w:rsidR="00771726" w:rsidRPr="001555C5" w:rsidRDefault="00771726" w:rsidP="001B08DA">
      <w:pPr>
        <w:jc w:val="both"/>
      </w:pPr>
    </w:p>
    <w:p w14:paraId="424A84F0" w14:textId="77777777" w:rsidR="00771726" w:rsidRPr="00F74A5C" w:rsidRDefault="00771726" w:rsidP="001B08DA">
      <w:pPr>
        <w:jc w:val="both"/>
      </w:pPr>
      <w:r w:rsidRPr="001555C5">
        <w:rPr>
          <w:sz w:val="22"/>
          <w:szCs w:val="22"/>
        </w:rPr>
        <w:t xml:space="preserve">Reducing the gender pay gap </w:t>
      </w:r>
      <w:r w:rsidR="008A4588" w:rsidRPr="001555C5">
        <w:rPr>
          <w:sz w:val="22"/>
          <w:szCs w:val="22"/>
        </w:rPr>
        <w:t xml:space="preserve">might </w:t>
      </w:r>
      <w:r w:rsidRPr="001555C5">
        <w:rPr>
          <w:sz w:val="22"/>
          <w:szCs w:val="22"/>
        </w:rPr>
        <w:t xml:space="preserve">help contribute to a more diverse and equal workforce through incentivising more women to </w:t>
      </w:r>
      <w:r w:rsidRPr="00F74A5C">
        <w:rPr>
          <w:sz w:val="22"/>
          <w:szCs w:val="22"/>
        </w:rPr>
        <w:t xml:space="preserve">work and progress in their careers. If appropriately managed this </w:t>
      </w:r>
      <w:r w:rsidR="008A4588">
        <w:rPr>
          <w:sz w:val="22"/>
          <w:szCs w:val="22"/>
        </w:rPr>
        <w:t>could</w:t>
      </w:r>
      <w:r w:rsidR="00235802" w:rsidRPr="00F74A5C">
        <w:rPr>
          <w:sz w:val="22"/>
          <w:szCs w:val="22"/>
        </w:rPr>
        <w:t xml:space="preserve"> result in</w:t>
      </w:r>
      <w:r w:rsidRPr="00F74A5C">
        <w:rPr>
          <w:sz w:val="22"/>
          <w:szCs w:val="22"/>
        </w:rPr>
        <w:t xml:space="preserve"> benefits</w:t>
      </w:r>
      <w:r w:rsidR="00235802" w:rsidRPr="00F74A5C">
        <w:rPr>
          <w:sz w:val="22"/>
          <w:szCs w:val="22"/>
        </w:rPr>
        <w:t xml:space="preserve"> to employers. However,</w:t>
      </w:r>
      <w:r w:rsidRPr="00F74A5C">
        <w:rPr>
          <w:sz w:val="22"/>
          <w:szCs w:val="22"/>
        </w:rPr>
        <w:t xml:space="preserve"> </w:t>
      </w:r>
      <w:r w:rsidR="00235802" w:rsidRPr="00F74A5C">
        <w:rPr>
          <w:sz w:val="22"/>
          <w:szCs w:val="22"/>
        </w:rPr>
        <w:t xml:space="preserve">this </w:t>
      </w:r>
      <w:r w:rsidRPr="00F74A5C">
        <w:rPr>
          <w:sz w:val="22"/>
          <w:szCs w:val="22"/>
        </w:rPr>
        <w:t xml:space="preserve">is likely to be dependent on factors such as the markets employers </w:t>
      </w:r>
      <w:r w:rsidRPr="00F74A5C">
        <w:rPr>
          <w:sz w:val="22"/>
          <w:szCs w:val="22"/>
        </w:rPr>
        <w:lastRenderedPageBreak/>
        <w:t>operate in, and the ac</w:t>
      </w:r>
      <w:r w:rsidR="00235802" w:rsidRPr="00F74A5C">
        <w:rPr>
          <w:sz w:val="22"/>
          <w:szCs w:val="22"/>
        </w:rPr>
        <w:t>tions of managers and leaders. I</w:t>
      </w:r>
      <w:r w:rsidRPr="00F74A5C">
        <w:rPr>
          <w:sz w:val="22"/>
          <w:szCs w:val="22"/>
        </w:rPr>
        <w:t>f poorly managed</w:t>
      </w:r>
      <w:r w:rsidR="00235802" w:rsidRPr="00F74A5C">
        <w:rPr>
          <w:sz w:val="22"/>
          <w:szCs w:val="22"/>
        </w:rPr>
        <w:t xml:space="preserve"> by employers</w:t>
      </w:r>
      <w:r w:rsidRPr="00F74A5C">
        <w:rPr>
          <w:sz w:val="22"/>
          <w:szCs w:val="22"/>
        </w:rPr>
        <w:t>, it could also increase business cost</w:t>
      </w:r>
      <w:r w:rsidR="008A4588">
        <w:rPr>
          <w:sz w:val="22"/>
          <w:szCs w:val="22"/>
        </w:rPr>
        <w:t>s</w:t>
      </w:r>
      <w:r w:rsidRPr="00F74A5C">
        <w:rPr>
          <w:sz w:val="22"/>
          <w:szCs w:val="22"/>
        </w:rPr>
        <w:t>.</w:t>
      </w:r>
      <w:r w:rsidR="00235802" w:rsidRPr="00F74A5C">
        <w:rPr>
          <w:sz w:val="22"/>
        </w:rPr>
        <w:t xml:space="preserve"> A possible</w:t>
      </w:r>
      <w:r w:rsidRPr="00F74A5C">
        <w:rPr>
          <w:sz w:val="22"/>
        </w:rPr>
        <w:t xml:space="preserve"> benefit</w:t>
      </w:r>
      <w:r w:rsidR="00AD0D80">
        <w:rPr>
          <w:sz w:val="22"/>
        </w:rPr>
        <w:t xml:space="preserve"> </w:t>
      </w:r>
      <w:r w:rsidR="00235802" w:rsidRPr="00F74A5C">
        <w:rPr>
          <w:sz w:val="22"/>
        </w:rPr>
        <w:t>to employers of</w:t>
      </w:r>
      <w:r w:rsidRPr="00F74A5C">
        <w:rPr>
          <w:sz w:val="22"/>
        </w:rPr>
        <w:t xml:space="preserve"> a more diver</w:t>
      </w:r>
      <w:r w:rsidR="00235802" w:rsidRPr="00F74A5C">
        <w:rPr>
          <w:sz w:val="22"/>
        </w:rPr>
        <w:t>se workforce, is the potential for</w:t>
      </w:r>
      <w:r w:rsidRPr="00F74A5C">
        <w:rPr>
          <w:sz w:val="22"/>
        </w:rPr>
        <w:t xml:space="preserve"> greater creativity and problem-solving </w:t>
      </w:r>
      <w:r w:rsidR="00235802" w:rsidRPr="00F74A5C">
        <w:rPr>
          <w:sz w:val="22"/>
        </w:rPr>
        <w:t xml:space="preserve">derived from </w:t>
      </w:r>
      <w:r w:rsidRPr="00F74A5C">
        <w:rPr>
          <w:sz w:val="22"/>
        </w:rPr>
        <w:t>a wider range of perspectives</w:t>
      </w:r>
      <w:r w:rsidR="00235802" w:rsidRPr="00F74A5C">
        <w:rPr>
          <w:sz w:val="22"/>
        </w:rPr>
        <w:t>,</w:t>
      </w:r>
      <w:r w:rsidRPr="00F74A5C">
        <w:rPr>
          <w:sz w:val="22"/>
        </w:rPr>
        <w:t xml:space="preserve"> </w:t>
      </w:r>
      <w:r w:rsidR="00235802" w:rsidRPr="00F74A5C">
        <w:rPr>
          <w:sz w:val="22"/>
        </w:rPr>
        <w:t xml:space="preserve">and, </w:t>
      </w:r>
      <w:r w:rsidRPr="00F74A5C">
        <w:rPr>
          <w:sz w:val="22"/>
        </w:rPr>
        <w:t>which will have a positive effect on the productivity of employees and business outcomes.</w:t>
      </w:r>
      <w:r w:rsidRPr="00F74A5C">
        <w:rPr>
          <w:sz w:val="22"/>
          <w:vertAlign w:val="superscript"/>
        </w:rPr>
        <w:footnoteReference w:id="7"/>
      </w:r>
      <w:r w:rsidRPr="00F74A5C">
        <w:rPr>
          <w:sz w:val="22"/>
        </w:rPr>
        <w:t xml:space="preserve"> </w:t>
      </w:r>
    </w:p>
    <w:p w14:paraId="3FDAB90A" w14:textId="77777777" w:rsidR="00771726" w:rsidRPr="00F74A5C" w:rsidRDefault="00771726" w:rsidP="001B08DA">
      <w:pPr>
        <w:jc w:val="both"/>
        <w:rPr>
          <w:sz w:val="22"/>
        </w:rPr>
      </w:pPr>
    </w:p>
    <w:p w14:paraId="44F983E8" w14:textId="77777777" w:rsidR="00771726" w:rsidRPr="00F74A5C" w:rsidRDefault="00771726" w:rsidP="001B08DA">
      <w:pPr>
        <w:spacing w:after="120"/>
        <w:jc w:val="both"/>
      </w:pPr>
      <w:r w:rsidRPr="00F74A5C">
        <w:rPr>
          <w:sz w:val="22"/>
        </w:rPr>
        <w:t xml:space="preserve">The IFF survey findings relating to perceptions about reporting among those who do not conduct analysis (paragraphs 5.19 -5.34) indicated some of the concerns employers have about transparency. The main reason for being </w:t>
      </w:r>
      <w:r w:rsidRPr="00F74A5C">
        <w:rPr>
          <w:b/>
          <w:i/>
          <w:sz w:val="22"/>
        </w:rPr>
        <w:t xml:space="preserve">opposed </w:t>
      </w:r>
      <w:r w:rsidRPr="00F74A5C">
        <w:rPr>
          <w:sz w:val="22"/>
        </w:rPr>
        <w:t>to both internal and external reporting was a stated company policy not to discuss pay (38% of employers against internal reporting and 44% of those against external reporting cited this as a reason). There were also a considerable number of employers in both cases who didn’t recognise gender pay gaps as an issue to address (32% in respect to internal reporting, 22% external). The other reasons for being against external reporting that were mentioned by more than 5% were: concerns about competitors having that information about them (11%), concerns about uncovering problems (9%), and being unsure how to go about doing it in the right way (5%).Other concerns regarding internal reporting included worries about uncovering problems (21%) and problems or ill-feeling it could cause among staff (12%).</w:t>
      </w:r>
    </w:p>
    <w:p w14:paraId="33463BDD" w14:textId="77777777" w:rsidR="00771726" w:rsidRPr="00F74A5C" w:rsidRDefault="00771726" w:rsidP="001B08DA">
      <w:pPr>
        <w:spacing w:after="120"/>
        <w:jc w:val="both"/>
      </w:pPr>
      <w:r w:rsidRPr="00F74A5C">
        <w:rPr>
          <w:sz w:val="22"/>
        </w:rPr>
        <w:t>However, the IFF research found that none of the employers approached by IFF said reporting gender pay had negative consequences for the organisation. 54% said reporting externally had been positive for the organisation. 36% said reporting externally had little effect either way.</w:t>
      </w:r>
    </w:p>
    <w:p w14:paraId="28736C4C" w14:textId="77777777" w:rsidR="00771726" w:rsidRPr="00F74A5C" w:rsidRDefault="00771726" w:rsidP="001B08DA">
      <w:pPr>
        <w:spacing w:after="120"/>
        <w:jc w:val="both"/>
      </w:pPr>
      <w:r w:rsidRPr="00F74A5C">
        <w:rPr>
          <w:sz w:val="22"/>
        </w:rPr>
        <w:t>In addition to this, GEO official discussions with employers about the gender pay gap in the latter part of 2014 highlighted that benefits of reporting gender pay information include competitive advantage, improved employee engagement and risk management by avoiding equal pay breaches from occurring or continuing.</w:t>
      </w:r>
    </w:p>
    <w:p w14:paraId="6F0E5F5F" w14:textId="77777777" w:rsidR="00771726" w:rsidRDefault="00771726" w:rsidP="001B08DA">
      <w:pPr>
        <w:spacing w:after="120"/>
        <w:jc w:val="both"/>
      </w:pPr>
      <w:r w:rsidRPr="00F74A5C">
        <w:rPr>
          <w:sz w:val="22"/>
        </w:rPr>
        <w:t>However, it is also clear that the Government will need to balance transparency with the rights of individual privacy. This is because an individual does not have the automatic right to know what another colleague earns, but does have the right to know how remuneration calculations are made. Publishing data in aggregate form is clearly one method of balancing transparency with the need for confidentiality.</w:t>
      </w:r>
      <w:r>
        <w:rPr>
          <w:sz w:val="22"/>
        </w:rPr>
        <w:t xml:space="preserve"> </w:t>
      </w:r>
    </w:p>
    <w:p w14:paraId="156DAF75" w14:textId="77777777" w:rsidR="00771726" w:rsidRDefault="00771726" w:rsidP="001B08DA">
      <w:pPr>
        <w:spacing w:after="120"/>
        <w:jc w:val="both"/>
      </w:pPr>
    </w:p>
    <w:p w14:paraId="2BF0DD5E" w14:textId="77777777" w:rsidR="00771726" w:rsidRDefault="00771726" w:rsidP="001B08DA">
      <w:pPr>
        <w:spacing w:after="120"/>
        <w:jc w:val="both"/>
      </w:pPr>
      <w:r>
        <w:rPr>
          <w:b/>
          <w:sz w:val="22"/>
          <w:u w:val="single"/>
        </w:rPr>
        <w:t xml:space="preserve">POLICY OBJECTIVE </w:t>
      </w:r>
    </w:p>
    <w:p w14:paraId="52692C06" w14:textId="77777777" w:rsidR="00771726" w:rsidRDefault="00771726" w:rsidP="001B08DA">
      <w:pPr>
        <w:spacing w:after="120"/>
        <w:jc w:val="both"/>
      </w:pPr>
      <w:r>
        <w:rPr>
          <w:sz w:val="22"/>
        </w:rPr>
        <w:t xml:space="preserve">By implementing Regulations under section 78 Equality Act 2010, this Government aims to introduce workable requirements to publish particular data with a view to enhancing progress being made by business on gender equality. </w:t>
      </w:r>
    </w:p>
    <w:p w14:paraId="27CAC9F5" w14:textId="77777777" w:rsidR="00771726" w:rsidRDefault="00771726" w:rsidP="001B08DA">
      <w:pPr>
        <w:spacing w:after="120"/>
        <w:jc w:val="both"/>
      </w:pPr>
      <w:r>
        <w:rPr>
          <w:sz w:val="22"/>
        </w:rPr>
        <w:t>The Government's wider aim is to reduce the gender pay gap in the UK and help ensure that women’s potential is effectively utilised and fairly rewarded.  This measure is one of a number being considered by the Government to tackle the different drivers of the pay gap. The overarching objective of this measure is to ensure employers are aware of any differences between the pay of men and women in their organisation, consider why this is and take appropriate action to address the causes where pay ana</w:t>
      </w:r>
      <w:r w:rsidR="004F401E">
        <w:rPr>
          <w:sz w:val="22"/>
        </w:rPr>
        <w:t>lysis highlights anomalies, for example, i</w:t>
      </w:r>
      <w:r>
        <w:rPr>
          <w:sz w:val="22"/>
        </w:rPr>
        <w:t xml:space="preserve">ssues with the recruitment, retention, progression, pay and/or maternity support of women.       </w:t>
      </w:r>
    </w:p>
    <w:p w14:paraId="29B2856F" w14:textId="77777777" w:rsidR="00771726" w:rsidRDefault="00771726" w:rsidP="001B08DA">
      <w:pPr>
        <w:spacing w:after="120"/>
        <w:jc w:val="both"/>
      </w:pPr>
      <w:r>
        <w:rPr>
          <w:sz w:val="22"/>
        </w:rPr>
        <w:t xml:space="preserve">Equally, the intention is to ensure any burdens on business are recognised and mitigated where possible. In formulating the regulations, compliance arrangements should also be proportionate.    </w:t>
      </w:r>
    </w:p>
    <w:p w14:paraId="40B5CD77" w14:textId="77777777" w:rsidR="00771726" w:rsidRDefault="00771726" w:rsidP="001B08DA">
      <w:pPr>
        <w:spacing w:after="120"/>
        <w:jc w:val="both"/>
      </w:pPr>
    </w:p>
    <w:p w14:paraId="1998156A" w14:textId="77777777" w:rsidR="00771726" w:rsidRDefault="00771726" w:rsidP="001B08DA">
      <w:pPr>
        <w:spacing w:after="120"/>
        <w:jc w:val="both"/>
      </w:pPr>
      <w:r>
        <w:rPr>
          <w:b/>
          <w:sz w:val="22"/>
          <w:u w:val="single"/>
        </w:rPr>
        <w:t>DESCRIPTION OF OPTIONS CONSIDERED (including doing nothing)</w:t>
      </w:r>
    </w:p>
    <w:p w14:paraId="7A7A4C69" w14:textId="77777777" w:rsidR="00771726" w:rsidRDefault="00771726" w:rsidP="001B08DA">
      <w:pPr>
        <w:spacing w:after="120"/>
        <w:jc w:val="both"/>
      </w:pPr>
    </w:p>
    <w:p w14:paraId="40D24E3B" w14:textId="77777777" w:rsidR="00771726" w:rsidRDefault="00771726" w:rsidP="001B08DA">
      <w:pPr>
        <w:spacing w:after="120"/>
        <w:jc w:val="both"/>
      </w:pPr>
      <w:r>
        <w:rPr>
          <w:b/>
          <w:sz w:val="22"/>
        </w:rPr>
        <w:t>OPTION 0: Do nothing</w:t>
      </w:r>
    </w:p>
    <w:p w14:paraId="5F101176" w14:textId="77777777" w:rsidR="00771726" w:rsidRDefault="00771726" w:rsidP="001B08DA">
      <w:pPr>
        <w:spacing w:after="120"/>
        <w:jc w:val="both"/>
      </w:pPr>
      <w:r>
        <w:rPr>
          <w:sz w:val="22"/>
        </w:rPr>
        <w:t xml:space="preserve">This option relies on employers continuing to publish information voluntarily showing whether there is any difference in the pay of male and female employees. However, </w:t>
      </w:r>
      <w:r>
        <w:rPr>
          <w:color w:val="222222"/>
          <w:sz w:val="22"/>
          <w:highlight w:val="white"/>
        </w:rPr>
        <w:t xml:space="preserve">only 5 out of almost 280 </w:t>
      </w:r>
      <w:r>
        <w:rPr>
          <w:sz w:val="22"/>
          <w:highlight w:val="white"/>
        </w:rPr>
        <w:t xml:space="preserve">employers who signed up to the previous government’s voluntary initiative have </w:t>
      </w:r>
      <w:r>
        <w:rPr>
          <w:sz w:val="22"/>
          <w:highlight w:val="white"/>
          <w:u w:val="single"/>
        </w:rPr>
        <w:t>published</w:t>
      </w:r>
      <w:r>
        <w:rPr>
          <w:sz w:val="22"/>
          <w:highlight w:val="white"/>
        </w:rPr>
        <w:t xml:space="preserve"> their gender pay</w:t>
      </w:r>
      <w:r>
        <w:rPr>
          <w:sz w:val="22"/>
        </w:rPr>
        <w:t xml:space="preserve"> data. To date, this option has therefore not been very effective. The UK gender pay gap has fallen at a slow rate the last five years. It has decreased from 19.85% in 2010 by 0.75% to 19.1%. Under a voluntary approach, the </w:t>
      </w:r>
      <w:r>
        <w:rPr>
          <w:sz w:val="22"/>
        </w:rPr>
        <w:lastRenderedPageBreak/>
        <w:t xml:space="preserve">trends to date indicate that the gender pay gap will likely continue to decrease over time but it will not improve the trajectory needed for a more accelerated pace of change. </w:t>
      </w:r>
    </w:p>
    <w:p w14:paraId="067AC884" w14:textId="77777777" w:rsidR="00771726" w:rsidRDefault="00771726" w:rsidP="001B08DA">
      <w:pPr>
        <w:spacing w:after="120"/>
        <w:jc w:val="both"/>
      </w:pPr>
    </w:p>
    <w:p w14:paraId="2F6B31F7" w14:textId="77777777" w:rsidR="00771726" w:rsidRDefault="00771726" w:rsidP="001B08DA">
      <w:pPr>
        <w:spacing w:after="120"/>
        <w:jc w:val="both"/>
      </w:pPr>
      <w:r>
        <w:rPr>
          <w:b/>
          <w:sz w:val="22"/>
        </w:rPr>
        <w:t>OPTION 1: Implement section 78 regulations requiring employers with at least 250 employees to publish:</w:t>
      </w:r>
    </w:p>
    <w:p w14:paraId="3E68AB8B" w14:textId="77777777" w:rsidR="00771726" w:rsidRDefault="00771726" w:rsidP="001B08DA">
      <w:pPr>
        <w:spacing w:after="120"/>
        <w:jc w:val="both"/>
      </w:pPr>
    </w:p>
    <w:p w14:paraId="5089D307" w14:textId="77777777" w:rsidR="00771726" w:rsidRDefault="00771726" w:rsidP="001B08DA">
      <w:pPr>
        <w:spacing w:after="120"/>
        <w:jc w:val="both"/>
      </w:pPr>
      <w:r>
        <w:rPr>
          <w:b/>
          <w:sz w:val="22"/>
        </w:rPr>
        <w:t>a) Single gender pay gap figure</w:t>
      </w:r>
    </w:p>
    <w:p w14:paraId="5271A416" w14:textId="77777777" w:rsidR="00771726" w:rsidRDefault="00771726" w:rsidP="001B08DA">
      <w:pPr>
        <w:spacing w:after="120"/>
        <w:jc w:val="both"/>
      </w:pPr>
      <w:r>
        <w:rPr>
          <w:sz w:val="22"/>
        </w:rPr>
        <w:t>A single figure could be expressed as the percentage difference in average earnings between males and females, the difference in average hourly pay rates or annual pay rates between males and females. It could also take into account any difference in working patterns (part-time versus full-time) as employers can calculate all their staff salaries to full-time equivalent figures. One large employer has told us they use the single figure pay gap as their starting point for assessing pay gaps. They mentioned that the data required to calculate the single figure was easy to access and the calculation itself is simple and does not require a lot of resource.  55% of IES respondents saw the single figure the easiest to measure and 67% stated it would also be the cheapest. The IFF research found that of the six in ten employers (61%) that report gender information internally, 12% reported on a single figure of average pay gap</w:t>
      </w:r>
    </w:p>
    <w:p w14:paraId="6CB0B316" w14:textId="77777777" w:rsidR="00771726" w:rsidRDefault="00771726" w:rsidP="001B08DA">
      <w:pPr>
        <w:spacing w:after="120"/>
        <w:jc w:val="both"/>
      </w:pPr>
      <w:r>
        <w:rPr>
          <w:b/>
          <w:sz w:val="22"/>
        </w:rPr>
        <w:t>OR</w:t>
      </w:r>
    </w:p>
    <w:p w14:paraId="51D33DB0" w14:textId="77777777" w:rsidR="00771726" w:rsidRDefault="00771726" w:rsidP="001B08DA">
      <w:pPr>
        <w:spacing w:after="120"/>
        <w:jc w:val="both"/>
      </w:pPr>
      <w:r>
        <w:rPr>
          <w:b/>
          <w:sz w:val="22"/>
        </w:rPr>
        <w:t>b) Narrative with the single gender pay gap figure</w:t>
      </w:r>
    </w:p>
    <w:p w14:paraId="2FF27BF4" w14:textId="77777777" w:rsidR="00771726" w:rsidRDefault="00771726" w:rsidP="001B08DA">
      <w:pPr>
        <w:jc w:val="both"/>
      </w:pPr>
      <w:r>
        <w:rPr>
          <w:sz w:val="22"/>
        </w:rPr>
        <w:t xml:space="preserve">Supplementing the figures with narrative will help employers to avoid presenting misleading data and provide some context for the data. One large employer has provided us with some insight into how a single figure could be misleading without a narrative. For instance, pay within an organisation could be directly related to performance ratings which may vary across gender for a number of reasons. One reason is that there is usually a higher proportion of females working part-time and performance may be harder to measure for part-time employees. Also, the gender pay gap may be higher due to the demographic structure of the organisation and fewer women being represented in higher paid jobs. Having a supporting narrative gives the employer an opportunity to explain the drivers behind their gender pay gap and if they are changing any of their working practices to reduce their gender pay gap. </w:t>
      </w:r>
    </w:p>
    <w:p w14:paraId="048A1284" w14:textId="77777777" w:rsidR="00771726" w:rsidRDefault="00771726" w:rsidP="001B08DA">
      <w:pPr>
        <w:spacing w:after="120"/>
        <w:jc w:val="both"/>
      </w:pPr>
    </w:p>
    <w:p w14:paraId="3FF50162" w14:textId="77777777" w:rsidR="00771726" w:rsidRDefault="00771726" w:rsidP="001B08DA">
      <w:pPr>
        <w:spacing w:after="120"/>
        <w:jc w:val="both"/>
      </w:pPr>
      <w:r>
        <w:rPr>
          <w:b/>
          <w:sz w:val="22"/>
        </w:rPr>
        <w:t>OPTION 2: Implement section 78 regulations requiring employers with at least 250 employees to publish:</w:t>
      </w:r>
    </w:p>
    <w:p w14:paraId="3542E59E" w14:textId="77777777" w:rsidR="00771726" w:rsidRDefault="00771726" w:rsidP="001B08DA">
      <w:pPr>
        <w:spacing w:after="120"/>
        <w:jc w:val="both"/>
      </w:pPr>
    </w:p>
    <w:p w14:paraId="626FB025" w14:textId="77777777" w:rsidR="00771726" w:rsidRDefault="00771726" w:rsidP="001B08DA">
      <w:pPr>
        <w:numPr>
          <w:ilvl w:val="0"/>
          <w:numId w:val="24"/>
        </w:numPr>
        <w:spacing w:after="120"/>
        <w:ind w:left="284" w:hanging="284"/>
        <w:jc w:val="both"/>
        <w:rPr>
          <w:b/>
          <w:sz w:val="22"/>
        </w:rPr>
      </w:pPr>
      <w:r>
        <w:rPr>
          <w:b/>
          <w:sz w:val="22"/>
        </w:rPr>
        <w:t xml:space="preserve"> Breakdown of data, for example, by full and par</w:t>
      </w:r>
      <w:r w:rsidR="004F401E">
        <w:rPr>
          <w:b/>
          <w:sz w:val="22"/>
        </w:rPr>
        <w:t>t time or pay grading structure.</w:t>
      </w:r>
    </w:p>
    <w:p w14:paraId="71C55BCC" w14:textId="77777777" w:rsidR="00771726" w:rsidRDefault="00771726" w:rsidP="001B08DA">
      <w:pPr>
        <w:spacing w:after="120"/>
        <w:jc w:val="both"/>
      </w:pPr>
      <w:r>
        <w:rPr>
          <w:sz w:val="22"/>
        </w:rPr>
        <w:t xml:space="preserve">This option takes account of the different ways gender pay data can be broken down. We have considered full time and part time, grading structure and age because employers have told us that these are the datasets used for gender pay analysis. This approach could consider relative number of employees at each grade which is one of the key drivers of employers having a higher single gender pay gap figure where there are more male employees than female employees in senior positions. There are however limitations to this option. This assumes that all employers will already have information required and clearly defined grading structures in place. One large employer who has conducted analysis for other employers found that some had incomplete data and it could take many months to gain access to this data. We are seeking further information on what proportion of employers have grading structures in place. During the consultation period we will consider whether different datasets broken down will be more informative. This option currently assumes that employers will be considering one set of data for analysis. We will consider the use of a combination of these datasets during consultation. </w:t>
      </w:r>
    </w:p>
    <w:p w14:paraId="3B5F9194" w14:textId="77777777" w:rsidR="00771726" w:rsidRDefault="00771726" w:rsidP="001B08DA">
      <w:pPr>
        <w:spacing w:after="120"/>
        <w:jc w:val="both"/>
      </w:pPr>
      <w:r>
        <w:rPr>
          <w:b/>
          <w:sz w:val="22"/>
        </w:rPr>
        <w:t>OR</w:t>
      </w:r>
    </w:p>
    <w:p w14:paraId="5C60A6F7" w14:textId="77777777" w:rsidR="00771726" w:rsidRDefault="00771726" w:rsidP="001B08DA">
      <w:pPr>
        <w:spacing w:after="120"/>
        <w:jc w:val="both"/>
      </w:pPr>
      <w:r>
        <w:rPr>
          <w:b/>
          <w:sz w:val="22"/>
        </w:rPr>
        <w:t>(b) Breakdown of data with supporting narrative</w:t>
      </w:r>
      <w:r w:rsidR="004F401E">
        <w:rPr>
          <w:b/>
          <w:sz w:val="22"/>
        </w:rPr>
        <w:t>.</w:t>
      </w:r>
    </w:p>
    <w:p w14:paraId="02F24786" w14:textId="77777777" w:rsidR="00771726" w:rsidRDefault="00771726" w:rsidP="001B08DA">
      <w:pPr>
        <w:spacing w:after="120"/>
        <w:jc w:val="both"/>
      </w:pPr>
      <w:r>
        <w:rPr>
          <w:sz w:val="22"/>
        </w:rPr>
        <w:t xml:space="preserve">The supporting narrative under this option can be less detailed than the narrative supporting the single figure as more information is available. One large employer also provided us with some insight into how a breakdown by grade structure with no narrative could also be misleading. For instance, when an employee is promoted to a higher grade, they may be moving from the highest salary available in the lower grade level to the lowest salary available in the higher grade level (depending on the grading structure of the employer). Where this involves female employees, such a move could have a more significant effect and </w:t>
      </w:r>
      <w:r>
        <w:rPr>
          <w:sz w:val="22"/>
        </w:rPr>
        <w:lastRenderedPageBreak/>
        <w:t>negative impact on the average gender pay gap figures at both grade levels. As with option 1b), having a supporting narrative gives the employer an opportunity to explain any such drivers. We make no assumptions at this stage about the length and detail of supporting narrative but have considered the range of approaches have taken. Some employers may produce detailed reports while others take a minimalist approach.</w:t>
      </w:r>
    </w:p>
    <w:p w14:paraId="23AE8179" w14:textId="77777777" w:rsidR="00771726" w:rsidRDefault="00771726" w:rsidP="001B08DA">
      <w:pPr>
        <w:spacing w:after="120"/>
        <w:jc w:val="both"/>
      </w:pPr>
    </w:p>
    <w:p w14:paraId="78A9D5B9" w14:textId="77777777" w:rsidR="00771726" w:rsidRDefault="00771726" w:rsidP="001B08DA">
      <w:pPr>
        <w:spacing w:after="120"/>
        <w:jc w:val="both"/>
      </w:pPr>
      <w:r>
        <w:rPr>
          <w:b/>
          <w:sz w:val="22"/>
          <w:u w:val="single"/>
        </w:rPr>
        <w:t>MONESTISED AND NON-MONETISED COSTS AND BENEFITS OF EACH OPTION</w:t>
      </w:r>
    </w:p>
    <w:p w14:paraId="26791817" w14:textId="77777777" w:rsidR="00771726" w:rsidRPr="003C2DBD" w:rsidRDefault="00771726" w:rsidP="001B08DA">
      <w:pPr>
        <w:spacing w:after="120"/>
        <w:jc w:val="both"/>
        <w:rPr>
          <w:b/>
        </w:rPr>
      </w:pPr>
    </w:p>
    <w:p w14:paraId="0E9DE3D4" w14:textId="77777777" w:rsidR="005B6239" w:rsidRPr="005B6239" w:rsidRDefault="005B6239" w:rsidP="001B08DA">
      <w:pPr>
        <w:spacing w:after="120"/>
        <w:jc w:val="both"/>
        <w:rPr>
          <w:b/>
          <w:sz w:val="22"/>
          <w:u w:val="single"/>
        </w:rPr>
      </w:pPr>
      <w:r>
        <w:rPr>
          <w:b/>
          <w:sz w:val="22"/>
          <w:u w:val="single"/>
        </w:rPr>
        <w:t>OPTION 0 – Do Nothing</w:t>
      </w:r>
    </w:p>
    <w:p w14:paraId="5A39FBB4" w14:textId="77777777" w:rsidR="00771726" w:rsidRPr="003D1969" w:rsidRDefault="003D1969" w:rsidP="001B08DA">
      <w:pPr>
        <w:spacing w:after="120"/>
        <w:jc w:val="both"/>
        <w:rPr>
          <w:b/>
          <w:u w:val="single"/>
        </w:rPr>
      </w:pPr>
      <w:r w:rsidRPr="003D1969">
        <w:rPr>
          <w:b/>
          <w:u w:val="single"/>
        </w:rPr>
        <w:t>Costs</w:t>
      </w:r>
      <w:r w:rsidR="00771726" w:rsidRPr="003D1969">
        <w:rPr>
          <w:b/>
          <w:sz w:val="22"/>
          <w:u w:val="single"/>
        </w:rPr>
        <w:t xml:space="preserve"> </w:t>
      </w:r>
    </w:p>
    <w:p w14:paraId="7D7A115D" w14:textId="77777777" w:rsidR="00771726" w:rsidRDefault="00771726" w:rsidP="001B08DA">
      <w:pPr>
        <w:spacing w:after="120"/>
        <w:jc w:val="both"/>
      </w:pPr>
      <w:r>
        <w:rPr>
          <w:sz w:val="22"/>
        </w:rPr>
        <w:t xml:space="preserve">There is a net zero cost as this is a continuation of the current scenario (voluntary approach). </w:t>
      </w:r>
    </w:p>
    <w:p w14:paraId="4EF908FB" w14:textId="77777777" w:rsidR="00771726" w:rsidRDefault="00771726" w:rsidP="001B08DA">
      <w:pPr>
        <w:spacing w:after="120"/>
        <w:jc w:val="both"/>
      </w:pPr>
    </w:p>
    <w:p w14:paraId="42DA6A1D" w14:textId="77777777" w:rsidR="00771726" w:rsidRDefault="00771726" w:rsidP="001B08DA">
      <w:pPr>
        <w:spacing w:after="120"/>
        <w:jc w:val="both"/>
      </w:pPr>
      <w:r>
        <w:rPr>
          <w:b/>
          <w:sz w:val="22"/>
          <w:u w:val="single"/>
        </w:rPr>
        <w:t>OPTION 1: Implement section 78 regulations requiring employers with at least 250 employees to publish:</w:t>
      </w:r>
    </w:p>
    <w:p w14:paraId="5025A7B6" w14:textId="77777777" w:rsidR="00771726" w:rsidRDefault="00771726" w:rsidP="001B08DA">
      <w:pPr>
        <w:spacing w:after="120"/>
        <w:jc w:val="both"/>
      </w:pPr>
      <w:r>
        <w:rPr>
          <w:b/>
          <w:sz w:val="22"/>
        </w:rPr>
        <w:t xml:space="preserve">1a) Single gender pay gap figure  </w:t>
      </w:r>
    </w:p>
    <w:p w14:paraId="4F9FCE67" w14:textId="77777777" w:rsidR="00771726" w:rsidRDefault="00771726" w:rsidP="001B08DA">
      <w:pPr>
        <w:spacing w:after="120"/>
        <w:jc w:val="both"/>
      </w:pPr>
      <w:r>
        <w:rPr>
          <w:b/>
          <w:sz w:val="22"/>
        </w:rPr>
        <w:t xml:space="preserve">1b) Single gender pay gap figure with supporting narrative </w:t>
      </w:r>
    </w:p>
    <w:p w14:paraId="40BE24BA" w14:textId="77777777" w:rsidR="00E156DB" w:rsidRDefault="00E156DB" w:rsidP="001B08DA">
      <w:pPr>
        <w:spacing w:after="120"/>
        <w:jc w:val="both"/>
      </w:pPr>
    </w:p>
    <w:p w14:paraId="5993CF35" w14:textId="77777777" w:rsidR="00771726" w:rsidRPr="00E156DB" w:rsidRDefault="00E156DB" w:rsidP="001B08DA">
      <w:pPr>
        <w:spacing w:after="120"/>
        <w:jc w:val="both"/>
        <w:rPr>
          <w:u w:val="single"/>
        </w:rPr>
      </w:pPr>
      <w:r w:rsidRPr="00E156DB">
        <w:rPr>
          <w:b/>
          <w:sz w:val="22"/>
          <w:u w:val="single"/>
        </w:rPr>
        <w:t>Costs</w:t>
      </w:r>
    </w:p>
    <w:p w14:paraId="168103B7" w14:textId="77777777" w:rsidR="00771726" w:rsidRDefault="00771726" w:rsidP="001B08DA">
      <w:pPr>
        <w:spacing w:after="120"/>
        <w:jc w:val="both"/>
      </w:pPr>
      <w:r>
        <w:rPr>
          <w:b/>
          <w:sz w:val="22"/>
        </w:rPr>
        <w:t xml:space="preserve">Employers: </w:t>
      </w:r>
    </w:p>
    <w:p w14:paraId="6E7846B0" w14:textId="77777777" w:rsidR="00771726" w:rsidRDefault="00771726" w:rsidP="001B08DA">
      <w:pPr>
        <w:jc w:val="both"/>
      </w:pPr>
      <w:r>
        <w:rPr>
          <w:sz w:val="22"/>
        </w:rPr>
        <w:t xml:space="preserve">Section 78 applies only to employers with at least 250 employees. This means around 7,855 employers could fall within the scope of these regulations. </w:t>
      </w:r>
    </w:p>
    <w:p w14:paraId="173CCB85" w14:textId="77777777" w:rsidR="00771726" w:rsidRDefault="00771726" w:rsidP="001B08DA">
      <w:pPr>
        <w:spacing w:after="120"/>
        <w:jc w:val="both"/>
      </w:pPr>
    </w:p>
    <w:p w14:paraId="12587148" w14:textId="77777777" w:rsidR="00771726" w:rsidRDefault="00771726" w:rsidP="001B08DA">
      <w:pPr>
        <w:jc w:val="both"/>
      </w:pPr>
      <w:r>
        <w:rPr>
          <w:sz w:val="22"/>
        </w:rPr>
        <w:t>The costs to employers are broken down into three parts:</w:t>
      </w:r>
    </w:p>
    <w:p w14:paraId="65FE80F7" w14:textId="77777777" w:rsidR="00771726" w:rsidRDefault="00771726" w:rsidP="001B08DA">
      <w:pPr>
        <w:jc w:val="both"/>
      </w:pPr>
      <w:r>
        <w:rPr>
          <w:sz w:val="22"/>
        </w:rPr>
        <w:t>• Transitional one-off familiarisation costs</w:t>
      </w:r>
    </w:p>
    <w:p w14:paraId="6FA66B34" w14:textId="77777777" w:rsidR="00771726" w:rsidRDefault="00771726" w:rsidP="001B08DA">
      <w:pPr>
        <w:jc w:val="both"/>
      </w:pPr>
      <w:r>
        <w:rPr>
          <w:sz w:val="22"/>
        </w:rPr>
        <w:t>• Transitional one-off implementation costs</w:t>
      </w:r>
    </w:p>
    <w:p w14:paraId="5E6BA42C" w14:textId="77777777" w:rsidR="00771726" w:rsidRDefault="00771726" w:rsidP="001B08DA">
      <w:pPr>
        <w:jc w:val="both"/>
      </w:pPr>
      <w:r>
        <w:rPr>
          <w:sz w:val="22"/>
        </w:rPr>
        <w:t>• Annually recurring costs</w:t>
      </w:r>
    </w:p>
    <w:p w14:paraId="6286169B" w14:textId="77777777" w:rsidR="00771726" w:rsidRDefault="00771726" w:rsidP="001B08DA">
      <w:pPr>
        <w:jc w:val="both"/>
      </w:pPr>
    </w:p>
    <w:p w14:paraId="4D1E245B" w14:textId="77777777" w:rsidR="00771726" w:rsidRDefault="00771726" w:rsidP="001B08DA">
      <w:pPr>
        <w:jc w:val="both"/>
      </w:pPr>
      <w:r>
        <w:rPr>
          <w:sz w:val="22"/>
        </w:rPr>
        <w:t>It is assumed that “familiarisation”, in the great majority of cases and for most employers and</w:t>
      </w:r>
      <w:r>
        <w:t xml:space="preserve"> </w:t>
      </w:r>
      <w:r>
        <w:rPr>
          <w:sz w:val="22"/>
        </w:rPr>
        <w:t xml:space="preserve">individuals will mean familiarisation with or through guidance and advice provided by the EHRC (Equality and Human Rights Commission) and/or by other advisory bodies such as ACAS (Advisory, Conciliation and Arbitration Service). It is also assumed that “familiarisation” means reaching the point where a manager or relevant employee of a firm is aware of the changes in the law. We will assume that the costs of familiarisation for option 1 and 2 will be equal as it is the time taken to understand what the legislation requires.  </w:t>
      </w:r>
    </w:p>
    <w:p w14:paraId="18658E0E" w14:textId="77777777" w:rsidR="00771726" w:rsidRDefault="00771726" w:rsidP="001B08DA">
      <w:pPr>
        <w:jc w:val="both"/>
      </w:pPr>
    </w:p>
    <w:p w14:paraId="0B075E25" w14:textId="77777777" w:rsidR="00771726" w:rsidRDefault="00771726" w:rsidP="001B08DA">
      <w:pPr>
        <w:jc w:val="both"/>
      </w:pPr>
      <w:r>
        <w:rPr>
          <w:sz w:val="22"/>
        </w:rPr>
        <w:t xml:space="preserve">The one-off implementation cost may involve the set-up of new collection and reporting processes to comply with the legislation and the annually recurring costs will be the ongoing costs associated with the legislation. </w:t>
      </w:r>
    </w:p>
    <w:p w14:paraId="34B3679E" w14:textId="77777777" w:rsidR="00771726" w:rsidRDefault="00771726" w:rsidP="001B08DA">
      <w:pPr>
        <w:jc w:val="both"/>
      </w:pPr>
    </w:p>
    <w:p w14:paraId="619AD863" w14:textId="77777777" w:rsidR="00771726" w:rsidRDefault="00771726" w:rsidP="001B08DA">
      <w:pPr>
        <w:jc w:val="both"/>
      </w:pPr>
      <w:r>
        <w:rPr>
          <w:sz w:val="22"/>
        </w:rPr>
        <w:t xml:space="preserve">Evidence from further telephone interviews with companies who took part in Think Act Report and companies in the IFF survey sample showed no correlation between time taken and size of employer. </w:t>
      </w:r>
    </w:p>
    <w:p w14:paraId="0C6C2C74" w14:textId="77777777" w:rsidR="00771726" w:rsidRDefault="00771726" w:rsidP="001B08DA">
      <w:pPr>
        <w:jc w:val="both"/>
      </w:pPr>
      <w:r>
        <w:rPr>
          <w:sz w:val="22"/>
        </w:rPr>
        <w:t xml:space="preserve">However, there are limitations to this evidence base as it is a very small sample. </w:t>
      </w:r>
    </w:p>
    <w:p w14:paraId="2CF2137E" w14:textId="77777777" w:rsidR="00771726" w:rsidRDefault="00771726" w:rsidP="001B08DA">
      <w:pPr>
        <w:jc w:val="both"/>
      </w:pPr>
    </w:p>
    <w:p w14:paraId="5DE288D6" w14:textId="77777777" w:rsidR="00771726" w:rsidRDefault="00771726" w:rsidP="001B08DA">
      <w:pPr>
        <w:jc w:val="both"/>
      </w:pPr>
      <w:r>
        <w:rPr>
          <w:sz w:val="22"/>
        </w:rPr>
        <w:t>There also appeared to be a variation in what constituted a gender analysis as companies were at different stages in their thinking and had their own ideas of what constituted a gender pay review. Although each ‘review’ would be fit for purpose for their employer, they may not be producing breakdowns that are directly comparable with one another and which we think will subsequently affect the time spent conducting analysis. We will examine this issue during the consultation period.</w:t>
      </w:r>
    </w:p>
    <w:p w14:paraId="56A85F32" w14:textId="77777777" w:rsidR="00771726" w:rsidRDefault="00771726" w:rsidP="001B08DA">
      <w:pPr>
        <w:jc w:val="both"/>
      </w:pPr>
    </w:p>
    <w:p w14:paraId="1458D8C2" w14:textId="77777777" w:rsidR="00771726" w:rsidRDefault="00771726" w:rsidP="001B08DA">
      <w:pPr>
        <w:jc w:val="both"/>
      </w:pPr>
    </w:p>
    <w:p w14:paraId="2F804AEB" w14:textId="77777777" w:rsidR="00771726" w:rsidRPr="003C2DBD" w:rsidRDefault="00771726" w:rsidP="001B08DA">
      <w:pPr>
        <w:jc w:val="both"/>
        <w:rPr>
          <w:u w:val="single"/>
        </w:rPr>
      </w:pPr>
      <w:r w:rsidRPr="003C2DBD">
        <w:rPr>
          <w:sz w:val="22"/>
          <w:u w:val="single"/>
        </w:rPr>
        <w:t>Transitional costs - one-off familiarisation costs</w:t>
      </w:r>
    </w:p>
    <w:p w14:paraId="67C6D4F0" w14:textId="77777777" w:rsidR="00771726" w:rsidRDefault="00771726" w:rsidP="001B08DA">
      <w:pPr>
        <w:jc w:val="both"/>
      </w:pPr>
    </w:p>
    <w:p w14:paraId="51E3E489" w14:textId="77777777" w:rsidR="00771726" w:rsidRDefault="00771726" w:rsidP="001B08DA">
      <w:pPr>
        <w:spacing w:before="60" w:after="60"/>
        <w:ind w:right="113"/>
        <w:jc w:val="both"/>
      </w:pPr>
      <w:r>
        <w:rPr>
          <w:sz w:val="22"/>
        </w:rPr>
        <w:lastRenderedPageBreak/>
        <w:t xml:space="preserve">It is not known how long it will take companies to familiarise themselves with the legislation and what information they are required to publish. </w:t>
      </w:r>
    </w:p>
    <w:p w14:paraId="2EC34472" w14:textId="77777777" w:rsidR="00771726" w:rsidRDefault="00771726" w:rsidP="001B08DA">
      <w:pPr>
        <w:spacing w:before="60" w:after="60"/>
        <w:ind w:right="113"/>
        <w:jc w:val="both"/>
      </w:pPr>
      <w:r>
        <w:rPr>
          <w:sz w:val="22"/>
        </w:rPr>
        <w:t xml:space="preserve">The Impact Assessment that supported the Equality Bill in 2009 estimated that on average, it will take a personnel manager (or equivalent) 10 minutes (0.17 hours total) to familiarise themselves with legislation under section 78 Equality Act 2010. Responses to the 2009 EHRC consultation released subsequent to that Impact Assessment suggested that this was an underestimate. </w:t>
      </w:r>
    </w:p>
    <w:p w14:paraId="142599BD" w14:textId="77777777" w:rsidR="00771726" w:rsidRDefault="00771726" w:rsidP="001B08DA">
      <w:pPr>
        <w:spacing w:before="60" w:after="60"/>
        <w:ind w:right="113"/>
        <w:jc w:val="both"/>
      </w:pPr>
    </w:p>
    <w:p w14:paraId="0187B6B7" w14:textId="77777777" w:rsidR="00771726" w:rsidRDefault="00771726" w:rsidP="001B08DA">
      <w:pPr>
        <w:spacing w:before="60" w:after="60"/>
        <w:ind w:right="113"/>
        <w:jc w:val="both"/>
      </w:pPr>
      <w:r>
        <w:rPr>
          <w:sz w:val="22"/>
        </w:rPr>
        <w:t xml:space="preserve">The Impact Assessment submitted to the RPC in 2014 on ‘Age supplement to EHRC Code of Practice on discrimination in the provision of goods and services’ made assumptions that familiarisation of that new legislation would take 1 hour. We therefore assume that the familiarisation time of 1 hour is also an appropriate estimate for this Impact Assessment as employers are likely already to have a basic understanding and awareness of gender characteristics. </w:t>
      </w:r>
    </w:p>
    <w:p w14:paraId="4E792FCB" w14:textId="77777777" w:rsidR="00771726" w:rsidRDefault="00771726" w:rsidP="001B08DA">
      <w:pPr>
        <w:spacing w:before="60" w:after="60"/>
        <w:ind w:right="113"/>
        <w:jc w:val="both"/>
      </w:pPr>
    </w:p>
    <w:p w14:paraId="1A2B6A1F" w14:textId="77777777" w:rsidR="00771726" w:rsidRDefault="00771726" w:rsidP="001B08DA">
      <w:pPr>
        <w:spacing w:before="60" w:after="60"/>
        <w:ind w:right="113"/>
        <w:jc w:val="both"/>
      </w:pPr>
      <w:r>
        <w:rPr>
          <w:sz w:val="22"/>
        </w:rPr>
        <w:t xml:space="preserve">The main limitation on the accuracy of this Impact Assessment is due to the lack of evidence of cost and resources required to produce a gender pay gap figure, conduct gender pay analysis and publish the results. This estimate therefore remains imprecise, and is based on sources not specifically related to gender pay transparency. </w:t>
      </w:r>
    </w:p>
    <w:p w14:paraId="0E92F15F" w14:textId="77777777" w:rsidR="00771726" w:rsidRDefault="00771726" w:rsidP="001B08DA">
      <w:pPr>
        <w:spacing w:before="60" w:after="60"/>
        <w:ind w:right="113"/>
        <w:jc w:val="both"/>
      </w:pPr>
    </w:p>
    <w:p w14:paraId="36426F47" w14:textId="77777777" w:rsidR="00771726" w:rsidRDefault="00771726" w:rsidP="001B08DA">
      <w:pPr>
        <w:spacing w:before="60" w:after="60"/>
        <w:ind w:right="113"/>
        <w:jc w:val="both"/>
      </w:pPr>
      <w:r>
        <w:rPr>
          <w:sz w:val="22"/>
        </w:rPr>
        <w:t>If the time required is less (more), the overall cost of the requirement will be correspondingly less (more).</w:t>
      </w:r>
    </w:p>
    <w:p w14:paraId="2DB3BF40" w14:textId="77777777" w:rsidR="00771726" w:rsidRDefault="00771726" w:rsidP="001B08DA">
      <w:pPr>
        <w:jc w:val="both"/>
      </w:pPr>
    </w:p>
    <w:p w14:paraId="63BCC686" w14:textId="77777777" w:rsidR="00771726" w:rsidRDefault="00771726" w:rsidP="001B08DA">
      <w:pPr>
        <w:jc w:val="both"/>
      </w:pPr>
      <w:r>
        <w:rPr>
          <w:sz w:val="22"/>
        </w:rPr>
        <w:t xml:space="preserve">From further conversations with employers, we </w:t>
      </w:r>
      <w:r w:rsidR="004B2455">
        <w:rPr>
          <w:sz w:val="22"/>
        </w:rPr>
        <w:t>have learned</w:t>
      </w:r>
      <w:r>
        <w:rPr>
          <w:sz w:val="22"/>
        </w:rPr>
        <w:t xml:space="preserve"> that </w:t>
      </w:r>
      <w:r>
        <w:rPr>
          <w:sz w:val="22"/>
          <w:highlight w:val="white"/>
        </w:rPr>
        <w:t>genera</w:t>
      </w:r>
      <w:r w:rsidR="004B2455">
        <w:rPr>
          <w:sz w:val="22"/>
          <w:highlight w:val="white"/>
        </w:rPr>
        <w:t>lly</w:t>
      </w:r>
      <w:r>
        <w:rPr>
          <w:sz w:val="22"/>
          <w:highlight w:val="white"/>
        </w:rPr>
        <w:t xml:space="preserve"> someone </w:t>
      </w:r>
      <w:r w:rsidR="004B2455">
        <w:rPr>
          <w:sz w:val="22"/>
          <w:highlight w:val="white"/>
        </w:rPr>
        <w:t>of relative</w:t>
      </w:r>
      <w:r>
        <w:rPr>
          <w:sz w:val="22"/>
          <w:highlight w:val="white"/>
        </w:rPr>
        <w:t xml:space="preserve"> senior</w:t>
      </w:r>
      <w:r w:rsidR="004B2455">
        <w:rPr>
          <w:sz w:val="22"/>
          <w:highlight w:val="white"/>
        </w:rPr>
        <w:t>ity</w:t>
      </w:r>
      <w:r>
        <w:rPr>
          <w:sz w:val="22"/>
          <w:highlight w:val="white"/>
        </w:rPr>
        <w:t xml:space="preserve"> within HR </w:t>
      </w:r>
      <w:r w:rsidR="004B2455">
        <w:rPr>
          <w:sz w:val="22"/>
          <w:highlight w:val="white"/>
        </w:rPr>
        <w:t xml:space="preserve">would lead this activity </w:t>
      </w:r>
      <w:r>
        <w:rPr>
          <w:sz w:val="22"/>
          <w:highlight w:val="white"/>
        </w:rPr>
        <w:t>so we will calculate costs</w:t>
      </w:r>
      <w:r w:rsidRPr="00743CB1">
        <w:rPr>
          <w:sz w:val="22"/>
        </w:rPr>
        <w:t xml:space="preserve"> using the hourly rate of a</w:t>
      </w:r>
      <w:r w:rsidR="004B2455">
        <w:rPr>
          <w:sz w:val="22"/>
        </w:rPr>
        <w:t>n</w:t>
      </w:r>
      <w:r w:rsidRPr="00743CB1">
        <w:rPr>
          <w:sz w:val="22"/>
        </w:rPr>
        <w:t xml:space="preserve"> HR manager.</w:t>
      </w:r>
      <w:r w:rsidRPr="00743CB1">
        <w:rPr>
          <w:rFonts w:ascii="Calibri" w:eastAsia="Calibri" w:hAnsi="Calibri" w:cs="Calibri"/>
          <w:sz w:val="22"/>
        </w:rPr>
        <w:t xml:space="preserve"> </w:t>
      </w:r>
      <w:r w:rsidRPr="00743CB1">
        <w:rPr>
          <w:sz w:val="22"/>
        </w:rPr>
        <w:t>The cost per hour of a HR manager’s time is taken to be the hourly rate, £23.65 (as given in the Annual Survey of Hours and Earnings 2014 code 1135), uplifted by 30</w:t>
      </w:r>
      <w:r w:rsidRPr="00743CB1">
        <w:rPr>
          <w:rStyle w:val="FootnoteReference"/>
        </w:rPr>
        <w:footnoteReference w:id="8"/>
      </w:r>
      <w:r w:rsidRPr="00743CB1">
        <w:rPr>
          <w:sz w:val="22"/>
        </w:rPr>
        <w:t xml:space="preserve"> per cent to cover non-labour costs </w:t>
      </w:r>
      <w:r>
        <w:rPr>
          <w:sz w:val="22"/>
        </w:rPr>
        <w:t>£30.75</w:t>
      </w:r>
      <w:r w:rsidRPr="00743CB1">
        <w:rPr>
          <w:sz w:val="22"/>
        </w:rPr>
        <w:t>.</w:t>
      </w:r>
      <w:r>
        <w:rPr>
          <w:sz w:val="22"/>
        </w:rPr>
        <w:t xml:space="preserve"> </w:t>
      </w:r>
    </w:p>
    <w:p w14:paraId="5C18FF6F" w14:textId="77777777" w:rsidR="00771726" w:rsidRDefault="00771726" w:rsidP="001B08DA">
      <w:pPr>
        <w:jc w:val="both"/>
      </w:pPr>
    </w:p>
    <w:p w14:paraId="460C2FB9" w14:textId="77777777" w:rsidR="00771726" w:rsidRDefault="00771726" w:rsidP="001B08DA">
      <w:pPr>
        <w:jc w:val="both"/>
      </w:pPr>
      <w:r>
        <w:rPr>
          <w:sz w:val="22"/>
        </w:rPr>
        <w:t>Per employer the cost is therefore:</w:t>
      </w:r>
    </w:p>
    <w:p w14:paraId="5C8FA359" w14:textId="77777777" w:rsidR="00771726" w:rsidRPr="002A7DE6" w:rsidRDefault="00771726" w:rsidP="001B08DA">
      <w:pPr>
        <w:jc w:val="both"/>
        <w:rPr>
          <w:rFonts w:cs="Arial"/>
        </w:rPr>
      </w:pPr>
    </w:p>
    <w:p w14:paraId="0D7A70B1" w14:textId="77777777" w:rsidR="00771726" w:rsidRPr="002A7DE6" w:rsidRDefault="00771726" w:rsidP="001B08DA">
      <w:pPr>
        <w:jc w:val="both"/>
        <w:rPr>
          <w:rFonts w:cs="Arial"/>
        </w:rPr>
      </w:pPr>
      <w:r w:rsidRPr="002A7DE6">
        <w:rPr>
          <w:rFonts w:cs="Arial"/>
          <w:sz w:val="22"/>
        </w:rPr>
        <w:t>Hours taken X hourly rate = cost per employer</w:t>
      </w:r>
    </w:p>
    <w:p w14:paraId="2D41E43C" w14:textId="77777777" w:rsidR="00771726" w:rsidRPr="002A7DE6" w:rsidRDefault="00771726" w:rsidP="001B08DA">
      <w:pPr>
        <w:jc w:val="both"/>
        <w:rPr>
          <w:rFonts w:cs="Arial"/>
        </w:rPr>
      </w:pPr>
      <w:r w:rsidRPr="002A7DE6">
        <w:rPr>
          <w:rFonts w:cs="Arial"/>
          <w:sz w:val="22"/>
        </w:rPr>
        <w:t xml:space="preserve">1 X </w:t>
      </w:r>
      <w:r>
        <w:rPr>
          <w:sz w:val="22"/>
        </w:rPr>
        <w:t xml:space="preserve">£30.75 </w:t>
      </w:r>
      <w:r w:rsidRPr="002A7DE6">
        <w:rPr>
          <w:rFonts w:cs="Arial"/>
          <w:sz w:val="22"/>
        </w:rPr>
        <w:t xml:space="preserve">= </w:t>
      </w:r>
      <w:r>
        <w:rPr>
          <w:sz w:val="22"/>
        </w:rPr>
        <w:t>£30.75</w:t>
      </w:r>
    </w:p>
    <w:p w14:paraId="53DD9289" w14:textId="77777777" w:rsidR="00771726" w:rsidRPr="002A7DE6" w:rsidRDefault="00771726" w:rsidP="001B08DA">
      <w:pPr>
        <w:jc w:val="both"/>
        <w:rPr>
          <w:rFonts w:cs="Arial"/>
        </w:rPr>
      </w:pPr>
    </w:p>
    <w:p w14:paraId="764B6935" w14:textId="77777777" w:rsidR="00771726" w:rsidRPr="00917AB4" w:rsidRDefault="00771726" w:rsidP="001B08DA">
      <w:pPr>
        <w:jc w:val="both"/>
        <w:rPr>
          <w:rFonts w:cs="Arial"/>
        </w:rPr>
      </w:pPr>
      <w:r w:rsidRPr="00917AB4">
        <w:rPr>
          <w:rFonts w:cs="Arial"/>
          <w:sz w:val="22"/>
        </w:rPr>
        <w:t>The total cost of familiarisation with the new duty is therefore:</w:t>
      </w:r>
    </w:p>
    <w:p w14:paraId="4610157B" w14:textId="77777777" w:rsidR="00771726" w:rsidRPr="00917AB4" w:rsidRDefault="00771726" w:rsidP="001B08DA">
      <w:pPr>
        <w:jc w:val="both"/>
        <w:rPr>
          <w:rFonts w:cs="Arial"/>
        </w:rPr>
      </w:pPr>
    </w:p>
    <w:p w14:paraId="7214FA01" w14:textId="77777777" w:rsidR="00771726" w:rsidRPr="00917AB4" w:rsidRDefault="00771726" w:rsidP="001B08DA">
      <w:pPr>
        <w:jc w:val="both"/>
        <w:rPr>
          <w:rFonts w:cs="Arial"/>
        </w:rPr>
      </w:pPr>
      <w:r w:rsidRPr="00917AB4">
        <w:rPr>
          <w:rFonts w:cs="Arial"/>
          <w:sz w:val="22"/>
        </w:rPr>
        <w:t>Cost per employer X number of employers = total cost</w:t>
      </w:r>
    </w:p>
    <w:p w14:paraId="29C7EEE7" w14:textId="77777777" w:rsidR="00771726" w:rsidRPr="00917AB4" w:rsidRDefault="00771726" w:rsidP="001B08DA">
      <w:pPr>
        <w:jc w:val="both"/>
        <w:rPr>
          <w:rFonts w:cs="Arial"/>
          <w:color w:val="000000"/>
          <w:sz w:val="22"/>
          <w:szCs w:val="22"/>
          <w:lang w:eastAsia="en-GB"/>
        </w:rPr>
      </w:pPr>
      <w:r w:rsidRPr="00917AB4">
        <w:rPr>
          <w:rFonts w:cs="Arial"/>
          <w:sz w:val="22"/>
        </w:rPr>
        <w:t>£30.75 X 7,855 = £</w:t>
      </w:r>
      <w:r w:rsidRPr="00917AB4">
        <w:rPr>
          <w:rFonts w:cs="Arial"/>
          <w:color w:val="000000"/>
          <w:sz w:val="22"/>
          <w:szCs w:val="22"/>
          <w:lang w:eastAsia="en-GB"/>
        </w:rPr>
        <w:t>241,501.98</w:t>
      </w:r>
    </w:p>
    <w:p w14:paraId="7624D52D" w14:textId="77777777" w:rsidR="00771726" w:rsidRPr="002A7DE6" w:rsidRDefault="00771726" w:rsidP="001B08DA">
      <w:pPr>
        <w:jc w:val="both"/>
        <w:rPr>
          <w:rFonts w:cs="Arial"/>
          <w:color w:val="000000"/>
          <w:sz w:val="22"/>
          <w:szCs w:val="22"/>
          <w:lang w:eastAsia="en-GB"/>
        </w:rPr>
      </w:pPr>
    </w:p>
    <w:p w14:paraId="7E132790" w14:textId="77777777" w:rsidR="001A4FD9" w:rsidRDefault="001A4FD9" w:rsidP="001B08DA">
      <w:pPr>
        <w:jc w:val="both"/>
        <w:rPr>
          <w:b/>
          <w:sz w:val="22"/>
          <w:u w:val="single"/>
        </w:rPr>
      </w:pPr>
    </w:p>
    <w:p w14:paraId="3FE1C835" w14:textId="77777777" w:rsidR="001A4FD9" w:rsidRDefault="001A4FD9" w:rsidP="001B08DA">
      <w:pPr>
        <w:jc w:val="both"/>
        <w:rPr>
          <w:b/>
          <w:sz w:val="22"/>
          <w:u w:val="single"/>
        </w:rPr>
      </w:pPr>
    </w:p>
    <w:p w14:paraId="53CA6DB2" w14:textId="77777777" w:rsidR="00771726" w:rsidRPr="003C2DBD" w:rsidRDefault="00771726" w:rsidP="001B08DA">
      <w:pPr>
        <w:jc w:val="both"/>
        <w:rPr>
          <w:u w:val="single"/>
        </w:rPr>
      </w:pPr>
      <w:r w:rsidRPr="003C2DBD">
        <w:rPr>
          <w:sz w:val="22"/>
          <w:u w:val="single"/>
        </w:rPr>
        <w:t xml:space="preserve">Transitional costs - one-off Implementation costs </w:t>
      </w:r>
    </w:p>
    <w:p w14:paraId="17DF3AB4" w14:textId="77777777" w:rsidR="00771726" w:rsidRDefault="00771726" w:rsidP="001B08DA">
      <w:pPr>
        <w:jc w:val="both"/>
      </w:pPr>
    </w:p>
    <w:p w14:paraId="69DBDA96" w14:textId="77777777" w:rsidR="00771726" w:rsidRDefault="00771726" w:rsidP="001B08DA">
      <w:pPr>
        <w:spacing w:after="120"/>
        <w:jc w:val="both"/>
      </w:pPr>
      <w:r>
        <w:rPr>
          <w:sz w:val="22"/>
        </w:rPr>
        <w:t>Employers have told us that the information needed to calculate the gender pay gap figure is generally collected as part of existing Management Information systems for HR and payroll.</w:t>
      </w:r>
    </w:p>
    <w:p w14:paraId="325DAC79" w14:textId="77777777" w:rsidR="00771726" w:rsidRDefault="00771726" w:rsidP="001B08DA">
      <w:pPr>
        <w:spacing w:after="120"/>
        <w:jc w:val="both"/>
      </w:pPr>
      <w:r>
        <w:rPr>
          <w:sz w:val="22"/>
        </w:rPr>
        <w:t xml:space="preserve">The ONS prefer to use hourly rates to calculate gender pay gap figures. However, we are aware that some employers may not have this information readily accessible on their systems. Ease of access to such information is likely to vary between sectors. We are advised that using the overall salaries to calculate the full time equivalent is a viable alternative to using hourly rates. We are told that salary information is part of that already generally collected. We have therefore not considered this further here but will be exploring during consultation. </w:t>
      </w:r>
    </w:p>
    <w:p w14:paraId="4EAE5AB9" w14:textId="77777777" w:rsidR="00771726" w:rsidRDefault="00771726" w:rsidP="001B08DA">
      <w:pPr>
        <w:jc w:val="both"/>
      </w:pPr>
      <w:r>
        <w:rPr>
          <w:sz w:val="22"/>
        </w:rPr>
        <w:t>The IFF survey also provides evidence of the information already collected by employers and the systems they use to manage that information. The survey (paragraphs 3.36 to 3.40) found that the vast majority (99%) of organisations kept their HR and payroll information on a computerised system. Nearly all employers surveyed had a computerised system and 61% felt that it would be easy to combine. We do not have evidence that a combined system is needed to produce gender pay data and we have no evidence of how much combining systems will cost. For this reason we have not monetised any potential costs of combining HR and payroll systems and we will consider the need for this during consultation.</w:t>
      </w:r>
    </w:p>
    <w:p w14:paraId="11DB50F6" w14:textId="77777777" w:rsidR="00B562C6" w:rsidRDefault="00B562C6" w:rsidP="001B08DA">
      <w:pPr>
        <w:spacing w:after="120"/>
        <w:jc w:val="both"/>
        <w:rPr>
          <w:rFonts w:cs="Arial"/>
          <w:color w:val="222222"/>
          <w:sz w:val="22"/>
          <w:szCs w:val="22"/>
          <w:shd w:val="clear" w:color="auto" w:fill="FFFFFF"/>
        </w:rPr>
      </w:pPr>
    </w:p>
    <w:p w14:paraId="25BDBA78" w14:textId="77777777" w:rsidR="004F401E" w:rsidRDefault="00771726" w:rsidP="001B08DA">
      <w:pPr>
        <w:spacing w:after="120"/>
        <w:jc w:val="both"/>
        <w:rPr>
          <w:sz w:val="22"/>
        </w:rPr>
      </w:pPr>
      <w:r>
        <w:rPr>
          <w:sz w:val="22"/>
        </w:rPr>
        <w:t>We have assumed that the salary or wage data needed to calculate and publish the employers’ gender pay gap is a</w:t>
      </w:r>
      <w:r w:rsidR="004F401E">
        <w:rPr>
          <w:sz w:val="22"/>
        </w:rPr>
        <w:t>lready collected and available.</w:t>
      </w:r>
    </w:p>
    <w:p w14:paraId="7AA763E8" w14:textId="77777777" w:rsidR="00771726" w:rsidRDefault="00771726" w:rsidP="001B08DA">
      <w:pPr>
        <w:spacing w:after="120"/>
        <w:jc w:val="both"/>
      </w:pPr>
      <w:r>
        <w:rPr>
          <w:sz w:val="22"/>
        </w:rPr>
        <w:t xml:space="preserve">There are some limitations to this assumption as the publication of a gender pay gap may involve a one-off cost for some employers who have never produced or published their gender pay gap figure in the past. These employers may need to implement new processes such as collating the relevant data. There may also be one-off costs for employers who currently conduct some analysis but do not currently publish the results. We are unable to monetise these costs from the evidence base we currently have but will be researching this further for the final IA. Therefore, the implementation cost calculated below may be an underestimate. </w:t>
      </w:r>
    </w:p>
    <w:p w14:paraId="02B0C514" w14:textId="77777777" w:rsidR="00771726" w:rsidRDefault="00771726" w:rsidP="001B08DA">
      <w:pPr>
        <w:jc w:val="both"/>
      </w:pPr>
      <w:r>
        <w:rPr>
          <w:sz w:val="22"/>
        </w:rPr>
        <w:t xml:space="preserve">We assume that each employer will have to provide some training for their staff in calculating and understanding the drivers behind the break downs. As we had no evidence on the time this could take, further to a discussion with the HR department within the Department for Culture Media and Sport and gaining an understanding of the process involved, we have estimated it would take one member of HR personnel one hour. We will </w:t>
      </w:r>
      <w:r w:rsidRPr="0085777F">
        <w:rPr>
          <w:sz w:val="22"/>
        </w:rPr>
        <w:t xml:space="preserve">therefore make the assumption that it will take one hour to train one member of staff but we acknowledge that this is a weak assumption and therefore will be having further discussions with employers to gather more evidence on this. As this assumption has not been derived from evidence obtained from employers in the private/voluntary sector, we have halved and doubled the training time to see what impact it will have on the overall net cost to business per year and net present value for the </w:t>
      </w:r>
      <w:r w:rsidRPr="0085777F">
        <w:rPr>
          <w:b/>
          <w:sz w:val="22"/>
          <w:u w:val="single"/>
        </w:rPr>
        <w:t>single figure with narrative</w:t>
      </w:r>
      <w:r w:rsidRPr="0085777F">
        <w:rPr>
          <w:sz w:val="22"/>
        </w:rPr>
        <w:t xml:space="preserve"> option (see table below). </w:t>
      </w:r>
    </w:p>
    <w:p w14:paraId="5285453D" w14:textId="77777777" w:rsidR="00771726" w:rsidRDefault="00771726" w:rsidP="001B08DA">
      <w:pPr>
        <w:jc w:val="both"/>
      </w:pPr>
    </w:p>
    <w:p w14:paraId="5DBE1F1C" w14:textId="77777777" w:rsidR="00771726" w:rsidRDefault="00771726" w:rsidP="001B08DA">
      <w:pPr>
        <w:jc w:val="both"/>
      </w:pPr>
      <w:r>
        <w:rPr>
          <w:sz w:val="22"/>
        </w:rPr>
        <w:t>The IFF survey (at paragraphs 4.1 – 4.20 of the report) provides evidence of the proportion of employers that already conduct some analysis of the gender pay gap. It found that two-fifths of employers (41%) currently analyse pay data to explore the gap between average pay by gender (of which 42% of those have 250 or more employees). It also found an increase in the proportion of employers analysing gender pay data: from 36% in 2009 to 41% among those with 250 or more employees.</w:t>
      </w:r>
      <w:r>
        <w:rPr>
          <w:color w:val="FF0000"/>
          <w:sz w:val="22"/>
        </w:rPr>
        <w:t xml:space="preserve"> </w:t>
      </w:r>
      <w:r>
        <w:rPr>
          <w:sz w:val="22"/>
        </w:rPr>
        <w:t xml:space="preserve">Therefore, we will make the assumption that 59% of employers who do not currently analyse gender pay data will need to spend an hour on training staff. </w:t>
      </w:r>
    </w:p>
    <w:p w14:paraId="61BC5FDE" w14:textId="77777777" w:rsidR="00771726" w:rsidRDefault="00771726" w:rsidP="001B08DA">
      <w:pPr>
        <w:jc w:val="both"/>
      </w:pPr>
      <w:r>
        <w:rPr>
          <w:sz w:val="22"/>
        </w:rPr>
        <w:t> </w:t>
      </w:r>
    </w:p>
    <w:p w14:paraId="12B6BAAB" w14:textId="77777777" w:rsidR="00771726" w:rsidRDefault="00771726" w:rsidP="001B08DA">
      <w:pPr>
        <w:jc w:val="both"/>
      </w:pPr>
      <w:r>
        <w:rPr>
          <w:sz w:val="22"/>
        </w:rPr>
        <w:t>Per employer the cost is therefore the cost of training staff.</w:t>
      </w:r>
    </w:p>
    <w:p w14:paraId="0723DEA2" w14:textId="77777777" w:rsidR="00771726" w:rsidRDefault="00771726" w:rsidP="001B08DA">
      <w:pPr>
        <w:jc w:val="both"/>
      </w:pPr>
      <w:r>
        <w:rPr>
          <w:sz w:val="22"/>
        </w:rPr>
        <w:t> </w:t>
      </w:r>
    </w:p>
    <w:p w14:paraId="06209C49" w14:textId="77777777" w:rsidR="00771726" w:rsidRDefault="00771726" w:rsidP="001B08DA">
      <w:pPr>
        <w:jc w:val="both"/>
      </w:pPr>
      <w:r>
        <w:rPr>
          <w:sz w:val="22"/>
        </w:rPr>
        <w:t>Hours taken X hourly rate = cost per employer</w:t>
      </w:r>
    </w:p>
    <w:p w14:paraId="2C184F2C" w14:textId="77777777" w:rsidR="00771726" w:rsidRPr="00FD1634" w:rsidRDefault="00771726" w:rsidP="001B08DA">
      <w:pPr>
        <w:jc w:val="both"/>
        <w:rPr>
          <w:rFonts w:cs="Arial"/>
        </w:rPr>
      </w:pPr>
      <w:r>
        <w:rPr>
          <w:sz w:val="22"/>
        </w:rPr>
        <w:t>1 X £30.75 = £30.75</w:t>
      </w:r>
    </w:p>
    <w:p w14:paraId="3BA21CBB" w14:textId="77777777" w:rsidR="00771726" w:rsidRPr="00FD1634" w:rsidRDefault="00771726" w:rsidP="001B08DA">
      <w:pPr>
        <w:jc w:val="both"/>
        <w:rPr>
          <w:rFonts w:cs="Arial"/>
        </w:rPr>
      </w:pPr>
      <w:r w:rsidRPr="00FD1634">
        <w:rPr>
          <w:rFonts w:cs="Arial"/>
          <w:sz w:val="22"/>
        </w:rPr>
        <w:t> </w:t>
      </w:r>
    </w:p>
    <w:p w14:paraId="5535124A" w14:textId="77777777" w:rsidR="00771726" w:rsidRPr="00FD1634" w:rsidRDefault="00771726" w:rsidP="001B08DA">
      <w:pPr>
        <w:jc w:val="both"/>
        <w:rPr>
          <w:rFonts w:cs="Arial"/>
        </w:rPr>
      </w:pPr>
      <w:r w:rsidRPr="00FD1634">
        <w:rPr>
          <w:rFonts w:cs="Arial"/>
          <w:sz w:val="22"/>
        </w:rPr>
        <w:t>The total cost of implementation for this option is therefore:</w:t>
      </w:r>
    </w:p>
    <w:p w14:paraId="700B9159" w14:textId="77777777" w:rsidR="00771726" w:rsidRPr="00FD1634" w:rsidRDefault="00771726" w:rsidP="001B08DA">
      <w:pPr>
        <w:jc w:val="both"/>
        <w:rPr>
          <w:rFonts w:cs="Arial"/>
        </w:rPr>
      </w:pPr>
      <w:r w:rsidRPr="00FD1634">
        <w:rPr>
          <w:rFonts w:cs="Arial"/>
          <w:sz w:val="22"/>
        </w:rPr>
        <w:t> </w:t>
      </w:r>
    </w:p>
    <w:p w14:paraId="06D3F5D4" w14:textId="77777777" w:rsidR="00771726" w:rsidRPr="00FD1634" w:rsidRDefault="00771726" w:rsidP="001B08DA">
      <w:pPr>
        <w:jc w:val="both"/>
        <w:rPr>
          <w:rFonts w:cs="Arial"/>
        </w:rPr>
      </w:pPr>
      <w:r w:rsidRPr="00FD1634">
        <w:rPr>
          <w:rFonts w:cs="Arial"/>
          <w:sz w:val="22"/>
        </w:rPr>
        <w:t>Cost per employer X number of employers X percentage of employers affected = total cost</w:t>
      </w:r>
    </w:p>
    <w:p w14:paraId="0C8A681D" w14:textId="77777777" w:rsidR="00771726" w:rsidRPr="00FD1634" w:rsidRDefault="00771726" w:rsidP="001B08DA">
      <w:pPr>
        <w:jc w:val="both"/>
        <w:rPr>
          <w:rFonts w:cs="Arial"/>
          <w:color w:val="000000"/>
          <w:sz w:val="22"/>
          <w:szCs w:val="22"/>
          <w:lang w:eastAsia="en-GB"/>
        </w:rPr>
      </w:pPr>
      <w:r w:rsidRPr="00FD1634">
        <w:rPr>
          <w:rFonts w:cs="Arial"/>
          <w:sz w:val="22"/>
        </w:rPr>
        <w:t>£30.75 X 7,855 X 0.59 = £</w:t>
      </w:r>
      <w:r w:rsidRPr="00FD1634">
        <w:rPr>
          <w:rFonts w:cs="Arial"/>
          <w:color w:val="000000"/>
          <w:sz w:val="22"/>
          <w:szCs w:val="22"/>
          <w:lang w:eastAsia="en-GB"/>
        </w:rPr>
        <w:t>142,486.17</w:t>
      </w:r>
    </w:p>
    <w:p w14:paraId="34C8C673" w14:textId="77777777" w:rsidR="00771726" w:rsidRPr="006A487B" w:rsidRDefault="00771726" w:rsidP="001B08DA">
      <w:pPr>
        <w:jc w:val="both"/>
        <w:rPr>
          <w:rFonts w:ascii="Calibri" w:hAnsi="Calibri"/>
          <w:color w:val="000000"/>
          <w:sz w:val="22"/>
          <w:szCs w:val="22"/>
          <w:lang w:eastAsia="en-GB"/>
        </w:rPr>
      </w:pPr>
    </w:p>
    <w:p w14:paraId="1572002C" w14:textId="77777777" w:rsidR="00771726" w:rsidRDefault="00771726" w:rsidP="001B08DA">
      <w:pPr>
        <w:jc w:val="both"/>
      </w:pPr>
    </w:p>
    <w:p w14:paraId="517D5C05" w14:textId="77777777" w:rsidR="00771726" w:rsidRDefault="00771726" w:rsidP="001B08DA">
      <w:pPr>
        <w:jc w:val="both"/>
      </w:pPr>
      <w:r>
        <w:rPr>
          <w:sz w:val="22"/>
          <w:u w:val="single"/>
        </w:rPr>
        <w:t>The effect of doubling/halving training time on single gender pay figure with narrative option</w:t>
      </w:r>
    </w:p>
    <w:p w14:paraId="514002F5" w14:textId="77777777" w:rsidR="00771726" w:rsidRDefault="00771726" w:rsidP="001B08DA">
      <w:pPr>
        <w:jc w:val="both"/>
      </w:pPr>
    </w:p>
    <w:p w14:paraId="1FBE545C" w14:textId="77777777" w:rsidR="00771726" w:rsidRDefault="00771726" w:rsidP="001B08DA">
      <w:pPr>
        <w:jc w:val="both"/>
      </w:pPr>
    </w:p>
    <w:tbl>
      <w:tblPr>
        <w:tblW w:w="101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2436"/>
        <w:gridCol w:w="2241"/>
        <w:gridCol w:w="2190"/>
        <w:gridCol w:w="1948"/>
      </w:tblGrid>
      <w:tr w:rsidR="00771726" w14:paraId="73BB2B07" w14:textId="77777777" w:rsidTr="00B469D8">
        <w:trPr>
          <w:trHeight w:val="860"/>
        </w:trPr>
        <w:tc>
          <w:tcPr>
            <w:tcW w:w="1380" w:type="dxa"/>
          </w:tcPr>
          <w:p w14:paraId="63B721B7" w14:textId="77777777" w:rsidR="00771726" w:rsidRDefault="00771726" w:rsidP="001B08DA">
            <w:pPr>
              <w:jc w:val="both"/>
            </w:pPr>
            <w:r>
              <w:rPr>
                <w:b/>
                <w:sz w:val="22"/>
              </w:rPr>
              <w:t>Time (hours)</w:t>
            </w:r>
          </w:p>
        </w:tc>
        <w:tc>
          <w:tcPr>
            <w:tcW w:w="2436" w:type="dxa"/>
          </w:tcPr>
          <w:p w14:paraId="03955096" w14:textId="77777777" w:rsidR="00771726" w:rsidRDefault="00771726" w:rsidP="001B08DA">
            <w:pPr>
              <w:jc w:val="both"/>
            </w:pPr>
            <w:r>
              <w:rPr>
                <w:b/>
                <w:sz w:val="22"/>
              </w:rPr>
              <w:t xml:space="preserve">Cost per employer </w:t>
            </w:r>
            <w:r>
              <w:rPr>
                <w:b/>
                <w:sz w:val="22"/>
                <w:highlight w:val="yellow"/>
              </w:rPr>
              <w:t>(£)</w:t>
            </w:r>
          </w:p>
        </w:tc>
        <w:tc>
          <w:tcPr>
            <w:tcW w:w="2241" w:type="dxa"/>
          </w:tcPr>
          <w:p w14:paraId="12413B93" w14:textId="77777777" w:rsidR="00771726" w:rsidRPr="00EB6C63" w:rsidRDefault="00771726" w:rsidP="00EB6C63">
            <w:pPr>
              <w:rPr>
                <w:b/>
                <w:sz w:val="22"/>
                <w:szCs w:val="22"/>
              </w:rPr>
            </w:pPr>
            <w:r w:rsidRPr="00EB6C63">
              <w:rPr>
                <w:b/>
                <w:sz w:val="22"/>
                <w:szCs w:val="22"/>
              </w:rPr>
              <w:t>Total Implementation Cost (£m)</w:t>
            </w:r>
          </w:p>
        </w:tc>
        <w:tc>
          <w:tcPr>
            <w:tcW w:w="2190" w:type="dxa"/>
          </w:tcPr>
          <w:p w14:paraId="6B9728E7" w14:textId="77777777" w:rsidR="00771726" w:rsidRPr="00EB6C63" w:rsidRDefault="00EB6C63" w:rsidP="00EB6C63">
            <w:pPr>
              <w:rPr>
                <w:b/>
                <w:sz w:val="22"/>
                <w:szCs w:val="22"/>
              </w:rPr>
            </w:pPr>
            <w:r w:rsidRPr="00EB6C63">
              <w:rPr>
                <w:b/>
                <w:sz w:val="22"/>
                <w:szCs w:val="22"/>
              </w:rPr>
              <w:t xml:space="preserve">Net </w:t>
            </w:r>
            <w:r w:rsidR="00771726" w:rsidRPr="00EB6C63">
              <w:rPr>
                <w:b/>
                <w:sz w:val="22"/>
                <w:szCs w:val="22"/>
              </w:rPr>
              <w:t>Cost to Business Per Year (£m)</w:t>
            </w:r>
          </w:p>
        </w:tc>
        <w:tc>
          <w:tcPr>
            <w:tcW w:w="1948" w:type="dxa"/>
          </w:tcPr>
          <w:p w14:paraId="21091018" w14:textId="77777777" w:rsidR="00771726" w:rsidRPr="00EB6C63" w:rsidRDefault="00771726" w:rsidP="00EB6C63">
            <w:pPr>
              <w:rPr>
                <w:b/>
                <w:sz w:val="22"/>
                <w:szCs w:val="22"/>
              </w:rPr>
            </w:pPr>
            <w:r w:rsidRPr="00EB6C63">
              <w:rPr>
                <w:b/>
                <w:sz w:val="22"/>
                <w:szCs w:val="22"/>
              </w:rPr>
              <w:t>Total Net Present Value (£m)</w:t>
            </w:r>
          </w:p>
        </w:tc>
      </w:tr>
      <w:tr w:rsidR="00771726" w14:paraId="1223AEC0" w14:textId="77777777" w:rsidTr="00B469D8">
        <w:tc>
          <w:tcPr>
            <w:tcW w:w="1380" w:type="dxa"/>
          </w:tcPr>
          <w:p w14:paraId="6E6EA23A" w14:textId="77777777" w:rsidR="00771726" w:rsidRDefault="00771726" w:rsidP="001B08DA">
            <w:pPr>
              <w:jc w:val="both"/>
            </w:pPr>
            <w:r>
              <w:rPr>
                <w:sz w:val="22"/>
              </w:rPr>
              <w:t>1</w:t>
            </w:r>
          </w:p>
        </w:tc>
        <w:tc>
          <w:tcPr>
            <w:tcW w:w="2436" w:type="dxa"/>
          </w:tcPr>
          <w:p w14:paraId="2552807C" w14:textId="77777777" w:rsidR="00771726" w:rsidRDefault="00771726" w:rsidP="001B08DA">
            <w:pPr>
              <w:jc w:val="both"/>
            </w:pPr>
            <w:r>
              <w:rPr>
                <w:sz w:val="22"/>
              </w:rPr>
              <w:t>30.75</w:t>
            </w:r>
          </w:p>
          <w:p w14:paraId="6917E0CC" w14:textId="77777777" w:rsidR="00771726" w:rsidRDefault="00771726" w:rsidP="001B08DA">
            <w:pPr>
              <w:jc w:val="both"/>
            </w:pPr>
          </w:p>
        </w:tc>
        <w:tc>
          <w:tcPr>
            <w:tcW w:w="2241" w:type="dxa"/>
          </w:tcPr>
          <w:p w14:paraId="5417E473" w14:textId="77777777" w:rsidR="00771726" w:rsidRPr="00E01A8E" w:rsidRDefault="00771726" w:rsidP="001B08DA">
            <w:pPr>
              <w:jc w:val="both"/>
              <w:rPr>
                <w:rFonts w:cs="Arial"/>
                <w:color w:val="000000"/>
                <w:sz w:val="22"/>
                <w:szCs w:val="22"/>
              </w:rPr>
            </w:pPr>
            <w:r w:rsidRPr="00E01A8E">
              <w:rPr>
                <w:rFonts w:cs="Arial"/>
                <w:color w:val="000000"/>
                <w:sz w:val="22"/>
                <w:szCs w:val="22"/>
              </w:rPr>
              <w:t>0.14</w:t>
            </w:r>
          </w:p>
          <w:p w14:paraId="33A3F0A9" w14:textId="77777777" w:rsidR="00771726" w:rsidRPr="00E01A8E" w:rsidRDefault="00771726" w:rsidP="001B08DA">
            <w:pPr>
              <w:jc w:val="both"/>
              <w:rPr>
                <w:rFonts w:cs="Arial"/>
              </w:rPr>
            </w:pPr>
          </w:p>
        </w:tc>
        <w:tc>
          <w:tcPr>
            <w:tcW w:w="2190" w:type="dxa"/>
          </w:tcPr>
          <w:p w14:paraId="335457EA" w14:textId="77777777" w:rsidR="00771726" w:rsidRPr="006A36BB" w:rsidRDefault="00771726" w:rsidP="001B08DA">
            <w:pPr>
              <w:jc w:val="both"/>
            </w:pPr>
            <w:r w:rsidRPr="006A36BB">
              <w:rPr>
                <w:sz w:val="22"/>
              </w:rPr>
              <w:t>3</w:t>
            </w:r>
            <w:r>
              <w:rPr>
                <w:sz w:val="22"/>
              </w:rPr>
              <w:t>.00</w:t>
            </w:r>
          </w:p>
        </w:tc>
        <w:tc>
          <w:tcPr>
            <w:tcW w:w="1948" w:type="dxa"/>
          </w:tcPr>
          <w:p w14:paraId="45BD81A7" w14:textId="77777777" w:rsidR="00771726" w:rsidRPr="006A36BB" w:rsidRDefault="00771726" w:rsidP="001B08DA">
            <w:pPr>
              <w:jc w:val="both"/>
            </w:pPr>
            <w:r w:rsidRPr="006A36BB">
              <w:rPr>
                <w:sz w:val="22"/>
              </w:rPr>
              <w:t>-</w:t>
            </w:r>
            <w:r>
              <w:rPr>
                <w:sz w:val="22"/>
              </w:rPr>
              <w:t>34.97</w:t>
            </w:r>
          </w:p>
        </w:tc>
      </w:tr>
      <w:tr w:rsidR="00771726" w14:paraId="5F1FD879" w14:textId="77777777" w:rsidTr="00B469D8">
        <w:tc>
          <w:tcPr>
            <w:tcW w:w="1380" w:type="dxa"/>
          </w:tcPr>
          <w:p w14:paraId="7DF3AF5F" w14:textId="77777777" w:rsidR="00771726" w:rsidRDefault="00771726" w:rsidP="001B08DA">
            <w:pPr>
              <w:jc w:val="both"/>
            </w:pPr>
            <w:r>
              <w:rPr>
                <w:sz w:val="22"/>
              </w:rPr>
              <w:t>0.5</w:t>
            </w:r>
          </w:p>
        </w:tc>
        <w:tc>
          <w:tcPr>
            <w:tcW w:w="2436" w:type="dxa"/>
          </w:tcPr>
          <w:p w14:paraId="089BD57D" w14:textId="77777777" w:rsidR="00771726" w:rsidRDefault="00771726" w:rsidP="001B08DA">
            <w:pPr>
              <w:jc w:val="both"/>
            </w:pPr>
            <w:r>
              <w:rPr>
                <w:sz w:val="22"/>
              </w:rPr>
              <w:t>15.37</w:t>
            </w:r>
          </w:p>
          <w:p w14:paraId="5D59C731" w14:textId="77777777" w:rsidR="00771726" w:rsidRDefault="00771726" w:rsidP="001B08DA">
            <w:pPr>
              <w:jc w:val="both"/>
            </w:pPr>
          </w:p>
        </w:tc>
        <w:tc>
          <w:tcPr>
            <w:tcW w:w="2241" w:type="dxa"/>
          </w:tcPr>
          <w:p w14:paraId="583B9823" w14:textId="77777777" w:rsidR="00771726" w:rsidRDefault="00771726" w:rsidP="001B08DA">
            <w:pPr>
              <w:jc w:val="both"/>
            </w:pPr>
            <w:r>
              <w:rPr>
                <w:sz w:val="22"/>
              </w:rPr>
              <w:t>0.07</w:t>
            </w:r>
          </w:p>
          <w:p w14:paraId="014861CB" w14:textId="77777777" w:rsidR="00771726" w:rsidRDefault="00771726" w:rsidP="001B08DA">
            <w:pPr>
              <w:jc w:val="both"/>
            </w:pPr>
          </w:p>
        </w:tc>
        <w:tc>
          <w:tcPr>
            <w:tcW w:w="2190" w:type="dxa"/>
          </w:tcPr>
          <w:p w14:paraId="50DC4B83" w14:textId="77777777" w:rsidR="00771726" w:rsidRPr="006A36BB" w:rsidRDefault="00771726" w:rsidP="001B08DA">
            <w:pPr>
              <w:jc w:val="both"/>
            </w:pPr>
            <w:r>
              <w:rPr>
                <w:sz w:val="22"/>
              </w:rPr>
              <w:t>2.99</w:t>
            </w:r>
          </w:p>
        </w:tc>
        <w:tc>
          <w:tcPr>
            <w:tcW w:w="1948" w:type="dxa"/>
          </w:tcPr>
          <w:p w14:paraId="2E49C539" w14:textId="77777777" w:rsidR="00771726" w:rsidRPr="006A36BB" w:rsidRDefault="00771726" w:rsidP="001B08DA">
            <w:pPr>
              <w:jc w:val="both"/>
            </w:pPr>
            <w:r>
              <w:rPr>
                <w:sz w:val="22"/>
              </w:rPr>
              <w:t>-34.90</w:t>
            </w:r>
          </w:p>
        </w:tc>
      </w:tr>
      <w:tr w:rsidR="00771726" w14:paraId="1D3207EB" w14:textId="77777777" w:rsidTr="00B469D8">
        <w:tc>
          <w:tcPr>
            <w:tcW w:w="1380" w:type="dxa"/>
          </w:tcPr>
          <w:p w14:paraId="63C07FB5" w14:textId="77777777" w:rsidR="00771726" w:rsidRDefault="00771726" w:rsidP="001B08DA">
            <w:pPr>
              <w:jc w:val="both"/>
            </w:pPr>
            <w:r>
              <w:rPr>
                <w:sz w:val="22"/>
              </w:rPr>
              <w:t>2</w:t>
            </w:r>
          </w:p>
        </w:tc>
        <w:tc>
          <w:tcPr>
            <w:tcW w:w="2436" w:type="dxa"/>
          </w:tcPr>
          <w:p w14:paraId="6AF03637" w14:textId="77777777" w:rsidR="00771726" w:rsidRDefault="00771726" w:rsidP="001B08DA">
            <w:pPr>
              <w:jc w:val="both"/>
            </w:pPr>
            <w:r>
              <w:rPr>
                <w:sz w:val="22"/>
              </w:rPr>
              <w:t>61.49</w:t>
            </w:r>
          </w:p>
          <w:p w14:paraId="1C5CD8AA" w14:textId="77777777" w:rsidR="00771726" w:rsidRDefault="00771726" w:rsidP="001B08DA">
            <w:pPr>
              <w:jc w:val="both"/>
            </w:pPr>
          </w:p>
        </w:tc>
        <w:tc>
          <w:tcPr>
            <w:tcW w:w="2241" w:type="dxa"/>
          </w:tcPr>
          <w:p w14:paraId="30F0AED3" w14:textId="77777777" w:rsidR="00771726" w:rsidRDefault="00771726" w:rsidP="001B08DA">
            <w:pPr>
              <w:jc w:val="both"/>
            </w:pPr>
            <w:r>
              <w:rPr>
                <w:sz w:val="22"/>
              </w:rPr>
              <w:t>0.28</w:t>
            </w:r>
          </w:p>
          <w:p w14:paraId="1C6FAFEB" w14:textId="77777777" w:rsidR="00771726" w:rsidRDefault="00771726" w:rsidP="001B08DA">
            <w:pPr>
              <w:jc w:val="both"/>
            </w:pPr>
          </w:p>
        </w:tc>
        <w:tc>
          <w:tcPr>
            <w:tcW w:w="2190" w:type="dxa"/>
          </w:tcPr>
          <w:p w14:paraId="03BC86FE" w14:textId="77777777" w:rsidR="00771726" w:rsidRPr="006A36BB" w:rsidRDefault="00771726" w:rsidP="001B08DA">
            <w:pPr>
              <w:jc w:val="both"/>
            </w:pPr>
            <w:r>
              <w:rPr>
                <w:sz w:val="22"/>
              </w:rPr>
              <w:t>3.22</w:t>
            </w:r>
          </w:p>
        </w:tc>
        <w:tc>
          <w:tcPr>
            <w:tcW w:w="1948" w:type="dxa"/>
          </w:tcPr>
          <w:p w14:paraId="72936FB9" w14:textId="77777777" w:rsidR="00771726" w:rsidRPr="006A36BB" w:rsidRDefault="00771726" w:rsidP="001B08DA">
            <w:pPr>
              <w:jc w:val="both"/>
            </w:pPr>
            <w:r w:rsidRPr="006A36BB">
              <w:rPr>
                <w:sz w:val="22"/>
              </w:rPr>
              <w:t>-</w:t>
            </w:r>
            <w:r>
              <w:rPr>
                <w:sz w:val="22"/>
              </w:rPr>
              <w:t>35.12</w:t>
            </w:r>
          </w:p>
        </w:tc>
      </w:tr>
    </w:tbl>
    <w:p w14:paraId="236671A7" w14:textId="77777777" w:rsidR="00771726" w:rsidRDefault="00771726" w:rsidP="001B08DA">
      <w:pPr>
        <w:jc w:val="both"/>
      </w:pPr>
    </w:p>
    <w:p w14:paraId="2C22DEBF" w14:textId="77777777" w:rsidR="00771726" w:rsidRDefault="00771726" w:rsidP="001B08DA">
      <w:pPr>
        <w:jc w:val="both"/>
      </w:pPr>
      <w:r>
        <w:rPr>
          <w:sz w:val="22"/>
        </w:rPr>
        <w:t xml:space="preserve">Halving and doubling the training time has a limited impact on the net cost to business per year and net present value.  </w:t>
      </w:r>
    </w:p>
    <w:p w14:paraId="50C81F60" w14:textId="77777777" w:rsidR="00771726" w:rsidRDefault="00771726" w:rsidP="001B08DA">
      <w:pPr>
        <w:jc w:val="both"/>
      </w:pPr>
    </w:p>
    <w:p w14:paraId="2868857C" w14:textId="77777777" w:rsidR="00771726" w:rsidRPr="00491E52" w:rsidRDefault="00771726" w:rsidP="001B08DA">
      <w:pPr>
        <w:jc w:val="both"/>
      </w:pPr>
      <w:r w:rsidRPr="00491E52">
        <w:rPr>
          <w:sz w:val="22"/>
          <w:u w:val="single"/>
        </w:rPr>
        <w:lastRenderedPageBreak/>
        <w:t xml:space="preserve">Annually Recurring Costs </w:t>
      </w:r>
    </w:p>
    <w:p w14:paraId="4CD5B732" w14:textId="77777777" w:rsidR="00771726" w:rsidRDefault="00771726" w:rsidP="001B08DA">
      <w:pPr>
        <w:jc w:val="both"/>
      </w:pPr>
    </w:p>
    <w:p w14:paraId="3DE1C824" w14:textId="77777777" w:rsidR="00771726" w:rsidRDefault="00771726" w:rsidP="001B08DA">
      <w:pPr>
        <w:jc w:val="both"/>
      </w:pPr>
      <w:r>
        <w:rPr>
          <w:sz w:val="22"/>
        </w:rPr>
        <w:t>It is our understanding that Management Information systems can produce the information in the correct format required to calculate a gender pay gap figure. Following a discussion with a large employer, we have made an assumption that it will take 10-15 minutes (0.25 hour) to calculate a single gender pay gap figure each year.</w:t>
      </w:r>
    </w:p>
    <w:p w14:paraId="19C7D1CA" w14:textId="77777777" w:rsidR="00771726" w:rsidRDefault="00771726" w:rsidP="001B08DA">
      <w:pPr>
        <w:jc w:val="both"/>
      </w:pPr>
    </w:p>
    <w:p w14:paraId="21C7FB84" w14:textId="77777777" w:rsidR="00771726" w:rsidRDefault="00771726" w:rsidP="001B08DA">
      <w:pPr>
        <w:jc w:val="both"/>
      </w:pPr>
      <w:r>
        <w:rPr>
          <w:sz w:val="22"/>
        </w:rPr>
        <w:t xml:space="preserve">Whether the regulations require publication of a single figure or a single figure with narrative, we anticipate that senior managers will need discussions about the drivers behind the figure itself if the requirement is to publish a single figure ahead of clearing for publication. </w:t>
      </w:r>
    </w:p>
    <w:p w14:paraId="1008B539" w14:textId="77777777" w:rsidR="00771726" w:rsidRDefault="00771726" w:rsidP="001B08DA">
      <w:pPr>
        <w:jc w:val="both"/>
      </w:pPr>
      <w:r>
        <w:rPr>
          <w:sz w:val="22"/>
        </w:rPr>
        <w:br/>
        <w:t xml:space="preserve">From our discussions, we have learned that a typical large employer’s clearance process </w:t>
      </w:r>
      <w:r>
        <w:rPr>
          <w:sz w:val="22"/>
          <w:u w:val="single"/>
        </w:rPr>
        <w:t>over a number of months</w:t>
      </w:r>
      <w:r>
        <w:rPr>
          <w:sz w:val="22"/>
        </w:rPr>
        <w:t xml:space="preserve"> will involve initial activity led by an HR manager. This will be followed by Chief Executive and lawyer consideration and discussions. This would be ahead of further discussion at a regular Board meeting and possible communications team activity. </w:t>
      </w:r>
    </w:p>
    <w:p w14:paraId="391CFD03" w14:textId="77777777" w:rsidR="00771726" w:rsidRDefault="00771726" w:rsidP="001B08DA">
      <w:pPr>
        <w:jc w:val="both"/>
      </w:pPr>
    </w:p>
    <w:p w14:paraId="28232380" w14:textId="77777777" w:rsidR="00771726" w:rsidRDefault="00771726" w:rsidP="001B08DA">
      <w:pPr>
        <w:jc w:val="both"/>
      </w:pPr>
      <w:r>
        <w:rPr>
          <w:sz w:val="22"/>
        </w:rPr>
        <w:t xml:space="preserve">We do recognise that the complex structures of some employers will mean that more than one member of HR personnel will lead analysis activity. For example, this could involve one HR employee for each business area. However, we are unable to ascertain all the possible variations of this. For publication of a single figure, using our discussions as a basis, we have therefore assumed that the lead person on this activity, an HR manager, will spend 4 hours on producing what is needed for publication of a single pay gap figure and 6 hours with a supporting narrative. </w:t>
      </w:r>
    </w:p>
    <w:p w14:paraId="67159CF2" w14:textId="77777777" w:rsidR="00771726" w:rsidRDefault="00771726" w:rsidP="001B08DA">
      <w:pPr>
        <w:jc w:val="both"/>
      </w:pPr>
    </w:p>
    <w:p w14:paraId="4332D9A3" w14:textId="77777777" w:rsidR="00771726" w:rsidRDefault="00771726" w:rsidP="001B08DA">
      <w:pPr>
        <w:jc w:val="both"/>
      </w:pPr>
      <w:r>
        <w:rPr>
          <w:sz w:val="22"/>
        </w:rPr>
        <w:t xml:space="preserve">We have assumed this activity will take up 2 hours of a Chief Executive’s time and 2 hours of a lawyer’s time. The time taken for all involved will need to be doubled to produce and agree narrative content and wording. </w:t>
      </w:r>
    </w:p>
    <w:p w14:paraId="10D4275F" w14:textId="77777777" w:rsidR="00771726" w:rsidRDefault="00771726" w:rsidP="001B08DA">
      <w:pPr>
        <w:jc w:val="both"/>
      </w:pPr>
      <w:r>
        <w:rPr>
          <w:sz w:val="22"/>
        </w:rPr>
        <w:t xml:space="preserve"> </w:t>
      </w:r>
    </w:p>
    <w:p w14:paraId="35F7233B" w14:textId="77777777" w:rsidR="00771726" w:rsidRDefault="00771726" w:rsidP="001B08DA">
      <w:pPr>
        <w:jc w:val="both"/>
      </w:pPr>
      <w:r>
        <w:rPr>
          <w:sz w:val="22"/>
        </w:rPr>
        <w:t xml:space="preserve">These assumptions have limitations as this evidence is based on a very small sample of employers. We will seek to improve this as part of the consultation. </w:t>
      </w:r>
    </w:p>
    <w:p w14:paraId="650F5F5B" w14:textId="77777777" w:rsidR="00771726" w:rsidRDefault="00771726" w:rsidP="001B08DA">
      <w:pPr>
        <w:jc w:val="both"/>
      </w:pPr>
    </w:p>
    <w:p w14:paraId="19CA067E" w14:textId="77777777" w:rsidR="00771726" w:rsidRDefault="00771726" w:rsidP="001B08DA">
      <w:pPr>
        <w:jc w:val="both"/>
      </w:pPr>
      <w:r>
        <w:rPr>
          <w:sz w:val="22"/>
        </w:rPr>
        <w:t>We have not monetised the time spent by the Board in considering as we have assumed this will form part of the agenda for a regular meeting. We also cannot monetise the cost of communications team activity as the format of publication will be considered as part of the consultation.</w:t>
      </w:r>
    </w:p>
    <w:p w14:paraId="7667E0D8" w14:textId="77777777" w:rsidR="00771726" w:rsidRDefault="00771726" w:rsidP="001B08DA">
      <w:pPr>
        <w:jc w:val="both"/>
      </w:pPr>
    </w:p>
    <w:p w14:paraId="0A29ACD7" w14:textId="77777777" w:rsidR="00771726" w:rsidRDefault="00771726" w:rsidP="001B08DA">
      <w:pPr>
        <w:jc w:val="both"/>
      </w:pPr>
      <w:r>
        <w:rPr>
          <w:sz w:val="22"/>
        </w:rPr>
        <w:t>We know that 41% of employers have conducted some form of gender pay analysis but have insufficient evidence to indicate the proportion that do this annually. We have therefore not included this in monetised annual recurring costs but it is important to note that this means the monetised could be considered an overestimate (the scale of which we are uncertain) as it assumes these costs be additional for all employers affected. For those that do already conduct this analysis annually, only costs relating to publication will be additional annual costs.</w:t>
      </w:r>
    </w:p>
    <w:p w14:paraId="7BD87D02" w14:textId="77777777" w:rsidR="00771726" w:rsidRDefault="00771726" w:rsidP="001B08DA">
      <w:pPr>
        <w:jc w:val="both"/>
      </w:pPr>
    </w:p>
    <w:p w14:paraId="3B40ABD0" w14:textId="77777777" w:rsidR="00771726" w:rsidRDefault="00771726" w:rsidP="001B08DA">
      <w:pPr>
        <w:jc w:val="both"/>
      </w:pPr>
      <w:r>
        <w:rPr>
          <w:sz w:val="22"/>
        </w:rPr>
        <w:t>The cost per hour of a legal professional’s time is taken to be the hourly rate, £23.10 (as given in the Annual Survey of Hours and Earnings 2014 code 241), uplifted by 30 per cent to cover non-labour costs £30.03. The cost per hour of a Chief Executive/Senior Official’s time is taken to be the hourly rate, £38.33 (as given in the Annual Survey of Hours and Earnings 2014 code 111), uplifted by 30 per cent to cover non-labour costs £49.83.</w:t>
      </w:r>
    </w:p>
    <w:p w14:paraId="3B0C2E98" w14:textId="77777777" w:rsidR="00771726" w:rsidRDefault="00771726" w:rsidP="001B08DA">
      <w:pPr>
        <w:jc w:val="both"/>
      </w:pPr>
    </w:p>
    <w:p w14:paraId="5D644380" w14:textId="77777777" w:rsidR="00771726" w:rsidRDefault="00771726" w:rsidP="001B08DA">
      <w:pPr>
        <w:jc w:val="both"/>
      </w:pPr>
      <w:r>
        <w:rPr>
          <w:b/>
          <w:sz w:val="22"/>
          <w:u w:val="single"/>
        </w:rPr>
        <w:t>Single gender pay gap figure</w:t>
      </w:r>
      <w:r>
        <w:rPr>
          <w:sz w:val="22"/>
        </w:rPr>
        <w:t>:</w:t>
      </w:r>
    </w:p>
    <w:p w14:paraId="6A7E6DDF" w14:textId="77777777" w:rsidR="00771726" w:rsidRDefault="00771726" w:rsidP="001B08DA">
      <w:pPr>
        <w:jc w:val="both"/>
      </w:pPr>
    </w:p>
    <w:p w14:paraId="0F4A0531" w14:textId="77777777" w:rsidR="00771726" w:rsidRDefault="00771726" w:rsidP="001B08DA">
      <w:pPr>
        <w:jc w:val="both"/>
      </w:pPr>
      <w:r>
        <w:rPr>
          <w:sz w:val="22"/>
        </w:rPr>
        <w:t xml:space="preserve">Cost per employer: </w:t>
      </w:r>
    </w:p>
    <w:p w14:paraId="25B5E1F9" w14:textId="77777777" w:rsidR="00771726" w:rsidRDefault="00771726" w:rsidP="001B08DA">
      <w:pPr>
        <w:jc w:val="both"/>
      </w:pPr>
    </w:p>
    <w:p w14:paraId="4DAAD7A3" w14:textId="77777777" w:rsidR="00771726" w:rsidRDefault="00771726" w:rsidP="001B08DA">
      <w:pPr>
        <w:jc w:val="both"/>
      </w:pPr>
      <w:r>
        <w:rPr>
          <w:sz w:val="22"/>
        </w:rPr>
        <w:t xml:space="preserve">   (cost of re-calculating annual figure) + (cost of publishing)  </w:t>
      </w:r>
    </w:p>
    <w:p w14:paraId="2E1F5B50" w14:textId="77777777" w:rsidR="00771726" w:rsidRDefault="00771726" w:rsidP="001B08DA">
      <w:pPr>
        <w:jc w:val="both"/>
      </w:pPr>
      <w:r>
        <w:rPr>
          <w:sz w:val="22"/>
        </w:rPr>
        <w:t>= (cost of HR manager) + (cost of legal professional) + (cost of CEO)</w:t>
      </w:r>
    </w:p>
    <w:p w14:paraId="03FED067" w14:textId="77777777" w:rsidR="00771726" w:rsidRPr="005D21C3" w:rsidRDefault="00771726" w:rsidP="001B08DA">
      <w:pPr>
        <w:jc w:val="both"/>
        <w:rPr>
          <w:rFonts w:cs="Arial"/>
        </w:rPr>
      </w:pPr>
      <w:r>
        <w:rPr>
          <w:sz w:val="22"/>
        </w:rPr>
        <w:t xml:space="preserve">= (hours taken by HR manager X hourly pay) + (hours taken by CEO X hourly pay of) + (hours taken by legal professional X </w:t>
      </w:r>
      <w:r w:rsidRPr="005D21C3">
        <w:rPr>
          <w:rFonts w:cs="Arial"/>
          <w:sz w:val="22"/>
        </w:rPr>
        <w:t>hourly pay)</w:t>
      </w:r>
    </w:p>
    <w:p w14:paraId="618DA5B4" w14:textId="77777777" w:rsidR="00771726" w:rsidRPr="005D21C3" w:rsidRDefault="00771726" w:rsidP="001B08DA">
      <w:pPr>
        <w:jc w:val="both"/>
        <w:rPr>
          <w:rFonts w:cs="Arial"/>
          <w:color w:val="000000"/>
          <w:sz w:val="22"/>
          <w:szCs w:val="22"/>
          <w:lang w:eastAsia="en-GB"/>
        </w:rPr>
      </w:pPr>
      <w:r w:rsidRPr="005D21C3">
        <w:rPr>
          <w:rFonts w:cs="Arial"/>
          <w:sz w:val="22"/>
        </w:rPr>
        <w:t>= (</w:t>
      </w:r>
      <w:r w:rsidRPr="005D21C3">
        <w:rPr>
          <w:rFonts w:cs="Arial"/>
          <w:b/>
          <w:sz w:val="22"/>
        </w:rPr>
        <w:t>4.25</w:t>
      </w:r>
      <w:r w:rsidRPr="005D21C3">
        <w:rPr>
          <w:rFonts w:cs="Arial"/>
          <w:sz w:val="22"/>
        </w:rPr>
        <w:t xml:space="preserve"> X £30.75) + (</w:t>
      </w:r>
      <w:r w:rsidRPr="005D21C3">
        <w:rPr>
          <w:rFonts w:cs="Arial"/>
          <w:b/>
          <w:sz w:val="22"/>
        </w:rPr>
        <w:t>2</w:t>
      </w:r>
      <w:r w:rsidRPr="005D21C3">
        <w:rPr>
          <w:rFonts w:cs="Arial"/>
          <w:sz w:val="22"/>
        </w:rPr>
        <w:t xml:space="preserve"> X £30.03) + (</w:t>
      </w:r>
      <w:r w:rsidRPr="005D21C3">
        <w:rPr>
          <w:rFonts w:cs="Arial"/>
          <w:b/>
          <w:sz w:val="22"/>
        </w:rPr>
        <w:t>2</w:t>
      </w:r>
      <w:r w:rsidRPr="005D21C3">
        <w:rPr>
          <w:rFonts w:cs="Arial"/>
          <w:sz w:val="22"/>
        </w:rPr>
        <w:t xml:space="preserve"> X 49.83) = £</w:t>
      </w:r>
      <w:r w:rsidRPr="005D21C3">
        <w:rPr>
          <w:rFonts w:cs="Arial"/>
          <w:color w:val="000000"/>
          <w:sz w:val="22"/>
          <w:szCs w:val="22"/>
          <w:lang w:eastAsia="en-GB"/>
        </w:rPr>
        <w:t>290.38</w:t>
      </w:r>
    </w:p>
    <w:p w14:paraId="121AE3A1" w14:textId="77777777" w:rsidR="00771726" w:rsidRDefault="00771726" w:rsidP="001B08DA">
      <w:pPr>
        <w:jc w:val="both"/>
      </w:pPr>
    </w:p>
    <w:p w14:paraId="2C9B46EB" w14:textId="77777777" w:rsidR="00771726" w:rsidRPr="00694718" w:rsidRDefault="00771726" w:rsidP="001B08DA">
      <w:pPr>
        <w:jc w:val="both"/>
        <w:rPr>
          <w:rFonts w:cs="Arial"/>
        </w:rPr>
      </w:pPr>
    </w:p>
    <w:p w14:paraId="5BFC7E62" w14:textId="77777777" w:rsidR="00771726" w:rsidRPr="00694718" w:rsidRDefault="00771726" w:rsidP="001B08DA">
      <w:pPr>
        <w:jc w:val="both"/>
        <w:rPr>
          <w:rFonts w:cs="Arial"/>
        </w:rPr>
      </w:pPr>
      <w:r w:rsidRPr="00694718">
        <w:rPr>
          <w:rFonts w:cs="Arial"/>
          <w:sz w:val="22"/>
        </w:rPr>
        <w:lastRenderedPageBreak/>
        <w:t>The total annual recurring cost is therefore:</w:t>
      </w:r>
    </w:p>
    <w:p w14:paraId="00896DB7" w14:textId="77777777" w:rsidR="00771726" w:rsidRPr="00694718" w:rsidRDefault="00771726" w:rsidP="001B08DA">
      <w:pPr>
        <w:jc w:val="both"/>
        <w:rPr>
          <w:rFonts w:cs="Arial"/>
        </w:rPr>
      </w:pPr>
      <w:r w:rsidRPr="00694718">
        <w:rPr>
          <w:rFonts w:cs="Arial"/>
          <w:sz w:val="22"/>
        </w:rPr>
        <w:t> </w:t>
      </w:r>
    </w:p>
    <w:p w14:paraId="3342BF7A" w14:textId="77777777" w:rsidR="00771726" w:rsidRPr="00694718" w:rsidRDefault="00771726" w:rsidP="001B08DA">
      <w:pPr>
        <w:jc w:val="both"/>
        <w:rPr>
          <w:rFonts w:cs="Arial"/>
        </w:rPr>
      </w:pPr>
      <w:r w:rsidRPr="00694718">
        <w:rPr>
          <w:rFonts w:cs="Arial"/>
          <w:sz w:val="22"/>
        </w:rPr>
        <w:t>Cost per employer X number of employers= total cost</w:t>
      </w:r>
    </w:p>
    <w:p w14:paraId="22B8756D" w14:textId="77777777" w:rsidR="00771726" w:rsidRPr="00694718" w:rsidRDefault="00771726" w:rsidP="001B08DA">
      <w:pPr>
        <w:jc w:val="both"/>
        <w:rPr>
          <w:rFonts w:cs="Arial"/>
          <w:color w:val="000000"/>
          <w:sz w:val="22"/>
          <w:szCs w:val="22"/>
          <w:lang w:eastAsia="en-GB"/>
        </w:rPr>
      </w:pPr>
      <w:r w:rsidRPr="00694718">
        <w:rPr>
          <w:rFonts w:cs="Arial"/>
          <w:sz w:val="22"/>
        </w:rPr>
        <w:t>£</w:t>
      </w:r>
      <w:r w:rsidRPr="00694718">
        <w:rPr>
          <w:rFonts w:cs="Arial"/>
          <w:color w:val="000000"/>
          <w:sz w:val="22"/>
          <w:szCs w:val="22"/>
          <w:lang w:eastAsia="en-GB"/>
        </w:rPr>
        <w:t xml:space="preserve">290.38 </w:t>
      </w:r>
      <w:r w:rsidRPr="00694718">
        <w:rPr>
          <w:rFonts w:cs="Arial"/>
          <w:sz w:val="22"/>
        </w:rPr>
        <w:t>X 7,855 = £</w:t>
      </w:r>
      <w:r w:rsidRPr="00694718">
        <w:rPr>
          <w:rFonts w:cs="Arial"/>
          <w:color w:val="000000"/>
          <w:sz w:val="22"/>
          <w:szCs w:val="22"/>
          <w:lang w:eastAsia="en-GB"/>
        </w:rPr>
        <w:t>2,280,968.28</w:t>
      </w:r>
    </w:p>
    <w:p w14:paraId="197DAE3B" w14:textId="77777777" w:rsidR="00771726" w:rsidRPr="006A487B" w:rsidRDefault="00771726" w:rsidP="001B08DA">
      <w:pPr>
        <w:jc w:val="both"/>
        <w:rPr>
          <w:rFonts w:cs="Arial"/>
        </w:rPr>
      </w:pPr>
    </w:p>
    <w:p w14:paraId="0591BE2E" w14:textId="77777777" w:rsidR="00771726" w:rsidRPr="006A487B" w:rsidRDefault="00771726" w:rsidP="001B08DA">
      <w:pPr>
        <w:jc w:val="both"/>
        <w:rPr>
          <w:rFonts w:cs="Arial"/>
        </w:rPr>
      </w:pPr>
      <w:r w:rsidRPr="006A487B">
        <w:rPr>
          <w:rFonts w:cs="Arial"/>
          <w:b/>
          <w:sz w:val="22"/>
          <w:u w:val="single"/>
        </w:rPr>
        <w:t>Single gender pay gap figure with supporting narrative</w:t>
      </w:r>
      <w:r w:rsidRPr="006A487B">
        <w:rPr>
          <w:rFonts w:cs="Arial"/>
          <w:sz w:val="22"/>
        </w:rPr>
        <w:t>:</w:t>
      </w:r>
    </w:p>
    <w:p w14:paraId="43399109" w14:textId="77777777" w:rsidR="00771726" w:rsidRPr="006A487B" w:rsidRDefault="00771726" w:rsidP="001B08DA">
      <w:pPr>
        <w:jc w:val="both"/>
        <w:rPr>
          <w:rFonts w:cs="Arial"/>
        </w:rPr>
      </w:pPr>
    </w:p>
    <w:p w14:paraId="127DEFCF" w14:textId="77777777" w:rsidR="00771726" w:rsidRPr="006A487B" w:rsidRDefault="00771726" w:rsidP="001B08DA">
      <w:pPr>
        <w:jc w:val="both"/>
        <w:rPr>
          <w:rFonts w:cs="Arial"/>
        </w:rPr>
      </w:pPr>
      <w:r w:rsidRPr="006A487B">
        <w:rPr>
          <w:rFonts w:cs="Arial"/>
          <w:sz w:val="22"/>
        </w:rPr>
        <w:t>Cost per employer:</w:t>
      </w:r>
    </w:p>
    <w:p w14:paraId="046598CB" w14:textId="77777777" w:rsidR="00771726" w:rsidRPr="006A487B" w:rsidRDefault="00771726" w:rsidP="001B08DA">
      <w:pPr>
        <w:jc w:val="both"/>
        <w:rPr>
          <w:rFonts w:cs="Arial"/>
        </w:rPr>
      </w:pPr>
    </w:p>
    <w:p w14:paraId="48A346E3" w14:textId="77777777" w:rsidR="00771726" w:rsidRPr="006A487B" w:rsidRDefault="00771726" w:rsidP="001B08DA">
      <w:pPr>
        <w:jc w:val="both"/>
        <w:rPr>
          <w:rFonts w:cs="Arial"/>
        </w:rPr>
      </w:pPr>
      <w:r w:rsidRPr="006A487B">
        <w:rPr>
          <w:rFonts w:cs="Arial"/>
          <w:sz w:val="22"/>
        </w:rPr>
        <w:t>= (</w:t>
      </w:r>
      <w:r w:rsidRPr="006A487B">
        <w:rPr>
          <w:rFonts w:cs="Arial"/>
          <w:b/>
          <w:sz w:val="22"/>
        </w:rPr>
        <w:t>6.25</w:t>
      </w:r>
      <w:r w:rsidRPr="006A487B">
        <w:rPr>
          <w:rFonts w:cs="Arial"/>
          <w:sz w:val="22"/>
        </w:rPr>
        <w:t xml:space="preserve"> X £</w:t>
      </w:r>
      <w:r w:rsidRPr="005D21C3">
        <w:rPr>
          <w:rFonts w:cs="Arial"/>
          <w:sz w:val="22"/>
        </w:rPr>
        <w:t>30.75</w:t>
      </w:r>
      <w:r w:rsidRPr="006A487B">
        <w:rPr>
          <w:rFonts w:cs="Arial"/>
          <w:sz w:val="22"/>
        </w:rPr>
        <w:t>) + (</w:t>
      </w:r>
      <w:r w:rsidRPr="006A487B">
        <w:rPr>
          <w:rFonts w:cs="Arial"/>
          <w:b/>
          <w:sz w:val="22"/>
        </w:rPr>
        <w:t>4</w:t>
      </w:r>
      <w:r w:rsidRPr="006A487B">
        <w:rPr>
          <w:rFonts w:cs="Arial"/>
          <w:sz w:val="22"/>
        </w:rPr>
        <w:t xml:space="preserve"> X £</w:t>
      </w:r>
      <w:r w:rsidRPr="005D21C3">
        <w:rPr>
          <w:rFonts w:cs="Arial"/>
          <w:sz w:val="22"/>
        </w:rPr>
        <w:t>30.03</w:t>
      </w:r>
      <w:r w:rsidRPr="006A487B">
        <w:rPr>
          <w:rFonts w:cs="Arial"/>
          <w:sz w:val="22"/>
        </w:rPr>
        <w:t>) + (</w:t>
      </w:r>
      <w:r w:rsidRPr="006A487B">
        <w:rPr>
          <w:rFonts w:cs="Arial"/>
          <w:b/>
          <w:sz w:val="22"/>
        </w:rPr>
        <w:t>4</w:t>
      </w:r>
      <w:r w:rsidRPr="006A487B">
        <w:rPr>
          <w:rFonts w:cs="Arial"/>
          <w:sz w:val="22"/>
        </w:rPr>
        <w:t xml:space="preserve"> X </w:t>
      </w:r>
      <w:r w:rsidRPr="005D21C3">
        <w:rPr>
          <w:rFonts w:cs="Arial"/>
          <w:sz w:val="22"/>
        </w:rPr>
        <w:t>49.83</w:t>
      </w:r>
      <w:r>
        <w:rPr>
          <w:rFonts w:cs="Arial"/>
          <w:sz w:val="22"/>
        </w:rPr>
        <w:t>) = £511.59</w:t>
      </w:r>
    </w:p>
    <w:p w14:paraId="3AE35393" w14:textId="77777777" w:rsidR="00771726" w:rsidRPr="0017084A" w:rsidRDefault="00771726" w:rsidP="001B08DA">
      <w:pPr>
        <w:jc w:val="both"/>
        <w:rPr>
          <w:rFonts w:cs="Arial"/>
        </w:rPr>
      </w:pPr>
    </w:p>
    <w:p w14:paraId="3E09F177" w14:textId="77777777" w:rsidR="00771726" w:rsidRPr="0017084A" w:rsidRDefault="00771726" w:rsidP="001B08DA">
      <w:pPr>
        <w:jc w:val="both"/>
        <w:rPr>
          <w:rFonts w:cs="Arial"/>
        </w:rPr>
      </w:pPr>
      <w:r w:rsidRPr="0017084A">
        <w:rPr>
          <w:rFonts w:cs="Arial"/>
          <w:sz w:val="22"/>
        </w:rPr>
        <w:t>The total annual recurring cost is therefore:</w:t>
      </w:r>
    </w:p>
    <w:p w14:paraId="1E812B83" w14:textId="77777777" w:rsidR="00771726" w:rsidRPr="0017084A" w:rsidRDefault="00771726" w:rsidP="001B08DA">
      <w:pPr>
        <w:jc w:val="both"/>
        <w:rPr>
          <w:rFonts w:cs="Arial"/>
        </w:rPr>
      </w:pPr>
      <w:r w:rsidRPr="0017084A">
        <w:rPr>
          <w:rFonts w:cs="Arial"/>
          <w:sz w:val="22"/>
        </w:rPr>
        <w:t> </w:t>
      </w:r>
    </w:p>
    <w:p w14:paraId="5C6F0CCA" w14:textId="77777777" w:rsidR="00771726" w:rsidRPr="0017084A" w:rsidRDefault="00771726" w:rsidP="001B08DA">
      <w:pPr>
        <w:jc w:val="both"/>
        <w:rPr>
          <w:rFonts w:cs="Arial"/>
        </w:rPr>
      </w:pPr>
      <w:r w:rsidRPr="0017084A">
        <w:rPr>
          <w:rFonts w:cs="Arial"/>
          <w:sz w:val="22"/>
        </w:rPr>
        <w:t>Cost per employer X number of employers= total cost</w:t>
      </w:r>
    </w:p>
    <w:p w14:paraId="2B4A972C" w14:textId="77777777" w:rsidR="00771726" w:rsidRPr="0017084A" w:rsidRDefault="00771726" w:rsidP="001B08DA">
      <w:pPr>
        <w:jc w:val="both"/>
        <w:rPr>
          <w:rFonts w:cs="Arial"/>
          <w:color w:val="000000"/>
          <w:sz w:val="22"/>
          <w:szCs w:val="22"/>
          <w:lang w:eastAsia="en-GB"/>
        </w:rPr>
      </w:pPr>
      <w:r w:rsidRPr="0017084A">
        <w:rPr>
          <w:rFonts w:cs="Arial"/>
          <w:sz w:val="22"/>
        </w:rPr>
        <w:t>£511.59</w:t>
      </w:r>
      <w:r>
        <w:rPr>
          <w:rFonts w:cs="Arial"/>
          <w:sz w:val="22"/>
        </w:rPr>
        <w:t xml:space="preserve"> </w:t>
      </w:r>
      <w:r w:rsidRPr="0017084A">
        <w:rPr>
          <w:rFonts w:cs="Arial"/>
          <w:sz w:val="22"/>
        </w:rPr>
        <w:t>X 7,855 = £</w:t>
      </w:r>
      <w:r w:rsidRPr="0017084A">
        <w:rPr>
          <w:rFonts w:cs="Arial"/>
          <w:color w:val="000000"/>
          <w:sz w:val="22"/>
          <w:szCs w:val="22"/>
          <w:lang w:eastAsia="en-GB"/>
        </w:rPr>
        <w:t>4,018,557.12</w:t>
      </w:r>
    </w:p>
    <w:p w14:paraId="67963B23" w14:textId="77777777" w:rsidR="00771726" w:rsidRPr="006A487B" w:rsidRDefault="00771726" w:rsidP="001B08DA">
      <w:pPr>
        <w:jc w:val="both"/>
        <w:rPr>
          <w:rFonts w:cs="Arial"/>
          <w:color w:val="000000"/>
          <w:sz w:val="22"/>
          <w:szCs w:val="22"/>
          <w:lang w:eastAsia="en-GB"/>
        </w:rPr>
      </w:pPr>
    </w:p>
    <w:p w14:paraId="0967AAD9" w14:textId="77777777" w:rsidR="00771726" w:rsidRDefault="00771726" w:rsidP="001B08DA">
      <w:pPr>
        <w:jc w:val="both"/>
      </w:pPr>
      <w:r w:rsidRPr="00991181">
        <w:rPr>
          <w:sz w:val="22"/>
        </w:rPr>
        <w:t>We will assume at this stage that the best estimate of the annual average recurring cost is the single pay gap figure with supporting narrative because employers will want to avoid presenting misleading data and explain the drivers behind their gender pay gap to the public and their employees. This will help to decrease the potential exposure to increased legal action, which, we found from discussions, is one of the biggest concerns employers have the implementation of section 78.</w:t>
      </w:r>
      <w:r>
        <w:rPr>
          <w:sz w:val="22"/>
        </w:rPr>
        <w:t xml:space="preserve"> </w:t>
      </w:r>
    </w:p>
    <w:p w14:paraId="69120758" w14:textId="77777777" w:rsidR="00771726" w:rsidRDefault="00771726" w:rsidP="001B08DA">
      <w:pPr>
        <w:jc w:val="both"/>
      </w:pPr>
    </w:p>
    <w:p w14:paraId="73B0A3DE" w14:textId="77777777" w:rsidR="00771726" w:rsidRPr="00C6332B" w:rsidRDefault="00E156DB" w:rsidP="001B08DA">
      <w:pPr>
        <w:spacing w:after="120"/>
        <w:jc w:val="both"/>
        <w:rPr>
          <w:u w:val="single"/>
        </w:rPr>
      </w:pPr>
      <w:r>
        <w:rPr>
          <w:b/>
          <w:sz w:val="22"/>
          <w:u w:val="single"/>
        </w:rPr>
        <w:t>Non-Monetised Costs</w:t>
      </w:r>
    </w:p>
    <w:p w14:paraId="5A8B60E0" w14:textId="77777777" w:rsidR="00771726" w:rsidRDefault="00771726" w:rsidP="001B08DA">
      <w:pPr>
        <w:spacing w:after="120"/>
        <w:jc w:val="both"/>
      </w:pPr>
      <w:r>
        <w:rPr>
          <w:sz w:val="22"/>
        </w:rPr>
        <w:t xml:space="preserve">Employers have expressed concerns about the potential exposure to increased legal action such as equal pay and also sex discrimination cases as a result of publishing results of gender pay analysis.  Employers tell us the greater the granularity of the data published, the greater the risk. It is important to recognise that an employer’s gender pay gap and any information published that shows whether there is a difference in the pay between male and female employees is not of itself evidence of discrimination. Nor is it evidence that the employer is breaching any equal pay laws. As discussed in previous sections there can be a number of other factors and drivers of such differences in pay. We have assumed that employers will seek legal advice on risks prior to publication of results and this cost has been absorbed as part of the pre-publication costs. </w:t>
      </w:r>
    </w:p>
    <w:p w14:paraId="30105A80" w14:textId="77777777" w:rsidR="00771726" w:rsidRDefault="00771726" w:rsidP="001B08DA">
      <w:pPr>
        <w:spacing w:after="120"/>
        <w:jc w:val="both"/>
      </w:pPr>
      <w:r>
        <w:rPr>
          <w:sz w:val="22"/>
        </w:rPr>
        <w:t>The IFF survey found that “</w:t>
      </w:r>
      <w:r>
        <w:rPr>
          <w:i/>
          <w:sz w:val="22"/>
        </w:rPr>
        <w:t xml:space="preserve">no employers who had reported information internally said it had been a negative thing for the organisation….none of the 32 employers in the survey that had taken this step reported a negative impact for their organisation, and more often than not it has been a positive experience”. </w:t>
      </w:r>
    </w:p>
    <w:p w14:paraId="7E6CB444" w14:textId="77777777" w:rsidR="00771726" w:rsidRDefault="00771726" w:rsidP="001B08DA">
      <w:pPr>
        <w:spacing w:after="120"/>
        <w:jc w:val="both"/>
      </w:pPr>
      <w:r>
        <w:rPr>
          <w:sz w:val="22"/>
        </w:rPr>
        <w:t xml:space="preserve">We have therefore assumed that the concerns of employers who have not chosen to conduct and/or report the results of gender pay analysis, have not been realised by those who have reported that information. </w:t>
      </w:r>
    </w:p>
    <w:p w14:paraId="2B4C97C1" w14:textId="77777777" w:rsidR="00C6332B" w:rsidRDefault="00C6332B" w:rsidP="001B08DA">
      <w:pPr>
        <w:spacing w:after="120"/>
        <w:jc w:val="both"/>
        <w:rPr>
          <w:sz w:val="22"/>
          <w:u w:val="single"/>
        </w:rPr>
      </w:pPr>
    </w:p>
    <w:p w14:paraId="3466951D" w14:textId="77777777" w:rsidR="00771726" w:rsidRPr="00AC5FE7" w:rsidRDefault="00AC5FE7" w:rsidP="001B08DA">
      <w:pPr>
        <w:spacing w:after="120"/>
        <w:jc w:val="both"/>
        <w:rPr>
          <w:u w:val="single"/>
        </w:rPr>
      </w:pPr>
      <w:r w:rsidRPr="00AC5FE7">
        <w:rPr>
          <w:sz w:val="22"/>
          <w:u w:val="single"/>
        </w:rPr>
        <w:t>Costs of Enforcement</w:t>
      </w:r>
    </w:p>
    <w:p w14:paraId="5E7356BF" w14:textId="77777777" w:rsidR="00771726" w:rsidRDefault="00771726" w:rsidP="001B08DA">
      <w:pPr>
        <w:jc w:val="both"/>
      </w:pPr>
      <w:r>
        <w:rPr>
          <w:sz w:val="22"/>
          <w:highlight w:val="white"/>
        </w:rPr>
        <w:t xml:space="preserve">The framework of s.78 leaves open the option for the government to specify penalties for non- compliance. Employers who do not comply with the publication requirements could face civil enforcement procedures or be liable for a criminal offence, punishable by a fine. </w:t>
      </w:r>
    </w:p>
    <w:p w14:paraId="09D3B5BB" w14:textId="77777777" w:rsidR="00771726" w:rsidRDefault="00771726" w:rsidP="001B08DA">
      <w:pPr>
        <w:jc w:val="both"/>
      </w:pPr>
    </w:p>
    <w:p w14:paraId="19EF8055" w14:textId="77777777" w:rsidR="00771726" w:rsidRDefault="00771726" w:rsidP="001B08DA">
      <w:pPr>
        <w:spacing w:after="120"/>
        <w:jc w:val="both"/>
      </w:pPr>
      <w:r>
        <w:rPr>
          <w:sz w:val="22"/>
        </w:rPr>
        <w:t xml:space="preserve">As part of the consultation we will be exploring enforcement options further with the Equality and Human Rights Commission and seeking views on what would be considered proportionate to ensure compliance. </w:t>
      </w:r>
    </w:p>
    <w:p w14:paraId="141AF59A" w14:textId="77777777" w:rsidR="00771726" w:rsidRDefault="00771726" w:rsidP="001B08DA">
      <w:pPr>
        <w:spacing w:after="120"/>
        <w:jc w:val="both"/>
      </w:pPr>
      <w:r>
        <w:rPr>
          <w:sz w:val="22"/>
        </w:rPr>
        <w:t xml:space="preserve">On the current assumption that the EHRC will be best placed to monitor and take the lead role in enforcing compliance with these regulations, any additional cost incurred would be on the public sector which we will be able to assess following the consultation. </w:t>
      </w:r>
    </w:p>
    <w:p w14:paraId="694CDBAD" w14:textId="77777777" w:rsidR="00771726" w:rsidRPr="00E156DB" w:rsidRDefault="00E156DB" w:rsidP="001B08DA">
      <w:pPr>
        <w:spacing w:after="120"/>
        <w:jc w:val="both"/>
        <w:rPr>
          <w:b/>
          <w:u w:val="single"/>
        </w:rPr>
      </w:pPr>
      <w:r>
        <w:rPr>
          <w:b/>
          <w:sz w:val="22"/>
          <w:u w:val="single"/>
        </w:rPr>
        <w:t>Benefits</w:t>
      </w:r>
    </w:p>
    <w:p w14:paraId="449467AB" w14:textId="77777777" w:rsidR="00771726" w:rsidRPr="008B6E9F" w:rsidRDefault="00771726" w:rsidP="001B08DA">
      <w:pPr>
        <w:jc w:val="both"/>
        <w:rPr>
          <w:sz w:val="22"/>
        </w:rPr>
      </w:pPr>
      <w:r w:rsidRPr="008B6E9F">
        <w:rPr>
          <w:sz w:val="22"/>
        </w:rPr>
        <w:t xml:space="preserve">Increased transparency could lead to employers becoming more aware and attentive towards their gender pay gap, what contributes towards it and the extent to which their own practices and policies can influence it (as opposed to factors outside of their control). The gender pay analysis may lead to employers reviewing their internal policies and part of this could be addressing any discrimination issues they find whilst also </w:t>
      </w:r>
      <w:r w:rsidRPr="008B6E9F">
        <w:rPr>
          <w:sz w:val="22"/>
        </w:rPr>
        <w:lastRenderedPageBreak/>
        <w:t xml:space="preserve">looking into and implementing policies that may have an impact on other contributors to the gender pay gap. An example of this could be making senior roles more accessible to females, possibly through offering more part-time opportunities to cater for those who have childcare responsibilities which will have a positive effect on the gender pay gap. </w:t>
      </w:r>
    </w:p>
    <w:p w14:paraId="0C59F393" w14:textId="77777777" w:rsidR="00771726" w:rsidRPr="008B6E9F" w:rsidRDefault="00771726" w:rsidP="001B08DA">
      <w:pPr>
        <w:jc w:val="both"/>
        <w:rPr>
          <w:sz w:val="22"/>
        </w:rPr>
      </w:pPr>
    </w:p>
    <w:p w14:paraId="71E209D1" w14:textId="77777777" w:rsidR="00771726" w:rsidRPr="008B6E9F" w:rsidRDefault="00771726" w:rsidP="001B08DA">
      <w:pPr>
        <w:jc w:val="both"/>
        <w:rPr>
          <w:sz w:val="22"/>
        </w:rPr>
      </w:pPr>
      <w:r w:rsidRPr="008B6E9F">
        <w:rPr>
          <w:sz w:val="22"/>
        </w:rPr>
        <w:t xml:space="preserve">Furthermore, gender pay transparency will also enable better identification of occupational segregation across regions and sectors which will provide the government with evidence to design and implement wider policies in the future that can target those particular regions or sectors to even further accelerate the narrowing of the gender pay gap. </w:t>
      </w:r>
    </w:p>
    <w:p w14:paraId="079F98B5" w14:textId="77777777" w:rsidR="00771726" w:rsidRPr="008B6E9F" w:rsidRDefault="00771726" w:rsidP="001B08DA">
      <w:pPr>
        <w:jc w:val="both"/>
        <w:rPr>
          <w:sz w:val="22"/>
        </w:rPr>
      </w:pPr>
    </w:p>
    <w:p w14:paraId="10B1FBF3" w14:textId="77777777" w:rsidR="00771726" w:rsidRPr="008B6E9F" w:rsidRDefault="00771726" w:rsidP="001B08DA">
      <w:pPr>
        <w:jc w:val="both"/>
      </w:pPr>
      <w:r w:rsidRPr="008B6E9F">
        <w:rPr>
          <w:sz w:val="22"/>
        </w:rPr>
        <w:t>Over the longer term, these effects should have a positive impact on the overall gender pay gap of the economy. However, as the impact transparency has on employers’ gender pay gaps cannot be quantified at this stage, the effect on the overall gender pay gap cannot be quantified.</w:t>
      </w:r>
    </w:p>
    <w:p w14:paraId="171B427E" w14:textId="77777777" w:rsidR="00771726" w:rsidRPr="008B6E9F" w:rsidRDefault="00771726" w:rsidP="001B08DA">
      <w:pPr>
        <w:jc w:val="both"/>
      </w:pPr>
    </w:p>
    <w:p w14:paraId="0BD28B82" w14:textId="77777777" w:rsidR="00771726" w:rsidRPr="008B6E9F" w:rsidRDefault="00771726" w:rsidP="001B08DA">
      <w:pPr>
        <w:spacing w:after="120"/>
        <w:jc w:val="both"/>
        <w:rPr>
          <w:sz w:val="22"/>
        </w:rPr>
      </w:pPr>
      <w:r w:rsidRPr="008B6E9F">
        <w:rPr>
          <w:sz w:val="22"/>
        </w:rPr>
        <w:t>An independent study of gender equality, economic growth and employment across Europe has estimated that a transition to full gender equality in the labour market (i.e. bringing women’s productivity and employment up to men’s levels) has the potential for increased gross domestic product of between 15% and 45% in the EU member states, with an estimate of the potential increase to the UK’s gross domestic product of 35%.</w:t>
      </w:r>
      <w:r w:rsidRPr="008B6E9F">
        <w:rPr>
          <w:sz w:val="22"/>
          <w:vertAlign w:val="superscript"/>
        </w:rPr>
        <w:footnoteReference w:id="9"/>
      </w:r>
      <w:r w:rsidRPr="008B6E9F">
        <w:rPr>
          <w:sz w:val="22"/>
        </w:rPr>
        <w:t xml:space="preserve"> </w:t>
      </w:r>
    </w:p>
    <w:p w14:paraId="273EA264" w14:textId="77777777" w:rsidR="00771726" w:rsidRPr="008B6E9F" w:rsidRDefault="00771726" w:rsidP="001B08DA">
      <w:pPr>
        <w:spacing w:after="120"/>
        <w:jc w:val="both"/>
        <w:rPr>
          <w:sz w:val="22"/>
        </w:rPr>
      </w:pPr>
      <w:r w:rsidRPr="008B6E9F">
        <w:rPr>
          <w:sz w:val="22"/>
        </w:rPr>
        <w:t>If the gender pay gap remained at its current level, an average woman working full time from age 18-59 would lose £206,656</w:t>
      </w:r>
      <w:r w:rsidRPr="008B6E9F">
        <w:rPr>
          <w:sz w:val="22"/>
          <w:vertAlign w:val="superscript"/>
        </w:rPr>
        <w:footnoteReference w:id="10"/>
      </w:r>
      <w:r w:rsidRPr="008B6E9F">
        <w:rPr>
          <w:sz w:val="22"/>
        </w:rPr>
        <w:t xml:space="preserve"> in gross earnings over the course of her working life, as compared to an equivalent male. Closing this gap and incentivising women to reach their full economic potential could provide benefits to employers through increased motivation, employee engagement and productivity in the workplace as well as employers benefitting from greater diversity in the workplace. It should, however, be noted that the gender pay gap is just one factor that contributes to gender inequality in the labour market and reducing it on its own is unlikely to lead to the full GDP benefits estimated above. </w:t>
      </w:r>
    </w:p>
    <w:p w14:paraId="28E89798" w14:textId="77777777" w:rsidR="00771726" w:rsidRPr="008B6E9F" w:rsidRDefault="00771726" w:rsidP="001B08DA">
      <w:pPr>
        <w:jc w:val="both"/>
      </w:pPr>
      <w:r w:rsidRPr="008B6E9F">
        <w:rPr>
          <w:sz w:val="22"/>
        </w:rPr>
        <w:t xml:space="preserve">This information will also highlight any pay inequalities. Employers will therefore be able to more effectively manage risk by preventing equal pay breaches from occurring. </w:t>
      </w:r>
    </w:p>
    <w:p w14:paraId="7E0C5DB5" w14:textId="77777777" w:rsidR="00771726" w:rsidRPr="008B6E9F" w:rsidRDefault="00771726" w:rsidP="001B08DA">
      <w:pPr>
        <w:jc w:val="both"/>
      </w:pPr>
    </w:p>
    <w:p w14:paraId="3B73F180" w14:textId="77777777" w:rsidR="00771726" w:rsidRPr="008B6E9F" w:rsidRDefault="00771726" w:rsidP="001B08DA">
      <w:pPr>
        <w:jc w:val="both"/>
      </w:pPr>
      <w:r w:rsidRPr="008B6E9F">
        <w:rPr>
          <w:sz w:val="22"/>
        </w:rPr>
        <w:t>Furthermore, t</w:t>
      </w:r>
      <w:r w:rsidR="00915A40">
        <w:rPr>
          <w:sz w:val="22"/>
        </w:rPr>
        <w:t xml:space="preserve">he </w:t>
      </w:r>
      <w:r w:rsidRPr="008B6E9F">
        <w:rPr>
          <w:sz w:val="22"/>
        </w:rPr>
        <w:t>IFF research found that 54% said reporting externally had been positive for the organisation.</w:t>
      </w:r>
    </w:p>
    <w:p w14:paraId="6A048201" w14:textId="77777777" w:rsidR="00771726" w:rsidRPr="008B6E9F" w:rsidRDefault="00771726" w:rsidP="001B08DA">
      <w:pPr>
        <w:jc w:val="both"/>
      </w:pPr>
    </w:p>
    <w:p w14:paraId="49FC5DA5" w14:textId="77777777" w:rsidR="00771726" w:rsidRPr="008B6E9F" w:rsidRDefault="00771726" w:rsidP="001B08DA">
      <w:pPr>
        <w:spacing w:after="120"/>
        <w:jc w:val="both"/>
      </w:pPr>
      <w:r w:rsidRPr="008B6E9F">
        <w:rPr>
          <w:sz w:val="22"/>
        </w:rPr>
        <w:t>Respondents to both the IES survey and the EHRC consultation strongly supported the inclusion of narrative in reporting on the differences between men’s and women’s pay.  Views on the importance and possible components of the narrative varied but the majority considered that it should comprise a mix of qualitative and quantitative information.</w:t>
      </w:r>
    </w:p>
    <w:p w14:paraId="71A15163" w14:textId="77777777" w:rsidR="00771726" w:rsidRDefault="00771726" w:rsidP="001B08DA">
      <w:pPr>
        <w:jc w:val="both"/>
        <w:rPr>
          <w:sz w:val="22"/>
        </w:rPr>
      </w:pPr>
      <w:r w:rsidRPr="008B6E9F">
        <w:rPr>
          <w:sz w:val="22"/>
        </w:rPr>
        <w:t>The benefits of accompanying the metrics with a narrative can therefore be considered as a continuation of the benefits of providing metrics alone. However, supplementing the figures with narrative will also help employers to avoid presenting misleading data and provide some context for the data. It follows that this will decrease the potential exposure to increased legal action which we found was a big concern for employers.</w:t>
      </w:r>
      <w:r>
        <w:rPr>
          <w:sz w:val="22"/>
        </w:rPr>
        <w:t xml:space="preserve"> </w:t>
      </w:r>
    </w:p>
    <w:p w14:paraId="54BC49FC" w14:textId="77777777" w:rsidR="00A82E36" w:rsidRDefault="00A82E36" w:rsidP="001B08DA">
      <w:pPr>
        <w:jc w:val="both"/>
        <w:rPr>
          <w:sz w:val="22"/>
        </w:rPr>
      </w:pPr>
    </w:p>
    <w:p w14:paraId="566F2EAC" w14:textId="77777777" w:rsidR="00771726" w:rsidRDefault="00771726" w:rsidP="001B08DA">
      <w:pPr>
        <w:spacing w:after="120"/>
        <w:jc w:val="both"/>
      </w:pPr>
      <w:r>
        <w:rPr>
          <w:b/>
          <w:sz w:val="22"/>
          <w:u w:val="single"/>
        </w:rPr>
        <w:t>OPTION 2:</w:t>
      </w:r>
      <w:r w:rsidRPr="00E349B6">
        <w:rPr>
          <w:b/>
          <w:sz w:val="22"/>
        </w:rPr>
        <w:t xml:space="preserve"> </w:t>
      </w:r>
      <w:r>
        <w:rPr>
          <w:b/>
          <w:sz w:val="22"/>
        </w:rPr>
        <w:t>Implement section 78 regulations requiring employers with at least 250 employees to publish:</w:t>
      </w:r>
    </w:p>
    <w:p w14:paraId="025E6C6E" w14:textId="77777777" w:rsidR="00771726" w:rsidRDefault="00771726" w:rsidP="001B08DA">
      <w:pPr>
        <w:spacing w:after="120"/>
        <w:jc w:val="both"/>
      </w:pPr>
    </w:p>
    <w:p w14:paraId="7B7279AB" w14:textId="77777777" w:rsidR="00771726" w:rsidRDefault="00771726" w:rsidP="001B08DA">
      <w:pPr>
        <w:spacing w:after="120"/>
        <w:jc w:val="both"/>
      </w:pPr>
      <w:r>
        <w:rPr>
          <w:b/>
          <w:sz w:val="22"/>
        </w:rPr>
        <w:t>(a) Breakdown by full and par</w:t>
      </w:r>
      <w:r w:rsidR="004F401E">
        <w:rPr>
          <w:b/>
          <w:sz w:val="22"/>
        </w:rPr>
        <w:t>t time or pay grading structure.</w:t>
      </w:r>
    </w:p>
    <w:p w14:paraId="71B2A0C9" w14:textId="77777777" w:rsidR="00771726" w:rsidRDefault="00771726" w:rsidP="001B08DA">
      <w:pPr>
        <w:spacing w:after="120"/>
        <w:jc w:val="both"/>
      </w:pPr>
      <w:r>
        <w:rPr>
          <w:b/>
          <w:sz w:val="22"/>
        </w:rPr>
        <w:t>(b) Breakdown with supporting narrative</w:t>
      </w:r>
      <w:r w:rsidR="004F401E">
        <w:rPr>
          <w:b/>
          <w:sz w:val="22"/>
        </w:rPr>
        <w:t>.</w:t>
      </w:r>
    </w:p>
    <w:p w14:paraId="6CCF461D" w14:textId="77777777" w:rsidR="00771726" w:rsidRDefault="00771726" w:rsidP="001B08DA">
      <w:pPr>
        <w:spacing w:after="120"/>
        <w:jc w:val="both"/>
      </w:pPr>
    </w:p>
    <w:p w14:paraId="66C1B38E" w14:textId="77777777" w:rsidR="00771726" w:rsidRDefault="00771726" w:rsidP="001B08DA">
      <w:pPr>
        <w:spacing w:after="120"/>
        <w:jc w:val="both"/>
      </w:pPr>
      <w:r>
        <w:rPr>
          <w:b/>
          <w:sz w:val="22"/>
        </w:rPr>
        <w:t xml:space="preserve">Employers: </w:t>
      </w:r>
    </w:p>
    <w:p w14:paraId="30123384" w14:textId="77777777" w:rsidR="00771726" w:rsidRDefault="00771726" w:rsidP="001B08DA">
      <w:pPr>
        <w:jc w:val="both"/>
      </w:pPr>
      <w:r>
        <w:rPr>
          <w:sz w:val="22"/>
        </w:rPr>
        <w:t xml:space="preserve">We have approached this in the same way as for Option 1. </w:t>
      </w:r>
    </w:p>
    <w:p w14:paraId="454F1C21" w14:textId="77777777" w:rsidR="00771726" w:rsidRDefault="00771726" w:rsidP="001B08DA">
      <w:pPr>
        <w:jc w:val="both"/>
      </w:pPr>
    </w:p>
    <w:p w14:paraId="06F6FB47" w14:textId="77777777" w:rsidR="00C6332B" w:rsidRPr="003C2DBD" w:rsidRDefault="00C6332B" w:rsidP="00C6332B">
      <w:pPr>
        <w:jc w:val="both"/>
        <w:rPr>
          <w:u w:val="single"/>
        </w:rPr>
      </w:pPr>
      <w:r w:rsidRPr="003C2DBD">
        <w:rPr>
          <w:sz w:val="22"/>
          <w:u w:val="single"/>
        </w:rPr>
        <w:lastRenderedPageBreak/>
        <w:t>Transitional costs - one-off familiarisation costs</w:t>
      </w:r>
    </w:p>
    <w:p w14:paraId="4C128BBD" w14:textId="77777777" w:rsidR="00771726" w:rsidRDefault="00771726" w:rsidP="001B08DA">
      <w:pPr>
        <w:jc w:val="both"/>
      </w:pPr>
    </w:p>
    <w:p w14:paraId="7E87AD4B" w14:textId="77777777" w:rsidR="00771726" w:rsidRDefault="00771726" w:rsidP="001B08DA">
      <w:pPr>
        <w:jc w:val="both"/>
      </w:pPr>
      <w:r>
        <w:rPr>
          <w:sz w:val="22"/>
        </w:rPr>
        <w:t>We have assumed that familiarisation costs will be the same as for option 1.</w:t>
      </w:r>
    </w:p>
    <w:p w14:paraId="36101C12" w14:textId="77777777" w:rsidR="00771726" w:rsidRDefault="00771726" w:rsidP="001B08DA">
      <w:pPr>
        <w:jc w:val="both"/>
      </w:pPr>
    </w:p>
    <w:p w14:paraId="2311A1E7" w14:textId="77777777" w:rsidR="00771726" w:rsidRPr="00C6332B" w:rsidRDefault="00C6332B" w:rsidP="001B08DA">
      <w:pPr>
        <w:jc w:val="both"/>
        <w:rPr>
          <w:u w:val="single"/>
        </w:rPr>
      </w:pPr>
      <w:r w:rsidRPr="003C2DBD">
        <w:rPr>
          <w:sz w:val="22"/>
          <w:u w:val="single"/>
        </w:rPr>
        <w:t xml:space="preserve">Transitional costs - one-off Implementation costs </w:t>
      </w:r>
    </w:p>
    <w:p w14:paraId="767CD9B4" w14:textId="77777777" w:rsidR="00C6332B" w:rsidRDefault="00C6332B" w:rsidP="001B08DA">
      <w:pPr>
        <w:spacing w:after="120"/>
        <w:jc w:val="both"/>
      </w:pPr>
    </w:p>
    <w:p w14:paraId="2EB8D6D6" w14:textId="77777777" w:rsidR="00771726" w:rsidRDefault="00771726" w:rsidP="001B08DA">
      <w:pPr>
        <w:spacing w:after="120"/>
        <w:jc w:val="both"/>
      </w:pPr>
      <w:r>
        <w:rPr>
          <w:sz w:val="22"/>
        </w:rPr>
        <w:t>Conducting analysis of broken down data, for example, by full time and part time, or grading structure</w:t>
      </w:r>
      <w:r w:rsidR="004F401E">
        <w:rPr>
          <w:sz w:val="22"/>
        </w:rPr>
        <w:t>,</w:t>
      </w:r>
      <w:r>
        <w:rPr>
          <w:sz w:val="22"/>
        </w:rPr>
        <w:t xml:space="preserve"> and the publication of that information may involve a one-off cost for employers who have not conducted gender pay analysis in the past. It may also incur costs for those who will be required to conduct analysis in a different way. Those employers may need to implement new processes such as collating relevant data for the different metrics or installing specialist software. There may also be one-off costs for employers who currently conduct some relevant analysis but do not currently publish the results.  </w:t>
      </w:r>
    </w:p>
    <w:p w14:paraId="0416A0BE" w14:textId="77777777" w:rsidR="004F401E" w:rsidRDefault="00771726" w:rsidP="001B08DA">
      <w:pPr>
        <w:spacing w:after="120"/>
        <w:jc w:val="both"/>
        <w:rPr>
          <w:sz w:val="22"/>
        </w:rPr>
      </w:pPr>
      <w:r>
        <w:rPr>
          <w:sz w:val="22"/>
        </w:rPr>
        <w:t xml:space="preserve">We are aware that some employers already conduct analysis using a combination of these broken down datasets and also other datasets, such as starting salaries and ethnicity analysis. Whilst this approach can be considered as best practice examples for addressing wider inequalities, we are not currently seeking to require such detailed analysis within the scope of the new regulations. We have not monetised the cost of employers using a combination of datasets as we will be considering this further during consultation. </w:t>
      </w:r>
    </w:p>
    <w:p w14:paraId="73215A0F" w14:textId="77777777" w:rsidR="00771726" w:rsidRDefault="00771726" w:rsidP="001B08DA">
      <w:pPr>
        <w:spacing w:after="120"/>
        <w:jc w:val="both"/>
      </w:pPr>
      <w:r>
        <w:rPr>
          <w:sz w:val="22"/>
        </w:rPr>
        <w:t xml:space="preserve">This Impact Assessment therefore considers analysis of datasets for full and part time and grade separately. </w:t>
      </w:r>
    </w:p>
    <w:p w14:paraId="6188E4C3" w14:textId="77777777" w:rsidR="00771726" w:rsidRDefault="00771726" w:rsidP="001B08DA">
      <w:pPr>
        <w:jc w:val="both"/>
      </w:pPr>
      <w:r>
        <w:rPr>
          <w:sz w:val="22"/>
        </w:rPr>
        <w:t xml:space="preserve">The 2014 IFF survey, the follow up telephone calls to 11 of those employers and also the TAR employers who have published their gender pay gap, indicated that employers prefer to carry out gender pay analysis in-house. </w:t>
      </w:r>
    </w:p>
    <w:p w14:paraId="5BBCFBA8" w14:textId="77777777" w:rsidR="00771726" w:rsidRDefault="00771726" w:rsidP="001B08DA">
      <w:pPr>
        <w:jc w:val="both"/>
      </w:pPr>
    </w:p>
    <w:p w14:paraId="7C0F4EAB" w14:textId="77777777" w:rsidR="00771726" w:rsidRDefault="00771726" w:rsidP="001B08DA">
      <w:pPr>
        <w:spacing w:after="120"/>
        <w:jc w:val="both"/>
      </w:pPr>
      <w:r>
        <w:rPr>
          <w:sz w:val="22"/>
        </w:rPr>
        <w:t xml:space="preserve">The IFF survey indicated that, of the 41% of employers that currently analyse pay data, they may each collect data of various levels of detail and may therefore face different additional costs depending on what the section 78 regulations require. </w:t>
      </w:r>
    </w:p>
    <w:p w14:paraId="7249F2E0" w14:textId="77777777" w:rsidR="00771726" w:rsidRDefault="00771726" w:rsidP="001B08DA">
      <w:pPr>
        <w:spacing w:after="120"/>
        <w:jc w:val="both"/>
      </w:pPr>
      <w:r>
        <w:rPr>
          <w:sz w:val="22"/>
        </w:rPr>
        <w:t>From our discussions, we have learned that management information systems will already collect</w:t>
      </w:r>
      <w:r w:rsidR="004F401E">
        <w:rPr>
          <w:sz w:val="22"/>
        </w:rPr>
        <w:t xml:space="preserve"> relevant</w:t>
      </w:r>
      <w:r>
        <w:rPr>
          <w:sz w:val="22"/>
        </w:rPr>
        <w:t xml:space="preserve"> data and also distinguish between full time and part time. </w:t>
      </w:r>
    </w:p>
    <w:p w14:paraId="19F765DA" w14:textId="77777777" w:rsidR="00771726" w:rsidRDefault="00771726" w:rsidP="001B08DA">
      <w:pPr>
        <w:spacing w:after="120"/>
        <w:jc w:val="both"/>
      </w:pPr>
      <w:r>
        <w:rPr>
          <w:sz w:val="22"/>
        </w:rPr>
        <w:t xml:space="preserve">If the regulations require break down by full time and part time, we have assumed there will be no additional costs for adapting or installing systems. </w:t>
      </w:r>
    </w:p>
    <w:p w14:paraId="430B1404" w14:textId="77777777" w:rsidR="00771726" w:rsidRDefault="00771726" w:rsidP="001B08DA">
      <w:pPr>
        <w:spacing w:after="120"/>
        <w:jc w:val="both"/>
      </w:pPr>
      <w:r>
        <w:rPr>
          <w:sz w:val="22"/>
        </w:rPr>
        <w:t xml:space="preserve">We have been told that some employers do not have clearly defined pay grade structures. In response to the IFF survey, of the six in ten employers (61%) that report some of this gender information internally, 25% reported on a breakdown of pay gap data by job role or pay grade. </w:t>
      </w:r>
    </w:p>
    <w:p w14:paraId="1B0BC3A8" w14:textId="77777777" w:rsidR="00771726" w:rsidRDefault="00771726" w:rsidP="001B08DA">
      <w:pPr>
        <w:spacing w:after="120"/>
        <w:jc w:val="both"/>
      </w:pPr>
      <w:r>
        <w:rPr>
          <w:sz w:val="22"/>
        </w:rPr>
        <w:t xml:space="preserve">If the regulations require break down by grading structure, we have made the assumption that 25% of employers, will therefore have appropriate systems in place to conduct analysis on this type of break down. These employers will not face the burden of implementing new processes because they have already carried this out in the past. </w:t>
      </w:r>
    </w:p>
    <w:p w14:paraId="2D5DD495" w14:textId="77777777" w:rsidR="00A30C6E" w:rsidRDefault="00771726" w:rsidP="00A30C6E">
      <w:pPr>
        <w:jc w:val="both"/>
      </w:pPr>
      <w:r>
        <w:rPr>
          <w:sz w:val="22"/>
        </w:rPr>
        <w:t>As discussed, costs would vary depending on the nature of the breakdown. We envisage that breakdown by grading structure would be the most challenging for ensuring consistency in reporting across employers. This is because employers tell us that structures vary, that structures could be manipulated to present more favourable results, and some employers have no clearly defined grading structure in place</w:t>
      </w:r>
      <w:r w:rsidRPr="00A913D4">
        <w:rPr>
          <w:sz w:val="22"/>
        </w:rPr>
        <w:t xml:space="preserve">. </w:t>
      </w:r>
      <w:r w:rsidR="00A913D4" w:rsidRPr="00A913D4">
        <w:rPr>
          <w:sz w:val="22"/>
        </w:rPr>
        <w:t xml:space="preserve">However, consistency may not matter as much if </w:t>
      </w:r>
      <w:r w:rsidR="00830D93">
        <w:rPr>
          <w:sz w:val="22"/>
        </w:rPr>
        <w:t>employers</w:t>
      </w:r>
      <w:r w:rsidR="00A913D4" w:rsidRPr="00A913D4">
        <w:rPr>
          <w:sz w:val="22"/>
        </w:rPr>
        <w:t xml:space="preserve"> operate different</w:t>
      </w:r>
      <w:r w:rsidR="00830D93">
        <w:rPr>
          <w:sz w:val="22"/>
        </w:rPr>
        <w:t xml:space="preserve"> grading structures as it may be more useful for each employer to see how the gender p</w:t>
      </w:r>
      <w:r w:rsidR="00A3460C">
        <w:rPr>
          <w:sz w:val="22"/>
        </w:rPr>
        <w:t xml:space="preserve">ay gap varies at each grade level. </w:t>
      </w:r>
      <w:r>
        <w:rPr>
          <w:sz w:val="22"/>
        </w:rPr>
        <w:t xml:space="preserve">There is some indication from the follow up telephone calls that employers with no clearly defined grading structure may seek advice from external consultants on installing new reporting software such as specialist spreadsheets to help with job evaluation for setting out salary </w:t>
      </w:r>
      <w:r w:rsidR="00A30C6E">
        <w:rPr>
          <w:sz w:val="22"/>
        </w:rPr>
        <w:t xml:space="preserve">banding and job specifications. The cost of consultancy, including these spreadsheets were estimated at £2000. The consultancy fee was only quoted by a couple of employers from the follow-up phone calls. This fee may not be necessary for all employers and may vary greatly depending on the software systems employers choose to install and we will research this further for further Impact Assessments. </w:t>
      </w:r>
    </w:p>
    <w:p w14:paraId="03B115B9" w14:textId="77777777" w:rsidR="00771726" w:rsidRDefault="00771726" w:rsidP="00A30C6E">
      <w:pPr>
        <w:jc w:val="both"/>
      </w:pPr>
    </w:p>
    <w:p w14:paraId="3B9B1986" w14:textId="77777777" w:rsidR="00771726" w:rsidRDefault="00771726" w:rsidP="001B08DA">
      <w:pPr>
        <w:jc w:val="both"/>
      </w:pPr>
      <w:r>
        <w:rPr>
          <w:sz w:val="22"/>
        </w:rPr>
        <w:t xml:space="preserve">As with Option 1, we assume that each employer will have to provide some training for their staff in calculating and understanding the drivers behind the break downs. As we had no evidence on the time this could take, further to discussions with the HR department within the Department for Culture Media and Sport we have estimated it would also take one member of HR personnel 1 hour. We will therefore </w:t>
      </w:r>
      <w:r>
        <w:rPr>
          <w:sz w:val="22"/>
        </w:rPr>
        <w:lastRenderedPageBreak/>
        <w:t xml:space="preserve">make the assumption that it will take one hour to train staff but we acknowledge that this is a weak assumption and therefore will be having further discussions with employers to gather more evidence on this. For this option, as the training cost is such a small proportion of the overall implementation cost (due to there being a cost of consultancy), it will have a negligible impact on the net cost to business per year and net present value. For that reason, we have not analysed the impact on halving and doubling the training time like we have with option 1. </w:t>
      </w:r>
    </w:p>
    <w:p w14:paraId="482EEFD0" w14:textId="77777777" w:rsidR="00771726" w:rsidRDefault="00771726" w:rsidP="001B08DA">
      <w:pPr>
        <w:jc w:val="both"/>
      </w:pPr>
    </w:p>
    <w:p w14:paraId="4BB2D900" w14:textId="77777777" w:rsidR="00771726" w:rsidRDefault="00CE0982" w:rsidP="001B08DA">
      <w:pPr>
        <w:jc w:val="both"/>
      </w:pPr>
      <w:r>
        <w:rPr>
          <w:b/>
          <w:sz w:val="22"/>
          <w:u w:val="single"/>
        </w:rPr>
        <w:t>B</w:t>
      </w:r>
      <w:r w:rsidR="00771726">
        <w:rPr>
          <w:b/>
          <w:sz w:val="22"/>
          <w:u w:val="single"/>
        </w:rPr>
        <w:t>reaking down by full/part-time:</w:t>
      </w:r>
    </w:p>
    <w:p w14:paraId="273BB80F" w14:textId="77777777" w:rsidR="00771726" w:rsidRDefault="00771726" w:rsidP="001B08DA">
      <w:pPr>
        <w:jc w:val="both"/>
      </w:pPr>
    </w:p>
    <w:p w14:paraId="3910CFDF" w14:textId="77777777" w:rsidR="00771726" w:rsidRDefault="00771726" w:rsidP="001B08DA">
      <w:pPr>
        <w:jc w:val="both"/>
      </w:pPr>
      <w:r>
        <w:rPr>
          <w:sz w:val="22"/>
        </w:rPr>
        <w:t>Cost per employer = cost of training</w:t>
      </w:r>
    </w:p>
    <w:p w14:paraId="55036F3C" w14:textId="77777777" w:rsidR="00771726" w:rsidRDefault="00771726" w:rsidP="001B08DA">
      <w:pPr>
        <w:jc w:val="both"/>
      </w:pPr>
      <w:r>
        <w:rPr>
          <w:sz w:val="22"/>
        </w:rPr>
        <w:t xml:space="preserve">= Hours taken X hourly rate </w:t>
      </w:r>
    </w:p>
    <w:p w14:paraId="7FCF26BC" w14:textId="77777777" w:rsidR="00771726" w:rsidRDefault="00771726" w:rsidP="001B08DA">
      <w:pPr>
        <w:jc w:val="both"/>
      </w:pPr>
      <w:r>
        <w:rPr>
          <w:sz w:val="22"/>
        </w:rPr>
        <w:t>= 1 X £30.75 = £30.75</w:t>
      </w:r>
    </w:p>
    <w:p w14:paraId="490E079D" w14:textId="77777777" w:rsidR="00771726" w:rsidRDefault="00771726" w:rsidP="001B08DA">
      <w:pPr>
        <w:jc w:val="both"/>
      </w:pPr>
      <w:r>
        <w:rPr>
          <w:sz w:val="22"/>
        </w:rPr>
        <w:t> </w:t>
      </w:r>
    </w:p>
    <w:p w14:paraId="3A46DBB1" w14:textId="77777777" w:rsidR="00771726" w:rsidRPr="00D75E7F" w:rsidRDefault="00771726" w:rsidP="001B08DA">
      <w:pPr>
        <w:jc w:val="both"/>
        <w:rPr>
          <w:rFonts w:cs="Arial"/>
        </w:rPr>
      </w:pPr>
      <w:r w:rsidRPr="00D75E7F">
        <w:rPr>
          <w:rFonts w:cs="Arial"/>
          <w:sz w:val="22"/>
        </w:rPr>
        <w:t>The total cost of implementation is therefore:</w:t>
      </w:r>
    </w:p>
    <w:p w14:paraId="4B66DDFB" w14:textId="77777777" w:rsidR="00771726" w:rsidRPr="00D75E7F" w:rsidRDefault="00771726" w:rsidP="001B08DA">
      <w:pPr>
        <w:jc w:val="both"/>
        <w:rPr>
          <w:rFonts w:cs="Arial"/>
        </w:rPr>
      </w:pPr>
      <w:r w:rsidRPr="00D75E7F">
        <w:rPr>
          <w:rFonts w:cs="Arial"/>
          <w:sz w:val="22"/>
        </w:rPr>
        <w:t> </w:t>
      </w:r>
    </w:p>
    <w:p w14:paraId="445EC75E" w14:textId="77777777" w:rsidR="00771726" w:rsidRPr="00D75E7F" w:rsidRDefault="00771726" w:rsidP="001B08DA">
      <w:pPr>
        <w:jc w:val="both"/>
        <w:rPr>
          <w:rFonts w:cs="Arial"/>
        </w:rPr>
      </w:pPr>
      <w:r w:rsidRPr="00D75E7F">
        <w:rPr>
          <w:rFonts w:cs="Arial"/>
          <w:sz w:val="22"/>
        </w:rPr>
        <w:t>Cost per employer X number of employers = total cost</w:t>
      </w:r>
    </w:p>
    <w:p w14:paraId="03132B2E" w14:textId="77777777" w:rsidR="00771726" w:rsidRPr="00D75E7F" w:rsidRDefault="00771726" w:rsidP="001B08DA">
      <w:pPr>
        <w:jc w:val="both"/>
        <w:rPr>
          <w:rFonts w:cs="Arial"/>
          <w:color w:val="000000"/>
          <w:sz w:val="22"/>
          <w:szCs w:val="22"/>
          <w:lang w:eastAsia="en-GB"/>
        </w:rPr>
      </w:pPr>
      <w:r w:rsidRPr="00D75E7F">
        <w:rPr>
          <w:rFonts w:cs="Arial"/>
          <w:sz w:val="22"/>
        </w:rPr>
        <w:t>£30.75 X 7,855 = £</w:t>
      </w:r>
      <w:r w:rsidRPr="00D75E7F">
        <w:rPr>
          <w:rFonts w:cs="Arial"/>
          <w:color w:val="000000"/>
          <w:sz w:val="22"/>
          <w:szCs w:val="22"/>
          <w:lang w:eastAsia="en-GB"/>
        </w:rPr>
        <w:t>241,501.98</w:t>
      </w:r>
    </w:p>
    <w:p w14:paraId="116C48DF" w14:textId="77777777" w:rsidR="00771726" w:rsidRDefault="00771726" w:rsidP="001B08DA">
      <w:pPr>
        <w:jc w:val="both"/>
      </w:pPr>
    </w:p>
    <w:p w14:paraId="02345F98" w14:textId="77777777" w:rsidR="00771726" w:rsidRDefault="00CE0982" w:rsidP="001B08DA">
      <w:pPr>
        <w:jc w:val="both"/>
      </w:pPr>
      <w:r>
        <w:rPr>
          <w:b/>
          <w:sz w:val="22"/>
          <w:u w:val="single"/>
        </w:rPr>
        <w:t>B</w:t>
      </w:r>
      <w:r w:rsidR="00771726">
        <w:rPr>
          <w:b/>
          <w:sz w:val="22"/>
          <w:u w:val="single"/>
        </w:rPr>
        <w:t>reaking down by pay grading structure:</w:t>
      </w:r>
    </w:p>
    <w:p w14:paraId="2E4406C3" w14:textId="77777777" w:rsidR="00771726" w:rsidRDefault="00771726" w:rsidP="001B08DA">
      <w:pPr>
        <w:jc w:val="both"/>
      </w:pPr>
    </w:p>
    <w:p w14:paraId="02C437B2" w14:textId="77777777" w:rsidR="00771726" w:rsidRDefault="00771726" w:rsidP="001B08DA">
      <w:pPr>
        <w:jc w:val="both"/>
      </w:pPr>
      <w:r>
        <w:rPr>
          <w:sz w:val="22"/>
        </w:rPr>
        <w:t>Cost per employer = cost of training + consultancy fee</w:t>
      </w:r>
    </w:p>
    <w:p w14:paraId="3C994B68" w14:textId="77777777" w:rsidR="00771726" w:rsidRDefault="00771726" w:rsidP="001B08DA">
      <w:pPr>
        <w:jc w:val="both"/>
      </w:pPr>
      <w:r>
        <w:rPr>
          <w:sz w:val="22"/>
        </w:rPr>
        <w:t>= Hours taken X hourly rate + consultancy fee</w:t>
      </w:r>
    </w:p>
    <w:p w14:paraId="5FEEA0E9" w14:textId="77777777" w:rsidR="00771726" w:rsidRDefault="00771726" w:rsidP="001B08DA">
      <w:pPr>
        <w:jc w:val="both"/>
      </w:pPr>
      <w:r>
        <w:rPr>
          <w:sz w:val="22"/>
        </w:rPr>
        <w:t xml:space="preserve">= (1 X £30.75) + £2000 </w:t>
      </w:r>
    </w:p>
    <w:p w14:paraId="609FEA1A" w14:textId="77777777" w:rsidR="00771726" w:rsidRDefault="00771726" w:rsidP="001B08DA">
      <w:pPr>
        <w:jc w:val="both"/>
      </w:pPr>
      <w:r>
        <w:rPr>
          <w:sz w:val="22"/>
        </w:rPr>
        <w:t>= £2030.75</w:t>
      </w:r>
    </w:p>
    <w:p w14:paraId="71E4D104" w14:textId="77777777" w:rsidR="00771726" w:rsidRDefault="00771726" w:rsidP="001B08DA">
      <w:pPr>
        <w:jc w:val="both"/>
      </w:pPr>
    </w:p>
    <w:p w14:paraId="72338408" w14:textId="77777777" w:rsidR="00771726" w:rsidRPr="00212216" w:rsidRDefault="00771726" w:rsidP="001B08DA">
      <w:pPr>
        <w:jc w:val="both"/>
        <w:rPr>
          <w:rFonts w:cs="Arial"/>
        </w:rPr>
      </w:pPr>
      <w:r>
        <w:rPr>
          <w:sz w:val="22"/>
        </w:rPr>
        <w:t xml:space="preserve">The total cost of </w:t>
      </w:r>
      <w:r w:rsidRPr="00212216">
        <w:rPr>
          <w:rFonts w:cs="Arial"/>
          <w:sz w:val="22"/>
        </w:rPr>
        <w:t>implementation is therefore:</w:t>
      </w:r>
    </w:p>
    <w:p w14:paraId="3D5D113B" w14:textId="77777777" w:rsidR="00771726" w:rsidRPr="003126C6" w:rsidRDefault="00771726" w:rsidP="001B08DA">
      <w:pPr>
        <w:jc w:val="both"/>
        <w:rPr>
          <w:rFonts w:cs="Arial"/>
        </w:rPr>
      </w:pPr>
      <w:r w:rsidRPr="00212216">
        <w:rPr>
          <w:rFonts w:cs="Arial"/>
          <w:sz w:val="22"/>
        </w:rPr>
        <w:t> </w:t>
      </w:r>
    </w:p>
    <w:p w14:paraId="366AD4AF" w14:textId="77777777" w:rsidR="00771726" w:rsidRPr="00865CAC" w:rsidRDefault="00771726" w:rsidP="001B08DA">
      <w:pPr>
        <w:jc w:val="both"/>
        <w:rPr>
          <w:rFonts w:cs="Arial"/>
        </w:rPr>
      </w:pPr>
      <w:r w:rsidRPr="00865CAC">
        <w:rPr>
          <w:rFonts w:cs="Arial"/>
          <w:sz w:val="22"/>
        </w:rPr>
        <w:t>Cost per employer X number of employers X percentage of employers affected = total cost</w:t>
      </w:r>
    </w:p>
    <w:p w14:paraId="3B6E05A8" w14:textId="77777777" w:rsidR="00771726" w:rsidRPr="007F6745" w:rsidRDefault="00771726" w:rsidP="001B08DA">
      <w:pPr>
        <w:jc w:val="both"/>
        <w:rPr>
          <w:rFonts w:ascii="Calibri" w:hAnsi="Calibri"/>
          <w:color w:val="FF0000"/>
          <w:sz w:val="22"/>
          <w:szCs w:val="22"/>
          <w:lang w:eastAsia="en-GB"/>
        </w:rPr>
      </w:pPr>
      <w:r w:rsidRPr="00865CAC">
        <w:rPr>
          <w:rFonts w:cs="Arial"/>
          <w:sz w:val="22"/>
        </w:rPr>
        <w:t>£</w:t>
      </w:r>
      <w:r w:rsidRPr="00865CAC">
        <w:rPr>
          <w:sz w:val="22"/>
        </w:rPr>
        <w:t xml:space="preserve">2030.75 </w:t>
      </w:r>
      <w:r w:rsidRPr="00865CAC">
        <w:rPr>
          <w:rFonts w:cs="Arial"/>
          <w:sz w:val="22"/>
        </w:rPr>
        <w:t>X 7,855 X 0.75 = £</w:t>
      </w:r>
      <w:bookmarkStart w:id="44" w:name="h.147n2zr" w:colFirst="0" w:colLast="0"/>
      <w:bookmarkEnd w:id="44"/>
      <w:r w:rsidRPr="00865CAC">
        <w:rPr>
          <w:rFonts w:cs="Arial"/>
          <w:color w:val="000000"/>
          <w:sz w:val="22"/>
          <w:szCs w:val="22"/>
          <w:lang w:eastAsia="en-GB"/>
        </w:rPr>
        <w:t>11,963,626.48</w:t>
      </w:r>
      <w:r w:rsidRPr="00865CAC">
        <w:rPr>
          <w:rFonts w:ascii="Calibri" w:hAnsi="Calibri"/>
          <w:color w:val="000000"/>
          <w:sz w:val="22"/>
          <w:szCs w:val="22"/>
          <w:lang w:eastAsia="en-GB"/>
        </w:rPr>
        <w:t xml:space="preserve"> </w:t>
      </w:r>
    </w:p>
    <w:p w14:paraId="06DBCDD5" w14:textId="77777777" w:rsidR="00771726" w:rsidRPr="002479F6" w:rsidRDefault="00771726" w:rsidP="001B08DA">
      <w:pPr>
        <w:jc w:val="both"/>
        <w:rPr>
          <w:rFonts w:ascii="Calibri" w:hAnsi="Calibri"/>
          <w:color w:val="000000"/>
          <w:sz w:val="22"/>
          <w:szCs w:val="22"/>
          <w:lang w:eastAsia="en-GB"/>
        </w:rPr>
      </w:pPr>
    </w:p>
    <w:p w14:paraId="39742904" w14:textId="77777777" w:rsidR="00771726" w:rsidRDefault="00771726" w:rsidP="001B08DA">
      <w:pPr>
        <w:jc w:val="both"/>
        <w:rPr>
          <w:sz w:val="22"/>
        </w:rPr>
      </w:pPr>
      <w:r>
        <w:rPr>
          <w:sz w:val="22"/>
        </w:rPr>
        <w:t xml:space="preserve">We predict that the best estimate (in summary sheet) at this stage will be the cost of breaking down the data by grading structure with narrative, as from our discussions with employers, this breakdown has been the most helpful in explaining their gender pay gap. To produce a narrative, we anticipate that employers will also look at the proportion of females across grading structures which will be a contributor to their overall gender pay gap (from our discussions, we expect there to be a higher concentration of females in lower paid positions and grades). </w:t>
      </w:r>
    </w:p>
    <w:p w14:paraId="3856409E" w14:textId="77777777" w:rsidR="00771726" w:rsidRDefault="00771726" w:rsidP="001B08DA">
      <w:pPr>
        <w:jc w:val="both"/>
      </w:pPr>
    </w:p>
    <w:p w14:paraId="5FF9AFC9" w14:textId="77777777" w:rsidR="00CE0982" w:rsidRDefault="00CE0982" w:rsidP="001B08DA">
      <w:pPr>
        <w:jc w:val="both"/>
        <w:rPr>
          <w:sz w:val="22"/>
          <w:u w:val="single"/>
        </w:rPr>
      </w:pPr>
    </w:p>
    <w:p w14:paraId="08D98951" w14:textId="77777777" w:rsidR="00CE0982" w:rsidRDefault="00CE0982" w:rsidP="001B08DA">
      <w:pPr>
        <w:jc w:val="both"/>
        <w:rPr>
          <w:sz w:val="22"/>
          <w:u w:val="single"/>
        </w:rPr>
      </w:pPr>
    </w:p>
    <w:p w14:paraId="1C758CFE" w14:textId="77777777" w:rsidR="00756720" w:rsidRDefault="00756720" w:rsidP="001B08DA">
      <w:pPr>
        <w:jc w:val="both"/>
        <w:rPr>
          <w:sz w:val="22"/>
          <w:u w:val="single"/>
        </w:rPr>
      </w:pPr>
    </w:p>
    <w:p w14:paraId="64AEB853" w14:textId="77777777" w:rsidR="00756720" w:rsidRDefault="00756720" w:rsidP="001B08DA">
      <w:pPr>
        <w:jc w:val="both"/>
        <w:rPr>
          <w:sz w:val="22"/>
          <w:u w:val="single"/>
        </w:rPr>
      </w:pPr>
    </w:p>
    <w:p w14:paraId="1DE23001" w14:textId="77777777" w:rsidR="00771726" w:rsidRPr="00CE0982" w:rsidRDefault="00771726" w:rsidP="001B08DA">
      <w:pPr>
        <w:jc w:val="both"/>
      </w:pPr>
      <w:r w:rsidRPr="00CE0982">
        <w:rPr>
          <w:sz w:val="22"/>
          <w:u w:val="single"/>
        </w:rPr>
        <w:t xml:space="preserve">Annually Recurring Costs </w:t>
      </w:r>
    </w:p>
    <w:p w14:paraId="095866C4" w14:textId="77777777" w:rsidR="00771726" w:rsidRDefault="00771726" w:rsidP="001B08DA">
      <w:pPr>
        <w:jc w:val="both"/>
      </w:pPr>
    </w:p>
    <w:p w14:paraId="1F6B1CDC" w14:textId="77777777" w:rsidR="00771726" w:rsidRDefault="00771726" w:rsidP="001B08DA">
      <w:pPr>
        <w:jc w:val="both"/>
      </w:pPr>
      <w:r>
        <w:rPr>
          <w:sz w:val="22"/>
        </w:rPr>
        <w:t xml:space="preserve">We found from the telephone interviews with employers that </w:t>
      </w:r>
      <w:r>
        <w:rPr>
          <w:color w:val="222222"/>
          <w:sz w:val="22"/>
          <w:highlight w:val="white"/>
        </w:rPr>
        <w:t xml:space="preserve">once appropriate systems are configured, it appeared that a report could take from a few hours to a week to produce. Most of the responses about time spent were ‘guesses’ and was not well informed. We assume, using the discussions as a basis, that those employers that quoted a week referred to the </w:t>
      </w:r>
      <w:r>
        <w:rPr>
          <w:color w:val="222222"/>
          <w:sz w:val="22"/>
          <w:highlight w:val="white"/>
          <w:u w:val="single"/>
        </w:rPr>
        <w:t>time period it took</w:t>
      </w:r>
      <w:r>
        <w:rPr>
          <w:color w:val="222222"/>
          <w:sz w:val="22"/>
          <w:highlight w:val="white"/>
        </w:rPr>
        <w:t xml:space="preserve"> and only spent a few hours during the week on calculations. There is also the limitation as some employers may have included the cost of publication in this time estimate as well. Based on our findings from the interviews and discrediting some of the estimates that we felt weren’t very well informed, we assume it will take 3 hours to re-calculate the breakdowns.</w:t>
      </w:r>
    </w:p>
    <w:p w14:paraId="6B3EEB7A" w14:textId="77777777" w:rsidR="00771726" w:rsidRDefault="00771726" w:rsidP="001B08DA">
      <w:pPr>
        <w:jc w:val="both"/>
      </w:pPr>
    </w:p>
    <w:p w14:paraId="67DC9311" w14:textId="77777777" w:rsidR="00771726" w:rsidRDefault="00771726" w:rsidP="001B08DA">
      <w:pPr>
        <w:jc w:val="both"/>
      </w:pPr>
      <w:r>
        <w:rPr>
          <w:sz w:val="22"/>
        </w:rPr>
        <w:t xml:space="preserve">As previously discussed, management information systems will already collect </w:t>
      </w:r>
      <w:r w:rsidR="004F401E">
        <w:rPr>
          <w:sz w:val="22"/>
        </w:rPr>
        <w:t xml:space="preserve">relevant </w:t>
      </w:r>
      <w:r>
        <w:rPr>
          <w:sz w:val="22"/>
        </w:rPr>
        <w:t xml:space="preserve">data and also distinguish between full time and part time. If they can also produce data relating to grading structures, the only annual recurring costs will relate to making calculations and publication. </w:t>
      </w:r>
    </w:p>
    <w:p w14:paraId="1402D4CF" w14:textId="77777777" w:rsidR="00771726" w:rsidRDefault="00771726" w:rsidP="001B08DA">
      <w:pPr>
        <w:jc w:val="both"/>
      </w:pPr>
    </w:p>
    <w:p w14:paraId="4BAAD6AD" w14:textId="77777777" w:rsidR="00771726" w:rsidRDefault="00771726" w:rsidP="001B08DA">
      <w:pPr>
        <w:jc w:val="both"/>
      </w:pPr>
      <w:r>
        <w:rPr>
          <w:sz w:val="22"/>
        </w:rPr>
        <w:t xml:space="preserve">Given the nature of the information required under this option, the time spent making calculations will be greater than in Option 1. </w:t>
      </w:r>
    </w:p>
    <w:p w14:paraId="73FA7DA4" w14:textId="77777777" w:rsidR="00771726" w:rsidRDefault="00771726" w:rsidP="001B08DA">
      <w:pPr>
        <w:jc w:val="both"/>
      </w:pPr>
    </w:p>
    <w:p w14:paraId="6BB2F1C3" w14:textId="77777777" w:rsidR="00771726" w:rsidRDefault="00771726" w:rsidP="001B08DA">
      <w:pPr>
        <w:jc w:val="both"/>
      </w:pPr>
      <w:r>
        <w:rPr>
          <w:sz w:val="22"/>
        </w:rPr>
        <w:t>As with Option 1, we know that 41% of employers have conducted some form of gender pay analysis but have insufficient evidence to indicate the proportion that do this annually. We have therefore, again, not included this in monetised annual recurring costs. However, it is important to note that this means the monetised could be considered an overestimate (the scale of which we are uncertain) as it assumes these costs be additional for all employers affected. For those that do already conduct this analysis annually, only costs relating to publication will be additional annual costs.</w:t>
      </w:r>
    </w:p>
    <w:p w14:paraId="4AF1C957" w14:textId="77777777" w:rsidR="00771726" w:rsidRDefault="00771726" w:rsidP="001B08DA">
      <w:pPr>
        <w:jc w:val="both"/>
      </w:pPr>
    </w:p>
    <w:p w14:paraId="38C5E00E" w14:textId="77777777" w:rsidR="00771726" w:rsidRDefault="00771726" w:rsidP="001B08DA">
      <w:pPr>
        <w:jc w:val="both"/>
      </w:pPr>
      <w:r>
        <w:rPr>
          <w:sz w:val="22"/>
        </w:rPr>
        <w:t xml:space="preserve">Using our existing knowledge base of clearance processes involved in publication combined with our discussions, we have assumed that the clearance process and resource involved for publication will be the same as with Option 1. Additionally, we consider that the greater granularity of the data, and greater volumes of information being published will likely require more time than estimated for Option 1. For publication of a breakdown with no narrative, we have therefore assumed that the lead person on this activity, an HR manager, will spend 6 hours on producing what is needed for publication of a single pay gap figure and 8 hours with a supporting narrative. We have assumed without a breakdown, it will take up 3 hours of a Chief Executive’s time and 3 hours of a lawyer’s time and the time taken for all involved will need to be doubled to produce and agree narrative content and wording. </w:t>
      </w:r>
    </w:p>
    <w:p w14:paraId="1A313D93" w14:textId="77777777" w:rsidR="00771726" w:rsidRDefault="00771726" w:rsidP="001B08DA">
      <w:pPr>
        <w:jc w:val="both"/>
      </w:pPr>
    </w:p>
    <w:p w14:paraId="6E13E4A0" w14:textId="77777777" w:rsidR="00771726" w:rsidRDefault="00771726" w:rsidP="001B08DA">
      <w:pPr>
        <w:jc w:val="both"/>
      </w:pPr>
      <w:r>
        <w:rPr>
          <w:sz w:val="22"/>
        </w:rPr>
        <w:t xml:space="preserve">As before, these assumptions have limitations as this evidence is based on a very small sample of employers. We will seek to improve this as part of the consultation. </w:t>
      </w:r>
    </w:p>
    <w:p w14:paraId="0C36BF1F" w14:textId="77777777" w:rsidR="00771726" w:rsidRDefault="00771726" w:rsidP="001B08DA">
      <w:pPr>
        <w:jc w:val="both"/>
      </w:pPr>
    </w:p>
    <w:p w14:paraId="2B4EB871" w14:textId="77777777" w:rsidR="00771726" w:rsidRDefault="00771726" w:rsidP="001B08DA">
      <w:pPr>
        <w:jc w:val="both"/>
      </w:pPr>
      <w:r>
        <w:rPr>
          <w:sz w:val="22"/>
        </w:rPr>
        <w:t>As with Option 1, we know that 41% of employers have conducted some form of gender pay analysis but have insufficient evidence to indicate the proportion that do this annually. We have therefore not included this in monetised annual recurring costs but it is important to note that this means the monetised could be considered an overestimate (the scale of which we are uncertain) as it assumes these costs be additional for all employers affected. For those that do already conduct this analysis annually, only costs relating to publication will be additional annual costs.</w:t>
      </w:r>
    </w:p>
    <w:p w14:paraId="06069907" w14:textId="77777777" w:rsidR="00771726" w:rsidRDefault="00771726" w:rsidP="001B08DA">
      <w:pPr>
        <w:jc w:val="both"/>
      </w:pPr>
    </w:p>
    <w:p w14:paraId="46294A14" w14:textId="77777777" w:rsidR="00771726" w:rsidRDefault="00771726" w:rsidP="001B08DA">
      <w:pPr>
        <w:jc w:val="both"/>
      </w:pPr>
      <w:r>
        <w:rPr>
          <w:b/>
          <w:sz w:val="22"/>
          <w:u w:val="single"/>
        </w:rPr>
        <w:t>Breakdown of data</w:t>
      </w:r>
      <w:r>
        <w:rPr>
          <w:sz w:val="22"/>
        </w:rPr>
        <w:t>:</w:t>
      </w:r>
    </w:p>
    <w:p w14:paraId="390BC55F" w14:textId="77777777" w:rsidR="00771726" w:rsidRDefault="00771726" w:rsidP="001B08DA">
      <w:pPr>
        <w:jc w:val="both"/>
      </w:pPr>
    </w:p>
    <w:p w14:paraId="139F9AC4" w14:textId="77777777" w:rsidR="00771726" w:rsidRDefault="00771726" w:rsidP="001B08DA">
      <w:pPr>
        <w:jc w:val="both"/>
      </w:pPr>
      <w:r>
        <w:rPr>
          <w:sz w:val="22"/>
        </w:rPr>
        <w:t>Cost per employer:</w:t>
      </w:r>
    </w:p>
    <w:p w14:paraId="6D010F17" w14:textId="77777777" w:rsidR="00771726" w:rsidRDefault="00771726" w:rsidP="001B08DA">
      <w:pPr>
        <w:jc w:val="both"/>
      </w:pPr>
    </w:p>
    <w:p w14:paraId="5CACE6E8" w14:textId="77777777" w:rsidR="00771726" w:rsidRDefault="00771726" w:rsidP="001B08DA">
      <w:pPr>
        <w:jc w:val="both"/>
      </w:pPr>
      <w:r>
        <w:rPr>
          <w:sz w:val="22"/>
        </w:rPr>
        <w:t xml:space="preserve">   (cost of re-calculating annual figure) + (cost of publishing)  </w:t>
      </w:r>
    </w:p>
    <w:p w14:paraId="70232E5E" w14:textId="77777777" w:rsidR="00771726" w:rsidRDefault="00771726" w:rsidP="001B08DA">
      <w:pPr>
        <w:jc w:val="both"/>
      </w:pPr>
      <w:r>
        <w:rPr>
          <w:sz w:val="22"/>
        </w:rPr>
        <w:t>= (cost of HR manager) + (cost of legal professional) + (cost of CEO)</w:t>
      </w:r>
    </w:p>
    <w:p w14:paraId="10B6AF0F" w14:textId="77777777" w:rsidR="00771726" w:rsidRPr="007F1E93" w:rsidRDefault="00771726" w:rsidP="001B08DA">
      <w:pPr>
        <w:jc w:val="both"/>
        <w:rPr>
          <w:rFonts w:cs="Arial"/>
        </w:rPr>
      </w:pPr>
      <w:r>
        <w:rPr>
          <w:sz w:val="22"/>
        </w:rPr>
        <w:t xml:space="preserve">= (hours taken by HR manager X </w:t>
      </w:r>
      <w:r w:rsidRPr="007F1E93">
        <w:rPr>
          <w:rFonts w:cs="Arial"/>
          <w:sz w:val="22"/>
        </w:rPr>
        <w:t>hourly pay) + (hours taken by CEO X hourly pay of) + (hours taken by legal professional X hourly pay)</w:t>
      </w:r>
    </w:p>
    <w:p w14:paraId="4B667CEF" w14:textId="77777777" w:rsidR="00771726" w:rsidRPr="007F1E93" w:rsidRDefault="00771726" w:rsidP="001B08DA">
      <w:pPr>
        <w:jc w:val="both"/>
        <w:rPr>
          <w:rFonts w:cs="Arial"/>
          <w:color w:val="000000"/>
          <w:sz w:val="22"/>
          <w:szCs w:val="22"/>
          <w:lang w:eastAsia="en-GB"/>
        </w:rPr>
      </w:pPr>
      <w:r w:rsidRPr="007F1E93">
        <w:rPr>
          <w:rFonts w:cs="Arial"/>
          <w:sz w:val="22"/>
        </w:rPr>
        <w:t>= (</w:t>
      </w:r>
      <w:r w:rsidRPr="007F1E93">
        <w:rPr>
          <w:rFonts w:cs="Arial"/>
          <w:b/>
          <w:sz w:val="22"/>
        </w:rPr>
        <w:t>9</w:t>
      </w:r>
      <w:r w:rsidRPr="007F1E93">
        <w:rPr>
          <w:rFonts w:cs="Arial"/>
          <w:sz w:val="22"/>
        </w:rPr>
        <w:t xml:space="preserve"> X £30.75) + (</w:t>
      </w:r>
      <w:r w:rsidRPr="007F1E93">
        <w:rPr>
          <w:rFonts w:cs="Arial"/>
          <w:b/>
          <w:sz w:val="22"/>
        </w:rPr>
        <w:t>3</w:t>
      </w:r>
      <w:r w:rsidRPr="007F1E93">
        <w:rPr>
          <w:rFonts w:cs="Arial"/>
          <w:sz w:val="22"/>
        </w:rPr>
        <w:t xml:space="preserve"> X £30.03) + (</w:t>
      </w:r>
      <w:r w:rsidRPr="007F1E93">
        <w:rPr>
          <w:rFonts w:cs="Arial"/>
          <w:b/>
          <w:sz w:val="22"/>
        </w:rPr>
        <w:t>3</w:t>
      </w:r>
      <w:r w:rsidRPr="007F1E93">
        <w:rPr>
          <w:rFonts w:cs="Arial"/>
          <w:sz w:val="22"/>
        </w:rPr>
        <w:t xml:space="preserve"> X 49.83) = £</w:t>
      </w:r>
      <w:r w:rsidRPr="007F1E93">
        <w:rPr>
          <w:rFonts w:cs="Arial"/>
          <w:color w:val="000000"/>
          <w:sz w:val="22"/>
          <w:szCs w:val="22"/>
          <w:lang w:eastAsia="en-GB"/>
        </w:rPr>
        <w:t>516.28</w:t>
      </w:r>
    </w:p>
    <w:p w14:paraId="35D3B64A" w14:textId="77777777" w:rsidR="00771726" w:rsidRDefault="00771726" w:rsidP="001B08DA">
      <w:pPr>
        <w:jc w:val="both"/>
      </w:pPr>
    </w:p>
    <w:p w14:paraId="16050A14" w14:textId="77777777" w:rsidR="00771726" w:rsidRPr="007F1E93" w:rsidRDefault="00771726" w:rsidP="001B08DA">
      <w:pPr>
        <w:jc w:val="both"/>
        <w:rPr>
          <w:rFonts w:cs="Arial"/>
        </w:rPr>
      </w:pPr>
    </w:p>
    <w:p w14:paraId="5A6068E5" w14:textId="77777777" w:rsidR="00771726" w:rsidRPr="007F1E93" w:rsidRDefault="00771726" w:rsidP="001B08DA">
      <w:pPr>
        <w:jc w:val="both"/>
        <w:rPr>
          <w:rFonts w:cs="Arial"/>
        </w:rPr>
      </w:pPr>
      <w:r w:rsidRPr="007F1E93">
        <w:rPr>
          <w:rFonts w:cs="Arial"/>
          <w:sz w:val="22"/>
        </w:rPr>
        <w:t>The total annual recurring cost is therefore:</w:t>
      </w:r>
    </w:p>
    <w:p w14:paraId="3FA50BE8" w14:textId="77777777" w:rsidR="00771726" w:rsidRPr="007F1E93" w:rsidRDefault="00771726" w:rsidP="001B08DA">
      <w:pPr>
        <w:jc w:val="both"/>
        <w:rPr>
          <w:rFonts w:cs="Arial"/>
        </w:rPr>
      </w:pPr>
      <w:r w:rsidRPr="007F1E93">
        <w:rPr>
          <w:rFonts w:cs="Arial"/>
          <w:sz w:val="22"/>
        </w:rPr>
        <w:t> </w:t>
      </w:r>
    </w:p>
    <w:p w14:paraId="39C6A0A5" w14:textId="77777777" w:rsidR="00771726" w:rsidRPr="007F1E93" w:rsidRDefault="00771726" w:rsidP="001B08DA">
      <w:pPr>
        <w:jc w:val="both"/>
        <w:rPr>
          <w:rFonts w:cs="Arial"/>
        </w:rPr>
      </w:pPr>
      <w:r w:rsidRPr="007F1E93">
        <w:rPr>
          <w:rFonts w:cs="Arial"/>
          <w:sz w:val="22"/>
        </w:rPr>
        <w:t>Cost per employer X number of employers= total cost</w:t>
      </w:r>
    </w:p>
    <w:p w14:paraId="140D99DC" w14:textId="77777777" w:rsidR="00771726" w:rsidRPr="007F1E93" w:rsidRDefault="00771726" w:rsidP="001B08DA">
      <w:pPr>
        <w:jc w:val="both"/>
        <w:rPr>
          <w:rFonts w:cs="Arial"/>
          <w:color w:val="000000"/>
          <w:sz w:val="22"/>
          <w:szCs w:val="22"/>
          <w:lang w:eastAsia="en-GB"/>
        </w:rPr>
      </w:pPr>
      <w:r w:rsidRPr="007F1E93">
        <w:rPr>
          <w:rFonts w:cs="Arial"/>
          <w:sz w:val="22"/>
        </w:rPr>
        <w:t>£</w:t>
      </w:r>
      <w:r w:rsidRPr="007F1E93">
        <w:rPr>
          <w:rFonts w:cs="Arial"/>
          <w:color w:val="000000"/>
          <w:sz w:val="22"/>
          <w:szCs w:val="22"/>
          <w:lang w:eastAsia="en-GB"/>
        </w:rPr>
        <w:t xml:space="preserve">516.28 </w:t>
      </w:r>
      <w:r w:rsidRPr="007F1E93">
        <w:rPr>
          <w:rFonts w:cs="Arial"/>
          <w:sz w:val="22"/>
        </w:rPr>
        <w:t>X 7,855 = £</w:t>
      </w:r>
      <w:r w:rsidRPr="007F1E93">
        <w:rPr>
          <w:rFonts w:cs="Arial"/>
          <w:color w:val="000000"/>
          <w:sz w:val="22"/>
          <w:szCs w:val="22"/>
          <w:lang w:eastAsia="en-GB"/>
        </w:rPr>
        <w:t>4,055,395.11</w:t>
      </w:r>
    </w:p>
    <w:p w14:paraId="68D43E13" w14:textId="77777777" w:rsidR="00771726" w:rsidRPr="00212216" w:rsidRDefault="00771726" w:rsidP="001B08DA">
      <w:pPr>
        <w:jc w:val="both"/>
        <w:rPr>
          <w:rFonts w:ascii="Calibri" w:hAnsi="Calibri"/>
          <w:color w:val="000000"/>
          <w:sz w:val="22"/>
          <w:szCs w:val="22"/>
          <w:lang w:eastAsia="en-GB"/>
        </w:rPr>
      </w:pPr>
    </w:p>
    <w:p w14:paraId="315E3EBD" w14:textId="77777777" w:rsidR="00771726" w:rsidRDefault="00771726" w:rsidP="001B08DA">
      <w:pPr>
        <w:jc w:val="both"/>
      </w:pPr>
    </w:p>
    <w:p w14:paraId="0799985A" w14:textId="77777777" w:rsidR="00771726" w:rsidRDefault="00771726" w:rsidP="001B08DA">
      <w:pPr>
        <w:jc w:val="both"/>
      </w:pPr>
      <w:r>
        <w:rPr>
          <w:b/>
          <w:sz w:val="22"/>
          <w:u w:val="single"/>
        </w:rPr>
        <w:t>Breakdown of data with supporting narrative</w:t>
      </w:r>
      <w:r>
        <w:rPr>
          <w:sz w:val="22"/>
        </w:rPr>
        <w:t>:</w:t>
      </w:r>
    </w:p>
    <w:p w14:paraId="2A76774F" w14:textId="77777777" w:rsidR="00771726" w:rsidRDefault="00771726" w:rsidP="001B08DA">
      <w:pPr>
        <w:jc w:val="both"/>
      </w:pPr>
    </w:p>
    <w:p w14:paraId="1DCBD789" w14:textId="77777777" w:rsidR="00771726" w:rsidRPr="00DD7D73" w:rsidRDefault="00771726" w:rsidP="001B08DA">
      <w:pPr>
        <w:jc w:val="both"/>
        <w:rPr>
          <w:rFonts w:cs="Arial"/>
        </w:rPr>
      </w:pPr>
      <w:r>
        <w:rPr>
          <w:sz w:val="22"/>
        </w:rPr>
        <w:t>Cost per employer:</w:t>
      </w:r>
    </w:p>
    <w:p w14:paraId="30186156" w14:textId="77777777" w:rsidR="00771726" w:rsidRPr="00DD7D73" w:rsidRDefault="00771726" w:rsidP="001B08DA">
      <w:pPr>
        <w:jc w:val="both"/>
        <w:rPr>
          <w:rFonts w:cs="Arial"/>
        </w:rPr>
      </w:pPr>
    </w:p>
    <w:p w14:paraId="325AED6B" w14:textId="77777777" w:rsidR="00771726" w:rsidRPr="00DD7D73" w:rsidRDefault="00771726" w:rsidP="001B08DA">
      <w:pPr>
        <w:jc w:val="both"/>
        <w:rPr>
          <w:rFonts w:cs="Arial"/>
          <w:color w:val="000000"/>
          <w:sz w:val="22"/>
          <w:szCs w:val="22"/>
          <w:lang w:eastAsia="en-GB"/>
        </w:rPr>
      </w:pPr>
      <w:r w:rsidRPr="00DD7D73">
        <w:rPr>
          <w:rFonts w:cs="Arial"/>
          <w:sz w:val="22"/>
        </w:rPr>
        <w:t>= (</w:t>
      </w:r>
      <w:r w:rsidRPr="00DD7D73">
        <w:rPr>
          <w:rFonts w:cs="Arial"/>
          <w:b/>
          <w:sz w:val="22"/>
        </w:rPr>
        <w:t>11</w:t>
      </w:r>
      <w:r w:rsidRPr="00DD7D73">
        <w:rPr>
          <w:rFonts w:cs="Arial"/>
          <w:sz w:val="22"/>
        </w:rPr>
        <w:t xml:space="preserve"> X £30.75) + (</w:t>
      </w:r>
      <w:r w:rsidRPr="00DD7D73">
        <w:rPr>
          <w:rFonts w:cs="Arial"/>
          <w:b/>
          <w:sz w:val="22"/>
        </w:rPr>
        <w:t>6</w:t>
      </w:r>
      <w:r w:rsidRPr="00DD7D73">
        <w:rPr>
          <w:rFonts w:cs="Arial"/>
          <w:sz w:val="22"/>
        </w:rPr>
        <w:t xml:space="preserve"> X £30.03) + (</w:t>
      </w:r>
      <w:r w:rsidRPr="00DD7D73">
        <w:rPr>
          <w:rFonts w:cs="Arial"/>
          <w:b/>
          <w:sz w:val="22"/>
        </w:rPr>
        <w:t>6</w:t>
      </w:r>
      <w:r w:rsidRPr="00DD7D73">
        <w:rPr>
          <w:rFonts w:cs="Arial"/>
          <w:sz w:val="22"/>
        </w:rPr>
        <w:t xml:space="preserve"> X 49.83) = £</w:t>
      </w:r>
      <w:r w:rsidRPr="00DD7D73">
        <w:rPr>
          <w:rFonts w:cs="Arial"/>
          <w:color w:val="000000"/>
          <w:sz w:val="22"/>
          <w:szCs w:val="22"/>
          <w:lang w:eastAsia="en-GB"/>
        </w:rPr>
        <w:t>817.35</w:t>
      </w:r>
    </w:p>
    <w:p w14:paraId="6552FF28" w14:textId="77777777" w:rsidR="00771726" w:rsidRPr="00DD7D73" w:rsidRDefault="00771726" w:rsidP="001B08DA">
      <w:pPr>
        <w:jc w:val="both"/>
        <w:rPr>
          <w:rFonts w:cs="Arial"/>
        </w:rPr>
      </w:pPr>
    </w:p>
    <w:p w14:paraId="3C1380D7" w14:textId="77777777" w:rsidR="00771726" w:rsidRPr="00DD7D73" w:rsidRDefault="00771726" w:rsidP="001B08DA">
      <w:pPr>
        <w:jc w:val="both"/>
        <w:rPr>
          <w:rFonts w:cs="Arial"/>
        </w:rPr>
      </w:pPr>
      <w:r w:rsidRPr="00DD7D73">
        <w:rPr>
          <w:rFonts w:cs="Arial"/>
          <w:sz w:val="22"/>
        </w:rPr>
        <w:t>The total annual recurring cost is therefore:</w:t>
      </w:r>
    </w:p>
    <w:p w14:paraId="534293BE" w14:textId="77777777" w:rsidR="00771726" w:rsidRPr="00DD7D73" w:rsidRDefault="00771726" w:rsidP="001B08DA">
      <w:pPr>
        <w:jc w:val="both"/>
        <w:rPr>
          <w:rFonts w:cs="Arial"/>
        </w:rPr>
      </w:pPr>
      <w:r w:rsidRPr="00DD7D73">
        <w:rPr>
          <w:rFonts w:cs="Arial"/>
          <w:sz w:val="22"/>
        </w:rPr>
        <w:t> </w:t>
      </w:r>
    </w:p>
    <w:p w14:paraId="3C2ABF7C" w14:textId="77777777" w:rsidR="00771726" w:rsidRPr="00DD7D73" w:rsidRDefault="00771726" w:rsidP="001B08DA">
      <w:pPr>
        <w:jc w:val="both"/>
        <w:rPr>
          <w:rFonts w:cs="Arial"/>
        </w:rPr>
      </w:pPr>
      <w:r w:rsidRPr="00DD7D73">
        <w:rPr>
          <w:rFonts w:cs="Arial"/>
          <w:sz w:val="22"/>
        </w:rPr>
        <w:t>Cost per employer X number of employers = total cost</w:t>
      </w:r>
    </w:p>
    <w:p w14:paraId="4F00BB42" w14:textId="77777777" w:rsidR="00771726" w:rsidRPr="00DD7D73" w:rsidRDefault="00771726" w:rsidP="001B08DA">
      <w:pPr>
        <w:jc w:val="both"/>
        <w:rPr>
          <w:rFonts w:cs="Arial"/>
          <w:color w:val="000000"/>
          <w:sz w:val="22"/>
          <w:szCs w:val="22"/>
          <w:lang w:eastAsia="en-GB"/>
        </w:rPr>
      </w:pPr>
      <w:r w:rsidRPr="00DD7D73">
        <w:rPr>
          <w:rFonts w:cs="Arial"/>
          <w:sz w:val="22"/>
        </w:rPr>
        <w:t>£817.35 X 7,855 = £</w:t>
      </w:r>
      <w:r w:rsidRPr="00DD7D73">
        <w:rPr>
          <w:rFonts w:cs="Arial"/>
          <w:color w:val="000000"/>
          <w:sz w:val="22"/>
          <w:szCs w:val="22"/>
          <w:lang w:eastAsia="en-GB"/>
        </w:rPr>
        <w:t>6,420,276.40</w:t>
      </w:r>
    </w:p>
    <w:p w14:paraId="6A1CAA31" w14:textId="77777777" w:rsidR="00771726" w:rsidRPr="00212216" w:rsidRDefault="00771726" w:rsidP="001B08DA">
      <w:pPr>
        <w:jc w:val="both"/>
        <w:rPr>
          <w:rFonts w:cs="Arial"/>
          <w:color w:val="000000"/>
          <w:sz w:val="22"/>
          <w:szCs w:val="22"/>
          <w:lang w:eastAsia="en-GB"/>
        </w:rPr>
      </w:pPr>
    </w:p>
    <w:p w14:paraId="68BA041F" w14:textId="77777777" w:rsidR="00771726" w:rsidRDefault="00771726" w:rsidP="001B08DA">
      <w:pPr>
        <w:jc w:val="both"/>
      </w:pPr>
      <w:r>
        <w:rPr>
          <w:sz w:val="22"/>
        </w:rPr>
        <w:t>For the same reason as set out under Option 1, we assume the best estimate will be breakdown of data with supporting narrative.  </w:t>
      </w:r>
    </w:p>
    <w:p w14:paraId="433D0FCC" w14:textId="77777777" w:rsidR="00771726" w:rsidRPr="00223285" w:rsidRDefault="00771726" w:rsidP="001B08DA">
      <w:pPr>
        <w:jc w:val="both"/>
        <w:rPr>
          <w:u w:val="single"/>
        </w:rPr>
      </w:pPr>
    </w:p>
    <w:p w14:paraId="1893EC97" w14:textId="77777777" w:rsidR="00771726" w:rsidRPr="00223285" w:rsidRDefault="00223285" w:rsidP="001B08DA">
      <w:pPr>
        <w:spacing w:after="120"/>
        <w:jc w:val="both"/>
        <w:rPr>
          <w:u w:val="single"/>
        </w:rPr>
      </w:pPr>
      <w:r w:rsidRPr="00223285">
        <w:rPr>
          <w:b/>
          <w:sz w:val="22"/>
          <w:u w:val="single"/>
        </w:rPr>
        <w:t>Non-</w:t>
      </w:r>
      <w:r w:rsidR="00DD13FB">
        <w:rPr>
          <w:b/>
          <w:sz w:val="22"/>
          <w:u w:val="single"/>
        </w:rPr>
        <w:t>M</w:t>
      </w:r>
      <w:r w:rsidRPr="00223285">
        <w:rPr>
          <w:b/>
          <w:sz w:val="22"/>
          <w:u w:val="single"/>
        </w:rPr>
        <w:t>onetised Costs</w:t>
      </w:r>
    </w:p>
    <w:p w14:paraId="7DE80A69" w14:textId="77777777" w:rsidR="00771726" w:rsidRDefault="00771726" w:rsidP="001B08DA">
      <w:pPr>
        <w:spacing w:after="120"/>
        <w:jc w:val="both"/>
      </w:pPr>
      <w:r>
        <w:rPr>
          <w:sz w:val="22"/>
        </w:rPr>
        <w:t xml:space="preserve">As with Option 1, employers’ concerns about the potential exposure to increased legal action will still be relevant under this option. We continue to assume that employers will seek legal advice on risks prior to publication of results and this cost has been absorbed as part of the publication costs. </w:t>
      </w:r>
    </w:p>
    <w:p w14:paraId="49E448C4" w14:textId="77777777" w:rsidR="008A59F1" w:rsidRPr="00AC5FE7" w:rsidRDefault="008A59F1" w:rsidP="008A59F1">
      <w:pPr>
        <w:spacing w:after="120"/>
        <w:jc w:val="both"/>
        <w:rPr>
          <w:u w:val="single"/>
        </w:rPr>
      </w:pPr>
      <w:r w:rsidRPr="00AC5FE7">
        <w:rPr>
          <w:sz w:val="22"/>
          <w:u w:val="single"/>
        </w:rPr>
        <w:t>Costs of Enforcement</w:t>
      </w:r>
    </w:p>
    <w:p w14:paraId="55C87353" w14:textId="77777777" w:rsidR="00771726" w:rsidRDefault="00771726" w:rsidP="001B08DA">
      <w:pPr>
        <w:jc w:val="both"/>
      </w:pPr>
      <w:r>
        <w:rPr>
          <w:sz w:val="22"/>
          <w:highlight w:val="white"/>
        </w:rPr>
        <w:t xml:space="preserve">As with Option 1, the framework enables provision for employers who do not comply with the publication requirements to face civil enforcement procedures or be liable for a criminal offence, punishable by a fine. </w:t>
      </w:r>
    </w:p>
    <w:p w14:paraId="05FD151E" w14:textId="77777777" w:rsidR="008A59F1" w:rsidRDefault="008A59F1" w:rsidP="001B08DA">
      <w:pPr>
        <w:spacing w:after="120"/>
        <w:jc w:val="both"/>
      </w:pPr>
    </w:p>
    <w:p w14:paraId="591FCAD5" w14:textId="77777777" w:rsidR="00771726" w:rsidRDefault="00771726" w:rsidP="001B08DA">
      <w:pPr>
        <w:spacing w:after="120"/>
        <w:jc w:val="both"/>
      </w:pPr>
      <w:r>
        <w:rPr>
          <w:sz w:val="22"/>
        </w:rPr>
        <w:t xml:space="preserve">As part of the consultation we will be exploring enforcement options further with the Equality and Human Rights Commission and seeking views on what would be considered proportionate to ensure compliance. </w:t>
      </w:r>
    </w:p>
    <w:p w14:paraId="33B52A4B" w14:textId="77777777" w:rsidR="00771726" w:rsidRDefault="00771726" w:rsidP="001B08DA">
      <w:pPr>
        <w:spacing w:after="120"/>
        <w:jc w:val="both"/>
      </w:pPr>
      <w:r>
        <w:rPr>
          <w:sz w:val="22"/>
        </w:rPr>
        <w:t xml:space="preserve">On the current assumption that the EHRC will be best placed to monitor and take the lead role in enforcing compliance with these regulations, any additional cost incurred would be on the public sector which we will be able to assess following the consultation. </w:t>
      </w:r>
    </w:p>
    <w:p w14:paraId="48243BB7" w14:textId="77777777" w:rsidR="00771726" w:rsidRPr="00223285" w:rsidRDefault="00223285" w:rsidP="001B08DA">
      <w:pPr>
        <w:spacing w:after="120"/>
        <w:jc w:val="both"/>
        <w:rPr>
          <w:b/>
          <w:u w:val="single"/>
        </w:rPr>
      </w:pPr>
      <w:r w:rsidRPr="00223285">
        <w:rPr>
          <w:b/>
          <w:u w:val="single"/>
        </w:rPr>
        <w:t>Benefits</w:t>
      </w:r>
    </w:p>
    <w:p w14:paraId="3113A55C" w14:textId="77777777" w:rsidR="00771726" w:rsidRDefault="00771726" w:rsidP="001B08DA">
      <w:pPr>
        <w:jc w:val="both"/>
      </w:pPr>
      <w:r>
        <w:rPr>
          <w:sz w:val="22"/>
        </w:rPr>
        <w:t xml:space="preserve">As with Option 1, we expect the same benefits will be realised but the increased information available for employees/those looking for work will enable them to make even better informed choices. </w:t>
      </w:r>
    </w:p>
    <w:p w14:paraId="59BB9802" w14:textId="77777777" w:rsidR="00516ED8" w:rsidRDefault="00516ED8" w:rsidP="001B08DA">
      <w:pPr>
        <w:spacing w:after="120"/>
        <w:jc w:val="both"/>
      </w:pPr>
    </w:p>
    <w:p w14:paraId="0CC3598D" w14:textId="77777777" w:rsidR="00771726" w:rsidRDefault="00771726" w:rsidP="001B08DA">
      <w:pPr>
        <w:spacing w:after="120"/>
        <w:jc w:val="both"/>
      </w:pPr>
      <w:r>
        <w:rPr>
          <w:sz w:val="22"/>
        </w:rPr>
        <w:t xml:space="preserve">Supplementing the breakdown with a narrative provides the same benefits as discussed for option 1. </w:t>
      </w:r>
    </w:p>
    <w:p w14:paraId="3D4F1B03" w14:textId="77777777" w:rsidR="00756720" w:rsidRDefault="00756720" w:rsidP="001B08DA">
      <w:pPr>
        <w:spacing w:after="120"/>
        <w:jc w:val="both"/>
        <w:rPr>
          <w:b/>
        </w:rPr>
      </w:pPr>
    </w:p>
    <w:p w14:paraId="1ECC230D" w14:textId="77777777" w:rsidR="00771726" w:rsidRPr="00BA6F82" w:rsidRDefault="00771726" w:rsidP="001B08DA">
      <w:pPr>
        <w:spacing w:after="120"/>
        <w:jc w:val="both"/>
        <w:rPr>
          <w:b/>
          <w:u w:val="single"/>
        </w:rPr>
      </w:pPr>
      <w:r w:rsidRPr="00BA6F82">
        <w:rPr>
          <w:b/>
          <w:sz w:val="22"/>
          <w:u w:val="single"/>
        </w:rPr>
        <w:t xml:space="preserve">PROPORTIONALITY </w:t>
      </w:r>
    </w:p>
    <w:p w14:paraId="18695ED9" w14:textId="77777777" w:rsidR="00771726" w:rsidRDefault="00771726" w:rsidP="001B08DA">
      <w:pPr>
        <w:spacing w:after="120"/>
        <w:jc w:val="both"/>
      </w:pPr>
      <w:r>
        <w:rPr>
          <w:sz w:val="22"/>
        </w:rPr>
        <w:t xml:space="preserve">We have estimated </w:t>
      </w:r>
      <w:r w:rsidR="00FE5A5F">
        <w:rPr>
          <w:sz w:val="22"/>
        </w:rPr>
        <w:t>a £3m</w:t>
      </w:r>
      <w:r>
        <w:rPr>
          <w:sz w:val="22"/>
        </w:rPr>
        <w:t xml:space="preserve"> net cost to business per year. At this stage, a limited evidence base for monetising costs and benefits is available. In order to gain a better understanding of the costs businesses face, we contacted and interviewed five employers who signed up to the </w:t>
      </w:r>
      <w:r>
        <w:rPr>
          <w:i/>
          <w:sz w:val="22"/>
        </w:rPr>
        <w:t>Think, Act, Report</w:t>
      </w:r>
      <w:r>
        <w:rPr>
          <w:sz w:val="22"/>
        </w:rPr>
        <w:t xml:space="preserve"> initiative and 10 employers previously sampled in the 2014 IFF survey to ask questions that assisted in monetising these costs. Assumptions derived from that evidence have been used to calculate costs in this Impact Assessment. </w:t>
      </w:r>
    </w:p>
    <w:p w14:paraId="1D687C5B" w14:textId="77777777" w:rsidR="00771726" w:rsidRDefault="00771726" w:rsidP="001B08DA">
      <w:pPr>
        <w:spacing w:after="120"/>
        <w:jc w:val="both"/>
      </w:pPr>
      <w:r>
        <w:rPr>
          <w:sz w:val="22"/>
        </w:rPr>
        <w:t>However, there are some limitations to this approach as the evidence is not a good represen</w:t>
      </w:r>
      <w:r w:rsidR="000A1689">
        <w:rPr>
          <w:sz w:val="22"/>
        </w:rPr>
        <w:t>tation of the full range of 7,85</w:t>
      </w:r>
      <w:r>
        <w:rPr>
          <w:sz w:val="22"/>
        </w:rPr>
        <w:t xml:space="preserve">5 employers that fall in scope. These employers will already have a more forward looking approach to the gender pay gap than the average employer. During the consultation period we will be asking employers to predict the cost of analysing and publishing their gender pay gap. It is expected that this will assist in creating a firmer evidence base and enable us to provide a more robust cost benefit analysis for the final stage Impact Assessment.   </w:t>
      </w:r>
    </w:p>
    <w:p w14:paraId="4C777A83" w14:textId="77777777" w:rsidR="00771726" w:rsidRPr="00BA6F82" w:rsidRDefault="00771726" w:rsidP="001B08DA">
      <w:pPr>
        <w:spacing w:after="120"/>
        <w:jc w:val="both"/>
        <w:rPr>
          <w:b/>
          <w:u w:val="single"/>
        </w:rPr>
      </w:pPr>
    </w:p>
    <w:p w14:paraId="1EA3CA0F" w14:textId="77777777" w:rsidR="00756720" w:rsidRDefault="00756720" w:rsidP="001B08DA">
      <w:pPr>
        <w:spacing w:after="120"/>
        <w:jc w:val="both"/>
        <w:rPr>
          <w:b/>
          <w:sz w:val="22"/>
          <w:u w:val="single"/>
        </w:rPr>
      </w:pPr>
    </w:p>
    <w:p w14:paraId="0C8B6C75" w14:textId="77777777" w:rsidR="00771726" w:rsidRPr="00BA6F82" w:rsidRDefault="00771726" w:rsidP="001B08DA">
      <w:pPr>
        <w:spacing w:after="120"/>
        <w:jc w:val="both"/>
        <w:rPr>
          <w:b/>
          <w:u w:val="single"/>
        </w:rPr>
      </w:pPr>
      <w:r w:rsidRPr="00BA6F82">
        <w:rPr>
          <w:b/>
          <w:sz w:val="22"/>
          <w:u w:val="single"/>
        </w:rPr>
        <w:t>RISKS AND ASSUMPTIONS</w:t>
      </w:r>
    </w:p>
    <w:p w14:paraId="5BCC7129" w14:textId="77777777" w:rsidR="00771726" w:rsidRDefault="00771726" w:rsidP="001B08DA">
      <w:pPr>
        <w:spacing w:after="120"/>
        <w:jc w:val="both"/>
      </w:pPr>
      <w:r>
        <w:rPr>
          <w:sz w:val="22"/>
          <w:u w:val="single"/>
        </w:rPr>
        <w:t>Assumptions</w:t>
      </w:r>
    </w:p>
    <w:p w14:paraId="4D1E15A0" w14:textId="77777777" w:rsidR="00771726" w:rsidRDefault="00771726" w:rsidP="001B08DA">
      <w:pPr>
        <w:spacing w:after="120"/>
        <w:jc w:val="both"/>
      </w:pPr>
      <w:r>
        <w:rPr>
          <w:sz w:val="22"/>
        </w:rPr>
        <w:t xml:space="preserve">Assumptions have been made with regard to: </w:t>
      </w:r>
    </w:p>
    <w:p w14:paraId="16306BE7" w14:textId="77777777" w:rsidR="00771726" w:rsidRDefault="00771726" w:rsidP="001B08DA">
      <w:pPr>
        <w:numPr>
          <w:ilvl w:val="0"/>
          <w:numId w:val="25"/>
        </w:numPr>
        <w:ind w:left="426" w:right="113" w:hanging="360"/>
        <w:jc w:val="both"/>
        <w:rPr>
          <w:sz w:val="22"/>
        </w:rPr>
      </w:pPr>
      <w:r>
        <w:rPr>
          <w:sz w:val="22"/>
        </w:rPr>
        <w:t>How long it would take employers to familiarise themselves with their legal obligations;</w:t>
      </w:r>
    </w:p>
    <w:p w14:paraId="5AA8290D" w14:textId="77777777" w:rsidR="00771726" w:rsidRDefault="00771726" w:rsidP="001B08DA">
      <w:pPr>
        <w:numPr>
          <w:ilvl w:val="0"/>
          <w:numId w:val="25"/>
        </w:numPr>
        <w:ind w:left="426" w:right="113" w:hanging="360"/>
        <w:jc w:val="both"/>
        <w:rPr>
          <w:sz w:val="22"/>
        </w:rPr>
      </w:pPr>
      <w:r>
        <w:rPr>
          <w:sz w:val="22"/>
        </w:rPr>
        <w:t>How long it would take employers to train staff</w:t>
      </w:r>
    </w:p>
    <w:p w14:paraId="003BB10B" w14:textId="77777777" w:rsidR="00771726" w:rsidRDefault="00771726" w:rsidP="001B08DA">
      <w:pPr>
        <w:numPr>
          <w:ilvl w:val="0"/>
          <w:numId w:val="25"/>
        </w:numPr>
        <w:ind w:left="426" w:right="113" w:hanging="360"/>
        <w:jc w:val="both"/>
        <w:rPr>
          <w:sz w:val="22"/>
        </w:rPr>
      </w:pPr>
      <w:r>
        <w:rPr>
          <w:sz w:val="22"/>
        </w:rPr>
        <w:t>How long it would take organisations to re-calculate figures annually</w:t>
      </w:r>
    </w:p>
    <w:p w14:paraId="0D0393E5" w14:textId="77777777" w:rsidR="00771726" w:rsidRDefault="00771726" w:rsidP="001B08DA">
      <w:pPr>
        <w:numPr>
          <w:ilvl w:val="0"/>
          <w:numId w:val="25"/>
        </w:numPr>
        <w:ind w:left="426" w:right="113" w:hanging="360"/>
        <w:jc w:val="both"/>
        <w:rPr>
          <w:sz w:val="22"/>
        </w:rPr>
      </w:pPr>
      <w:r>
        <w:rPr>
          <w:sz w:val="22"/>
        </w:rPr>
        <w:t>How long the clearance and publication will take and who will be involved</w:t>
      </w:r>
    </w:p>
    <w:p w14:paraId="5D4D61B4" w14:textId="77777777" w:rsidR="00771726" w:rsidRDefault="00771726" w:rsidP="001B08DA">
      <w:pPr>
        <w:numPr>
          <w:ilvl w:val="0"/>
          <w:numId w:val="25"/>
        </w:numPr>
        <w:ind w:left="426" w:right="113" w:hanging="360"/>
        <w:jc w:val="both"/>
        <w:rPr>
          <w:sz w:val="22"/>
        </w:rPr>
      </w:pPr>
      <w:r>
        <w:rPr>
          <w:sz w:val="22"/>
        </w:rPr>
        <w:t>Haven’t accounted for any cost of actually publishing</w:t>
      </w:r>
    </w:p>
    <w:p w14:paraId="7CAA105E" w14:textId="77777777" w:rsidR="00771726" w:rsidRDefault="00771726" w:rsidP="001B08DA">
      <w:pPr>
        <w:numPr>
          <w:ilvl w:val="0"/>
          <w:numId w:val="25"/>
        </w:numPr>
        <w:ind w:left="426" w:right="113" w:hanging="360"/>
        <w:jc w:val="both"/>
        <w:rPr>
          <w:sz w:val="22"/>
        </w:rPr>
      </w:pPr>
      <w:r>
        <w:rPr>
          <w:sz w:val="22"/>
        </w:rPr>
        <w:t>That publishing will take place annually</w:t>
      </w:r>
    </w:p>
    <w:p w14:paraId="2342DCD6" w14:textId="77777777" w:rsidR="00771726" w:rsidRDefault="00771726" w:rsidP="001B08DA">
      <w:pPr>
        <w:numPr>
          <w:ilvl w:val="0"/>
          <w:numId w:val="25"/>
        </w:numPr>
        <w:ind w:left="426" w:right="113" w:hanging="360"/>
        <w:jc w:val="both"/>
        <w:rPr>
          <w:sz w:val="22"/>
        </w:rPr>
      </w:pPr>
      <w:r>
        <w:rPr>
          <w:sz w:val="22"/>
        </w:rPr>
        <w:t>For option 1 - that only 59% employers who do not analyse gender pay currently will need to spend time training staff</w:t>
      </w:r>
    </w:p>
    <w:p w14:paraId="571ECCCA" w14:textId="77777777" w:rsidR="00771726" w:rsidRPr="00113638" w:rsidRDefault="00771726" w:rsidP="001B08DA">
      <w:pPr>
        <w:numPr>
          <w:ilvl w:val="0"/>
          <w:numId w:val="25"/>
        </w:numPr>
        <w:ind w:left="426" w:right="113" w:hanging="360"/>
        <w:jc w:val="both"/>
        <w:rPr>
          <w:sz w:val="22"/>
        </w:rPr>
      </w:pPr>
      <w:r>
        <w:rPr>
          <w:sz w:val="22"/>
        </w:rPr>
        <w:t>For option 2 - that the cost on consulting on and installing new software for breakdown by grade structure is £2000 and only 75% will face implementation costs under the option to breakdown by pay grade/structure</w:t>
      </w:r>
    </w:p>
    <w:p w14:paraId="53A3536C" w14:textId="77777777" w:rsidR="00BA6F82" w:rsidRDefault="00BA6F82" w:rsidP="001B08DA">
      <w:pPr>
        <w:ind w:right="113"/>
        <w:jc w:val="both"/>
      </w:pPr>
    </w:p>
    <w:p w14:paraId="3BC4419B" w14:textId="77777777" w:rsidR="00771726" w:rsidRDefault="00771726" w:rsidP="001B08DA">
      <w:pPr>
        <w:ind w:right="113"/>
        <w:jc w:val="both"/>
      </w:pPr>
      <w:r>
        <w:rPr>
          <w:sz w:val="22"/>
          <w:u w:val="single"/>
        </w:rPr>
        <w:lastRenderedPageBreak/>
        <w:t>Risks</w:t>
      </w:r>
    </w:p>
    <w:p w14:paraId="7315BC4F" w14:textId="77777777" w:rsidR="00D347E7" w:rsidRDefault="00D347E7" w:rsidP="001B08DA">
      <w:pPr>
        <w:spacing w:after="120"/>
        <w:jc w:val="both"/>
      </w:pPr>
    </w:p>
    <w:p w14:paraId="23E61D36" w14:textId="77777777" w:rsidR="00771726" w:rsidRDefault="00E51AF3" w:rsidP="001B08DA">
      <w:pPr>
        <w:spacing w:after="120"/>
        <w:jc w:val="both"/>
      </w:pPr>
      <w:r>
        <w:rPr>
          <w:sz w:val="22"/>
        </w:rPr>
        <w:t>The</w:t>
      </w:r>
      <w:r w:rsidR="00771726">
        <w:rPr>
          <w:sz w:val="22"/>
        </w:rPr>
        <w:t xml:space="preserve"> IFF survey results indicate that organisations with 1,000+ employees were the most likely to analyse gender pay data (45%) so there may be a higher burden on those organisations with less than a 1000 employees. The survey also found that those in the finance and business services sector were more likely than average to conduct this analysis (47%), while those within distribution, hotels, and restaurants were the least likely (35%) so burden to business may be shared differently across different sectors. </w:t>
      </w:r>
    </w:p>
    <w:p w14:paraId="4DFB537E" w14:textId="77777777" w:rsidR="00771726" w:rsidRDefault="00771726" w:rsidP="001B08DA">
      <w:pPr>
        <w:ind w:right="113"/>
        <w:jc w:val="both"/>
      </w:pPr>
      <w:r>
        <w:rPr>
          <w:sz w:val="22"/>
        </w:rPr>
        <w:t xml:space="preserve">Estimated staff training/clearance for employers could vary greatly as we have assumed that staff will spend some of this time understanding the background behind gender pay. Employers taking a minimalist approach could potentially just spend training time learning how to extract and calculate the data whilst others may spend this time doing this whilst additionally comparing how they are doing against the national average, what are the main factors contributing to their gender pay, how they are doing against their competitors etc. </w:t>
      </w:r>
    </w:p>
    <w:p w14:paraId="3DBEEF6D" w14:textId="77777777" w:rsidR="00771726" w:rsidRDefault="00771726" w:rsidP="001B08DA">
      <w:pPr>
        <w:ind w:right="113"/>
        <w:jc w:val="both"/>
      </w:pPr>
    </w:p>
    <w:p w14:paraId="60F3FC97" w14:textId="77777777" w:rsidR="00771726" w:rsidRDefault="00771726" w:rsidP="001B08DA">
      <w:pPr>
        <w:ind w:right="113"/>
        <w:jc w:val="both"/>
      </w:pPr>
      <w:r>
        <w:rPr>
          <w:sz w:val="22"/>
        </w:rPr>
        <w:t>Those employers with large and complex structures may use a number of HR team members, for example, within each business area or region to be involved in analysis activity. However, given the difficulty with ascertaining all the possible variations of how this may work in practice, we have monetised training costs and annual recurring costs based on one member of HR personnel. This may therefore be an underestimate of costs to employers.</w:t>
      </w:r>
    </w:p>
    <w:p w14:paraId="0B2E1E73" w14:textId="77777777" w:rsidR="00771726" w:rsidRDefault="00771726" w:rsidP="001B08DA">
      <w:pPr>
        <w:ind w:left="113" w:right="113"/>
        <w:jc w:val="both"/>
      </w:pPr>
    </w:p>
    <w:p w14:paraId="0352E358" w14:textId="77777777" w:rsidR="00771726" w:rsidRDefault="00771726" w:rsidP="001B08DA">
      <w:pPr>
        <w:jc w:val="both"/>
      </w:pPr>
      <w:r>
        <w:rPr>
          <w:sz w:val="22"/>
        </w:rPr>
        <w:t xml:space="preserve">We have based our assumption on the clearance process only from discussion with a few large employers who have quite a forward looking approach to the gender pay gap. Some employers may take less time for producing and discussing what is published, particularly in the case of a narrative as this depends on the length and detail employers choose, and may take a minimalist approach to just meet the legislation requirements. Furthermore, there may be occupational differences in how employers approach this and those employers in male-dominated industries may feel that the gender pay gap publication will have very minimal impact on their public image within that industry and therefore won’t believe a reduced gender pay gap will necessarily give them a competitive advantage. </w:t>
      </w:r>
    </w:p>
    <w:p w14:paraId="1DE857F9" w14:textId="77777777" w:rsidR="00771726" w:rsidRDefault="00771726" w:rsidP="001B08DA">
      <w:pPr>
        <w:ind w:left="113" w:right="113"/>
        <w:jc w:val="both"/>
      </w:pPr>
    </w:p>
    <w:p w14:paraId="7583BD5A" w14:textId="77777777" w:rsidR="003F464E" w:rsidRPr="003F464E" w:rsidRDefault="00771726" w:rsidP="001B08DA">
      <w:pPr>
        <w:ind w:right="113"/>
        <w:jc w:val="both"/>
        <w:rPr>
          <w:sz w:val="22"/>
        </w:rPr>
      </w:pPr>
      <w:r>
        <w:rPr>
          <w:sz w:val="22"/>
        </w:rPr>
        <w:t xml:space="preserve">Furthermore, the time taken to re-calculate annual figures can vary depending on the systems employers choose to install. </w:t>
      </w:r>
    </w:p>
    <w:p w14:paraId="5A042AFE" w14:textId="77777777" w:rsidR="00771726" w:rsidRDefault="00771726" w:rsidP="001B08DA">
      <w:pPr>
        <w:spacing w:before="60" w:after="60"/>
        <w:ind w:right="113"/>
        <w:jc w:val="both"/>
        <w:rPr>
          <w:sz w:val="22"/>
        </w:rPr>
      </w:pPr>
    </w:p>
    <w:p w14:paraId="6CF23181" w14:textId="77777777" w:rsidR="00771726" w:rsidRPr="00BA6F82" w:rsidRDefault="00771726" w:rsidP="001B08DA">
      <w:pPr>
        <w:spacing w:before="60" w:after="60"/>
        <w:ind w:right="113"/>
        <w:jc w:val="both"/>
        <w:rPr>
          <w:sz w:val="22"/>
          <w:szCs w:val="22"/>
        </w:rPr>
      </w:pPr>
      <w:r w:rsidRPr="003F464E">
        <w:rPr>
          <w:sz w:val="22"/>
          <w:szCs w:val="22"/>
        </w:rPr>
        <w:t xml:space="preserve">Cost: The consultancy fee was only quoted by a couple of employers from the follow-up phone calls. This fee may not be </w:t>
      </w:r>
      <w:r w:rsidRPr="00BA6F82">
        <w:rPr>
          <w:sz w:val="22"/>
          <w:szCs w:val="22"/>
        </w:rPr>
        <w:t xml:space="preserve">necessary for all employers and may vary greatly depending on the software systems employers choose to install. </w:t>
      </w:r>
      <w:r w:rsidR="003F464E" w:rsidRPr="00BA6F82">
        <w:rPr>
          <w:sz w:val="22"/>
          <w:szCs w:val="22"/>
        </w:rPr>
        <w:t xml:space="preserve">As mentioned before, </w:t>
      </w:r>
      <w:r w:rsidR="003F464E" w:rsidRPr="00BA6F82">
        <w:rPr>
          <w:rFonts w:cs="Arial"/>
          <w:color w:val="222222"/>
          <w:sz w:val="22"/>
          <w:szCs w:val="22"/>
          <w:shd w:val="clear" w:color="auto" w:fill="FFFFFF"/>
        </w:rPr>
        <w:t>Section 78 will only apply to great Britain. The figures for costs in this IA are based on the number of businesses and voluntary organisations in the UK. Costs will therefore be slight overestimates due to the inclusion in costings of organisations in Northern Ireland which will not be affected by the legislation.</w:t>
      </w:r>
    </w:p>
    <w:p w14:paraId="22621CE6" w14:textId="77777777" w:rsidR="00771726" w:rsidRPr="00BA6F82" w:rsidRDefault="00771726" w:rsidP="001B08DA">
      <w:pPr>
        <w:jc w:val="both"/>
        <w:rPr>
          <w:sz w:val="22"/>
        </w:rPr>
      </w:pPr>
    </w:p>
    <w:p w14:paraId="28FB60EC" w14:textId="77777777" w:rsidR="00771726" w:rsidRPr="00BA6F82" w:rsidRDefault="00771726" w:rsidP="001B08DA">
      <w:pPr>
        <w:jc w:val="both"/>
        <w:rPr>
          <w:sz w:val="22"/>
        </w:rPr>
      </w:pPr>
      <w:r w:rsidRPr="00BA6F82">
        <w:rPr>
          <w:sz w:val="22"/>
        </w:rPr>
        <w:t>We are aware of free software available for employers in EU countries that conducts a gender pay analysis for that employer and produces a detailed report which includes a range of breakdowns by different variables. The equal pacE web tool enables companies to check if a gender pay gap exists, identify its potential size and find the causes. The web tool uses a gender variable, the number of standardised years in education, the tenure, the (potential) employment experience, the job complexity and the management level. Users receive information on the proportion of the gender pay gap accounted for by each of these characteristics. Several calculations allow the presentation of comprehensive gender-related data on the link between earnings and employees' characteristics.</w:t>
      </w:r>
      <w:r w:rsidRPr="00BA6F82">
        <w:rPr>
          <w:rFonts w:ascii="Times New Roman" w:hAnsi="Times New Roman"/>
          <w:sz w:val="22"/>
        </w:rPr>
        <w:t xml:space="preserve"> </w:t>
      </w:r>
      <w:r w:rsidRPr="00BA6F82">
        <w:rPr>
          <w:sz w:val="22"/>
        </w:rPr>
        <w:t>By using the equal pacE web tool, companies get information not only on their pay structures, but also on other relevant issues of human resource management. This software was launched in March 2015 and therefore we have very little evidence of its effectiveness to date. There is therefore the possibility that we have overestimated the costs of gender pay analysis which may be reduced if employers choose to use this software. However, we do note that this software appears to require different information, such as educational attainment which may be more challenging for employers to collect and that we consider might not be necessary for the gender pay analysis these regulations are likely to require. We will consider the use of this software further during consultation.</w:t>
      </w:r>
    </w:p>
    <w:p w14:paraId="4EC20E82" w14:textId="77777777" w:rsidR="00771726" w:rsidRPr="00BA6F82" w:rsidRDefault="00771726" w:rsidP="001B08DA">
      <w:pPr>
        <w:jc w:val="both"/>
        <w:rPr>
          <w:sz w:val="22"/>
        </w:rPr>
      </w:pPr>
    </w:p>
    <w:p w14:paraId="05B363BA" w14:textId="77777777" w:rsidR="00771726" w:rsidRPr="00BA6F82" w:rsidRDefault="00771726" w:rsidP="001B08DA">
      <w:pPr>
        <w:jc w:val="both"/>
        <w:rPr>
          <w:b/>
        </w:rPr>
      </w:pPr>
    </w:p>
    <w:p w14:paraId="4E058985" w14:textId="77777777" w:rsidR="00771726" w:rsidRPr="00BA6F82" w:rsidRDefault="00771726" w:rsidP="001B08DA">
      <w:pPr>
        <w:spacing w:after="120"/>
        <w:jc w:val="both"/>
        <w:rPr>
          <w:b/>
          <w:u w:val="single"/>
        </w:rPr>
      </w:pPr>
      <w:r w:rsidRPr="00BA6F82">
        <w:rPr>
          <w:b/>
          <w:sz w:val="22"/>
          <w:u w:val="single"/>
        </w:rPr>
        <w:lastRenderedPageBreak/>
        <w:t xml:space="preserve">WIDER IMPACTS </w:t>
      </w:r>
    </w:p>
    <w:p w14:paraId="4579A0F0" w14:textId="77777777" w:rsidR="00771726" w:rsidRPr="00BA6F82" w:rsidRDefault="00771726" w:rsidP="001B08DA">
      <w:pPr>
        <w:spacing w:after="120"/>
        <w:jc w:val="both"/>
      </w:pPr>
      <w:r w:rsidRPr="00BA6F82">
        <w:rPr>
          <w:sz w:val="22"/>
          <w:u w:val="single"/>
        </w:rPr>
        <w:t xml:space="preserve">Domestic competition </w:t>
      </w:r>
    </w:p>
    <w:p w14:paraId="661FE70F" w14:textId="77777777" w:rsidR="00771726" w:rsidRPr="00BA6F82" w:rsidRDefault="00771726" w:rsidP="001B08DA">
      <w:pPr>
        <w:spacing w:after="120"/>
        <w:jc w:val="both"/>
      </w:pPr>
      <w:r w:rsidRPr="00BA6F82">
        <w:rPr>
          <w:sz w:val="22"/>
        </w:rPr>
        <w:t xml:space="preserve">Employers with fewer than 250 employees may gain a competitive advantage due to not facing the extra costs of GPG analysis. Those who just meet the 250 employee mark, may face a higher cost burden than larger employers. This could potentially lead to an indirect effect where </w:t>
      </w:r>
      <w:r w:rsidRPr="00BA6F82">
        <w:rPr>
          <w:i/>
          <w:sz w:val="22"/>
        </w:rPr>
        <w:t>relatively</w:t>
      </w:r>
      <w:r w:rsidRPr="00BA6F82">
        <w:rPr>
          <w:sz w:val="22"/>
        </w:rPr>
        <w:t xml:space="preserve"> smaller employers try to keep their number of employees below 250 and overwork their current employees. </w:t>
      </w:r>
    </w:p>
    <w:p w14:paraId="70F01C6A" w14:textId="77777777" w:rsidR="00771726" w:rsidRPr="00BA6F82" w:rsidRDefault="00771726" w:rsidP="001B08DA">
      <w:pPr>
        <w:spacing w:after="120"/>
        <w:jc w:val="both"/>
      </w:pPr>
      <w:r w:rsidRPr="00BA6F82">
        <w:rPr>
          <w:sz w:val="22"/>
        </w:rPr>
        <w:t xml:space="preserve">Employers who are on the cusp of 250 employees will face an extra cost of calculating annually whether they fall in scope of the legislation. </w:t>
      </w:r>
    </w:p>
    <w:p w14:paraId="467EF2E9" w14:textId="77777777" w:rsidR="00771726" w:rsidRPr="00BA6F82" w:rsidRDefault="00771726" w:rsidP="001B08DA">
      <w:pPr>
        <w:spacing w:after="120"/>
        <w:jc w:val="both"/>
      </w:pPr>
      <w:r w:rsidRPr="00BA6F82">
        <w:rPr>
          <w:sz w:val="22"/>
          <w:u w:val="single"/>
        </w:rPr>
        <w:t xml:space="preserve">International competition </w:t>
      </w:r>
    </w:p>
    <w:p w14:paraId="0F39BDC6" w14:textId="77777777" w:rsidR="00771726" w:rsidRPr="00BA6F82" w:rsidRDefault="00771726" w:rsidP="001B08DA">
      <w:pPr>
        <w:spacing w:after="120"/>
        <w:jc w:val="both"/>
      </w:pPr>
      <w:r w:rsidRPr="00BA6F82">
        <w:rPr>
          <w:sz w:val="22"/>
        </w:rPr>
        <w:t xml:space="preserve">UK employers may be at a competitive disadvantage internationally compared to employers in other countries who do not face the extra costs of GPG analysis. There are equal pay reporting requirements in other countries in the EU such as Germany and Austria. The effect on UK employers will be dependent on the size of the extra cost, the costs other countries who have reporting requirements face and will vary across markets for different goods and services. </w:t>
      </w:r>
    </w:p>
    <w:p w14:paraId="35320256" w14:textId="77777777" w:rsidR="00771726" w:rsidRPr="00BA6F82" w:rsidRDefault="00771726" w:rsidP="001B08DA">
      <w:pPr>
        <w:spacing w:after="120"/>
        <w:jc w:val="both"/>
      </w:pPr>
    </w:p>
    <w:p w14:paraId="5A9079ED" w14:textId="77777777" w:rsidR="00771726" w:rsidRPr="00BA6F82" w:rsidRDefault="00771726" w:rsidP="001B08DA">
      <w:pPr>
        <w:spacing w:after="120"/>
        <w:jc w:val="both"/>
        <w:rPr>
          <w:b/>
          <w:u w:val="single"/>
        </w:rPr>
      </w:pPr>
      <w:r w:rsidRPr="00BA6F82">
        <w:rPr>
          <w:b/>
          <w:sz w:val="22"/>
          <w:u w:val="single"/>
        </w:rPr>
        <w:t>SMALL AND MICRO BUSINESS ASSESSMENT</w:t>
      </w:r>
    </w:p>
    <w:p w14:paraId="73A26D62" w14:textId="77777777" w:rsidR="00771726" w:rsidRDefault="00771726" w:rsidP="001B08DA">
      <w:pPr>
        <w:spacing w:after="120"/>
        <w:jc w:val="both"/>
      </w:pPr>
      <w:r w:rsidRPr="00BA6F82">
        <w:rPr>
          <w:sz w:val="22"/>
        </w:rPr>
        <w:t xml:space="preserve">There will be no effect on these businesses as the legislation will only affect those businesses with a minimum of 250 employees. </w:t>
      </w:r>
      <w:r w:rsidR="002F217A" w:rsidRPr="00BA6F82">
        <w:rPr>
          <w:sz w:val="22"/>
        </w:rPr>
        <w:t>5,308,640</w:t>
      </w:r>
      <w:r w:rsidRPr="00BA6F82">
        <w:rPr>
          <w:sz w:val="22"/>
        </w:rPr>
        <w:t xml:space="preserve"> number of businesses are not affected by this legislation.</w:t>
      </w:r>
      <w:r>
        <w:rPr>
          <w:sz w:val="22"/>
        </w:rPr>
        <w:t xml:space="preserve"> </w:t>
      </w:r>
    </w:p>
    <w:p w14:paraId="394B4535" w14:textId="77777777" w:rsidR="00771726" w:rsidRDefault="00771726" w:rsidP="00771726"/>
    <w:p w14:paraId="17AADECB" w14:textId="77777777" w:rsidR="001F5DD9" w:rsidRDefault="006B3C41" w:rsidP="00771726">
      <w:pPr>
        <w:spacing w:after="120"/>
      </w:pPr>
      <w:r>
        <w:t xml:space="preserve"> </w:t>
      </w:r>
    </w:p>
    <w:sectPr w:rsidR="001F5DD9" w:rsidSect="00807DB6">
      <w:headerReference w:type="even" r:id="rId13"/>
      <w:footerReference w:type="default" r:id="rId14"/>
      <w:footnotePr>
        <w:numRestart w:val="eachSect"/>
      </w:footnotePr>
      <w:pgSz w:w="11907" w:h="16840" w:code="9"/>
      <w:pgMar w:top="680" w:right="851" w:bottom="680" w:left="851" w:header="284" w:footer="28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848B6" w14:textId="77777777" w:rsidR="00714FF9" w:rsidRDefault="00714FF9">
      <w:r>
        <w:separator/>
      </w:r>
    </w:p>
  </w:endnote>
  <w:endnote w:type="continuationSeparator" w:id="0">
    <w:p w14:paraId="2FC41449" w14:textId="77777777" w:rsidR="00714FF9" w:rsidRDefault="0071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F4EFE" w14:textId="77777777" w:rsidR="00200023" w:rsidRPr="00EB43FD" w:rsidRDefault="00200023" w:rsidP="005A3880">
    <w:pPr>
      <w:pStyle w:val="Footer"/>
    </w:pPr>
    <w:r w:rsidRPr="00EB43FD">
      <w:rPr>
        <w:rStyle w:val="PageNumber"/>
        <w:rFonts w:eastAsia="SimSun"/>
        <w:b w:val="0"/>
        <w:szCs w:val="18"/>
      </w:rPr>
      <w:fldChar w:fldCharType="begin"/>
    </w:r>
    <w:r w:rsidRPr="00EB43FD">
      <w:rPr>
        <w:rStyle w:val="PageNumber"/>
        <w:rFonts w:eastAsia="SimSun"/>
        <w:b w:val="0"/>
        <w:szCs w:val="18"/>
      </w:rPr>
      <w:instrText xml:space="preserve"> PAGE </w:instrText>
    </w:r>
    <w:r w:rsidRPr="00EB43FD">
      <w:rPr>
        <w:rStyle w:val="PageNumber"/>
        <w:rFonts w:eastAsia="SimSun"/>
        <w:b w:val="0"/>
        <w:szCs w:val="18"/>
      </w:rPr>
      <w:fldChar w:fldCharType="separate"/>
    </w:r>
    <w:r w:rsidR="0056694E">
      <w:rPr>
        <w:rStyle w:val="PageNumber"/>
        <w:rFonts w:eastAsia="SimSun"/>
        <w:b w:val="0"/>
        <w:noProof/>
        <w:szCs w:val="18"/>
      </w:rPr>
      <w:t>1</w:t>
    </w:r>
    <w:r w:rsidRPr="00EB43FD">
      <w:rPr>
        <w:rStyle w:val="PageNumber"/>
        <w:rFonts w:eastAsia="SimSun"/>
        <w:b w:val="0"/>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F6194" w14:textId="77777777" w:rsidR="00200023" w:rsidRPr="00EB43FD" w:rsidRDefault="00200023"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56694E">
      <w:rPr>
        <w:rStyle w:val="PageNumber"/>
        <w:b w:val="0"/>
        <w:noProof/>
        <w:szCs w:val="18"/>
      </w:rPr>
      <w:t>20</w:t>
    </w:r>
    <w:r w:rsidRPr="00EB43FD">
      <w:rPr>
        <w:rStyle w:val="PageNumber"/>
        <w:b w:val="0"/>
        <w:szCs w:val="18"/>
      </w:rPr>
      <w:fldChar w:fldCharType="end"/>
    </w:r>
  </w:p>
  <w:p w14:paraId="0FFF3612" w14:textId="77777777" w:rsidR="00200023" w:rsidRDefault="00200023"/>
  <w:p w14:paraId="4CCA1912" w14:textId="77777777" w:rsidR="00200023" w:rsidRDefault="002000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A2974" w14:textId="77777777" w:rsidR="00714FF9" w:rsidRDefault="00714FF9">
      <w:r>
        <w:separator/>
      </w:r>
    </w:p>
  </w:footnote>
  <w:footnote w:type="continuationSeparator" w:id="0">
    <w:p w14:paraId="1041EEBB" w14:textId="77777777" w:rsidR="00714FF9" w:rsidRDefault="00714FF9">
      <w:r>
        <w:continuationSeparator/>
      </w:r>
    </w:p>
  </w:footnote>
  <w:footnote w:id="1">
    <w:p w14:paraId="475278A8" w14:textId="77777777" w:rsidR="007A1020" w:rsidRDefault="007A1020" w:rsidP="007A1020">
      <w:pPr>
        <w:pStyle w:val="FootnoteText"/>
      </w:pPr>
      <w:r>
        <w:rPr>
          <w:rStyle w:val="FootnoteReference"/>
        </w:rPr>
        <w:footnoteRef/>
      </w:r>
      <w:r>
        <w:t xml:space="preserve"> The Times: July 14 2015 ‘Women’s raw deal on pay has to end now’</w:t>
      </w:r>
    </w:p>
  </w:footnote>
  <w:footnote w:id="2">
    <w:p w14:paraId="41EBA70A" w14:textId="77777777" w:rsidR="00200023" w:rsidRPr="00E05BCC" w:rsidRDefault="00200023" w:rsidP="00771726">
      <w:pPr>
        <w:rPr>
          <w:sz w:val="18"/>
          <w:szCs w:val="18"/>
        </w:rPr>
      </w:pPr>
      <w:r w:rsidRPr="00F51CBE">
        <w:rPr>
          <w:sz w:val="16"/>
          <w:szCs w:val="16"/>
          <w:vertAlign w:val="superscript"/>
        </w:rPr>
        <w:footnoteRef/>
      </w:r>
      <w:r w:rsidRPr="00F51CBE">
        <w:rPr>
          <w:sz w:val="16"/>
          <w:szCs w:val="16"/>
        </w:rPr>
        <w:t xml:space="preserve"> </w:t>
      </w:r>
      <w:r w:rsidRPr="00E05BCC">
        <w:rPr>
          <w:sz w:val="18"/>
          <w:szCs w:val="18"/>
        </w:rPr>
        <w:t>Secondary Analysis of the Gender Pay Gap, March 2014 https://www.gov.uk/government/uploads/system/uploads/attachment_data/file/295833/Analysis_of_the_Gender_Pay_Gap.pdf</w:t>
      </w:r>
    </w:p>
  </w:footnote>
  <w:footnote w:id="3">
    <w:p w14:paraId="0873F497" w14:textId="77777777" w:rsidR="00200023" w:rsidRDefault="00200023" w:rsidP="00860055">
      <w:pPr>
        <w:pStyle w:val="FootnoteText"/>
      </w:pPr>
      <w:r>
        <w:rPr>
          <w:rStyle w:val="FootnoteReference"/>
        </w:rPr>
        <w:footnoteRef/>
      </w:r>
      <w:r w:rsidRPr="00486AC0">
        <w:t>http://webarchive.nationalarchives.gov.uk/20100505211508/http:/www.equalities.gov.uk/pdf/GPAYGAP_gpg_summary_FINAL.pdf</w:t>
      </w:r>
    </w:p>
  </w:footnote>
  <w:footnote w:id="4">
    <w:p w14:paraId="637B030B" w14:textId="77777777" w:rsidR="00200023" w:rsidRDefault="00200023" w:rsidP="00771726">
      <w:pPr>
        <w:pStyle w:val="FootnoteText"/>
      </w:pPr>
      <w:r>
        <w:rPr>
          <w:rStyle w:val="FootnoteReference"/>
        </w:rPr>
        <w:footnoteRef/>
      </w:r>
      <w:r>
        <w:t xml:space="preserve"> </w:t>
      </w:r>
      <w:hyperlink r:id="rId1" w:history="1">
        <w:r>
          <w:rPr>
            <w:rStyle w:val="Hyperlink"/>
          </w:rPr>
          <w:t>https://www.gov.uk/government/statistics/business-population-estimates-2014</w:t>
        </w:r>
      </w:hyperlink>
    </w:p>
  </w:footnote>
  <w:footnote w:id="5">
    <w:p w14:paraId="0130B410" w14:textId="77777777" w:rsidR="00200023" w:rsidRDefault="00200023" w:rsidP="00A30C6E">
      <w:pPr>
        <w:pStyle w:val="FootnoteText"/>
      </w:pPr>
      <w:r>
        <w:rPr>
          <w:rStyle w:val="FootnoteReference"/>
        </w:rPr>
        <w:footnoteRef/>
      </w:r>
      <w:r>
        <w:t xml:space="preserve"> T</w:t>
      </w:r>
      <w:r>
        <w:rPr>
          <w:rFonts w:cs="Arial"/>
          <w:color w:val="222222"/>
          <w:sz w:val="19"/>
          <w:szCs w:val="19"/>
          <w:shd w:val="clear" w:color="auto" w:fill="FFFFFF"/>
        </w:rPr>
        <w:t>his is due to lack of granularity in data to show number of businesses broken down by sector and country</w:t>
      </w:r>
    </w:p>
  </w:footnote>
  <w:footnote w:id="6">
    <w:p w14:paraId="44786EFA" w14:textId="77777777" w:rsidR="00200023" w:rsidRDefault="00200023" w:rsidP="006E6112">
      <w:pPr>
        <w:pStyle w:val="FootnoteText"/>
      </w:pPr>
      <w:r>
        <w:rPr>
          <w:rStyle w:val="FootnoteReference"/>
        </w:rPr>
        <w:footnoteRef/>
      </w:r>
      <w:r>
        <w:t xml:space="preserve"> Discussion of the factors that may cause the gender pay gap are included in the background section above</w:t>
      </w:r>
    </w:p>
  </w:footnote>
  <w:footnote w:id="7">
    <w:p w14:paraId="5B464A41" w14:textId="77777777" w:rsidR="00200023" w:rsidRDefault="00200023" w:rsidP="00771726">
      <w:r>
        <w:rPr>
          <w:vertAlign w:val="superscript"/>
        </w:rPr>
        <w:footnoteRef/>
      </w:r>
      <w:r>
        <w:rPr>
          <w:sz w:val="16"/>
        </w:rPr>
        <w:t xml:space="preserve"> </w:t>
      </w:r>
      <w:r w:rsidRPr="004B7D39">
        <w:rPr>
          <w:sz w:val="16"/>
        </w:rPr>
        <w:t>http://www.raeng.org.uk/publications/other/the-business-case-for-equality-and-diversity</w:t>
      </w:r>
    </w:p>
  </w:footnote>
  <w:footnote w:id="8">
    <w:p w14:paraId="329B9853" w14:textId="77777777" w:rsidR="00200023" w:rsidRPr="00743CB1" w:rsidRDefault="00200023" w:rsidP="00771726">
      <w:pPr>
        <w:pStyle w:val="FootnoteText"/>
        <w:rPr>
          <w:sz w:val="18"/>
          <w:szCs w:val="18"/>
        </w:rPr>
      </w:pPr>
      <w:r w:rsidRPr="00743CB1">
        <w:rPr>
          <w:rStyle w:val="FootnoteReference"/>
          <w:sz w:val="18"/>
          <w:szCs w:val="18"/>
        </w:rPr>
        <w:footnoteRef/>
      </w:r>
      <w:r w:rsidRPr="00743CB1">
        <w:rPr>
          <w:sz w:val="18"/>
          <w:szCs w:val="18"/>
        </w:rPr>
        <w:t xml:space="preserve"> </w:t>
      </w:r>
      <w:hyperlink r:id="rId2" w:history="1">
        <w:r w:rsidRPr="00743CB1">
          <w:rPr>
            <w:rStyle w:val="Hyperlink"/>
            <w:sz w:val="18"/>
            <w:szCs w:val="18"/>
          </w:rPr>
          <w:t>http://www.oecd.org/gov/regulatory-policy/34227698.pdf</w:t>
        </w:r>
      </w:hyperlink>
      <w:r w:rsidRPr="00743CB1">
        <w:rPr>
          <w:sz w:val="18"/>
          <w:szCs w:val="18"/>
        </w:rPr>
        <w:t xml:space="preserve"> page 19</w:t>
      </w:r>
    </w:p>
  </w:footnote>
  <w:footnote w:id="9">
    <w:p w14:paraId="162F7388" w14:textId="77777777" w:rsidR="00200023" w:rsidRPr="00E46D0D" w:rsidRDefault="00200023" w:rsidP="00771726">
      <w:pPr>
        <w:rPr>
          <w:sz w:val="18"/>
          <w:szCs w:val="18"/>
        </w:rPr>
      </w:pPr>
      <w:r w:rsidRPr="00E46D0D">
        <w:rPr>
          <w:sz w:val="18"/>
          <w:szCs w:val="18"/>
          <w:vertAlign w:val="superscript"/>
        </w:rPr>
        <w:footnoteRef/>
      </w:r>
      <w:r w:rsidRPr="00E46D0D">
        <w:rPr>
          <w:sz w:val="18"/>
          <w:szCs w:val="18"/>
        </w:rPr>
        <w:t xml:space="preserve"> Gender equality, economic growth and employment, Åsa Löfström, Department of Economics, Umeå University, 2009</w:t>
      </w:r>
    </w:p>
  </w:footnote>
  <w:footnote w:id="10">
    <w:p w14:paraId="356FF7E8" w14:textId="77777777" w:rsidR="00200023" w:rsidRDefault="00200023" w:rsidP="00771726">
      <w:r>
        <w:rPr>
          <w:vertAlign w:val="superscript"/>
        </w:rPr>
        <w:footnoteRef/>
      </w:r>
      <w:r>
        <w:rPr>
          <w:sz w:val="16"/>
        </w:rPr>
        <w:t xml:space="preserve"> </w:t>
      </w:r>
      <w:r>
        <w:rPr>
          <w:i/>
          <w:sz w:val="18"/>
        </w:rPr>
        <w:t xml:space="preserve">ASHE 2014 Table 6, ONS, November 2014 Lifetime-equivalent earnings are calculated from </w:t>
      </w:r>
      <w:r>
        <w:rPr>
          <w:i/>
          <w:sz w:val="18"/>
          <w:u w:val="single"/>
        </w:rPr>
        <w:t>median</w:t>
      </w:r>
      <w:r>
        <w:rPr>
          <w:i/>
          <w:sz w:val="18"/>
        </w:rPr>
        <w:t xml:space="preserve"> gross annual full-time earnings at each year of age from 18-59 using 2014 data disaggregated by age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DDFC3" w14:textId="77777777" w:rsidR="00200023" w:rsidRDefault="00200023">
    <w:pPr>
      <w:pStyle w:val="Header"/>
    </w:pPr>
    <w:r>
      <w:fldChar w:fldCharType="begin"/>
    </w:r>
    <w:r>
      <w:instrText xml:space="preserve"> DOCPROPERTY  Classification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10BE4" w14:textId="77777777" w:rsidR="00200023" w:rsidRDefault="00200023"/>
  <w:p w14:paraId="2261EC11" w14:textId="77777777" w:rsidR="00200023" w:rsidRDefault="00200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02EA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38C8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42A8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A4D5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BC2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7E6D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9C09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E07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587A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443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131D5"/>
    <w:multiLevelType w:val="multilevel"/>
    <w:tmpl w:val="7E8654E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6FC09D8"/>
    <w:multiLevelType w:val="multilevel"/>
    <w:tmpl w:val="AEFEDEF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1A2943E7"/>
    <w:multiLevelType w:val="multilevel"/>
    <w:tmpl w:val="3604C19E"/>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4102406"/>
    <w:multiLevelType w:val="hybridMultilevel"/>
    <w:tmpl w:val="686ED6E6"/>
    <w:lvl w:ilvl="0" w:tplc="485A25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603303"/>
    <w:multiLevelType w:val="multilevel"/>
    <w:tmpl w:val="87AEB9D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3777104D"/>
    <w:multiLevelType w:val="multilevel"/>
    <w:tmpl w:val="02B2DD8E"/>
    <w:lvl w:ilvl="0">
      <w:start w:val="1"/>
      <w:numFmt w:val="decimal"/>
      <w:suff w:val="nothing"/>
      <w:lvlText w:val="%1"/>
      <w:lvlJc w:val="left"/>
      <w:pPr>
        <w:ind w:left="0" w:firstLine="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15:restartNumberingAfterBreak="0">
    <w:nsid w:val="37D94CA0"/>
    <w:multiLevelType w:val="hybridMultilevel"/>
    <w:tmpl w:val="960A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63EEB"/>
    <w:multiLevelType w:val="hybridMultilevel"/>
    <w:tmpl w:val="C236487A"/>
    <w:lvl w:ilvl="0" w:tplc="5BA41F50">
      <w:start w:val="78"/>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9248F"/>
    <w:multiLevelType w:val="multilevel"/>
    <w:tmpl w:val="53986930"/>
    <w:lvl w:ilvl="0">
      <w:start w:val="1"/>
      <w:numFmt w:val="bullet"/>
      <w:lvlText w:val="●"/>
      <w:lvlJc w:val="left"/>
      <w:pPr>
        <w:ind w:left="915" w:firstLine="555"/>
      </w:pPr>
      <w:rPr>
        <w:rFonts w:ascii="Arial" w:eastAsia="Arial" w:hAnsi="Arial" w:cs="Arial"/>
      </w:rPr>
    </w:lvl>
    <w:lvl w:ilvl="1">
      <w:start w:val="1"/>
      <w:numFmt w:val="bullet"/>
      <w:lvlText w:val="o"/>
      <w:lvlJc w:val="left"/>
      <w:pPr>
        <w:ind w:left="1635" w:firstLine="1275"/>
      </w:pPr>
      <w:rPr>
        <w:rFonts w:ascii="Arial" w:eastAsia="Arial" w:hAnsi="Arial" w:cs="Arial"/>
      </w:rPr>
    </w:lvl>
    <w:lvl w:ilvl="2">
      <w:start w:val="1"/>
      <w:numFmt w:val="bullet"/>
      <w:lvlText w:val="▪"/>
      <w:lvlJc w:val="left"/>
      <w:pPr>
        <w:ind w:left="2355" w:firstLine="1995"/>
      </w:pPr>
      <w:rPr>
        <w:rFonts w:ascii="Arial" w:eastAsia="Arial" w:hAnsi="Arial" w:cs="Arial"/>
      </w:rPr>
    </w:lvl>
    <w:lvl w:ilvl="3">
      <w:start w:val="1"/>
      <w:numFmt w:val="bullet"/>
      <w:lvlText w:val="●"/>
      <w:lvlJc w:val="left"/>
      <w:pPr>
        <w:ind w:left="3075" w:firstLine="2715"/>
      </w:pPr>
      <w:rPr>
        <w:rFonts w:ascii="Arial" w:eastAsia="Arial" w:hAnsi="Arial" w:cs="Arial"/>
      </w:rPr>
    </w:lvl>
    <w:lvl w:ilvl="4">
      <w:start w:val="1"/>
      <w:numFmt w:val="bullet"/>
      <w:lvlText w:val="o"/>
      <w:lvlJc w:val="left"/>
      <w:pPr>
        <w:ind w:left="3795" w:firstLine="3435"/>
      </w:pPr>
      <w:rPr>
        <w:rFonts w:ascii="Arial" w:eastAsia="Arial" w:hAnsi="Arial" w:cs="Arial"/>
      </w:rPr>
    </w:lvl>
    <w:lvl w:ilvl="5">
      <w:start w:val="1"/>
      <w:numFmt w:val="bullet"/>
      <w:lvlText w:val="▪"/>
      <w:lvlJc w:val="left"/>
      <w:pPr>
        <w:ind w:left="4515" w:firstLine="4155"/>
      </w:pPr>
      <w:rPr>
        <w:rFonts w:ascii="Arial" w:eastAsia="Arial" w:hAnsi="Arial" w:cs="Arial"/>
      </w:rPr>
    </w:lvl>
    <w:lvl w:ilvl="6">
      <w:start w:val="1"/>
      <w:numFmt w:val="bullet"/>
      <w:lvlText w:val="●"/>
      <w:lvlJc w:val="left"/>
      <w:pPr>
        <w:ind w:left="5235" w:firstLine="4875"/>
      </w:pPr>
      <w:rPr>
        <w:rFonts w:ascii="Arial" w:eastAsia="Arial" w:hAnsi="Arial" w:cs="Arial"/>
      </w:rPr>
    </w:lvl>
    <w:lvl w:ilvl="7">
      <w:start w:val="1"/>
      <w:numFmt w:val="bullet"/>
      <w:lvlText w:val="o"/>
      <w:lvlJc w:val="left"/>
      <w:pPr>
        <w:ind w:left="5955" w:firstLine="5595"/>
      </w:pPr>
      <w:rPr>
        <w:rFonts w:ascii="Arial" w:eastAsia="Arial" w:hAnsi="Arial" w:cs="Arial"/>
      </w:rPr>
    </w:lvl>
    <w:lvl w:ilvl="8">
      <w:start w:val="1"/>
      <w:numFmt w:val="bullet"/>
      <w:lvlText w:val="▪"/>
      <w:lvlJc w:val="left"/>
      <w:pPr>
        <w:ind w:left="6675" w:firstLine="6315"/>
      </w:pPr>
      <w:rPr>
        <w:rFonts w:ascii="Arial" w:eastAsia="Arial" w:hAnsi="Arial" w:cs="Arial"/>
      </w:rPr>
    </w:lvl>
  </w:abstractNum>
  <w:abstractNum w:abstractNumId="20" w15:restartNumberingAfterBreak="0">
    <w:nsid w:val="718851C2"/>
    <w:multiLevelType w:val="multilevel"/>
    <w:tmpl w:val="3626DD9A"/>
    <w:lvl w:ilvl="0">
      <w:start w:val="1"/>
      <w:numFmt w:val="decimal"/>
      <w:pStyle w:val="IARefNumber"/>
      <w:suff w:val="nothing"/>
      <w:lvlText w:val="%1"/>
      <w:lvlJc w:val="left"/>
      <w:pPr>
        <w:ind w:left="0" w:firstLine="113"/>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1" w15:restartNumberingAfterBreak="0">
    <w:nsid w:val="7B8456E6"/>
    <w:multiLevelType w:val="multilevel"/>
    <w:tmpl w:val="F9F6D434"/>
    <w:lvl w:ilvl="0">
      <w:start w:val="1"/>
      <w:numFmt w:val="bullet"/>
      <w:lvlText w:val="●"/>
      <w:lvlJc w:val="left"/>
      <w:pPr>
        <w:ind w:left="915" w:firstLine="555"/>
      </w:pPr>
      <w:rPr>
        <w:rFonts w:ascii="Arial" w:eastAsia="Arial" w:hAnsi="Arial" w:cs="Arial"/>
      </w:rPr>
    </w:lvl>
    <w:lvl w:ilvl="1">
      <w:start w:val="1"/>
      <w:numFmt w:val="bullet"/>
      <w:lvlText w:val="o"/>
      <w:lvlJc w:val="left"/>
      <w:pPr>
        <w:ind w:left="1635" w:firstLine="1275"/>
      </w:pPr>
      <w:rPr>
        <w:rFonts w:ascii="Arial" w:eastAsia="Arial" w:hAnsi="Arial" w:cs="Arial"/>
      </w:rPr>
    </w:lvl>
    <w:lvl w:ilvl="2">
      <w:start w:val="1"/>
      <w:numFmt w:val="bullet"/>
      <w:lvlText w:val="▪"/>
      <w:lvlJc w:val="left"/>
      <w:pPr>
        <w:ind w:left="2355" w:firstLine="1995"/>
      </w:pPr>
      <w:rPr>
        <w:rFonts w:ascii="Arial" w:eastAsia="Arial" w:hAnsi="Arial" w:cs="Arial"/>
      </w:rPr>
    </w:lvl>
    <w:lvl w:ilvl="3">
      <w:start w:val="1"/>
      <w:numFmt w:val="bullet"/>
      <w:lvlText w:val="●"/>
      <w:lvlJc w:val="left"/>
      <w:pPr>
        <w:ind w:left="3075" w:firstLine="2715"/>
      </w:pPr>
      <w:rPr>
        <w:rFonts w:ascii="Arial" w:eastAsia="Arial" w:hAnsi="Arial" w:cs="Arial"/>
      </w:rPr>
    </w:lvl>
    <w:lvl w:ilvl="4">
      <w:start w:val="1"/>
      <w:numFmt w:val="bullet"/>
      <w:lvlText w:val="o"/>
      <w:lvlJc w:val="left"/>
      <w:pPr>
        <w:ind w:left="3795" w:firstLine="3435"/>
      </w:pPr>
      <w:rPr>
        <w:rFonts w:ascii="Arial" w:eastAsia="Arial" w:hAnsi="Arial" w:cs="Arial"/>
      </w:rPr>
    </w:lvl>
    <w:lvl w:ilvl="5">
      <w:start w:val="1"/>
      <w:numFmt w:val="bullet"/>
      <w:lvlText w:val="▪"/>
      <w:lvlJc w:val="left"/>
      <w:pPr>
        <w:ind w:left="4515" w:firstLine="4155"/>
      </w:pPr>
      <w:rPr>
        <w:rFonts w:ascii="Arial" w:eastAsia="Arial" w:hAnsi="Arial" w:cs="Arial"/>
      </w:rPr>
    </w:lvl>
    <w:lvl w:ilvl="6">
      <w:start w:val="1"/>
      <w:numFmt w:val="bullet"/>
      <w:lvlText w:val="●"/>
      <w:lvlJc w:val="left"/>
      <w:pPr>
        <w:ind w:left="5235" w:firstLine="4875"/>
      </w:pPr>
      <w:rPr>
        <w:rFonts w:ascii="Arial" w:eastAsia="Arial" w:hAnsi="Arial" w:cs="Arial"/>
      </w:rPr>
    </w:lvl>
    <w:lvl w:ilvl="7">
      <w:start w:val="1"/>
      <w:numFmt w:val="bullet"/>
      <w:lvlText w:val="o"/>
      <w:lvlJc w:val="left"/>
      <w:pPr>
        <w:ind w:left="5955" w:firstLine="5595"/>
      </w:pPr>
      <w:rPr>
        <w:rFonts w:ascii="Arial" w:eastAsia="Arial" w:hAnsi="Arial" w:cs="Arial"/>
      </w:rPr>
    </w:lvl>
    <w:lvl w:ilvl="8">
      <w:start w:val="1"/>
      <w:numFmt w:val="bullet"/>
      <w:lvlText w:val="▪"/>
      <w:lvlJc w:val="left"/>
      <w:pPr>
        <w:ind w:left="6675" w:firstLine="6315"/>
      </w:pPr>
      <w:rPr>
        <w:rFonts w:ascii="Arial" w:eastAsia="Arial" w:hAnsi="Arial" w:cs="Arial"/>
      </w:rPr>
    </w:lvl>
  </w:abstractNum>
  <w:abstractNum w:abstractNumId="22" w15:restartNumberingAfterBreak="0">
    <w:nsid w:val="7FB75C1D"/>
    <w:multiLevelType w:val="multilevel"/>
    <w:tmpl w:val="E2CC615A"/>
    <w:lvl w:ilvl="0">
      <w:start w:val="1"/>
      <w:numFmt w:val="none"/>
      <w:pStyle w:val="EBNumberRestart"/>
      <w:suff w:val="nothing"/>
      <w:lvlText w:val="%1"/>
      <w:lvlJc w:val="left"/>
      <w:pPr>
        <w:ind w:left="0" w:firstLine="0"/>
      </w:pPr>
      <w:rPr>
        <w:rFonts w:hint="default"/>
      </w:rPr>
    </w:lvl>
    <w:lvl w:ilvl="1">
      <w:start w:val="1"/>
      <w:numFmt w:val="decimal"/>
      <w:pStyle w:val="EBNumber"/>
      <w:lvlText w:val="%1%2."/>
      <w:lvlJc w:val="left"/>
      <w:pPr>
        <w:tabs>
          <w:tab w:val="num" w:pos="425"/>
        </w:tabs>
        <w:ind w:left="425" w:hanging="425"/>
      </w:pPr>
      <w:rPr>
        <w:rFonts w:hint="default"/>
      </w:rPr>
    </w:lvl>
    <w:lvl w:ilvl="2">
      <w:start w:val="1"/>
      <w:numFmt w:val="lowerLetter"/>
      <w:lvlText w:val="%1%3."/>
      <w:lvlJc w:val="left"/>
      <w:pPr>
        <w:tabs>
          <w:tab w:val="num" w:pos="851"/>
        </w:tabs>
        <w:ind w:left="851" w:hanging="426"/>
      </w:pPr>
      <w:rPr>
        <w:rFonts w:hint="default"/>
      </w:rPr>
    </w:lvl>
    <w:lvl w:ilvl="3">
      <w:start w:val="1"/>
      <w:numFmt w:val="none"/>
      <w:lvlText w:val="%1"/>
      <w:lvlJc w:val="left"/>
      <w:pPr>
        <w:tabs>
          <w:tab w:val="num" w:pos="2880"/>
        </w:tabs>
        <w:ind w:left="1728" w:hanging="648"/>
      </w:pPr>
      <w:rPr>
        <w:rFonts w:hint="default"/>
      </w:rPr>
    </w:lvl>
    <w:lvl w:ilvl="4">
      <w:start w:val="1"/>
      <w:numFmt w:val="none"/>
      <w:lvlText w:val="%1"/>
      <w:lvlJc w:val="left"/>
      <w:pPr>
        <w:tabs>
          <w:tab w:val="num" w:pos="3600"/>
        </w:tabs>
        <w:ind w:left="2232" w:hanging="792"/>
      </w:pPr>
      <w:rPr>
        <w:rFonts w:hint="default"/>
      </w:rPr>
    </w:lvl>
    <w:lvl w:ilvl="5">
      <w:start w:val="1"/>
      <w:numFmt w:val="none"/>
      <w:lvlText w:val="%1"/>
      <w:lvlJc w:val="left"/>
      <w:pPr>
        <w:tabs>
          <w:tab w:val="num" w:pos="4320"/>
        </w:tabs>
        <w:ind w:left="2736" w:hanging="936"/>
      </w:pPr>
      <w:rPr>
        <w:rFonts w:hint="default"/>
      </w:rPr>
    </w:lvl>
    <w:lvl w:ilvl="6">
      <w:start w:val="1"/>
      <w:numFmt w:val="none"/>
      <w:lvlText w:val="%1"/>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0"/>
  </w:num>
  <w:num w:numId="13">
    <w:abstractNumId w:val="10"/>
  </w:num>
  <w:num w:numId="14">
    <w:abstractNumId w:val="16"/>
  </w:num>
  <w:num w:numId="15">
    <w:abstractNumId w:val="15"/>
  </w:num>
  <w:num w:numId="16">
    <w:abstractNumId w:val="12"/>
  </w:num>
  <w:num w:numId="17">
    <w:abstractNumId w:val="15"/>
  </w:num>
  <w:num w:numId="18">
    <w:abstractNumId w:val="22"/>
  </w:num>
  <w:num w:numId="19">
    <w:abstractNumId w:val="22"/>
  </w:num>
  <w:num w:numId="20">
    <w:abstractNumId w:val="22"/>
  </w:num>
  <w:num w:numId="21">
    <w:abstractNumId w:val="15"/>
  </w:num>
  <w:num w:numId="22">
    <w:abstractNumId w:val="11"/>
  </w:num>
  <w:num w:numId="23">
    <w:abstractNumId w:val="19"/>
  </w:num>
  <w:num w:numId="24">
    <w:abstractNumId w:val="14"/>
  </w:num>
  <w:num w:numId="25">
    <w:abstractNumId w:val="21"/>
  </w:num>
  <w:num w:numId="26">
    <w:abstractNumId w:val="13"/>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oNotShadeFormData/>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Doc" w:val="Created"/>
    <w:docVar w:name="VerNumber" w:val="3.6.0"/>
  </w:docVars>
  <w:rsids>
    <w:rsidRoot w:val="00421B29"/>
    <w:rsid w:val="000019B2"/>
    <w:rsid w:val="00001E72"/>
    <w:rsid w:val="00003A70"/>
    <w:rsid w:val="0000505F"/>
    <w:rsid w:val="000071A5"/>
    <w:rsid w:val="000079C0"/>
    <w:rsid w:val="00010950"/>
    <w:rsid w:val="00010EE1"/>
    <w:rsid w:val="00012458"/>
    <w:rsid w:val="000142F1"/>
    <w:rsid w:val="0001460F"/>
    <w:rsid w:val="00017634"/>
    <w:rsid w:val="000209B7"/>
    <w:rsid w:val="00021306"/>
    <w:rsid w:val="000222F1"/>
    <w:rsid w:val="00022BE0"/>
    <w:rsid w:val="00022F52"/>
    <w:rsid w:val="00023080"/>
    <w:rsid w:val="0002370C"/>
    <w:rsid w:val="000239A7"/>
    <w:rsid w:val="00023E62"/>
    <w:rsid w:val="000251D0"/>
    <w:rsid w:val="00026555"/>
    <w:rsid w:val="00026AC0"/>
    <w:rsid w:val="00026EE5"/>
    <w:rsid w:val="00031593"/>
    <w:rsid w:val="00034125"/>
    <w:rsid w:val="0003786D"/>
    <w:rsid w:val="0004016B"/>
    <w:rsid w:val="000407D8"/>
    <w:rsid w:val="00040A05"/>
    <w:rsid w:val="00041AE2"/>
    <w:rsid w:val="00042284"/>
    <w:rsid w:val="00042A3A"/>
    <w:rsid w:val="00045135"/>
    <w:rsid w:val="00045828"/>
    <w:rsid w:val="00045BAD"/>
    <w:rsid w:val="00051403"/>
    <w:rsid w:val="00052F44"/>
    <w:rsid w:val="00056EE6"/>
    <w:rsid w:val="0006047F"/>
    <w:rsid w:val="0006053F"/>
    <w:rsid w:val="000671A2"/>
    <w:rsid w:val="00067816"/>
    <w:rsid w:val="00070EEB"/>
    <w:rsid w:val="00071299"/>
    <w:rsid w:val="000718F8"/>
    <w:rsid w:val="00072272"/>
    <w:rsid w:val="00073842"/>
    <w:rsid w:val="000767AC"/>
    <w:rsid w:val="0007695E"/>
    <w:rsid w:val="00076A78"/>
    <w:rsid w:val="00076C08"/>
    <w:rsid w:val="00082659"/>
    <w:rsid w:val="00082BAC"/>
    <w:rsid w:val="000860CC"/>
    <w:rsid w:val="00086128"/>
    <w:rsid w:val="0008641F"/>
    <w:rsid w:val="0008731F"/>
    <w:rsid w:val="00093598"/>
    <w:rsid w:val="0009381F"/>
    <w:rsid w:val="00094680"/>
    <w:rsid w:val="000956FD"/>
    <w:rsid w:val="0009633C"/>
    <w:rsid w:val="000A1689"/>
    <w:rsid w:val="000A36EE"/>
    <w:rsid w:val="000A65D5"/>
    <w:rsid w:val="000A79FC"/>
    <w:rsid w:val="000B07A1"/>
    <w:rsid w:val="000B1176"/>
    <w:rsid w:val="000B3122"/>
    <w:rsid w:val="000B34C4"/>
    <w:rsid w:val="000B3E49"/>
    <w:rsid w:val="000C031E"/>
    <w:rsid w:val="000C165A"/>
    <w:rsid w:val="000C1D45"/>
    <w:rsid w:val="000C30D8"/>
    <w:rsid w:val="000C4589"/>
    <w:rsid w:val="000C47D0"/>
    <w:rsid w:val="000C57D5"/>
    <w:rsid w:val="000C6A87"/>
    <w:rsid w:val="000D0800"/>
    <w:rsid w:val="000D1CB0"/>
    <w:rsid w:val="000D4DA1"/>
    <w:rsid w:val="000D55B5"/>
    <w:rsid w:val="000D58BD"/>
    <w:rsid w:val="000D5ED5"/>
    <w:rsid w:val="000D7F7C"/>
    <w:rsid w:val="000E3308"/>
    <w:rsid w:val="000E345A"/>
    <w:rsid w:val="000E3FD7"/>
    <w:rsid w:val="000E452D"/>
    <w:rsid w:val="000E607A"/>
    <w:rsid w:val="000F004E"/>
    <w:rsid w:val="000F0840"/>
    <w:rsid w:val="000F37BB"/>
    <w:rsid w:val="000F4481"/>
    <w:rsid w:val="000F57BB"/>
    <w:rsid w:val="000F5D27"/>
    <w:rsid w:val="000F6079"/>
    <w:rsid w:val="00101961"/>
    <w:rsid w:val="00102870"/>
    <w:rsid w:val="0010457D"/>
    <w:rsid w:val="00110396"/>
    <w:rsid w:val="001110DB"/>
    <w:rsid w:val="001129D1"/>
    <w:rsid w:val="00114A8A"/>
    <w:rsid w:val="00115D68"/>
    <w:rsid w:val="00115D70"/>
    <w:rsid w:val="00120113"/>
    <w:rsid w:val="00120202"/>
    <w:rsid w:val="00122BC8"/>
    <w:rsid w:val="001235DD"/>
    <w:rsid w:val="0012369A"/>
    <w:rsid w:val="001243CD"/>
    <w:rsid w:val="001256A6"/>
    <w:rsid w:val="001266AC"/>
    <w:rsid w:val="00127373"/>
    <w:rsid w:val="00133A17"/>
    <w:rsid w:val="00133C58"/>
    <w:rsid w:val="001342A3"/>
    <w:rsid w:val="001365F4"/>
    <w:rsid w:val="0014140D"/>
    <w:rsid w:val="00141B6F"/>
    <w:rsid w:val="0014336D"/>
    <w:rsid w:val="001477D1"/>
    <w:rsid w:val="00150DAE"/>
    <w:rsid w:val="0015254E"/>
    <w:rsid w:val="00152C60"/>
    <w:rsid w:val="001535F3"/>
    <w:rsid w:val="001555C5"/>
    <w:rsid w:val="00156E0C"/>
    <w:rsid w:val="00160691"/>
    <w:rsid w:val="00161475"/>
    <w:rsid w:val="00165113"/>
    <w:rsid w:val="001709E2"/>
    <w:rsid w:val="00173419"/>
    <w:rsid w:val="00174C10"/>
    <w:rsid w:val="00175447"/>
    <w:rsid w:val="00182B85"/>
    <w:rsid w:val="00183038"/>
    <w:rsid w:val="00183882"/>
    <w:rsid w:val="001844B6"/>
    <w:rsid w:val="001851A3"/>
    <w:rsid w:val="001851B9"/>
    <w:rsid w:val="001855B1"/>
    <w:rsid w:val="0018610A"/>
    <w:rsid w:val="0019021E"/>
    <w:rsid w:val="00190F9A"/>
    <w:rsid w:val="00194050"/>
    <w:rsid w:val="00194745"/>
    <w:rsid w:val="00194E96"/>
    <w:rsid w:val="001954CD"/>
    <w:rsid w:val="001A04D2"/>
    <w:rsid w:val="001A07F1"/>
    <w:rsid w:val="001A3B0B"/>
    <w:rsid w:val="001A4332"/>
    <w:rsid w:val="001A4432"/>
    <w:rsid w:val="001A478E"/>
    <w:rsid w:val="001A4FD9"/>
    <w:rsid w:val="001A509E"/>
    <w:rsid w:val="001A6FE6"/>
    <w:rsid w:val="001A7B61"/>
    <w:rsid w:val="001A7D6D"/>
    <w:rsid w:val="001B08DA"/>
    <w:rsid w:val="001B305C"/>
    <w:rsid w:val="001B34EB"/>
    <w:rsid w:val="001B6EE8"/>
    <w:rsid w:val="001C0644"/>
    <w:rsid w:val="001C0B58"/>
    <w:rsid w:val="001C3363"/>
    <w:rsid w:val="001C5A37"/>
    <w:rsid w:val="001C7C39"/>
    <w:rsid w:val="001D09CC"/>
    <w:rsid w:val="001D0AF4"/>
    <w:rsid w:val="001D12D6"/>
    <w:rsid w:val="001D2096"/>
    <w:rsid w:val="001D30AA"/>
    <w:rsid w:val="001D3A43"/>
    <w:rsid w:val="001D3C11"/>
    <w:rsid w:val="001D4AA8"/>
    <w:rsid w:val="001D4D42"/>
    <w:rsid w:val="001D5EC9"/>
    <w:rsid w:val="001D6B90"/>
    <w:rsid w:val="001E152A"/>
    <w:rsid w:val="001E1DA0"/>
    <w:rsid w:val="001E6544"/>
    <w:rsid w:val="001F4352"/>
    <w:rsid w:val="001F5423"/>
    <w:rsid w:val="001F5DD9"/>
    <w:rsid w:val="001F69E9"/>
    <w:rsid w:val="001F71C9"/>
    <w:rsid w:val="00200023"/>
    <w:rsid w:val="0020104C"/>
    <w:rsid w:val="002013CF"/>
    <w:rsid w:val="0020151D"/>
    <w:rsid w:val="00201B79"/>
    <w:rsid w:val="00202E56"/>
    <w:rsid w:val="002033D6"/>
    <w:rsid w:val="00203758"/>
    <w:rsid w:val="00204AB1"/>
    <w:rsid w:val="00205E05"/>
    <w:rsid w:val="0020708B"/>
    <w:rsid w:val="00207B21"/>
    <w:rsid w:val="00207D2A"/>
    <w:rsid w:val="00211257"/>
    <w:rsid w:val="00212216"/>
    <w:rsid w:val="00212673"/>
    <w:rsid w:val="002144F0"/>
    <w:rsid w:val="00214EB3"/>
    <w:rsid w:val="00216F02"/>
    <w:rsid w:val="0021731F"/>
    <w:rsid w:val="00217CA1"/>
    <w:rsid w:val="00220F29"/>
    <w:rsid w:val="00221FAD"/>
    <w:rsid w:val="00223285"/>
    <w:rsid w:val="0022490F"/>
    <w:rsid w:val="00225F9C"/>
    <w:rsid w:val="00226D6A"/>
    <w:rsid w:val="002274E5"/>
    <w:rsid w:val="0022767B"/>
    <w:rsid w:val="00231024"/>
    <w:rsid w:val="0023355B"/>
    <w:rsid w:val="002347A2"/>
    <w:rsid w:val="00235802"/>
    <w:rsid w:val="00241738"/>
    <w:rsid w:val="002425C2"/>
    <w:rsid w:val="00242BE2"/>
    <w:rsid w:val="00242C41"/>
    <w:rsid w:val="002437A8"/>
    <w:rsid w:val="00244DC5"/>
    <w:rsid w:val="00246360"/>
    <w:rsid w:val="002479F6"/>
    <w:rsid w:val="00250259"/>
    <w:rsid w:val="00251ED1"/>
    <w:rsid w:val="002530A8"/>
    <w:rsid w:val="00253F4D"/>
    <w:rsid w:val="0026191F"/>
    <w:rsid w:val="00262437"/>
    <w:rsid w:val="002641FB"/>
    <w:rsid w:val="00264DA0"/>
    <w:rsid w:val="00265153"/>
    <w:rsid w:val="002718D6"/>
    <w:rsid w:val="00272539"/>
    <w:rsid w:val="00272F62"/>
    <w:rsid w:val="00273A3C"/>
    <w:rsid w:val="002761BD"/>
    <w:rsid w:val="00281E7E"/>
    <w:rsid w:val="00282EFA"/>
    <w:rsid w:val="002837FC"/>
    <w:rsid w:val="00283DC2"/>
    <w:rsid w:val="00284C30"/>
    <w:rsid w:val="00286282"/>
    <w:rsid w:val="0028755A"/>
    <w:rsid w:val="00287BA8"/>
    <w:rsid w:val="00290335"/>
    <w:rsid w:val="0029158C"/>
    <w:rsid w:val="002A06DA"/>
    <w:rsid w:val="002A456F"/>
    <w:rsid w:val="002A63B5"/>
    <w:rsid w:val="002A6E2B"/>
    <w:rsid w:val="002B223C"/>
    <w:rsid w:val="002B2572"/>
    <w:rsid w:val="002B4D79"/>
    <w:rsid w:val="002B7335"/>
    <w:rsid w:val="002B77F5"/>
    <w:rsid w:val="002C1D0C"/>
    <w:rsid w:val="002C1EC2"/>
    <w:rsid w:val="002C331D"/>
    <w:rsid w:val="002D1AE9"/>
    <w:rsid w:val="002D2D7E"/>
    <w:rsid w:val="002D3103"/>
    <w:rsid w:val="002D3F38"/>
    <w:rsid w:val="002D4104"/>
    <w:rsid w:val="002D4177"/>
    <w:rsid w:val="002D548B"/>
    <w:rsid w:val="002D66B1"/>
    <w:rsid w:val="002D7ECF"/>
    <w:rsid w:val="002E1C94"/>
    <w:rsid w:val="002E46DE"/>
    <w:rsid w:val="002E5406"/>
    <w:rsid w:val="002E78D7"/>
    <w:rsid w:val="002F1CB1"/>
    <w:rsid w:val="002F217A"/>
    <w:rsid w:val="002F29E2"/>
    <w:rsid w:val="002F3633"/>
    <w:rsid w:val="002F5B67"/>
    <w:rsid w:val="002F653C"/>
    <w:rsid w:val="002F6A3F"/>
    <w:rsid w:val="002F7D4C"/>
    <w:rsid w:val="00300CED"/>
    <w:rsid w:val="00300D0C"/>
    <w:rsid w:val="00300D77"/>
    <w:rsid w:val="003030E1"/>
    <w:rsid w:val="00303499"/>
    <w:rsid w:val="00304677"/>
    <w:rsid w:val="00304C1D"/>
    <w:rsid w:val="00305D3C"/>
    <w:rsid w:val="003069E8"/>
    <w:rsid w:val="00307E85"/>
    <w:rsid w:val="00310269"/>
    <w:rsid w:val="00310BAB"/>
    <w:rsid w:val="00310E67"/>
    <w:rsid w:val="003111DB"/>
    <w:rsid w:val="00311373"/>
    <w:rsid w:val="00311CCB"/>
    <w:rsid w:val="003126C6"/>
    <w:rsid w:val="0031327C"/>
    <w:rsid w:val="00313937"/>
    <w:rsid w:val="00314466"/>
    <w:rsid w:val="003149E9"/>
    <w:rsid w:val="003151AA"/>
    <w:rsid w:val="00316B83"/>
    <w:rsid w:val="00316E03"/>
    <w:rsid w:val="00317DAD"/>
    <w:rsid w:val="003203C7"/>
    <w:rsid w:val="00320415"/>
    <w:rsid w:val="00321F4E"/>
    <w:rsid w:val="003228BF"/>
    <w:rsid w:val="00322E0B"/>
    <w:rsid w:val="00323107"/>
    <w:rsid w:val="00323A23"/>
    <w:rsid w:val="00323C5A"/>
    <w:rsid w:val="00324485"/>
    <w:rsid w:val="00331DCE"/>
    <w:rsid w:val="00332055"/>
    <w:rsid w:val="00332280"/>
    <w:rsid w:val="003323DB"/>
    <w:rsid w:val="00332B05"/>
    <w:rsid w:val="003330C7"/>
    <w:rsid w:val="00335C9A"/>
    <w:rsid w:val="00335EEF"/>
    <w:rsid w:val="003409BF"/>
    <w:rsid w:val="003415EE"/>
    <w:rsid w:val="00345525"/>
    <w:rsid w:val="00351302"/>
    <w:rsid w:val="003557D4"/>
    <w:rsid w:val="00355E73"/>
    <w:rsid w:val="00356841"/>
    <w:rsid w:val="00356F7A"/>
    <w:rsid w:val="003627EC"/>
    <w:rsid w:val="00362B1F"/>
    <w:rsid w:val="00364715"/>
    <w:rsid w:val="00365687"/>
    <w:rsid w:val="003657AB"/>
    <w:rsid w:val="00370A03"/>
    <w:rsid w:val="00372A69"/>
    <w:rsid w:val="00376491"/>
    <w:rsid w:val="00376713"/>
    <w:rsid w:val="00380189"/>
    <w:rsid w:val="00380A15"/>
    <w:rsid w:val="00381107"/>
    <w:rsid w:val="00381308"/>
    <w:rsid w:val="003818E8"/>
    <w:rsid w:val="003848EF"/>
    <w:rsid w:val="00384905"/>
    <w:rsid w:val="003853D4"/>
    <w:rsid w:val="00385BF8"/>
    <w:rsid w:val="00386560"/>
    <w:rsid w:val="00395DFD"/>
    <w:rsid w:val="00395F95"/>
    <w:rsid w:val="00396C1A"/>
    <w:rsid w:val="00397850"/>
    <w:rsid w:val="003A151C"/>
    <w:rsid w:val="003A53C5"/>
    <w:rsid w:val="003A5EEC"/>
    <w:rsid w:val="003A5F4F"/>
    <w:rsid w:val="003A6079"/>
    <w:rsid w:val="003A68AB"/>
    <w:rsid w:val="003A6C94"/>
    <w:rsid w:val="003A7572"/>
    <w:rsid w:val="003B04F0"/>
    <w:rsid w:val="003B1336"/>
    <w:rsid w:val="003B20FC"/>
    <w:rsid w:val="003B2AFE"/>
    <w:rsid w:val="003B30DD"/>
    <w:rsid w:val="003B3E18"/>
    <w:rsid w:val="003B72CF"/>
    <w:rsid w:val="003B78AB"/>
    <w:rsid w:val="003C2DBD"/>
    <w:rsid w:val="003C2DEE"/>
    <w:rsid w:val="003C3FB9"/>
    <w:rsid w:val="003C4286"/>
    <w:rsid w:val="003C6C81"/>
    <w:rsid w:val="003D11C0"/>
    <w:rsid w:val="003D1969"/>
    <w:rsid w:val="003D2341"/>
    <w:rsid w:val="003D2D82"/>
    <w:rsid w:val="003D33A3"/>
    <w:rsid w:val="003D54EC"/>
    <w:rsid w:val="003D572E"/>
    <w:rsid w:val="003D57B2"/>
    <w:rsid w:val="003D6960"/>
    <w:rsid w:val="003D77EE"/>
    <w:rsid w:val="003E0510"/>
    <w:rsid w:val="003E1BBB"/>
    <w:rsid w:val="003E2295"/>
    <w:rsid w:val="003E54B6"/>
    <w:rsid w:val="003E58BD"/>
    <w:rsid w:val="003E66BB"/>
    <w:rsid w:val="003E76C5"/>
    <w:rsid w:val="003E7A4D"/>
    <w:rsid w:val="003F1F49"/>
    <w:rsid w:val="003F2FA0"/>
    <w:rsid w:val="003F42A7"/>
    <w:rsid w:val="003F464E"/>
    <w:rsid w:val="003F6045"/>
    <w:rsid w:val="003F71C5"/>
    <w:rsid w:val="004016DE"/>
    <w:rsid w:val="004025DC"/>
    <w:rsid w:val="00402E80"/>
    <w:rsid w:val="00403F74"/>
    <w:rsid w:val="004041B8"/>
    <w:rsid w:val="00405ACA"/>
    <w:rsid w:val="00415552"/>
    <w:rsid w:val="00416050"/>
    <w:rsid w:val="00417259"/>
    <w:rsid w:val="004175D4"/>
    <w:rsid w:val="00420437"/>
    <w:rsid w:val="00421B29"/>
    <w:rsid w:val="004240A9"/>
    <w:rsid w:val="0042494E"/>
    <w:rsid w:val="00426AB3"/>
    <w:rsid w:val="004278C7"/>
    <w:rsid w:val="00432445"/>
    <w:rsid w:val="0043446F"/>
    <w:rsid w:val="00434F5A"/>
    <w:rsid w:val="0043683F"/>
    <w:rsid w:val="004406D1"/>
    <w:rsid w:val="00440A77"/>
    <w:rsid w:val="004422A6"/>
    <w:rsid w:val="00443562"/>
    <w:rsid w:val="00443C33"/>
    <w:rsid w:val="004442E2"/>
    <w:rsid w:val="00445634"/>
    <w:rsid w:val="00451B5F"/>
    <w:rsid w:val="0045253C"/>
    <w:rsid w:val="00452B35"/>
    <w:rsid w:val="00453BD5"/>
    <w:rsid w:val="004547EA"/>
    <w:rsid w:val="00455EAA"/>
    <w:rsid w:val="00456494"/>
    <w:rsid w:val="00457408"/>
    <w:rsid w:val="00457648"/>
    <w:rsid w:val="004577E1"/>
    <w:rsid w:val="0045799A"/>
    <w:rsid w:val="00463490"/>
    <w:rsid w:val="00463600"/>
    <w:rsid w:val="00466326"/>
    <w:rsid w:val="00470048"/>
    <w:rsid w:val="00470BEA"/>
    <w:rsid w:val="00471060"/>
    <w:rsid w:val="004716AC"/>
    <w:rsid w:val="00471E07"/>
    <w:rsid w:val="00474270"/>
    <w:rsid w:val="004763AF"/>
    <w:rsid w:val="0048196D"/>
    <w:rsid w:val="00481DBF"/>
    <w:rsid w:val="00483E1A"/>
    <w:rsid w:val="00483FB7"/>
    <w:rsid w:val="00485114"/>
    <w:rsid w:val="004860C0"/>
    <w:rsid w:val="00487074"/>
    <w:rsid w:val="00487B16"/>
    <w:rsid w:val="0049072A"/>
    <w:rsid w:val="00490FF7"/>
    <w:rsid w:val="00491E52"/>
    <w:rsid w:val="004930F6"/>
    <w:rsid w:val="00493B5E"/>
    <w:rsid w:val="0049416F"/>
    <w:rsid w:val="004948C9"/>
    <w:rsid w:val="00495404"/>
    <w:rsid w:val="00496F92"/>
    <w:rsid w:val="00497931"/>
    <w:rsid w:val="004A14BC"/>
    <w:rsid w:val="004A33BC"/>
    <w:rsid w:val="004A3D93"/>
    <w:rsid w:val="004A3EFD"/>
    <w:rsid w:val="004A3F27"/>
    <w:rsid w:val="004A5CEA"/>
    <w:rsid w:val="004A7E39"/>
    <w:rsid w:val="004B1880"/>
    <w:rsid w:val="004B2455"/>
    <w:rsid w:val="004B384B"/>
    <w:rsid w:val="004B3B7B"/>
    <w:rsid w:val="004B5251"/>
    <w:rsid w:val="004C183A"/>
    <w:rsid w:val="004C1BBB"/>
    <w:rsid w:val="004C4C8F"/>
    <w:rsid w:val="004C55C6"/>
    <w:rsid w:val="004C573E"/>
    <w:rsid w:val="004C5754"/>
    <w:rsid w:val="004D0574"/>
    <w:rsid w:val="004D0C7C"/>
    <w:rsid w:val="004D118B"/>
    <w:rsid w:val="004D6A72"/>
    <w:rsid w:val="004E1174"/>
    <w:rsid w:val="004E29C6"/>
    <w:rsid w:val="004E3E8F"/>
    <w:rsid w:val="004E4095"/>
    <w:rsid w:val="004E5E6C"/>
    <w:rsid w:val="004E6683"/>
    <w:rsid w:val="004F1009"/>
    <w:rsid w:val="004F401E"/>
    <w:rsid w:val="004F5E43"/>
    <w:rsid w:val="004F7BA3"/>
    <w:rsid w:val="00500698"/>
    <w:rsid w:val="00500C9D"/>
    <w:rsid w:val="005019FB"/>
    <w:rsid w:val="005022DF"/>
    <w:rsid w:val="00503C39"/>
    <w:rsid w:val="00505481"/>
    <w:rsid w:val="00506528"/>
    <w:rsid w:val="00507986"/>
    <w:rsid w:val="00510AC6"/>
    <w:rsid w:val="005116B1"/>
    <w:rsid w:val="00516ED8"/>
    <w:rsid w:val="00517351"/>
    <w:rsid w:val="00520444"/>
    <w:rsid w:val="0052463E"/>
    <w:rsid w:val="00525511"/>
    <w:rsid w:val="00526B28"/>
    <w:rsid w:val="00526E4C"/>
    <w:rsid w:val="00527387"/>
    <w:rsid w:val="00527A7D"/>
    <w:rsid w:val="00533D7B"/>
    <w:rsid w:val="005409C5"/>
    <w:rsid w:val="00540A7C"/>
    <w:rsid w:val="00544292"/>
    <w:rsid w:val="00544E13"/>
    <w:rsid w:val="005456EC"/>
    <w:rsid w:val="00547154"/>
    <w:rsid w:val="00554795"/>
    <w:rsid w:val="00556DEA"/>
    <w:rsid w:val="00560465"/>
    <w:rsid w:val="00560972"/>
    <w:rsid w:val="00563F7B"/>
    <w:rsid w:val="005640A6"/>
    <w:rsid w:val="0056664A"/>
    <w:rsid w:val="0056694E"/>
    <w:rsid w:val="00570F8E"/>
    <w:rsid w:val="005719FD"/>
    <w:rsid w:val="00571B06"/>
    <w:rsid w:val="00572118"/>
    <w:rsid w:val="00573359"/>
    <w:rsid w:val="00574A89"/>
    <w:rsid w:val="00574D95"/>
    <w:rsid w:val="00574EB9"/>
    <w:rsid w:val="00575F0E"/>
    <w:rsid w:val="00575FFA"/>
    <w:rsid w:val="00576F30"/>
    <w:rsid w:val="00584666"/>
    <w:rsid w:val="00586CE4"/>
    <w:rsid w:val="00586D82"/>
    <w:rsid w:val="005875FD"/>
    <w:rsid w:val="005879B8"/>
    <w:rsid w:val="0059061B"/>
    <w:rsid w:val="00591130"/>
    <w:rsid w:val="0059168E"/>
    <w:rsid w:val="00593648"/>
    <w:rsid w:val="00594141"/>
    <w:rsid w:val="00594AC6"/>
    <w:rsid w:val="00594F99"/>
    <w:rsid w:val="00596F19"/>
    <w:rsid w:val="005970B5"/>
    <w:rsid w:val="005978D0"/>
    <w:rsid w:val="005A0026"/>
    <w:rsid w:val="005A0B86"/>
    <w:rsid w:val="005A26C8"/>
    <w:rsid w:val="005A2FC0"/>
    <w:rsid w:val="005A3880"/>
    <w:rsid w:val="005A66F6"/>
    <w:rsid w:val="005A7A14"/>
    <w:rsid w:val="005B341F"/>
    <w:rsid w:val="005B442B"/>
    <w:rsid w:val="005B44D6"/>
    <w:rsid w:val="005B5651"/>
    <w:rsid w:val="005B613F"/>
    <w:rsid w:val="005B6239"/>
    <w:rsid w:val="005C0E7F"/>
    <w:rsid w:val="005C57E3"/>
    <w:rsid w:val="005D1D7D"/>
    <w:rsid w:val="005D27B8"/>
    <w:rsid w:val="005D2E03"/>
    <w:rsid w:val="005D4544"/>
    <w:rsid w:val="005D4F09"/>
    <w:rsid w:val="005D5178"/>
    <w:rsid w:val="005D6EA8"/>
    <w:rsid w:val="005D6F05"/>
    <w:rsid w:val="005D7515"/>
    <w:rsid w:val="005E10E3"/>
    <w:rsid w:val="005E3FC7"/>
    <w:rsid w:val="005E5C60"/>
    <w:rsid w:val="005E6F02"/>
    <w:rsid w:val="005F32E7"/>
    <w:rsid w:val="005F535B"/>
    <w:rsid w:val="005F54D7"/>
    <w:rsid w:val="005F698B"/>
    <w:rsid w:val="00600956"/>
    <w:rsid w:val="006011E1"/>
    <w:rsid w:val="00602401"/>
    <w:rsid w:val="00604158"/>
    <w:rsid w:val="0060666C"/>
    <w:rsid w:val="00606C5F"/>
    <w:rsid w:val="00614CE6"/>
    <w:rsid w:val="00615A79"/>
    <w:rsid w:val="00615CA5"/>
    <w:rsid w:val="00615D43"/>
    <w:rsid w:val="00616BCC"/>
    <w:rsid w:val="00616E33"/>
    <w:rsid w:val="0061761A"/>
    <w:rsid w:val="00623DFF"/>
    <w:rsid w:val="00624299"/>
    <w:rsid w:val="006243EB"/>
    <w:rsid w:val="00625536"/>
    <w:rsid w:val="00625AC1"/>
    <w:rsid w:val="006267F8"/>
    <w:rsid w:val="0063029E"/>
    <w:rsid w:val="00630966"/>
    <w:rsid w:val="00630B55"/>
    <w:rsid w:val="00630EC4"/>
    <w:rsid w:val="00630EC9"/>
    <w:rsid w:val="00631B4C"/>
    <w:rsid w:val="00632522"/>
    <w:rsid w:val="006328B1"/>
    <w:rsid w:val="00632CB9"/>
    <w:rsid w:val="00635BAE"/>
    <w:rsid w:val="00641D5A"/>
    <w:rsid w:val="00642777"/>
    <w:rsid w:val="00643B89"/>
    <w:rsid w:val="00645936"/>
    <w:rsid w:val="00646433"/>
    <w:rsid w:val="00646B92"/>
    <w:rsid w:val="006471E2"/>
    <w:rsid w:val="00647402"/>
    <w:rsid w:val="00650282"/>
    <w:rsid w:val="00650A11"/>
    <w:rsid w:val="006511BB"/>
    <w:rsid w:val="006531EF"/>
    <w:rsid w:val="00653C70"/>
    <w:rsid w:val="00656305"/>
    <w:rsid w:val="0066034A"/>
    <w:rsid w:val="006615C7"/>
    <w:rsid w:val="006631B8"/>
    <w:rsid w:val="006656EC"/>
    <w:rsid w:val="006662EE"/>
    <w:rsid w:val="00667977"/>
    <w:rsid w:val="006725A4"/>
    <w:rsid w:val="00674043"/>
    <w:rsid w:val="0067720E"/>
    <w:rsid w:val="00677C65"/>
    <w:rsid w:val="0068051F"/>
    <w:rsid w:val="006812CF"/>
    <w:rsid w:val="006820E6"/>
    <w:rsid w:val="006824EE"/>
    <w:rsid w:val="00682BBC"/>
    <w:rsid w:val="00684490"/>
    <w:rsid w:val="006867B7"/>
    <w:rsid w:val="00686F5E"/>
    <w:rsid w:val="006914EF"/>
    <w:rsid w:val="00692DE8"/>
    <w:rsid w:val="0069403E"/>
    <w:rsid w:val="006945C8"/>
    <w:rsid w:val="006A0557"/>
    <w:rsid w:val="006A0782"/>
    <w:rsid w:val="006A1B09"/>
    <w:rsid w:val="006A2140"/>
    <w:rsid w:val="006A2A2C"/>
    <w:rsid w:val="006A2D92"/>
    <w:rsid w:val="006A2DE8"/>
    <w:rsid w:val="006A487B"/>
    <w:rsid w:val="006A56C1"/>
    <w:rsid w:val="006A5A2E"/>
    <w:rsid w:val="006A5BB3"/>
    <w:rsid w:val="006B04D1"/>
    <w:rsid w:val="006B3C41"/>
    <w:rsid w:val="006B4257"/>
    <w:rsid w:val="006B71F9"/>
    <w:rsid w:val="006C0521"/>
    <w:rsid w:val="006C5CE3"/>
    <w:rsid w:val="006C7426"/>
    <w:rsid w:val="006D1474"/>
    <w:rsid w:val="006D14D2"/>
    <w:rsid w:val="006D179C"/>
    <w:rsid w:val="006D1F7D"/>
    <w:rsid w:val="006D29CD"/>
    <w:rsid w:val="006D2BE3"/>
    <w:rsid w:val="006D2BEB"/>
    <w:rsid w:val="006D2BF3"/>
    <w:rsid w:val="006D37CF"/>
    <w:rsid w:val="006E11EC"/>
    <w:rsid w:val="006E13B8"/>
    <w:rsid w:val="006E17B6"/>
    <w:rsid w:val="006E18C9"/>
    <w:rsid w:val="006E6112"/>
    <w:rsid w:val="006E7242"/>
    <w:rsid w:val="006F0945"/>
    <w:rsid w:val="006F3BB8"/>
    <w:rsid w:val="007038FE"/>
    <w:rsid w:val="00703D2D"/>
    <w:rsid w:val="00706EE1"/>
    <w:rsid w:val="00706FE9"/>
    <w:rsid w:val="00710399"/>
    <w:rsid w:val="00710BF9"/>
    <w:rsid w:val="00712914"/>
    <w:rsid w:val="0071360C"/>
    <w:rsid w:val="0071367B"/>
    <w:rsid w:val="007139B6"/>
    <w:rsid w:val="00713B76"/>
    <w:rsid w:val="0071468E"/>
    <w:rsid w:val="00714D27"/>
    <w:rsid w:val="00714FF9"/>
    <w:rsid w:val="0071686F"/>
    <w:rsid w:val="00716D5C"/>
    <w:rsid w:val="00716E66"/>
    <w:rsid w:val="00717760"/>
    <w:rsid w:val="00717800"/>
    <w:rsid w:val="007208D9"/>
    <w:rsid w:val="00720AF5"/>
    <w:rsid w:val="00720C9D"/>
    <w:rsid w:val="00720FFE"/>
    <w:rsid w:val="00724C0F"/>
    <w:rsid w:val="00727309"/>
    <w:rsid w:val="00732185"/>
    <w:rsid w:val="0073258B"/>
    <w:rsid w:val="00732BA8"/>
    <w:rsid w:val="0073350E"/>
    <w:rsid w:val="00733F8C"/>
    <w:rsid w:val="0073435F"/>
    <w:rsid w:val="00734E99"/>
    <w:rsid w:val="007359A7"/>
    <w:rsid w:val="00736A54"/>
    <w:rsid w:val="00736BFD"/>
    <w:rsid w:val="00744ECC"/>
    <w:rsid w:val="0074677C"/>
    <w:rsid w:val="00746E21"/>
    <w:rsid w:val="0074740B"/>
    <w:rsid w:val="00747E73"/>
    <w:rsid w:val="0075393B"/>
    <w:rsid w:val="0075471A"/>
    <w:rsid w:val="00756720"/>
    <w:rsid w:val="0075771C"/>
    <w:rsid w:val="007608D7"/>
    <w:rsid w:val="00763D76"/>
    <w:rsid w:val="00764FAA"/>
    <w:rsid w:val="0076676A"/>
    <w:rsid w:val="00767A04"/>
    <w:rsid w:val="00771726"/>
    <w:rsid w:val="00773261"/>
    <w:rsid w:val="00773719"/>
    <w:rsid w:val="00773B58"/>
    <w:rsid w:val="00774343"/>
    <w:rsid w:val="00774FCB"/>
    <w:rsid w:val="007754E1"/>
    <w:rsid w:val="00777487"/>
    <w:rsid w:val="007777A1"/>
    <w:rsid w:val="0078003D"/>
    <w:rsid w:val="00780125"/>
    <w:rsid w:val="00782071"/>
    <w:rsid w:val="0078273E"/>
    <w:rsid w:val="00782DCD"/>
    <w:rsid w:val="00782F88"/>
    <w:rsid w:val="0078471D"/>
    <w:rsid w:val="00784EC0"/>
    <w:rsid w:val="007865EE"/>
    <w:rsid w:val="0078730F"/>
    <w:rsid w:val="0078760F"/>
    <w:rsid w:val="007913FD"/>
    <w:rsid w:val="0079221B"/>
    <w:rsid w:val="007925C2"/>
    <w:rsid w:val="00794540"/>
    <w:rsid w:val="00796A50"/>
    <w:rsid w:val="007A01E1"/>
    <w:rsid w:val="007A0D16"/>
    <w:rsid w:val="007A1020"/>
    <w:rsid w:val="007A1C34"/>
    <w:rsid w:val="007A49C2"/>
    <w:rsid w:val="007A4BDD"/>
    <w:rsid w:val="007A7F20"/>
    <w:rsid w:val="007B05B3"/>
    <w:rsid w:val="007B14CE"/>
    <w:rsid w:val="007B33D7"/>
    <w:rsid w:val="007C0713"/>
    <w:rsid w:val="007C08F8"/>
    <w:rsid w:val="007C1837"/>
    <w:rsid w:val="007C2377"/>
    <w:rsid w:val="007C293A"/>
    <w:rsid w:val="007D0CC0"/>
    <w:rsid w:val="007D1ED4"/>
    <w:rsid w:val="007D2942"/>
    <w:rsid w:val="007D29E2"/>
    <w:rsid w:val="007D3AAE"/>
    <w:rsid w:val="007D537B"/>
    <w:rsid w:val="007D59EE"/>
    <w:rsid w:val="007D6F3F"/>
    <w:rsid w:val="007E1522"/>
    <w:rsid w:val="007E190E"/>
    <w:rsid w:val="007E6CF8"/>
    <w:rsid w:val="007E6ECC"/>
    <w:rsid w:val="007F0ABE"/>
    <w:rsid w:val="007F0ED9"/>
    <w:rsid w:val="007F25A7"/>
    <w:rsid w:val="007F2645"/>
    <w:rsid w:val="007F4668"/>
    <w:rsid w:val="007F5153"/>
    <w:rsid w:val="007F571B"/>
    <w:rsid w:val="007F64C7"/>
    <w:rsid w:val="007F6D31"/>
    <w:rsid w:val="008029C1"/>
    <w:rsid w:val="008031EC"/>
    <w:rsid w:val="008054F0"/>
    <w:rsid w:val="00805BD3"/>
    <w:rsid w:val="00807946"/>
    <w:rsid w:val="00807DB6"/>
    <w:rsid w:val="00815425"/>
    <w:rsid w:val="008155E3"/>
    <w:rsid w:val="00817638"/>
    <w:rsid w:val="00820C4D"/>
    <w:rsid w:val="008228A5"/>
    <w:rsid w:val="00822B3C"/>
    <w:rsid w:val="00830D93"/>
    <w:rsid w:val="00830ED9"/>
    <w:rsid w:val="00833276"/>
    <w:rsid w:val="008338A3"/>
    <w:rsid w:val="00834367"/>
    <w:rsid w:val="008369A3"/>
    <w:rsid w:val="00837300"/>
    <w:rsid w:val="00837F65"/>
    <w:rsid w:val="008410B6"/>
    <w:rsid w:val="00845B33"/>
    <w:rsid w:val="008478CE"/>
    <w:rsid w:val="00847C2B"/>
    <w:rsid w:val="00847E7D"/>
    <w:rsid w:val="00847F14"/>
    <w:rsid w:val="00850CF7"/>
    <w:rsid w:val="00854B58"/>
    <w:rsid w:val="0085583B"/>
    <w:rsid w:val="00857E85"/>
    <w:rsid w:val="00860055"/>
    <w:rsid w:val="0086062D"/>
    <w:rsid w:val="00860E75"/>
    <w:rsid w:val="0086103A"/>
    <w:rsid w:val="008617EA"/>
    <w:rsid w:val="0086208D"/>
    <w:rsid w:val="008629E3"/>
    <w:rsid w:val="00864321"/>
    <w:rsid w:val="00865239"/>
    <w:rsid w:val="00865CAC"/>
    <w:rsid w:val="00865DC8"/>
    <w:rsid w:val="00866937"/>
    <w:rsid w:val="00870D58"/>
    <w:rsid w:val="00872621"/>
    <w:rsid w:val="008727AA"/>
    <w:rsid w:val="008729DD"/>
    <w:rsid w:val="00873250"/>
    <w:rsid w:val="00873825"/>
    <w:rsid w:val="0087388B"/>
    <w:rsid w:val="008739EF"/>
    <w:rsid w:val="00873ADE"/>
    <w:rsid w:val="00876F9A"/>
    <w:rsid w:val="00877C17"/>
    <w:rsid w:val="008839E5"/>
    <w:rsid w:val="00886D73"/>
    <w:rsid w:val="0088761A"/>
    <w:rsid w:val="008922EB"/>
    <w:rsid w:val="00892576"/>
    <w:rsid w:val="00894601"/>
    <w:rsid w:val="00894CD3"/>
    <w:rsid w:val="00895D49"/>
    <w:rsid w:val="0089699B"/>
    <w:rsid w:val="008A4588"/>
    <w:rsid w:val="008A4654"/>
    <w:rsid w:val="008A59F1"/>
    <w:rsid w:val="008A5C63"/>
    <w:rsid w:val="008A6243"/>
    <w:rsid w:val="008A6491"/>
    <w:rsid w:val="008A6708"/>
    <w:rsid w:val="008A7CF1"/>
    <w:rsid w:val="008B0674"/>
    <w:rsid w:val="008B0CFF"/>
    <w:rsid w:val="008B1FB3"/>
    <w:rsid w:val="008B20C2"/>
    <w:rsid w:val="008B333C"/>
    <w:rsid w:val="008B3CD2"/>
    <w:rsid w:val="008B5C6E"/>
    <w:rsid w:val="008B6E9F"/>
    <w:rsid w:val="008B75E1"/>
    <w:rsid w:val="008C011F"/>
    <w:rsid w:val="008C0805"/>
    <w:rsid w:val="008C096C"/>
    <w:rsid w:val="008C0B6E"/>
    <w:rsid w:val="008C1CAA"/>
    <w:rsid w:val="008C26F4"/>
    <w:rsid w:val="008C4888"/>
    <w:rsid w:val="008C5A2F"/>
    <w:rsid w:val="008C624A"/>
    <w:rsid w:val="008D1958"/>
    <w:rsid w:val="008D19BC"/>
    <w:rsid w:val="008D1DB1"/>
    <w:rsid w:val="008D1DF0"/>
    <w:rsid w:val="008D3892"/>
    <w:rsid w:val="008D39AA"/>
    <w:rsid w:val="008D5118"/>
    <w:rsid w:val="008D55F9"/>
    <w:rsid w:val="008D58AD"/>
    <w:rsid w:val="008D6A9C"/>
    <w:rsid w:val="008E0D56"/>
    <w:rsid w:val="008E2B2F"/>
    <w:rsid w:val="008E348C"/>
    <w:rsid w:val="008E36ED"/>
    <w:rsid w:val="008E4DFF"/>
    <w:rsid w:val="008E549E"/>
    <w:rsid w:val="008E5E23"/>
    <w:rsid w:val="008E67C0"/>
    <w:rsid w:val="008E7F9F"/>
    <w:rsid w:val="008F09FE"/>
    <w:rsid w:val="008F1046"/>
    <w:rsid w:val="008F18B3"/>
    <w:rsid w:val="008F1E40"/>
    <w:rsid w:val="008F281A"/>
    <w:rsid w:val="008F2DC7"/>
    <w:rsid w:val="008F4331"/>
    <w:rsid w:val="008F5890"/>
    <w:rsid w:val="008F5B59"/>
    <w:rsid w:val="008F6E9D"/>
    <w:rsid w:val="00900C12"/>
    <w:rsid w:val="00901EDF"/>
    <w:rsid w:val="00903CAE"/>
    <w:rsid w:val="00904B02"/>
    <w:rsid w:val="00904BBF"/>
    <w:rsid w:val="009050B9"/>
    <w:rsid w:val="00905752"/>
    <w:rsid w:val="00906288"/>
    <w:rsid w:val="00906E14"/>
    <w:rsid w:val="009076FD"/>
    <w:rsid w:val="0091162A"/>
    <w:rsid w:val="009128E8"/>
    <w:rsid w:val="00915A40"/>
    <w:rsid w:val="00916F0E"/>
    <w:rsid w:val="00920962"/>
    <w:rsid w:val="00920A27"/>
    <w:rsid w:val="009221E2"/>
    <w:rsid w:val="00923001"/>
    <w:rsid w:val="00923ADE"/>
    <w:rsid w:val="0092726F"/>
    <w:rsid w:val="009308F0"/>
    <w:rsid w:val="0093118C"/>
    <w:rsid w:val="00936C94"/>
    <w:rsid w:val="00937CD8"/>
    <w:rsid w:val="00937DFB"/>
    <w:rsid w:val="00941D69"/>
    <w:rsid w:val="00944167"/>
    <w:rsid w:val="00944597"/>
    <w:rsid w:val="00944936"/>
    <w:rsid w:val="00944AA7"/>
    <w:rsid w:val="00946AD7"/>
    <w:rsid w:val="00947C30"/>
    <w:rsid w:val="00947F91"/>
    <w:rsid w:val="0095045E"/>
    <w:rsid w:val="00952D7C"/>
    <w:rsid w:val="009540D9"/>
    <w:rsid w:val="009546F6"/>
    <w:rsid w:val="009569C9"/>
    <w:rsid w:val="00956BA1"/>
    <w:rsid w:val="00957DC3"/>
    <w:rsid w:val="00961356"/>
    <w:rsid w:val="00962C9F"/>
    <w:rsid w:val="0096380B"/>
    <w:rsid w:val="00963DA9"/>
    <w:rsid w:val="0096455D"/>
    <w:rsid w:val="00964F55"/>
    <w:rsid w:val="00965CBF"/>
    <w:rsid w:val="00965D28"/>
    <w:rsid w:val="00966271"/>
    <w:rsid w:val="0097372C"/>
    <w:rsid w:val="009769C6"/>
    <w:rsid w:val="00977C68"/>
    <w:rsid w:val="00977F47"/>
    <w:rsid w:val="00980FD2"/>
    <w:rsid w:val="009837EF"/>
    <w:rsid w:val="00984BDC"/>
    <w:rsid w:val="009857E0"/>
    <w:rsid w:val="00987A1D"/>
    <w:rsid w:val="00991181"/>
    <w:rsid w:val="009918FB"/>
    <w:rsid w:val="00991CE2"/>
    <w:rsid w:val="00993919"/>
    <w:rsid w:val="009A0497"/>
    <w:rsid w:val="009A1A9A"/>
    <w:rsid w:val="009A2D21"/>
    <w:rsid w:val="009B157C"/>
    <w:rsid w:val="009B2293"/>
    <w:rsid w:val="009B36BF"/>
    <w:rsid w:val="009B5567"/>
    <w:rsid w:val="009B5872"/>
    <w:rsid w:val="009B5A80"/>
    <w:rsid w:val="009B645D"/>
    <w:rsid w:val="009B671B"/>
    <w:rsid w:val="009B6ACF"/>
    <w:rsid w:val="009B6B48"/>
    <w:rsid w:val="009B7123"/>
    <w:rsid w:val="009B7C87"/>
    <w:rsid w:val="009C0CEB"/>
    <w:rsid w:val="009C3E19"/>
    <w:rsid w:val="009C4753"/>
    <w:rsid w:val="009C541E"/>
    <w:rsid w:val="009C74B5"/>
    <w:rsid w:val="009C7BD2"/>
    <w:rsid w:val="009D0397"/>
    <w:rsid w:val="009D0E47"/>
    <w:rsid w:val="009D1F1C"/>
    <w:rsid w:val="009D2902"/>
    <w:rsid w:val="009D3AEC"/>
    <w:rsid w:val="009D3E43"/>
    <w:rsid w:val="009D6A1A"/>
    <w:rsid w:val="009D75F5"/>
    <w:rsid w:val="009D7957"/>
    <w:rsid w:val="009D7CE6"/>
    <w:rsid w:val="009E008F"/>
    <w:rsid w:val="009E0870"/>
    <w:rsid w:val="009E0DB4"/>
    <w:rsid w:val="009E262C"/>
    <w:rsid w:val="009E3B03"/>
    <w:rsid w:val="009E3F48"/>
    <w:rsid w:val="009E6430"/>
    <w:rsid w:val="009E720C"/>
    <w:rsid w:val="009E771F"/>
    <w:rsid w:val="009F1E3D"/>
    <w:rsid w:val="009F2995"/>
    <w:rsid w:val="009F48BD"/>
    <w:rsid w:val="009F56A0"/>
    <w:rsid w:val="009F6692"/>
    <w:rsid w:val="00A00F82"/>
    <w:rsid w:val="00A02AB8"/>
    <w:rsid w:val="00A05393"/>
    <w:rsid w:val="00A05924"/>
    <w:rsid w:val="00A05D7C"/>
    <w:rsid w:val="00A12337"/>
    <w:rsid w:val="00A127AE"/>
    <w:rsid w:val="00A16DB7"/>
    <w:rsid w:val="00A21130"/>
    <w:rsid w:val="00A212FC"/>
    <w:rsid w:val="00A21C3A"/>
    <w:rsid w:val="00A22274"/>
    <w:rsid w:val="00A223AF"/>
    <w:rsid w:val="00A2267C"/>
    <w:rsid w:val="00A23419"/>
    <w:rsid w:val="00A30C6E"/>
    <w:rsid w:val="00A32793"/>
    <w:rsid w:val="00A3460C"/>
    <w:rsid w:val="00A376D1"/>
    <w:rsid w:val="00A412A4"/>
    <w:rsid w:val="00A44E29"/>
    <w:rsid w:val="00A45CB0"/>
    <w:rsid w:val="00A46BA8"/>
    <w:rsid w:val="00A52B0F"/>
    <w:rsid w:val="00A54607"/>
    <w:rsid w:val="00A566F7"/>
    <w:rsid w:val="00A624D4"/>
    <w:rsid w:val="00A63795"/>
    <w:rsid w:val="00A63817"/>
    <w:rsid w:val="00A64DFC"/>
    <w:rsid w:val="00A64E67"/>
    <w:rsid w:val="00A65708"/>
    <w:rsid w:val="00A67822"/>
    <w:rsid w:val="00A72106"/>
    <w:rsid w:val="00A7387F"/>
    <w:rsid w:val="00A74FE2"/>
    <w:rsid w:val="00A75DAF"/>
    <w:rsid w:val="00A80316"/>
    <w:rsid w:val="00A80DCD"/>
    <w:rsid w:val="00A82E36"/>
    <w:rsid w:val="00A8360B"/>
    <w:rsid w:val="00A855CB"/>
    <w:rsid w:val="00A857D9"/>
    <w:rsid w:val="00A87268"/>
    <w:rsid w:val="00A90A64"/>
    <w:rsid w:val="00A913D4"/>
    <w:rsid w:val="00A91448"/>
    <w:rsid w:val="00A92245"/>
    <w:rsid w:val="00A93A09"/>
    <w:rsid w:val="00A93A78"/>
    <w:rsid w:val="00AA25A1"/>
    <w:rsid w:val="00AA2B6A"/>
    <w:rsid w:val="00AA39FD"/>
    <w:rsid w:val="00AA4B70"/>
    <w:rsid w:val="00AA501F"/>
    <w:rsid w:val="00AA7756"/>
    <w:rsid w:val="00AB137E"/>
    <w:rsid w:val="00AB2960"/>
    <w:rsid w:val="00AB3130"/>
    <w:rsid w:val="00AB574B"/>
    <w:rsid w:val="00AB6DF3"/>
    <w:rsid w:val="00AB79EC"/>
    <w:rsid w:val="00AC06AD"/>
    <w:rsid w:val="00AC0BFC"/>
    <w:rsid w:val="00AC1849"/>
    <w:rsid w:val="00AC1DB2"/>
    <w:rsid w:val="00AC23DD"/>
    <w:rsid w:val="00AC3384"/>
    <w:rsid w:val="00AC4436"/>
    <w:rsid w:val="00AC5FE7"/>
    <w:rsid w:val="00AC6D7C"/>
    <w:rsid w:val="00AC6E84"/>
    <w:rsid w:val="00AC758F"/>
    <w:rsid w:val="00AD01BB"/>
    <w:rsid w:val="00AD02B4"/>
    <w:rsid w:val="00AD0D80"/>
    <w:rsid w:val="00AD2863"/>
    <w:rsid w:val="00AD4CDC"/>
    <w:rsid w:val="00AD5C7A"/>
    <w:rsid w:val="00AD640D"/>
    <w:rsid w:val="00AD6B21"/>
    <w:rsid w:val="00AD6D7F"/>
    <w:rsid w:val="00AE0DAF"/>
    <w:rsid w:val="00AE1E77"/>
    <w:rsid w:val="00AE2237"/>
    <w:rsid w:val="00AE311C"/>
    <w:rsid w:val="00AE32FC"/>
    <w:rsid w:val="00AE3926"/>
    <w:rsid w:val="00AE46AA"/>
    <w:rsid w:val="00AE6061"/>
    <w:rsid w:val="00AF0388"/>
    <w:rsid w:val="00AF05EF"/>
    <w:rsid w:val="00AF0863"/>
    <w:rsid w:val="00AF29BB"/>
    <w:rsid w:val="00AF2B88"/>
    <w:rsid w:val="00AF2D3E"/>
    <w:rsid w:val="00AF3842"/>
    <w:rsid w:val="00AF5F2E"/>
    <w:rsid w:val="00AF63A9"/>
    <w:rsid w:val="00AF739D"/>
    <w:rsid w:val="00B006A9"/>
    <w:rsid w:val="00B01ECE"/>
    <w:rsid w:val="00B06148"/>
    <w:rsid w:val="00B068F2"/>
    <w:rsid w:val="00B12922"/>
    <w:rsid w:val="00B13310"/>
    <w:rsid w:val="00B154EA"/>
    <w:rsid w:val="00B15F27"/>
    <w:rsid w:val="00B16720"/>
    <w:rsid w:val="00B17203"/>
    <w:rsid w:val="00B20969"/>
    <w:rsid w:val="00B2109F"/>
    <w:rsid w:val="00B22390"/>
    <w:rsid w:val="00B2258D"/>
    <w:rsid w:val="00B225B0"/>
    <w:rsid w:val="00B23350"/>
    <w:rsid w:val="00B23BE6"/>
    <w:rsid w:val="00B313C3"/>
    <w:rsid w:val="00B318B0"/>
    <w:rsid w:val="00B31E83"/>
    <w:rsid w:val="00B3230A"/>
    <w:rsid w:val="00B325B0"/>
    <w:rsid w:val="00B328FC"/>
    <w:rsid w:val="00B3411C"/>
    <w:rsid w:val="00B4136C"/>
    <w:rsid w:val="00B4271C"/>
    <w:rsid w:val="00B42A04"/>
    <w:rsid w:val="00B43453"/>
    <w:rsid w:val="00B450F8"/>
    <w:rsid w:val="00B469D8"/>
    <w:rsid w:val="00B47A0F"/>
    <w:rsid w:val="00B47CFD"/>
    <w:rsid w:val="00B50649"/>
    <w:rsid w:val="00B51DCA"/>
    <w:rsid w:val="00B51EDA"/>
    <w:rsid w:val="00B5400D"/>
    <w:rsid w:val="00B549E8"/>
    <w:rsid w:val="00B55544"/>
    <w:rsid w:val="00B557B6"/>
    <w:rsid w:val="00B55E3F"/>
    <w:rsid w:val="00B562C6"/>
    <w:rsid w:val="00B60A1E"/>
    <w:rsid w:val="00B61595"/>
    <w:rsid w:val="00B657A0"/>
    <w:rsid w:val="00B65FA8"/>
    <w:rsid w:val="00B66384"/>
    <w:rsid w:val="00B664D8"/>
    <w:rsid w:val="00B7014D"/>
    <w:rsid w:val="00B7017B"/>
    <w:rsid w:val="00B71618"/>
    <w:rsid w:val="00B722B5"/>
    <w:rsid w:val="00B73F2E"/>
    <w:rsid w:val="00B74113"/>
    <w:rsid w:val="00B752A5"/>
    <w:rsid w:val="00B76673"/>
    <w:rsid w:val="00B827C5"/>
    <w:rsid w:val="00B83D1F"/>
    <w:rsid w:val="00B84190"/>
    <w:rsid w:val="00B9057D"/>
    <w:rsid w:val="00B91546"/>
    <w:rsid w:val="00B91D3B"/>
    <w:rsid w:val="00B93466"/>
    <w:rsid w:val="00B94293"/>
    <w:rsid w:val="00B94B1E"/>
    <w:rsid w:val="00B9718C"/>
    <w:rsid w:val="00BA1691"/>
    <w:rsid w:val="00BA326C"/>
    <w:rsid w:val="00BA6F82"/>
    <w:rsid w:val="00BA7A1D"/>
    <w:rsid w:val="00BB1709"/>
    <w:rsid w:val="00BB17EA"/>
    <w:rsid w:val="00BB249D"/>
    <w:rsid w:val="00BB2FD9"/>
    <w:rsid w:val="00BB76DF"/>
    <w:rsid w:val="00BC00AD"/>
    <w:rsid w:val="00BC17BE"/>
    <w:rsid w:val="00BC2B91"/>
    <w:rsid w:val="00BC2FCC"/>
    <w:rsid w:val="00BC468A"/>
    <w:rsid w:val="00BC66E8"/>
    <w:rsid w:val="00BC7D24"/>
    <w:rsid w:val="00BD0413"/>
    <w:rsid w:val="00BD0C96"/>
    <w:rsid w:val="00BD2E17"/>
    <w:rsid w:val="00BD483E"/>
    <w:rsid w:val="00BD6C08"/>
    <w:rsid w:val="00BD6CF6"/>
    <w:rsid w:val="00BD6E3E"/>
    <w:rsid w:val="00BD7B1A"/>
    <w:rsid w:val="00BD7BA5"/>
    <w:rsid w:val="00BE0042"/>
    <w:rsid w:val="00BE2ED0"/>
    <w:rsid w:val="00BE4286"/>
    <w:rsid w:val="00BE4622"/>
    <w:rsid w:val="00BE5FB9"/>
    <w:rsid w:val="00BE647C"/>
    <w:rsid w:val="00BE650A"/>
    <w:rsid w:val="00BE655B"/>
    <w:rsid w:val="00BE7CC4"/>
    <w:rsid w:val="00BF0136"/>
    <w:rsid w:val="00BF114B"/>
    <w:rsid w:val="00BF268F"/>
    <w:rsid w:val="00BF385C"/>
    <w:rsid w:val="00BF51B2"/>
    <w:rsid w:val="00BF6B96"/>
    <w:rsid w:val="00BF6BEB"/>
    <w:rsid w:val="00C0349A"/>
    <w:rsid w:val="00C04A7D"/>
    <w:rsid w:val="00C067FE"/>
    <w:rsid w:val="00C06A01"/>
    <w:rsid w:val="00C079DC"/>
    <w:rsid w:val="00C120C0"/>
    <w:rsid w:val="00C12FB1"/>
    <w:rsid w:val="00C13270"/>
    <w:rsid w:val="00C13EF0"/>
    <w:rsid w:val="00C15A21"/>
    <w:rsid w:val="00C17AAA"/>
    <w:rsid w:val="00C202C8"/>
    <w:rsid w:val="00C22EBB"/>
    <w:rsid w:val="00C241C1"/>
    <w:rsid w:val="00C2545A"/>
    <w:rsid w:val="00C30AB4"/>
    <w:rsid w:val="00C30DE0"/>
    <w:rsid w:val="00C31CC0"/>
    <w:rsid w:val="00C3203A"/>
    <w:rsid w:val="00C33045"/>
    <w:rsid w:val="00C364F5"/>
    <w:rsid w:val="00C364F8"/>
    <w:rsid w:val="00C41A41"/>
    <w:rsid w:val="00C4306B"/>
    <w:rsid w:val="00C45162"/>
    <w:rsid w:val="00C509D3"/>
    <w:rsid w:val="00C522A9"/>
    <w:rsid w:val="00C601E4"/>
    <w:rsid w:val="00C60BBD"/>
    <w:rsid w:val="00C60C0E"/>
    <w:rsid w:val="00C632F0"/>
    <w:rsid w:val="00C6332B"/>
    <w:rsid w:val="00C63CA5"/>
    <w:rsid w:val="00C66634"/>
    <w:rsid w:val="00C66BFB"/>
    <w:rsid w:val="00C67CDD"/>
    <w:rsid w:val="00C7009E"/>
    <w:rsid w:val="00C734E1"/>
    <w:rsid w:val="00C73678"/>
    <w:rsid w:val="00C74661"/>
    <w:rsid w:val="00C75C12"/>
    <w:rsid w:val="00C77716"/>
    <w:rsid w:val="00C850F4"/>
    <w:rsid w:val="00C857F2"/>
    <w:rsid w:val="00C8797D"/>
    <w:rsid w:val="00C9001F"/>
    <w:rsid w:val="00C902D7"/>
    <w:rsid w:val="00C913B7"/>
    <w:rsid w:val="00C94463"/>
    <w:rsid w:val="00C94CD6"/>
    <w:rsid w:val="00C9661C"/>
    <w:rsid w:val="00C96CF4"/>
    <w:rsid w:val="00C971CD"/>
    <w:rsid w:val="00CA10EB"/>
    <w:rsid w:val="00CA31D5"/>
    <w:rsid w:val="00CA6695"/>
    <w:rsid w:val="00CA70B9"/>
    <w:rsid w:val="00CA7129"/>
    <w:rsid w:val="00CA79EA"/>
    <w:rsid w:val="00CB511B"/>
    <w:rsid w:val="00CC0EA5"/>
    <w:rsid w:val="00CC1714"/>
    <w:rsid w:val="00CC3809"/>
    <w:rsid w:val="00CC48B0"/>
    <w:rsid w:val="00CC7744"/>
    <w:rsid w:val="00CD058E"/>
    <w:rsid w:val="00CD2C94"/>
    <w:rsid w:val="00CD322B"/>
    <w:rsid w:val="00CD3F58"/>
    <w:rsid w:val="00CD44C8"/>
    <w:rsid w:val="00CE0982"/>
    <w:rsid w:val="00CE30A6"/>
    <w:rsid w:val="00CE42A1"/>
    <w:rsid w:val="00CE43C4"/>
    <w:rsid w:val="00CE6738"/>
    <w:rsid w:val="00CE7C01"/>
    <w:rsid w:val="00CF2024"/>
    <w:rsid w:val="00CF3FBF"/>
    <w:rsid w:val="00CF4AD8"/>
    <w:rsid w:val="00CF5592"/>
    <w:rsid w:val="00CF5A35"/>
    <w:rsid w:val="00CF61B6"/>
    <w:rsid w:val="00CF671F"/>
    <w:rsid w:val="00D000E2"/>
    <w:rsid w:val="00D00503"/>
    <w:rsid w:val="00D00846"/>
    <w:rsid w:val="00D01950"/>
    <w:rsid w:val="00D04877"/>
    <w:rsid w:val="00D04919"/>
    <w:rsid w:val="00D052B4"/>
    <w:rsid w:val="00D10076"/>
    <w:rsid w:val="00D12778"/>
    <w:rsid w:val="00D13B5A"/>
    <w:rsid w:val="00D1488F"/>
    <w:rsid w:val="00D16690"/>
    <w:rsid w:val="00D20645"/>
    <w:rsid w:val="00D20720"/>
    <w:rsid w:val="00D20D4C"/>
    <w:rsid w:val="00D22AD5"/>
    <w:rsid w:val="00D22F41"/>
    <w:rsid w:val="00D23A87"/>
    <w:rsid w:val="00D2449C"/>
    <w:rsid w:val="00D24AAD"/>
    <w:rsid w:val="00D252D1"/>
    <w:rsid w:val="00D2758D"/>
    <w:rsid w:val="00D31474"/>
    <w:rsid w:val="00D3177D"/>
    <w:rsid w:val="00D337D1"/>
    <w:rsid w:val="00D33EFF"/>
    <w:rsid w:val="00D347E7"/>
    <w:rsid w:val="00D357D2"/>
    <w:rsid w:val="00D35822"/>
    <w:rsid w:val="00D35E5E"/>
    <w:rsid w:val="00D406B9"/>
    <w:rsid w:val="00D420DA"/>
    <w:rsid w:val="00D43E31"/>
    <w:rsid w:val="00D46A9F"/>
    <w:rsid w:val="00D478C9"/>
    <w:rsid w:val="00D50283"/>
    <w:rsid w:val="00D5127D"/>
    <w:rsid w:val="00D5573D"/>
    <w:rsid w:val="00D6138F"/>
    <w:rsid w:val="00D64F7B"/>
    <w:rsid w:val="00D675F9"/>
    <w:rsid w:val="00D6772B"/>
    <w:rsid w:val="00D71F7D"/>
    <w:rsid w:val="00D71F97"/>
    <w:rsid w:val="00D7239D"/>
    <w:rsid w:val="00D73421"/>
    <w:rsid w:val="00D7450E"/>
    <w:rsid w:val="00D74A41"/>
    <w:rsid w:val="00D74BE1"/>
    <w:rsid w:val="00D76907"/>
    <w:rsid w:val="00D773EE"/>
    <w:rsid w:val="00D80CE9"/>
    <w:rsid w:val="00D81644"/>
    <w:rsid w:val="00D85D6C"/>
    <w:rsid w:val="00D9441D"/>
    <w:rsid w:val="00D95AEB"/>
    <w:rsid w:val="00D96FF4"/>
    <w:rsid w:val="00DA04ED"/>
    <w:rsid w:val="00DA166D"/>
    <w:rsid w:val="00DA35CD"/>
    <w:rsid w:val="00DA664C"/>
    <w:rsid w:val="00DA791C"/>
    <w:rsid w:val="00DB17A2"/>
    <w:rsid w:val="00DB1D74"/>
    <w:rsid w:val="00DB25E4"/>
    <w:rsid w:val="00DB36C2"/>
    <w:rsid w:val="00DB45EC"/>
    <w:rsid w:val="00DB4917"/>
    <w:rsid w:val="00DB5F07"/>
    <w:rsid w:val="00DB6524"/>
    <w:rsid w:val="00DB6D0F"/>
    <w:rsid w:val="00DC14F0"/>
    <w:rsid w:val="00DC1945"/>
    <w:rsid w:val="00DC4113"/>
    <w:rsid w:val="00DC68C9"/>
    <w:rsid w:val="00DC6F0D"/>
    <w:rsid w:val="00DD13FB"/>
    <w:rsid w:val="00DD1B1B"/>
    <w:rsid w:val="00DD32DC"/>
    <w:rsid w:val="00DD617D"/>
    <w:rsid w:val="00DE04E0"/>
    <w:rsid w:val="00DE06E0"/>
    <w:rsid w:val="00DE55FF"/>
    <w:rsid w:val="00DE5F6F"/>
    <w:rsid w:val="00DE66FD"/>
    <w:rsid w:val="00DE7F03"/>
    <w:rsid w:val="00DF2666"/>
    <w:rsid w:val="00DF2F4B"/>
    <w:rsid w:val="00DF71A3"/>
    <w:rsid w:val="00E00448"/>
    <w:rsid w:val="00E00B23"/>
    <w:rsid w:val="00E0117D"/>
    <w:rsid w:val="00E0310F"/>
    <w:rsid w:val="00E03125"/>
    <w:rsid w:val="00E04D95"/>
    <w:rsid w:val="00E061C1"/>
    <w:rsid w:val="00E0769B"/>
    <w:rsid w:val="00E10426"/>
    <w:rsid w:val="00E10B5C"/>
    <w:rsid w:val="00E11760"/>
    <w:rsid w:val="00E119E8"/>
    <w:rsid w:val="00E12973"/>
    <w:rsid w:val="00E141EC"/>
    <w:rsid w:val="00E14792"/>
    <w:rsid w:val="00E14DAE"/>
    <w:rsid w:val="00E155FA"/>
    <w:rsid w:val="00E156DB"/>
    <w:rsid w:val="00E168DF"/>
    <w:rsid w:val="00E169CD"/>
    <w:rsid w:val="00E205A2"/>
    <w:rsid w:val="00E217A2"/>
    <w:rsid w:val="00E228DE"/>
    <w:rsid w:val="00E23208"/>
    <w:rsid w:val="00E24758"/>
    <w:rsid w:val="00E2763D"/>
    <w:rsid w:val="00E345DB"/>
    <w:rsid w:val="00E349B6"/>
    <w:rsid w:val="00E3545D"/>
    <w:rsid w:val="00E3574A"/>
    <w:rsid w:val="00E35A46"/>
    <w:rsid w:val="00E40533"/>
    <w:rsid w:val="00E405B8"/>
    <w:rsid w:val="00E435D8"/>
    <w:rsid w:val="00E4448D"/>
    <w:rsid w:val="00E46F96"/>
    <w:rsid w:val="00E475AC"/>
    <w:rsid w:val="00E50D28"/>
    <w:rsid w:val="00E51807"/>
    <w:rsid w:val="00E51AF3"/>
    <w:rsid w:val="00E53642"/>
    <w:rsid w:val="00E53896"/>
    <w:rsid w:val="00E542F4"/>
    <w:rsid w:val="00E5597A"/>
    <w:rsid w:val="00E55ABB"/>
    <w:rsid w:val="00E5686D"/>
    <w:rsid w:val="00E6038C"/>
    <w:rsid w:val="00E60BCA"/>
    <w:rsid w:val="00E62FEA"/>
    <w:rsid w:val="00E64602"/>
    <w:rsid w:val="00E654B7"/>
    <w:rsid w:val="00E659E5"/>
    <w:rsid w:val="00E67B60"/>
    <w:rsid w:val="00E67D90"/>
    <w:rsid w:val="00E72931"/>
    <w:rsid w:val="00E74DC5"/>
    <w:rsid w:val="00E7529B"/>
    <w:rsid w:val="00E75380"/>
    <w:rsid w:val="00E754BA"/>
    <w:rsid w:val="00E7665D"/>
    <w:rsid w:val="00E766DF"/>
    <w:rsid w:val="00E7780E"/>
    <w:rsid w:val="00E8172C"/>
    <w:rsid w:val="00E82A56"/>
    <w:rsid w:val="00E82B1A"/>
    <w:rsid w:val="00E83494"/>
    <w:rsid w:val="00E83D8A"/>
    <w:rsid w:val="00E84F85"/>
    <w:rsid w:val="00E90731"/>
    <w:rsid w:val="00E95A84"/>
    <w:rsid w:val="00E96CB5"/>
    <w:rsid w:val="00E9789E"/>
    <w:rsid w:val="00E97BF4"/>
    <w:rsid w:val="00EA0B74"/>
    <w:rsid w:val="00EA253E"/>
    <w:rsid w:val="00EA2A88"/>
    <w:rsid w:val="00EA78FF"/>
    <w:rsid w:val="00EB002B"/>
    <w:rsid w:val="00EB0445"/>
    <w:rsid w:val="00EB094A"/>
    <w:rsid w:val="00EB279B"/>
    <w:rsid w:val="00EB2CA5"/>
    <w:rsid w:val="00EB43FD"/>
    <w:rsid w:val="00EB44BE"/>
    <w:rsid w:val="00EB4682"/>
    <w:rsid w:val="00EB477D"/>
    <w:rsid w:val="00EB6C63"/>
    <w:rsid w:val="00EB7FCF"/>
    <w:rsid w:val="00EC28E5"/>
    <w:rsid w:val="00EC6350"/>
    <w:rsid w:val="00EC6B93"/>
    <w:rsid w:val="00EC741D"/>
    <w:rsid w:val="00ED4F84"/>
    <w:rsid w:val="00ED57E6"/>
    <w:rsid w:val="00EE0868"/>
    <w:rsid w:val="00EE1372"/>
    <w:rsid w:val="00EE1BFF"/>
    <w:rsid w:val="00EE1F4E"/>
    <w:rsid w:val="00EE3A72"/>
    <w:rsid w:val="00EE4151"/>
    <w:rsid w:val="00EE6F86"/>
    <w:rsid w:val="00EE7347"/>
    <w:rsid w:val="00EF0B62"/>
    <w:rsid w:val="00EF1989"/>
    <w:rsid w:val="00EF3A40"/>
    <w:rsid w:val="00EF468B"/>
    <w:rsid w:val="00EF5429"/>
    <w:rsid w:val="00F02857"/>
    <w:rsid w:val="00F03424"/>
    <w:rsid w:val="00F0343B"/>
    <w:rsid w:val="00F04CDD"/>
    <w:rsid w:val="00F05E69"/>
    <w:rsid w:val="00F0606D"/>
    <w:rsid w:val="00F071A7"/>
    <w:rsid w:val="00F0778D"/>
    <w:rsid w:val="00F077D3"/>
    <w:rsid w:val="00F07E0C"/>
    <w:rsid w:val="00F1328C"/>
    <w:rsid w:val="00F13939"/>
    <w:rsid w:val="00F13B21"/>
    <w:rsid w:val="00F14463"/>
    <w:rsid w:val="00F14761"/>
    <w:rsid w:val="00F14EC6"/>
    <w:rsid w:val="00F1653E"/>
    <w:rsid w:val="00F17FE9"/>
    <w:rsid w:val="00F20BE3"/>
    <w:rsid w:val="00F2128C"/>
    <w:rsid w:val="00F22FE4"/>
    <w:rsid w:val="00F23291"/>
    <w:rsid w:val="00F237C9"/>
    <w:rsid w:val="00F239B0"/>
    <w:rsid w:val="00F24112"/>
    <w:rsid w:val="00F25284"/>
    <w:rsid w:val="00F26CA1"/>
    <w:rsid w:val="00F31416"/>
    <w:rsid w:val="00F33190"/>
    <w:rsid w:val="00F332A2"/>
    <w:rsid w:val="00F337B2"/>
    <w:rsid w:val="00F33D36"/>
    <w:rsid w:val="00F40E87"/>
    <w:rsid w:val="00F44D19"/>
    <w:rsid w:val="00F45799"/>
    <w:rsid w:val="00F4755A"/>
    <w:rsid w:val="00F547A2"/>
    <w:rsid w:val="00F555C6"/>
    <w:rsid w:val="00F60CC6"/>
    <w:rsid w:val="00F622E8"/>
    <w:rsid w:val="00F63895"/>
    <w:rsid w:val="00F63F4E"/>
    <w:rsid w:val="00F64822"/>
    <w:rsid w:val="00F65CB3"/>
    <w:rsid w:val="00F66B4C"/>
    <w:rsid w:val="00F6759D"/>
    <w:rsid w:val="00F707E3"/>
    <w:rsid w:val="00F70A77"/>
    <w:rsid w:val="00F7168F"/>
    <w:rsid w:val="00F71CD0"/>
    <w:rsid w:val="00F71FC5"/>
    <w:rsid w:val="00F73049"/>
    <w:rsid w:val="00F7378F"/>
    <w:rsid w:val="00F74A5C"/>
    <w:rsid w:val="00F77609"/>
    <w:rsid w:val="00F80AE5"/>
    <w:rsid w:val="00F84E50"/>
    <w:rsid w:val="00F8648B"/>
    <w:rsid w:val="00F86949"/>
    <w:rsid w:val="00F9065F"/>
    <w:rsid w:val="00F9142F"/>
    <w:rsid w:val="00F91F5A"/>
    <w:rsid w:val="00F92F01"/>
    <w:rsid w:val="00F941C2"/>
    <w:rsid w:val="00F95B2C"/>
    <w:rsid w:val="00F971E5"/>
    <w:rsid w:val="00FA509B"/>
    <w:rsid w:val="00FA5376"/>
    <w:rsid w:val="00FB0F81"/>
    <w:rsid w:val="00FB17F6"/>
    <w:rsid w:val="00FB3263"/>
    <w:rsid w:val="00FB5CFE"/>
    <w:rsid w:val="00FB6ED3"/>
    <w:rsid w:val="00FB79D5"/>
    <w:rsid w:val="00FC07D5"/>
    <w:rsid w:val="00FC0D50"/>
    <w:rsid w:val="00FC12D1"/>
    <w:rsid w:val="00FC3832"/>
    <w:rsid w:val="00FC4754"/>
    <w:rsid w:val="00FC6BFA"/>
    <w:rsid w:val="00FD1F2A"/>
    <w:rsid w:val="00FD3F91"/>
    <w:rsid w:val="00FD5FBF"/>
    <w:rsid w:val="00FE0BF5"/>
    <w:rsid w:val="00FE3E7A"/>
    <w:rsid w:val="00FE41CB"/>
    <w:rsid w:val="00FE574F"/>
    <w:rsid w:val="00FE5A5F"/>
    <w:rsid w:val="00FE610F"/>
    <w:rsid w:val="00FE7029"/>
    <w:rsid w:val="00FF029E"/>
    <w:rsid w:val="00FF0918"/>
    <w:rsid w:val="00FF0A78"/>
    <w:rsid w:val="00FF2332"/>
    <w:rsid w:val="00FF3574"/>
    <w:rsid w:val="00FF48F9"/>
    <w:rsid w:val="00FF6F4D"/>
    <w:rsid w:val="00FF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4D0B8"/>
  <w15:docId w15:val="{5F8B1E33-9C2B-4E3F-8057-7D011085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8D9"/>
    <w:rPr>
      <w:rFonts w:ascii="Arial" w:hAnsi="Arial"/>
      <w:sz w:val="24"/>
      <w:szCs w:val="24"/>
      <w:lang w:eastAsia="en-US"/>
    </w:rPr>
  </w:style>
  <w:style w:type="paragraph" w:styleId="Heading1">
    <w:name w:val="heading 1"/>
    <w:basedOn w:val="Normal"/>
    <w:next w:val="Normal"/>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qFormat/>
    <w:rsid w:val="002B7335"/>
    <w:pPr>
      <w:keepNext/>
      <w:keepLines/>
      <w:spacing w:before="480" w:after="240"/>
      <w:outlineLvl w:val="1"/>
    </w:pPr>
    <w:rPr>
      <w:rFonts w:cs="Arial"/>
      <w:bCs/>
      <w:color w:val="000000"/>
      <w:sz w:val="32"/>
      <w:szCs w:val="22"/>
      <w:lang w:eastAsia="en-GB"/>
    </w:rPr>
  </w:style>
  <w:style w:type="paragraph" w:styleId="Heading3">
    <w:name w:val="heading 3"/>
    <w:aliases w:val="EBHeading2"/>
    <w:basedOn w:val="Normal"/>
    <w:next w:val="EBBodyPara"/>
    <w:qFormat/>
    <w:rsid w:val="002B7335"/>
    <w:pPr>
      <w:keepNext/>
      <w:keepLines/>
      <w:spacing w:before="360" w:after="240"/>
      <w:outlineLvl w:val="2"/>
    </w:pPr>
    <w:rPr>
      <w:rFonts w:cs="Arial"/>
      <w:b/>
      <w:bCs/>
      <w:color w:val="000000"/>
      <w:szCs w:val="22"/>
      <w:lang w:eastAsia="en-GB"/>
    </w:rPr>
  </w:style>
  <w:style w:type="paragraph" w:styleId="Heading4">
    <w:name w:val="heading 4"/>
    <w:aliases w:val="EBHeading3"/>
    <w:basedOn w:val="EBBodyPara"/>
    <w:next w:val="Normal"/>
    <w:link w:val="Heading4Char"/>
    <w:qFormat/>
    <w:rsid w:val="002B7335"/>
    <w:pPr>
      <w:spacing w:before="240"/>
      <w:outlineLvl w:val="3"/>
    </w:pPr>
    <w:rPr>
      <w:b/>
    </w:rPr>
  </w:style>
  <w:style w:type="paragraph" w:styleId="Heading5">
    <w:name w:val="heading 5"/>
    <w:aliases w:val="EBHeading4"/>
    <w:basedOn w:val="Normal"/>
    <w:next w:val="Normal"/>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link w:val="IATableLabel"/>
    <w:rsid w:val="00402E80"/>
    <w:rPr>
      <w:rFonts w:ascii="Arial" w:eastAsia="SimSun" w:hAnsi="Arial"/>
      <w:b/>
      <w:color w:val="000000"/>
      <w:spacing w:val="-5"/>
      <w:lang w:val="en-GB" w:eastAsia="zh-CN" w:bidi="ar-SA"/>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rsid w:val="00220F29"/>
    <w:rPr>
      <w:rFonts w:ascii="Arial" w:eastAsia="SimSun" w:hAnsi="Arial"/>
      <w:b/>
      <w:color w:val="000000"/>
      <w:spacing w:val="-5"/>
      <w:sz w:val="22"/>
      <w:lang w:val="en-GB" w:eastAsia="zh-CN" w:bidi="ar-SA"/>
    </w:rPr>
  </w:style>
  <w:style w:type="paragraph" w:styleId="BodyText">
    <w:name w:val="Body Text"/>
    <w:basedOn w:val="Normal"/>
    <w:link w:val="BodyTextChar"/>
    <w:rsid w:val="003E54B6"/>
    <w:pPr>
      <w:spacing w:after="120"/>
    </w:pPr>
    <w:rPr>
      <w:rFonts w:cs="Arial"/>
      <w:bCs/>
      <w:color w:val="000000"/>
      <w:sz w:val="22"/>
      <w:szCs w:val="22"/>
      <w:lang w:eastAsia="en-GB"/>
    </w:rPr>
  </w:style>
  <w:style w:type="table" w:styleId="TableGrid">
    <w:name w:val="Table Grid"/>
    <w:basedOn w:val="TableNormal"/>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F64C7"/>
    <w:pPr>
      <w:ind w:left="113"/>
      <w:outlineLvl w:val="0"/>
    </w:pPr>
    <w:rPr>
      <w:rFonts w:cs="Arial"/>
      <w:bCs/>
      <w:color w:val="FFFFFF"/>
      <w:kern w:val="28"/>
      <w:sz w:val="32"/>
      <w:szCs w:val="32"/>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rsid w:val="00570F8E"/>
    <w:rPr>
      <w:rFonts w:ascii="Arial" w:eastAsia="SimSun" w:hAnsi="Arial"/>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vAlign w:val="center"/>
    </w:tcPr>
  </w:style>
  <w:style w:type="paragraph" w:customStyle="1" w:styleId="IATableNotes">
    <w:name w:val="IATableNotes"/>
    <w:basedOn w:val="Normal"/>
    <w:link w:val="IATableNotesChar"/>
    <w:rsid w:val="006A5A2E"/>
    <w:pPr>
      <w:spacing w:before="60" w:after="60"/>
      <w:ind w:left="113" w:right="113"/>
    </w:pPr>
    <w:rPr>
      <w:rFonts w:eastAsia="SimSun"/>
      <w:sz w:val="18"/>
      <w:szCs w:val="20"/>
      <w:lang w:eastAsia="zh-CN"/>
    </w:rPr>
  </w:style>
  <w:style w:type="character" w:customStyle="1" w:styleId="IATableNotesChar">
    <w:name w:val="IATableNotes Char"/>
    <w:link w:val="IATableNotes"/>
    <w:rsid w:val="006A5A2E"/>
    <w:rPr>
      <w:rFonts w:ascii="Arial" w:eastAsia="SimSun" w:hAnsi="Arial"/>
      <w:sz w:val="18"/>
      <w:lang w:val="en-GB" w:eastAsia="zh-CN" w:bidi="ar-SA"/>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rsid w:val="006A5A2E"/>
    <w:rPr>
      <w:rFonts w:ascii="Arial" w:eastAsia="SimSun" w:hAnsi="Arial"/>
      <w:b/>
      <w:bCs/>
      <w:i/>
      <w:iCs/>
      <w:sz w:val="18"/>
      <w:lang w:val="en-GB" w:eastAsia="zh-CN" w:bidi="ar-SA"/>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rsid w:val="009050B9"/>
    <w:rPr>
      <w:rFonts w:ascii="Arial" w:eastAsia="SimSun" w:hAnsi="Arial"/>
      <w:b/>
      <w:color w:val="000000"/>
      <w:spacing w:val="-5"/>
      <w:szCs w:val="22"/>
      <w:u w:val="single"/>
      <w:lang w:val="en-GB" w:eastAsia="zh-CN" w:bidi="ar-SA"/>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rsid w:val="00E96CB5"/>
    <w:pPr>
      <w:jc w:val="center"/>
    </w:pPr>
    <w:rPr>
      <w:caps/>
    </w:rPr>
  </w:style>
  <w:style w:type="paragraph" w:styleId="Footer">
    <w:name w:val="footer"/>
    <w:basedOn w:val="Normal"/>
    <w:rsid w:val="000407D8"/>
    <w:pPr>
      <w:tabs>
        <w:tab w:val="center" w:pos="5132"/>
        <w:tab w:val="right" w:pos="10260"/>
      </w:tabs>
      <w:jc w:val="center"/>
    </w:pPr>
    <w:rPr>
      <w:b/>
      <w:sz w:val="18"/>
    </w:rPr>
  </w:style>
  <w:style w:type="character" w:styleId="PageNumber">
    <w:name w:val="page number"/>
    <w:basedOn w:val="DefaultParagraphFont"/>
    <w:rsid w:val="00EB43FD"/>
  </w:style>
  <w:style w:type="character" w:customStyle="1" w:styleId="BodyTextChar">
    <w:name w:val="Body Text Char"/>
    <w:link w:val="BodyText"/>
    <w:rsid w:val="0049416F"/>
    <w:rPr>
      <w:rFonts w:ascii="Arial" w:hAnsi="Arial" w:cs="Arial"/>
      <w:bCs/>
      <w:color w:val="000000"/>
      <w:sz w:val="22"/>
      <w:szCs w:val="22"/>
      <w:lang w:val="en-GB" w:eastAsia="en-GB" w:bidi="ar-SA"/>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link w:val="FootnoteTextChar"/>
    <w:uiPriority w:val="99"/>
    <w:semiHidden/>
    <w:rsid w:val="00490FF7"/>
    <w:rPr>
      <w:rFonts w:eastAsia="SimSun"/>
      <w:sz w:val="16"/>
      <w:szCs w:val="20"/>
      <w:lang w:eastAsia="zh-CN"/>
    </w:rPr>
  </w:style>
  <w:style w:type="character" w:styleId="FootnoteReference">
    <w:name w:val="footnote reference"/>
    <w:uiPriority w:val="99"/>
    <w:rsid w:val="00B84190"/>
    <w:rPr>
      <w:sz w:val="22"/>
      <w:vertAlign w:val="superscript"/>
    </w:rPr>
  </w:style>
  <w:style w:type="paragraph" w:customStyle="1" w:styleId="EBBodyPara">
    <w:name w:val="EBBodyPara"/>
    <w:basedOn w:val="BodyText"/>
    <w:rsid w:val="005A2FC0"/>
  </w:style>
  <w:style w:type="paragraph" w:styleId="BalloonText">
    <w:name w:val="Balloon Text"/>
    <w:basedOn w:val="Normal"/>
    <w:semiHidden/>
    <w:rsid w:val="00300CED"/>
    <w:rPr>
      <w:rFonts w:ascii="Tahoma" w:hAnsi="Tahoma" w:cs="Tahoma"/>
      <w:sz w:val="16"/>
      <w:szCs w:val="16"/>
    </w:rPr>
  </w:style>
  <w:style w:type="paragraph" w:customStyle="1" w:styleId="EBNumber">
    <w:name w:val="EBNumber"/>
    <w:basedOn w:val="BodyText"/>
    <w:rsid w:val="002B7335"/>
    <w:pPr>
      <w:numPr>
        <w:ilvl w:val="1"/>
        <w:numId w:val="20"/>
      </w:numPr>
    </w:pPr>
  </w:style>
  <w:style w:type="paragraph" w:customStyle="1" w:styleId="EBNumberRestart">
    <w:name w:val="EBNumberRestart"/>
    <w:basedOn w:val="BodyText"/>
    <w:next w:val="EBNumber"/>
    <w:rsid w:val="002B7335"/>
    <w:pPr>
      <w:numPr>
        <w:numId w:val="20"/>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2"/>
      </w:numPr>
    </w:pPr>
  </w:style>
  <w:style w:type="character" w:styleId="Hyperlink">
    <w:name w:val="Hyperlink"/>
    <w:rsid w:val="00B4136C"/>
    <w:rPr>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17"/>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rsid w:val="006D37CF"/>
    <w:rPr>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rsid w:val="00F622E8"/>
    <w:rPr>
      <w:rFonts w:ascii="Arial" w:eastAsia="SimSun" w:hAnsi="Arial"/>
      <w:b/>
      <w:color w:val="000000"/>
      <w:spacing w:val="-5"/>
      <w:szCs w:val="22"/>
      <w:lang w:val="en-GB" w:eastAsia="zh-CN" w:bidi="ar-SA"/>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rsid w:val="00F622E8"/>
    <w:rPr>
      <w:rFonts w:ascii="Arial" w:eastAsia="SimSun" w:hAnsi="Arial"/>
      <w:b/>
      <w:color w:val="000000"/>
      <w:spacing w:val="-5"/>
      <w:szCs w:val="22"/>
      <w:lang w:val="en-GB" w:eastAsia="zh-CN" w:bidi="ar-SA"/>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rsid w:val="00F622E8"/>
    <w:rPr>
      <w:rFonts w:ascii="Arial" w:eastAsia="SimSun" w:hAnsi="Arial"/>
      <w:b/>
      <w:color w:val="000000"/>
      <w:spacing w:val="-5"/>
      <w:szCs w:val="22"/>
      <w:lang w:val="en-GB" w:eastAsia="zh-CN" w:bidi="ar-SA"/>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rsid w:val="00F1653E"/>
    <w:rPr>
      <w:rFonts w:ascii="Arial" w:eastAsia="SimSun" w:hAnsi="Arial"/>
      <w:b/>
      <w:color w:val="000000"/>
      <w:spacing w:val="-5"/>
      <w:lang w:val="en-GB" w:eastAsia="zh-CN" w:bidi="ar-SA"/>
    </w:rPr>
  </w:style>
  <w:style w:type="character" w:customStyle="1" w:styleId="IPPOQ3Char">
    <w:name w:val="IPPOQ3 Char"/>
    <w:basedOn w:val="IAPOQ2Char"/>
    <w:link w:val="IPPOQ3"/>
    <w:rsid w:val="00F1653E"/>
    <w:rPr>
      <w:rFonts w:ascii="Arial" w:eastAsia="SimSun" w:hAnsi="Arial"/>
      <w:b/>
      <w:color w:val="000000"/>
      <w:spacing w:val="-5"/>
      <w:lang w:val="en-GB" w:eastAsia="zh-CN" w:bidi="ar-SA"/>
    </w:rPr>
  </w:style>
  <w:style w:type="character" w:customStyle="1" w:styleId="IAPOQ4Char">
    <w:name w:val="IAPOQ4 Char"/>
    <w:basedOn w:val="IPPOQ3Char"/>
    <w:link w:val="IAPOQ4"/>
    <w:rsid w:val="00F1653E"/>
    <w:rPr>
      <w:rFonts w:ascii="Arial" w:eastAsia="SimSun" w:hAnsi="Arial"/>
      <w:b/>
      <w:color w:val="000000"/>
      <w:spacing w:val="-5"/>
      <w:lang w:val="en-GB" w:eastAsia="zh-CN" w:bidi="ar-SA"/>
    </w:rPr>
  </w:style>
  <w:style w:type="character" w:customStyle="1" w:styleId="IAPOQ5Char">
    <w:name w:val="IAPOQ5 Char"/>
    <w:basedOn w:val="IAPOQ4Char"/>
    <w:link w:val="IAPOQ5"/>
    <w:rsid w:val="00F1653E"/>
    <w:rPr>
      <w:rFonts w:ascii="Arial" w:eastAsia="SimSun" w:hAnsi="Arial"/>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rsid w:val="000E3FD7"/>
    <w:rPr>
      <w:rFonts w:ascii="Arial" w:eastAsia="SimSun" w:hAnsi="Arial"/>
      <w:b/>
      <w:color w:val="000000"/>
      <w:spacing w:val="-5"/>
      <w:sz w:val="22"/>
      <w:szCs w:val="22"/>
      <w:lang w:val="en-GB" w:eastAsia="zh-CN" w:bidi="ar-SA"/>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rsid w:val="000E3FD7"/>
    <w:rPr>
      <w:rFonts w:ascii="Arial" w:eastAsia="SimSun" w:hAnsi="Arial"/>
      <w:b/>
      <w:color w:val="000000"/>
      <w:spacing w:val="-5"/>
      <w:sz w:val="22"/>
      <w:szCs w:val="22"/>
      <w:lang w:val="en-GB" w:eastAsia="zh-CN" w:bidi="ar-SA"/>
    </w:rPr>
  </w:style>
  <w:style w:type="character" w:customStyle="1" w:styleId="IAPODIBenChar">
    <w:name w:val="IAPODIBen Char"/>
    <w:link w:val="IAPODIBen"/>
    <w:rsid w:val="000E3FD7"/>
    <w:rPr>
      <w:rFonts w:ascii="Arial" w:eastAsia="SimSun" w:hAnsi="Arial"/>
      <w:b/>
      <w:color w:val="000000"/>
      <w:spacing w:val="-5"/>
      <w:sz w:val="22"/>
      <w:szCs w:val="22"/>
      <w:lang w:val="en-GB" w:eastAsia="zh-CN" w:bidi="ar-SA"/>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rPr>
      <w:rFonts w:ascii="Times New Roman" w:eastAsia="Calibri" w:hAnsi="Times New Roman"/>
      <w:lang w:eastAsia="en-GB"/>
    </w:r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rsid w:val="008031EC"/>
    <w:rPr>
      <w:rFonts w:ascii="Arial" w:eastAsia="SimSun" w:hAnsi="Arial"/>
      <w:b/>
      <w:color w:val="000000"/>
      <w:spacing w:val="-6"/>
      <w:sz w:val="22"/>
      <w:szCs w:val="22"/>
      <w:lang w:val="en-GB" w:eastAsia="zh-CN" w:bidi="ar-SA"/>
    </w:rPr>
  </w:style>
  <w:style w:type="character" w:customStyle="1" w:styleId="IAHeadTitleChar">
    <w:name w:val="IAHeadTitle Char"/>
    <w:link w:val="IAHeadTitle"/>
    <w:rsid w:val="008031EC"/>
    <w:rPr>
      <w:rFonts w:ascii="Arial" w:eastAsia="SimSun" w:hAnsi="Arial"/>
      <w:b/>
      <w:color w:val="000000"/>
      <w:spacing w:val="-6"/>
      <w:sz w:val="28"/>
      <w:szCs w:val="28"/>
      <w:lang w:val="en-GB" w:eastAsia="zh-CN" w:bidi="ar-SA"/>
    </w:rPr>
  </w:style>
  <w:style w:type="character" w:customStyle="1" w:styleId="IANoChar">
    <w:name w:val="IANo Char"/>
    <w:link w:val="IANo"/>
    <w:rsid w:val="005F32E7"/>
    <w:rPr>
      <w:rFonts w:ascii="Arial" w:eastAsia="SimSun" w:hAnsi="Arial"/>
      <w:b/>
      <w:color w:val="000000"/>
      <w:spacing w:val="-6"/>
      <w:sz w:val="28"/>
      <w:szCs w:val="22"/>
      <w:lang w:val="en-GB" w:eastAsia="en-US" w:bidi="ar-SA"/>
    </w:rPr>
  </w:style>
  <w:style w:type="paragraph" w:customStyle="1" w:styleId="IALeadDept">
    <w:name w:val="IALeadDept"/>
    <w:basedOn w:val="Normal"/>
    <w:rsid w:val="005F32E7"/>
    <w:pPr>
      <w:ind w:left="113"/>
    </w:pPr>
    <w:rPr>
      <w:rFonts w:eastAsia="Arial Unicode M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rsid w:val="00F91F5A"/>
    <w:rPr>
      <w:rFonts w:ascii="Arial" w:eastAsia="SimSun" w:hAnsi="Arial"/>
      <w:b/>
      <w:color w:val="000000"/>
      <w:spacing w:val="-5"/>
      <w:sz w:val="22"/>
      <w:szCs w:val="22"/>
      <w:lang w:val="en-GB" w:eastAsia="zh-CN" w:bidi="ar-SA"/>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rsid w:val="00F91F5A"/>
    <w:rPr>
      <w:rFonts w:ascii="Arial" w:eastAsia="SimSun" w:hAnsi="Arial"/>
      <w:b/>
      <w:color w:val="000000"/>
      <w:spacing w:val="-5"/>
      <w:sz w:val="22"/>
      <w:szCs w:val="22"/>
      <w:lang w:val="en-GB" w:eastAsia="zh-CN" w:bidi="ar-SA"/>
    </w:rPr>
  </w:style>
  <w:style w:type="character" w:customStyle="1" w:styleId="IAIOReviewMonthChar">
    <w:name w:val="IAIOReviewMonth Char"/>
    <w:link w:val="IAIOReviewMonth"/>
    <w:rsid w:val="00F91F5A"/>
    <w:rPr>
      <w:rFonts w:ascii="Arial" w:eastAsia="SimSun" w:hAnsi="Arial"/>
      <w:b/>
      <w:color w:val="000000"/>
      <w:spacing w:val="-5"/>
      <w:sz w:val="22"/>
      <w:szCs w:val="22"/>
      <w:lang w:val="en-GB" w:eastAsia="zh-CN" w:bidi="ar-SA"/>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rsid w:val="00D00846"/>
    <w:rPr>
      <w:rFonts w:ascii="Arial" w:eastAsia="SimSun" w:hAnsi="Arial"/>
      <w:b/>
      <w:color w:val="000000"/>
      <w:spacing w:val="-5"/>
      <w:lang w:val="en-GB" w:eastAsia="zh-CN" w:bidi="ar-SA"/>
    </w:rPr>
  </w:style>
  <w:style w:type="character" w:customStyle="1" w:styleId="IADateChar">
    <w:name w:val="IADate Char"/>
    <w:link w:val="IADate"/>
    <w:rsid w:val="00174C10"/>
    <w:rPr>
      <w:rFonts w:ascii="Arial" w:eastAsia="SimSun" w:hAnsi="Arial"/>
      <w:b/>
      <w:color w:val="000000"/>
      <w:spacing w:val="-5"/>
      <w:sz w:val="22"/>
      <w:szCs w:val="22"/>
      <w:lang w:val="en-GB" w:eastAsia="zh-CN" w:bidi="ar-SA"/>
    </w:rPr>
  </w:style>
  <w:style w:type="character" w:customStyle="1" w:styleId="IATableLinesChar">
    <w:name w:val="IATableLines Char"/>
    <w:basedOn w:val="IATableTextChar"/>
    <w:link w:val="IATableLines"/>
    <w:rsid w:val="00174C10"/>
    <w:rPr>
      <w:rFonts w:ascii="Arial" w:eastAsia="SimSun" w:hAnsi="Arial"/>
      <w:b/>
      <w:color w:val="000000"/>
      <w:spacing w:val="-5"/>
      <w:sz w:val="22"/>
      <w:lang w:val="en-GB" w:eastAsia="zh-CN" w:bidi="ar-SA"/>
    </w:rPr>
  </w:style>
  <w:style w:type="character" w:customStyle="1" w:styleId="IACOEChar">
    <w:name w:val="IACOE Char"/>
    <w:link w:val="IACOE"/>
    <w:rsid w:val="00B225B0"/>
    <w:rPr>
      <w:rFonts w:ascii="Arial" w:eastAsia="SimSun" w:hAnsi="Arial"/>
      <w:b/>
      <w:color w:val="000000"/>
      <w:spacing w:val="-5"/>
      <w:sz w:val="22"/>
      <w:szCs w:val="24"/>
      <w:lang w:val="en-GB" w:eastAsia="zh-CN" w:bidi="ar-SA"/>
    </w:rPr>
  </w:style>
  <w:style w:type="character" w:customStyle="1" w:styleId="IAStageChar">
    <w:name w:val="IAStage Char"/>
    <w:link w:val="IAStage"/>
    <w:rsid w:val="00174C10"/>
    <w:rPr>
      <w:rFonts w:ascii="Arial" w:eastAsia="SimSun" w:hAnsi="Arial"/>
      <w:b/>
      <w:color w:val="000000"/>
      <w:spacing w:val="-5"/>
      <w:sz w:val="22"/>
      <w:lang w:val="en-GB" w:eastAsia="zh-CN" w:bidi="ar-SA"/>
    </w:rPr>
  </w:style>
  <w:style w:type="character" w:customStyle="1" w:styleId="IASOIChar">
    <w:name w:val="IASOI Char"/>
    <w:link w:val="IASOI"/>
    <w:rsid w:val="00174C10"/>
    <w:rPr>
      <w:rFonts w:ascii="Arial" w:eastAsia="SimSun" w:hAnsi="Arial"/>
      <w:b/>
      <w:color w:val="000000"/>
      <w:spacing w:val="-5"/>
      <w:sz w:val="22"/>
      <w:lang w:val="en-GB" w:eastAsia="zh-CN" w:bidi="ar-SA"/>
    </w:rPr>
  </w:style>
  <w:style w:type="character" w:customStyle="1" w:styleId="IATOMChar">
    <w:name w:val="IATOM Char"/>
    <w:link w:val="IATOM"/>
    <w:rsid w:val="00174C10"/>
    <w:rPr>
      <w:rFonts w:ascii="Arial" w:eastAsia="SimSun" w:hAnsi="Arial"/>
      <w:b/>
      <w:color w:val="000000"/>
      <w:spacing w:val="-5"/>
      <w:sz w:val="22"/>
      <w:lang w:val="en-GB" w:eastAsia="zh-CN" w:bidi="ar-SA"/>
    </w:rPr>
  </w:style>
  <w:style w:type="character" w:customStyle="1" w:styleId="TitleChar">
    <w:name w:val="Title Char"/>
    <w:link w:val="Title"/>
    <w:rsid w:val="00174C10"/>
    <w:rPr>
      <w:rFonts w:ascii="Arial" w:hAnsi="Arial" w:cs="Arial"/>
      <w:bCs/>
      <w:color w:val="FFFFFF"/>
      <w:kern w:val="28"/>
      <w:sz w:val="32"/>
      <w:szCs w:val="32"/>
      <w:lang w:val="en-GB" w:eastAsia="en-US" w:bidi="ar-SA"/>
    </w:rPr>
  </w:style>
  <w:style w:type="character" w:customStyle="1" w:styleId="IARPCChar">
    <w:name w:val="IARPC Char"/>
    <w:link w:val="IARPC"/>
    <w:rsid w:val="00174C10"/>
    <w:rPr>
      <w:rFonts w:ascii="Arial" w:eastAsia="SimSun" w:hAnsi="Arial" w:cs="Arial"/>
      <w:bCs/>
      <w:color w:val="000000"/>
      <w:kern w:val="28"/>
      <w:sz w:val="24"/>
      <w:szCs w:val="24"/>
      <w:lang w:val="en-GB" w:eastAsia="en-US" w:bidi="ar-SA"/>
    </w:rPr>
  </w:style>
  <w:style w:type="character" w:customStyle="1" w:styleId="IAIOCheckMicroChar">
    <w:name w:val="IAIOCheckMicro Char"/>
    <w:basedOn w:val="IATableLinesChar"/>
    <w:link w:val="IAIOCheckMicro"/>
    <w:rsid w:val="00D478C9"/>
    <w:rPr>
      <w:rFonts w:ascii="Arial" w:eastAsia="SimSun" w:hAnsi="Arial"/>
      <w:b/>
      <w:color w:val="000000"/>
      <w:spacing w:val="-5"/>
      <w:sz w:val="22"/>
      <w:lang w:val="en-GB" w:eastAsia="zh-CN" w:bidi="ar-SA"/>
    </w:rPr>
  </w:style>
  <w:style w:type="character" w:customStyle="1" w:styleId="IAIOCheckSmallChar">
    <w:name w:val="IAIOCheckSmall Char"/>
    <w:basedOn w:val="IATableLinesChar"/>
    <w:link w:val="IAIOCheckSmall"/>
    <w:rsid w:val="00D478C9"/>
    <w:rPr>
      <w:rFonts w:ascii="Arial" w:eastAsia="SimSun" w:hAnsi="Arial"/>
      <w:b/>
      <w:color w:val="000000"/>
      <w:spacing w:val="-5"/>
      <w:sz w:val="22"/>
      <w:lang w:val="en-GB" w:eastAsia="zh-CN" w:bidi="ar-SA"/>
    </w:rPr>
  </w:style>
  <w:style w:type="character" w:customStyle="1" w:styleId="IAIOCheckMediumChar">
    <w:name w:val="IAIOCheckMedium Char"/>
    <w:basedOn w:val="IATableLinesChar"/>
    <w:link w:val="IAIOCheckMedium"/>
    <w:rsid w:val="00D478C9"/>
    <w:rPr>
      <w:rFonts w:ascii="Arial" w:eastAsia="SimSun" w:hAnsi="Arial"/>
      <w:b/>
      <w:color w:val="000000"/>
      <w:spacing w:val="-5"/>
      <w:sz w:val="22"/>
      <w:lang w:val="en-GB" w:eastAsia="zh-CN" w:bidi="ar-SA"/>
    </w:rPr>
  </w:style>
  <w:style w:type="character" w:customStyle="1" w:styleId="IAIOCheckLargeChar">
    <w:name w:val="IAIOCheckLarge Char"/>
    <w:basedOn w:val="IATableLinesChar"/>
    <w:link w:val="IAIOCheckLarge"/>
    <w:rsid w:val="00D478C9"/>
    <w:rPr>
      <w:rFonts w:ascii="Arial" w:eastAsia="SimSun" w:hAnsi="Arial"/>
      <w:b/>
      <w:color w:val="000000"/>
      <w:spacing w:val="-5"/>
      <w:sz w:val="22"/>
      <w:lang w:val="en-GB" w:eastAsia="zh-CN" w:bidi="ar-SA"/>
    </w:rPr>
  </w:style>
  <w:style w:type="character" w:customStyle="1" w:styleId="IAIOCO2TradedChar">
    <w:name w:val="IAIOCO2Traded Char"/>
    <w:link w:val="IAIOCO2Traded"/>
    <w:rsid w:val="00D478C9"/>
    <w:rPr>
      <w:rFonts w:ascii="Arial" w:eastAsia="SimSun" w:hAnsi="Arial"/>
      <w:b/>
      <w:color w:val="000000"/>
      <w:spacing w:val="-5"/>
      <w:sz w:val="22"/>
      <w:lang w:val="en-GB" w:eastAsia="zh-CN" w:bidi="ar-SA"/>
    </w:rPr>
  </w:style>
  <w:style w:type="paragraph" w:styleId="Subtitle">
    <w:name w:val="Subtitle"/>
    <w:basedOn w:val="Normal"/>
    <w:next w:val="Normal"/>
    <w:link w:val="SubtitleChar"/>
    <w:rsid w:val="00226D6A"/>
    <w:pPr>
      <w:keepNext/>
      <w:keepLines/>
      <w:spacing w:after="180"/>
      <w:jc w:val="center"/>
    </w:pPr>
    <w:rPr>
      <w:rFonts w:ascii="Trebuchet MS" w:eastAsia="Trebuchet MS" w:hAnsi="Trebuchet MS" w:cs="Trebuchet MS"/>
      <w:i/>
      <w:color w:val="000000"/>
      <w:sz w:val="40"/>
      <w:szCs w:val="20"/>
      <w:lang w:eastAsia="en-GB"/>
    </w:rPr>
  </w:style>
  <w:style w:type="character" w:customStyle="1" w:styleId="IALabel">
    <w:name w:val="IALabel"/>
    <w:rsid w:val="009F6692"/>
    <w:rPr>
      <w:color w:val="000000"/>
      <w:sz w:val="20"/>
    </w:rPr>
  </w:style>
  <w:style w:type="character" w:customStyle="1" w:styleId="SubtitleChar">
    <w:name w:val="Subtitle Char"/>
    <w:link w:val="Subtitle"/>
    <w:rsid w:val="00226D6A"/>
    <w:rPr>
      <w:rFonts w:ascii="Trebuchet MS" w:eastAsia="Trebuchet MS" w:hAnsi="Trebuchet MS" w:cs="Trebuchet MS"/>
      <w:i/>
      <w:color w:val="000000"/>
      <w:sz w:val="40"/>
    </w:rPr>
  </w:style>
  <w:style w:type="paragraph" w:styleId="ListParagraph">
    <w:name w:val="List Paragraph"/>
    <w:basedOn w:val="Normal"/>
    <w:uiPriority w:val="34"/>
    <w:qFormat/>
    <w:rsid w:val="003A5F4F"/>
    <w:pPr>
      <w:ind w:left="720"/>
      <w:contextualSpacing/>
    </w:pPr>
  </w:style>
  <w:style w:type="character" w:customStyle="1" w:styleId="Heading4Char">
    <w:name w:val="Heading 4 Char"/>
    <w:aliases w:val="EBHeading3 Char"/>
    <w:basedOn w:val="DefaultParagraphFont"/>
    <w:link w:val="Heading4"/>
    <w:rsid w:val="00771726"/>
    <w:rPr>
      <w:rFonts w:ascii="Arial" w:hAnsi="Arial" w:cs="Arial"/>
      <w:b/>
      <w:bCs/>
      <w:color w:val="000000"/>
      <w:sz w:val="22"/>
      <w:szCs w:val="22"/>
    </w:rPr>
  </w:style>
  <w:style w:type="character" w:customStyle="1" w:styleId="FootnoteTextChar">
    <w:name w:val="Footnote Text Char"/>
    <w:basedOn w:val="DefaultParagraphFont"/>
    <w:link w:val="FootnoteText"/>
    <w:uiPriority w:val="99"/>
    <w:semiHidden/>
    <w:rsid w:val="00771726"/>
    <w:rPr>
      <w:rFonts w:ascii="Arial" w:eastAsia="SimSun" w:hAnsi="Arial"/>
      <w:sz w:val="16"/>
      <w:lang w:eastAsia="zh-CN"/>
    </w:rPr>
  </w:style>
  <w:style w:type="paragraph" w:styleId="CommentText">
    <w:name w:val="annotation text"/>
    <w:basedOn w:val="Normal"/>
    <w:link w:val="CommentTextChar"/>
    <w:uiPriority w:val="99"/>
    <w:unhideWhenUsed/>
    <w:rsid w:val="00771726"/>
    <w:rPr>
      <w:sz w:val="20"/>
      <w:szCs w:val="20"/>
    </w:rPr>
  </w:style>
  <w:style w:type="character" w:customStyle="1" w:styleId="CommentTextChar">
    <w:name w:val="Comment Text Char"/>
    <w:basedOn w:val="DefaultParagraphFont"/>
    <w:link w:val="CommentText"/>
    <w:uiPriority w:val="99"/>
    <w:rsid w:val="00771726"/>
    <w:rPr>
      <w:rFonts w:ascii="Arial" w:hAnsi="Arial"/>
      <w:lang w:eastAsia="en-US"/>
    </w:rPr>
  </w:style>
  <w:style w:type="character" w:styleId="CommentReference">
    <w:name w:val="annotation reference"/>
    <w:basedOn w:val="DefaultParagraphFont"/>
    <w:rsid w:val="007D1ED4"/>
    <w:rPr>
      <w:sz w:val="16"/>
      <w:szCs w:val="16"/>
    </w:rPr>
  </w:style>
  <w:style w:type="paragraph" w:styleId="CommentSubject">
    <w:name w:val="annotation subject"/>
    <w:basedOn w:val="CommentText"/>
    <w:next w:val="CommentText"/>
    <w:link w:val="CommentSubjectChar"/>
    <w:rsid w:val="007D1ED4"/>
    <w:rPr>
      <w:b/>
      <w:bCs/>
    </w:rPr>
  </w:style>
  <w:style w:type="character" w:customStyle="1" w:styleId="CommentSubjectChar">
    <w:name w:val="Comment Subject Char"/>
    <w:basedOn w:val="CommentTextChar"/>
    <w:link w:val="CommentSubject"/>
    <w:rsid w:val="007D1ED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25501">
      <w:bodyDiv w:val="1"/>
      <w:marLeft w:val="0"/>
      <w:marRight w:val="0"/>
      <w:marTop w:val="0"/>
      <w:marBottom w:val="0"/>
      <w:divBdr>
        <w:top w:val="none" w:sz="0" w:space="0" w:color="auto"/>
        <w:left w:val="none" w:sz="0" w:space="0" w:color="auto"/>
        <w:bottom w:val="none" w:sz="0" w:space="0" w:color="auto"/>
        <w:right w:val="none" w:sz="0" w:space="0" w:color="auto"/>
      </w:divBdr>
    </w:div>
    <w:div w:id="300119576">
      <w:bodyDiv w:val="1"/>
      <w:marLeft w:val="0"/>
      <w:marRight w:val="0"/>
      <w:marTop w:val="0"/>
      <w:marBottom w:val="0"/>
      <w:divBdr>
        <w:top w:val="none" w:sz="0" w:space="0" w:color="auto"/>
        <w:left w:val="none" w:sz="0" w:space="0" w:color="auto"/>
        <w:bottom w:val="none" w:sz="0" w:space="0" w:color="auto"/>
        <w:right w:val="none" w:sz="0" w:space="0" w:color="auto"/>
      </w:divBdr>
    </w:div>
    <w:div w:id="396441983">
      <w:bodyDiv w:val="1"/>
      <w:marLeft w:val="0"/>
      <w:marRight w:val="0"/>
      <w:marTop w:val="0"/>
      <w:marBottom w:val="0"/>
      <w:divBdr>
        <w:top w:val="none" w:sz="0" w:space="0" w:color="auto"/>
        <w:left w:val="none" w:sz="0" w:space="0" w:color="auto"/>
        <w:bottom w:val="none" w:sz="0" w:space="0" w:color="auto"/>
        <w:right w:val="none" w:sz="0" w:space="0" w:color="auto"/>
      </w:divBdr>
    </w:div>
    <w:div w:id="533929655">
      <w:bodyDiv w:val="1"/>
      <w:marLeft w:val="0"/>
      <w:marRight w:val="0"/>
      <w:marTop w:val="0"/>
      <w:marBottom w:val="0"/>
      <w:divBdr>
        <w:top w:val="none" w:sz="0" w:space="0" w:color="auto"/>
        <w:left w:val="none" w:sz="0" w:space="0" w:color="auto"/>
        <w:bottom w:val="none" w:sz="0" w:space="0" w:color="auto"/>
        <w:right w:val="none" w:sz="0" w:space="0" w:color="auto"/>
      </w:divBdr>
    </w:div>
    <w:div w:id="562563764">
      <w:bodyDiv w:val="1"/>
      <w:marLeft w:val="0"/>
      <w:marRight w:val="0"/>
      <w:marTop w:val="0"/>
      <w:marBottom w:val="0"/>
      <w:divBdr>
        <w:top w:val="none" w:sz="0" w:space="0" w:color="auto"/>
        <w:left w:val="none" w:sz="0" w:space="0" w:color="auto"/>
        <w:bottom w:val="none" w:sz="0" w:space="0" w:color="auto"/>
        <w:right w:val="none" w:sz="0" w:space="0" w:color="auto"/>
      </w:divBdr>
    </w:div>
    <w:div w:id="948972132">
      <w:bodyDiv w:val="1"/>
      <w:marLeft w:val="0"/>
      <w:marRight w:val="0"/>
      <w:marTop w:val="0"/>
      <w:marBottom w:val="0"/>
      <w:divBdr>
        <w:top w:val="none" w:sz="0" w:space="0" w:color="auto"/>
        <w:left w:val="none" w:sz="0" w:space="0" w:color="auto"/>
        <w:bottom w:val="none" w:sz="0" w:space="0" w:color="auto"/>
        <w:right w:val="none" w:sz="0" w:space="0" w:color="auto"/>
      </w:divBdr>
    </w:div>
    <w:div w:id="1063060057">
      <w:bodyDiv w:val="1"/>
      <w:marLeft w:val="0"/>
      <w:marRight w:val="0"/>
      <w:marTop w:val="0"/>
      <w:marBottom w:val="0"/>
      <w:divBdr>
        <w:top w:val="none" w:sz="0" w:space="0" w:color="auto"/>
        <w:left w:val="none" w:sz="0" w:space="0" w:color="auto"/>
        <w:bottom w:val="none" w:sz="0" w:space="0" w:color="auto"/>
        <w:right w:val="none" w:sz="0" w:space="0" w:color="auto"/>
      </w:divBdr>
    </w:div>
    <w:div w:id="1187599609">
      <w:bodyDiv w:val="1"/>
      <w:marLeft w:val="0"/>
      <w:marRight w:val="0"/>
      <w:marTop w:val="0"/>
      <w:marBottom w:val="0"/>
      <w:divBdr>
        <w:top w:val="none" w:sz="0" w:space="0" w:color="auto"/>
        <w:left w:val="none" w:sz="0" w:space="0" w:color="auto"/>
        <w:bottom w:val="none" w:sz="0" w:space="0" w:color="auto"/>
        <w:right w:val="none" w:sz="0" w:space="0" w:color="auto"/>
      </w:divBdr>
    </w:div>
    <w:div w:id="1261641921">
      <w:bodyDiv w:val="1"/>
      <w:marLeft w:val="0"/>
      <w:marRight w:val="0"/>
      <w:marTop w:val="0"/>
      <w:marBottom w:val="0"/>
      <w:divBdr>
        <w:top w:val="none" w:sz="0" w:space="0" w:color="auto"/>
        <w:left w:val="none" w:sz="0" w:space="0" w:color="auto"/>
        <w:bottom w:val="none" w:sz="0" w:space="0" w:color="auto"/>
        <w:right w:val="none" w:sz="0" w:space="0" w:color="auto"/>
      </w:divBdr>
    </w:div>
    <w:div w:id="1432967598">
      <w:bodyDiv w:val="1"/>
      <w:marLeft w:val="0"/>
      <w:marRight w:val="0"/>
      <w:marTop w:val="0"/>
      <w:marBottom w:val="0"/>
      <w:divBdr>
        <w:top w:val="none" w:sz="0" w:space="0" w:color="auto"/>
        <w:left w:val="none" w:sz="0" w:space="0" w:color="auto"/>
        <w:bottom w:val="none" w:sz="0" w:space="0" w:color="auto"/>
        <w:right w:val="none" w:sz="0" w:space="0" w:color="auto"/>
      </w:divBdr>
    </w:div>
    <w:div w:id="1697193858">
      <w:bodyDiv w:val="1"/>
      <w:marLeft w:val="0"/>
      <w:marRight w:val="0"/>
      <w:marTop w:val="0"/>
      <w:marBottom w:val="0"/>
      <w:divBdr>
        <w:top w:val="none" w:sz="0" w:space="0" w:color="auto"/>
        <w:left w:val="none" w:sz="0" w:space="0" w:color="auto"/>
        <w:bottom w:val="none" w:sz="0" w:space="0" w:color="auto"/>
        <w:right w:val="none" w:sz="0" w:space="0" w:color="auto"/>
      </w:divBdr>
    </w:div>
    <w:div w:id="1787237988">
      <w:bodyDiv w:val="1"/>
      <w:marLeft w:val="0"/>
      <w:marRight w:val="0"/>
      <w:marTop w:val="0"/>
      <w:marBottom w:val="0"/>
      <w:divBdr>
        <w:top w:val="none" w:sz="0" w:space="0" w:color="auto"/>
        <w:left w:val="none" w:sz="0" w:space="0" w:color="auto"/>
        <w:bottom w:val="none" w:sz="0" w:space="0" w:color="auto"/>
        <w:right w:val="none" w:sz="0" w:space="0" w:color="auto"/>
      </w:divBdr>
    </w:div>
    <w:div w:id="1894079674">
      <w:bodyDiv w:val="1"/>
      <w:marLeft w:val="0"/>
      <w:marRight w:val="0"/>
      <w:marTop w:val="0"/>
      <w:marBottom w:val="0"/>
      <w:divBdr>
        <w:top w:val="none" w:sz="0" w:space="0" w:color="auto"/>
        <w:left w:val="none" w:sz="0" w:space="0" w:color="auto"/>
        <w:bottom w:val="none" w:sz="0" w:space="0" w:color="auto"/>
        <w:right w:val="none" w:sz="0" w:space="0" w:color="auto"/>
      </w:divBdr>
    </w:div>
    <w:div w:id="1926264231">
      <w:bodyDiv w:val="1"/>
      <w:marLeft w:val="0"/>
      <w:marRight w:val="0"/>
      <w:marTop w:val="0"/>
      <w:marBottom w:val="0"/>
      <w:divBdr>
        <w:top w:val="none" w:sz="0" w:space="0" w:color="auto"/>
        <w:left w:val="none" w:sz="0" w:space="0" w:color="auto"/>
        <w:bottom w:val="none" w:sz="0" w:space="0" w:color="auto"/>
        <w:right w:val="none" w:sz="0" w:space="0" w:color="auto"/>
      </w:divBdr>
    </w:div>
    <w:div w:id="21293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alityhumanrights.com/sites/default/files/documents/research/gender_pay_gap_proposals_fin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company-reporting-gender-pay-dat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oecd.org/gov/regulatory-policy/34227698.pdf" TargetMode="External"/><Relationship Id="rId1" Type="http://schemas.openxmlformats.org/officeDocument/2006/relationships/hyperlink" Target="https://www.gov.uk/government/statistics/business-population-estimates-2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ini.ananth\Downloads\Section%2078%20Impact%20Assessment%2022.05.2015%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4C262-45E4-4278-9649-E389B5B9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Section 78 Impact Assessment 22.05.2015 (1)</Template>
  <TotalTime>4</TotalTime>
  <Pages>24</Pages>
  <Words>12323</Words>
  <Characters>70244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Impact Assessment</vt:lpstr>
    </vt:vector>
  </TitlesOfParts>
  <Company>BIS</Company>
  <LinksUpToDate>false</LinksUpToDate>
  <CharactersWithSpaces>82403</CharactersWithSpaces>
  <SharedDoc>false</SharedDoc>
  <HLinks>
    <vt:vector size="24" baseType="variant">
      <vt:variant>
        <vt:i4>1835009</vt:i4>
      </vt:variant>
      <vt:variant>
        <vt:i4>314</vt:i4>
      </vt:variant>
      <vt:variant>
        <vt:i4>0</vt:i4>
      </vt:variant>
      <vt:variant>
        <vt:i4>5</vt:i4>
      </vt:variant>
      <vt:variant>
        <vt:lpwstr>http://www.equalityhumanrights.com/sites/default/files/documents/research/gender_pay_gap_proposals_final.pdf</vt:lpwstr>
      </vt:variant>
      <vt:variant>
        <vt:lpwstr/>
      </vt:variant>
      <vt:variant>
        <vt:i4>655437</vt:i4>
      </vt:variant>
      <vt:variant>
        <vt:i4>6</vt:i4>
      </vt:variant>
      <vt:variant>
        <vt:i4>0</vt:i4>
      </vt:variant>
      <vt:variant>
        <vt:i4>5</vt:i4>
      </vt:variant>
      <vt:variant>
        <vt:lpwstr>http://womensbusinesscouncil.dcms.gov.uk/wp-content/uploads/2015/03/Mending-the-talent-gap_March2015_v4-1.pdf</vt:lpwstr>
      </vt:variant>
      <vt:variant>
        <vt:lpwstr/>
      </vt:variant>
      <vt:variant>
        <vt:i4>4128867</vt:i4>
      </vt:variant>
      <vt:variant>
        <vt:i4>3</vt:i4>
      </vt:variant>
      <vt:variant>
        <vt:i4>0</vt:i4>
      </vt:variant>
      <vt:variant>
        <vt:i4>5</vt:i4>
      </vt:variant>
      <vt:variant>
        <vt:lpwstr>https://www.gov.uk/government/publications/companies-signed-up-to-think-act-report/companies-signed-up-to-think-act-report</vt:lpwstr>
      </vt:variant>
      <vt:variant>
        <vt:lpwstr/>
      </vt:variant>
      <vt:variant>
        <vt:i4>4128867</vt:i4>
      </vt:variant>
      <vt:variant>
        <vt:i4>0</vt:i4>
      </vt:variant>
      <vt:variant>
        <vt:i4>0</vt:i4>
      </vt:variant>
      <vt:variant>
        <vt:i4>5</vt:i4>
      </vt:variant>
      <vt:variant>
        <vt:lpwstr>https://www.gov.uk/government/publications/companies-signed-up-to-think-act-report/companies-signed-up-to-think-act-report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dc:title>
  <dc:creator>Kobini Ananth</dc:creator>
  <cp:lastModifiedBy>Angela Sealy</cp:lastModifiedBy>
  <cp:revision>2</cp:revision>
  <cp:lastPrinted>2015-07-17T15:21:00Z</cp:lastPrinted>
  <dcterms:created xsi:type="dcterms:W3CDTF">2015-11-05T14:44:00Z</dcterms:created>
  <dcterms:modified xsi:type="dcterms:W3CDTF">2015-11-05T14:44:00Z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Consultation</vt:lpwstr>
  </property>
</Properties>
</file>