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49484A" w:rsidTr="00CF776B">
        <w:trPr>
          <w:cantSplit/>
          <w:trHeight w:val="1361"/>
        </w:trPr>
        <w:tc>
          <w:tcPr>
            <w:tcW w:w="7334" w:type="dxa"/>
            <w:gridSpan w:val="2"/>
            <w:tcBorders>
              <w:top w:val="nil"/>
            </w:tcBorders>
          </w:tcPr>
          <w:p w:rsidR="0049484A" w:rsidRPr="00C8797E" w:rsidRDefault="0049484A" w:rsidP="00CF776B">
            <w:pPr>
              <w:rPr>
                <w:rFonts w:ascii="Arial" w:hAnsi="Arial"/>
                <w:color w:val="000000"/>
              </w:rPr>
            </w:pPr>
            <w:bookmarkStart w:id="0" w:name="_GoBack"/>
            <w:bookmarkEnd w:id="0"/>
            <w:r w:rsidRPr="00C8797E">
              <w:rPr>
                <w:rFonts w:ascii="Arial" w:hAnsi="Arial"/>
                <w:color w:val="000000"/>
                <w:sz w:val="22"/>
              </w:rPr>
              <w:t xml:space="preserve">   </w:t>
            </w:r>
            <w:r w:rsidR="000E3551">
              <w:rPr>
                <w:rFonts w:ascii="Arial" w:hAnsi="Arial"/>
                <w:noProof/>
              </w:rPr>
              <w:drawing>
                <wp:inline distT="0" distB="0" distL="0" distR="0">
                  <wp:extent cx="1971675" cy="59055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90550"/>
                          </a:xfrm>
                          <a:prstGeom prst="rect">
                            <a:avLst/>
                          </a:prstGeom>
                          <a:noFill/>
                          <a:ln>
                            <a:noFill/>
                          </a:ln>
                        </pic:spPr>
                      </pic:pic>
                    </a:graphicData>
                  </a:graphic>
                </wp:inline>
              </w:drawing>
            </w:r>
          </w:p>
        </w:tc>
        <w:tc>
          <w:tcPr>
            <w:tcW w:w="180" w:type="dxa"/>
          </w:tcPr>
          <w:p w:rsidR="0049484A" w:rsidRPr="00C8797E" w:rsidRDefault="0049484A" w:rsidP="00CF776B">
            <w:pPr>
              <w:pStyle w:val="MOJnormal"/>
              <w:rPr>
                <w:color w:val="000000"/>
                <w:sz w:val="22"/>
              </w:rPr>
            </w:pPr>
          </w:p>
        </w:tc>
        <w:tc>
          <w:tcPr>
            <w:tcW w:w="3145" w:type="dxa"/>
            <w:vMerge w:val="restart"/>
            <w:tcBorders>
              <w:top w:val="nil"/>
            </w:tcBorders>
          </w:tcPr>
          <w:p w:rsidR="0049484A" w:rsidRPr="00EB689F" w:rsidRDefault="0049484A" w:rsidP="00CF776B">
            <w:pPr>
              <w:tabs>
                <w:tab w:val="left" w:pos="170"/>
              </w:tabs>
              <w:rPr>
                <w:rFonts w:ascii="Arial" w:hAnsi="Arial"/>
                <w:i/>
                <w:color w:val="0000FF"/>
              </w:rPr>
            </w:pPr>
          </w:p>
          <w:p w:rsidR="0049484A" w:rsidRPr="00924204" w:rsidRDefault="0049484A" w:rsidP="00CF776B">
            <w:pPr>
              <w:tabs>
                <w:tab w:val="left" w:pos="170"/>
              </w:tabs>
              <w:rPr>
                <w:rFonts w:ascii="Arial" w:hAnsi="Arial"/>
                <w:b/>
                <w:sz w:val="20"/>
                <w:szCs w:val="20"/>
              </w:rPr>
            </w:pPr>
            <w:r>
              <w:rPr>
                <w:rFonts w:ascii="Arial" w:hAnsi="Arial"/>
                <w:b/>
                <w:sz w:val="20"/>
                <w:szCs w:val="20"/>
              </w:rPr>
              <w:t>www</w:t>
            </w:r>
            <w:r w:rsidRPr="00924204">
              <w:rPr>
                <w:rFonts w:ascii="Arial" w:hAnsi="Arial"/>
                <w:b/>
                <w:sz w:val="20"/>
                <w:szCs w:val="20"/>
              </w:rPr>
              <w:t>.gov.uk</w:t>
            </w:r>
          </w:p>
        </w:tc>
      </w:tr>
      <w:tr w:rsidR="0049484A" w:rsidTr="00CF776B">
        <w:trPr>
          <w:cantSplit/>
          <w:trHeight w:val="1259"/>
        </w:trPr>
        <w:tc>
          <w:tcPr>
            <w:tcW w:w="1214" w:type="dxa"/>
          </w:tcPr>
          <w:p w:rsidR="0049484A" w:rsidRPr="00C8797E" w:rsidRDefault="0049484A" w:rsidP="00CF776B">
            <w:pPr>
              <w:pStyle w:val="MOJtext-otheraddress"/>
              <w:rPr>
                <w:color w:val="000000"/>
                <w:sz w:val="22"/>
              </w:rPr>
            </w:pPr>
          </w:p>
        </w:tc>
        <w:tc>
          <w:tcPr>
            <w:tcW w:w="6120" w:type="dxa"/>
          </w:tcPr>
          <w:p w:rsidR="0049484A" w:rsidRPr="009E4EE1" w:rsidRDefault="0049484A" w:rsidP="00B230F7">
            <w:pPr>
              <w:rPr>
                <w:rFonts w:ascii="Arial" w:hAnsi="Arial"/>
                <w:color w:val="000000"/>
              </w:rPr>
            </w:pPr>
          </w:p>
        </w:tc>
        <w:tc>
          <w:tcPr>
            <w:tcW w:w="180" w:type="dxa"/>
          </w:tcPr>
          <w:p w:rsidR="0049484A" w:rsidRPr="00C8797E" w:rsidRDefault="0049484A" w:rsidP="00CF776B">
            <w:pPr>
              <w:pStyle w:val="MOJnormal"/>
              <w:rPr>
                <w:color w:val="000000"/>
                <w:sz w:val="22"/>
              </w:rPr>
            </w:pPr>
          </w:p>
        </w:tc>
        <w:tc>
          <w:tcPr>
            <w:tcW w:w="3145" w:type="dxa"/>
            <w:vMerge/>
          </w:tcPr>
          <w:p w:rsidR="0049484A" w:rsidRPr="00C8797E" w:rsidRDefault="0049484A" w:rsidP="00CF776B">
            <w:pPr>
              <w:pStyle w:val="MOJtext-otheraddress"/>
              <w:rPr>
                <w:color w:val="000000"/>
                <w:sz w:val="22"/>
              </w:rPr>
            </w:pPr>
          </w:p>
        </w:tc>
      </w:tr>
      <w:tr w:rsidR="0049484A" w:rsidTr="00CF776B">
        <w:trPr>
          <w:cantSplit/>
          <w:trHeight w:val="73"/>
        </w:trPr>
        <w:tc>
          <w:tcPr>
            <w:tcW w:w="1214" w:type="dxa"/>
          </w:tcPr>
          <w:p w:rsidR="0049484A" w:rsidRPr="00C8797E" w:rsidRDefault="0049484A" w:rsidP="00CF776B">
            <w:pPr>
              <w:pStyle w:val="MOJnormal"/>
              <w:rPr>
                <w:color w:val="000000"/>
                <w:sz w:val="22"/>
              </w:rPr>
            </w:pPr>
          </w:p>
        </w:tc>
        <w:tc>
          <w:tcPr>
            <w:tcW w:w="6120" w:type="dxa"/>
          </w:tcPr>
          <w:p w:rsidR="0049484A" w:rsidRPr="009E4EE1" w:rsidRDefault="0049484A" w:rsidP="00FF28A8">
            <w:pPr>
              <w:spacing w:line="280" w:lineRule="atLeast"/>
              <w:rPr>
                <w:rFonts w:ascii="Arial" w:hAnsi="Arial"/>
                <w:i/>
                <w:color w:val="000000"/>
              </w:rPr>
            </w:pPr>
            <w:r w:rsidRPr="009E4EE1">
              <w:rPr>
                <w:rFonts w:ascii="Arial" w:hAnsi="Arial"/>
                <w:b/>
                <w:color w:val="000000"/>
                <w:sz w:val="22"/>
                <w:szCs w:val="22"/>
              </w:rPr>
              <w:t>Our Reference:</w:t>
            </w:r>
            <w:r w:rsidRPr="009E4EE1">
              <w:rPr>
                <w:rFonts w:ascii="Arial" w:hAnsi="Arial"/>
                <w:color w:val="000000"/>
                <w:sz w:val="22"/>
                <w:szCs w:val="22"/>
              </w:rPr>
              <w:t xml:space="preserve"> </w:t>
            </w:r>
            <w:r w:rsidRPr="009E4EE1">
              <w:rPr>
                <w:rFonts w:ascii="Arial" w:hAnsi="Arial"/>
                <w:sz w:val="22"/>
                <w:szCs w:val="22"/>
              </w:rPr>
              <w:t>FOI/82755</w:t>
            </w:r>
          </w:p>
        </w:tc>
        <w:tc>
          <w:tcPr>
            <w:tcW w:w="180" w:type="dxa"/>
          </w:tcPr>
          <w:p w:rsidR="0049484A" w:rsidRPr="00924204" w:rsidRDefault="0049484A" w:rsidP="00CF776B">
            <w:pPr>
              <w:spacing w:line="280" w:lineRule="atLeast"/>
              <w:rPr>
                <w:rFonts w:ascii="Arial" w:hAnsi="Arial"/>
              </w:rPr>
            </w:pPr>
            <w:r w:rsidRPr="00924204">
              <w:rPr>
                <w:rFonts w:ascii="Arial" w:hAnsi="Arial"/>
                <w:sz w:val="22"/>
              </w:rPr>
              <w:tab/>
            </w:r>
          </w:p>
        </w:tc>
        <w:tc>
          <w:tcPr>
            <w:tcW w:w="3145" w:type="dxa"/>
          </w:tcPr>
          <w:p w:rsidR="0049484A" w:rsidRDefault="0049484A" w:rsidP="00CF776B">
            <w:pPr>
              <w:pStyle w:val="MOJnormal"/>
              <w:rPr>
                <w:color w:val="0000FF"/>
                <w:sz w:val="22"/>
              </w:rPr>
            </w:pPr>
          </w:p>
          <w:p w:rsidR="0049484A" w:rsidRPr="009E4EE1" w:rsidRDefault="0049484A" w:rsidP="00CF776B">
            <w:pPr>
              <w:pStyle w:val="MOJnormal"/>
              <w:rPr>
                <w:sz w:val="22"/>
              </w:rPr>
            </w:pPr>
            <w:r>
              <w:rPr>
                <w:sz w:val="22"/>
              </w:rPr>
              <w:t xml:space="preserve">  </w:t>
            </w:r>
            <w:r w:rsidRPr="009E4EE1">
              <w:rPr>
                <w:sz w:val="22"/>
              </w:rPr>
              <w:t>June 2013</w:t>
            </w:r>
          </w:p>
        </w:tc>
      </w:tr>
    </w:tbl>
    <w:p w:rsidR="0049484A" w:rsidRDefault="0049484A"/>
    <w:p w:rsidR="0049484A" w:rsidRDefault="0049484A"/>
    <w:p w:rsidR="0049484A" w:rsidRDefault="0049484A"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49484A" w:rsidRDefault="0049484A" w:rsidP="0081625B">
      <w:pPr>
        <w:rPr>
          <w:rFonts w:ascii="Arial" w:hAnsi="Arial" w:cs="Arial"/>
          <w:sz w:val="22"/>
          <w:szCs w:val="22"/>
        </w:rPr>
      </w:pPr>
    </w:p>
    <w:p w:rsidR="0049484A" w:rsidRDefault="0049484A" w:rsidP="0081625B">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49484A" w:rsidRDefault="0049484A" w:rsidP="0081625B">
      <w:pPr>
        <w:rPr>
          <w:rFonts w:ascii="Arial" w:hAnsi="Arial" w:cs="Arial"/>
          <w:sz w:val="22"/>
          <w:szCs w:val="22"/>
        </w:rPr>
      </w:pPr>
    </w:p>
    <w:p w:rsidR="0049484A" w:rsidRPr="00FF28A8" w:rsidRDefault="0049484A" w:rsidP="0081625B">
      <w:pPr>
        <w:jc w:val="center"/>
        <w:rPr>
          <w:rFonts w:ascii="Arial" w:hAnsi="Arial" w:cs="Arial"/>
          <w:b/>
          <w:i/>
          <w:sz w:val="22"/>
          <w:szCs w:val="22"/>
        </w:rPr>
      </w:pPr>
      <w:r w:rsidRPr="00FF28A8">
        <w:rPr>
          <w:rFonts w:ascii="Arial" w:hAnsi="Arial" w:cs="Arial"/>
          <w:b/>
          <w:i/>
          <w:sz w:val="22"/>
          <w:szCs w:val="22"/>
        </w:rPr>
        <w:t>How old is the oldest debt owed by the LSC? What value is that debt? To whom is it owed? (job description rather than a name please, i.e. a barrister or a solicitor) Please ask if any of the above is unclear and needs further clarification.</w:t>
      </w:r>
    </w:p>
    <w:p w:rsidR="0049484A" w:rsidRDefault="0049484A" w:rsidP="0081625B">
      <w:pPr>
        <w:jc w:val="center"/>
        <w:rPr>
          <w:rFonts w:ascii="Arial" w:hAnsi="Arial" w:cs="Arial"/>
          <w:sz w:val="22"/>
          <w:szCs w:val="22"/>
        </w:rPr>
      </w:pPr>
    </w:p>
    <w:p w:rsidR="0049484A" w:rsidRDefault="0049484A" w:rsidP="0081625B">
      <w:pPr>
        <w:rPr>
          <w:rFonts w:ascii="Arial" w:hAnsi="Arial" w:cs="Arial"/>
          <w:sz w:val="22"/>
          <w:szCs w:val="22"/>
        </w:rPr>
      </w:pPr>
      <w:r>
        <w:rPr>
          <w:rFonts w:ascii="Arial" w:hAnsi="Arial" w:cs="Arial"/>
          <w:sz w:val="22"/>
          <w:szCs w:val="22"/>
        </w:rPr>
        <w:t xml:space="preserve">Your request has been handled under the Freedom of Information Act 2000 (FOIA). I am very sorry for the delay in providing you with a response. </w:t>
      </w:r>
    </w:p>
    <w:p w:rsidR="0049484A" w:rsidRDefault="0049484A" w:rsidP="0081625B">
      <w:pPr>
        <w:rPr>
          <w:rFonts w:ascii="Arial" w:hAnsi="Arial" w:cs="Arial"/>
          <w:sz w:val="22"/>
          <w:szCs w:val="22"/>
        </w:rPr>
      </w:pPr>
    </w:p>
    <w:p w:rsidR="0049484A" w:rsidRPr="002A70A9" w:rsidRDefault="0049484A" w:rsidP="0081625B">
      <w:pPr>
        <w:rPr>
          <w:rFonts w:ascii="Arial" w:hAnsi="Arial" w:cs="Arial"/>
          <w:sz w:val="22"/>
          <w:szCs w:val="22"/>
        </w:rPr>
      </w:pPr>
      <w:r w:rsidRPr="002A70A9">
        <w:rPr>
          <w:rFonts w:ascii="Arial" w:hAnsi="Arial" w:cs="Arial"/>
          <w:sz w:val="22"/>
          <w:szCs w:val="22"/>
        </w:rPr>
        <w:t xml:space="preserve">I can confirm that the department holds the information that you have asked for. Please note that I have interpreted your request as relating to monies owed by the Legal Aid Agency to our providers from the Legal Aid Fund only, and this response excludes any information about monies owed to suppliers from our administration budget. </w:t>
      </w:r>
    </w:p>
    <w:p w:rsidR="0049484A" w:rsidRDefault="0049484A" w:rsidP="0081625B">
      <w:pPr>
        <w:rPr>
          <w:rFonts w:ascii="Arial" w:hAnsi="Arial" w:cs="Arial"/>
          <w:sz w:val="22"/>
          <w:szCs w:val="22"/>
        </w:rPr>
      </w:pPr>
    </w:p>
    <w:p w:rsidR="0049484A" w:rsidRDefault="0049484A" w:rsidP="00B841D7">
      <w:pPr>
        <w:autoSpaceDE w:val="0"/>
        <w:autoSpaceDN w:val="0"/>
        <w:adjustRightInd w:val="0"/>
        <w:rPr>
          <w:rFonts w:ascii="Arial" w:hAnsi="Arial" w:cs="Arial"/>
          <w:sz w:val="22"/>
          <w:szCs w:val="22"/>
        </w:rPr>
      </w:pPr>
      <w:r>
        <w:rPr>
          <w:rFonts w:ascii="Arial" w:hAnsi="Arial" w:cs="Arial"/>
          <w:sz w:val="22"/>
          <w:szCs w:val="22"/>
        </w:rPr>
        <w:t xml:space="preserve">Monies owed to our providers can be broken down into two broad groups: those requests for payment that have not yet been processed and thus not yet entered into our payment system; and those that have been processed and have been accepted as due for payment. Unprocessed requests are not considered ‘creditors’ for accounting purposes. On this basis I have interpreted your request as relating solely to processed requests. However, you may be interested to note the table below, </w:t>
      </w:r>
      <w:r w:rsidRPr="00923149">
        <w:rPr>
          <w:rFonts w:ascii="Arial" w:hAnsi="Arial" w:cs="Arial"/>
          <w:sz w:val="22"/>
          <w:szCs w:val="22"/>
        </w:rPr>
        <w:t xml:space="preserve">taken from the </w:t>
      </w:r>
      <w:r>
        <w:rPr>
          <w:rFonts w:ascii="Arial" w:hAnsi="Arial" w:cs="Arial"/>
          <w:sz w:val="22"/>
          <w:szCs w:val="22"/>
        </w:rPr>
        <w:t>LSC</w:t>
      </w:r>
      <w:r w:rsidRPr="00923149">
        <w:rPr>
          <w:rFonts w:ascii="Arial" w:hAnsi="Arial" w:cs="Arial"/>
          <w:sz w:val="22"/>
          <w:szCs w:val="22"/>
        </w:rPr>
        <w:t xml:space="preserve">’s </w:t>
      </w:r>
      <w:r>
        <w:rPr>
          <w:rFonts w:ascii="Arial" w:hAnsi="Arial" w:cs="Arial"/>
          <w:sz w:val="22"/>
          <w:szCs w:val="22"/>
        </w:rPr>
        <w:t>2012-2013</w:t>
      </w:r>
      <w:r w:rsidRPr="00923149">
        <w:rPr>
          <w:rFonts w:ascii="Arial" w:hAnsi="Arial" w:cs="Arial"/>
          <w:sz w:val="22"/>
          <w:szCs w:val="22"/>
        </w:rPr>
        <w:t xml:space="preserve"> annual report</w:t>
      </w:r>
      <w:r>
        <w:rPr>
          <w:rFonts w:ascii="Arial" w:hAnsi="Arial" w:cs="Arial"/>
          <w:sz w:val="22"/>
          <w:szCs w:val="22"/>
        </w:rPr>
        <w:t xml:space="preserve"> (available at </w:t>
      </w:r>
      <w:hyperlink r:id="rId8" w:history="1">
        <w:r w:rsidRPr="00D06FC1">
          <w:rPr>
            <w:rStyle w:val="Hyperlink"/>
            <w:rFonts w:ascii="Arial" w:hAnsi="Arial" w:cs="Arial"/>
            <w:sz w:val="22"/>
            <w:szCs w:val="22"/>
          </w:rPr>
          <w:t>http://www.justice.gov.uk/publications/corporate-reports/legal-services-commission</w:t>
        </w:r>
      </w:hyperlink>
      <w:r>
        <w:rPr>
          <w:rFonts w:ascii="Arial" w:hAnsi="Arial" w:cs="Arial"/>
          <w:sz w:val="22"/>
          <w:szCs w:val="22"/>
        </w:rPr>
        <w:t>),</w:t>
      </w:r>
      <w:r w:rsidRPr="00923149">
        <w:rPr>
          <w:rFonts w:ascii="Arial" w:hAnsi="Arial" w:cs="Arial"/>
          <w:sz w:val="22"/>
          <w:szCs w:val="22"/>
        </w:rPr>
        <w:t xml:space="preserve"> shows that the vast majority of </w:t>
      </w:r>
      <w:r>
        <w:rPr>
          <w:rFonts w:ascii="Arial" w:hAnsi="Arial" w:cs="Arial"/>
          <w:sz w:val="22"/>
          <w:szCs w:val="22"/>
        </w:rPr>
        <w:t>requests</w:t>
      </w:r>
      <w:r w:rsidRPr="00923149">
        <w:rPr>
          <w:rFonts w:ascii="Arial" w:hAnsi="Arial" w:cs="Arial"/>
          <w:sz w:val="22"/>
          <w:szCs w:val="22"/>
        </w:rPr>
        <w:t xml:space="preserve"> for payment</w:t>
      </w:r>
      <w:r>
        <w:rPr>
          <w:rFonts w:ascii="Arial" w:hAnsi="Arial" w:cs="Arial"/>
          <w:sz w:val="22"/>
          <w:szCs w:val="22"/>
        </w:rPr>
        <w:t xml:space="preserve"> </w:t>
      </w:r>
      <w:r w:rsidRPr="00923149">
        <w:rPr>
          <w:rFonts w:ascii="Arial" w:hAnsi="Arial" w:cs="Arial"/>
          <w:sz w:val="22"/>
          <w:szCs w:val="22"/>
        </w:rPr>
        <w:t xml:space="preserve">are processed with 30 days of receipt. </w:t>
      </w:r>
    </w:p>
    <w:p w:rsidR="0049484A" w:rsidRDefault="0049484A" w:rsidP="00923149">
      <w:pPr>
        <w:autoSpaceDE w:val="0"/>
        <w:autoSpaceDN w:val="0"/>
        <w:adjustRightInd w:val="0"/>
        <w:rPr>
          <w:rFonts w:ascii="Arial" w:hAnsi="Arial" w:cs="Arial"/>
          <w:sz w:val="22"/>
          <w:szCs w:val="22"/>
        </w:rPr>
      </w:pPr>
    </w:p>
    <w:p w:rsidR="0049484A" w:rsidRPr="00923149" w:rsidRDefault="0049484A" w:rsidP="00923149">
      <w:pPr>
        <w:autoSpaceDE w:val="0"/>
        <w:autoSpaceDN w:val="0"/>
        <w:adjustRightInd w:val="0"/>
        <w:rPr>
          <w:rFonts w:ascii="Arial" w:hAnsi="Arial" w:cs="Arial"/>
          <w:sz w:val="22"/>
          <w:szCs w:val="22"/>
        </w:rPr>
      </w:pPr>
    </w:p>
    <w:tbl>
      <w:tblPr>
        <w:tblW w:w="8500" w:type="dxa"/>
        <w:tblInd w:w="98" w:type="dxa"/>
        <w:tblLook w:val="00A0" w:firstRow="1" w:lastRow="0" w:firstColumn="1" w:lastColumn="0" w:noHBand="0" w:noVBand="0"/>
      </w:tblPr>
      <w:tblGrid>
        <w:gridCol w:w="2060"/>
        <w:gridCol w:w="820"/>
        <w:gridCol w:w="1440"/>
        <w:gridCol w:w="1780"/>
        <w:gridCol w:w="1020"/>
        <w:gridCol w:w="1380"/>
      </w:tblGrid>
      <w:tr w:rsidR="0049484A" w:rsidRPr="00923149" w:rsidTr="00923149">
        <w:trPr>
          <w:trHeight w:val="450"/>
        </w:trPr>
        <w:tc>
          <w:tcPr>
            <w:tcW w:w="2060" w:type="dxa"/>
            <w:tcBorders>
              <w:top w:val="nil"/>
              <w:left w:val="nil"/>
              <w:bottom w:val="single" w:sz="4" w:space="0" w:color="auto"/>
              <w:right w:val="nil"/>
            </w:tcBorders>
          </w:tcPr>
          <w:p w:rsidR="0049484A" w:rsidRPr="00B75460" w:rsidRDefault="0049484A" w:rsidP="00923149">
            <w:pPr>
              <w:autoSpaceDE w:val="0"/>
              <w:autoSpaceDN w:val="0"/>
              <w:adjustRightInd w:val="0"/>
              <w:rPr>
                <w:rFonts w:ascii="Arial" w:hAnsi="Arial" w:cs="Arial"/>
                <w:b/>
                <w:bCs/>
                <w:sz w:val="16"/>
                <w:szCs w:val="16"/>
              </w:rPr>
            </w:pPr>
            <w:r w:rsidRPr="00B75460">
              <w:rPr>
                <w:rFonts w:ascii="Arial" w:hAnsi="Arial" w:cs="Arial"/>
                <w:b/>
                <w:bCs/>
                <w:sz w:val="16"/>
                <w:szCs w:val="16"/>
              </w:rPr>
              <w:t xml:space="preserve">Bills paid – 2012-13 target measures </w:t>
            </w:r>
          </w:p>
        </w:tc>
        <w:tc>
          <w:tcPr>
            <w:tcW w:w="820" w:type="dxa"/>
            <w:tcBorders>
              <w:top w:val="nil"/>
              <w:left w:val="nil"/>
              <w:bottom w:val="single" w:sz="4" w:space="0" w:color="auto"/>
              <w:right w:val="nil"/>
            </w:tcBorders>
          </w:tcPr>
          <w:p w:rsidR="0049484A" w:rsidRPr="00B75460" w:rsidRDefault="0049484A" w:rsidP="00923149">
            <w:pPr>
              <w:autoSpaceDE w:val="0"/>
              <w:autoSpaceDN w:val="0"/>
              <w:adjustRightInd w:val="0"/>
              <w:rPr>
                <w:rFonts w:ascii="Arial" w:hAnsi="Arial" w:cs="Arial"/>
                <w:b/>
                <w:bCs/>
                <w:sz w:val="16"/>
                <w:szCs w:val="16"/>
              </w:rPr>
            </w:pPr>
            <w:r w:rsidRPr="00B75460">
              <w:rPr>
                <w:rFonts w:ascii="Arial" w:hAnsi="Arial" w:cs="Arial"/>
                <w:b/>
                <w:bCs/>
                <w:sz w:val="16"/>
                <w:szCs w:val="16"/>
              </w:rPr>
              <w:t xml:space="preserve">Targets 2012-13 </w:t>
            </w:r>
          </w:p>
        </w:tc>
        <w:tc>
          <w:tcPr>
            <w:tcW w:w="1440" w:type="dxa"/>
            <w:tcBorders>
              <w:top w:val="nil"/>
              <w:left w:val="nil"/>
              <w:bottom w:val="single" w:sz="4" w:space="0" w:color="auto"/>
              <w:right w:val="nil"/>
            </w:tcBorders>
          </w:tcPr>
          <w:p w:rsidR="0049484A" w:rsidRPr="00B75460" w:rsidRDefault="0049484A" w:rsidP="00923149">
            <w:pPr>
              <w:autoSpaceDE w:val="0"/>
              <w:autoSpaceDN w:val="0"/>
              <w:adjustRightInd w:val="0"/>
              <w:rPr>
                <w:rFonts w:ascii="Arial" w:hAnsi="Arial" w:cs="Arial"/>
                <w:b/>
                <w:bCs/>
                <w:sz w:val="16"/>
                <w:szCs w:val="16"/>
              </w:rPr>
            </w:pPr>
            <w:r w:rsidRPr="00B75460">
              <w:rPr>
                <w:rFonts w:ascii="Arial" w:hAnsi="Arial" w:cs="Arial"/>
                <w:b/>
                <w:bCs/>
                <w:sz w:val="16"/>
                <w:szCs w:val="16"/>
              </w:rPr>
              <w:t xml:space="preserve">Performance 2012-13 </w:t>
            </w:r>
          </w:p>
        </w:tc>
        <w:tc>
          <w:tcPr>
            <w:tcW w:w="1780" w:type="dxa"/>
            <w:tcBorders>
              <w:top w:val="nil"/>
              <w:left w:val="nil"/>
              <w:bottom w:val="single" w:sz="4" w:space="0" w:color="auto"/>
              <w:right w:val="nil"/>
            </w:tcBorders>
          </w:tcPr>
          <w:p w:rsidR="0049484A" w:rsidRPr="00B75460" w:rsidRDefault="0049484A" w:rsidP="00923149">
            <w:pPr>
              <w:autoSpaceDE w:val="0"/>
              <w:autoSpaceDN w:val="0"/>
              <w:adjustRightInd w:val="0"/>
              <w:rPr>
                <w:rFonts w:ascii="Arial" w:hAnsi="Arial" w:cs="Arial"/>
                <w:b/>
                <w:bCs/>
                <w:sz w:val="16"/>
                <w:szCs w:val="16"/>
              </w:rPr>
            </w:pPr>
            <w:r w:rsidRPr="00B75460">
              <w:rPr>
                <w:rFonts w:ascii="Arial" w:hAnsi="Arial" w:cs="Arial"/>
                <w:b/>
                <w:bCs/>
                <w:sz w:val="16"/>
                <w:szCs w:val="16"/>
              </w:rPr>
              <w:t xml:space="preserve">Bills paid – 2011-12 target measures </w:t>
            </w:r>
          </w:p>
        </w:tc>
        <w:tc>
          <w:tcPr>
            <w:tcW w:w="1020" w:type="dxa"/>
            <w:tcBorders>
              <w:top w:val="nil"/>
              <w:left w:val="nil"/>
              <w:bottom w:val="single" w:sz="4" w:space="0" w:color="auto"/>
              <w:right w:val="nil"/>
            </w:tcBorders>
          </w:tcPr>
          <w:p w:rsidR="0049484A" w:rsidRPr="00B75460" w:rsidRDefault="0049484A" w:rsidP="00923149">
            <w:pPr>
              <w:autoSpaceDE w:val="0"/>
              <w:autoSpaceDN w:val="0"/>
              <w:adjustRightInd w:val="0"/>
              <w:rPr>
                <w:rFonts w:ascii="Arial" w:hAnsi="Arial" w:cs="Arial"/>
                <w:b/>
                <w:bCs/>
                <w:sz w:val="16"/>
                <w:szCs w:val="16"/>
              </w:rPr>
            </w:pPr>
            <w:r w:rsidRPr="00B75460">
              <w:rPr>
                <w:rFonts w:ascii="Arial" w:hAnsi="Arial" w:cs="Arial"/>
                <w:b/>
                <w:bCs/>
                <w:sz w:val="16"/>
                <w:szCs w:val="16"/>
              </w:rPr>
              <w:t xml:space="preserve">Targets 2011-12 </w:t>
            </w:r>
          </w:p>
        </w:tc>
        <w:tc>
          <w:tcPr>
            <w:tcW w:w="1380" w:type="dxa"/>
            <w:tcBorders>
              <w:top w:val="nil"/>
              <w:left w:val="nil"/>
              <w:bottom w:val="single" w:sz="4" w:space="0" w:color="auto"/>
              <w:right w:val="nil"/>
            </w:tcBorders>
          </w:tcPr>
          <w:p w:rsidR="0049484A" w:rsidRPr="00B75460" w:rsidRDefault="0049484A" w:rsidP="00923149">
            <w:pPr>
              <w:autoSpaceDE w:val="0"/>
              <w:autoSpaceDN w:val="0"/>
              <w:adjustRightInd w:val="0"/>
              <w:rPr>
                <w:rFonts w:ascii="Arial" w:hAnsi="Arial" w:cs="Arial"/>
                <w:b/>
                <w:bCs/>
                <w:sz w:val="16"/>
                <w:szCs w:val="16"/>
              </w:rPr>
            </w:pPr>
            <w:r w:rsidRPr="00B75460">
              <w:rPr>
                <w:rFonts w:ascii="Arial" w:hAnsi="Arial" w:cs="Arial"/>
                <w:b/>
                <w:bCs/>
                <w:sz w:val="16"/>
                <w:szCs w:val="16"/>
              </w:rPr>
              <w:t xml:space="preserve">Performance 2011-12 </w:t>
            </w:r>
          </w:p>
        </w:tc>
      </w:tr>
      <w:tr w:rsidR="0049484A" w:rsidRPr="00923149" w:rsidTr="00923149">
        <w:trPr>
          <w:trHeight w:val="675"/>
        </w:trPr>
        <w:tc>
          <w:tcPr>
            <w:tcW w:w="206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Civil bills – Taxed, assessed, POA’s, Family Graduated Fee &amp; Family </w:t>
            </w:r>
          </w:p>
          <w:p w:rsidR="0049484A" w:rsidRPr="00B75460"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Advocacy Scheme bills </w:t>
            </w:r>
          </w:p>
        </w:tc>
        <w:tc>
          <w:tcPr>
            <w:tcW w:w="82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30 days (90%) </w:t>
            </w:r>
          </w:p>
        </w:tc>
        <w:tc>
          <w:tcPr>
            <w:tcW w:w="144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98%</w:t>
            </w:r>
          </w:p>
        </w:tc>
        <w:tc>
          <w:tcPr>
            <w:tcW w:w="178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Civil bills – Taxed, assessed, POA’s, Family Graduated Fee </w:t>
            </w:r>
          </w:p>
        </w:tc>
        <w:tc>
          <w:tcPr>
            <w:tcW w:w="102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30 days (90%) </w:t>
            </w:r>
          </w:p>
        </w:tc>
        <w:tc>
          <w:tcPr>
            <w:tcW w:w="138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p>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91%</w:t>
            </w:r>
          </w:p>
        </w:tc>
      </w:tr>
      <w:tr w:rsidR="0049484A" w:rsidRPr="00923149" w:rsidTr="00923149">
        <w:trPr>
          <w:trHeight w:val="300"/>
        </w:trPr>
        <w:tc>
          <w:tcPr>
            <w:tcW w:w="2060" w:type="dxa"/>
            <w:vMerge w:val="restart"/>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Criminal non standard fee and Investigative exceptional cases </w:t>
            </w:r>
          </w:p>
        </w:tc>
        <w:tc>
          <w:tcPr>
            <w:tcW w:w="820" w:type="dxa"/>
            <w:vMerge w:val="restart"/>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30 days (90%) </w:t>
            </w:r>
          </w:p>
        </w:tc>
        <w:tc>
          <w:tcPr>
            <w:tcW w:w="1440" w:type="dxa"/>
            <w:vMerge w:val="restart"/>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99%</w:t>
            </w:r>
          </w:p>
        </w:tc>
        <w:tc>
          <w:tcPr>
            <w:tcW w:w="178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Criminal non standard fee </w:t>
            </w:r>
          </w:p>
        </w:tc>
        <w:tc>
          <w:tcPr>
            <w:tcW w:w="102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20 days (90%) </w:t>
            </w:r>
          </w:p>
        </w:tc>
        <w:tc>
          <w:tcPr>
            <w:tcW w:w="138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88%</w:t>
            </w:r>
          </w:p>
        </w:tc>
      </w:tr>
      <w:tr w:rsidR="0049484A" w:rsidRPr="00923149" w:rsidTr="00923149">
        <w:trPr>
          <w:trHeight w:val="450"/>
        </w:trPr>
        <w:tc>
          <w:tcPr>
            <w:tcW w:w="2060" w:type="dxa"/>
            <w:vMerge/>
            <w:tcBorders>
              <w:top w:val="nil"/>
              <w:left w:val="nil"/>
              <w:bottom w:val="nil"/>
              <w:right w:val="nil"/>
            </w:tcBorders>
            <w:vAlign w:val="center"/>
          </w:tcPr>
          <w:p w:rsidR="0049484A" w:rsidRPr="00B75460" w:rsidRDefault="0049484A" w:rsidP="00923149">
            <w:pPr>
              <w:autoSpaceDE w:val="0"/>
              <w:autoSpaceDN w:val="0"/>
              <w:adjustRightInd w:val="0"/>
              <w:rPr>
                <w:rFonts w:ascii="Arial" w:hAnsi="Arial" w:cs="Arial"/>
                <w:sz w:val="16"/>
                <w:szCs w:val="16"/>
              </w:rPr>
            </w:pPr>
          </w:p>
        </w:tc>
        <w:tc>
          <w:tcPr>
            <w:tcW w:w="820" w:type="dxa"/>
            <w:vMerge/>
            <w:tcBorders>
              <w:top w:val="nil"/>
              <w:left w:val="nil"/>
              <w:bottom w:val="nil"/>
              <w:right w:val="nil"/>
            </w:tcBorders>
            <w:vAlign w:val="center"/>
          </w:tcPr>
          <w:p w:rsidR="0049484A" w:rsidRPr="00B75460" w:rsidRDefault="0049484A" w:rsidP="00923149">
            <w:pPr>
              <w:autoSpaceDE w:val="0"/>
              <w:autoSpaceDN w:val="0"/>
              <w:adjustRightInd w:val="0"/>
              <w:rPr>
                <w:rFonts w:ascii="Arial" w:hAnsi="Arial" w:cs="Arial"/>
                <w:sz w:val="16"/>
                <w:szCs w:val="16"/>
              </w:rPr>
            </w:pPr>
          </w:p>
        </w:tc>
        <w:tc>
          <w:tcPr>
            <w:tcW w:w="1440" w:type="dxa"/>
            <w:vMerge/>
            <w:tcBorders>
              <w:top w:val="nil"/>
              <w:left w:val="nil"/>
              <w:bottom w:val="nil"/>
              <w:right w:val="nil"/>
            </w:tcBorders>
            <w:vAlign w:val="center"/>
          </w:tcPr>
          <w:p w:rsidR="0049484A" w:rsidRPr="00B75460" w:rsidRDefault="0049484A" w:rsidP="00923149">
            <w:pPr>
              <w:autoSpaceDE w:val="0"/>
              <w:autoSpaceDN w:val="0"/>
              <w:adjustRightInd w:val="0"/>
              <w:rPr>
                <w:rFonts w:ascii="Arial" w:hAnsi="Arial" w:cs="Arial"/>
                <w:sz w:val="16"/>
                <w:szCs w:val="16"/>
              </w:rPr>
            </w:pPr>
          </w:p>
        </w:tc>
        <w:tc>
          <w:tcPr>
            <w:tcW w:w="178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Investigate exceptional cases </w:t>
            </w:r>
          </w:p>
        </w:tc>
        <w:tc>
          <w:tcPr>
            <w:tcW w:w="102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5 days (90%) </w:t>
            </w:r>
          </w:p>
        </w:tc>
        <w:tc>
          <w:tcPr>
            <w:tcW w:w="138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81%</w:t>
            </w:r>
          </w:p>
        </w:tc>
      </w:tr>
      <w:tr w:rsidR="0049484A" w:rsidRPr="00923149" w:rsidTr="00923149">
        <w:trPr>
          <w:trHeight w:val="675"/>
        </w:trPr>
        <w:tc>
          <w:tcPr>
            <w:tcW w:w="2060" w:type="dxa"/>
            <w:tcBorders>
              <w:top w:val="nil"/>
              <w:left w:val="nil"/>
              <w:bottom w:val="nil"/>
              <w:right w:val="nil"/>
            </w:tcBorders>
          </w:tcPr>
          <w:p w:rsidR="0049484A"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Advocates Graduated Fee Service &amp; Litigator Graduated Fee Service fee claims </w:t>
            </w:r>
          </w:p>
          <w:p w:rsidR="0049484A" w:rsidRPr="00B75460" w:rsidRDefault="0049484A" w:rsidP="00923149">
            <w:pPr>
              <w:autoSpaceDE w:val="0"/>
              <w:autoSpaceDN w:val="0"/>
              <w:adjustRightInd w:val="0"/>
              <w:rPr>
                <w:rFonts w:ascii="Arial" w:hAnsi="Arial" w:cs="Arial"/>
                <w:sz w:val="16"/>
                <w:szCs w:val="16"/>
              </w:rPr>
            </w:pPr>
          </w:p>
        </w:tc>
        <w:tc>
          <w:tcPr>
            <w:tcW w:w="82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lastRenderedPageBreak/>
              <w:t xml:space="preserve">30 days (90%) </w:t>
            </w:r>
          </w:p>
        </w:tc>
        <w:tc>
          <w:tcPr>
            <w:tcW w:w="144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94%</w:t>
            </w:r>
          </w:p>
        </w:tc>
        <w:tc>
          <w:tcPr>
            <w:tcW w:w="178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AGFS &amp; LGFS fee claims </w:t>
            </w:r>
          </w:p>
        </w:tc>
        <w:tc>
          <w:tcPr>
            <w:tcW w:w="102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 xml:space="preserve">40 days (95%) </w:t>
            </w:r>
          </w:p>
        </w:tc>
        <w:tc>
          <w:tcPr>
            <w:tcW w:w="1380" w:type="dxa"/>
            <w:tcBorders>
              <w:top w:val="nil"/>
              <w:left w:val="nil"/>
              <w:bottom w:val="nil"/>
              <w:right w:val="nil"/>
            </w:tcBorders>
          </w:tcPr>
          <w:p w:rsidR="0049484A" w:rsidRPr="00B75460" w:rsidRDefault="0049484A" w:rsidP="00923149">
            <w:pPr>
              <w:autoSpaceDE w:val="0"/>
              <w:autoSpaceDN w:val="0"/>
              <w:adjustRightInd w:val="0"/>
              <w:rPr>
                <w:rFonts w:ascii="Arial" w:hAnsi="Arial" w:cs="Arial"/>
                <w:sz w:val="16"/>
                <w:szCs w:val="16"/>
              </w:rPr>
            </w:pPr>
            <w:r w:rsidRPr="00B75460">
              <w:rPr>
                <w:rFonts w:ascii="Arial" w:hAnsi="Arial" w:cs="Arial"/>
                <w:sz w:val="16"/>
                <w:szCs w:val="16"/>
              </w:rPr>
              <w:t>78%</w:t>
            </w:r>
          </w:p>
        </w:tc>
      </w:tr>
    </w:tbl>
    <w:p w:rsidR="0049484A" w:rsidRDefault="0049484A" w:rsidP="00B841D7">
      <w:pPr>
        <w:autoSpaceDE w:val="0"/>
        <w:autoSpaceDN w:val="0"/>
        <w:adjustRightInd w:val="0"/>
        <w:rPr>
          <w:rFonts w:ascii="Arial" w:hAnsi="Arial" w:cs="Arial"/>
          <w:sz w:val="22"/>
          <w:szCs w:val="22"/>
        </w:rPr>
      </w:pPr>
      <w:r>
        <w:rPr>
          <w:rFonts w:ascii="Arial" w:hAnsi="Arial" w:cs="Arial"/>
          <w:sz w:val="22"/>
          <w:szCs w:val="22"/>
        </w:rPr>
        <w:lastRenderedPageBreak/>
        <w:t>Our oldest outstanding creditor inevitably changes depending on a point in time as payments are made. In answer to your question, as interpreted above, o</w:t>
      </w:r>
      <w:r w:rsidRPr="00923149">
        <w:rPr>
          <w:rFonts w:ascii="Arial" w:hAnsi="Arial" w:cs="Arial"/>
          <w:sz w:val="22"/>
          <w:szCs w:val="22"/>
        </w:rPr>
        <w:t>n the morning of the 1</w:t>
      </w:r>
      <w:r w:rsidRPr="00923149">
        <w:rPr>
          <w:rFonts w:ascii="Arial" w:hAnsi="Arial" w:cs="Arial"/>
          <w:sz w:val="22"/>
          <w:szCs w:val="22"/>
          <w:vertAlign w:val="superscript"/>
        </w:rPr>
        <w:t>st</w:t>
      </w:r>
      <w:r w:rsidRPr="00923149">
        <w:rPr>
          <w:rFonts w:ascii="Arial" w:hAnsi="Arial" w:cs="Arial"/>
          <w:sz w:val="22"/>
          <w:szCs w:val="22"/>
        </w:rPr>
        <w:t xml:space="preserve"> of Ju</w:t>
      </w:r>
      <w:r>
        <w:rPr>
          <w:rFonts w:ascii="Arial" w:hAnsi="Arial" w:cs="Arial"/>
          <w:sz w:val="22"/>
          <w:szCs w:val="22"/>
        </w:rPr>
        <w:t>ly</w:t>
      </w:r>
      <w:r w:rsidRPr="00923149">
        <w:rPr>
          <w:rFonts w:ascii="Arial" w:hAnsi="Arial" w:cs="Arial"/>
          <w:sz w:val="22"/>
          <w:szCs w:val="22"/>
        </w:rPr>
        <w:t xml:space="preserve"> 2013 the oldest </w:t>
      </w:r>
      <w:r>
        <w:rPr>
          <w:rFonts w:ascii="Arial" w:hAnsi="Arial" w:cs="Arial"/>
          <w:sz w:val="22"/>
          <w:szCs w:val="22"/>
        </w:rPr>
        <w:t>outstanding request for</w:t>
      </w:r>
      <w:r w:rsidRPr="00923149">
        <w:rPr>
          <w:rFonts w:ascii="Arial" w:hAnsi="Arial" w:cs="Arial"/>
          <w:sz w:val="22"/>
          <w:szCs w:val="22"/>
        </w:rPr>
        <w:t xml:space="preserve"> </w:t>
      </w:r>
      <w:r>
        <w:rPr>
          <w:rFonts w:ascii="Arial" w:hAnsi="Arial" w:cs="Arial"/>
          <w:sz w:val="22"/>
          <w:szCs w:val="22"/>
        </w:rPr>
        <w:t xml:space="preserve">payment was </w:t>
      </w:r>
      <w:r w:rsidRPr="00923149">
        <w:rPr>
          <w:rFonts w:ascii="Arial" w:hAnsi="Arial" w:cs="Arial"/>
          <w:sz w:val="22"/>
          <w:szCs w:val="22"/>
        </w:rPr>
        <w:t>£293.75 owed to a counsel for a civil repr</w:t>
      </w:r>
      <w:r>
        <w:rPr>
          <w:rFonts w:ascii="Arial" w:hAnsi="Arial" w:cs="Arial"/>
          <w:sz w:val="22"/>
          <w:szCs w:val="22"/>
        </w:rPr>
        <w:t>esentation case. T</w:t>
      </w:r>
      <w:r w:rsidRPr="00923149">
        <w:rPr>
          <w:rFonts w:ascii="Arial" w:hAnsi="Arial" w:cs="Arial"/>
          <w:sz w:val="22"/>
          <w:szCs w:val="22"/>
        </w:rPr>
        <w:t>he payment was authorised on the 25</w:t>
      </w:r>
      <w:r w:rsidRPr="00923149">
        <w:rPr>
          <w:rFonts w:ascii="Arial" w:hAnsi="Arial" w:cs="Arial"/>
          <w:sz w:val="22"/>
          <w:szCs w:val="22"/>
          <w:vertAlign w:val="superscript"/>
        </w:rPr>
        <w:t>th</w:t>
      </w:r>
      <w:r>
        <w:rPr>
          <w:rFonts w:ascii="Arial" w:hAnsi="Arial" w:cs="Arial"/>
          <w:sz w:val="22"/>
          <w:szCs w:val="22"/>
        </w:rPr>
        <w:t xml:space="preserve"> of October 2012, i</w:t>
      </w:r>
      <w:r w:rsidRPr="00923149">
        <w:rPr>
          <w:rFonts w:ascii="Arial" w:hAnsi="Arial" w:cs="Arial"/>
          <w:sz w:val="22"/>
          <w:szCs w:val="22"/>
        </w:rPr>
        <w:t xml:space="preserve">t </w:t>
      </w:r>
      <w:r>
        <w:rPr>
          <w:rFonts w:ascii="Arial" w:hAnsi="Arial" w:cs="Arial"/>
          <w:sz w:val="22"/>
          <w:szCs w:val="22"/>
        </w:rPr>
        <w:t xml:space="preserve">was not paid originally as at that time the counsel owed monies to the Legal Aid Agency for a previous overpayment. It was not until the </w:t>
      </w:r>
      <w:r w:rsidRPr="00923149">
        <w:rPr>
          <w:rFonts w:ascii="Arial" w:hAnsi="Arial" w:cs="Arial"/>
          <w:sz w:val="22"/>
          <w:szCs w:val="22"/>
        </w:rPr>
        <w:t>28</w:t>
      </w:r>
      <w:r w:rsidRPr="00923149">
        <w:rPr>
          <w:rFonts w:ascii="Arial" w:hAnsi="Arial" w:cs="Arial"/>
          <w:sz w:val="22"/>
          <w:szCs w:val="22"/>
          <w:vertAlign w:val="superscript"/>
        </w:rPr>
        <w:t>th</w:t>
      </w:r>
      <w:r w:rsidRPr="00923149">
        <w:rPr>
          <w:rFonts w:ascii="Arial" w:hAnsi="Arial" w:cs="Arial"/>
          <w:sz w:val="22"/>
          <w:szCs w:val="22"/>
        </w:rPr>
        <w:t xml:space="preserve"> of June 2</w:t>
      </w:r>
      <w:r>
        <w:rPr>
          <w:rFonts w:ascii="Arial" w:hAnsi="Arial" w:cs="Arial"/>
          <w:sz w:val="22"/>
          <w:szCs w:val="22"/>
        </w:rPr>
        <w:t>013 that the balance of credits and debits on their account</w:t>
      </w:r>
      <w:r w:rsidRPr="00923149">
        <w:rPr>
          <w:rFonts w:ascii="Arial" w:hAnsi="Arial" w:cs="Arial"/>
          <w:sz w:val="22"/>
          <w:szCs w:val="22"/>
        </w:rPr>
        <w:t xml:space="preserve"> made it possible for the LAA to settle the provider’s payments. Below are some statistics about the average time taken from authorisation of a request for payment and the LA</w:t>
      </w:r>
      <w:r>
        <w:rPr>
          <w:rFonts w:ascii="Arial" w:hAnsi="Arial" w:cs="Arial"/>
          <w:sz w:val="22"/>
          <w:szCs w:val="22"/>
        </w:rPr>
        <w:t xml:space="preserve">A making the payment, the data has been </w:t>
      </w:r>
      <w:r w:rsidRPr="00923149">
        <w:rPr>
          <w:rFonts w:ascii="Arial" w:hAnsi="Arial" w:cs="Arial"/>
          <w:sz w:val="22"/>
          <w:szCs w:val="22"/>
        </w:rPr>
        <w:t xml:space="preserve">taken from </w:t>
      </w:r>
      <w:r>
        <w:rPr>
          <w:rFonts w:ascii="Arial" w:hAnsi="Arial" w:cs="Arial"/>
          <w:sz w:val="22"/>
          <w:szCs w:val="22"/>
        </w:rPr>
        <w:t>the</w:t>
      </w:r>
      <w:r w:rsidRPr="00923149">
        <w:rPr>
          <w:rFonts w:ascii="Arial" w:hAnsi="Arial" w:cs="Arial"/>
          <w:sz w:val="22"/>
          <w:szCs w:val="22"/>
        </w:rPr>
        <w:t xml:space="preserve"> payment run started on the morning of the 1</w:t>
      </w:r>
      <w:r w:rsidRPr="00923149">
        <w:rPr>
          <w:rFonts w:ascii="Arial" w:hAnsi="Arial" w:cs="Arial"/>
          <w:sz w:val="22"/>
          <w:szCs w:val="22"/>
          <w:vertAlign w:val="superscript"/>
        </w:rPr>
        <w:t>st</w:t>
      </w:r>
      <w:r w:rsidRPr="00923149">
        <w:rPr>
          <w:rFonts w:ascii="Arial" w:hAnsi="Arial" w:cs="Arial"/>
          <w:sz w:val="22"/>
          <w:szCs w:val="22"/>
        </w:rPr>
        <w:t xml:space="preserve"> of July 2013.</w:t>
      </w:r>
    </w:p>
    <w:p w:rsidR="0049484A" w:rsidRPr="00923149" w:rsidRDefault="0049484A" w:rsidP="00923149">
      <w:pPr>
        <w:autoSpaceDE w:val="0"/>
        <w:autoSpaceDN w:val="0"/>
        <w:adjustRightInd w:val="0"/>
        <w:rPr>
          <w:rFonts w:ascii="Arial" w:hAnsi="Arial" w:cs="Arial"/>
          <w:sz w:val="22"/>
          <w:szCs w:val="22"/>
        </w:rPr>
      </w:pPr>
    </w:p>
    <w:tbl>
      <w:tblPr>
        <w:tblW w:w="6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6"/>
        <w:gridCol w:w="3499"/>
      </w:tblGrid>
      <w:tr w:rsidR="0049484A" w:rsidRPr="00923149" w:rsidTr="00923149">
        <w:trPr>
          <w:trHeight w:val="300"/>
        </w:trPr>
        <w:tc>
          <w:tcPr>
            <w:tcW w:w="3236" w:type="dxa"/>
            <w:noWrap/>
            <w:vAlign w:val="bottom"/>
          </w:tcPr>
          <w:p w:rsidR="0049484A" w:rsidRPr="00923149" w:rsidRDefault="0049484A" w:rsidP="00923149">
            <w:pPr>
              <w:autoSpaceDE w:val="0"/>
              <w:autoSpaceDN w:val="0"/>
              <w:adjustRightInd w:val="0"/>
              <w:rPr>
                <w:rFonts w:ascii="Arial" w:hAnsi="Arial" w:cs="Arial"/>
                <w:b/>
                <w:bCs/>
              </w:rPr>
            </w:pPr>
            <w:r w:rsidRPr="00923149">
              <w:rPr>
                <w:rFonts w:ascii="Arial" w:hAnsi="Arial" w:cs="Arial"/>
                <w:b/>
                <w:bCs/>
                <w:sz w:val="22"/>
                <w:szCs w:val="22"/>
              </w:rPr>
              <w:t>Total paid</w:t>
            </w:r>
          </w:p>
        </w:tc>
        <w:tc>
          <w:tcPr>
            <w:tcW w:w="3499" w:type="dxa"/>
            <w:noWrap/>
            <w:vAlign w:val="bottom"/>
          </w:tcPr>
          <w:p w:rsidR="0049484A" w:rsidRPr="00923149" w:rsidRDefault="0049484A" w:rsidP="00B841D7">
            <w:pPr>
              <w:autoSpaceDE w:val="0"/>
              <w:autoSpaceDN w:val="0"/>
              <w:adjustRightInd w:val="0"/>
              <w:rPr>
                <w:rFonts w:ascii="Arial" w:hAnsi="Arial" w:cs="Arial"/>
                <w:bCs/>
              </w:rPr>
            </w:pPr>
            <w:r w:rsidRPr="00923149">
              <w:rPr>
                <w:rFonts w:ascii="Arial" w:hAnsi="Arial" w:cs="Arial"/>
                <w:bCs/>
                <w:sz w:val="22"/>
                <w:szCs w:val="22"/>
              </w:rPr>
              <w:t>£69</w:t>
            </w:r>
            <w:r>
              <w:rPr>
                <w:rFonts w:ascii="Arial" w:hAnsi="Arial" w:cs="Arial"/>
                <w:bCs/>
                <w:sz w:val="22"/>
                <w:szCs w:val="22"/>
              </w:rPr>
              <w:t xml:space="preserve"> Million</w:t>
            </w:r>
          </w:p>
        </w:tc>
      </w:tr>
      <w:tr w:rsidR="0049484A" w:rsidRPr="00923149" w:rsidTr="00923149">
        <w:trPr>
          <w:trHeight w:val="300"/>
        </w:trPr>
        <w:tc>
          <w:tcPr>
            <w:tcW w:w="3236" w:type="dxa"/>
            <w:noWrap/>
            <w:vAlign w:val="bottom"/>
          </w:tcPr>
          <w:p w:rsidR="0049484A" w:rsidRPr="00923149" w:rsidRDefault="0049484A" w:rsidP="00923149">
            <w:pPr>
              <w:autoSpaceDE w:val="0"/>
              <w:autoSpaceDN w:val="0"/>
              <w:adjustRightInd w:val="0"/>
              <w:rPr>
                <w:rFonts w:ascii="Arial" w:hAnsi="Arial" w:cs="Arial"/>
                <w:b/>
                <w:bCs/>
              </w:rPr>
            </w:pPr>
            <w:r w:rsidRPr="00923149">
              <w:rPr>
                <w:rFonts w:ascii="Arial" w:hAnsi="Arial" w:cs="Arial"/>
                <w:b/>
                <w:bCs/>
                <w:sz w:val="22"/>
                <w:szCs w:val="22"/>
              </w:rPr>
              <w:t>Volume of bills paid</w:t>
            </w:r>
          </w:p>
        </w:tc>
        <w:tc>
          <w:tcPr>
            <w:tcW w:w="3499" w:type="dxa"/>
            <w:noWrap/>
            <w:vAlign w:val="bottom"/>
          </w:tcPr>
          <w:p w:rsidR="0049484A" w:rsidRPr="00923149" w:rsidRDefault="0049484A" w:rsidP="00923149">
            <w:pPr>
              <w:autoSpaceDE w:val="0"/>
              <w:autoSpaceDN w:val="0"/>
              <w:adjustRightInd w:val="0"/>
              <w:rPr>
                <w:rFonts w:ascii="Arial" w:hAnsi="Arial" w:cs="Arial"/>
                <w:bCs/>
              </w:rPr>
            </w:pPr>
            <w:r w:rsidRPr="00923149">
              <w:rPr>
                <w:rFonts w:ascii="Arial" w:hAnsi="Arial" w:cs="Arial"/>
                <w:bCs/>
                <w:sz w:val="22"/>
                <w:szCs w:val="22"/>
              </w:rPr>
              <w:t>53,625</w:t>
            </w:r>
          </w:p>
        </w:tc>
      </w:tr>
      <w:tr w:rsidR="0049484A" w:rsidRPr="00923149" w:rsidTr="00923149">
        <w:trPr>
          <w:trHeight w:val="300"/>
        </w:trPr>
        <w:tc>
          <w:tcPr>
            <w:tcW w:w="3236" w:type="dxa"/>
            <w:noWrap/>
            <w:vAlign w:val="bottom"/>
          </w:tcPr>
          <w:p w:rsidR="0049484A" w:rsidRPr="00923149" w:rsidRDefault="0049484A" w:rsidP="00923149">
            <w:pPr>
              <w:autoSpaceDE w:val="0"/>
              <w:autoSpaceDN w:val="0"/>
              <w:adjustRightInd w:val="0"/>
              <w:rPr>
                <w:rFonts w:ascii="Arial" w:hAnsi="Arial" w:cs="Arial"/>
                <w:b/>
                <w:bCs/>
              </w:rPr>
            </w:pPr>
            <w:r w:rsidRPr="00923149">
              <w:rPr>
                <w:rFonts w:ascii="Arial" w:hAnsi="Arial" w:cs="Arial"/>
                <w:b/>
                <w:bCs/>
                <w:sz w:val="22"/>
                <w:szCs w:val="22"/>
              </w:rPr>
              <w:t>Mean number of days between assessment and payment</w:t>
            </w:r>
          </w:p>
        </w:tc>
        <w:tc>
          <w:tcPr>
            <w:tcW w:w="3499" w:type="dxa"/>
            <w:noWrap/>
            <w:vAlign w:val="bottom"/>
          </w:tcPr>
          <w:p w:rsidR="0049484A" w:rsidRPr="00923149" w:rsidRDefault="0049484A" w:rsidP="00923149">
            <w:pPr>
              <w:autoSpaceDE w:val="0"/>
              <w:autoSpaceDN w:val="0"/>
              <w:adjustRightInd w:val="0"/>
              <w:rPr>
                <w:rFonts w:ascii="Arial" w:hAnsi="Arial" w:cs="Arial"/>
              </w:rPr>
            </w:pPr>
            <w:r w:rsidRPr="00923149">
              <w:rPr>
                <w:rFonts w:ascii="Arial" w:hAnsi="Arial" w:cs="Arial"/>
                <w:sz w:val="22"/>
                <w:szCs w:val="22"/>
              </w:rPr>
              <w:t>7</w:t>
            </w:r>
          </w:p>
        </w:tc>
      </w:tr>
      <w:tr w:rsidR="0049484A" w:rsidRPr="00923149" w:rsidTr="00923149">
        <w:trPr>
          <w:trHeight w:val="600"/>
        </w:trPr>
        <w:tc>
          <w:tcPr>
            <w:tcW w:w="3236" w:type="dxa"/>
            <w:vAlign w:val="bottom"/>
          </w:tcPr>
          <w:p w:rsidR="0049484A" w:rsidRPr="00923149" w:rsidRDefault="0049484A" w:rsidP="00923149">
            <w:pPr>
              <w:autoSpaceDE w:val="0"/>
              <w:autoSpaceDN w:val="0"/>
              <w:adjustRightInd w:val="0"/>
              <w:rPr>
                <w:rFonts w:ascii="Arial" w:hAnsi="Arial" w:cs="Arial"/>
                <w:b/>
                <w:bCs/>
              </w:rPr>
            </w:pPr>
            <w:r w:rsidRPr="00923149">
              <w:rPr>
                <w:rFonts w:ascii="Arial" w:hAnsi="Arial" w:cs="Arial"/>
                <w:b/>
                <w:bCs/>
                <w:sz w:val="22"/>
                <w:szCs w:val="22"/>
              </w:rPr>
              <w:t>Median  number of days between assessment and payment</w:t>
            </w:r>
          </w:p>
        </w:tc>
        <w:tc>
          <w:tcPr>
            <w:tcW w:w="3499" w:type="dxa"/>
            <w:noWrap/>
            <w:vAlign w:val="bottom"/>
          </w:tcPr>
          <w:p w:rsidR="0049484A" w:rsidRPr="00923149" w:rsidRDefault="0049484A" w:rsidP="00923149">
            <w:pPr>
              <w:autoSpaceDE w:val="0"/>
              <w:autoSpaceDN w:val="0"/>
              <w:adjustRightInd w:val="0"/>
              <w:rPr>
                <w:rFonts w:ascii="Arial" w:hAnsi="Arial" w:cs="Arial"/>
              </w:rPr>
            </w:pPr>
            <w:r w:rsidRPr="00923149">
              <w:rPr>
                <w:rFonts w:ascii="Arial" w:hAnsi="Arial" w:cs="Arial"/>
                <w:sz w:val="22"/>
                <w:szCs w:val="22"/>
              </w:rPr>
              <w:t>6</w:t>
            </w:r>
          </w:p>
        </w:tc>
      </w:tr>
    </w:tbl>
    <w:p w:rsidR="0049484A" w:rsidRPr="00923149" w:rsidRDefault="0049484A" w:rsidP="00923149">
      <w:pPr>
        <w:autoSpaceDE w:val="0"/>
        <w:autoSpaceDN w:val="0"/>
        <w:adjustRightInd w:val="0"/>
        <w:rPr>
          <w:rFonts w:ascii="Arial" w:hAnsi="Arial" w:cs="Arial"/>
          <w:sz w:val="22"/>
          <w:szCs w:val="22"/>
        </w:rPr>
      </w:pPr>
    </w:p>
    <w:p w:rsidR="0049484A" w:rsidRDefault="0049484A" w:rsidP="00F158B0">
      <w:pPr>
        <w:autoSpaceDE w:val="0"/>
        <w:autoSpaceDN w:val="0"/>
        <w:adjustRightInd w:val="0"/>
        <w:rPr>
          <w:rFonts w:ascii="Arial" w:hAnsi="Arial" w:cs="Arial"/>
          <w:sz w:val="22"/>
          <w:szCs w:val="22"/>
        </w:rPr>
      </w:pPr>
    </w:p>
    <w:p w:rsidR="0049484A" w:rsidRDefault="0049484A" w:rsidP="00F158B0">
      <w:pPr>
        <w:autoSpaceDE w:val="0"/>
        <w:autoSpaceDN w:val="0"/>
        <w:adjustRightInd w:val="0"/>
        <w:rPr>
          <w:rFonts w:ascii="Arial" w:hAnsi="Arial" w:cs="Arial"/>
          <w:sz w:val="22"/>
          <w:szCs w:val="22"/>
        </w:rPr>
      </w:pPr>
    </w:p>
    <w:sectPr w:rsidR="0049484A"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00" w:rsidRDefault="00250300">
      <w:r>
        <w:separator/>
      </w:r>
    </w:p>
  </w:endnote>
  <w:endnote w:type="continuationSeparator" w:id="0">
    <w:p w:rsidR="00250300" w:rsidRDefault="0025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4A" w:rsidRPr="002179DD" w:rsidRDefault="0049484A"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00" w:rsidRDefault="00250300">
      <w:r>
        <w:separator/>
      </w:r>
    </w:p>
  </w:footnote>
  <w:footnote w:type="continuationSeparator" w:id="0">
    <w:p w:rsidR="00250300" w:rsidRDefault="00250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096D2B"/>
    <w:multiLevelType w:val="hybridMultilevel"/>
    <w:tmpl w:val="A78291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20625"/>
    <w:rsid w:val="00021E36"/>
    <w:rsid w:val="00043C1B"/>
    <w:rsid w:val="00076AEF"/>
    <w:rsid w:val="000829FA"/>
    <w:rsid w:val="000900D8"/>
    <w:rsid w:val="000A2BCA"/>
    <w:rsid w:val="000E01F8"/>
    <w:rsid w:val="000E3551"/>
    <w:rsid w:val="000F067E"/>
    <w:rsid w:val="000F26B8"/>
    <w:rsid w:val="0013675E"/>
    <w:rsid w:val="00150A41"/>
    <w:rsid w:val="001A485D"/>
    <w:rsid w:val="001A6C9B"/>
    <w:rsid w:val="001C27E9"/>
    <w:rsid w:val="001D01A8"/>
    <w:rsid w:val="001D0D46"/>
    <w:rsid w:val="001D7BC6"/>
    <w:rsid w:val="00206E3E"/>
    <w:rsid w:val="002141B6"/>
    <w:rsid w:val="002179DD"/>
    <w:rsid w:val="00217F80"/>
    <w:rsid w:val="0022089E"/>
    <w:rsid w:val="002470C6"/>
    <w:rsid w:val="00250300"/>
    <w:rsid w:val="00261B0E"/>
    <w:rsid w:val="002A70A9"/>
    <w:rsid w:val="00377547"/>
    <w:rsid w:val="003B40A1"/>
    <w:rsid w:val="003C0D6F"/>
    <w:rsid w:val="003F6C63"/>
    <w:rsid w:val="00402347"/>
    <w:rsid w:val="004253BB"/>
    <w:rsid w:val="00434DCA"/>
    <w:rsid w:val="004734B5"/>
    <w:rsid w:val="0049484A"/>
    <w:rsid w:val="004A6FBA"/>
    <w:rsid w:val="004B18E3"/>
    <w:rsid w:val="004E1E12"/>
    <w:rsid w:val="005202DD"/>
    <w:rsid w:val="00570DC6"/>
    <w:rsid w:val="0059126A"/>
    <w:rsid w:val="0059764A"/>
    <w:rsid w:val="005B7296"/>
    <w:rsid w:val="005C2AFE"/>
    <w:rsid w:val="005C3A12"/>
    <w:rsid w:val="005D0A14"/>
    <w:rsid w:val="006152A3"/>
    <w:rsid w:val="006201B1"/>
    <w:rsid w:val="006269C1"/>
    <w:rsid w:val="00666D5D"/>
    <w:rsid w:val="00672C95"/>
    <w:rsid w:val="006C5F8A"/>
    <w:rsid w:val="006E4F5C"/>
    <w:rsid w:val="006F79D2"/>
    <w:rsid w:val="00707F63"/>
    <w:rsid w:val="00715FA4"/>
    <w:rsid w:val="00734260"/>
    <w:rsid w:val="007B643E"/>
    <w:rsid w:val="007E7BAF"/>
    <w:rsid w:val="007E7F0F"/>
    <w:rsid w:val="007F2CB3"/>
    <w:rsid w:val="0081625B"/>
    <w:rsid w:val="00837883"/>
    <w:rsid w:val="00861431"/>
    <w:rsid w:val="008961B0"/>
    <w:rsid w:val="00905307"/>
    <w:rsid w:val="00923149"/>
    <w:rsid w:val="00924204"/>
    <w:rsid w:val="00926DA0"/>
    <w:rsid w:val="0098376A"/>
    <w:rsid w:val="00986DA9"/>
    <w:rsid w:val="009B624A"/>
    <w:rsid w:val="009E4EE1"/>
    <w:rsid w:val="009E501C"/>
    <w:rsid w:val="00A13A45"/>
    <w:rsid w:val="00A15836"/>
    <w:rsid w:val="00A4070B"/>
    <w:rsid w:val="00A57446"/>
    <w:rsid w:val="00A72C5F"/>
    <w:rsid w:val="00AA3A3A"/>
    <w:rsid w:val="00AB3DC4"/>
    <w:rsid w:val="00AC617F"/>
    <w:rsid w:val="00AE1869"/>
    <w:rsid w:val="00AF6F11"/>
    <w:rsid w:val="00B230F7"/>
    <w:rsid w:val="00B27CC9"/>
    <w:rsid w:val="00B55A9E"/>
    <w:rsid w:val="00B75460"/>
    <w:rsid w:val="00B81932"/>
    <w:rsid w:val="00B841D7"/>
    <w:rsid w:val="00BD1779"/>
    <w:rsid w:val="00BF247F"/>
    <w:rsid w:val="00C00996"/>
    <w:rsid w:val="00C17FA3"/>
    <w:rsid w:val="00C8797E"/>
    <w:rsid w:val="00C97F31"/>
    <w:rsid w:val="00CA31AD"/>
    <w:rsid w:val="00CF776B"/>
    <w:rsid w:val="00D00350"/>
    <w:rsid w:val="00D06FC1"/>
    <w:rsid w:val="00D1279D"/>
    <w:rsid w:val="00D31A00"/>
    <w:rsid w:val="00D71F9D"/>
    <w:rsid w:val="00D8325C"/>
    <w:rsid w:val="00DA55BD"/>
    <w:rsid w:val="00DF4FFE"/>
    <w:rsid w:val="00DF58E2"/>
    <w:rsid w:val="00E015A9"/>
    <w:rsid w:val="00E0591C"/>
    <w:rsid w:val="00E1544C"/>
    <w:rsid w:val="00E256AA"/>
    <w:rsid w:val="00E36BAC"/>
    <w:rsid w:val="00E70ED4"/>
    <w:rsid w:val="00E873AE"/>
    <w:rsid w:val="00EB689F"/>
    <w:rsid w:val="00ED7C29"/>
    <w:rsid w:val="00F158B0"/>
    <w:rsid w:val="00F35B4A"/>
    <w:rsid w:val="00F7698B"/>
    <w:rsid w:val="00F80D88"/>
    <w:rsid w:val="00F9166D"/>
    <w:rsid w:val="00FF28A8"/>
    <w:rsid w:val="00F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CFEF82-C57E-4995-9ECA-2475FF10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422F"/>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48422F"/>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48422F"/>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48422F"/>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48422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69309">
      <w:marLeft w:val="0"/>
      <w:marRight w:val="0"/>
      <w:marTop w:val="0"/>
      <w:marBottom w:val="0"/>
      <w:divBdr>
        <w:top w:val="none" w:sz="0" w:space="0" w:color="auto"/>
        <w:left w:val="none" w:sz="0" w:space="0" w:color="auto"/>
        <w:bottom w:val="none" w:sz="0" w:space="0" w:color="auto"/>
        <w:right w:val="none" w:sz="0" w:space="0" w:color="auto"/>
      </w:divBdr>
    </w:div>
    <w:div w:id="966469310">
      <w:marLeft w:val="0"/>
      <w:marRight w:val="0"/>
      <w:marTop w:val="0"/>
      <w:marBottom w:val="0"/>
      <w:divBdr>
        <w:top w:val="none" w:sz="0" w:space="0" w:color="auto"/>
        <w:left w:val="none" w:sz="0" w:space="0" w:color="auto"/>
        <w:bottom w:val="none" w:sz="0" w:space="0" w:color="auto"/>
        <w:right w:val="none" w:sz="0" w:space="0" w:color="auto"/>
      </w:divBdr>
      <w:divsChild>
        <w:div w:id="966469318">
          <w:marLeft w:val="0"/>
          <w:marRight w:val="0"/>
          <w:marTop w:val="0"/>
          <w:marBottom w:val="0"/>
          <w:divBdr>
            <w:top w:val="none" w:sz="0" w:space="0" w:color="auto"/>
            <w:left w:val="none" w:sz="0" w:space="0" w:color="auto"/>
            <w:bottom w:val="none" w:sz="0" w:space="0" w:color="auto"/>
            <w:right w:val="none" w:sz="0" w:space="0" w:color="auto"/>
          </w:divBdr>
          <w:divsChild>
            <w:div w:id="966469308">
              <w:marLeft w:val="0"/>
              <w:marRight w:val="0"/>
              <w:marTop w:val="0"/>
              <w:marBottom w:val="0"/>
              <w:divBdr>
                <w:top w:val="none" w:sz="0" w:space="0" w:color="auto"/>
                <w:left w:val="none" w:sz="0" w:space="0" w:color="auto"/>
                <w:bottom w:val="none" w:sz="0" w:space="0" w:color="auto"/>
                <w:right w:val="none" w:sz="0" w:space="0" w:color="auto"/>
              </w:divBdr>
              <w:divsChild>
                <w:div w:id="9664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9314">
      <w:marLeft w:val="0"/>
      <w:marRight w:val="0"/>
      <w:marTop w:val="0"/>
      <w:marBottom w:val="0"/>
      <w:divBdr>
        <w:top w:val="none" w:sz="0" w:space="0" w:color="auto"/>
        <w:left w:val="none" w:sz="0" w:space="0" w:color="auto"/>
        <w:bottom w:val="none" w:sz="0" w:space="0" w:color="auto"/>
        <w:right w:val="none" w:sz="0" w:space="0" w:color="auto"/>
      </w:divBdr>
    </w:div>
    <w:div w:id="966469317">
      <w:marLeft w:val="0"/>
      <w:marRight w:val="0"/>
      <w:marTop w:val="0"/>
      <w:marBottom w:val="0"/>
      <w:divBdr>
        <w:top w:val="none" w:sz="0" w:space="0" w:color="auto"/>
        <w:left w:val="none" w:sz="0" w:space="0" w:color="auto"/>
        <w:bottom w:val="none" w:sz="0" w:space="0" w:color="auto"/>
        <w:right w:val="none" w:sz="0" w:space="0" w:color="auto"/>
      </w:divBdr>
      <w:divsChild>
        <w:div w:id="966469313">
          <w:marLeft w:val="0"/>
          <w:marRight w:val="0"/>
          <w:marTop w:val="0"/>
          <w:marBottom w:val="0"/>
          <w:divBdr>
            <w:top w:val="none" w:sz="0" w:space="0" w:color="auto"/>
            <w:left w:val="none" w:sz="0" w:space="0" w:color="auto"/>
            <w:bottom w:val="none" w:sz="0" w:space="0" w:color="auto"/>
            <w:right w:val="none" w:sz="0" w:space="0" w:color="auto"/>
          </w:divBdr>
          <w:divsChild>
            <w:div w:id="966469311">
              <w:marLeft w:val="0"/>
              <w:marRight w:val="0"/>
              <w:marTop w:val="0"/>
              <w:marBottom w:val="0"/>
              <w:divBdr>
                <w:top w:val="single" w:sz="2" w:space="0" w:color="FFFFFF"/>
                <w:left w:val="single" w:sz="6" w:space="0" w:color="FFFFFF"/>
                <w:bottom w:val="single" w:sz="6" w:space="0" w:color="FFFFFF"/>
                <w:right w:val="single" w:sz="6" w:space="0" w:color="FFFFFF"/>
              </w:divBdr>
              <w:divsChild>
                <w:div w:id="966469315">
                  <w:marLeft w:val="0"/>
                  <w:marRight w:val="0"/>
                  <w:marTop w:val="0"/>
                  <w:marBottom w:val="0"/>
                  <w:divBdr>
                    <w:top w:val="single" w:sz="6" w:space="1" w:color="D3D3D3"/>
                    <w:left w:val="none" w:sz="0" w:space="0" w:color="auto"/>
                    <w:bottom w:val="none" w:sz="0" w:space="0" w:color="auto"/>
                    <w:right w:val="none" w:sz="0" w:space="0" w:color="auto"/>
                  </w:divBdr>
                  <w:divsChild>
                    <w:div w:id="966469316">
                      <w:marLeft w:val="0"/>
                      <w:marRight w:val="0"/>
                      <w:marTop w:val="0"/>
                      <w:marBottom w:val="0"/>
                      <w:divBdr>
                        <w:top w:val="none" w:sz="0" w:space="0" w:color="auto"/>
                        <w:left w:val="none" w:sz="0" w:space="0" w:color="auto"/>
                        <w:bottom w:val="none" w:sz="0" w:space="0" w:color="auto"/>
                        <w:right w:val="none" w:sz="0" w:space="0" w:color="auto"/>
                      </w:divBdr>
                      <w:divsChild>
                        <w:div w:id="9664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publications/corporate-reports/legal-services-commiss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oldest debt owed by LSC, what value is the debt and to whom is it owed</vt:lpstr>
    </vt:vector>
  </TitlesOfParts>
  <Company>Ministry of Justice</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oldest debt owed by LSC, what value is the debt and to whom is it owed</dc:title>
  <dc:subject>FOI Response</dc:subject>
  <dc:creator>MoJ</dc:creator>
  <cp:keywords>debt, LSC, value, owed</cp:keywords>
  <dc:description/>
  <cp:lastModifiedBy>Susan Bariotakis</cp:lastModifiedBy>
  <cp:revision>2</cp:revision>
  <cp:lastPrinted>2011-02-03T11:30:00Z</cp:lastPrinted>
  <dcterms:created xsi:type="dcterms:W3CDTF">2013-10-08T11:57:00Z</dcterms:created>
  <dcterms:modified xsi:type="dcterms:W3CDTF">2013-10-08T11:57:00Z</dcterms:modified>
</cp:coreProperties>
</file>